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3437" w:rsidRPr="00373437" w:rsidRDefault="00373437" w:rsidP="00373437">
      <w:pPr>
        <w:pStyle w:val="Heading1"/>
      </w:pPr>
      <w:r w:rsidRPr="00373437">
        <w:t>Supplementary Information</w:t>
      </w:r>
    </w:p>
    <w:p w:rsidR="00373437" w:rsidRPr="00C402BD" w:rsidRDefault="00373437" w:rsidP="00373437">
      <w:pPr>
        <w:pStyle w:val="FirstParagraph"/>
        <w:spacing w:line="240" w:lineRule="auto"/>
        <w:ind w:firstLine="0"/>
      </w:pPr>
      <w:bookmarkStart w:id="0" w:name="rate-of-resistance-evolution"/>
      <w:bookmarkEnd w:id="0"/>
      <w:r w:rsidRPr="003D08A5">
        <w:t>Supplementary Table 1. Resistant species, herbicide applications</w:t>
      </w:r>
      <w:r>
        <w:t xml:space="preserve"> made to corn, soybean, cotton, rice, and wheat between 1990 and 2015</w:t>
      </w:r>
      <w:r w:rsidRPr="003D08A5">
        <w:t>, and resistant species per million herbicide applications for each herbicide site of action (listed by Weed Science Society of America group number).</w:t>
      </w:r>
      <w:r>
        <w:t xml:space="preserve"> Resistant species data from Heap (2017). Herbicide applications estimated from USDA-NASS (2017).</w:t>
      </w:r>
      <w:bookmarkStart w:id="1" w:name="_GoBack"/>
      <w:bookmarkEnd w:id="1"/>
    </w:p>
    <w:tbl>
      <w:tblPr>
        <w:tblW w:w="4343" w:type="pct"/>
        <w:tblLook w:val="07E0" w:firstRow="1" w:lastRow="1" w:firstColumn="1" w:lastColumn="1" w:noHBand="1" w:noVBand="1"/>
      </w:tblPr>
      <w:tblGrid>
        <w:gridCol w:w="1778"/>
        <w:gridCol w:w="1847"/>
        <w:gridCol w:w="2198"/>
        <w:gridCol w:w="2307"/>
      </w:tblGrid>
      <w:tr w:rsidR="00373437" w:rsidTr="007736D3">
        <w:tc>
          <w:tcPr>
            <w:tcW w:w="1093" w:type="pct"/>
            <w:tcBorders>
              <w:bottom w:val="single" w:sz="0" w:space="0" w:color="auto"/>
            </w:tcBorders>
            <w:vAlign w:val="bottom"/>
          </w:tcPr>
          <w:p w:rsidR="00373437" w:rsidRDefault="00373437" w:rsidP="00373437">
            <w:pPr>
              <w:pStyle w:val="Compact"/>
              <w:spacing w:line="240" w:lineRule="auto"/>
              <w:jc w:val="right"/>
            </w:pPr>
            <w:r>
              <w:t>WSSA group</w:t>
            </w:r>
          </w:p>
        </w:tc>
        <w:tc>
          <w:tcPr>
            <w:tcW w:w="1136" w:type="pct"/>
            <w:tcBorders>
              <w:bottom w:val="single" w:sz="0" w:space="0" w:color="auto"/>
            </w:tcBorders>
            <w:vAlign w:val="bottom"/>
          </w:tcPr>
          <w:p w:rsidR="00373437" w:rsidRDefault="00373437" w:rsidP="00373437">
            <w:pPr>
              <w:pStyle w:val="Compact"/>
              <w:spacing w:line="240" w:lineRule="auto"/>
              <w:jc w:val="right"/>
            </w:pPr>
            <w:r>
              <w:t>Resistant species</w:t>
            </w:r>
          </w:p>
        </w:tc>
        <w:tc>
          <w:tcPr>
            <w:tcW w:w="1352" w:type="pct"/>
            <w:tcBorders>
              <w:bottom w:val="single" w:sz="0" w:space="0" w:color="auto"/>
            </w:tcBorders>
            <w:vAlign w:val="bottom"/>
          </w:tcPr>
          <w:p w:rsidR="00373437" w:rsidRDefault="00373437" w:rsidP="00373437">
            <w:pPr>
              <w:pStyle w:val="Compact"/>
              <w:spacing w:line="240" w:lineRule="auto"/>
              <w:jc w:val="right"/>
            </w:pPr>
            <w:r>
              <w:t>Estimated herbicide applications (millions)</w:t>
            </w:r>
          </w:p>
        </w:tc>
        <w:tc>
          <w:tcPr>
            <w:tcW w:w="1419" w:type="pct"/>
            <w:tcBorders>
              <w:bottom w:val="single" w:sz="0" w:space="0" w:color="auto"/>
            </w:tcBorders>
            <w:vAlign w:val="bottom"/>
          </w:tcPr>
          <w:p w:rsidR="00373437" w:rsidRDefault="00373437" w:rsidP="00373437">
            <w:pPr>
              <w:pStyle w:val="Compact"/>
              <w:spacing w:line="240" w:lineRule="auto"/>
              <w:jc w:val="right"/>
            </w:pPr>
            <w:r>
              <w:t>Resistant species per million herbicide applications</w:t>
            </w:r>
          </w:p>
        </w:tc>
      </w:tr>
      <w:tr w:rsidR="00373437" w:rsidTr="007736D3">
        <w:tc>
          <w:tcPr>
            <w:tcW w:w="1093" w:type="pct"/>
          </w:tcPr>
          <w:p w:rsidR="00373437" w:rsidRDefault="00373437" w:rsidP="00373437">
            <w:pPr>
              <w:pStyle w:val="Compact"/>
              <w:spacing w:line="240" w:lineRule="auto"/>
              <w:jc w:val="right"/>
            </w:pPr>
            <w:r>
              <w:t>1</w:t>
            </w:r>
          </w:p>
        </w:tc>
        <w:tc>
          <w:tcPr>
            <w:tcW w:w="1136" w:type="pct"/>
          </w:tcPr>
          <w:p w:rsidR="00373437" w:rsidRDefault="00373437" w:rsidP="00373437">
            <w:pPr>
              <w:pStyle w:val="Compact"/>
              <w:spacing w:line="240" w:lineRule="auto"/>
              <w:jc w:val="right"/>
            </w:pPr>
            <w:r>
              <w:t>15</w:t>
            </w:r>
          </w:p>
        </w:tc>
        <w:tc>
          <w:tcPr>
            <w:tcW w:w="1352" w:type="pct"/>
          </w:tcPr>
          <w:p w:rsidR="00373437" w:rsidRDefault="00373437" w:rsidP="00373437">
            <w:pPr>
              <w:pStyle w:val="Compact"/>
              <w:spacing w:line="240" w:lineRule="auto"/>
              <w:jc w:val="right"/>
            </w:pPr>
            <w:r>
              <w:t>395</w:t>
            </w:r>
          </w:p>
        </w:tc>
        <w:tc>
          <w:tcPr>
            <w:tcW w:w="1419" w:type="pct"/>
          </w:tcPr>
          <w:p w:rsidR="00373437" w:rsidRDefault="00373437" w:rsidP="00373437">
            <w:pPr>
              <w:pStyle w:val="Compact"/>
              <w:spacing w:line="240" w:lineRule="auto"/>
              <w:jc w:val="right"/>
            </w:pPr>
            <w:r>
              <w:t>0.0380</w:t>
            </w:r>
          </w:p>
        </w:tc>
      </w:tr>
      <w:tr w:rsidR="00373437" w:rsidTr="007736D3">
        <w:tc>
          <w:tcPr>
            <w:tcW w:w="1093" w:type="pct"/>
          </w:tcPr>
          <w:p w:rsidR="00373437" w:rsidRDefault="00373437" w:rsidP="00373437">
            <w:pPr>
              <w:pStyle w:val="Compact"/>
              <w:spacing w:line="240" w:lineRule="auto"/>
              <w:jc w:val="right"/>
            </w:pPr>
            <w:r>
              <w:t>2</w:t>
            </w:r>
          </w:p>
        </w:tc>
        <w:tc>
          <w:tcPr>
            <w:tcW w:w="1136" w:type="pct"/>
          </w:tcPr>
          <w:p w:rsidR="00373437" w:rsidRDefault="00373437" w:rsidP="00373437">
            <w:pPr>
              <w:pStyle w:val="Compact"/>
              <w:spacing w:line="240" w:lineRule="auto"/>
              <w:jc w:val="right"/>
            </w:pPr>
            <w:r>
              <w:t>51</w:t>
            </w:r>
          </w:p>
        </w:tc>
        <w:tc>
          <w:tcPr>
            <w:tcW w:w="1352" w:type="pct"/>
          </w:tcPr>
          <w:p w:rsidR="00373437" w:rsidRDefault="00373437" w:rsidP="00373437">
            <w:pPr>
              <w:pStyle w:val="Compact"/>
              <w:spacing w:line="240" w:lineRule="auto"/>
              <w:jc w:val="right"/>
            </w:pPr>
            <w:r>
              <w:t>1920</w:t>
            </w:r>
          </w:p>
        </w:tc>
        <w:tc>
          <w:tcPr>
            <w:tcW w:w="1419" w:type="pct"/>
          </w:tcPr>
          <w:p w:rsidR="00373437" w:rsidRDefault="00373437" w:rsidP="00373437">
            <w:pPr>
              <w:pStyle w:val="Compact"/>
              <w:spacing w:line="240" w:lineRule="auto"/>
              <w:jc w:val="right"/>
            </w:pPr>
            <w:r>
              <w:t>0.0266</w:t>
            </w:r>
          </w:p>
        </w:tc>
      </w:tr>
      <w:tr w:rsidR="00373437" w:rsidTr="007736D3">
        <w:tc>
          <w:tcPr>
            <w:tcW w:w="1093" w:type="pct"/>
          </w:tcPr>
          <w:p w:rsidR="00373437" w:rsidRDefault="00373437" w:rsidP="00373437">
            <w:pPr>
              <w:pStyle w:val="Compact"/>
              <w:spacing w:line="240" w:lineRule="auto"/>
              <w:jc w:val="right"/>
            </w:pPr>
            <w:r>
              <w:t>3</w:t>
            </w:r>
          </w:p>
        </w:tc>
        <w:tc>
          <w:tcPr>
            <w:tcW w:w="1136" w:type="pct"/>
          </w:tcPr>
          <w:p w:rsidR="00373437" w:rsidRDefault="00373437" w:rsidP="00373437">
            <w:pPr>
              <w:pStyle w:val="Compact"/>
              <w:spacing w:line="240" w:lineRule="auto"/>
              <w:jc w:val="right"/>
            </w:pPr>
            <w:r>
              <w:t>6</w:t>
            </w:r>
          </w:p>
        </w:tc>
        <w:tc>
          <w:tcPr>
            <w:tcW w:w="1352" w:type="pct"/>
          </w:tcPr>
          <w:p w:rsidR="00373437" w:rsidRDefault="00373437" w:rsidP="00373437">
            <w:pPr>
              <w:pStyle w:val="Compact"/>
              <w:spacing w:line="240" w:lineRule="auto"/>
              <w:jc w:val="right"/>
            </w:pPr>
            <w:r>
              <w:t>600</w:t>
            </w:r>
          </w:p>
        </w:tc>
        <w:tc>
          <w:tcPr>
            <w:tcW w:w="1419" w:type="pct"/>
          </w:tcPr>
          <w:p w:rsidR="00373437" w:rsidRDefault="00373437" w:rsidP="00373437">
            <w:pPr>
              <w:pStyle w:val="Compact"/>
              <w:spacing w:line="240" w:lineRule="auto"/>
              <w:jc w:val="right"/>
            </w:pPr>
            <w:r>
              <w:t>0.0100</w:t>
            </w:r>
          </w:p>
        </w:tc>
      </w:tr>
      <w:tr w:rsidR="00373437" w:rsidTr="007736D3">
        <w:tc>
          <w:tcPr>
            <w:tcW w:w="1093" w:type="pct"/>
          </w:tcPr>
          <w:p w:rsidR="00373437" w:rsidRDefault="00373437" w:rsidP="00373437">
            <w:pPr>
              <w:pStyle w:val="Compact"/>
              <w:spacing w:line="240" w:lineRule="auto"/>
              <w:jc w:val="right"/>
            </w:pPr>
            <w:r>
              <w:t>4</w:t>
            </w:r>
          </w:p>
        </w:tc>
        <w:tc>
          <w:tcPr>
            <w:tcW w:w="1136" w:type="pct"/>
          </w:tcPr>
          <w:p w:rsidR="00373437" w:rsidRDefault="00373437" w:rsidP="00373437">
            <w:pPr>
              <w:pStyle w:val="Compact"/>
              <w:spacing w:line="240" w:lineRule="auto"/>
              <w:jc w:val="right"/>
            </w:pPr>
            <w:r>
              <w:t>10</w:t>
            </w:r>
          </w:p>
        </w:tc>
        <w:tc>
          <w:tcPr>
            <w:tcW w:w="1352" w:type="pct"/>
          </w:tcPr>
          <w:p w:rsidR="00373437" w:rsidRDefault="00373437" w:rsidP="00373437">
            <w:pPr>
              <w:pStyle w:val="Compact"/>
              <w:spacing w:line="240" w:lineRule="auto"/>
              <w:jc w:val="right"/>
            </w:pPr>
            <w:r>
              <w:t>1693</w:t>
            </w:r>
          </w:p>
        </w:tc>
        <w:tc>
          <w:tcPr>
            <w:tcW w:w="1419" w:type="pct"/>
          </w:tcPr>
          <w:p w:rsidR="00373437" w:rsidRDefault="00373437" w:rsidP="00373437">
            <w:pPr>
              <w:pStyle w:val="Compact"/>
              <w:spacing w:line="240" w:lineRule="auto"/>
              <w:jc w:val="right"/>
            </w:pPr>
            <w:r>
              <w:t>0.0059</w:t>
            </w:r>
          </w:p>
        </w:tc>
      </w:tr>
      <w:tr w:rsidR="00373437" w:rsidTr="007736D3">
        <w:tc>
          <w:tcPr>
            <w:tcW w:w="1093" w:type="pct"/>
          </w:tcPr>
          <w:p w:rsidR="00373437" w:rsidRDefault="00373437" w:rsidP="00373437">
            <w:pPr>
              <w:pStyle w:val="Compact"/>
              <w:spacing w:line="240" w:lineRule="auto"/>
              <w:jc w:val="right"/>
            </w:pPr>
            <w:r>
              <w:t>5</w:t>
            </w:r>
          </w:p>
        </w:tc>
        <w:tc>
          <w:tcPr>
            <w:tcW w:w="1136" w:type="pct"/>
          </w:tcPr>
          <w:p w:rsidR="00373437" w:rsidRDefault="00373437" w:rsidP="00373437">
            <w:pPr>
              <w:pStyle w:val="Compact"/>
              <w:spacing w:line="240" w:lineRule="auto"/>
              <w:jc w:val="right"/>
            </w:pPr>
            <w:r>
              <w:t>27</w:t>
            </w:r>
          </w:p>
        </w:tc>
        <w:tc>
          <w:tcPr>
            <w:tcW w:w="1352" w:type="pct"/>
          </w:tcPr>
          <w:p w:rsidR="00373437" w:rsidRDefault="00373437" w:rsidP="00373437">
            <w:pPr>
              <w:pStyle w:val="Compact"/>
              <w:spacing w:line="240" w:lineRule="auto"/>
              <w:jc w:val="right"/>
            </w:pPr>
            <w:r>
              <w:t>1618</w:t>
            </w:r>
          </w:p>
        </w:tc>
        <w:tc>
          <w:tcPr>
            <w:tcW w:w="1419" w:type="pct"/>
          </w:tcPr>
          <w:p w:rsidR="00373437" w:rsidRDefault="00373437" w:rsidP="00373437">
            <w:pPr>
              <w:pStyle w:val="Compact"/>
              <w:spacing w:line="240" w:lineRule="auto"/>
              <w:jc w:val="right"/>
            </w:pPr>
            <w:r>
              <w:t>0.0167</w:t>
            </w:r>
          </w:p>
        </w:tc>
      </w:tr>
      <w:tr w:rsidR="00373437" w:rsidTr="007736D3">
        <w:tc>
          <w:tcPr>
            <w:tcW w:w="1093" w:type="pct"/>
          </w:tcPr>
          <w:p w:rsidR="00373437" w:rsidRDefault="00373437" w:rsidP="00373437">
            <w:pPr>
              <w:pStyle w:val="Compact"/>
              <w:spacing w:line="240" w:lineRule="auto"/>
              <w:jc w:val="right"/>
            </w:pPr>
            <w:r>
              <w:t>6</w:t>
            </w:r>
          </w:p>
        </w:tc>
        <w:tc>
          <w:tcPr>
            <w:tcW w:w="1136" w:type="pct"/>
          </w:tcPr>
          <w:p w:rsidR="00373437" w:rsidRDefault="00373437" w:rsidP="00373437">
            <w:pPr>
              <w:pStyle w:val="Compact"/>
              <w:spacing w:line="240" w:lineRule="auto"/>
              <w:jc w:val="right"/>
            </w:pPr>
            <w:r>
              <w:t>1</w:t>
            </w:r>
          </w:p>
        </w:tc>
        <w:tc>
          <w:tcPr>
            <w:tcW w:w="1352" w:type="pct"/>
          </w:tcPr>
          <w:p w:rsidR="00373437" w:rsidRDefault="00373437" w:rsidP="00373437">
            <w:pPr>
              <w:pStyle w:val="Compact"/>
              <w:spacing w:line="240" w:lineRule="auto"/>
              <w:jc w:val="right"/>
            </w:pPr>
            <w:r>
              <w:t>310</w:t>
            </w:r>
          </w:p>
        </w:tc>
        <w:tc>
          <w:tcPr>
            <w:tcW w:w="1419" w:type="pct"/>
          </w:tcPr>
          <w:p w:rsidR="00373437" w:rsidRDefault="00373437" w:rsidP="00373437">
            <w:pPr>
              <w:pStyle w:val="Compact"/>
              <w:spacing w:line="240" w:lineRule="auto"/>
              <w:jc w:val="right"/>
            </w:pPr>
            <w:r>
              <w:t>0.0032</w:t>
            </w:r>
          </w:p>
        </w:tc>
      </w:tr>
      <w:tr w:rsidR="00373437" w:rsidTr="007736D3">
        <w:tc>
          <w:tcPr>
            <w:tcW w:w="1093" w:type="pct"/>
          </w:tcPr>
          <w:p w:rsidR="00373437" w:rsidRDefault="00373437" w:rsidP="00373437">
            <w:pPr>
              <w:pStyle w:val="Compact"/>
              <w:spacing w:line="240" w:lineRule="auto"/>
              <w:jc w:val="right"/>
            </w:pPr>
            <w:r>
              <w:t>7</w:t>
            </w:r>
          </w:p>
        </w:tc>
        <w:tc>
          <w:tcPr>
            <w:tcW w:w="1136" w:type="pct"/>
          </w:tcPr>
          <w:p w:rsidR="00373437" w:rsidRDefault="00373437" w:rsidP="00373437">
            <w:pPr>
              <w:pStyle w:val="Compact"/>
              <w:spacing w:line="240" w:lineRule="auto"/>
              <w:jc w:val="right"/>
            </w:pPr>
            <w:r>
              <w:t>9</w:t>
            </w:r>
          </w:p>
        </w:tc>
        <w:tc>
          <w:tcPr>
            <w:tcW w:w="1352" w:type="pct"/>
          </w:tcPr>
          <w:p w:rsidR="00373437" w:rsidRDefault="00373437" w:rsidP="00373437">
            <w:pPr>
              <w:pStyle w:val="Compact"/>
              <w:spacing w:line="240" w:lineRule="auto"/>
              <w:jc w:val="right"/>
            </w:pPr>
            <w:r>
              <w:t>190</w:t>
            </w:r>
          </w:p>
        </w:tc>
        <w:tc>
          <w:tcPr>
            <w:tcW w:w="1419" w:type="pct"/>
          </w:tcPr>
          <w:p w:rsidR="00373437" w:rsidRDefault="00373437" w:rsidP="00373437">
            <w:pPr>
              <w:pStyle w:val="Compact"/>
              <w:spacing w:line="240" w:lineRule="auto"/>
              <w:jc w:val="right"/>
            </w:pPr>
            <w:r>
              <w:t>0.0474</w:t>
            </w:r>
          </w:p>
        </w:tc>
      </w:tr>
      <w:tr w:rsidR="00373437" w:rsidTr="007736D3">
        <w:tc>
          <w:tcPr>
            <w:tcW w:w="1093" w:type="pct"/>
          </w:tcPr>
          <w:p w:rsidR="00373437" w:rsidRDefault="00373437" w:rsidP="00373437">
            <w:pPr>
              <w:pStyle w:val="Compact"/>
              <w:spacing w:line="240" w:lineRule="auto"/>
              <w:jc w:val="right"/>
            </w:pPr>
            <w:r>
              <w:t>8</w:t>
            </w:r>
          </w:p>
        </w:tc>
        <w:tc>
          <w:tcPr>
            <w:tcW w:w="1136" w:type="pct"/>
          </w:tcPr>
          <w:p w:rsidR="00373437" w:rsidRDefault="00373437" w:rsidP="00373437">
            <w:pPr>
              <w:pStyle w:val="Compact"/>
              <w:spacing w:line="240" w:lineRule="auto"/>
              <w:jc w:val="right"/>
            </w:pPr>
            <w:r>
              <w:t>4</w:t>
            </w:r>
          </w:p>
        </w:tc>
        <w:tc>
          <w:tcPr>
            <w:tcW w:w="1352" w:type="pct"/>
          </w:tcPr>
          <w:p w:rsidR="00373437" w:rsidRDefault="00373437" w:rsidP="00373437">
            <w:pPr>
              <w:pStyle w:val="Compact"/>
              <w:spacing w:line="240" w:lineRule="auto"/>
              <w:jc w:val="right"/>
            </w:pPr>
            <w:r>
              <w:t>74</w:t>
            </w:r>
          </w:p>
        </w:tc>
        <w:tc>
          <w:tcPr>
            <w:tcW w:w="1419" w:type="pct"/>
          </w:tcPr>
          <w:p w:rsidR="00373437" w:rsidRDefault="00373437" w:rsidP="00373437">
            <w:pPr>
              <w:pStyle w:val="Compact"/>
              <w:spacing w:line="240" w:lineRule="auto"/>
              <w:jc w:val="right"/>
            </w:pPr>
            <w:r>
              <w:t>0.0541</w:t>
            </w:r>
          </w:p>
        </w:tc>
      </w:tr>
      <w:tr w:rsidR="00373437" w:rsidTr="007736D3">
        <w:tc>
          <w:tcPr>
            <w:tcW w:w="1093" w:type="pct"/>
          </w:tcPr>
          <w:p w:rsidR="00373437" w:rsidRDefault="00373437" w:rsidP="00373437">
            <w:pPr>
              <w:pStyle w:val="Compact"/>
              <w:spacing w:line="240" w:lineRule="auto"/>
              <w:jc w:val="right"/>
            </w:pPr>
            <w:r>
              <w:t>9</w:t>
            </w:r>
          </w:p>
        </w:tc>
        <w:tc>
          <w:tcPr>
            <w:tcW w:w="1136" w:type="pct"/>
          </w:tcPr>
          <w:p w:rsidR="00373437" w:rsidRDefault="00373437" w:rsidP="00373437">
            <w:pPr>
              <w:pStyle w:val="Compact"/>
              <w:spacing w:line="240" w:lineRule="auto"/>
              <w:jc w:val="right"/>
            </w:pPr>
            <w:r>
              <w:t>17</w:t>
            </w:r>
          </w:p>
        </w:tc>
        <w:tc>
          <w:tcPr>
            <w:tcW w:w="1352" w:type="pct"/>
          </w:tcPr>
          <w:p w:rsidR="00373437" w:rsidRDefault="00373437" w:rsidP="00373437">
            <w:pPr>
              <w:pStyle w:val="Compact"/>
              <w:spacing w:line="240" w:lineRule="auto"/>
              <w:jc w:val="right"/>
            </w:pPr>
            <w:r>
              <w:t>3037</w:t>
            </w:r>
          </w:p>
        </w:tc>
        <w:tc>
          <w:tcPr>
            <w:tcW w:w="1419" w:type="pct"/>
          </w:tcPr>
          <w:p w:rsidR="00373437" w:rsidRDefault="00373437" w:rsidP="00373437">
            <w:pPr>
              <w:pStyle w:val="Compact"/>
              <w:spacing w:line="240" w:lineRule="auto"/>
              <w:jc w:val="right"/>
            </w:pPr>
            <w:r>
              <w:t>0.0056</w:t>
            </w:r>
          </w:p>
        </w:tc>
      </w:tr>
      <w:tr w:rsidR="00373437" w:rsidTr="007736D3">
        <w:tc>
          <w:tcPr>
            <w:tcW w:w="1093" w:type="pct"/>
          </w:tcPr>
          <w:p w:rsidR="00373437" w:rsidRDefault="00373437" w:rsidP="00373437">
            <w:pPr>
              <w:pStyle w:val="Compact"/>
              <w:spacing w:line="240" w:lineRule="auto"/>
              <w:jc w:val="right"/>
            </w:pPr>
            <w:r>
              <w:t>10</w:t>
            </w:r>
          </w:p>
        </w:tc>
        <w:tc>
          <w:tcPr>
            <w:tcW w:w="1136" w:type="pct"/>
          </w:tcPr>
          <w:p w:rsidR="00373437" w:rsidRDefault="00373437" w:rsidP="00373437">
            <w:pPr>
              <w:pStyle w:val="Compact"/>
              <w:spacing w:line="240" w:lineRule="auto"/>
              <w:jc w:val="right"/>
            </w:pPr>
            <w:r>
              <w:t>1</w:t>
            </w:r>
          </w:p>
        </w:tc>
        <w:tc>
          <w:tcPr>
            <w:tcW w:w="1352" w:type="pct"/>
          </w:tcPr>
          <w:p w:rsidR="00373437" w:rsidRDefault="00373437" w:rsidP="00373437">
            <w:pPr>
              <w:pStyle w:val="Compact"/>
              <w:spacing w:line="240" w:lineRule="auto"/>
              <w:jc w:val="right"/>
            </w:pPr>
            <w:r>
              <w:t>50</w:t>
            </w:r>
          </w:p>
        </w:tc>
        <w:tc>
          <w:tcPr>
            <w:tcW w:w="1419" w:type="pct"/>
          </w:tcPr>
          <w:p w:rsidR="00373437" w:rsidRDefault="00373437" w:rsidP="00373437">
            <w:pPr>
              <w:pStyle w:val="Compact"/>
              <w:spacing w:line="240" w:lineRule="auto"/>
              <w:jc w:val="right"/>
            </w:pPr>
            <w:r>
              <w:t>0.0200</w:t>
            </w:r>
          </w:p>
        </w:tc>
      </w:tr>
      <w:tr w:rsidR="00373437" w:rsidTr="007736D3">
        <w:tc>
          <w:tcPr>
            <w:tcW w:w="1093" w:type="pct"/>
          </w:tcPr>
          <w:p w:rsidR="00373437" w:rsidRDefault="00373437" w:rsidP="00373437">
            <w:pPr>
              <w:pStyle w:val="Compact"/>
              <w:spacing w:line="240" w:lineRule="auto"/>
              <w:jc w:val="right"/>
            </w:pPr>
            <w:r>
              <w:t>11</w:t>
            </w:r>
          </w:p>
        </w:tc>
        <w:tc>
          <w:tcPr>
            <w:tcW w:w="1136" w:type="pct"/>
          </w:tcPr>
          <w:p w:rsidR="00373437" w:rsidRDefault="00373437" w:rsidP="00373437">
            <w:pPr>
              <w:pStyle w:val="Compact"/>
              <w:spacing w:line="240" w:lineRule="auto"/>
              <w:jc w:val="right"/>
            </w:pPr>
            <w:r>
              <w:t>1</w:t>
            </w:r>
          </w:p>
        </w:tc>
        <w:tc>
          <w:tcPr>
            <w:tcW w:w="1352" w:type="pct"/>
          </w:tcPr>
          <w:p w:rsidR="00373437" w:rsidRDefault="00373437" w:rsidP="00373437">
            <w:pPr>
              <w:pStyle w:val="Compact"/>
              <w:spacing w:line="240" w:lineRule="auto"/>
              <w:jc w:val="right"/>
            </w:pPr>
            <w:r>
              <w:t>18</w:t>
            </w:r>
          </w:p>
        </w:tc>
        <w:tc>
          <w:tcPr>
            <w:tcW w:w="1419" w:type="pct"/>
          </w:tcPr>
          <w:p w:rsidR="00373437" w:rsidRDefault="00373437" w:rsidP="00373437">
            <w:pPr>
              <w:pStyle w:val="Compact"/>
              <w:spacing w:line="240" w:lineRule="auto"/>
              <w:jc w:val="right"/>
            </w:pPr>
            <w:r>
              <w:t>0.0556</w:t>
            </w:r>
          </w:p>
        </w:tc>
      </w:tr>
      <w:tr w:rsidR="00373437" w:rsidTr="007736D3">
        <w:tc>
          <w:tcPr>
            <w:tcW w:w="1093" w:type="pct"/>
          </w:tcPr>
          <w:p w:rsidR="00373437" w:rsidRDefault="00373437" w:rsidP="00373437">
            <w:pPr>
              <w:pStyle w:val="Compact"/>
              <w:spacing w:line="240" w:lineRule="auto"/>
              <w:jc w:val="right"/>
            </w:pPr>
            <w:r>
              <w:t>12</w:t>
            </w:r>
          </w:p>
        </w:tc>
        <w:tc>
          <w:tcPr>
            <w:tcW w:w="1136" w:type="pct"/>
          </w:tcPr>
          <w:p w:rsidR="00373437" w:rsidRDefault="00373437" w:rsidP="00373437">
            <w:pPr>
              <w:pStyle w:val="Compact"/>
              <w:spacing w:line="240" w:lineRule="auto"/>
              <w:jc w:val="right"/>
            </w:pPr>
            <w:r>
              <w:t>1</w:t>
            </w:r>
          </w:p>
        </w:tc>
        <w:tc>
          <w:tcPr>
            <w:tcW w:w="1352" w:type="pct"/>
          </w:tcPr>
          <w:p w:rsidR="00373437" w:rsidRDefault="00373437" w:rsidP="00373437">
            <w:pPr>
              <w:pStyle w:val="Compact"/>
              <w:spacing w:line="240" w:lineRule="auto"/>
              <w:jc w:val="right"/>
            </w:pPr>
            <w:r>
              <w:t>51</w:t>
            </w:r>
          </w:p>
        </w:tc>
        <w:tc>
          <w:tcPr>
            <w:tcW w:w="1419" w:type="pct"/>
          </w:tcPr>
          <w:p w:rsidR="00373437" w:rsidRDefault="00373437" w:rsidP="00373437">
            <w:pPr>
              <w:pStyle w:val="Compact"/>
              <w:spacing w:line="240" w:lineRule="auto"/>
              <w:jc w:val="right"/>
            </w:pPr>
            <w:r>
              <w:t>0.0196</w:t>
            </w:r>
          </w:p>
        </w:tc>
      </w:tr>
      <w:tr w:rsidR="00373437" w:rsidTr="007736D3">
        <w:tc>
          <w:tcPr>
            <w:tcW w:w="1093" w:type="pct"/>
          </w:tcPr>
          <w:p w:rsidR="00373437" w:rsidRDefault="00373437" w:rsidP="00373437">
            <w:pPr>
              <w:pStyle w:val="Compact"/>
              <w:spacing w:line="240" w:lineRule="auto"/>
              <w:jc w:val="right"/>
            </w:pPr>
            <w:r>
              <w:t>14</w:t>
            </w:r>
          </w:p>
        </w:tc>
        <w:tc>
          <w:tcPr>
            <w:tcW w:w="1136" w:type="pct"/>
          </w:tcPr>
          <w:p w:rsidR="00373437" w:rsidRDefault="00373437" w:rsidP="00373437">
            <w:pPr>
              <w:pStyle w:val="Compact"/>
              <w:spacing w:line="240" w:lineRule="auto"/>
              <w:jc w:val="right"/>
            </w:pPr>
            <w:r>
              <w:t>4</w:t>
            </w:r>
          </w:p>
        </w:tc>
        <w:tc>
          <w:tcPr>
            <w:tcW w:w="1352" w:type="pct"/>
          </w:tcPr>
          <w:p w:rsidR="00373437" w:rsidRDefault="00373437" w:rsidP="00373437">
            <w:pPr>
              <w:pStyle w:val="Compact"/>
              <w:spacing w:line="240" w:lineRule="auto"/>
              <w:jc w:val="right"/>
            </w:pPr>
            <w:r>
              <w:t>478</w:t>
            </w:r>
          </w:p>
        </w:tc>
        <w:tc>
          <w:tcPr>
            <w:tcW w:w="1419" w:type="pct"/>
          </w:tcPr>
          <w:p w:rsidR="00373437" w:rsidRDefault="00373437" w:rsidP="00373437">
            <w:pPr>
              <w:pStyle w:val="Compact"/>
              <w:spacing w:line="240" w:lineRule="auto"/>
              <w:jc w:val="right"/>
            </w:pPr>
            <w:r>
              <w:t>0.0084</w:t>
            </w:r>
          </w:p>
        </w:tc>
      </w:tr>
      <w:tr w:rsidR="00373437" w:rsidTr="007736D3">
        <w:tc>
          <w:tcPr>
            <w:tcW w:w="1093" w:type="pct"/>
          </w:tcPr>
          <w:p w:rsidR="00373437" w:rsidRDefault="00373437" w:rsidP="00373437">
            <w:pPr>
              <w:pStyle w:val="Compact"/>
              <w:spacing w:line="240" w:lineRule="auto"/>
              <w:jc w:val="right"/>
            </w:pPr>
            <w:r>
              <w:t>15</w:t>
            </w:r>
          </w:p>
        </w:tc>
        <w:tc>
          <w:tcPr>
            <w:tcW w:w="1136" w:type="pct"/>
          </w:tcPr>
          <w:p w:rsidR="00373437" w:rsidRDefault="00373437" w:rsidP="00373437">
            <w:pPr>
              <w:pStyle w:val="Compact"/>
              <w:spacing w:line="240" w:lineRule="auto"/>
              <w:jc w:val="right"/>
            </w:pPr>
            <w:r>
              <w:t>1</w:t>
            </w:r>
          </w:p>
        </w:tc>
        <w:tc>
          <w:tcPr>
            <w:tcW w:w="1352" w:type="pct"/>
          </w:tcPr>
          <w:p w:rsidR="00373437" w:rsidRDefault="00373437" w:rsidP="00373437">
            <w:pPr>
              <w:pStyle w:val="Compact"/>
              <w:spacing w:line="240" w:lineRule="auto"/>
              <w:jc w:val="right"/>
            </w:pPr>
            <w:r>
              <w:t>1296</w:t>
            </w:r>
          </w:p>
        </w:tc>
        <w:tc>
          <w:tcPr>
            <w:tcW w:w="1419" w:type="pct"/>
          </w:tcPr>
          <w:p w:rsidR="00373437" w:rsidRDefault="00373437" w:rsidP="00373437">
            <w:pPr>
              <w:pStyle w:val="Compact"/>
              <w:spacing w:line="240" w:lineRule="auto"/>
              <w:jc w:val="right"/>
            </w:pPr>
            <w:r>
              <w:t>0.0008</w:t>
            </w:r>
          </w:p>
        </w:tc>
      </w:tr>
      <w:tr w:rsidR="00373437" w:rsidTr="007736D3">
        <w:tc>
          <w:tcPr>
            <w:tcW w:w="1093" w:type="pct"/>
          </w:tcPr>
          <w:p w:rsidR="00373437" w:rsidRDefault="00373437" w:rsidP="00373437">
            <w:pPr>
              <w:pStyle w:val="Compact"/>
              <w:spacing w:line="240" w:lineRule="auto"/>
              <w:jc w:val="right"/>
            </w:pPr>
            <w:r>
              <w:t>16</w:t>
            </w:r>
          </w:p>
        </w:tc>
        <w:tc>
          <w:tcPr>
            <w:tcW w:w="1136" w:type="pct"/>
          </w:tcPr>
          <w:p w:rsidR="00373437" w:rsidRDefault="00373437" w:rsidP="00373437">
            <w:pPr>
              <w:pStyle w:val="Compact"/>
              <w:spacing w:line="240" w:lineRule="auto"/>
              <w:jc w:val="right"/>
            </w:pPr>
            <w:r>
              <w:t>1</w:t>
            </w:r>
          </w:p>
        </w:tc>
        <w:tc>
          <w:tcPr>
            <w:tcW w:w="1352" w:type="pct"/>
          </w:tcPr>
          <w:p w:rsidR="00373437" w:rsidRDefault="00373437" w:rsidP="00373437">
            <w:pPr>
              <w:pStyle w:val="Compact"/>
              <w:spacing w:line="240" w:lineRule="auto"/>
              <w:jc w:val="right"/>
            </w:pPr>
            <w:r>
              <w:t>53</w:t>
            </w:r>
          </w:p>
        </w:tc>
        <w:tc>
          <w:tcPr>
            <w:tcW w:w="1419" w:type="pct"/>
          </w:tcPr>
          <w:p w:rsidR="00373437" w:rsidRDefault="00373437" w:rsidP="00373437">
            <w:pPr>
              <w:pStyle w:val="Compact"/>
              <w:spacing w:line="240" w:lineRule="auto"/>
              <w:jc w:val="right"/>
            </w:pPr>
            <w:r>
              <w:t>0.0189</w:t>
            </w:r>
          </w:p>
        </w:tc>
      </w:tr>
      <w:tr w:rsidR="00373437" w:rsidTr="007736D3">
        <w:tc>
          <w:tcPr>
            <w:tcW w:w="1093" w:type="pct"/>
          </w:tcPr>
          <w:p w:rsidR="00373437" w:rsidRDefault="00373437" w:rsidP="00373437">
            <w:pPr>
              <w:pStyle w:val="Compact"/>
              <w:spacing w:line="240" w:lineRule="auto"/>
              <w:jc w:val="right"/>
            </w:pPr>
            <w:r>
              <w:t>17</w:t>
            </w:r>
          </w:p>
        </w:tc>
        <w:tc>
          <w:tcPr>
            <w:tcW w:w="1136" w:type="pct"/>
          </w:tcPr>
          <w:p w:rsidR="00373437" w:rsidRDefault="00373437" w:rsidP="00373437">
            <w:pPr>
              <w:pStyle w:val="Compact"/>
              <w:spacing w:line="240" w:lineRule="auto"/>
              <w:jc w:val="right"/>
            </w:pPr>
            <w:r>
              <w:t>1</w:t>
            </w:r>
          </w:p>
        </w:tc>
        <w:tc>
          <w:tcPr>
            <w:tcW w:w="1352" w:type="pct"/>
          </w:tcPr>
          <w:p w:rsidR="00373437" w:rsidRDefault="00373437" w:rsidP="00373437">
            <w:pPr>
              <w:pStyle w:val="Compact"/>
              <w:spacing w:line="240" w:lineRule="auto"/>
              <w:jc w:val="right"/>
            </w:pPr>
            <w:r>
              <w:t>46</w:t>
            </w:r>
          </w:p>
        </w:tc>
        <w:tc>
          <w:tcPr>
            <w:tcW w:w="1419" w:type="pct"/>
          </w:tcPr>
          <w:p w:rsidR="00373437" w:rsidRDefault="00373437" w:rsidP="00373437">
            <w:pPr>
              <w:pStyle w:val="Compact"/>
              <w:spacing w:line="240" w:lineRule="auto"/>
              <w:jc w:val="right"/>
            </w:pPr>
            <w:r>
              <w:t>0.0217</w:t>
            </w:r>
          </w:p>
        </w:tc>
      </w:tr>
      <w:tr w:rsidR="00373437" w:rsidTr="007736D3">
        <w:tc>
          <w:tcPr>
            <w:tcW w:w="1093" w:type="pct"/>
          </w:tcPr>
          <w:p w:rsidR="00373437" w:rsidRDefault="00373437" w:rsidP="00373437">
            <w:pPr>
              <w:pStyle w:val="Compact"/>
              <w:spacing w:line="240" w:lineRule="auto"/>
              <w:jc w:val="right"/>
            </w:pPr>
            <w:r>
              <w:t>22</w:t>
            </w:r>
          </w:p>
        </w:tc>
        <w:tc>
          <w:tcPr>
            <w:tcW w:w="1136" w:type="pct"/>
          </w:tcPr>
          <w:p w:rsidR="00373437" w:rsidRDefault="00373437" w:rsidP="00373437">
            <w:pPr>
              <w:pStyle w:val="Compact"/>
              <w:spacing w:line="240" w:lineRule="auto"/>
              <w:jc w:val="right"/>
            </w:pPr>
            <w:r>
              <w:t>5</w:t>
            </w:r>
          </w:p>
        </w:tc>
        <w:tc>
          <w:tcPr>
            <w:tcW w:w="1352" w:type="pct"/>
          </w:tcPr>
          <w:p w:rsidR="00373437" w:rsidRDefault="00373437" w:rsidP="00373437">
            <w:pPr>
              <w:pStyle w:val="Compact"/>
              <w:spacing w:line="240" w:lineRule="auto"/>
              <w:jc w:val="right"/>
            </w:pPr>
            <w:r>
              <w:t>48</w:t>
            </w:r>
          </w:p>
        </w:tc>
        <w:tc>
          <w:tcPr>
            <w:tcW w:w="1419" w:type="pct"/>
          </w:tcPr>
          <w:p w:rsidR="00373437" w:rsidRDefault="00373437" w:rsidP="00373437">
            <w:pPr>
              <w:pStyle w:val="Compact"/>
              <w:spacing w:line="240" w:lineRule="auto"/>
              <w:jc w:val="right"/>
            </w:pPr>
            <w:r>
              <w:t>0.1042</w:t>
            </w:r>
          </w:p>
        </w:tc>
      </w:tr>
      <w:tr w:rsidR="00373437" w:rsidTr="007736D3">
        <w:tc>
          <w:tcPr>
            <w:tcW w:w="1093" w:type="pct"/>
          </w:tcPr>
          <w:p w:rsidR="00373437" w:rsidRDefault="00373437" w:rsidP="00373437">
            <w:pPr>
              <w:pStyle w:val="Compact"/>
              <w:spacing w:line="240" w:lineRule="auto"/>
              <w:jc w:val="right"/>
            </w:pPr>
            <w:r>
              <w:t>26</w:t>
            </w:r>
          </w:p>
        </w:tc>
        <w:tc>
          <w:tcPr>
            <w:tcW w:w="1136" w:type="pct"/>
          </w:tcPr>
          <w:p w:rsidR="00373437" w:rsidRDefault="00373437" w:rsidP="00373437">
            <w:pPr>
              <w:pStyle w:val="Compact"/>
              <w:spacing w:line="240" w:lineRule="auto"/>
              <w:jc w:val="right"/>
            </w:pPr>
            <w:r>
              <w:t>1</w:t>
            </w:r>
          </w:p>
        </w:tc>
        <w:tc>
          <w:tcPr>
            <w:tcW w:w="1352" w:type="pct"/>
          </w:tcPr>
          <w:p w:rsidR="00373437" w:rsidRDefault="00373437" w:rsidP="00373437">
            <w:pPr>
              <w:pStyle w:val="Compact"/>
              <w:spacing w:line="240" w:lineRule="auto"/>
              <w:jc w:val="right"/>
            </w:pPr>
            <w:r>
              <w:t>11</w:t>
            </w:r>
          </w:p>
        </w:tc>
        <w:tc>
          <w:tcPr>
            <w:tcW w:w="1419" w:type="pct"/>
          </w:tcPr>
          <w:p w:rsidR="00373437" w:rsidRDefault="00373437" w:rsidP="00373437">
            <w:pPr>
              <w:pStyle w:val="Compact"/>
              <w:spacing w:line="240" w:lineRule="auto"/>
              <w:jc w:val="right"/>
            </w:pPr>
            <w:r>
              <w:t>0.0909</w:t>
            </w:r>
          </w:p>
        </w:tc>
      </w:tr>
      <w:tr w:rsidR="00373437" w:rsidTr="007736D3">
        <w:tc>
          <w:tcPr>
            <w:tcW w:w="1093" w:type="pct"/>
          </w:tcPr>
          <w:p w:rsidR="00373437" w:rsidRDefault="00373437" w:rsidP="00373437">
            <w:pPr>
              <w:pStyle w:val="Compact"/>
              <w:spacing w:line="240" w:lineRule="auto"/>
              <w:jc w:val="right"/>
            </w:pPr>
            <w:r>
              <w:t>27</w:t>
            </w:r>
          </w:p>
        </w:tc>
        <w:tc>
          <w:tcPr>
            <w:tcW w:w="1136" w:type="pct"/>
          </w:tcPr>
          <w:p w:rsidR="00373437" w:rsidRDefault="00373437" w:rsidP="00373437">
            <w:pPr>
              <w:pStyle w:val="Compact"/>
              <w:spacing w:line="240" w:lineRule="auto"/>
              <w:jc w:val="right"/>
            </w:pPr>
            <w:r>
              <w:t>3</w:t>
            </w:r>
          </w:p>
        </w:tc>
        <w:tc>
          <w:tcPr>
            <w:tcW w:w="1352" w:type="pct"/>
          </w:tcPr>
          <w:p w:rsidR="00373437" w:rsidRDefault="00373437" w:rsidP="00373437">
            <w:pPr>
              <w:pStyle w:val="Compact"/>
              <w:spacing w:line="240" w:lineRule="auto"/>
              <w:jc w:val="right"/>
            </w:pPr>
            <w:r>
              <w:t>335</w:t>
            </w:r>
          </w:p>
        </w:tc>
        <w:tc>
          <w:tcPr>
            <w:tcW w:w="1419" w:type="pct"/>
          </w:tcPr>
          <w:p w:rsidR="00373437" w:rsidRDefault="00373437" w:rsidP="00373437">
            <w:pPr>
              <w:pStyle w:val="Compact"/>
              <w:spacing w:line="240" w:lineRule="auto"/>
              <w:jc w:val="right"/>
            </w:pPr>
            <w:r>
              <w:t>0.0090</w:t>
            </w:r>
          </w:p>
        </w:tc>
      </w:tr>
      <w:tr w:rsidR="00373437" w:rsidTr="007736D3">
        <w:tc>
          <w:tcPr>
            <w:tcW w:w="1093" w:type="pct"/>
          </w:tcPr>
          <w:p w:rsidR="00373437" w:rsidRDefault="00373437" w:rsidP="007736D3">
            <w:pPr>
              <w:pStyle w:val="Compact"/>
              <w:jc w:val="right"/>
            </w:pPr>
          </w:p>
        </w:tc>
        <w:tc>
          <w:tcPr>
            <w:tcW w:w="1136" w:type="pct"/>
          </w:tcPr>
          <w:p w:rsidR="00373437" w:rsidRDefault="00373437" w:rsidP="007736D3">
            <w:pPr>
              <w:pStyle w:val="Compact"/>
              <w:jc w:val="right"/>
            </w:pPr>
          </w:p>
        </w:tc>
        <w:tc>
          <w:tcPr>
            <w:tcW w:w="1352" w:type="pct"/>
          </w:tcPr>
          <w:p w:rsidR="00373437" w:rsidRDefault="00373437" w:rsidP="007736D3">
            <w:pPr>
              <w:pStyle w:val="Compact"/>
              <w:jc w:val="right"/>
            </w:pPr>
          </w:p>
        </w:tc>
        <w:tc>
          <w:tcPr>
            <w:tcW w:w="1419" w:type="pct"/>
          </w:tcPr>
          <w:p w:rsidR="00373437" w:rsidRDefault="00373437" w:rsidP="007736D3">
            <w:pPr>
              <w:pStyle w:val="Compact"/>
              <w:jc w:val="right"/>
            </w:pPr>
          </w:p>
        </w:tc>
      </w:tr>
    </w:tbl>
    <w:p w:rsidR="00373437" w:rsidRDefault="00373437" w:rsidP="00373437">
      <w:pPr>
        <w:pStyle w:val="FigurewithCaption"/>
      </w:pPr>
    </w:p>
    <w:p w:rsidR="00373437" w:rsidRDefault="00373437" w:rsidP="00373437">
      <w:r>
        <w:br w:type="page"/>
      </w:r>
    </w:p>
    <w:p w:rsidR="00373437" w:rsidRDefault="00373437" w:rsidP="00373437">
      <w:pPr>
        <w:pStyle w:val="FigurewithCaption"/>
      </w:pPr>
      <w:r>
        <w:rPr>
          <w:noProof/>
        </w:rPr>
        <w:lastRenderedPageBreak/>
        <w:drawing>
          <wp:inline distT="0" distB="0" distL="0" distR="0" wp14:anchorId="1C8FF6B0" wp14:editId="59F770AA">
            <wp:extent cx="5334000" cy="3333750"/>
            <wp:effectExtent l="0" t="0" r="0" b="0"/>
            <wp:docPr id="1" name="Picture" descr="Supplementary Figure 1. Relationghips between all reported herbicide resistance cases (Y-axis) and number of herbicide-resistant species (X-axis) in the United States. Each point represents one herbicide site of action with at least 100 million area-treatments made between 1990 and 2015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HerbicideDiversity_files/figure-docx/unnamed-chunk-20-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3437" w:rsidRPr="00B433E0" w:rsidRDefault="00373437" w:rsidP="00373437">
      <w:pPr>
        <w:pStyle w:val="ImageCaption"/>
        <w:rPr>
          <w:i w:val="0"/>
        </w:rPr>
      </w:pPr>
      <w:r w:rsidRPr="00B433E0">
        <w:rPr>
          <w:i w:val="0"/>
        </w:rPr>
        <w:t>S</w:t>
      </w:r>
      <w:r>
        <w:rPr>
          <w:i w:val="0"/>
        </w:rPr>
        <w:t>upplementary Figure 1. Relations</w:t>
      </w:r>
      <w:r w:rsidRPr="00B433E0">
        <w:rPr>
          <w:i w:val="0"/>
        </w:rPr>
        <w:t>hip between all reported herbicide resistance cases (Y-axis) and number of herbicide-resistant species (X-axis) in the United States</w:t>
      </w:r>
      <w:r>
        <w:rPr>
          <w:i w:val="0"/>
        </w:rPr>
        <w:t>. H</w:t>
      </w:r>
      <w:r w:rsidRPr="00B433E0">
        <w:rPr>
          <w:i w:val="0"/>
        </w:rPr>
        <w:t>erbicide site</w:t>
      </w:r>
      <w:r>
        <w:rPr>
          <w:i w:val="0"/>
        </w:rPr>
        <w:t>s</w:t>
      </w:r>
      <w:r w:rsidRPr="00B433E0">
        <w:rPr>
          <w:i w:val="0"/>
        </w:rPr>
        <w:t xml:space="preserve"> of action with at least 100 million </w:t>
      </w:r>
      <w:r>
        <w:rPr>
          <w:i w:val="0"/>
        </w:rPr>
        <w:t xml:space="preserve">applications on corn, soybean, cotton, rice, or wheat </w:t>
      </w:r>
      <w:r w:rsidRPr="00B433E0">
        <w:rPr>
          <w:i w:val="0"/>
        </w:rPr>
        <w:t>between 1990 and 2015</w:t>
      </w:r>
      <w:r>
        <w:rPr>
          <w:i w:val="0"/>
        </w:rPr>
        <w:t xml:space="preserve"> are included</w:t>
      </w:r>
      <w:r w:rsidRPr="00B433E0">
        <w:rPr>
          <w:i w:val="0"/>
        </w:rPr>
        <w:t xml:space="preserve"> </w:t>
      </w:r>
      <w:r w:rsidRPr="00ED3696">
        <w:rPr>
          <w:i w:val="0"/>
        </w:rPr>
        <w:t>(Pearson's correlation coefficient = 0.85, P = 0.001)</w:t>
      </w:r>
      <w:r w:rsidRPr="00B433E0">
        <w:rPr>
          <w:i w:val="0"/>
        </w:rPr>
        <w:t>.</w:t>
      </w:r>
      <w:r>
        <w:rPr>
          <w:i w:val="0"/>
        </w:rPr>
        <w:t xml:space="preserve"> Resistance data assembled from Heap (2017) and herbicide use data estimated from USDA-NASS (2017). </w:t>
      </w:r>
    </w:p>
    <w:p w:rsidR="004359CE" w:rsidRDefault="004359CE"/>
    <w:sectPr w:rsidR="004359CE" w:rsidSect="005A237E">
      <w:pgSz w:w="12240" w:h="15840"/>
      <w:pgMar w:top="1440" w:right="1440" w:bottom="1440" w:left="1440" w:header="720" w:footer="720" w:gutter="0"/>
      <w:lnNumType w:countBy="1" w:restart="continuous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437"/>
    <w:rsid w:val="00373437"/>
    <w:rsid w:val="0043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EB14D3-E4DC-4625-B37D-56E726872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3437"/>
    <w:pPr>
      <w:spacing w:after="200" w:line="240" w:lineRule="auto"/>
    </w:pPr>
    <w:rPr>
      <w:sz w:val="24"/>
      <w:szCs w:val="24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373437"/>
    <w:pPr>
      <w:keepNext/>
      <w:keepLines/>
      <w:spacing w:before="480" w:after="0" w:line="480" w:lineRule="auto"/>
      <w:jc w:val="center"/>
      <w:outlineLvl w:val="0"/>
    </w:pPr>
    <w:rPr>
      <w:rFonts w:asciiTheme="majorHAnsi" w:eastAsiaTheme="majorEastAsia" w:hAnsiTheme="majorHAnsi" w:cstheme="majorBidi"/>
      <w:b/>
      <w:bCs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3437"/>
    <w:rPr>
      <w:rFonts w:asciiTheme="majorHAnsi" w:eastAsiaTheme="majorEastAsia" w:hAnsiTheme="majorHAnsi" w:cstheme="majorBidi"/>
      <w:b/>
      <w:bCs/>
      <w:sz w:val="24"/>
      <w:szCs w:val="32"/>
    </w:rPr>
  </w:style>
  <w:style w:type="paragraph" w:customStyle="1" w:styleId="FirstParagraph">
    <w:name w:val="First Paragraph"/>
    <w:basedOn w:val="BodyText"/>
    <w:next w:val="BodyText"/>
    <w:qFormat/>
    <w:rsid w:val="00373437"/>
    <w:pPr>
      <w:spacing w:after="0" w:line="480" w:lineRule="auto"/>
      <w:ind w:firstLine="720"/>
    </w:pPr>
  </w:style>
  <w:style w:type="paragraph" w:customStyle="1" w:styleId="Compact">
    <w:name w:val="Compact"/>
    <w:basedOn w:val="BodyText"/>
    <w:qFormat/>
    <w:rsid w:val="00373437"/>
    <w:pPr>
      <w:spacing w:before="36" w:after="36" w:line="480" w:lineRule="auto"/>
      <w:ind w:firstLine="720"/>
    </w:pPr>
  </w:style>
  <w:style w:type="paragraph" w:customStyle="1" w:styleId="ImageCaption">
    <w:name w:val="Image Caption"/>
    <w:basedOn w:val="Caption"/>
    <w:rsid w:val="00373437"/>
    <w:pPr>
      <w:spacing w:after="120"/>
    </w:pPr>
    <w:rPr>
      <w:iCs w:val="0"/>
      <w:color w:val="auto"/>
      <w:sz w:val="24"/>
      <w:szCs w:val="24"/>
    </w:rPr>
  </w:style>
  <w:style w:type="paragraph" w:customStyle="1" w:styleId="FigurewithCaption">
    <w:name w:val="Figure with Caption"/>
    <w:basedOn w:val="Normal"/>
    <w:rsid w:val="00373437"/>
    <w:pPr>
      <w:keepNext/>
    </w:pPr>
  </w:style>
  <w:style w:type="paragraph" w:styleId="BodyText">
    <w:name w:val="Body Text"/>
    <w:basedOn w:val="Normal"/>
    <w:link w:val="BodyTextChar"/>
    <w:uiPriority w:val="99"/>
    <w:semiHidden/>
    <w:unhideWhenUsed/>
    <w:rsid w:val="0037343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73437"/>
    <w:rPr>
      <w:sz w:val="24"/>
      <w:szCs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73437"/>
    <w:rPr>
      <w:i/>
      <w:iCs/>
      <w:color w:val="44546A" w:themeColor="text2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3734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197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akniss</dc:creator>
  <cp:keywords/>
  <dc:description/>
  <cp:lastModifiedBy>akniss</cp:lastModifiedBy>
  <cp:revision>1</cp:revision>
  <dcterms:created xsi:type="dcterms:W3CDTF">2017-11-01T03:49:00Z</dcterms:created>
  <dcterms:modified xsi:type="dcterms:W3CDTF">2017-11-01T03:51:00Z</dcterms:modified>
</cp:coreProperties>
</file>