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A6537" w14:textId="7104161E" w:rsidR="00307C2D" w:rsidRDefault="00461D1E" w:rsidP="00EE7F19">
      <w:r>
        <w:t>Supplementary Information</w:t>
      </w:r>
    </w:p>
    <w:p w14:paraId="579D5C93" w14:textId="3AC156C5" w:rsidR="00EE7F19" w:rsidRPr="005C4E4D" w:rsidRDefault="00EE7F19" w:rsidP="00EE7F19">
      <w:pPr>
        <w:rPr>
          <w:b/>
          <w:bCs/>
        </w:rPr>
      </w:pPr>
      <w:r w:rsidRPr="005C4E4D">
        <w:rPr>
          <w:b/>
          <w:bCs/>
        </w:rPr>
        <w:t>Core Sites</w:t>
      </w:r>
    </w:p>
    <w:p w14:paraId="4AF56AD6" w14:textId="2C8FA2C4" w:rsidR="00EE7F19" w:rsidRDefault="00EE7F19" w:rsidP="00EE7F19">
      <w:r>
        <w:t xml:space="preserve">1. </w:t>
      </w:r>
      <w:r w:rsidRPr="006E5D09">
        <w:t>Redden Springs</w:t>
      </w:r>
      <w:r w:rsidR="000210B6">
        <w:t xml:space="preserve"> (</w:t>
      </w:r>
      <w:r w:rsidR="00D5540B">
        <w:t xml:space="preserve">cores </w:t>
      </w:r>
      <w:r w:rsidR="00D5540B" w:rsidRPr="00D5540B">
        <w:rPr>
          <w:b/>
          <w:bCs/>
        </w:rPr>
        <w:t>NRS-14</w:t>
      </w:r>
      <w:r w:rsidR="00D5540B">
        <w:t xml:space="preserve">, </w:t>
      </w:r>
      <w:r w:rsidR="000210B6">
        <w:rPr>
          <w:b/>
          <w:bCs/>
        </w:rPr>
        <w:t>RSP-15, RSP-18)</w:t>
      </w:r>
      <w:r>
        <w:t>.</w:t>
      </w:r>
    </w:p>
    <w:p w14:paraId="4410821D" w14:textId="50C5B758" w:rsidR="00EE7F19" w:rsidRDefault="00EE7F19" w:rsidP="00EE7F19">
      <w:r>
        <w:t>Redden Springs</w:t>
      </w:r>
      <w:r w:rsidRPr="006E5D09">
        <w:t xml:space="preserve"> is </w:t>
      </w:r>
      <w:r>
        <w:t>a spring/marsh complex</w:t>
      </w:r>
      <w:r w:rsidRPr="006E5D09">
        <w:t xml:space="preserve"> in the </w:t>
      </w:r>
      <w:r w:rsidR="00907822">
        <w:t>Great Salt Lake (</w:t>
      </w:r>
      <w:r w:rsidRPr="006E5D09">
        <w:t>GSL</w:t>
      </w:r>
      <w:r w:rsidR="00907822">
        <w:t>)</w:t>
      </w:r>
      <w:r w:rsidRPr="006E5D09">
        <w:t xml:space="preserve"> Desert of Western Utah (</w:t>
      </w:r>
      <w:r w:rsidR="00667C38">
        <w:t xml:space="preserve">Main text </w:t>
      </w:r>
      <w:r w:rsidR="00907822">
        <w:t>Figure 1</w:t>
      </w:r>
      <w:r w:rsidR="00907822">
        <w:rPr>
          <w:noProof/>
        </w:rPr>
        <w:t>, Table S1</w:t>
      </w:r>
      <w:r w:rsidRPr="006E5D09">
        <w:t xml:space="preserve">). The site is found approximately 10 kilometers north of the town of Callao, and 10 kilometers east of the base of the Deep Creek Mountains in Tooele County. The Redden Springs complex consists of a 4km linear arrangement of approximately 15 point-source springs concentrated in a small area at the transition from the lowest piedmont slopes at the base of the Deep Creek Mountains to the floor of the GSL Desert playa. Water discharge at the site is presently enough to support a small wetland of approximately 1,000 acres with several small permanent ponds in the drainage field to the east and northeast of the spring sources. Historically the site has been used to irrigate land for alfalfa production, and the prehistoric footprint of the wetland may have been significantly larger. At an elevation of 1306 masl, the site lies just above the Gilbert Episode </w:t>
      </w:r>
      <w:proofErr w:type="spellStart"/>
      <w:r w:rsidRPr="006E5D09">
        <w:t>highstand</w:t>
      </w:r>
      <w:proofErr w:type="spellEnd"/>
      <w:r w:rsidRPr="006E5D09">
        <w:t xml:space="preserve"> (~1295 masl) of the GSL, which occurred at approximately 11,600 cal BP</w:t>
      </w:r>
      <w:r>
        <w:t xml:space="preserve"> (Oviatt, 2014)</w:t>
      </w:r>
      <w:r w:rsidRPr="006E5D09">
        <w:t xml:space="preserve">. The low elevation of the site means that it would only be exposed at a time close to Lake Bonneville’s final regression, sometime around 13,000 years ago. But because it is higher than the Gilbert episode </w:t>
      </w:r>
      <w:proofErr w:type="spellStart"/>
      <w:r w:rsidRPr="006E5D09">
        <w:t>highstand</w:t>
      </w:r>
      <w:proofErr w:type="spellEnd"/>
      <w:r w:rsidRPr="006E5D09">
        <w:t>, the site may not have been inundated by lake water at that time. If the Redden Springs complex was an active spring from the moment it was exposed by Lake Bonneville’s final regression, and if environmental conditions were conducive to capturing a sedimentary paleoenvironmental record at the time, the site has considerable potential to offer new information regarding Pleistocene/Holocene transition environments.</w:t>
      </w:r>
      <w:r>
        <w:t xml:space="preserve"> We have collected three sediment cores from Redden Springs, cores NRS-14, RSP-15 and RSP-18. The RSP-15 and RSP-18 cores were collected from sites less than 2m apart near the main discharge point for the spring complex, but the NRS-14 core was collected fr</w:t>
      </w:r>
      <w:r w:rsidR="000D5F93">
        <w:t>o</w:t>
      </w:r>
      <w:r>
        <w:t>m a site we called “North Redden Springs,” a peripheral spring mound about 5km north of the main marsh complex (</w:t>
      </w:r>
      <w:r w:rsidR="006D72F2">
        <w:t>F</w:t>
      </w:r>
      <w:r>
        <w:t xml:space="preserve">igure </w:t>
      </w:r>
      <w:r w:rsidR="006D72F2">
        <w:t>S</w:t>
      </w:r>
      <w:r>
        <w:t>1)</w:t>
      </w:r>
      <w:r w:rsidR="006D72F2">
        <w:t>.</w:t>
      </w:r>
    </w:p>
    <w:p w14:paraId="485C5B5E" w14:textId="3CE70ECC" w:rsidR="00EE7F19" w:rsidRDefault="00EE7F19" w:rsidP="00EE7F19">
      <w:r>
        <w:t>2. Fish Springs National Wildlife Refuge</w:t>
      </w:r>
    </w:p>
    <w:p w14:paraId="1A29EDE8" w14:textId="60604914" w:rsidR="00EE7F19" w:rsidRDefault="00EE7F19" w:rsidP="00EE7F19">
      <w:r>
        <w:t xml:space="preserve">Fish Springs is a large spring system at the southern edge of the </w:t>
      </w:r>
      <w:r w:rsidR="00907822">
        <w:t>GSL</w:t>
      </w:r>
      <w:r>
        <w:t xml:space="preserve"> Desert, at the northeastern toe of the </w:t>
      </w:r>
      <w:proofErr w:type="gramStart"/>
      <w:r>
        <w:t>Fish Springs mountain</w:t>
      </w:r>
      <w:proofErr w:type="gramEnd"/>
      <w:r>
        <w:t xml:space="preserve"> range, approximately 30 kilometers east of the town of Callao, Utah (</w:t>
      </w:r>
      <w:r w:rsidR="00667C38">
        <w:t xml:space="preserve">main text </w:t>
      </w:r>
      <w:r>
        <w:t>Figure 1</w:t>
      </w:r>
      <w:r w:rsidR="00907822">
        <w:t>, Table S1</w:t>
      </w:r>
      <w:r>
        <w:t>). The spring system is fed by</w:t>
      </w:r>
      <w:r w:rsidR="006D72F2">
        <w:t xml:space="preserve"> </w:t>
      </w:r>
      <w:r>
        <w:t xml:space="preserve">productive underground aquifers in the south and west of the site, and in sum discharges around 40 cubic feet (just over one cubic meter) per second. The spring discharge points are located on a north-south line trending the </w:t>
      </w:r>
      <w:r w:rsidR="006D72F2">
        <w:t xml:space="preserve">eastern </w:t>
      </w:r>
      <w:r>
        <w:t xml:space="preserve">base of the </w:t>
      </w:r>
      <w:proofErr w:type="gramStart"/>
      <w:r>
        <w:t>Fish Springs mountain</w:t>
      </w:r>
      <w:proofErr w:type="gramEnd"/>
      <w:r>
        <w:t xml:space="preserve"> </w:t>
      </w:r>
      <w:r w:rsidR="00667C38">
        <w:t>r</w:t>
      </w:r>
      <w:r>
        <w:t xml:space="preserve">ange, and water flows north down a nearly flat gradient across Fish Springs wash, eventually drying up in the </w:t>
      </w:r>
      <w:r w:rsidR="006D72F2">
        <w:t xml:space="preserve">vast </w:t>
      </w:r>
      <w:r w:rsidR="00907822">
        <w:t>GSL</w:t>
      </w:r>
      <w:r>
        <w:t xml:space="preserve"> Desert.</w:t>
      </w:r>
      <w:r w:rsidR="00667C38">
        <w:t xml:space="preserve"> We have collected two cores in the vicinity of Fish Springs NWR, cores BCS-15 and LCFSN-16.</w:t>
      </w:r>
    </w:p>
    <w:p w14:paraId="55989F11" w14:textId="2D250FD1" w:rsidR="00EE7F19" w:rsidRPr="00A24740" w:rsidRDefault="00EE7F19" w:rsidP="00EE7F19">
      <w:pPr>
        <w:rPr>
          <w:b/>
          <w:bCs/>
        </w:rPr>
      </w:pPr>
      <w:r w:rsidRPr="00A24740">
        <w:rPr>
          <w:b/>
          <w:bCs/>
        </w:rPr>
        <w:t>BCS-15</w:t>
      </w:r>
    </w:p>
    <w:p w14:paraId="3EC47050" w14:textId="52EF29A4" w:rsidR="00EE7F19" w:rsidRDefault="0029451A" w:rsidP="00EE7F19">
      <w:r w:rsidRPr="006E5D09">
        <w:t xml:space="preserve">Barking Coyote Spring is a perennial spring site situated at the northern toe of the </w:t>
      </w:r>
      <w:proofErr w:type="gramStart"/>
      <w:r w:rsidRPr="006E5D09">
        <w:t>Fish Springs mountain</w:t>
      </w:r>
      <w:proofErr w:type="gramEnd"/>
      <w:r w:rsidRPr="006E5D09">
        <w:t xml:space="preserve"> range (</w:t>
      </w:r>
      <w:r w:rsidR="00907822">
        <w:t>Figure S1</w:t>
      </w:r>
      <w:r w:rsidR="00907822">
        <w:rPr>
          <w:noProof/>
        </w:rPr>
        <w:t>, Table S1</w:t>
      </w:r>
      <w:r w:rsidRPr="006E5D09">
        <w:t>). The site lies approximately 300m north of the margin between the greasewood</w:t>
      </w:r>
      <w:r>
        <w:t xml:space="preserve"> (</w:t>
      </w:r>
      <w:proofErr w:type="spellStart"/>
      <w:r>
        <w:rPr>
          <w:i/>
        </w:rPr>
        <w:t>Sarcobatus</w:t>
      </w:r>
      <w:proofErr w:type="spellEnd"/>
      <w:r>
        <w:rPr>
          <w:i/>
        </w:rPr>
        <w:t xml:space="preserve"> </w:t>
      </w:r>
      <w:proofErr w:type="spellStart"/>
      <w:r>
        <w:rPr>
          <w:i/>
        </w:rPr>
        <w:t>vermiculatus</w:t>
      </w:r>
      <w:proofErr w:type="spellEnd"/>
      <w:r>
        <w:t>) and saltbush (</w:t>
      </w:r>
      <w:r>
        <w:rPr>
          <w:i/>
        </w:rPr>
        <w:t xml:space="preserve">Atriplex </w:t>
      </w:r>
      <w:r>
        <w:t>spp.)</w:t>
      </w:r>
      <w:r w:rsidRPr="006E5D09">
        <w:t xml:space="preserve"> </w:t>
      </w:r>
      <w:proofErr w:type="gramStart"/>
      <w:r w:rsidRPr="006E5D09">
        <w:t>cove</w:t>
      </w:r>
      <w:r w:rsidR="00AD17D5">
        <w:t xml:space="preserve">  </w:t>
      </w:r>
      <w:r w:rsidRPr="006E5D09">
        <w:t>red</w:t>
      </w:r>
      <w:proofErr w:type="gramEnd"/>
      <w:r w:rsidRPr="006E5D09">
        <w:t xml:space="preserve"> Fish Springs Range piedmont and the barren playa below</w:t>
      </w:r>
      <w:r>
        <w:t>. Modest spring discharge at the site has carved</w:t>
      </w:r>
      <w:r w:rsidRPr="006E5D09">
        <w:t xml:space="preserve"> a small sedge and </w:t>
      </w:r>
      <w:proofErr w:type="spellStart"/>
      <w:r w:rsidRPr="006E5D09">
        <w:t>saltgrass</w:t>
      </w:r>
      <w:proofErr w:type="spellEnd"/>
      <w:r>
        <w:t xml:space="preserve"> (</w:t>
      </w:r>
      <w:proofErr w:type="spellStart"/>
      <w:r>
        <w:rPr>
          <w:i/>
        </w:rPr>
        <w:t>Distichlis</w:t>
      </w:r>
      <w:proofErr w:type="spellEnd"/>
      <w:r>
        <w:rPr>
          <w:i/>
        </w:rPr>
        <w:t xml:space="preserve"> spicata</w:t>
      </w:r>
      <w:r>
        <w:t>)</w:t>
      </w:r>
      <w:r w:rsidRPr="006E5D09">
        <w:t xml:space="preserve"> covered channel through the </w:t>
      </w:r>
      <w:r>
        <w:t xml:space="preserve">otherwise </w:t>
      </w:r>
      <w:r w:rsidRPr="006E5D09">
        <w:t>barren</w:t>
      </w:r>
      <w:r>
        <w:t xml:space="preserve"> salt</w:t>
      </w:r>
      <w:r w:rsidRPr="006E5D09">
        <w:t xml:space="preserve"> playa. We cored the site in July 2015, recovering a 4.84m core.</w:t>
      </w:r>
    </w:p>
    <w:p w14:paraId="1115761F" w14:textId="4B8CEEC0" w:rsidR="00EE7F19" w:rsidRDefault="00EE7F19" w:rsidP="00EE7F19">
      <w:r w:rsidRPr="00A24740">
        <w:rPr>
          <w:b/>
          <w:bCs/>
        </w:rPr>
        <w:lastRenderedPageBreak/>
        <w:t>LCFSN-16</w:t>
      </w:r>
    </w:p>
    <w:p w14:paraId="113728F8" w14:textId="590FBD31" w:rsidR="00656008" w:rsidRDefault="00F03011" w:rsidP="00EE7F19">
      <w:r>
        <w:t>T</w:t>
      </w:r>
      <w:r w:rsidR="00EE7F19">
        <w:t xml:space="preserve">he second site we cored at Fish Springs NWR sits on the northern boundary of the refuge, about 50m north of the refuge’s Harrison Pool </w:t>
      </w:r>
      <w:r w:rsidR="00907822">
        <w:t>L</w:t>
      </w:r>
      <w:r w:rsidR="00EE7F19">
        <w:t xml:space="preserve">oop </w:t>
      </w:r>
      <w:r w:rsidR="00907822">
        <w:t>R</w:t>
      </w:r>
      <w:r w:rsidR="00EE7F19">
        <w:t>oad and less than 100m south of the Fish Springs NWR boundary</w:t>
      </w:r>
      <w:r w:rsidR="006D72F2">
        <w:t xml:space="preserve"> with </w:t>
      </w:r>
      <w:r w:rsidR="00907822">
        <w:t xml:space="preserve">the </w:t>
      </w:r>
      <w:r w:rsidR="006D72F2">
        <w:t>US Army Dugway Proving Ground (DPG)</w:t>
      </w:r>
      <w:r w:rsidR="00907822">
        <w:t xml:space="preserve"> military installation</w:t>
      </w:r>
      <w:r w:rsidR="00EE7F19">
        <w:t xml:space="preserve">. </w:t>
      </w:r>
      <w:r w:rsidR="007A6BC4">
        <w:t>The site was named LCFSN-</w:t>
      </w:r>
      <w:r w:rsidR="000210B6">
        <w:t>16 (</w:t>
      </w:r>
      <w:r w:rsidR="00907822">
        <w:t>Figure S1</w:t>
      </w:r>
      <w:r w:rsidR="00907822">
        <w:rPr>
          <w:noProof/>
        </w:rPr>
        <w:t>, Table S1)</w:t>
      </w:r>
      <w:r w:rsidR="007A6BC4">
        <w:t xml:space="preserve">. </w:t>
      </w:r>
      <w:r w:rsidR="00EE7F19">
        <w:t xml:space="preserve">The site was chosen </w:t>
      </w:r>
      <w:r w:rsidR="00907822">
        <w:t xml:space="preserve">for coring </w:t>
      </w:r>
      <w:r w:rsidR="00EE7F19">
        <w:t>as unlikely to have been disturbed by historic water diversion and road maintenance activities conducted by the US Fish and Wildlife Service</w:t>
      </w:r>
      <w:r w:rsidR="006D72F2">
        <w:t xml:space="preserve"> due to its proximity to the refuge’s boundary with DPG</w:t>
      </w:r>
      <w:r w:rsidR="00EE7F19">
        <w:t>.</w:t>
      </w:r>
      <w:r>
        <w:t xml:space="preserve"> Additionally, the site was selected as potentially informative for drought periods in prehistory.</w:t>
      </w:r>
      <w:r w:rsidR="006D72F2">
        <w:t xml:space="preserve"> </w:t>
      </w:r>
      <w:r>
        <w:t xml:space="preserve">Because the site sits at the northernmost margin of the refuge, it would likely dry up during drought periods before other areas on the refuge. </w:t>
      </w:r>
      <w:r w:rsidR="006D72F2">
        <w:t>During</w:t>
      </w:r>
      <w:r>
        <w:t xml:space="preserve"> periods of </w:t>
      </w:r>
      <w:proofErr w:type="gramStart"/>
      <w:r>
        <w:t>reduced  spring</w:t>
      </w:r>
      <w:proofErr w:type="gramEnd"/>
      <w:r>
        <w:t xml:space="preserve"> discharge, surface water would not penetrate as far north on to the desert floor, and the margin of marsh vegetation would </w:t>
      </w:r>
      <w:r w:rsidR="006D72F2">
        <w:t xml:space="preserve">likely </w:t>
      </w:r>
      <w:r>
        <w:t>migrate south following reduced standing water and soil moisture.</w:t>
      </w:r>
      <w:r w:rsidR="006D72F2">
        <w:t xml:space="preserve"> </w:t>
      </w:r>
    </w:p>
    <w:p w14:paraId="72B5FCE7" w14:textId="77777777" w:rsidR="007833BE" w:rsidRDefault="007833BE" w:rsidP="00EE7F19">
      <w:r>
        <w:t>3. Great Salt Lake Desert</w:t>
      </w:r>
    </w:p>
    <w:p w14:paraId="32144BE7" w14:textId="054C62E2" w:rsidR="00AB1977" w:rsidRDefault="007833BE" w:rsidP="00EE7F19">
      <w:r>
        <w:t xml:space="preserve">We have collected several cores from low elevation sites on the floor of the </w:t>
      </w:r>
      <w:r w:rsidR="00907822">
        <w:t>GSL</w:t>
      </w:r>
      <w:r>
        <w:t xml:space="preserve"> Desert. These </w:t>
      </w:r>
      <w:r w:rsidR="00AB1977">
        <w:t xml:space="preserve">sites have been chosen for their potential to yield information about hydrological activity in the </w:t>
      </w:r>
      <w:r w:rsidR="00907822">
        <w:t>GSL</w:t>
      </w:r>
      <w:r w:rsidR="00AB1977">
        <w:t xml:space="preserve"> Desert area associated with the Old River Bed and Fish Springs wash. </w:t>
      </w:r>
    </w:p>
    <w:p w14:paraId="5FAD6515" w14:textId="1A7F8DB2" w:rsidR="007833BE" w:rsidRDefault="00AB1977" w:rsidP="00EE7F19">
      <w:r>
        <w:t xml:space="preserve">The Old River Bed is an extinct water way which connected two shrinking sub-basins of Lake Bonneville, The Sevier Lake basin and the </w:t>
      </w:r>
      <w:r w:rsidR="00907822">
        <w:t>GSL</w:t>
      </w:r>
      <w:r>
        <w:t xml:space="preserve"> basin between approximately 13 and 9 cal ka</w:t>
      </w:r>
      <w:r w:rsidR="00D94679">
        <w:t xml:space="preserve"> and created a vast inland delta at its terminal end approximately 30km north of Fish Springs on what is now the barren floor of the </w:t>
      </w:r>
      <w:r w:rsidR="00907822">
        <w:t>GSL</w:t>
      </w:r>
      <w:r w:rsidR="00D94679">
        <w:t xml:space="preserve"> Desert</w:t>
      </w:r>
      <w:r>
        <w:t xml:space="preserve"> (Oviatt et al. 2003). The nature of water flow, whether above ground or through subterranean phreatic aquifers is poorly understood, as is the amount of flow and how much time during that period water actually flowed between the basins.</w:t>
      </w:r>
    </w:p>
    <w:p w14:paraId="4E7544AF" w14:textId="213257E1" w:rsidR="00D94679" w:rsidRDefault="00D94679" w:rsidP="00EE7F19">
      <w:r>
        <w:t xml:space="preserve">Fish Springs wash originates near Fish Springs NWR, and is the channel through which water flows north from Fish Springs ultimately drying up on the floor of the </w:t>
      </w:r>
      <w:r w:rsidR="00907822">
        <w:t>GSL</w:t>
      </w:r>
      <w:r>
        <w:t xml:space="preserve"> Desert. Exactly when the spring complex at Fish Springs activated is unknown, as is the extent of the marsh in prehistory. </w:t>
      </w:r>
    </w:p>
    <w:p w14:paraId="3A8E8C07" w14:textId="2672572D" w:rsidR="00D94679" w:rsidRPr="00D94679" w:rsidRDefault="00D94679" w:rsidP="00EE7F19">
      <w:pPr>
        <w:rPr>
          <w:b/>
          <w:bCs/>
        </w:rPr>
      </w:pPr>
      <w:r w:rsidRPr="00D94679">
        <w:rPr>
          <w:b/>
          <w:bCs/>
        </w:rPr>
        <w:t>ORB-</w:t>
      </w:r>
      <w:r w:rsidR="007A6BC4">
        <w:rPr>
          <w:b/>
          <w:bCs/>
        </w:rPr>
        <w:t>HS-</w:t>
      </w:r>
      <w:r w:rsidRPr="00D94679">
        <w:rPr>
          <w:b/>
          <w:bCs/>
        </w:rPr>
        <w:t>14</w:t>
      </w:r>
    </w:p>
    <w:p w14:paraId="73EF39D5" w14:textId="782BCDDA" w:rsidR="00D94679" w:rsidRDefault="00D94679" w:rsidP="00EE7F19">
      <w:r w:rsidRPr="006E5D09">
        <w:t xml:space="preserve">The Old River Bed </w:t>
      </w:r>
      <w:r>
        <w:t>2014 core</w:t>
      </w:r>
      <w:r w:rsidRPr="006E5D09">
        <w:t xml:space="preserve"> was collected form an </w:t>
      </w:r>
      <w:r w:rsidR="00412C93">
        <w:t xml:space="preserve">extinct </w:t>
      </w:r>
      <w:r w:rsidRPr="006E5D09">
        <w:t>O</w:t>
      </w:r>
      <w:r w:rsidR="00412C93">
        <w:t xml:space="preserve">ld </w:t>
      </w:r>
      <w:r w:rsidRPr="006E5D09">
        <w:t>R</w:t>
      </w:r>
      <w:r w:rsidR="00412C93">
        <w:t xml:space="preserve">iver </w:t>
      </w:r>
      <w:r w:rsidRPr="006E5D09">
        <w:t>B</w:t>
      </w:r>
      <w:r w:rsidR="00412C93">
        <w:t>ed</w:t>
      </w:r>
      <w:r w:rsidRPr="006E5D09">
        <w:t xml:space="preserve"> channel at the southwestern O</w:t>
      </w:r>
      <w:r w:rsidR="00412C93">
        <w:t xml:space="preserve">ld </w:t>
      </w:r>
      <w:r w:rsidRPr="006E5D09">
        <w:t>R</w:t>
      </w:r>
      <w:r w:rsidR="00412C93">
        <w:t xml:space="preserve">iver </w:t>
      </w:r>
      <w:r w:rsidRPr="006E5D09">
        <w:t>B</w:t>
      </w:r>
      <w:r w:rsidR="00412C93">
        <w:t>ed</w:t>
      </w:r>
      <w:r w:rsidRPr="006E5D09">
        <w:t xml:space="preserve"> delta. The core site is situated between two O</w:t>
      </w:r>
      <w:r w:rsidR="00412C93">
        <w:t xml:space="preserve">ld </w:t>
      </w:r>
      <w:r w:rsidRPr="006E5D09">
        <w:t>R</w:t>
      </w:r>
      <w:r w:rsidR="00412C93">
        <w:t xml:space="preserve">iver </w:t>
      </w:r>
      <w:r w:rsidRPr="006E5D09">
        <w:t>B</w:t>
      </w:r>
      <w:r w:rsidR="00412C93">
        <w:t>ed</w:t>
      </w:r>
      <w:r w:rsidRPr="006E5D09">
        <w:t xml:space="preserve"> channels Madsen </w:t>
      </w:r>
      <w:r w:rsidR="00A449B0">
        <w:t xml:space="preserve">at </w:t>
      </w:r>
      <w:proofErr w:type="spellStart"/>
      <w:r w:rsidR="00A449B0">
        <w:t>al</w:t>
      </w:r>
      <w:proofErr w:type="spellEnd"/>
      <w:r>
        <w:t xml:space="preserve"> (2015) identified as the Lavender and Y</w:t>
      </w:r>
      <w:r w:rsidRPr="006E5D09">
        <w:t xml:space="preserve">ellow channels. Radiocarbon dates </w:t>
      </w:r>
      <w:r w:rsidR="00A449B0">
        <w:t xml:space="preserve">reported in </w:t>
      </w:r>
      <w:r w:rsidRPr="006E5D09">
        <w:t>for these channels are limited to materials collected from more proximal locations 8 km to the east from the ORB-</w:t>
      </w:r>
      <w:r w:rsidR="00412C93">
        <w:t>14</w:t>
      </w:r>
      <w:r w:rsidRPr="006E5D09">
        <w:t xml:space="preserve"> core site, but they indicate the channels were active between 10.2 and 11.7 cal ka</w:t>
      </w:r>
      <w:r w:rsidR="00A449B0">
        <w:t xml:space="preserve"> (Madsen et al, 2015)</w:t>
      </w:r>
      <w:r>
        <w:t>.</w:t>
      </w:r>
    </w:p>
    <w:p w14:paraId="3DD962E7" w14:textId="5344AFA5" w:rsidR="00D94679" w:rsidRDefault="00D94679" w:rsidP="00EE7F19">
      <w:pPr>
        <w:rPr>
          <w:b/>
          <w:bCs/>
        </w:rPr>
      </w:pPr>
      <w:r w:rsidRPr="00D94679">
        <w:rPr>
          <w:b/>
          <w:bCs/>
        </w:rPr>
        <w:t>WB-19</w:t>
      </w:r>
    </w:p>
    <w:p w14:paraId="0D13267C" w14:textId="677D8C54" w:rsidR="00D94679" w:rsidRPr="00D94679" w:rsidRDefault="00D94679" w:rsidP="00EE7F19">
      <w:r>
        <w:t>The Wishbone 2019 core was collected</w:t>
      </w:r>
      <w:r w:rsidR="00412C93">
        <w:t xml:space="preserve"> from a site on the US Air Force Utah Test and Training Range</w:t>
      </w:r>
      <w:r>
        <w:t xml:space="preserve"> at a terminal Pleistocene/Early Holocene archaeological site named the “Wishbone Site” for the abundant waterfowl furcula (wishbones) present in buried deposits at the site. The site appears to be associated with an extinct channel of the Old River Bed, </w:t>
      </w:r>
      <w:r w:rsidR="00412C93">
        <w:t>and contains a black mat deposit which has dated to 12.6 cal ka, likely very near the initial development of the Old River Bed Delta</w:t>
      </w:r>
      <w:r w:rsidR="00A449B0">
        <w:t xml:space="preserve"> (Duke et al 2018; 2020)</w:t>
      </w:r>
      <w:r w:rsidR="00412C93">
        <w:t xml:space="preserve">. </w:t>
      </w:r>
    </w:p>
    <w:p w14:paraId="6B9A41D7" w14:textId="11D0B04A" w:rsidR="007833BE" w:rsidRPr="00412C93" w:rsidRDefault="007833BE" w:rsidP="007833BE">
      <w:pPr>
        <w:rPr>
          <w:b/>
          <w:bCs/>
        </w:rPr>
      </w:pPr>
      <w:r w:rsidRPr="00412C93">
        <w:rPr>
          <w:b/>
          <w:bCs/>
        </w:rPr>
        <w:t>DS-17</w:t>
      </w:r>
    </w:p>
    <w:p w14:paraId="7C1CE074" w14:textId="5365DCFA" w:rsidR="007833BE" w:rsidRDefault="00D94679" w:rsidP="00EE7F19">
      <w:r>
        <w:lastRenderedPageBreak/>
        <w:t>A</w:t>
      </w:r>
      <w:r w:rsidR="00AB1977" w:rsidRPr="006E5D09">
        <w:t xml:space="preserve"> site with the potential to refine the chronology of hydrological activity of Fish Springs and the Fish Springs Wash is core site DS-17, located approximately 16km west of Granite Peak Mountain </w:t>
      </w:r>
      <w:r>
        <w:t>(Figure S1</w:t>
      </w:r>
      <w:r w:rsidR="00AB1977" w:rsidRPr="006E5D09">
        <w:t xml:space="preserve"> The site is situated in an extinct channel of Fish Springs Wash, which would be an active stream channel during periods of increased discharge from Fish Springs Wash. The site is also approximately 35 km north of Fish Springs, and during wet periods in prehistory it is possible that spring water discharged from Fish Springs flowed to or past the </w:t>
      </w:r>
      <w:r>
        <w:t>DS-17</w:t>
      </w:r>
      <w:r w:rsidR="00AB1977" w:rsidRPr="006E5D09">
        <w:t>, feeding wetland systems along the way. Today the site is a virtually barren salt flat, and no evidence exists on the surface that wetlands have ever been present at the site.</w:t>
      </w:r>
    </w:p>
    <w:p w14:paraId="6E0D1627" w14:textId="77777777" w:rsidR="00907822" w:rsidRDefault="00907822">
      <w:pPr>
        <w:rPr>
          <w:b/>
          <w:bCs/>
        </w:rPr>
      </w:pPr>
      <w:r>
        <w:rPr>
          <w:b/>
          <w:bCs/>
        </w:rPr>
        <w:br w:type="page"/>
      </w:r>
    </w:p>
    <w:p w14:paraId="37C734D9" w14:textId="5D775EF0" w:rsidR="00907822" w:rsidRDefault="000A256B">
      <w:pPr>
        <w:rPr>
          <w:b/>
          <w:bCs/>
        </w:rPr>
      </w:pPr>
      <w:r w:rsidRPr="000A256B">
        <w:rPr>
          <w:b/>
          <w:bCs/>
          <w:noProof/>
        </w:rPr>
        <w:lastRenderedPageBreak/>
        <w:drawing>
          <wp:inline distT="0" distB="0" distL="0" distR="0" wp14:anchorId="1058583E" wp14:editId="06735563">
            <wp:extent cx="5324475" cy="572779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8873" cy="5732524"/>
                    </a:xfrm>
                    <a:prstGeom prst="rect">
                      <a:avLst/>
                    </a:prstGeom>
                    <a:noFill/>
                    <a:ln>
                      <a:noFill/>
                    </a:ln>
                  </pic:spPr>
                </pic:pic>
              </a:graphicData>
            </a:graphic>
          </wp:inline>
        </w:drawing>
      </w:r>
    </w:p>
    <w:p w14:paraId="3BF71C41" w14:textId="77777777" w:rsidR="00772240" w:rsidRDefault="00772240">
      <w:pPr>
        <w:rPr>
          <w:b/>
          <w:bCs/>
        </w:rPr>
      </w:pPr>
    </w:p>
    <w:p w14:paraId="6072A5DE" w14:textId="307F6B47" w:rsidR="00907822" w:rsidRDefault="00772240">
      <w:pPr>
        <w:rPr>
          <w:b/>
          <w:bCs/>
        </w:rPr>
      </w:pPr>
      <w:r>
        <w:t xml:space="preserve">Table S1 presents site locations, hydrologic settings, geographic coordinates, </w:t>
      </w:r>
      <w:r w:rsidR="00C1366B">
        <w:t>and elevation</w:t>
      </w:r>
      <w:r w:rsidR="00CB244E">
        <w:t xml:space="preserve"> (meters above sea level)</w:t>
      </w:r>
      <w:r w:rsidR="00C1366B">
        <w:t xml:space="preserve"> of </w:t>
      </w:r>
      <w:r w:rsidR="00CB244E">
        <w:t xml:space="preserve">core </w:t>
      </w:r>
      <w:r w:rsidR="00C1366B">
        <w:t xml:space="preserve">sites for this study. In addition to the location information, depths </w:t>
      </w:r>
      <w:r w:rsidR="00CB244E">
        <w:t xml:space="preserve">(in meters) </w:t>
      </w:r>
      <w:r w:rsidR="00C1366B">
        <w:t>at different lake levels during the Lake</w:t>
      </w:r>
      <w:r w:rsidR="005059AE">
        <w:t xml:space="preserve"> Bonneville cycle. The ‘</w:t>
      </w:r>
      <w:proofErr w:type="spellStart"/>
      <w:proofErr w:type="gramStart"/>
      <w:r w:rsidR="005059AE">
        <w:t>D.Bonn</w:t>
      </w:r>
      <w:proofErr w:type="spellEnd"/>
      <w:proofErr w:type="gramEnd"/>
      <w:r w:rsidR="005059AE">
        <w:t>.’ column represents the depth at each site during the Lake Bonneville high-stand at ca. 18 cal ka. The ‘</w:t>
      </w:r>
      <w:proofErr w:type="spellStart"/>
      <w:proofErr w:type="gramStart"/>
      <w:r w:rsidR="005059AE">
        <w:t>D.Provo</w:t>
      </w:r>
      <w:proofErr w:type="spellEnd"/>
      <w:proofErr w:type="gramEnd"/>
      <w:r w:rsidR="005059AE">
        <w:t>’ column represents the depth at each site during the Provo level of Lake Bonneville between roughly 18 and 15.5 cal ka. The ‘</w:t>
      </w:r>
      <w:proofErr w:type="spellStart"/>
      <w:proofErr w:type="gramStart"/>
      <w:r w:rsidR="005059AE">
        <w:t>D.Gil</w:t>
      </w:r>
      <w:proofErr w:type="spellEnd"/>
      <w:proofErr w:type="gramEnd"/>
      <w:r w:rsidR="005059AE">
        <w:t>.’ Column represents the depth at each site during the Gilbert episode of the GSL at the end of the Younger Dryas at ca. 11.6 cal ka.</w:t>
      </w:r>
      <w:r w:rsidR="009976AC">
        <w:t xml:space="preserve"> The ‘</w:t>
      </w:r>
      <w:proofErr w:type="spellStart"/>
      <w:r w:rsidR="009976AC">
        <w:t>Dist.Bonn</w:t>
      </w:r>
      <w:proofErr w:type="spellEnd"/>
      <w:r w:rsidR="009976AC">
        <w:t xml:space="preserve">.’ column represents the distance from each site to the nearest Bonneville high-stand shoreline feature, which is a good indicator of sedimentation rates in the basin; sites nearer to the </w:t>
      </w:r>
      <w:proofErr w:type="spellStart"/>
      <w:r w:rsidR="009976AC">
        <w:t>shorezones</w:t>
      </w:r>
      <w:proofErr w:type="spellEnd"/>
      <w:r w:rsidR="009976AC">
        <w:t xml:space="preserve"> saw higher sedimentation rates than sites farther out in the basin.</w:t>
      </w:r>
      <w:r w:rsidR="00907822">
        <w:rPr>
          <w:b/>
          <w:bCs/>
        </w:rPr>
        <w:br w:type="page"/>
      </w:r>
    </w:p>
    <w:p w14:paraId="25F52DA3" w14:textId="704349C9" w:rsidR="000D5F93" w:rsidRPr="005C4E4D" w:rsidRDefault="005C4E4D">
      <w:pPr>
        <w:rPr>
          <w:b/>
          <w:bCs/>
        </w:rPr>
      </w:pPr>
      <w:r w:rsidRPr="005C4E4D">
        <w:rPr>
          <w:b/>
          <w:bCs/>
        </w:rPr>
        <w:lastRenderedPageBreak/>
        <w:t xml:space="preserve">Principal Components Analysis of XRF-based </w:t>
      </w:r>
      <w:proofErr w:type="spellStart"/>
      <w:r w:rsidRPr="005C4E4D">
        <w:rPr>
          <w:b/>
          <w:bCs/>
        </w:rPr>
        <w:t>chemostratigraphy</w:t>
      </w:r>
      <w:proofErr w:type="spellEnd"/>
      <w:r w:rsidRPr="005C4E4D">
        <w:rPr>
          <w:b/>
          <w:bCs/>
        </w:rPr>
        <w:t xml:space="preserve"> </w:t>
      </w:r>
    </w:p>
    <w:p w14:paraId="49E48993" w14:textId="0406D6B3" w:rsidR="000D5F93" w:rsidRDefault="009976AC" w:rsidP="000D5F93">
      <w:r w:rsidRPr="005D1342">
        <w:rPr>
          <w:noProof/>
        </w:rPr>
        <w:drawing>
          <wp:anchor distT="0" distB="0" distL="114300" distR="114300" simplePos="0" relativeHeight="251666432" behindDoc="0" locked="0" layoutInCell="1" allowOverlap="1" wp14:anchorId="77382835" wp14:editId="064935B2">
            <wp:simplePos x="0" y="0"/>
            <wp:positionH relativeFrom="margin">
              <wp:posOffset>1085850</wp:posOffset>
            </wp:positionH>
            <wp:positionV relativeFrom="paragraph">
              <wp:posOffset>1266825</wp:posOffset>
            </wp:positionV>
            <wp:extent cx="4088130" cy="342900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813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342">
        <w:rPr>
          <w:noProof/>
        </w:rPr>
        <w:drawing>
          <wp:anchor distT="0" distB="0" distL="114300" distR="114300" simplePos="0" relativeHeight="251667456" behindDoc="0" locked="0" layoutInCell="1" allowOverlap="1" wp14:anchorId="5DE56DDA" wp14:editId="3590924C">
            <wp:simplePos x="0" y="0"/>
            <wp:positionH relativeFrom="margin">
              <wp:posOffset>1085850</wp:posOffset>
            </wp:positionH>
            <wp:positionV relativeFrom="paragraph">
              <wp:posOffset>4743450</wp:posOffset>
            </wp:positionV>
            <wp:extent cx="4267200" cy="25260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2F2">
        <w:t>Figures S</w:t>
      </w:r>
      <w:r w:rsidR="00022A96">
        <w:t>1</w:t>
      </w:r>
      <w:r w:rsidR="006D72F2">
        <w:t>-S</w:t>
      </w:r>
      <w:r w:rsidR="00022A96">
        <w:t>5</w:t>
      </w:r>
      <w:r w:rsidR="006D72F2">
        <w:t xml:space="preserve"> present </w:t>
      </w:r>
      <w:proofErr w:type="gramStart"/>
      <w:r w:rsidR="006D72F2">
        <w:t>principle</w:t>
      </w:r>
      <w:proofErr w:type="gramEnd"/>
      <w:r w:rsidR="006D72F2">
        <w:t xml:space="preserve"> components analysis (PCA) exploration of the XRF-based </w:t>
      </w:r>
      <w:r w:rsidR="00BF5557">
        <w:t xml:space="preserve">elemental composition data for the five cores used in this project. The first of each pair of </w:t>
      </w:r>
      <w:r w:rsidR="000D5F93">
        <w:t>figures show</w:t>
      </w:r>
      <w:r w:rsidR="00BF5557">
        <w:t>s</w:t>
      </w:r>
      <w:r w:rsidR="000D5F93">
        <w:t xml:space="preserve"> each element’s contributions to the first and second dimension </w:t>
      </w:r>
      <w:r w:rsidR="00BF5557">
        <w:t>of variation</w:t>
      </w:r>
      <w:r w:rsidR="000D5F93">
        <w:t>, and the</w:t>
      </w:r>
      <w:r w:rsidR="00BF5557">
        <w:t xml:space="preserve"> second figure of each pair shows</w:t>
      </w:r>
      <w:r w:rsidR="000D5F93">
        <w:t xml:space="preserve"> eigenvalues (percentage of variance explained by each component</w:t>
      </w:r>
      <w:r w:rsidR="00BF5557">
        <w:t>). We do not attempt here to use these data here to explain anything about the cores themselves or their implications for paleoenvironments. They will however be explored more in future publications regarding these cores.</w:t>
      </w:r>
    </w:p>
    <w:p w14:paraId="3A06282C" w14:textId="356889C9" w:rsidR="004662E9" w:rsidRDefault="000D5F93" w:rsidP="000D5F93">
      <w:pPr>
        <w:jc w:val="center"/>
      </w:pPr>
      <w:r>
        <w:t>Figure S</w:t>
      </w:r>
      <w:r w:rsidR="00022A96">
        <w:t>1</w:t>
      </w:r>
      <w:r>
        <w:t xml:space="preserve">. Principal Components Analysis results for core RSP-18. Contributions of each element to variation in the first two dimensions of variance are shown </w:t>
      </w:r>
      <w:r w:rsidR="000C6E5B">
        <w:t>above</w:t>
      </w:r>
      <w:r>
        <w:t xml:space="preserve">. Eigenvalues (percentage of variances explained by each principal component) are shown </w:t>
      </w:r>
      <w:r w:rsidR="000C6E5B">
        <w:t>below</w:t>
      </w:r>
      <w:r>
        <w:t>.</w:t>
      </w:r>
    </w:p>
    <w:p w14:paraId="5AA7846D" w14:textId="29B889DA" w:rsidR="000D5F93" w:rsidRDefault="00997B19" w:rsidP="000D5F93">
      <w:pPr>
        <w:jc w:val="center"/>
      </w:pPr>
      <w:r w:rsidRPr="00C9073B">
        <w:rPr>
          <w:noProof/>
        </w:rPr>
        <w:lastRenderedPageBreak/>
        <w:drawing>
          <wp:anchor distT="0" distB="0" distL="114300" distR="114300" simplePos="0" relativeHeight="251669504" behindDoc="0" locked="0" layoutInCell="1" allowOverlap="1" wp14:anchorId="664F1472" wp14:editId="15AA5882">
            <wp:simplePos x="0" y="0"/>
            <wp:positionH relativeFrom="margin">
              <wp:posOffset>876300</wp:posOffset>
            </wp:positionH>
            <wp:positionV relativeFrom="paragraph">
              <wp:posOffset>3637915</wp:posOffset>
            </wp:positionV>
            <wp:extent cx="4217670" cy="24860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76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73B">
        <w:rPr>
          <w:noProof/>
        </w:rPr>
        <w:drawing>
          <wp:anchor distT="0" distB="0" distL="114300" distR="114300" simplePos="0" relativeHeight="251668480" behindDoc="0" locked="0" layoutInCell="1" allowOverlap="1" wp14:anchorId="3D75B8C7" wp14:editId="1A9338D3">
            <wp:simplePos x="0" y="0"/>
            <wp:positionH relativeFrom="margin">
              <wp:posOffset>876300</wp:posOffset>
            </wp:positionH>
            <wp:positionV relativeFrom="paragraph">
              <wp:posOffset>47625</wp:posOffset>
            </wp:positionV>
            <wp:extent cx="4324350" cy="3505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F93">
        <w:t>Figure S</w:t>
      </w:r>
      <w:r w:rsidR="00022A96">
        <w:t>2</w:t>
      </w:r>
      <w:r w:rsidR="000D5F93">
        <w:t xml:space="preserve">. Principal Components Analysis results for core DS-17. Contributions of each element to variation in the first two dimensions of variance are shown </w:t>
      </w:r>
      <w:r w:rsidR="005C4E4D">
        <w:t>above</w:t>
      </w:r>
      <w:r w:rsidR="000D5F93">
        <w:t xml:space="preserve">. Eigenvalues (percentage of variances explained by each principal component) are shown </w:t>
      </w:r>
      <w:r w:rsidR="005C4E4D">
        <w:t>below</w:t>
      </w:r>
      <w:r w:rsidR="000D5F93">
        <w:t xml:space="preserve">. </w:t>
      </w:r>
    </w:p>
    <w:p w14:paraId="58B71CA9" w14:textId="4C050043" w:rsidR="004662E9" w:rsidRDefault="004662E9" w:rsidP="000D5F93">
      <w:pPr>
        <w:jc w:val="center"/>
      </w:pPr>
      <w:r>
        <w:br w:type="page"/>
      </w:r>
    </w:p>
    <w:p w14:paraId="472425F2" w14:textId="096B12ED" w:rsidR="004662E9" w:rsidRDefault="00997B19" w:rsidP="004662E9">
      <w:r w:rsidRPr="00C9073B">
        <w:rPr>
          <w:noProof/>
        </w:rPr>
        <w:lastRenderedPageBreak/>
        <w:drawing>
          <wp:anchor distT="0" distB="0" distL="114300" distR="114300" simplePos="0" relativeHeight="251670528" behindDoc="0" locked="0" layoutInCell="1" allowOverlap="1" wp14:anchorId="28621214" wp14:editId="37B0F2A5">
            <wp:simplePos x="0" y="0"/>
            <wp:positionH relativeFrom="margin">
              <wp:posOffset>962025</wp:posOffset>
            </wp:positionH>
            <wp:positionV relativeFrom="paragraph">
              <wp:posOffset>0</wp:posOffset>
            </wp:positionV>
            <wp:extent cx="4410075" cy="3679319"/>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3679319"/>
                    </a:xfrm>
                    <a:prstGeom prst="rect">
                      <a:avLst/>
                    </a:prstGeom>
                    <a:noFill/>
                    <a:ln>
                      <a:noFill/>
                    </a:ln>
                  </pic:spPr>
                </pic:pic>
              </a:graphicData>
            </a:graphic>
            <wp14:sizeRelH relativeFrom="page">
              <wp14:pctWidth>0</wp14:pctWidth>
            </wp14:sizeRelH>
            <wp14:sizeRelV relativeFrom="page">
              <wp14:pctHeight>0</wp14:pctHeight>
            </wp14:sizeRelV>
          </wp:anchor>
        </w:drawing>
      </w:r>
      <w:r w:rsidR="005C4E4D" w:rsidRPr="00C9073B">
        <w:rPr>
          <w:noProof/>
        </w:rPr>
        <w:drawing>
          <wp:anchor distT="0" distB="0" distL="114300" distR="114300" simplePos="0" relativeHeight="251671552" behindDoc="0" locked="0" layoutInCell="1" allowOverlap="1" wp14:anchorId="125CC58D" wp14:editId="1265C31B">
            <wp:simplePos x="0" y="0"/>
            <wp:positionH relativeFrom="margin">
              <wp:posOffset>1199515</wp:posOffset>
            </wp:positionH>
            <wp:positionV relativeFrom="paragraph">
              <wp:posOffset>3679190</wp:posOffset>
            </wp:positionV>
            <wp:extent cx="3741279" cy="2215842"/>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1279" cy="2215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C17CB" w14:textId="6E2AFD4F" w:rsidR="00C9073B" w:rsidRDefault="000D5F93" w:rsidP="000D5F93">
      <w:pPr>
        <w:jc w:val="center"/>
      </w:pPr>
      <w:r>
        <w:t>Figure S</w:t>
      </w:r>
      <w:r w:rsidR="00022A96">
        <w:t>3</w:t>
      </w:r>
      <w:r>
        <w:t>. Principal Components Analysis results for core DS-17. Contributions of each element to variation in the first two dimensions of variance are shown</w:t>
      </w:r>
      <w:r w:rsidR="000C6E5B">
        <w:t xml:space="preserve"> above</w:t>
      </w:r>
      <w:r>
        <w:t xml:space="preserve">. Eigenvalues (percentage of variances explained by each principal component) are </w:t>
      </w:r>
      <w:r w:rsidR="000C6E5B">
        <w:t>shown</w:t>
      </w:r>
      <w:r>
        <w:t xml:space="preserve"> </w:t>
      </w:r>
      <w:r w:rsidR="000C6E5B">
        <w:t>below</w:t>
      </w:r>
      <w:r>
        <w:t>.</w:t>
      </w:r>
    </w:p>
    <w:p w14:paraId="2AD97D9F" w14:textId="74B507E9" w:rsidR="00C9073B" w:rsidRDefault="00C9073B" w:rsidP="004662E9"/>
    <w:p w14:paraId="5FFD7CF7" w14:textId="1AAFEB5F" w:rsidR="00C9073B" w:rsidRDefault="00C9073B" w:rsidP="004662E9"/>
    <w:p w14:paraId="69E5549B" w14:textId="5880B461" w:rsidR="00C9073B" w:rsidRDefault="000C6E5B" w:rsidP="004662E9">
      <w:r w:rsidRPr="00C9073B">
        <w:rPr>
          <w:noProof/>
        </w:rPr>
        <w:lastRenderedPageBreak/>
        <w:drawing>
          <wp:anchor distT="0" distB="0" distL="114300" distR="114300" simplePos="0" relativeHeight="251673600" behindDoc="0" locked="0" layoutInCell="1" allowOverlap="1" wp14:anchorId="4DFA3670" wp14:editId="324DA03D">
            <wp:simplePos x="0" y="0"/>
            <wp:positionH relativeFrom="margin">
              <wp:posOffset>819150</wp:posOffset>
            </wp:positionH>
            <wp:positionV relativeFrom="paragraph">
              <wp:posOffset>4010025</wp:posOffset>
            </wp:positionV>
            <wp:extent cx="4552950" cy="2696891"/>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696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73B">
        <w:rPr>
          <w:noProof/>
        </w:rPr>
        <w:drawing>
          <wp:anchor distT="0" distB="0" distL="114300" distR="114300" simplePos="0" relativeHeight="251672576" behindDoc="0" locked="0" layoutInCell="1" allowOverlap="1" wp14:anchorId="13C16F18" wp14:editId="557BAE3B">
            <wp:simplePos x="0" y="0"/>
            <wp:positionH relativeFrom="margin">
              <wp:posOffset>819150</wp:posOffset>
            </wp:positionH>
            <wp:positionV relativeFrom="paragraph">
              <wp:posOffset>0</wp:posOffset>
            </wp:positionV>
            <wp:extent cx="4632325" cy="39243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23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80D14" w14:textId="0284C1C6" w:rsidR="00C9073B" w:rsidRDefault="00C9073B" w:rsidP="004662E9"/>
    <w:p w14:paraId="6EB49310" w14:textId="1DB48A05" w:rsidR="00C9073B" w:rsidRDefault="000D5F93" w:rsidP="000D5F93">
      <w:pPr>
        <w:jc w:val="center"/>
      </w:pPr>
      <w:r>
        <w:t>Figure S</w:t>
      </w:r>
      <w:r w:rsidR="00022A96">
        <w:t>4</w:t>
      </w:r>
      <w:r>
        <w:t xml:space="preserve">. Principal Components Analysis results for core LCFS-16. Contributions of each element to variation in the first two dimensions of variance are shown </w:t>
      </w:r>
      <w:r w:rsidR="000C6E5B">
        <w:t>above</w:t>
      </w:r>
      <w:r>
        <w:t xml:space="preserve">. Eigenvalues (percentage of variances explained by each principal component) are shown </w:t>
      </w:r>
      <w:r w:rsidR="000C6E5B">
        <w:t>below</w:t>
      </w:r>
      <w:r>
        <w:t>.</w:t>
      </w:r>
    </w:p>
    <w:p w14:paraId="2D07D401" w14:textId="1077D914" w:rsidR="00C9073B" w:rsidRDefault="00C9073B" w:rsidP="004662E9"/>
    <w:p w14:paraId="5E0AC966" w14:textId="342778E7" w:rsidR="00C9073B" w:rsidRDefault="00B64B54" w:rsidP="004662E9">
      <w:r w:rsidRPr="00C9073B">
        <w:rPr>
          <w:noProof/>
        </w:rPr>
        <w:lastRenderedPageBreak/>
        <w:drawing>
          <wp:anchor distT="0" distB="0" distL="114300" distR="114300" simplePos="0" relativeHeight="251674624" behindDoc="0" locked="0" layoutInCell="1" allowOverlap="1" wp14:anchorId="60976564" wp14:editId="6955F634">
            <wp:simplePos x="0" y="0"/>
            <wp:positionH relativeFrom="margin">
              <wp:align>center</wp:align>
            </wp:positionH>
            <wp:positionV relativeFrom="paragraph">
              <wp:posOffset>0</wp:posOffset>
            </wp:positionV>
            <wp:extent cx="4530090" cy="377190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009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73B">
        <w:rPr>
          <w:noProof/>
        </w:rPr>
        <w:drawing>
          <wp:anchor distT="0" distB="0" distL="114300" distR="114300" simplePos="0" relativeHeight="251675648" behindDoc="0" locked="0" layoutInCell="1" allowOverlap="1" wp14:anchorId="1D225A7E" wp14:editId="38DB03DD">
            <wp:simplePos x="0" y="0"/>
            <wp:positionH relativeFrom="margin">
              <wp:align>center</wp:align>
            </wp:positionH>
            <wp:positionV relativeFrom="paragraph">
              <wp:posOffset>4057650</wp:posOffset>
            </wp:positionV>
            <wp:extent cx="3714750" cy="221906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221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415F0" w14:textId="0186DD3A" w:rsidR="00C9073B" w:rsidRDefault="000D5F93" w:rsidP="000D5F93">
      <w:pPr>
        <w:jc w:val="center"/>
      </w:pPr>
      <w:r>
        <w:t>Figure S</w:t>
      </w:r>
      <w:r w:rsidR="00022A96">
        <w:t>5</w:t>
      </w:r>
      <w:r>
        <w:t xml:space="preserve">. Principal Components Analysis results for core </w:t>
      </w:r>
      <w:r w:rsidR="00B64B54">
        <w:t>WB-19</w:t>
      </w:r>
      <w:r>
        <w:t xml:space="preserve">. Contributions of each element to variation in the first two dimensions of variance are shown </w:t>
      </w:r>
      <w:r w:rsidR="000C6E5B">
        <w:t>above</w:t>
      </w:r>
      <w:r>
        <w:t xml:space="preserve">. Eigenvalues (percentage of variances explained by each principal component) are shown </w:t>
      </w:r>
      <w:r w:rsidR="000C6E5B">
        <w:t>below</w:t>
      </w:r>
      <w:r>
        <w:t>.</w:t>
      </w:r>
    </w:p>
    <w:p w14:paraId="26BFECC6" w14:textId="77777777" w:rsidR="000D5F93" w:rsidRDefault="000D5F93" w:rsidP="004662E9"/>
    <w:p w14:paraId="791C2D32" w14:textId="77777777" w:rsidR="000D5F93" w:rsidRDefault="000D5F93" w:rsidP="004662E9"/>
    <w:p w14:paraId="71FDF550" w14:textId="77777777" w:rsidR="000D5F93" w:rsidRDefault="000D5F93" w:rsidP="004662E9"/>
    <w:p w14:paraId="6E421396" w14:textId="77777777" w:rsidR="000D5F93" w:rsidRDefault="000D5F93" w:rsidP="004662E9"/>
    <w:p w14:paraId="38C142AF" w14:textId="271E4891" w:rsidR="00997B19" w:rsidRDefault="00997B19" w:rsidP="004662E9">
      <w:pPr>
        <w:rPr>
          <w:b/>
          <w:bCs/>
        </w:rPr>
      </w:pPr>
      <w:r w:rsidRPr="00997B19">
        <w:rPr>
          <w:b/>
          <w:bCs/>
        </w:rPr>
        <w:lastRenderedPageBreak/>
        <w:t>Laminated Marl</w:t>
      </w:r>
    </w:p>
    <w:p w14:paraId="486BF584" w14:textId="5185B0B4" w:rsidR="00997B19" w:rsidRDefault="00997B19" w:rsidP="004662E9">
      <w:r>
        <w:t>The key to vertical alignment of these sediment cores using visual stratigraphy seen in the core photographs (main text Figure 1)</w:t>
      </w:r>
      <w:r w:rsidR="00B71364">
        <w:t xml:space="preserve"> is the consistent variation across the Lake Bonneville basin in the pattern of laminated marl</w:t>
      </w:r>
      <w:r w:rsidR="000A256B">
        <w:t xml:space="preserve"> (main text Figure 3)</w:t>
      </w:r>
      <w:r>
        <w:t>. While we do not attempt to analyze the laminations found in the cores</w:t>
      </w:r>
      <w:r w:rsidR="00082B12">
        <w:t xml:space="preserve"> in the present study,</w:t>
      </w:r>
      <w:r>
        <w:t xml:space="preserve"> it is worth noting that these early Lake Bonneville laminated sediments have been found in multiple exposures and multiple sediment cores collected from the</w:t>
      </w:r>
      <w:r w:rsidR="005E016A">
        <w:t xml:space="preserve"> Lake Bonneville basin </w:t>
      </w:r>
      <w:r>
        <w:t>(</w:t>
      </w:r>
      <w:r w:rsidR="00082B12">
        <w:t xml:space="preserve">e.g., Spencer et al. </w:t>
      </w:r>
      <w:proofErr w:type="gramStart"/>
      <w:r w:rsidR="00082B12">
        <w:t>1984;  Oviatt</w:t>
      </w:r>
      <w:proofErr w:type="gramEnd"/>
      <w:r w:rsidR="00082B12">
        <w:t xml:space="preserve">, 1990; Benson et al. 2011; </w:t>
      </w:r>
      <w:r>
        <w:t>Rey et al. 2016</w:t>
      </w:r>
      <w:r w:rsidR="00082B12">
        <w:t>)</w:t>
      </w:r>
      <w:r w:rsidR="00AC2977">
        <w:t>.</w:t>
      </w:r>
      <w:r w:rsidR="00082B12">
        <w:t xml:space="preserve"> </w:t>
      </w:r>
      <w:r w:rsidR="00C65BCD">
        <w:t xml:space="preserve">Additionally, it appears that at least some of the laminations may he been deposited on annual timescales. Future work with these cores </w:t>
      </w:r>
      <w:r w:rsidR="00591999">
        <w:t xml:space="preserve">analyzing the XRF-based elemental composition data to determine the nature of the laminations but at a superficial level of analysis, counting the laminations and comparing that to our age-depth model, there is very good agreement in some sections. For example, Figure S6 shows the 340-345 cm section of core RSP-18. Counting the lighter colored bands of sediment only (assuming they are light/dark couplets), </w:t>
      </w:r>
      <w:r w:rsidR="008B25A4">
        <w:t>we count at least</w:t>
      </w:r>
      <w:r w:rsidR="00591999">
        <w:t xml:space="preserve"> 60 laminations between 340 and 345 cm in this core. Our age-depth model predicts this section of the core dates from 23567-23509 cal BP</w:t>
      </w:r>
      <w:r w:rsidR="00154EE0">
        <w:t>, which is an interval of 58</w:t>
      </w:r>
      <w:r w:rsidR="00CF3ECD">
        <w:t xml:space="preserve"> years. We interpret this coincidence as evidence suggesting both that the laminations are annual in nature in this section, and that the slope of the age-depth model, that is, the </w:t>
      </w:r>
      <w:r w:rsidR="000A256B">
        <w:t xml:space="preserve">estimated </w:t>
      </w:r>
      <w:r w:rsidR="00CF3ECD">
        <w:t xml:space="preserve">sedimentation rate for this section, is fairly accurate. </w:t>
      </w:r>
      <w:r w:rsidR="00154EE0">
        <w:t>There is</w:t>
      </w:r>
      <w:r w:rsidR="00CF3ECD">
        <w:t xml:space="preserve"> still</w:t>
      </w:r>
      <w:r w:rsidR="00154EE0">
        <w:t xml:space="preserve"> of course considerable uncertainty in the age</w:t>
      </w:r>
      <w:r w:rsidR="00CF3ECD">
        <w:t>-depth</w:t>
      </w:r>
      <w:r w:rsidR="00154EE0">
        <w:t xml:space="preserve"> model, the 95% confidence envelope for this </w:t>
      </w:r>
      <w:r w:rsidR="00B71364">
        <w:t xml:space="preserve">same </w:t>
      </w:r>
      <w:r w:rsidR="00154EE0">
        <w:t xml:space="preserve">section </w:t>
      </w:r>
      <w:r w:rsidR="00CF3ECD">
        <w:t xml:space="preserve">spans from 24062-23253, a span of 809 years. </w:t>
      </w:r>
      <w:r w:rsidR="00082B12">
        <w:t xml:space="preserve">Future work with high resolution photography and XRF studies </w:t>
      </w:r>
      <w:r w:rsidR="007377C3">
        <w:t xml:space="preserve">of cores and exposures of Lake Bonneville sediments </w:t>
      </w:r>
      <w:r w:rsidR="00082B12">
        <w:t xml:space="preserve">may allow </w:t>
      </w:r>
      <w:r w:rsidR="000A256B">
        <w:t xml:space="preserve">refinement </w:t>
      </w:r>
      <w:r w:rsidR="00082B12">
        <w:t>of the age-depth model created for this study</w:t>
      </w:r>
      <w:r w:rsidR="000A256B">
        <w:t xml:space="preserve"> as well as its application</w:t>
      </w:r>
      <w:r w:rsidR="00082B12">
        <w:t xml:space="preserve"> </w:t>
      </w:r>
      <w:r w:rsidR="007377C3">
        <w:t xml:space="preserve">to </w:t>
      </w:r>
      <w:r w:rsidR="000A256B">
        <w:t xml:space="preserve">additional cores or exposures where </w:t>
      </w:r>
      <w:r w:rsidR="007377C3">
        <w:t>sediments</w:t>
      </w:r>
      <w:r w:rsidR="000A256B">
        <w:t xml:space="preserve"> </w:t>
      </w:r>
      <w:proofErr w:type="gramStart"/>
      <w:r w:rsidR="000A256B">
        <w:t>with</w:t>
      </w:r>
      <w:r w:rsidR="00082B12">
        <w:t xml:space="preserve">  </w:t>
      </w:r>
      <w:proofErr w:type="spellStart"/>
      <w:r w:rsidR="00082B12">
        <w:t>correlatable</w:t>
      </w:r>
      <w:proofErr w:type="spellEnd"/>
      <w:proofErr w:type="gramEnd"/>
      <w:r w:rsidR="00082B12">
        <w:t xml:space="preserve"> laminated stratigraphy occur.</w:t>
      </w:r>
    </w:p>
    <w:p w14:paraId="42C3D357" w14:textId="57714F07" w:rsidR="000D5F93" w:rsidRDefault="000D5F93" w:rsidP="004662E9"/>
    <w:p w14:paraId="345DA481" w14:textId="77777777" w:rsidR="000D5F93" w:rsidRDefault="000D5F93" w:rsidP="004662E9"/>
    <w:p w14:paraId="56ED5495" w14:textId="77777777" w:rsidR="000D5F93" w:rsidRDefault="000D5F93" w:rsidP="004662E9"/>
    <w:p w14:paraId="1752F40C" w14:textId="74C88F2D" w:rsidR="000D5F93" w:rsidRDefault="00CF3ECD" w:rsidP="004662E9">
      <w:r>
        <w:rPr>
          <w:noProof/>
        </w:rPr>
        <w:lastRenderedPageBreak/>
        <w:drawing>
          <wp:anchor distT="0" distB="0" distL="114300" distR="114300" simplePos="0" relativeHeight="251676672" behindDoc="1" locked="0" layoutInCell="1" allowOverlap="1" wp14:anchorId="57873BB9" wp14:editId="57200484">
            <wp:simplePos x="0" y="0"/>
            <wp:positionH relativeFrom="column">
              <wp:posOffset>-635</wp:posOffset>
            </wp:positionH>
            <wp:positionV relativeFrom="paragraph">
              <wp:posOffset>0</wp:posOffset>
            </wp:positionV>
            <wp:extent cx="5876925" cy="6186805"/>
            <wp:effectExtent l="0" t="0" r="9525" b="4445"/>
            <wp:wrapTight wrapText="bothSides">
              <wp:wrapPolygon edited="0">
                <wp:start x="0" y="0"/>
                <wp:lineTo x="0" y="21549"/>
                <wp:lineTo x="21565" y="21549"/>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618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F9A7C" w14:textId="2F2936F4" w:rsidR="00EE7F19" w:rsidRDefault="000B06DE" w:rsidP="00EE7F19">
      <w:r>
        <w:t>Figure S6. Core RSP-18 Depths 340-345 showing fine lamination detail.</w:t>
      </w:r>
    </w:p>
    <w:p w14:paraId="2F44E1A7" w14:textId="77777777" w:rsidR="00AB1977" w:rsidRDefault="00AB1977" w:rsidP="00EE7F19"/>
    <w:p w14:paraId="6B51CD0C" w14:textId="77777777" w:rsidR="00AB1977" w:rsidRDefault="00AB1977" w:rsidP="00EE7F19"/>
    <w:p w14:paraId="26BACEAA" w14:textId="6F31AE8A" w:rsidR="00CF3ECD" w:rsidRDefault="00CF3ECD">
      <w:pPr>
        <w:rPr>
          <w:b/>
          <w:bCs/>
        </w:rPr>
      </w:pPr>
    </w:p>
    <w:p w14:paraId="0CE90C50" w14:textId="77777777" w:rsidR="00CF3ECD" w:rsidRDefault="00CF3ECD">
      <w:pPr>
        <w:rPr>
          <w:b/>
          <w:bCs/>
        </w:rPr>
      </w:pPr>
      <w:r>
        <w:rPr>
          <w:b/>
          <w:bCs/>
        </w:rPr>
        <w:br w:type="page"/>
      </w:r>
    </w:p>
    <w:p w14:paraId="20B22692" w14:textId="5B2DF3A6" w:rsidR="00AB1977" w:rsidRPr="00AB1977" w:rsidRDefault="00AB1977" w:rsidP="00EE7F19">
      <w:pPr>
        <w:rPr>
          <w:b/>
          <w:bCs/>
        </w:rPr>
      </w:pPr>
      <w:r w:rsidRPr="00AB1977">
        <w:rPr>
          <w:b/>
          <w:bCs/>
        </w:rPr>
        <w:lastRenderedPageBreak/>
        <w:t>References</w:t>
      </w:r>
    </w:p>
    <w:p w14:paraId="57D4E58B" w14:textId="3E0FD9B2" w:rsidR="00CE4A85" w:rsidRPr="00CE4A85" w:rsidRDefault="00CE4A85" w:rsidP="00CE4A85">
      <w:pPr>
        <w:spacing w:after="0" w:line="240" w:lineRule="auto"/>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Benson L, Lund SP, Smoot</w:t>
      </w:r>
      <w:r>
        <w:rPr>
          <w:rFonts w:ascii="Arial" w:hAnsi="Arial" w:cs="Arial"/>
          <w:color w:val="222222"/>
          <w:sz w:val="20"/>
          <w:szCs w:val="20"/>
          <w:shd w:val="clear" w:color="auto" w:fill="FFFFFF"/>
        </w:rPr>
        <w:t xml:space="preserve"> </w:t>
      </w:r>
      <w:r w:rsidRPr="00CE4A85">
        <w:rPr>
          <w:rFonts w:ascii="Arial" w:hAnsi="Arial" w:cs="Arial"/>
          <w:color w:val="222222"/>
          <w:sz w:val="20"/>
          <w:szCs w:val="20"/>
          <w:shd w:val="clear" w:color="auto" w:fill="FFFFFF"/>
        </w:rPr>
        <w:t xml:space="preserve">JP, Rhode DE, Spencer RJ, </w:t>
      </w:r>
      <w:proofErr w:type="spellStart"/>
      <w:r w:rsidRPr="00CE4A85">
        <w:rPr>
          <w:rFonts w:ascii="Arial" w:hAnsi="Arial" w:cs="Arial"/>
          <w:color w:val="222222"/>
          <w:sz w:val="20"/>
          <w:szCs w:val="20"/>
          <w:shd w:val="clear" w:color="auto" w:fill="FFFFFF"/>
        </w:rPr>
        <w:t>Verosub</w:t>
      </w:r>
      <w:proofErr w:type="spellEnd"/>
      <w:r w:rsidRPr="00CE4A85">
        <w:rPr>
          <w:rFonts w:ascii="Arial" w:hAnsi="Arial" w:cs="Arial"/>
          <w:color w:val="222222"/>
          <w:sz w:val="20"/>
          <w:szCs w:val="20"/>
          <w:shd w:val="clear" w:color="auto" w:fill="FFFFFF"/>
        </w:rPr>
        <w:t xml:space="preserve"> KL, </w:t>
      </w:r>
      <w:proofErr w:type="spellStart"/>
      <w:r w:rsidRPr="00CE4A85">
        <w:rPr>
          <w:rFonts w:ascii="Arial" w:hAnsi="Arial" w:cs="Arial"/>
          <w:color w:val="222222"/>
          <w:sz w:val="20"/>
          <w:szCs w:val="20"/>
          <w:shd w:val="clear" w:color="auto" w:fill="FFFFFF"/>
        </w:rPr>
        <w:t>L</w:t>
      </w:r>
      <w:r>
        <w:rPr>
          <w:rFonts w:ascii="Arial" w:hAnsi="Arial" w:cs="Arial"/>
          <w:color w:val="222222"/>
          <w:sz w:val="20"/>
          <w:szCs w:val="20"/>
          <w:shd w:val="clear" w:color="auto" w:fill="FFFFFF"/>
        </w:rPr>
        <w:t>o</w:t>
      </w:r>
      <w:r w:rsidRPr="00CE4A85">
        <w:rPr>
          <w:rFonts w:ascii="Arial" w:hAnsi="Arial" w:cs="Arial"/>
          <w:color w:val="222222"/>
          <w:sz w:val="20"/>
          <w:szCs w:val="20"/>
          <w:shd w:val="clear" w:color="auto" w:fill="FFFFFF"/>
        </w:rPr>
        <w:t>uderback</w:t>
      </w:r>
      <w:proofErr w:type="spellEnd"/>
      <w:r w:rsidRPr="00CE4A85">
        <w:rPr>
          <w:rFonts w:ascii="Arial" w:hAnsi="Arial" w:cs="Arial"/>
          <w:color w:val="222222"/>
          <w:sz w:val="20"/>
          <w:szCs w:val="20"/>
          <w:shd w:val="clear" w:color="auto" w:fill="FFFFFF"/>
        </w:rPr>
        <w:t xml:space="preserve"> LA,</w:t>
      </w:r>
    </w:p>
    <w:p w14:paraId="1D76E63B" w14:textId="1212A0B2" w:rsidR="00CE4A85" w:rsidRPr="00CE4A85" w:rsidRDefault="00CE4A85" w:rsidP="00CE4A85">
      <w:pPr>
        <w:spacing w:after="0" w:line="240" w:lineRule="auto"/>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 xml:space="preserve">Johnson CA, Rye RO, </w:t>
      </w:r>
      <w:proofErr w:type="spellStart"/>
      <w:r w:rsidRPr="00CE4A85">
        <w:rPr>
          <w:rFonts w:ascii="Arial" w:hAnsi="Arial" w:cs="Arial"/>
          <w:color w:val="222222"/>
          <w:sz w:val="20"/>
          <w:szCs w:val="20"/>
          <w:shd w:val="clear" w:color="auto" w:fill="FFFFFF"/>
        </w:rPr>
        <w:t>Negrini</w:t>
      </w:r>
      <w:proofErr w:type="spellEnd"/>
      <w:r w:rsidRPr="00CE4A85">
        <w:rPr>
          <w:rFonts w:ascii="Arial" w:hAnsi="Arial" w:cs="Arial"/>
          <w:color w:val="222222"/>
          <w:sz w:val="20"/>
          <w:szCs w:val="20"/>
          <w:shd w:val="clear" w:color="auto" w:fill="FFFFFF"/>
        </w:rPr>
        <w:t xml:space="preserve"> RM</w:t>
      </w:r>
      <w:r>
        <w:rPr>
          <w:rFonts w:ascii="Arial" w:hAnsi="Arial" w:cs="Arial"/>
          <w:color w:val="222222"/>
          <w:sz w:val="20"/>
          <w:szCs w:val="20"/>
          <w:shd w:val="clear" w:color="auto" w:fill="FFFFFF"/>
        </w:rPr>
        <w:t>.</w:t>
      </w:r>
      <w:r w:rsidRPr="00CE4A85">
        <w:rPr>
          <w:rFonts w:ascii="Arial" w:hAnsi="Arial" w:cs="Arial"/>
          <w:color w:val="222222"/>
          <w:sz w:val="20"/>
          <w:szCs w:val="20"/>
          <w:shd w:val="clear" w:color="auto" w:fill="FFFFFF"/>
        </w:rPr>
        <w:t xml:space="preserve"> 2011. The rise and fall of Lake Bonneville between</w:t>
      </w:r>
    </w:p>
    <w:p w14:paraId="6D8E0662" w14:textId="38F5F53A" w:rsidR="00CE4A85" w:rsidRDefault="00CE4A85" w:rsidP="00CE4A85">
      <w:pPr>
        <w:spacing w:line="240" w:lineRule="auto"/>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45 and 10.5 ka. Quatern</w:t>
      </w:r>
      <w:r>
        <w:rPr>
          <w:rFonts w:ascii="Arial" w:hAnsi="Arial" w:cs="Arial"/>
          <w:color w:val="222222"/>
          <w:sz w:val="20"/>
          <w:szCs w:val="20"/>
          <w:shd w:val="clear" w:color="auto" w:fill="FFFFFF"/>
        </w:rPr>
        <w:t>ary</w:t>
      </w:r>
      <w:r w:rsidRPr="00CE4A85">
        <w:rPr>
          <w:rFonts w:ascii="Arial" w:hAnsi="Arial" w:cs="Arial"/>
          <w:color w:val="222222"/>
          <w:sz w:val="20"/>
          <w:szCs w:val="20"/>
          <w:shd w:val="clear" w:color="auto" w:fill="FFFFFF"/>
        </w:rPr>
        <w:t xml:space="preserve"> Int</w:t>
      </w:r>
      <w:r>
        <w:rPr>
          <w:rFonts w:ascii="Arial" w:hAnsi="Arial" w:cs="Arial"/>
          <w:color w:val="222222"/>
          <w:sz w:val="20"/>
          <w:szCs w:val="20"/>
          <w:shd w:val="clear" w:color="auto" w:fill="FFFFFF"/>
        </w:rPr>
        <w:t>ernational</w:t>
      </w:r>
      <w:r w:rsidRPr="00CE4A85">
        <w:rPr>
          <w:rFonts w:ascii="Arial" w:hAnsi="Arial" w:cs="Arial"/>
          <w:color w:val="222222"/>
          <w:sz w:val="20"/>
          <w:szCs w:val="20"/>
          <w:shd w:val="clear" w:color="auto" w:fill="FFFFFF"/>
        </w:rPr>
        <w:t xml:space="preserve"> 235</w:t>
      </w:r>
      <w:r>
        <w:rPr>
          <w:rFonts w:ascii="Arial" w:hAnsi="Arial" w:cs="Arial"/>
          <w:color w:val="222222"/>
          <w:sz w:val="20"/>
          <w:szCs w:val="20"/>
          <w:shd w:val="clear" w:color="auto" w:fill="FFFFFF"/>
        </w:rPr>
        <w:t>:</w:t>
      </w:r>
      <w:r w:rsidRPr="00CE4A85">
        <w:rPr>
          <w:rFonts w:ascii="Arial" w:hAnsi="Arial" w:cs="Arial"/>
          <w:color w:val="222222"/>
          <w:sz w:val="20"/>
          <w:szCs w:val="20"/>
          <w:shd w:val="clear" w:color="auto" w:fill="FFFFFF"/>
        </w:rPr>
        <w:t xml:space="preserve">57–69. </w:t>
      </w:r>
      <w:proofErr w:type="spellStart"/>
      <w:proofErr w:type="gramStart"/>
      <w:r>
        <w:rPr>
          <w:rFonts w:ascii="Arial" w:hAnsi="Arial" w:cs="Arial"/>
          <w:color w:val="222222"/>
          <w:sz w:val="20"/>
          <w:szCs w:val="20"/>
          <w:shd w:val="clear" w:color="auto" w:fill="FFFFFF"/>
        </w:rPr>
        <w:t>doi:</w:t>
      </w:r>
      <w:r w:rsidRPr="00CE4A85">
        <w:rPr>
          <w:rFonts w:ascii="Arial" w:hAnsi="Arial" w:cs="Arial"/>
          <w:color w:val="222222"/>
          <w:sz w:val="20"/>
          <w:szCs w:val="20"/>
          <w:shd w:val="clear" w:color="auto" w:fill="FFFFFF"/>
        </w:rPr>
        <w:t>http</w:t>
      </w:r>
      <w:proofErr w:type="spellEnd"/>
      <w:r w:rsidRPr="00CE4A85">
        <w:rPr>
          <w:rFonts w:ascii="Arial" w:hAnsi="Arial" w:cs="Arial"/>
          <w:color w:val="222222"/>
          <w:sz w:val="20"/>
          <w:szCs w:val="20"/>
          <w:shd w:val="clear" w:color="auto" w:fill="FFFFFF"/>
        </w:rPr>
        <w:t>://dx.doi.org/10.1016/j.quaint.2010.12.014</w:t>
      </w:r>
      <w:proofErr w:type="gramEnd"/>
      <w:r w:rsidRPr="00CE4A85">
        <w:rPr>
          <w:rFonts w:ascii="Arial" w:hAnsi="Arial" w:cs="Arial"/>
          <w:color w:val="222222"/>
          <w:sz w:val="20"/>
          <w:szCs w:val="20"/>
          <w:shd w:val="clear" w:color="auto" w:fill="FFFFFF"/>
        </w:rPr>
        <w:t>.</w:t>
      </w:r>
    </w:p>
    <w:p w14:paraId="769302D2" w14:textId="77777777" w:rsidR="00C048C3" w:rsidRPr="00C048C3" w:rsidRDefault="00C048C3" w:rsidP="00C048C3">
      <w:pPr>
        <w:spacing w:line="240" w:lineRule="auto"/>
        <w:rPr>
          <w:color w:val="333333"/>
        </w:rPr>
      </w:pPr>
      <w:r w:rsidRPr="00C048C3">
        <w:rPr>
          <w:color w:val="333333"/>
        </w:rPr>
        <w:t>Duke D, Rice SK, Young DC, Byerly R. 2018. The Playas Archaeological Inventory: 6,194 Acres on the Utah Test and Training Range Including Portions of the West Distal Delta of the Old River Bed and Test Excavations at the Wishbone Site (42TO6384), Tooele County, Utah. Far Western Anthropological Research Group, Inc., Henderson, Nevada.</w:t>
      </w:r>
    </w:p>
    <w:p w14:paraId="11E92D61" w14:textId="5599FE0D" w:rsidR="00C048C3" w:rsidRDefault="00C048C3" w:rsidP="00C048C3">
      <w:pPr>
        <w:spacing w:line="240" w:lineRule="auto"/>
        <w:rPr>
          <w:color w:val="333333"/>
        </w:rPr>
      </w:pPr>
      <w:r w:rsidRPr="00C048C3">
        <w:rPr>
          <w:color w:val="333333"/>
        </w:rPr>
        <w:t xml:space="preserve">Duke D, Wohlgemuth E, Adams K, Armstrong-Ingram A, Rice S, Young D. 2021. Earliest evidence for human use of tobacco in the Pleistocene Americas. Nature Human </w:t>
      </w:r>
      <w:proofErr w:type="spellStart"/>
      <w:r w:rsidRPr="00C048C3">
        <w:rPr>
          <w:color w:val="333333"/>
        </w:rPr>
        <w:t>Behaviour</w:t>
      </w:r>
      <w:proofErr w:type="spellEnd"/>
      <w:r w:rsidRPr="00C048C3">
        <w:rPr>
          <w:color w:val="333333"/>
        </w:rPr>
        <w:t>: 1-10.</w:t>
      </w:r>
      <w:r>
        <w:rPr>
          <w:color w:val="333333"/>
        </w:rPr>
        <w:t xml:space="preserve"> </w:t>
      </w:r>
      <w:proofErr w:type="spellStart"/>
      <w:proofErr w:type="gramStart"/>
      <w:r>
        <w:rPr>
          <w:color w:val="333333"/>
        </w:rPr>
        <w:t>doi:</w:t>
      </w:r>
      <w:r w:rsidRPr="00C048C3">
        <w:rPr>
          <w:color w:val="333333"/>
        </w:rPr>
        <w:t>https</w:t>
      </w:r>
      <w:proofErr w:type="spellEnd"/>
      <w:r w:rsidRPr="00C048C3">
        <w:rPr>
          <w:color w:val="333333"/>
        </w:rPr>
        <w:t>://doi.org/10.1038/s41562-021-01202-9</w:t>
      </w:r>
      <w:proofErr w:type="gramEnd"/>
      <w:r>
        <w:rPr>
          <w:color w:val="333333"/>
        </w:rPr>
        <w:t>.</w:t>
      </w:r>
    </w:p>
    <w:p w14:paraId="3D483280" w14:textId="31FB5499" w:rsidR="00907822" w:rsidRDefault="00907822" w:rsidP="00C048C3">
      <w:pPr>
        <w:spacing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Oviatt CG. </w:t>
      </w:r>
      <w:r w:rsidRPr="00907822">
        <w:rPr>
          <w:rFonts w:ascii="Arial" w:hAnsi="Arial" w:cs="Arial"/>
          <w:color w:val="222222"/>
          <w:sz w:val="20"/>
          <w:szCs w:val="20"/>
          <w:shd w:val="clear" w:color="auto" w:fill="FFFFFF"/>
        </w:rPr>
        <w:t>2014. The Gilbert Episode in the Great Salt Lake Basin, Utah. Utah</w:t>
      </w:r>
      <w:r>
        <w:rPr>
          <w:rFonts w:ascii="Arial" w:hAnsi="Arial" w:cs="Arial"/>
          <w:color w:val="222222"/>
          <w:sz w:val="20"/>
          <w:szCs w:val="20"/>
          <w:shd w:val="clear" w:color="auto" w:fill="FFFFFF"/>
        </w:rPr>
        <w:t xml:space="preserve"> Geological Survey, Salt Lake City, UT.</w:t>
      </w:r>
    </w:p>
    <w:p w14:paraId="234516D9" w14:textId="473FE7CB" w:rsidR="00CE4A85" w:rsidRDefault="00CE4A85" w:rsidP="00CE4A85">
      <w:pPr>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Oviatt CG, Currey DR, Miller DM. 1990. Age and paleoclimatic significance of the</w:t>
      </w:r>
      <w:r>
        <w:rPr>
          <w:rFonts w:ascii="Arial" w:hAnsi="Arial" w:cs="Arial"/>
          <w:color w:val="222222"/>
          <w:sz w:val="20"/>
          <w:szCs w:val="20"/>
          <w:shd w:val="clear" w:color="auto" w:fill="FFFFFF"/>
        </w:rPr>
        <w:t xml:space="preserve"> </w:t>
      </w:r>
      <w:r w:rsidRPr="00CE4A85">
        <w:rPr>
          <w:rFonts w:ascii="Arial" w:hAnsi="Arial" w:cs="Arial"/>
          <w:color w:val="222222"/>
          <w:sz w:val="20"/>
          <w:szCs w:val="20"/>
          <w:shd w:val="clear" w:color="auto" w:fill="FFFFFF"/>
        </w:rPr>
        <w:t>Stansbury shoreline of Lake Bonneville, Northeastern Great Basin. Quatern</w:t>
      </w:r>
      <w:r>
        <w:rPr>
          <w:rFonts w:ascii="Arial" w:hAnsi="Arial" w:cs="Arial"/>
          <w:color w:val="222222"/>
          <w:sz w:val="20"/>
          <w:szCs w:val="20"/>
          <w:shd w:val="clear" w:color="auto" w:fill="FFFFFF"/>
        </w:rPr>
        <w:t>ary</w:t>
      </w:r>
      <w:r w:rsidRPr="00CE4A85">
        <w:rPr>
          <w:rFonts w:ascii="Arial" w:hAnsi="Arial" w:cs="Arial"/>
          <w:color w:val="222222"/>
          <w:sz w:val="20"/>
          <w:szCs w:val="20"/>
          <w:shd w:val="clear" w:color="auto" w:fill="FFFFFF"/>
        </w:rPr>
        <w:t xml:space="preserve"> Res</w:t>
      </w:r>
      <w:r>
        <w:rPr>
          <w:rFonts w:ascii="Arial" w:hAnsi="Arial" w:cs="Arial"/>
          <w:color w:val="222222"/>
          <w:sz w:val="20"/>
          <w:szCs w:val="20"/>
          <w:shd w:val="clear" w:color="auto" w:fill="FFFFFF"/>
        </w:rPr>
        <w:t>earch</w:t>
      </w:r>
      <w:r w:rsidRPr="00CE4A85">
        <w:rPr>
          <w:rFonts w:ascii="Arial" w:hAnsi="Arial" w:cs="Arial"/>
          <w:color w:val="222222"/>
          <w:sz w:val="20"/>
          <w:szCs w:val="20"/>
          <w:shd w:val="clear" w:color="auto" w:fill="FFFFFF"/>
        </w:rPr>
        <w:t xml:space="preserve"> 33(3)</w:t>
      </w:r>
      <w:r>
        <w:rPr>
          <w:rFonts w:ascii="Arial" w:hAnsi="Arial" w:cs="Arial"/>
          <w:color w:val="222222"/>
          <w:sz w:val="20"/>
          <w:szCs w:val="20"/>
          <w:shd w:val="clear" w:color="auto" w:fill="FFFFFF"/>
        </w:rPr>
        <w:t>:</w:t>
      </w:r>
      <w:r w:rsidRPr="00CE4A85">
        <w:rPr>
          <w:rFonts w:ascii="Arial" w:hAnsi="Arial" w:cs="Arial"/>
          <w:color w:val="222222"/>
          <w:sz w:val="20"/>
          <w:szCs w:val="20"/>
          <w:shd w:val="clear" w:color="auto" w:fill="FFFFFF"/>
        </w:rPr>
        <w:t xml:space="preserve">291–305. </w:t>
      </w:r>
      <w:proofErr w:type="spellStart"/>
      <w:proofErr w:type="gramStart"/>
      <w:r>
        <w:rPr>
          <w:rFonts w:ascii="Arial" w:hAnsi="Arial" w:cs="Arial"/>
          <w:color w:val="222222"/>
          <w:sz w:val="20"/>
          <w:szCs w:val="20"/>
          <w:shd w:val="clear" w:color="auto" w:fill="FFFFFF"/>
        </w:rPr>
        <w:t>doi:</w:t>
      </w:r>
      <w:r w:rsidRPr="00CE4A85">
        <w:rPr>
          <w:rFonts w:ascii="Arial" w:hAnsi="Arial" w:cs="Arial"/>
          <w:color w:val="222222"/>
          <w:sz w:val="20"/>
          <w:szCs w:val="20"/>
          <w:shd w:val="clear" w:color="auto" w:fill="FFFFFF"/>
        </w:rPr>
        <w:t>http</w:t>
      </w:r>
      <w:proofErr w:type="spellEnd"/>
      <w:r w:rsidRPr="00CE4A85">
        <w:rPr>
          <w:rFonts w:ascii="Arial" w:hAnsi="Arial" w:cs="Arial"/>
          <w:color w:val="222222"/>
          <w:sz w:val="20"/>
          <w:szCs w:val="20"/>
          <w:shd w:val="clear" w:color="auto" w:fill="FFFFFF"/>
        </w:rPr>
        <w:t>://dx.doi.org/10.1016/0033-5894(90)90057-r</w:t>
      </w:r>
      <w:proofErr w:type="gramEnd"/>
      <w:r>
        <w:rPr>
          <w:rFonts w:ascii="Arial" w:hAnsi="Arial" w:cs="Arial"/>
          <w:color w:val="222222"/>
          <w:sz w:val="20"/>
          <w:szCs w:val="20"/>
          <w:shd w:val="clear" w:color="auto" w:fill="FFFFFF"/>
        </w:rPr>
        <w:t>.</w:t>
      </w:r>
    </w:p>
    <w:p w14:paraId="66501446" w14:textId="542179A8" w:rsidR="00D0716D" w:rsidRDefault="00D0716D" w:rsidP="00CE4A85">
      <w:pPr>
        <w:rPr>
          <w:rFonts w:ascii="Arial" w:hAnsi="Arial" w:cs="Arial"/>
          <w:color w:val="222222"/>
          <w:sz w:val="20"/>
          <w:szCs w:val="20"/>
          <w:shd w:val="clear" w:color="auto" w:fill="FFFFFF"/>
        </w:rPr>
      </w:pPr>
      <w:r w:rsidRPr="00D0716D">
        <w:rPr>
          <w:rFonts w:ascii="Arial" w:hAnsi="Arial" w:cs="Arial"/>
          <w:color w:val="222222"/>
          <w:sz w:val="20"/>
          <w:szCs w:val="20"/>
          <w:shd w:val="clear" w:color="auto" w:fill="FFFFFF"/>
        </w:rPr>
        <w:t>Oviatt CG, Madsen DB, Schmitt DN. 2003. Late Pleistocene and early Holocene rivers and wetlands in the Bonneville basin of western North America. Quaternary Research 60</w:t>
      </w:r>
      <w:r>
        <w:rPr>
          <w:rFonts w:ascii="Arial" w:hAnsi="Arial" w:cs="Arial"/>
          <w:color w:val="222222"/>
          <w:sz w:val="20"/>
          <w:szCs w:val="20"/>
          <w:shd w:val="clear" w:color="auto" w:fill="FFFFFF"/>
        </w:rPr>
        <w:t>(</w:t>
      </w:r>
      <w:r w:rsidRPr="00D0716D">
        <w:rPr>
          <w:rFonts w:ascii="Arial" w:hAnsi="Arial" w:cs="Arial"/>
          <w:color w:val="222222"/>
          <w:sz w:val="20"/>
          <w:szCs w:val="20"/>
          <w:shd w:val="clear" w:color="auto" w:fill="FFFFFF"/>
        </w:rPr>
        <w:t>2</w:t>
      </w:r>
      <w:r>
        <w:rPr>
          <w:rFonts w:ascii="Arial" w:hAnsi="Arial" w:cs="Arial"/>
          <w:color w:val="222222"/>
          <w:sz w:val="20"/>
          <w:szCs w:val="20"/>
          <w:shd w:val="clear" w:color="auto" w:fill="FFFFFF"/>
        </w:rPr>
        <w:t>):</w:t>
      </w:r>
      <w:r w:rsidRPr="00D0716D">
        <w:rPr>
          <w:rFonts w:ascii="Arial" w:hAnsi="Arial" w:cs="Arial"/>
          <w:color w:val="222222"/>
          <w:sz w:val="20"/>
          <w:szCs w:val="20"/>
          <w:shd w:val="clear" w:color="auto" w:fill="FFFFFF"/>
        </w:rPr>
        <w:t>200-210.</w:t>
      </w:r>
    </w:p>
    <w:p w14:paraId="4BF54889" w14:textId="3DF90144" w:rsidR="00D94679" w:rsidRDefault="00D94679" w:rsidP="00EE7F19">
      <w:pPr>
        <w:rPr>
          <w:rFonts w:ascii="Arial" w:hAnsi="Arial" w:cs="Arial"/>
          <w:color w:val="222222"/>
          <w:sz w:val="20"/>
          <w:szCs w:val="20"/>
          <w:shd w:val="clear" w:color="auto" w:fill="FFFFFF"/>
        </w:rPr>
      </w:pPr>
      <w:r>
        <w:rPr>
          <w:rFonts w:ascii="Arial" w:hAnsi="Arial" w:cs="Arial"/>
          <w:color w:val="222222"/>
          <w:sz w:val="20"/>
          <w:szCs w:val="20"/>
          <w:shd w:val="clear" w:color="auto" w:fill="FFFFFF"/>
        </w:rPr>
        <w:t>Madsen DB, Oviatt</w:t>
      </w:r>
      <w:r w:rsidR="00D0716D">
        <w:rPr>
          <w:rFonts w:ascii="Arial" w:hAnsi="Arial" w:cs="Arial"/>
          <w:color w:val="222222"/>
          <w:sz w:val="20"/>
          <w:szCs w:val="20"/>
          <w:shd w:val="clear" w:color="auto" w:fill="FFFFFF"/>
        </w:rPr>
        <w:t xml:space="preserve"> CG</w:t>
      </w:r>
      <w:r>
        <w:rPr>
          <w:rFonts w:ascii="Arial" w:hAnsi="Arial" w:cs="Arial"/>
          <w:color w:val="222222"/>
          <w:sz w:val="20"/>
          <w:szCs w:val="20"/>
          <w:shd w:val="clear" w:color="auto" w:fill="FFFFFF"/>
        </w:rPr>
        <w:t>, Young</w:t>
      </w:r>
      <w:r w:rsidR="00D0716D">
        <w:rPr>
          <w:rFonts w:ascii="Arial" w:hAnsi="Arial" w:cs="Arial"/>
          <w:color w:val="222222"/>
          <w:sz w:val="20"/>
          <w:szCs w:val="20"/>
          <w:shd w:val="clear" w:color="auto" w:fill="FFFFFF"/>
        </w:rPr>
        <w:t xml:space="preserve"> DC</w:t>
      </w:r>
      <w:r>
        <w:rPr>
          <w:rFonts w:ascii="Arial" w:hAnsi="Arial" w:cs="Arial"/>
          <w:color w:val="222222"/>
          <w:sz w:val="20"/>
          <w:szCs w:val="20"/>
          <w:shd w:val="clear" w:color="auto" w:fill="FFFFFF"/>
        </w:rPr>
        <w:t>, Page</w:t>
      </w:r>
      <w:r w:rsidR="00D0716D">
        <w:rPr>
          <w:rFonts w:ascii="Arial" w:hAnsi="Arial" w:cs="Arial"/>
          <w:color w:val="222222"/>
          <w:sz w:val="20"/>
          <w:szCs w:val="20"/>
          <w:shd w:val="clear" w:color="auto" w:fill="FFFFFF"/>
        </w:rPr>
        <w:t xml:space="preserve"> D</w:t>
      </w:r>
      <w:r>
        <w:rPr>
          <w:rFonts w:ascii="Arial" w:hAnsi="Arial" w:cs="Arial"/>
          <w:color w:val="222222"/>
          <w:sz w:val="20"/>
          <w:szCs w:val="20"/>
          <w:shd w:val="clear" w:color="auto" w:fill="FFFFFF"/>
        </w:rPr>
        <w:t>,</w:t>
      </w:r>
      <w:r w:rsidR="00D071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Schmitt</w:t>
      </w:r>
      <w:r w:rsidR="00D0716D">
        <w:rPr>
          <w:rFonts w:ascii="Arial" w:hAnsi="Arial" w:cs="Arial"/>
          <w:color w:val="222222"/>
          <w:sz w:val="20"/>
          <w:szCs w:val="20"/>
          <w:shd w:val="clear" w:color="auto" w:fill="FFFFFF"/>
        </w:rPr>
        <w:t xml:space="preserve"> DN</w:t>
      </w:r>
      <w:r>
        <w:rPr>
          <w:rFonts w:ascii="Arial" w:hAnsi="Arial" w:cs="Arial"/>
          <w:color w:val="222222"/>
          <w:sz w:val="20"/>
          <w:szCs w:val="20"/>
          <w:shd w:val="clear" w:color="auto" w:fill="FFFFFF"/>
        </w:rPr>
        <w:t>.</w:t>
      </w:r>
      <w:r w:rsidR="00D0716D">
        <w:rPr>
          <w:rFonts w:ascii="Arial" w:hAnsi="Arial" w:cs="Arial"/>
          <w:color w:val="222222"/>
          <w:sz w:val="20"/>
          <w:szCs w:val="20"/>
          <w:shd w:val="clear" w:color="auto" w:fill="FFFFFF"/>
        </w:rPr>
        <w:t xml:space="preserve"> 2015.</w:t>
      </w:r>
      <w:r>
        <w:rPr>
          <w:rFonts w:ascii="Arial" w:hAnsi="Arial" w:cs="Arial"/>
          <w:color w:val="222222"/>
          <w:sz w:val="20"/>
          <w:szCs w:val="20"/>
          <w:shd w:val="clear" w:color="auto" w:fill="FFFFFF"/>
        </w:rPr>
        <w:t xml:space="preserve"> Old River Bed delta geomorphology and chronology. </w:t>
      </w:r>
      <w:r w:rsidR="00D0716D">
        <w:rPr>
          <w:rFonts w:ascii="Arial" w:hAnsi="Arial" w:cs="Arial"/>
          <w:color w:val="222222"/>
          <w:sz w:val="20"/>
          <w:szCs w:val="20"/>
          <w:shd w:val="clear" w:color="auto" w:fill="FFFFFF"/>
        </w:rPr>
        <w:t>In</w:t>
      </w:r>
      <w:r w:rsidR="00D0716D" w:rsidRPr="00D0716D">
        <w:rPr>
          <w:rFonts w:ascii="Arial" w:hAnsi="Arial" w:cs="Arial"/>
          <w:color w:val="222222"/>
          <w:sz w:val="20"/>
          <w:szCs w:val="20"/>
          <w:shd w:val="clear" w:color="auto" w:fill="FFFFFF"/>
        </w:rPr>
        <w:t xml:space="preserve">: </w:t>
      </w:r>
      <w:r w:rsidRPr="00D0716D">
        <w:rPr>
          <w:rFonts w:ascii="Arial" w:hAnsi="Arial" w:cs="Arial"/>
          <w:color w:val="222222"/>
          <w:sz w:val="20"/>
          <w:szCs w:val="20"/>
          <w:shd w:val="clear" w:color="auto" w:fill="FFFFFF"/>
        </w:rPr>
        <w:t xml:space="preserve">The </w:t>
      </w:r>
      <w:proofErr w:type="spellStart"/>
      <w:r w:rsidRPr="00D0716D">
        <w:rPr>
          <w:rFonts w:ascii="Arial" w:hAnsi="Arial" w:cs="Arial"/>
          <w:color w:val="222222"/>
          <w:sz w:val="20"/>
          <w:szCs w:val="20"/>
          <w:shd w:val="clear" w:color="auto" w:fill="FFFFFF"/>
        </w:rPr>
        <w:t>Paleoarchaic</w:t>
      </w:r>
      <w:proofErr w:type="spellEnd"/>
      <w:r w:rsidRPr="00D0716D">
        <w:rPr>
          <w:rFonts w:ascii="Arial" w:hAnsi="Arial" w:cs="Arial"/>
          <w:color w:val="222222"/>
          <w:sz w:val="20"/>
          <w:szCs w:val="20"/>
          <w:shd w:val="clear" w:color="auto" w:fill="FFFFFF"/>
        </w:rPr>
        <w:t xml:space="preserve"> Occupation of the Old River Bed Delta. University of Utah</w:t>
      </w:r>
      <w:r w:rsidR="00D0716D">
        <w:rPr>
          <w:rFonts w:ascii="Arial" w:hAnsi="Arial" w:cs="Arial"/>
          <w:color w:val="222222"/>
          <w:sz w:val="20"/>
          <w:szCs w:val="20"/>
          <w:shd w:val="clear" w:color="auto" w:fill="FFFFFF"/>
        </w:rPr>
        <w:t xml:space="preserve"> </w:t>
      </w:r>
      <w:r w:rsidRPr="00D0716D">
        <w:rPr>
          <w:rFonts w:ascii="Arial" w:hAnsi="Arial" w:cs="Arial"/>
          <w:color w:val="222222"/>
          <w:sz w:val="20"/>
          <w:szCs w:val="20"/>
          <w:shd w:val="clear" w:color="auto" w:fill="FFFFFF"/>
        </w:rPr>
        <w:t xml:space="preserve">Anthropological Papers </w:t>
      </w:r>
      <w:r w:rsidR="00D0716D">
        <w:rPr>
          <w:rFonts w:ascii="Arial" w:hAnsi="Arial" w:cs="Arial"/>
          <w:color w:val="222222"/>
          <w:sz w:val="20"/>
          <w:szCs w:val="20"/>
          <w:shd w:val="clear" w:color="auto" w:fill="FFFFFF"/>
        </w:rPr>
        <w:t>128. University of Utah Press, Salt Lake City, UT.</w:t>
      </w:r>
    </w:p>
    <w:p w14:paraId="1662C6AB" w14:textId="77777777" w:rsidR="00CE4A85" w:rsidRDefault="00CE4A85" w:rsidP="00CE4A85">
      <w:pPr>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Rey KA, Mayo AL, Tingey DG, Nelson ST. 2016. Late Pleistocene to early Holocene sedimentary history of the Lake Bonneville pilot valley embayment, Utah-Nevada, USA. In: Developments in Earth Surface Processes vol. 20:184-220. Elsevier.</w:t>
      </w:r>
    </w:p>
    <w:p w14:paraId="14B264D9" w14:textId="3C72ACFA" w:rsidR="00CE4A85" w:rsidRDefault="00CE4A85" w:rsidP="00CE4A85">
      <w:pPr>
        <w:rPr>
          <w:rFonts w:ascii="Arial" w:hAnsi="Arial" w:cs="Arial"/>
          <w:color w:val="222222"/>
          <w:sz w:val="20"/>
          <w:szCs w:val="20"/>
          <w:shd w:val="clear" w:color="auto" w:fill="FFFFFF"/>
        </w:rPr>
      </w:pPr>
      <w:r w:rsidRPr="00CE4A85">
        <w:rPr>
          <w:rFonts w:ascii="Arial" w:hAnsi="Arial" w:cs="Arial"/>
          <w:color w:val="222222"/>
          <w:sz w:val="20"/>
          <w:szCs w:val="20"/>
          <w:shd w:val="clear" w:color="auto" w:fill="FFFFFF"/>
        </w:rPr>
        <w:t xml:space="preserve">Spencer RJ, </w:t>
      </w:r>
      <w:proofErr w:type="spellStart"/>
      <w:r w:rsidRPr="00CE4A85">
        <w:rPr>
          <w:rFonts w:ascii="Arial" w:hAnsi="Arial" w:cs="Arial"/>
          <w:color w:val="222222"/>
          <w:sz w:val="20"/>
          <w:szCs w:val="20"/>
          <w:shd w:val="clear" w:color="auto" w:fill="FFFFFF"/>
        </w:rPr>
        <w:t>Baedecker</w:t>
      </w:r>
      <w:proofErr w:type="spellEnd"/>
      <w:r w:rsidRPr="00CE4A85">
        <w:rPr>
          <w:rFonts w:ascii="Arial" w:hAnsi="Arial" w:cs="Arial"/>
          <w:color w:val="222222"/>
          <w:sz w:val="20"/>
          <w:szCs w:val="20"/>
          <w:shd w:val="clear" w:color="auto" w:fill="FFFFFF"/>
        </w:rPr>
        <w:t xml:space="preserve"> MJ, </w:t>
      </w:r>
      <w:proofErr w:type="spellStart"/>
      <w:r w:rsidRPr="00CE4A85">
        <w:rPr>
          <w:rFonts w:ascii="Arial" w:hAnsi="Arial" w:cs="Arial"/>
          <w:color w:val="222222"/>
          <w:sz w:val="20"/>
          <w:szCs w:val="20"/>
          <w:shd w:val="clear" w:color="auto" w:fill="FFFFFF"/>
        </w:rPr>
        <w:t>Eugster</w:t>
      </w:r>
      <w:proofErr w:type="spellEnd"/>
      <w:r w:rsidRPr="00CE4A85">
        <w:rPr>
          <w:rFonts w:ascii="Arial" w:hAnsi="Arial" w:cs="Arial"/>
          <w:color w:val="222222"/>
          <w:sz w:val="20"/>
          <w:szCs w:val="20"/>
          <w:shd w:val="clear" w:color="auto" w:fill="FFFFFF"/>
        </w:rPr>
        <w:t xml:space="preserve"> HP, Forester RM, Goldhaber MB, Jones BF,</w:t>
      </w:r>
      <w:r>
        <w:rPr>
          <w:rFonts w:ascii="Arial" w:hAnsi="Arial" w:cs="Arial"/>
          <w:color w:val="222222"/>
          <w:sz w:val="20"/>
          <w:szCs w:val="20"/>
          <w:shd w:val="clear" w:color="auto" w:fill="FFFFFF"/>
        </w:rPr>
        <w:t xml:space="preserve"> </w:t>
      </w:r>
      <w:proofErr w:type="spellStart"/>
      <w:r w:rsidRPr="00CE4A85">
        <w:rPr>
          <w:rFonts w:ascii="Arial" w:hAnsi="Arial" w:cs="Arial"/>
          <w:color w:val="222222"/>
          <w:sz w:val="20"/>
          <w:szCs w:val="20"/>
          <w:shd w:val="clear" w:color="auto" w:fill="FFFFFF"/>
        </w:rPr>
        <w:t>Kelts</w:t>
      </w:r>
      <w:proofErr w:type="spellEnd"/>
      <w:r w:rsidRPr="00CE4A85">
        <w:rPr>
          <w:rFonts w:ascii="Arial" w:hAnsi="Arial" w:cs="Arial"/>
          <w:color w:val="222222"/>
          <w:sz w:val="20"/>
          <w:szCs w:val="20"/>
          <w:shd w:val="clear" w:color="auto" w:fill="FFFFFF"/>
        </w:rPr>
        <w:t xml:space="preserve"> K, </w:t>
      </w:r>
      <w:proofErr w:type="spellStart"/>
      <w:r w:rsidRPr="00CE4A85">
        <w:rPr>
          <w:rFonts w:ascii="Arial" w:hAnsi="Arial" w:cs="Arial"/>
          <w:color w:val="222222"/>
          <w:sz w:val="20"/>
          <w:szCs w:val="20"/>
          <w:shd w:val="clear" w:color="auto" w:fill="FFFFFF"/>
        </w:rPr>
        <w:t>Mckenzie</w:t>
      </w:r>
      <w:proofErr w:type="spellEnd"/>
      <w:r w:rsidRPr="00CE4A85">
        <w:rPr>
          <w:rFonts w:ascii="Arial" w:hAnsi="Arial" w:cs="Arial"/>
          <w:color w:val="222222"/>
          <w:sz w:val="20"/>
          <w:szCs w:val="20"/>
          <w:shd w:val="clear" w:color="auto" w:fill="FFFFFF"/>
        </w:rPr>
        <w:t xml:space="preserve"> J, Madsen DB, Rettig SL, Rubin M, Bowser CJ. 1984. Great Salt</w:t>
      </w:r>
      <w:r>
        <w:rPr>
          <w:rFonts w:ascii="Arial" w:hAnsi="Arial" w:cs="Arial"/>
          <w:color w:val="222222"/>
          <w:sz w:val="20"/>
          <w:szCs w:val="20"/>
          <w:shd w:val="clear" w:color="auto" w:fill="FFFFFF"/>
        </w:rPr>
        <w:t xml:space="preserve"> </w:t>
      </w:r>
      <w:r w:rsidRPr="00CE4A85">
        <w:rPr>
          <w:rFonts w:ascii="Arial" w:hAnsi="Arial" w:cs="Arial"/>
          <w:color w:val="222222"/>
          <w:sz w:val="20"/>
          <w:szCs w:val="20"/>
          <w:shd w:val="clear" w:color="auto" w:fill="FFFFFF"/>
        </w:rPr>
        <w:t>Lake, and precursors, Utah; the last 30,000 years. Contrib</w:t>
      </w:r>
      <w:r>
        <w:rPr>
          <w:rFonts w:ascii="Arial" w:hAnsi="Arial" w:cs="Arial"/>
          <w:color w:val="222222"/>
          <w:sz w:val="20"/>
          <w:szCs w:val="20"/>
          <w:shd w:val="clear" w:color="auto" w:fill="FFFFFF"/>
        </w:rPr>
        <w:t>utions to</w:t>
      </w:r>
      <w:r w:rsidRPr="00CE4A85">
        <w:rPr>
          <w:rFonts w:ascii="Arial" w:hAnsi="Arial" w:cs="Arial"/>
          <w:color w:val="222222"/>
          <w:sz w:val="20"/>
          <w:szCs w:val="20"/>
          <w:shd w:val="clear" w:color="auto" w:fill="FFFFFF"/>
        </w:rPr>
        <w:t xml:space="preserve"> Mineral</w:t>
      </w:r>
      <w:r>
        <w:rPr>
          <w:rFonts w:ascii="Arial" w:hAnsi="Arial" w:cs="Arial"/>
          <w:color w:val="222222"/>
          <w:sz w:val="20"/>
          <w:szCs w:val="20"/>
          <w:shd w:val="clear" w:color="auto" w:fill="FFFFFF"/>
        </w:rPr>
        <w:t>ogy and</w:t>
      </w:r>
      <w:r w:rsidRPr="00CE4A85">
        <w:rPr>
          <w:rFonts w:ascii="Arial" w:hAnsi="Arial" w:cs="Arial"/>
          <w:color w:val="222222"/>
          <w:sz w:val="20"/>
          <w:szCs w:val="20"/>
          <w:shd w:val="clear" w:color="auto" w:fill="FFFFFF"/>
        </w:rPr>
        <w:t xml:space="preserve"> Petrol</w:t>
      </w:r>
      <w:r>
        <w:rPr>
          <w:rFonts w:ascii="Arial" w:hAnsi="Arial" w:cs="Arial"/>
          <w:color w:val="222222"/>
          <w:sz w:val="20"/>
          <w:szCs w:val="20"/>
          <w:shd w:val="clear" w:color="auto" w:fill="FFFFFF"/>
        </w:rPr>
        <w:t>ogy</w:t>
      </w:r>
      <w:r w:rsidRPr="00CE4A85">
        <w:rPr>
          <w:rFonts w:ascii="Arial" w:hAnsi="Arial" w:cs="Arial"/>
          <w:color w:val="222222"/>
          <w:sz w:val="20"/>
          <w:szCs w:val="20"/>
          <w:shd w:val="clear" w:color="auto" w:fill="FFFFFF"/>
        </w:rPr>
        <w:t xml:space="preserve"> 86(4)</w:t>
      </w:r>
      <w:r>
        <w:rPr>
          <w:rFonts w:ascii="Arial" w:hAnsi="Arial" w:cs="Arial"/>
          <w:color w:val="222222"/>
          <w:sz w:val="20"/>
          <w:szCs w:val="20"/>
          <w:shd w:val="clear" w:color="auto" w:fill="FFFFFF"/>
        </w:rPr>
        <w:t>:</w:t>
      </w:r>
      <w:r w:rsidRPr="00CE4A85">
        <w:rPr>
          <w:rFonts w:ascii="Arial" w:hAnsi="Arial" w:cs="Arial"/>
          <w:color w:val="222222"/>
          <w:sz w:val="20"/>
          <w:szCs w:val="20"/>
          <w:shd w:val="clear" w:color="auto" w:fill="FFFFFF"/>
        </w:rPr>
        <w:t>321–334.</w:t>
      </w:r>
    </w:p>
    <w:p w14:paraId="336516E0" w14:textId="77777777" w:rsidR="00D94679" w:rsidRDefault="00D94679" w:rsidP="00EE7F19"/>
    <w:sectPr w:rsidR="00D946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ADB"/>
    <w:rsid w:val="000210B6"/>
    <w:rsid w:val="00022A96"/>
    <w:rsid w:val="0004121D"/>
    <w:rsid w:val="00082B12"/>
    <w:rsid w:val="000A256B"/>
    <w:rsid w:val="000B06DE"/>
    <w:rsid w:val="000C6E5B"/>
    <w:rsid w:val="000D5F93"/>
    <w:rsid w:val="000F3D43"/>
    <w:rsid w:val="00115633"/>
    <w:rsid w:val="00154EE0"/>
    <w:rsid w:val="001B1AFF"/>
    <w:rsid w:val="0029451A"/>
    <w:rsid w:val="002A1588"/>
    <w:rsid w:val="00307C2D"/>
    <w:rsid w:val="00380AFE"/>
    <w:rsid w:val="00412C93"/>
    <w:rsid w:val="00461D1E"/>
    <w:rsid w:val="004662E9"/>
    <w:rsid w:val="00483A8A"/>
    <w:rsid w:val="005059AE"/>
    <w:rsid w:val="0052377E"/>
    <w:rsid w:val="00582776"/>
    <w:rsid w:val="00591999"/>
    <w:rsid w:val="005C4E4D"/>
    <w:rsid w:val="005D1342"/>
    <w:rsid w:val="005E016A"/>
    <w:rsid w:val="00656008"/>
    <w:rsid w:val="00667C38"/>
    <w:rsid w:val="006D72F2"/>
    <w:rsid w:val="007377C3"/>
    <w:rsid w:val="00772240"/>
    <w:rsid w:val="007833BE"/>
    <w:rsid w:val="007A6BC4"/>
    <w:rsid w:val="007E2583"/>
    <w:rsid w:val="007E5C9A"/>
    <w:rsid w:val="00857AD4"/>
    <w:rsid w:val="008B25A4"/>
    <w:rsid w:val="00907822"/>
    <w:rsid w:val="009976AC"/>
    <w:rsid w:val="00997B19"/>
    <w:rsid w:val="009C233F"/>
    <w:rsid w:val="00A24740"/>
    <w:rsid w:val="00A25ADB"/>
    <w:rsid w:val="00A449B0"/>
    <w:rsid w:val="00AB1977"/>
    <w:rsid w:val="00AC2977"/>
    <w:rsid w:val="00AD17D5"/>
    <w:rsid w:val="00B03F97"/>
    <w:rsid w:val="00B64B54"/>
    <w:rsid w:val="00B71364"/>
    <w:rsid w:val="00BF5557"/>
    <w:rsid w:val="00C048C3"/>
    <w:rsid w:val="00C1366B"/>
    <w:rsid w:val="00C13E72"/>
    <w:rsid w:val="00C4127A"/>
    <w:rsid w:val="00C65BCD"/>
    <w:rsid w:val="00C9073B"/>
    <w:rsid w:val="00CB1FBC"/>
    <w:rsid w:val="00CB244E"/>
    <w:rsid w:val="00CE4A85"/>
    <w:rsid w:val="00CF3ECD"/>
    <w:rsid w:val="00D0716D"/>
    <w:rsid w:val="00D5540B"/>
    <w:rsid w:val="00D94679"/>
    <w:rsid w:val="00DB712A"/>
    <w:rsid w:val="00DD3AB8"/>
    <w:rsid w:val="00DF7E29"/>
    <w:rsid w:val="00EE7F19"/>
    <w:rsid w:val="00F03011"/>
    <w:rsid w:val="00FF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2AAFF"/>
  <w15:chartTrackingRefBased/>
  <w15:docId w15:val="{8B434247-8C47-4E0F-B5B5-A74CAC195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D1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D1E"/>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61D1E"/>
    <w:rPr>
      <w:rFonts w:ascii="Segoe UI" w:hAnsi="Segoe UI" w:cs="Segoe UI"/>
      <w:sz w:val="18"/>
      <w:szCs w:val="18"/>
    </w:rPr>
  </w:style>
  <w:style w:type="character" w:styleId="CommentReference">
    <w:name w:val="annotation reference"/>
    <w:basedOn w:val="DefaultParagraphFont"/>
    <w:uiPriority w:val="99"/>
    <w:semiHidden/>
    <w:unhideWhenUsed/>
    <w:rsid w:val="00EE7F19"/>
    <w:rPr>
      <w:sz w:val="16"/>
      <w:szCs w:val="16"/>
    </w:rPr>
  </w:style>
  <w:style w:type="paragraph" w:styleId="CommentText">
    <w:name w:val="annotation text"/>
    <w:basedOn w:val="Normal"/>
    <w:link w:val="CommentTextChar"/>
    <w:uiPriority w:val="99"/>
    <w:unhideWhenUsed/>
    <w:rsid w:val="00EE7F19"/>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EE7F19"/>
    <w:rPr>
      <w:sz w:val="20"/>
      <w:szCs w:val="20"/>
    </w:rPr>
  </w:style>
  <w:style w:type="paragraph" w:styleId="CommentSubject">
    <w:name w:val="annotation subject"/>
    <w:basedOn w:val="CommentText"/>
    <w:next w:val="CommentText"/>
    <w:link w:val="CommentSubjectChar"/>
    <w:uiPriority w:val="99"/>
    <w:semiHidden/>
    <w:unhideWhenUsed/>
    <w:rsid w:val="00412C93"/>
    <w:rPr>
      <w:rFonts w:eastAsiaTheme="minorEastAsia"/>
      <w:b/>
      <w:bCs/>
    </w:rPr>
  </w:style>
  <w:style w:type="character" w:customStyle="1" w:styleId="CommentSubjectChar">
    <w:name w:val="Comment Subject Char"/>
    <w:basedOn w:val="CommentTextChar"/>
    <w:link w:val="CommentSubject"/>
    <w:uiPriority w:val="99"/>
    <w:semiHidden/>
    <w:rsid w:val="00412C93"/>
    <w:rPr>
      <w:rFonts w:eastAsiaTheme="minorEastAsia"/>
      <w:b/>
      <w:bCs/>
      <w:sz w:val="20"/>
      <w:szCs w:val="20"/>
    </w:rPr>
  </w:style>
  <w:style w:type="character" w:styleId="Hyperlink">
    <w:name w:val="Hyperlink"/>
    <w:basedOn w:val="DefaultParagraphFont"/>
    <w:uiPriority w:val="99"/>
    <w:unhideWhenUsed/>
    <w:rsid w:val="00CE4A85"/>
    <w:rPr>
      <w:color w:val="0563C1" w:themeColor="hyperlink"/>
      <w:u w:val="single"/>
    </w:rPr>
  </w:style>
  <w:style w:type="character" w:styleId="UnresolvedMention">
    <w:name w:val="Unresolved Mention"/>
    <w:basedOn w:val="DefaultParagraphFont"/>
    <w:uiPriority w:val="99"/>
    <w:semiHidden/>
    <w:unhideWhenUsed/>
    <w:rsid w:val="00CE4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85EF9-BFD7-460D-8621-46D0D127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12</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
  <dc:description/>
  <cp:lastModifiedBy>Isaac Alfred Hart</cp:lastModifiedBy>
  <cp:revision>25</cp:revision>
  <dcterms:created xsi:type="dcterms:W3CDTF">2021-01-14T17:46:00Z</dcterms:created>
  <dcterms:modified xsi:type="dcterms:W3CDTF">2022-01-17T01:09:00Z</dcterms:modified>
</cp:coreProperties>
</file>