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9063" w14:textId="0BA249EA" w:rsidR="005D2E57" w:rsidRDefault="005D2E57" w:rsidP="005D2E57">
      <w:pPr>
        <w:pStyle w:val="NormalWeb"/>
        <w:ind w:left="480" w:hanging="480"/>
        <w:rPr>
          <w:b/>
          <w:bCs/>
          <w:sz w:val="22"/>
          <w:szCs w:val="22"/>
        </w:rPr>
      </w:pPr>
      <w:r>
        <w:rPr>
          <w:b/>
          <w:bCs/>
          <w:sz w:val="22"/>
          <w:szCs w:val="22"/>
        </w:rPr>
        <w:t>SUPPLEMENTAL TEXT</w:t>
      </w:r>
    </w:p>
    <w:p w14:paraId="3B20E189" w14:textId="7EB08B62" w:rsidR="005D2E57" w:rsidRPr="0020553C" w:rsidRDefault="005D2E57" w:rsidP="005D2E57">
      <w:pPr>
        <w:pStyle w:val="NormalWeb"/>
        <w:ind w:left="480" w:hanging="480"/>
        <w:rPr>
          <w:i/>
          <w:iCs/>
          <w:sz w:val="22"/>
          <w:szCs w:val="22"/>
        </w:rPr>
      </w:pPr>
      <w:r w:rsidRPr="005D2E57">
        <w:rPr>
          <w:b/>
          <w:bCs/>
          <w:sz w:val="22"/>
          <w:szCs w:val="22"/>
        </w:rPr>
        <w:t xml:space="preserve">Contamination </w:t>
      </w:r>
      <w:r>
        <w:rPr>
          <w:b/>
          <w:bCs/>
          <w:sz w:val="22"/>
          <w:szCs w:val="22"/>
        </w:rPr>
        <w:t>C</w:t>
      </w:r>
      <w:r w:rsidRPr="005D2E57">
        <w:rPr>
          <w:b/>
          <w:bCs/>
          <w:sz w:val="22"/>
          <w:szCs w:val="22"/>
        </w:rPr>
        <w:t>alculations</w:t>
      </w:r>
      <w:r>
        <w:rPr>
          <w:i/>
          <w:iCs/>
          <w:sz w:val="22"/>
          <w:szCs w:val="22"/>
        </w:rPr>
        <w:t>:</w:t>
      </w:r>
    </w:p>
    <w:p w14:paraId="777907C1" w14:textId="77777777" w:rsidR="005D2E57" w:rsidRPr="00D970EF" w:rsidRDefault="005D2E57" w:rsidP="005D2E57">
      <w:pPr>
        <w:pStyle w:val="NormalWeb"/>
        <w:ind w:firstLine="480"/>
        <w:rPr>
          <w:sz w:val="22"/>
          <w:szCs w:val="22"/>
        </w:rPr>
      </w:pPr>
      <w:r w:rsidRPr="00D970EF">
        <w:rPr>
          <w:sz w:val="22"/>
          <w:szCs w:val="22"/>
        </w:rPr>
        <w:t>Below we describe the calculation from section 6 and Table 3. Here we simulate a DO</w:t>
      </w:r>
      <w:r w:rsidRPr="00D970EF">
        <w:rPr>
          <w:sz w:val="22"/>
          <w:szCs w:val="22"/>
          <w:vertAlign w:val="superscript"/>
        </w:rPr>
        <w:t>14</w:t>
      </w:r>
      <w:r w:rsidRPr="00D970EF">
        <w:rPr>
          <w:sz w:val="22"/>
          <w:szCs w:val="22"/>
        </w:rPr>
        <w:t>C concentration that may result from a sample with contaminated DI</w:t>
      </w:r>
      <w:r w:rsidRPr="00D970EF">
        <w:rPr>
          <w:sz w:val="22"/>
          <w:szCs w:val="22"/>
          <w:vertAlign w:val="superscript"/>
        </w:rPr>
        <w:t>14</w:t>
      </w:r>
      <w:r w:rsidRPr="00D970EF">
        <w:rPr>
          <w:sz w:val="22"/>
          <w:szCs w:val="22"/>
        </w:rPr>
        <w:t>C if C-fixation rates measured in the subglacial environment persisted in frozen storage:</w:t>
      </w:r>
    </w:p>
    <w:tbl>
      <w:tblPr>
        <w:tblStyle w:val="TableGrid"/>
        <w:tblW w:w="0" w:type="auto"/>
        <w:tblInd w:w="480" w:type="dxa"/>
        <w:tblLook w:val="04A0" w:firstRow="1" w:lastRow="0" w:firstColumn="1" w:lastColumn="0" w:noHBand="0" w:noVBand="1"/>
      </w:tblPr>
      <w:tblGrid>
        <w:gridCol w:w="2994"/>
        <w:gridCol w:w="2924"/>
        <w:gridCol w:w="2952"/>
      </w:tblGrid>
      <w:tr w:rsidR="005D2E57" w:rsidRPr="00D970EF" w14:paraId="2FAFC247" w14:textId="77777777" w:rsidTr="00FA178C">
        <w:tc>
          <w:tcPr>
            <w:tcW w:w="2994" w:type="dxa"/>
          </w:tcPr>
          <w:p w14:paraId="792B5FC9" w14:textId="77777777" w:rsidR="005D2E57" w:rsidRPr="00D970EF" w:rsidRDefault="005D2E57" w:rsidP="00FA178C">
            <w:pPr>
              <w:pStyle w:val="NormalWeb"/>
              <w:rPr>
                <w:b/>
                <w:bCs/>
                <w:sz w:val="22"/>
                <w:szCs w:val="22"/>
              </w:rPr>
            </w:pPr>
            <w:r w:rsidRPr="00D970EF">
              <w:rPr>
                <w:b/>
                <w:bCs/>
                <w:sz w:val="22"/>
                <w:szCs w:val="22"/>
              </w:rPr>
              <w:t>Constant</w:t>
            </w:r>
          </w:p>
        </w:tc>
        <w:tc>
          <w:tcPr>
            <w:tcW w:w="2924" w:type="dxa"/>
          </w:tcPr>
          <w:p w14:paraId="100698C9" w14:textId="77777777" w:rsidR="005D2E57" w:rsidRPr="00D970EF" w:rsidRDefault="005D2E57" w:rsidP="00FA178C">
            <w:pPr>
              <w:pStyle w:val="NormalWeb"/>
              <w:rPr>
                <w:b/>
                <w:bCs/>
                <w:sz w:val="22"/>
                <w:szCs w:val="22"/>
              </w:rPr>
            </w:pPr>
            <w:r w:rsidRPr="00D970EF">
              <w:rPr>
                <w:b/>
                <w:bCs/>
                <w:sz w:val="22"/>
                <w:szCs w:val="22"/>
              </w:rPr>
              <w:t>Measured value</w:t>
            </w:r>
          </w:p>
        </w:tc>
        <w:tc>
          <w:tcPr>
            <w:tcW w:w="2952" w:type="dxa"/>
          </w:tcPr>
          <w:p w14:paraId="682006BF" w14:textId="77777777" w:rsidR="005D2E57" w:rsidRPr="00D970EF" w:rsidRDefault="005D2E57" w:rsidP="00FA178C">
            <w:pPr>
              <w:pStyle w:val="NormalWeb"/>
              <w:rPr>
                <w:b/>
                <w:bCs/>
                <w:sz w:val="22"/>
                <w:szCs w:val="22"/>
              </w:rPr>
            </w:pPr>
            <w:r w:rsidRPr="00D970EF">
              <w:rPr>
                <w:b/>
                <w:bCs/>
                <w:sz w:val="22"/>
                <w:szCs w:val="22"/>
              </w:rPr>
              <w:t>Unit</w:t>
            </w:r>
          </w:p>
        </w:tc>
      </w:tr>
      <w:tr w:rsidR="005D2E57" w:rsidRPr="00D970EF" w14:paraId="0813DF43" w14:textId="77777777" w:rsidTr="00FA178C">
        <w:tc>
          <w:tcPr>
            <w:tcW w:w="2994" w:type="dxa"/>
          </w:tcPr>
          <w:p w14:paraId="04BCDF0F" w14:textId="77777777" w:rsidR="005D2E57" w:rsidRPr="00D970EF" w:rsidRDefault="005D2E57" w:rsidP="00FA178C">
            <w:pPr>
              <w:pStyle w:val="NormalWeb"/>
              <w:rPr>
                <w:sz w:val="22"/>
                <w:szCs w:val="22"/>
              </w:rPr>
            </w:pPr>
            <w:r w:rsidRPr="00D970EF">
              <w:rPr>
                <w:sz w:val="22"/>
                <w:szCs w:val="22"/>
              </w:rPr>
              <w:t>C-fixation rate</w:t>
            </w:r>
          </w:p>
        </w:tc>
        <w:tc>
          <w:tcPr>
            <w:tcW w:w="2924" w:type="dxa"/>
          </w:tcPr>
          <w:p w14:paraId="5CC5FDF1" w14:textId="77777777" w:rsidR="005D2E57" w:rsidRPr="00D970EF" w:rsidRDefault="005D2E57" w:rsidP="00FA178C">
            <w:pPr>
              <w:pStyle w:val="NormalWeb"/>
              <w:rPr>
                <w:sz w:val="22"/>
                <w:szCs w:val="22"/>
              </w:rPr>
            </w:pPr>
            <w:r w:rsidRPr="00D970EF">
              <w:rPr>
                <w:sz w:val="22"/>
                <w:szCs w:val="22"/>
              </w:rPr>
              <w:t>2.7</w:t>
            </w:r>
          </w:p>
        </w:tc>
        <w:tc>
          <w:tcPr>
            <w:tcW w:w="2952" w:type="dxa"/>
          </w:tcPr>
          <w:p w14:paraId="32ABE8EF" w14:textId="77777777" w:rsidR="005D2E57" w:rsidRPr="00D970EF" w:rsidRDefault="005D2E57" w:rsidP="00FA178C">
            <w:pPr>
              <w:pStyle w:val="NormalWeb"/>
              <w:rPr>
                <w:sz w:val="22"/>
                <w:szCs w:val="22"/>
              </w:rPr>
            </w:pPr>
            <w:r w:rsidRPr="00D970EF">
              <w:rPr>
                <w:sz w:val="22"/>
                <w:szCs w:val="22"/>
              </w:rPr>
              <w:t>nmol C/day/liter</w:t>
            </w:r>
          </w:p>
        </w:tc>
      </w:tr>
      <w:tr w:rsidR="005D2E57" w:rsidRPr="00D970EF" w14:paraId="24CBACA9" w14:textId="77777777" w:rsidTr="00FA178C">
        <w:tc>
          <w:tcPr>
            <w:tcW w:w="2994" w:type="dxa"/>
          </w:tcPr>
          <w:p w14:paraId="7D68B6EC" w14:textId="77777777" w:rsidR="005D2E57" w:rsidRPr="00D970EF" w:rsidRDefault="005D2E57" w:rsidP="00FA178C">
            <w:pPr>
              <w:pStyle w:val="NormalWeb"/>
              <w:rPr>
                <w:sz w:val="22"/>
                <w:szCs w:val="22"/>
              </w:rPr>
            </w:pPr>
            <w:r w:rsidRPr="00D970EF">
              <w:rPr>
                <w:sz w:val="22"/>
                <w:szCs w:val="22"/>
              </w:rPr>
              <w:t>Within-protocol DO</w:t>
            </w:r>
            <w:r w:rsidRPr="00D970EF">
              <w:rPr>
                <w:sz w:val="22"/>
                <w:szCs w:val="22"/>
                <w:vertAlign w:val="superscript"/>
              </w:rPr>
              <w:t>14</w:t>
            </w:r>
            <w:r w:rsidRPr="00D970EF">
              <w:rPr>
                <w:sz w:val="22"/>
                <w:szCs w:val="22"/>
              </w:rPr>
              <w:t>C concentration</w:t>
            </w:r>
          </w:p>
        </w:tc>
        <w:tc>
          <w:tcPr>
            <w:tcW w:w="2924" w:type="dxa"/>
          </w:tcPr>
          <w:p w14:paraId="353E74AB" w14:textId="77777777" w:rsidR="005D2E57" w:rsidRPr="00D970EF" w:rsidRDefault="005D2E57" w:rsidP="00FA178C">
            <w:pPr>
              <w:pStyle w:val="NormalWeb"/>
              <w:rPr>
                <w:sz w:val="22"/>
                <w:szCs w:val="22"/>
              </w:rPr>
            </w:pPr>
            <w:r w:rsidRPr="00D970EF">
              <w:rPr>
                <w:sz w:val="22"/>
                <w:szCs w:val="22"/>
              </w:rPr>
              <w:t>0.0531</w:t>
            </w:r>
          </w:p>
        </w:tc>
        <w:tc>
          <w:tcPr>
            <w:tcW w:w="2952" w:type="dxa"/>
          </w:tcPr>
          <w:p w14:paraId="380EA48E" w14:textId="77777777" w:rsidR="005D2E57" w:rsidRPr="00D970EF" w:rsidRDefault="005D2E57" w:rsidP="00FA178C">
            <w:pPr>
              <w:pStyle w:val="NormalWeb"/>
              <w:rPr>
                <w:sz w:val="22"/>
                <w:szCs w:val="22"/>
              </w:rPr>
            </w:pPr>
            <w:r w:rsidRPr="00D970EF">
              <w:rPr>
                <w:sz w:val="22"/>
                <w:szCs w:val="22"/>
              </w:rPr>
              <w:t>Fm</w:t>
            </w:r>
          </w:p>
        </w:tc>
      </w:tr>
      <w:tr w:rsidR="005D2E57" w:rsidRPr="00D970EF" w14:paraId="353FD984" w14:textId="77777777" w:rsidTr="00FA178C">
        <w:tc>
          <w:tcPr>
            <w:tcW w:w="2994" w:type="dxa"/>
          </w:tcPr>
          <w:p w14:paraId="34AB9767" w14:textId="77777777" w:rsidR="005D2E57" w:rsidRPr="00D970EF" w:rsidRDefault="005D2E57" w:rsidP="00FA178C">
            <w:pPr>
              <w:pStyle w:val="NormalWeb"/>
              <w:rPr>
                <w:sz w:val="22"/>
                <w:szCs w:val="22"/>
              </w:rPr>
            </w:pPr>
            <w:r w:rsidRPr="00D970EF">
              <w:rPr>
                <w:sz w:val="22"/>
                <w:szCs w:val="22"/>
              </w:rPr>
              <w:t>Measured DOC concentration, within protocol sample</w:t>
            </w:r>
          </w:p>
        </w:tc>
        <w:tc>
          <w:tcPr>
            <w:tcW w:w="2924" w:type="dxa"/>
          </w:tcPr>
          <w:p w14:paraId="35DC1340" w14:textId="77777777" w:rsidR="005D2E57" w:rsidRPr="00D970EF" w:rsidRDefault="005D2E57" w:rsidP="00FA178C">
            <w:pPr>
              <w:pStyle w:val="NormalWeb"/>
              <w:rPr>
                <w:sz w:val="22"/>
                <w:szCs w:val="22"/>
              </w:rPr>
            </w:pPr>
            <w:r w:rsidRPr="00D970EF">
              <w:rPr>
                <w:sz w:val="22"/>
                <w:szCs w:val="22"/>
              </w:rPr>
              <w:t xml:space="preserve">51000 </w:t>
            </w:r>
          </w:p>
        </w:tc>
        <w:tc>
          <w:tcPr>
            <w:tcW w:w="2952" w:type="dxa"/>
          </w:tcPr>
          <w:p w14:paraId="56DB4701" w14:textId="77777777" w:rsidR="005D2E57" w:rsidRPr="00D970EF" w:rsidRDefault="005D2E57" w:rsidP="00FA178C">
            <w:pPr>
              <w:pStyle w:val="NormalWeb"/>
              <w:rPr>
                <w:sz w:val="22"/>
                <w:szCs w:val="22"/>
              </w:rPr>
            </w:pPr>
            <w:r w:rsidRPr="00D970EF">
              <w:rPr>
                <w:sz w:val="22"/>
                <w:szCs w:val="22"/>
              </w:rPr>
              <w:t>nmol C/liter</w:t>
            </w:r>
          </w:p>
        </w:tc>
      </w:tr>
      <w:tr w:rsidR="005D2E57" w:rsidRPr="00D970EF" w14:paraId="16ABCFA2" w14:textId="77777777" w:rsidTr="00FA178C">
        <w:tc>
          <w:tcPr>
            <w:tcW w:w="2994" w:type="dxa"/>
          </w:tcPr>
          <w:p w14:paraId="6D8862DC" w14:textId="77777777" w:rsidR="005D2E57" w:rsidRPr="00D970EF" w:rsidRDefault="005D2E57" w:rsidP="00FA178C">
            <w:pPr>
              <w:pStyle w:val="NormalWeb"/>
              <w:rPr>
                <w:sz w:val="22"/>
                <w:szCs w:val="22"/>
              </w:rPr>
            </w:pPr>
            <w:r w:rsidRPr="00D970EF">
              <w:rPr>
                <w:sz w:val="22"/>
                <w:szCs w:val="22"/>
              </w:rPr>
              <w:t>Measured DI</w:t>
            </w:r>
            <w:r w:rsidRPr="00D970EF">
              <w:rPr>
                <w:sz w:val="22"/>
                <w:szCs w:val="22"/>
                <w:vertAlign w:val="superscript"/>
              </w:rPr>
              <w:t>14</w:t>
            </w:r>
            <w:r w:rsidRPr="00D970EF">
              <w:rPr>
                <w:sz w:val="22"/>
                <w:szCs w:val="22"/>
              </w:rPr>
              <w:t>C in outside-protocol sample</w:t>
            </w:r>
          </w:p>
        </w:tc>
        <w:tc>
          <w:tcPr>
            <w:tcW w:w="2924" w:type="dxa"/>
          </w:tcPr>
          <w:p w14:paraId="24457DD2" w14:textId="77777777" w:rsidR="005D2E57" w:rsidRPr="00D970EF" w:rsidRDefault="005D2E57" w:rsidP="00FA178C">
            <w:pPr>
              <w:pStyle w:val="NormalWeb"/>
              <w:rPr>
                <w:sz w:val="22"/>
                <w:szCs w:val="22"/>
              </w:rPr>
            </w:pPr>
            <w:r w:rsidRPr="00D970EF">
              <w:rPr>
                <w:sz w:val="22"/>
                <w:szCs w:val="22"/>
              </w:rPr>
              <w:t>4.2673</w:t>
            </w:r>
          </w:p>
        </w:tc>
        <w:tc>
          <w:tcPr>
            <w:tcW w:w="2952" w:type="dxa"/>
          </w:tcPr>
          <w:p w14:paraId="18F8AA59" w14:textId="77777777" w:rsidR="005D2E57" w:rsidRPr="00D970EF" w:rsidRDefault="005D2E57" w:rsidP="00FA178C">
            <w:pPr>
              <w:pStyle w:val="NormalWeb"/>
              <w:rPr>
                <w:sz w:val="22"/>
                <w:szCs w:val="22"/>
              </w:rPr>
            </w:pPr>
            <w:r w:rsidRPr="00D970EF">
              <w:rPr>
                <w:sz w:val="22"/>
                <w:szCs w:val="22"/>
              </w:rPr>
              <w:t>Fm</w:t>
            </w:r>
          </w:p>
        </w:tc>
      </w:tr>
    </w:tbl>
    <w:p w14:paraId="58492F46" w14:textId="77777777" w:rsidR="005D2E57" w:rsidRPr="00D970EF" w:rsidRDefault="005D2E57" w:rsidP="005D2E57">
      <w:pPr>
        <w:pStyle w:val="NormalWeb"/>
        <w:ind w:left="480" w:hanging="480"/>
        <w:jc w:val="center"/>
        <w:rPr>
          <w:i/>
          <w:iCs/>
          <w:sz w:val="22"/>
          <w:szCs w:val="22"/>
        </w:rPr>
      </w:pPr>
      <w:r w:rsidRPr="00D970EF">
        <w:rPr>
          <w:i/>
          <w:iCs/>
          <w:sz w:val="22"/>
          <w:szCs w:val="22"/>
        </w:rPr>
        <w:t>Table S1: Variables used in calculations below</w:t>
      </w:r>
    </w:p>
    <w:p w14:paraId="0AA77DD4" w14:textId="77777777" w:rsidR="005D2E57" w:rsidRPr="00D970EF" w:rsidRDefault="005D2E57" w:rsidP="005D2E57">
      <w:pPr>
        <w:pStyle w:val="NormalWeb"/>
        <w:rPr>
          <w:sz w:val="22"/>
          <w:szCs w:val="22"/>
        </w:rPr>
      </w:pPr>
      <w:r w:rsidRPr="00D970EF">
        <w:rPr>
          <w:sz w:val="22"/>
          <w:szCs w:val="22"/>
        </w:rPr>
        <w:t>First, we calculate the amount of DIC converted to DOC in a 1L water sample if observed subglacial C-fixation rates (Christner et al., 2014) persist in storage:</w:t>
      </w:r>
    </w:p>
    <w:p w14:paraId="5692E8FC" w14:textId="4ED36524" w:rsidR="005D2E57" w:rsidRPr="00D970EF" w:rsidRDefault="005D2E57" w:rsidP="005D2E57">
      <w:pPr>
        <w:pStyle w:val="NormalWeb"/>
        <w:ind w:left="480" w:hanging="480"/>
        <w:rPr>
          <w:sz w:val="22"/>
          <w:szCs w:val="22"/>
        </w:rPr>
      </w:pPr>
      <m:oMathPara>
        <m:oMath>
          <m:r>
            <w:rPr>
              <w:rFonts w:ascii="Cambria Math" w:hAnsi="Cambria Math"/>
              <w:sz w:val="22"/>
              <w:szCs w:val="22"/>
            </w:rPr>
            <m:t xml:space="preserve">2.7 nmol C </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-1</m:t>
              </m:r>
            </m:sup>
          </m:sSup>
          <m:sSup>
            <m:sSupPr>
              <m:ctrlPr>
                <w:rPr>
                  <w:rFonts w:ascii="Cambria Math" w:hAnsi="Cambria Math"/>
                  <w:i/>
                  <w:sz w:val="22"/>
                  <w:szCs w:val="22"/>
                </w:rPr>
              </m:ctrlPr>
            </m:sSupPr>
            <m:e>
              <m:r>
                <w:rPr>
                  <w:rFonts w:ascii="Cambria Math" w:hAnsi="Cambria Math"/>
                  <w:sz w:val="22"/>
                  <w:szCs w:val="22"/>
                </w:rPr>
                <m:t>l</m:t>
              </m:r>
            </m:e>
            <m:sup>
              <m:r>
                <w:rPr>
                  <w:rFonts w:ascii="Cambria Math" w:hAnsi="Cambria Math"/>
                  <w:sz w:val="22"/>
                  <w:szCs w:val="22"/>
                </w:rPr>
                <m:t>-1</m:t>
              </m:r>
            </m:sup>
          </m:sSup>
          <m:r>
            <w:rPr>
              <w:rFonts w:ascii="Cambria Math" w:hAnsi="Cambria Math"/>
              <w:sz w:val="22"/>
              <w:szCs w:val="22"/>
            </w:rPr>
            <m:t>×240 d=64</m:t>
          </m:r>
          <m:r>
            <w:rPr>
              <w:rFonts w:ascii="Cambria Math" w:hAnsi="Cambria Math"/>
              <w:sz w:val="22"/>
              <w:szCs w:val="22"/>
            </w:rPr>
            <m:t>8</m:t>
          </m:r>
          <m:r>
            <w:rPr>
              <w:rFonts w:ascii="Cambria Math" w:hAnsi="Cambria Math"/>
              <w:sz w:val="22"/>
              <w:szCs w:val="22"/>
            </w:rPr>
            <m:t xml:space="preserve"> nmol C∙</m:t>
          </m:r>
          <m:sSup>
            <m:sSupPr>
              <m:ctrlPr>
                <w:rPr>
                  <w:rFonts w:ascii="Cambria Math" w:hAnsi="Cambria Math"/>
                  <w:i/>
                  <w:sz w:val="22"/>
                  <w:szCs w:val="22"/>
                </w:rPr>
              </m:ctrlPr>
            </m:sSupPr>
            <m:e>
              <m:r>
                <w:rPr>
                  <w:rFonts w:ascii="Cambria Math" w:hAnsi="Cambria Math"/>
                  <w:sz w:val="22"/>
                  <w:szCs w:val="22"/>
                </w:rPr>
                <m:t>l</m:t>
              </m:r>
            </m:e>
            <m:sup>
              <m:r>
                <w:rPr>
                  <w:rFonts w:ascii="Cambria Math" w:hAnsi="Cambria Math"/>
                  <w:sz w:val="22"/>
                  <w:szCs w:val="22"/>
                </w:rPr>
                <m:t>-1</m:t>
              </m:r>
            </m:sup>
          </m:sSup>
        </m:oMath>
      </m:oMathPara>
    </w:p>
    <w:p w14:paraId="5D00E383" w14:textId="77777777" w:rsidR="005D2E57" w:rsidRDefault="005D2E57" w:rsidP="005D2E57">
      <w:pPr>
        <w:pStyle w:val="NormalWeb"/>
        <w:ind w:left="480" w:hanging="480"/>
        <w:rPr>
          <w:i/>
          <w:iCs/>
          <w:sz w:val="22"/>
          <w:szCs w:val="22"/>
        </w:rPr>
      </w:pPr>
      <w:r w:rsidRPr="00D970EF">
        <w:rPr>
          <w:sz w:val="22"/>
          <w:szCs w:val="22"/>
        </w:rPr>
        <w:t xml:space="preserve">Next, we determine the proportion of total DOC that is likely to have been assimilated from DIC, </w:t>
      </w:r>
      <w:r w:rsidRPr="00D970EF">
        <w:rPr>
          <w:i/>
          <w:iCs/>
          <w:sz w:val="22"/>
          <w:szCs w:val="22"/>
        </w:rPr>
        <w:t>p</w:t>
      </w:r>
      <w:r w:rsidRPr="00D970EF">
        <w:rPr>
          <w:i/>
          <w:iCs/>
          <w:sz w:val="22"/>
          <w:szCs w:val="22"/>
          <w:vertAlign w:val="subscript"/>
        </w:rPr>
        <w:t>i</w:t>
      </w:r>
      <w:r w:rsidRPr="00D970EF">
        <w:rPr>
          <w:i/>
          <w:iCs/>
          <w:sz w:val="22"/>
          <w:szCs w:val="22"/>
        </w:rPr>
        <w:t>,</w:t>
      </w:r>
    </w:p>
    <w:p w14:paraId="0624FBE0" w14:textId="77777777" w:rsidR="005D2E57" w:rsidRPr="00D970EF" w:rsidRDefault="005D2E57" w:rsidP="005D2E57">
      <w:pPr>
        <w:pStyle w:val="NormalWeb"/>
        <w:ind w:left="480" w:hanging="480"/>
        <w:rPr>
          <w:sz w:val="22"/>
          <w:szCs w:val="22"/>
        </w:rPr>
      </w:pPr>
      <w:r w:rsidRPr="00D970EF">
        <w:rPr>
          <w:sz w:val="22"/>
          <w:szCs w:val="22"/>
        </w:rPr>
        <w:t>based on our assumption of rate.</w:t>
      </w:r>
    </w:p>
    <w:p w14:paraId="53DF6756" w14:textId="353CA722" w:rsidR="005D2E57" w:rsidRPr="00D970EF" w:rsidRDefault="00D53863" w:rsidP="005D2E57">
      <w:pPr>
        <w:pStyle w:val="NormalWeb"/>
        <w:ind w:left="480" w:hanging="480"/>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64</m:t>
              </m:r>
              <m:r>
                <w:rPr>
                  <w:rFonts w:ascii="Cambria Math" w:hAnsi="Cambria Math"/>
                  <w:sz w:val="22"/>
                  <w:szCs w:val="22"/>
                </w:rPr>
                <m:t>8</m:t>
              </m:r>
              <m:r>
                <w:rPr>
                  <w:rFonts w:ascii="Cambria Math" w:hAnsi="Cambria Math"/>
                  <w:sz w:val="22"/>
                  <w:szCs w:val="22"/>
                </w:rPr>
                <m:t xml:space="preserve"> nmol C</m:t>
              </m:r>
              <m:sSup>
                <m:sSupPr>
                  <m:ctrlPr>
                    <w:rPr>
                      <w:rFonts w:ascii="Cambria Math" w:hAnsi="Cambria Math"/>
                      <w:i/>
                      <w:sz w:val="22"/>
                      <w:szCs w:val="22"/>
                    </w:rPr>
                  </m:ctrlPr>
                </m:sSupPr>
                <m:e>
                  <m:r>
                    <w:rPr>
                      <w:rFonts w:ascii="Cambria Math" w:hAnsi="Cambria Math"/>
                      <w:sz w:val="22"/>
                      <w:szCs w:val="22"/>
                    </w:rPr>
                    <m:t xml:space="preserve"> l</m:t>
                  </m:r>
                </m:e>
                <m:sup>
                  <m:r>
                    <w:rPr>
                      <w:rFonts w:ascii="Cambria Math" w:hAnsi="Cambria Math"/>
                      <w:sz w:val="22"/>
                      <w:szCs w:val="22"/>
                    </w:rPr>
                    <m:t>-1</m:t>
                  </m:r>
                </m:sup>
              </m:sSup>
            </m:num>
            <m:den>
              <m:r>
                <w:rPr>
                  <w:rFonts w:ascii="Cambria Math" w:hAnsi="Cambria Math"/>
                  <w:sz w:val="22"/>
                  <w:szCs w:val="22"/>
                </w:rPr>
                <m:t xml:space="preserve">5100 nmol C </m:t>
              </m:r>
              <m:sSup>
                <m:sSupPr>
                  <m:ctrlPr>
                    <w:rPr>
                      <w:rFonts w:ascii="Cambria Math" w:hAnsi="Cambria Math"/>
                      <w:i/>
                      <w:sz w:val="22"/>
                      <w:szCs w:val="22"/>
                    </w:rPr>
                  </m:ctrlPr>
                </m:sSupPr>
                <m:e>
                  <m:r>
                    <w:rPr>
                      <w:rFonts w:ascii="Cambria Math" w:hAnsi="Cambria Math"/>
                      <w:sz w:val="22"/>
                      <w:szCs w:val="22"/>
                    </w:rPr>
                    <m:t>l</m:t>
                  </m:r>
                </m:e>
                <m:sup>
                  <m:r>
                    <w:rPr>
                      <w:rFonts w:ascii="Cambria Math" w:hAnsi="Cambria Math"/>
                      <w:sz w:val="22"/>
                      <w:szCs w:val="22"/>
                    </w:rPr>
                    <m:t>-1</m:t>
                  </m:r>
                </m:sup>
              </m:sSup>
            </m:den>
          </m:f>
          <m:r>
            <w:rPr>
              <w:rFonts w:ascii="Cambria Math" w:hAnsi="Cambria Math"/>
              <w:sz w:val="22"/>
              <w:szCs w:val="22"/>
            </w:rPr>
            <m:t>=0.01</m:t>
          </m:r>
          <m:r>
            <w:rPr>
              <w:rFonts w:ascii="Cambria Math" w:hAnsi="Cambria Math"/>
              <w:sz w:val="22"/>
              <w:szCs w:val="22"/>
            </w:rPr>
            <m:t>27</m:t>
          </m:r>
        </m:oMath>
      </m:oMathPara>
    </w:p>
    <w:p w14:paraId="3C8C3977" w14:textId="77777777" w:rsidR="005D2E57" w:rsidRPr="00D970EF" w:rsidRDefault="005D2E57" w:rsidP="005D2E57">
      <w:pPr>
        <w:pStyle w:val="NormalWeb"/>
        <w:rPr>
          <w:sz w:val="22"/>
          <w:szCs w:val="22"/>
        </w:rPr>
      </w:pPr>
      <w:r w:rsidRPr="00D970EF">
        <w:rPr>
          <w:sz w:val="22"/>
          <w:szCs w:val="22"/>
        </w:rPr>
        <w:lastRenderedPageBreak/>
        <w:t>Using a binary mixing model, we calculate what the DO</w:t>
      </w:r>
      <w:r w:rsidRPr="00D970EF">
        <w:rPr>
          <w:sz w:val="22"/>
          <w:szCs w:val="22"/>
          <w:vertAlign w:val="superscript"/>
        </w:rPr>
        <w:t>14</w:t>
      </w:r>
      <w:r w:rsidRPr="00D970EF">
        <w:rPr>
          <w:sz w:val="22"/>
          <w:szCs w:val="22"/>
        </w:rPr>
        <w:t xml:space="preserve">C would be if assimilation of contaminated DIC allowed for carry over of contamination into the DOC of our outside-protocol sample. </w:t>
      </w:r>
    </w:p>
    <w:p w14:paraId="6A85614B" w14:textId="7BAB58C4" w:rsidR="005D2E57" w:rsidRPr="00D970EF" w:rsidRDefault="00D53863" w:rsidP="005D2E57">
      <w:pPr>
        <w:pStyle w:val="NormalWeb"/>
        <w:ind w:left="480" w:hanging="480"/>
        <w:rPr>
          <w:sz w:val="22"/>
          <w:szCs w:val="22"/>
        </w:rPr>
      </w:pPr>
      <m:oMathPara>
        <m:oMath>
          <m:sSub>
            <m:sSubPr>
              <m:ctrlPr>
                <w:rPr>
                  <w:rFonts w:ascii="Cambria Math" w:hAnsi="Cambria Math"/>
                  <w:i/>
                  <w:sz w:val="22"/>
                  <w:szCs w:val="22"/>
                </w:rPr>
              </m:ctrlPr>
            </m:sSubPr>
            <m:e>
              <m:r>
                <w:rPr>
                  <w:rFonts w:ascii="Cambria Math" w:hAnsi="Cambria Math"/>
                  <w:sz w:val="22"/>
                  <w:szCs w:val="22"/>
                </w:rPr>
                <m:t>Fm</m:t>
              </m:r>
            </m:e>
            <m:sub>
              <m:r>
                <w:rPr>
                  <w:rFonts w:ascii="Cambria Math" w:hAnsi="Cambria Math"/>
                  <w:sz w:val="22"/>
                  <w:szCs w:val="22"/>
                </w:rPr>
                <m:t>calc</m:t>
              </m:r>
            </m:sub>
          </m:sSub>
          <m:r>
            <w:rPr>
              <w:rFonts w:ascii="Cambria Math" w:hAnsi="Cambria Math"/>
              <w:sz w:val="22"/>
              <w:szCs w:val="22"/>
            </w:rPr>
            <m:t xml:space="preserve">= </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Fm</m:t>
              </m:r>
            </m:e>
            <m:sub>
              <m:r>
                <w:rPr>
                  <w:rFonts w:ascii="Cambria Math" w:hAnsi="Cambria Math"/>
                  <w:sz w:val="22"/>
                  <w:szCs w:val="22"/>
                </w:rPr>
                <m:t>i</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d>
          <m:sSub>
            <m:sSubPr>
              <m:ctrlPr>
                <w:rPr>
                  <w:rFonts w:ascii="Cambria Math" w:hAnsi="Cambria Math"/>
                  <w:i/>
                  <w:sz w:val="22"/>
                  <w:szCs w:val="22"/>
                </w:rPr>
              </m:ctrlPr>
            </m:sSubPr>
            <m:e>
              <m:r>
                <w:rPr>
                  <w:rFonts w:ascii="Cambria Math" w:hAnsi="Cambria Math"/>
                  <w:sz w:val="22"/>
                  <w:szCs w:val="22"/>
                </w:rPr>
                <m:t>Fm</m:t>
              </m:r>
            </m:e>
            <m:sub>
              <m:r>
                <w:rPr>
                  <w:rFonts w:ascii="Cambria Math" w:hAnsi="Cambria Math"/>
                  <w:sz w:val="22"/>
                  <w:szCs w:val="22"/>
                </w:rPr>
                <m:t>o</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0.01</m:t>
              </m:r>
              <m:r>
                <w:rPr>
                  <w:rFonts w:ascii="Cambria Math" w:hAnsi="Cambria Math"/>
                  <w:sz w:val="22"/>
                  <w:szCs w:val="22"/>
                </w:rPr>
                <m:t>27</m:t>
              </m:r>
            </m:e>
          </m:d>
          <m:r>
            <w:rPr>
              <w:rFonts w:ascii="Cambria Math" w:hAnsi="Cambria Math"/>
              <w:sz w:val="22"/>
              <w:szCs w:val="22"/>
            </w:rPr>
            <m:t>4.2673Fm+</m:t>
          </m:r>
          <m:d>
            <m:dPr>
              <m:ctrlPr>
                <w:rPr>
                  <w:rFonts w:ascii="Cambria Math" w:hAnsi="Cambria Math"/>
                  <w:i/>
                  <w:sz w:val="22"/>
                  <w:szCs w:val="22"/>
                </w:rPr>
              </m:ctrlPr>
            </m:dPr>
            <m:e>
              <m:r>
                <w:rPr>
                  <w:rFonts w:ascii="Cambria Math" w:hAnsi="Cambria Math"/>
                  <w:sz w:val="22"/>
                  <w:szCs w:val="22"/>
                </w:rPr>
                <m:t>0.987</m:t>
              </m:r>
              <m:r>
                <w:rPr>
                  <w:rFonts w:ascii="Cambria Math" w:hAnsi="Cambria Math"/>
                  <w:sz w:val="22"/>
                  <w:szCs w:val="22"/>
                </w:rPr>
                <m:t>3</m:t>
              </m:r>
            </m:e>
          </m:d>
          <m:r>
            <w:rPr>
              <w:rFonts w:ascii="Cambria Math" w:hAnsi="Cambria Math"/>
              <w:sz w:val="22"/>
              <w:szCs w:val="22"/>
            </w:rPr>
            <m:t>0.0531Fm=0.1066</m:t>
          </m:r>
          <m:r>
            <w:rPr>
              <w:rFonts w:ascii="Cambria Math" w:hAnsi="Cambria Math"/>
              <w:sz w:val="22"/>
              <w:szCs w:val="22"/>
            </w:rPr>
            <m:t xml:space="preserve"> Fm</m:t>
          </m:r>
          <m:r>
            <w:rPr>
              <w:rFonts w:ascii="Cambria Math" w:hAnsi="Cambria Math"/>
              <w:sz w:val="22"/>
              <w:szCs w:val="22"/>
            </w:rPr>
            <m:t xml:space="preserve"> </m:t>
          </m:r>
        </m:oMath>
      </m:oMathPara>
    </w:p>
    <w:p w14:paraId="19F27D00" w14:textId="77777777" w:rsidR="005D2E57" w:rsidRPr="00D970EF" w:rsidRDefault="005D2E57" w:rsidP="005D2E57">
      <w:pPr>
        <w:pStyle w:val="NormalWeb"/>
        <w:rPr>
          <w:sz w:val="22"/>
          <w:szCs w:val="22"/>
        </w:rPr>
      </w:pPr>
      <w:r w:rsidRPr="00D970EF">
        <w:rPr>
          <w:sz w:val="22"/>
          <w:szCs w:val="22"/>
        </w:rPr>
        <w:t xml:space="preserve">…where the subscripts </w:t>
      </w:r>
      <w:proofErr w:type="spellStart"/>
      <w:r w:rsidRPr="00D970EF">
        <w:rPr>
          <w:sz w:val="22"/>
          <w:szCs w:val="22"/>
        </w:rPr>
        <w:t>i</w:t>
      </w:r>
      <w:proofErr w:type="spellEnd"/>
      <w:r w:rsidRPr="00D970EF">
        <w:rPr>
          <w:sz w:val="22"/>
          <w:szCs w:val="22"/>
        </w:rPr>
        <w:t xml:space="preserve"> and o are for inorganic (DOC derived from DIC in the bottle) and organic (the originally present DOC), respectively. If we assume that the contaminated assimilated C is being mixed into a sample of radiocarbon free water, the resulting DO</w:t>
      </w:r>
      <w:r w:rsidRPr="00D970EF">
        <w:rPr>
          <w:sz w:val="22"/>
          <w:szCs w:val="22"/>
          <w:vertAlign w:val="superscript"/>
        </w:rPr>
        <w:t>14</w:t>
      </w:r>
      <w:r w:rsidRPr="00D970EF">
        <w:rPr>
          <w:sz w:val="22"/>
          <w:szCs w:val="22"/>
        </w:rPr>
        <w:t>C could be calculated as follows:</w:t>
      </w:r>
    </w:p>
    <w:p w14:paraId="06B21B0E" w14:textId="30A8096E" w:rsidR="005D2E57" w:rsidRPr="00D970EF" w:rsidRDefault="00D53863" w:rsidP="005D2E57">
      <w:pPr>
        <w:pStyle w:val="NormalWeb"/>
        <w:ind w:left="480" w:hanging="480"/>
        <w:rPr>
          <w:sz w:val="22"/>
          <w:szCs w:val="22"/>
        </w:rPr>
      </w:pPr>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Fm</m:t>
                </m:r>
              </m:e>
              <m:sub>
                <m:r>
                  <w:rPr>
                    <w:rFonts w:ascii="Cambria Math" w:hAnsi="Cambria Math"/>
                    <w:sz w:val="22"/>
                    <w:szCs w:val="22"/>
                  </w:rPr>
                  <m:t>calc</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Fm</m:t>
            </m:r>
          </m:e>
          <m:sub>
            <m:r>
              <w:rPr>
                <w:rFonts w:ascii="Cambria Math" w:hAnsi="Cambria Math"/>
                <w:sz w:val="22"/>
                <w:szCs w:val="22"/>
              </w:rPr>
              <m:t>i</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Ai</m:t>
                </m:r>
              </m:sub>
            </m:sSub>
          </m:e>
        </m:d>
        <m:sSub>
          <m:sSubPr>
            <m:ctrlPr>
              <w:rPr>
                <w:rFonts w:ascii="Cambria Math" w:hAnsi="Cambria Math"/>
                <w:i/>
                <w:sz w:val="22"/>
                <w:szCs w:val="22"/>
              </w:rPr>
            </m:ctrlPr>
          </m:sSubPr>
          <m:e>
            <m:r>
              <w:rPr>
                <w:rFonts w:ascii="Cambria Math" w:hAnsi="Cambria Math"/>
                <w:sz w:val="22"/>
                <w:szCs w:val="22"/>
              </w:rPr>
              <m:t>Fm</m:t>
            </m:r>
          </m:e>
          <m:sub>
            <m:r>
              <w:rPr>
                <w:rFonts w:ascii="Cambria Math" w:hAnsi="Cambria Math"/>
                <w:sz w:val="22"/>
                <w:szCs w:val="22"/>
              </w:rPr>
              <m:t>o</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0.01</m:t>
            </m:r>
            <m:r>
              <w:rPr>
                <w:rFonts w:ascii="Cambria Math" w:hAnsi="Cambria Math"/>
                <w:sz w:val="22"/>
                <w:szCs w:val="22"/>
              </w:rPr>
              <m:t>27</m:t>
            </m:r>
          </m:e>
        </m:d>
        <m:r>
          <w:rPr>
            <w:rFonts w:ascii="Cambria Math" w:hAnsi="Cambria Math"/>
            <w:sz w:val="22"/>
            <w:szCs w:val="22"/>
          </w:rPr>
          <m:t>4.2673=+</m:t>
        </m:r>
        <m:d>
          <m:dPr>
            <m:ctrlPr>
              <w:rPr>
                <w:rFonts w:ascii="Cambria Math" w:hAnsi="Cambria Math"/>
                <w:i/>
                <w:sz w:val="22"/>
                <w:szCs w:val="22"/>
              </w:rPr>
            </m:ctrlPr>
          </m:dPr>
          <m:e>
            <m:r>
              <w:rPr>
                <w:rFonts w:ascii="Cambria Math" w:hAnsi="Cambria Math"/>
                <w:sz w:val="22"/>
                <w:szCs w:val="22"/>
              </w:rPr>
              <m:t>0.987</m:t>
            </m:r>
            <m:r>
              <w:rPr>
                <w:rFonts w:ascii="Cambria Math" w:hAnsi="Cambria Math"/>
                <w:sz w:val="22"/>
                <w:szCs w:val="22"/>
              </w:rPr>
              <m:t>3</m:t>
            </m:r>
          </m:e>
        </m:d>
        <m:r>
          <w:rPr>
            <w:rFonts w:ascii="Cambria Math" w:hAnsi="Cambria Math"/>
            <w:sz w:val="22"/>
            <w:szCs w:val="22"/>
          </w:rPr>
          <m:t xml:space="preserve">0=0.0542 </m:t>
        </m:r>
      </m:oMath>
      <w:r>
        <w:rPr>
          <w:sz w:val="22"/>
          <w:szCs w:val="22"/>
        </w:rPr>
        <w:t>Fm</w:t>
      </w:r>
    </w:p>
    <w:p w14:paraId="79C4A872" w14:textId="77777777" w:rsidR="005D2E57" w:rsidRPr="00D970EF" w:rsidRDefault="005D2E57" w:rsidP="005D2E57">
      <w:pPr>
        <w:spacing w:line="480" w:lineRule="auto"/>
        <w:ind w:firstLine="480"/>
        <w:rPr>
          <w:color w:val="201F1E"/>
          <w:sz w:val="22"/>
          <w:szCs w:val="22"/>
          <w:shd w:val="clear" w:color="auto" w:fill="FFFFFF"/>
        </w:rPr>
      </w:pPr>
      <w:r w:rsidRPr="00D970EF">
        <w:rPr>
          <w:color w:val="201F1E"/>
          <w:sz w:val="22"/>
          <w:szCs w:val="22"/>
          <w:shd w:val="clear" w:color="auto" w:fill="FFFFFF"/>
        </w:rPr>
        <w:t>Using rates of dark [</w:t>
      </w:r>
      <w:r w:rsidRPr="00D970EF">
        <w:rPr>
          <w:color w:val="201F1E"/>
          <w:sz w:val="22"/>
          <w:szCs w:val="22"/>
          <w:shd w:val="clear" w:color="auto" w:fill="FFFFFF"/>
          <w:vertAlign w:val="superscript"/>
        </w:rPr>
        <w:t>14</w:t>
      </w:r>
      <w:r w:rsidRPr="00D970EF">
        <w:rPr>
          <w:color w:val="201F1E"/>
          <w:sz w:val="22"/>
          <w:szCs w:val="22"/>
          <w:shd w:val="clear" w:color="auto" w:fill="FFFFFF"/>
        </w:rPr>
        <w:t>C] bicarbonate incorporation from SLW, the calculated outside-protocol DOC in this sample, which could have resulted from the slow assimilation of obviously contaminated DIC (Fm = 4.2673), is alarmingly similar to the measured value of DO</w:t>
      </w:r>
      <w:r w:rsidRPr="00D970EF">
        <w:rPr>
          <w:color w:val="201F1E"/>
          <w:sz w:val="22"/>
          <w:szCs w:val="22"/>
          <w:shd w:val="clear" w:color="auto" w:fill="FFFFFF"/>
          <w:vertAlign w:val="superscript"/>
        </w:rPr>
        <w:t>14</w:t>
      </w:r>
      <w:r w:rsidRPr="00D970EF">
        <w:rPr>
          <w:color w:val="201F1E"/>
          <w:sz w:val="22"/>
          <w:szCs w:val="22"/>
          <w:shd w:val="clear" w:color="auto" w:fill="FFFFFF"/>
        </w:rPr>
        <w:t xml:space="preserve">C in the same sample (Table S1, equation 4).  At those rates of assimilation, which are likely higher than what actually occurred in the frozen sample bottle, 1.3% of the DOC we measured could have come from contaminated DIC. The sample we took from within our protocol was taken during a cast of the </w:t>
      </w:r>
      <w:proofErr w:type="spellStart"/>
      <w:r w:rsidRPr="00D970EF">
        <w:rPr>
          <w:color w:val="201F1E"/>
          <w:sz w:val="22"/>
          <w:szCs w:val="22"/>
          <w:shd w:val="clear" w:color="auto" w:fill="FFFFFF"/>
        </w:rPr>
        <w:t>Niskin</w:t>
      </w:r>
      <w:proofErr w:type="spellEnd"/>
      <w:r w:rsidRPr="00D970EF">
        <w:rPr>
          <w:color w:val="201F1E"/>
          <w:sz w:val="22"/>
          <w:szCs w:val="22"/>
          <w:shd w:val="clear" w:color="auto" w:fill="FFFFFF"/>
        </w:rPr>
        <w:t xml:space="preserve"> bottle prior to any contact with the chemical laboratory, and DOC was measured at Fm = 0.0531 (Table S1). Both samples were frozen solid for storage and shipment in amber bottles, and the only possibility of microbial assimilation of DIC into DOC would have been in any small veins in which liquid water and concentrated salts were present (</w:t>
      </w:r>
      <w:proofErr w:type="spellStart"/>
      <w:r w:rsidRPr="00D970EF">
        <w:rPr>
          <w:color w:val="201F1E"/>
          <w:sz w:val="22"/>
          <w:szCs w:val="22"/>
          <w:shd w:val="clear" w:color="auto" w:fill="FFFFFF"/>
        </w:rPr>
        <w:t>Santibanez</w:t>
      </w:r>
      <w:proofErr w:type="spellEnd"/>
      <w:r w:rsidRPr="00D970EF">
        <w:rPr>
          <w:color w:val="201F1E"/>
          <w:sz w:val="22"/>
          <w:szCs w:val="22"/>
          <w:shd w:val="clear" w:color="auto" w:fill="FFFFFF"/>
        </w:rPr>
        <w:t xml:space="preserve"> et al., 2017, 2019). Furthermore, the sample was from SLM, which likely had lower cell counts and metabolic rates than SLW. Thus</w:t>
      </w:r>
      <w:r>
        <w:rPr>
          <w:color w:val="201F1E"/>
          <w:sz w:val="22"/>
          <w:szCs w:val="22"/>
          <w:shd w:val="clear" w:color="auto" w:fill="FFFFFF"/>
        </w:rPr>
        <w:t>,</w:t>
      </w:r>
      <w:r w:rsidRPr="00D970EF">
        <w:rPr>
          <w:color w:val="201F1E"/>
          <w:sz w:val="22"/>
          <w:szCs w:val="22"/>
          <w:shd w:val="clear" w:color="auto" w:fill="FFFFFF"/>
        </w:rPr>
        <w:t xml:space="preserve"> our calculation represents a high end of potential contribution from the contaminated DIC; if the rates of autotrophic assimilation were similarly an order of magnitude lower in SLM, than other factors may have contributed to the elevated amounts of radiocarbon in the outside-protocol DOC sample. </w:t>
      </w:r>
    </w:p>
    <w:p w14:paraId="087F1EBE" w14:textId="77777777" w:rsidR="005D2E57" w:rsidRDefault="005D2E57" w:rsidP="005D2E57">
      <w:pPr>
        <w:spacing w:line="480" w:lineRule="auto"/>
        <w:ind w:firstLine="480"/>
        <w:rPr>
          <w:color w:val="201F1E"/>
          <w:sz w:val="22"/>
          <w:szCs w:val="22"/>
          <w:shd w:val="clear" w:color="auto" w:fill="FFFFFF"/>
        </w:rPr>
      </w:pPr>
      <w:r w:rsidRPr="00D970EF">
        <w:rPr>
          <w:color w:val="201F1E"/>
          <w:sz w:val="22"/>
          <w:szCs w:val="22"/>
          <w:shd w:val="clear" w:color="auto" w:fill="FFFFFF"/>
        </w:rPr>
        <w:t xml:space="preserve">In either case, two outcomes are important. First, the conundrum of whether to trust our outside protocol DOC values illustrates the insidious nature of </w:t>
      </w:r>
      <w:r w:rsidRPr="00D970EF">
        <w:rPr>
          <w:color w:val="201F1E"/>
          <w:sz w:val="22"/>
          <w:szCs w:val="22"/>
          <w:shd w:val="clear" w:color="auto" w:fill="FFFFFF"/>
          <w:vertAlign w:val="superscript"/>
        </w:rPr>
        <w:t>14</w:t>
      </w:r>
      <w:r w:rsidRPr="00D970EF">
        <w:rPr>
          <w:color w:val="201F1E"/>
          <w:sz w:val="22"/>
          <w:szCs w:val="22"/>
          <w:shd w:val="clear" w:color="auto" w:fill="FFFFFF"/>
        </w:rPr>
        <w:t xml:space="preserve">C contamination in settings such as these. In this </w:t>
      </w:r>
      <w:r w:rsidRPr="00D970EF">
        <w:rPr>
          <w:color w:val="201F1E"/>
          <w:sz w:val="22"/>
          <w:szCs w:val="22"/>
          <w:shd w:val="clear" w:color="auto" w:fill="FFFFFF"/>
        </w:rPr>
        <w:lastRenderedPageBreak/>
        <w:t xml:space="preserve">case, we took ample precautions to break from protocol and sample from the </w:t>
      </w:r>
      <w:proofErr w:type="spellStart"/>
      <w:r w:rsidRPr="00D970EF">
        <w:rPr>
          <w:color w:val="201F1E"/>
          <w:sz w:val="22"/>
          <w:szCs w:val="22"/>
          <w:shd w:val="clear" w:color="auto" w:fill="FFFFFF"/>
        </w:rPr>
        <w:t>Niskin</w:t>
      </w:r>
      <w:proofErr w:type="spellEnd"/>
      <w:r w:rsidRPr="00D970EF">
        <w:rPr>
          <w:color w:val="201F1E"/>
          <w:sz w:val="22"/>
          <w:szCs w:val="22"/>
          <w:shd w:val="clear" w:color="auto" w:fill="FFFFFF"/>
        </w:rPr>
        <w:t xml:space="preserve"> bottle after it had been in the chemistry laboratory. Our outside-protocol results suggest that freezing of samples may allow some limited exchange between the DIC and DOC pools. In this case, the amber bottle is not limiting to adapted to assimilate inorganic carbon without (</w:t>
      </w:r>
      <w:proofErr w:type="gramStart"/>
      <w:r w:rsidRPr="00D970EF">
        <w:rPr>
          <w:color w:val="201F1E"/>
          <w:sz w:val="22"/>
          <w:szCs w:val="22"/>
          <w:shd w:val="clear" w:color="auto" w:fill="FFFFFF"/>
        </w:rPr>
        <w:t>i.e.</w:t>
      </w:r>
      <w:proofErr w:type="gramEnd"/>
      <w:r w:rsidRPr="00D970EF">
        <w:rPr>
          <w:color w:val="201F1E"/>
          <w:sz w:val="22"/>
          <w:szCs w:val="22"/>
          <w:shd w:val="clear" w:color="auto" w:fill="FFFFFF"/>
        </w:rPr>
        <w:t xml:space="preserve"> in an environment underneath 1 km of ice). However, salt concentrations were extremely low in this environment compared to open ocean samples.  Given these competing factors, it is noted that we likely were able to see evidence of DIC-DOC exchange in a frozen sample because of the amplified signal produced by the contamination of the DIC in the outside protocol sample.</w:t>
      </w:r>
      <w:r>
        <w:rPr>
          <w:color w:val="201F1E"/>
          <w:sz w:val="22"/>
          <w:szCs w:val="22"/>
          <w:shd w:val="clear" w:color="auto" w:fill="FFFFFF"/>
        </w:rPr>
        <w:t xml:space="preserve"> </w:t>
      </w:r>
      <w:r w:rsidRPr="00D970EF">
        <w:rPr>
          <w:color w:val="201F1E"/>
          <w:sz w:val="22"/>
          <w:szCs w:val="22"/>
          <w:shd w:val="clear" w:color="auto" w:fill="FFFFFF"/>
        </w:rPr>
        <w:t>This exercise shows that</w:t>
      </w:r>
      <w:r>
        <w:rPr>
          <w:color w:val="201F1E"/>
          <w:sz w:val="22"/>
          <w:szCs w:val="22"/>
          <w:shd w:val="clear" w:color="auto" w:fill="FFFFFF"/>
        </w:rPr>
        <w:t>:</w:t>
      </w:r>
      <w:r w:rsidRPr="00D970EF">
        <w:rPr>
          <w:color w:val="201F1E"/>
          <w:sz w:val="22"/>
          <w:szCs w:val="22"/>
          <w:shd w:val="clear" w:color="auto" w:fill="FFFFFF"/>
        </w:rPr>
        <w:t xml:space="preserve"> </w:t>
      </w:r>
    </w:p>
    <w:p w14:paraId="0FCB2649" w14:textId="77777777" w:rsidR="005D2E57" w:rsidRDefault="005D2E57" w:rsidP="005D2E57">
      <w:pPr>
        <w:spacing w:line="480" w:lineRule="auto"/>
        <w:ind w:left="720"/>
        <w:rPr>
          <w:color w:val="201F1E"/>
          <w:sz w:val="22"/>
          <w:szCs w:val="22"/>
          <w:shd w:val="clear" w:color="auto" w:fill="FFFFFF"/>
        </w:rPr>
      </w:pPr>
      <w:r w:rsidRPr="00D970EF">
        <w:rPr>
          <w:color w:val="201F1E"/>
          <w:sz w:val="22"/>
          <w:szCs w:val="22"/>
          <w:shd w:val="clear" w:color="auto" w:fill="FFFFFF"/>
        </w:rPr>
        <w:t xml:space="preserve">1. We have a DOC sample, sampled within our protocol, that likely avoids all sources of contamination and that </w:t>
      </w:r>
    </w:p>
    <w:p w14:paraId="7F886807" w14:textId="77777777" w:rsidR="005D2E57" w:rsidRPr="00D970EF" w:rsidRDefault="005D2E57" w:rsidP="005D2E57">
      <w:pPr>
        <w:spacing w:line="480" w:lineRule="auto"/>
        <w:ind w:left="720"/>
        <w:rPr>
          <w:sz w:val="22"/>
          <w:szCs w:val="22"/>
        </w:rPr>
      </w:pPr>
      <w:r w:rsidRPr="00D970EF">
        <w:rPr>
          <w:color w:val="201F1E"/>
          <w:sz w:val="22"/>
          <w:szCs w:val="22"/>
          <w:shd w:val="clear" w:color="auto" w:fill="FFFFFF"/>
        </w:rPr>
        <w:t xml:space="preserve">2. Our radiocarbon contamination prevention protocol was likely necessary despite the fact that our other success hides the reasons for such precaution. </w:t>
      </w:r>
    </w:p>
    <w:p w14:paraId="2F0BC683" w14:textId="77777777" w:rsidR="005D2E57" w:rsidRDefault="005D2E57" w:rsidP="005D2E57">
      <w:pPr>
        <w:pStyle w:val="NormalWeb"/>
        <w:ind w:left="480" w:hanging="480"/>
        <w:rPr>
          <w:i/>
          <w:iCs/>
          <w:sz w:val="22"/>
          <w:szCs w:val="22"/>
        </w:rPr>
      </w:pPr>
    </w:p>
    <w:p w14:paraId="71CB4DB4" w14:textId="77777777" w:rsidR="005D2E57" w:rsidRDefault="005D2E57" w:rsidP="005D2E57">
      <w:pPr>
        <w:pStyle w:val="NormalWeb"/>
        <w:ind w:left="480" w:hanging="480"/>
        <w:rPr>
          <w:i/>
          <w:iCs/>
          <w:sz w:val="22"/>
          <w:szCs w:val="22"/>
        </w:rPr>
      </w:pPr>
    </w:p>
    <w:p w14:paraId="1F70E27C" w14:textId="77777777" w:rsidR="005D2E57" w:rsidRDefault="005D2E57" w:rsidP="005D2E57">
      <w:pPr>
        <w:pStyle w:val="NormalWeb"/>
        <w:ind w:left="480" w:hanging="480"/>
        <w:rPr>
          <w:i/>
          <w:iCs/>
          <w:sz w:val="22"/>
          <w:szCs w:val="22"/>
        </w:rPr>
      </w:pPr>
    </w:p>
    <w:p w14:paraId="48AD7EB2" w14:textId="77777777" w:rsidR="005D2E57" w:rsidRDefault="005D2E57" w:rsidP="005D2E57">
      <w:pPr>
        <w:pStyle w:val="NormalWeb"/>
        <w:ind w:left="480" w:hanging="480"/>
        <w:rPr>
          <w:i/>
          <w:iCs/>
          <w:sz w:val="22"/>
          <w:szCs w:val="22"/>
        </w:rPr>
      </w:pPr>
    </w:p>
    <w:p w14:paraId="42E24FBA" w14:textId="77777777" w:rsidR="005D2E57" w:rsidRDefault="005D2E57" w:rsidP="005D2E57">
      <w:pPr>
        <w:pStyle w:val="NormalWeb"/>
        <w:ind w:left="480" w:hanging="480"/>
        <w:rPr>
          <w:i/>
          <w:iCs/>
          <w:sz w:val="22"/>
          <w:szCs w:val="22"/>
        </w:rPr>
      </w:pPr>
    </w:p>
    <w:p w14:paraId="7F195CF8" w14:textId="77777777" w:rsidR="005D2E57" w:rsidRDefault="005D2E57" w:rsidP="005D2E57">
      <w:pPr>
        <w:pStyle w:val="NormalWeb"/>
        <w:ind w:left="480" w:hanging="480"/>
        <w:rPr>
          <w:i/>
          <w:iCs/>
          <w:sz w:val="22"/>
          <w:szCs w:val="22"/>
        </w:rPr>
      </w:pPr>
    </w:p>
    <w:p w14:paraId="0B10A476" w14:textId="77777777" w:rsidR="005D2E57" w:rsidRDefault="005D2E57" w:rsidP="005D2E57">
      <w:pPr>
        <w:pStyle w:val="NormalWeb"/>
        <w:ind w:left="480" w:hanging="480"/>
        <w:rPr>
          <w:i/>
          <w:iCs/>
          <w:sz w:val="22"/>
          <w:szCs w:val="22"/>
        </w:rPr>
      </w:pPr>
    </w:p>
    <w:p w14:paraId="1881FAD7" w14:textId="77777777" w:rsidR="005D2E57" w:rsidRDefault="005D2E57" w:rsidP="005D2E57">
      <w:pPr>
        <w:pStyle w:val="NormalWeb"/>
        <w:ind w:left="480" w:hanging="480"/>
        <w:rPr>
          <w:i/>
          <w:iCs/>
          <w:sz w:val="22"/>
          <w:szCs w:val="22"/>
        </w:rPr>
      </w:pPr>
    </w:p>
    <w:p w14:paraId="4D80D7E1" w14:textId="77777777" w:rsidR="005D2E57" w:rsidRDefault="005D2E57" w:rsidP="005D2E57">
      <w:pPr>
        <w:pStyle w:val="NormalWeb"/>
        <w:ind w:left="480" w:hanging="480"/>
        <w:rPr>
          <w:i/>
          <w:iCs/>
          <w:sz w:val="22"/>
          <w:szCs w:val="22"/>
        </w:rPr>
      </w:pPr>
    </w:p>
    <w:p w14:paraId="62E6C168" w14:textId="3274CD4E" w:rsidR="005D2E57" w:rsidRPr="005D2E57" w:rsidRDefault="005D2E57" w:rsidP="005D2E57">
      <w:pPr>
        <w:pStyle w:val="NormalWeb"/>
        <w:rPr>
          <w:b/>
          <w:bCs/>
          <w:sz w:val="22"/>
          <w:szCs w:val="22"/>
        </w:rPr>
      </w:pPr>
      <w:r w:rsidRPr="005D2E57">
        <w:rPr>
          <w:b/>
          <w:bCs/>
          <w:noProof/>
          <w:sz w:val="21"/>
          <w:szCs w:val="21"/>
        </w:rPr>
        <w:lastRenderedPageBreak/>
        <w:drawing>
          <wp:anchor distT="0" distB="0" distL="114300" distR="114300" simplePos="0" relativeHeight="251659264" behindDoc="1" locked="0" layoutInCell="1" allowOverlap="1" wp14:anchorId="3C25AF8B" wp14:editId="0CCC4B61">
            <wp:simplePos x="0" y="0"/>
            <wp:positionH relativeFrom="column">
              <wp:posOffset>1656080</wp:posOffset>
            </wp:positionH>
            <wp:positionV relativeFrom="paragraph">
              <wp:posOffset>193040</wp:posOffset>
            </wp:positionV>
            <wp:extent cx="2408555" cy="4725035"/>
            <wp:effectExtent l="0" t="0" r="0" b="0"/>
            <wp:wrapTight wrapText="bothSides">
              <wp:wrapPolygon edited="0">
                <wp:start x="20826" y="592"/>
                <wp:lineTo x="325" y="650"/>
                <wp:lineTo x="325" y="20912"/>
                <wp:lineTo x="20826" y="20970"/>
                <wp:lineTo x="20826" y="59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4">
                      <a:extLst>
                        <a:ext uri="{28A0092B-C50C-407E-A947-70E740481C1C}">
                          <a14:useLocalDpi xmlns:a14="http://schemas.microsoft.com/office/drawing/2010/main" val="0"/>
                        </a:ext>
                      </a:extLst>
                    </a:blip>
                    <a:srcRect l="17864" r="16150"/>
                    <a:stretch/>
                  </pic:blipFill>
                  <pic:spPr bwMode="auto">
                    <a:xfrm rot="16200000">
                      <a:off x="0" y="0"/>
                      <a:ext cx="2408555" cy="472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2E57">
        <w:rPr>
          <w:b/>
          <w:bCs/>
          <w:sz w:val="22"/>
          <w:szCs w:val="22"/>
        </w:rPr>
        <w:t xml:space="preserve">Swipe </w:t>
      </w:r>
      <w:r>
        <w:rPr>
          <w:b/>
          <w:bCs/>
          <w:sz w:val="22"/>
          <w:szCs w:val="22"/>
        </w:rPr>
        <w:t>T</w:t>
      </w:r>
      <w:r w:rsidRPr="005D2E57">
        <w:rPr>
          <w:b/>
          <w:bCs/>
          <w:sz w:val="22"/>
          <w:szCs w:val="22"/>
        </w:rPr>
        <w:t xml:space="preserve">esting </w:t>
      </w:r>
      <w:r>
        <w:rPr>
          <w:b/>
          <w:bCs/>
          <w:sz w:val="22"/>
          <w:szCs w:val="22"/>
        </w:rPr>
        <w:t>D</w:t>
      </w:r>
      <w:r w:rsidRPr="005D2E57">
        <w:rPr>
          <w:b/>
          <w:bCs/>
          <w:sz w:val="22"/>
          <w:szCs w:val="22"/>
        </w:rPr>
        <w:t>ata</w:t>
      </w:r>
    </w:p>
    <w:p w14:paraId="4996977C" w14:textId="77777777" w:rsidR="005D2E57" w:rsidRDefault="005D2E57" w:rsidP="005D2E57">
      <w:pPr>
        <w:pStyle w:val="NormalWeb"/>
        <w:ind w:firstLine="480"/>
        <w:rPr>
          <w:sz w:val="22"/>
          <w:szCs w:val="22"/>
        </w:rPr>
      </w:pPr>
      <w:r>
        <w:rPr>
          <w:noProof/>
        </w:rPr>
        <mc:AlternateContent>
          <mc:Choice Requires="wps">
            <w:drawing>
              <wp:anchor distT="0" distB="0" distL="114300" distR="114300" simplePos="0" relativeHeight="251660288" behindDoc="1" locked="0" layoutInCell="1" allowOverlap="1" wp14:anchorId="14748096" wp14:editId="5475C4BF">
                <wp:simplePos x="0" y="0"/>
                <wp:positionH relativeFrom="column">
                  <wp:posOffset>499110</wp:posOffset>
                </wp:positionH>
                <wp:positionV relativeFrom="paragraph">
                  <wp:posOffset>3329305</wp:posOffset>
                </wp:positionV>
                <wp:extent cx="4725035" cy="635"/>
                <wp:effectExtent l="0" t="0" r="0" b="12065"/>
                <wp:wrapTight wrapText="bothSides">
                  <wp:wrapPolygon edited="0">
                    <wp:start x="0" y="0"/>
                    <wp:lineTo x="0" y="0"/>
                    <wp:lineTo x="21539" y="0"/>
                    <wp:lineTo x="21539"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725035" cy="635"/>
                        </a:xfrm>
                        <a:prstGeom prst="rect">
                          <a:avLst/>
                        </a:prstGeom>
                        <a:solidFill>
                          <a:prstClr val="white"/>
                        </a:solidFill>
                        <a:ln>
                          <a:noFill/>
                        </a:ln>
                      </wps:spPr>
                      <wps:txbx>
                        <w:txbxContent>
                          <w:p w14:paraId="5A00D4EA" w14:textId="77777777" w:rsidR="005D2E57" w:rsidRPr="00B848A5" w:rsidRDefault="005D2E57" w:rsidP="005D2E57">
                            <w:pPr>
                              <w:pStyle w:val="Caption"/>
                              <w:rPr>
                                <w:rFonts w:ascii="Times New Roman" w:eastAsia="Times New Roman" w:hAnsi="Times New Roman" w:cs="Times New Roman"/>
                                <w:noProof/>
                                <w:sz w:val="24"/>
                                <w:szCs w:val="24"/>
                              </w:rPr>
                            </w:pPr>
                            <w:r w:rsidRPr="00B848A5">
                              <w:rPr>
                                <w:rFonts w:ascii="Times New Roman" w:hAnsi="Times New Roman" w:cs="Times New Roman"/>
                                <w:sz w:val="21"/>
                                <w:szCs w:val="21"/>
                              </w:rPr>
                              <w:t xml:space="preserve">Figure S1: Schematic map of sediment laboratory used in SALSA Project field work. Specific site locations are labeled and correspond to locations of swipe testing for which results are listed in Table S2.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4748096" id="_x0000_t202" coordsize="21600,21600" o:spt="202" path="m,l,21600r21600,l21600,xe">
                <v:stroke joinstyle="miter"/>
                <v:path gradientshapeok="t" o:connecttype="rect"/>
              </v:shapetype>
              <v:shape id="Text Box 8" o:spid="_x0000_s1026" type="#_x0000_t202" style="position:absolute;left:0;text-align:left;margin-left:39.3pt;margin-top:262.15pt;width:372.0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" stroked="f">
                <v:textbox style="mso-fit-shape-to-text:t" inset="0,0,0,0">
                  <w:txbxContent>
                    <w:p w14:paraId="5A00D4EA" w14:textId="77777777" w:rsidR="005D2E57" w:rsidRPr="00B848A5" w:rsidRDefault="005D2E57" w:rsidP="005D2E57">
                      <w:pPr>
                        <w:pStyle w:val="Caption"/>
                        <w:rPr>
                          <w:rFonts w:ascii="Times New Roman" w:eastAsia="Times New Roman" w:hAnsi="Times New Roman" w:cs="Times New Roman"/>
                          <w:noProof/>
                          <w:sz w:val="24"/>
                          <w:szCs w:val="24"/>
                        </w:rPr>
                      </w:pPr>
                      <w:r w:rsidRPr="00B848A5">
                        <w:rPr>
                          <w:rFonts w:ascii="Times New Roman" w:hAnsi="Times New Roman" w:cs="Times New Roman"/>
                          <w:sz w:val="21"/>
                          <w:szCs w:val="21"/>
                        </w:rPr>
                        <w:t xml:space="preserve">Figure S1: Schematic map of sediment laboratory used in SALSA Project field work. Specific site locations are labeled and correspond to locations of swipe testing for which results are listed in Table S2. </w:t>
                      </w:r>
                    </w:p>
                  </w:txbxContent>
                </v:textbox>
                <w10:wrap type="tight"/>
              </v:shape>
            </w:pict>
          </mc:Fallback>
        </mc:AlternateContent>
      </w:r>
      <w:r>
        <w:rPr>
          <w:noProof/>
          <w:sz w:val="21"/>
          <w:szCs w:val="21"/>
        </w:rPr>
        <w:t>We include all results from our swipe testing in tabular form (Table S2)</w:t>
      </w:r>
      <w:r>
        <w:rPr>
          <w:sz w:val="22"/>
          <w:szCs w:val="22"/>
        </w:rPr>
        <w:t xml:space="preserve">. Because the site locations within the sediment laboratory point to specific locations, we include a schematic of this </w:t>
      </w:r>
      <w:proofErr w:type="gramStart"/>
      <w:r>
        <w:rPr>
          <w:sz w:val="22"/>
          <w:szCs w:val="22"/>
        </w:rPr>
        <w:t>40 foot</w:t>
      </w:r>
      <w:proofErr w:type="gramEnd"/>
      <w:r>
        <w:rPr>
          <w:sz w:val="22"/>
          <w:szCs w:val="22"/>
        </w:rPr>
        <w:t xml:space="preserve"> shipping container used for natural-level </w:t>
      </w:r>
      <w:r>
        <w:rPr>
          <w:sz w:val="22"/>
          <w:szCs w:val="22"/>
          <w:vertAlign w:val="superscript"/>
        </w:rPr>
        <w:t>14</w:t>
      </w:r>
      <w:r>
        <w:rPr>
          <w:sz w:val="22"/>
          <w:szCs w:val="22"/>
        </w:rPr>
        <w:t xml:space="preserve">C work (Fig S1). </w:t>
      </w:r>
    </w:p>
    <w:p w14:paraId="313E4EAF" w14:textId="77777777" w:rsidR="005D2E57" w:rsidRDefault="005D2E57" w:rsidP="005D2E57">
      <w:pPr>
        <w:pStyle w:val="NormalWeb"/>
        <w:ind w:firstLine="480"/>
        <w:rPr>
          <w:sz w:val="22"/>
          <w:szCs w:val="22"/>
        </w:rPr>
      </w:pPr>
    </w:p>
    <w:p w14:paraId="3E5D52DC" w14:textId="77777777" w:rsidR="005D2E57" w:rsidRDefault="005D2E57" w:rsidP="005D2E57">
      <w:pPr>
        <w:pStyle w:val="NormalWeb"/>
        <w:ind w:firstLine="480"/>
        <w:rPr>
          <w:sz w:val="22"/>
          <w:szCs w:val="22"/>
        </w:rPr>
      </w:pPr>
    </w:p>
    <w:p w14:paraId="1D40A01C" w14:textId="77777777" w:rsidR="005D2E57" w:rsidRDefault="005D2E57" w:rsidP="005D2E57">
      <w:pPr>
        <w:pStyle w:val="NormalWeb"/>
        <w:ind w:firstLine="480"/>
        <w:rPr>
          <w:sz w:val="22"/>
          <w:szCs w:val="22"/>
        </w:rPr>
      </w:pPr>
    </w:p>
    <w:p w14:paraId="534B1203" w14:textId="77777777" w:rsidR="005D2E57" w:rsidRDefault="005D2E57" w:rsidP="005D2E57">
      <w:pPr>
        <w:pStyle w:val="NormalWeb"/>
        <w:ind w:firstLine="480"/>
        <w:rPr>
          <w:sz w:val="22"/>
          <w:szCs w:val="22"/>
        </w:rPr>
      </w:pPr>
    </w:p>
    <w:p w14:paraId="01FECDA4" w14:textId="77777777" w:rsidR="005D2E57" w:rsidRDefault="005D2E57" w:rsidP="005D2E57">
      <w:pPr>
        <w:pStyle w:val="NormalWeb"/>
        <w:ind w:firstLine="480"/>
        <w:rPr>
          <w:sz w:val="22"/>
          <w:szCs w:val="22"/>
        </w:rPr>
      </w:pPr>
    </w:p>
    <w:p w14:paraId="2723CA2C" w14:textId="77777777" w:rsidR="005D2E57" w:rsidRDefault="005D2E57" w:rsidP="005D2E57">
      <w:pPr>
        <w:pStyle w:val="NormalWeb"/>
        <w:ind w:firstLine="480"/>
        <w:rPr>
          <w:sz w:val="22"/>
          <w:szCs w:val="22"/>
        </w:rPr>
      </w:pPr>
    </w:p>
    <w:p w14:paraId="230FB94E" w14:textId="601545B9" w:rsidR="005D2E57" w:rsidRPr="005D2E57" w:rsidRDefault="005D2E57" w:rsidP="005D2E57">
      <w:pPr>
        <w:pStyle w:val="NormalWeb"/>
        <w:rPr>
          <w:b/>
          <w:bCs/>
          <w:sz w:val="22"/>
          <w:szCs w:val="22"/>
        </w:rPr>
      </w:pPr>
      <w:r w:rsidRPr="005D2E57">
        <w:rPr>
          <w:b/>
          <w:bCs/>
          <w:sz w:val="22"/>
          <w:szCs w:val="22"/>
        </w:rPr>
        <w:t xml:space="preserve">Table S2 </w:t>
      </w:r>
      <w:r>
        <w:rPr>
          <w:b/>
          <w:bCs/>
          <w:sz w:val="22"/>
          <w:szCs w:val="22"/>
        </w:rPr>
        <w:t>D</w:t>
      </w:r>
      <w:r w:rsidRPr="005D2E57">
        <w:rPr>
          <w:b/>
          <w:bCs/>
          <w:sz w:val="22"/>
          <w:szCs w:val="22"/>
        </w:rPr>
        <w:t>escription</w:t>
      </w:r>
    </w:p>
    <w:p w14:paraId="2D449C1C" w14:textId="77777777" w:rsidR="005D2E57" w:rsidRPr="00B848A5" w:rsidRDefault="005D2E57" w:rsidP="005D2E57">
      <w:pPr>
        <w:pStyle w:val="NormalWeb"/>
        <w:ind w:firstLine="720"/>
        <w:rPr>
          <w:sz w:val="22"/>
          <w:szCs w:val="22"/>
        </w:rPr>
      </w:pPr>
      <w:r>
        <w:rPr>
          <w:sz w:val="22"/>
          <w:szCs w:val="22"/>
        </w:rPr>
        <w:t xml:space="preserve">Table S2 includes results from all swipe testing performed in preparation for and during the SALSA field season (See Fig 2 of main text for timeline of swipe testing). Herein we include the timeframe over which swipe testing was performed, swipe tests were analyzed, and results of the swipe tests. We include the submitted sample names as well as site descriptors that correspond with our camp map (Fig 3A) and our sediment lab schematic (Fig S1). </w:t>
      </w:r>
    </w:p>
    <w:p w14:paraId="79C7D2AD" w14:textId="77777777" w:rsidR="002E6632" w:rsidRDefault="00D53863"/>
    <w:sectPr w:rsidR="002E6632" w:rsidSect="00AB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57"/>
    <w:rsid w:val="005D2E57"/>
    <w:rsid w:val="00AB5A6F"/>
    <w:rsid w:val="00BC782A"/>
    <w:rsid w:val="00D5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36B93"/>
  <w15:chartTrackingRefBased/>
  <w15:docId w15:val="{984BCDA3-52A3-9E40-8C2F-D2803337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E57"/>
    <w:pPr>
      <w:spacing w:before="100" w:beforeAutospacing="1" w:after="100" w:afterAutospacing="1" w:line="480" w:lineRule="auto"/>
    </w:pPr>
  </w:style>
  <w:style w:type="paragraph" w:styleId="Caption">
    <w:name w:val="caption"/>
    <w:basedOn w:val="Normal"/>
    <w:next w:val="Normal"/>
    <w:uiPriority w:val="35"/>
    <w:unhideWhenUsed/>
    <w:qFormat/>
    <w:rsid w:val="005D2E57"/>
    <w:pPr>
      <w:spacing w:after="200"/>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5D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Venturelli, Ryan</dc:creator>
  <cp:keywords/>
  <dc:description/>
  <cp:lastModifiedBy>Venturelli, Ryan</cp:lastModifiedBy>
  <cp:revision>2</cp:revision>
  <dcterms:created xsi:type="dcterms:W3CDTF">2020-12-15T22:39:00Z</dcterms:created>
  <dcterms:modified xsi:type="dcterms:W3CDTF">2021-04-11T22:15:00Z</dcterms:modified>
</cp:coreProperties>
</file>