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3F6D" w14:textId="77777777" w:rsidR="007A0764" w:rsidRDefault="007A0764" w:rsidP="00D51169">
      <w:pPr>
        <w:jc w:val="center"/>
        <w:rPr>
          <w:rFonts w:eastAsia="Times New Roman" w:cs="Times New Roman"/>
          <w:b/>
        </w:rPr>
      </w:pPr>
      <w:r w:rsidRPr="00841EDC">
        <w:rPr>
          <w:rFonts w:eastAsia="Times New Roman" w:cs="Times New Roman"/>
          <w:b/>
        </w:rPr>
        <w:t xml:space="preserve">Do weak or strong acids remove carbonate contamination from ancient tooth enamel more effectively? The effect of acid pretreatment on radiocarbon and </w:t>
      </w:r>
      <w:r w:rsidRPr="00841EDC">
        <w:rPr>
          <w:rFonts w:ascii="Cambria" w:eastAsia="Times New Roman" w:hAnsi="Cambria" w:cs="Times New Roman"/>
          <w:b/>
        </w:rPr>
        <w:t>δ</w:t>
      </w:r>
      <w:r w:rsidRPr="00841EDC">
        <w:rPr>
          <w:rFonts w:eastAsia="Times New Roman" w:cs="Times New Roman"/>
          <w:b/>
          <w:vertAlign w:val="superscript"/>
        </w:rPr>
        <w:t>13</w:t>
      </w:r>
      <w:r>
        <w:rPr>
          <w:rFonts w:eastAsia="Times New Roman" w:cs="Times New Roman"/>
          <w:b/>
        </w:rPr>
        <w:t>C analyses</w:t>
      </w:r>
    </w:p>
    <w:p w14:paraId="1DE12A5E" w14:textId="77777777" w:rsidR="00D51169" w:rsidRDefault="00D51169" w:rsidP="00D51169">
      <w:pPr>
        <w:jc w:val="center"/>
        <w:rPr>
          <w:rFonts w:eastAsia="Times New Roman" w:cs="Times New Roman"/>
          <w:b/>
        </w:rPr>
      </w:pPr>
    </w:p>
    <w:p w14:paraId="62232878" w14:textId="79D47901" w:rsidR="00D51169" w:rsidRPr="00D51169" w:rsidRDefault="00D51169" w:rsidP="00D51169">
      <w:pPr>
        <w:jc w:val="center"/>
        <w:rPr>
          <w:rFonts w:eastAsia="Times New Roman" w:cs="Times New Roman"/>
          <w:b/>
          <w:i/>
        </w:rPr>
      </w:pPr>
      <w:r w:rsidRPr="00D51169">
        <w:rPr>
          <w:rFonts w:eastAsia="Times New Roman" w:cs="Times New Roman"/>
          <w:b/>
          <w:i/>
        </w:rPr>
        <w:t>Supplementary Online Material</w:t>
      </w:r>
    </w:p>
    <w:p w14:paraId="7A7D04DF" w14:textId="77777777" w:rsidR="007A0764" w:rsidRPr="00D53A10" w:rsidRDefault="007A0764" w:rsidP="00517B6C"/>
    <w:p w14:paraId="2930DBC5" w14:textId="77777777" w:rsidR="007A0764" w:rsidRPr="00D53A10" w:rsidRDefault="007A0764" w:rsidP="00517B6C">
      <w:r w:rsidRPr="00D53A10">
        <w:t>Rachel Wood</w:t>
      </w:r>
      <w:r w:rsidRPr="00D53A10">
        <w:rPr>
          <w:vertAlign w:val="superscript"/>
        </w:rPr>
        <w:t>1, 2</w:t>
      </w:r>
      <w:r w:rsidRPr="00D53A10">
        <w:t>, Andre Barros Fleury</w:t>
      </w:r>
      <w:r w:rsidRPr="00D53A10">
        <w:rPr>
          <w:vertAlign w:val="superscript"/>
        </w:rPr>
        <w:t>2, 3</w:t>
      </w:r>
      <w:r w:rsidRPr="00D53A10">
        <w:t>, Stewart Fallon</w:t>
      </w:r>
      <w:r w:rsidRPr="00D53A10">
        <w:rPr>
          <w:vertAlign w:val="superscript"/>
        </w:rPr>
        <w:t>1</w:t>
      </w:r>
      <w:r w:rsidRPr="00D53A10">
        <w:t xml:space="preserve">, </w:t>
      </w:r>
      <w:r w:rsidRPr="00D53A10">
        <w:rPr>
          <w:rFonts w:cs="Times New Roman"/>
          <w:color w:val="000000"/>
        </w:rPr>
        <w:t xml:space="preserve">Nguyen </w:t>
      </w:r>
      <w:proofErr w:type="spellStart"/>
      <w:r w:rsidRPr="00D53A10">
        <w:rPr>
          <w:rFonts w:cs="Times New Roman"/>
          <w:color w:val="000000"/>
        </w:rPr>
        <w:t>Thi</w:t>
      </w:r>
      <w:proofErr w:type="spellEnd"/>
      <w:r w:rsidRPr="00D53A10">
        <w:rPr>
          <w:rFonts w:cs="Times New Roman"/>
          <w:color w:val="000000"/>
        </w:rPr>
        <w:t xml:space="preserve"> Mai Huong</w:t>
      </w:r>
      <w:r w:rsidRPr="00D53A10">
        <w:rPr>
          <w:rFonts w:cs="Times New Roman"/>
          <w:color w:val="000000"/>
          <w:vertAlign w:val="superscript"/>
        </w:rPr>
        <w:t>4</w:t>
      </w:r>
      <w:r w:rsidRPr="00D53A10">
        <w:rPr>
          <w:rFonts w:cs="Times New Roman"/>
          <w:color w:val="000000"/>
        </w:rPr>
        <w:t xml:space="preserve">, </w:t>
      </w:r>
      <w:r w:rsidRPr="00D53A10">
        <w:rPr>
          <w:rFonts w:cs="Times New Roman"/>
          <w:color w:val="191919"/>
        </w:rPr>
        <w:t xml:space="preserve">Nguyen </w:t>
      </w:r>
      <w:proofErr w:type="spellStart"/>
      <w:r w:rsidRPr="00D53A10">
        <w:rPr>
          <w:rFonts w:cs="Times New Roman"/>
          <w:color w:val="191919"/>
        </w:rPr>
        <w:t>Anh</w:t>
      </w:r>
      <w:proofErr w:type="spellEnd"/>
      <w:r w:rsidRPr="00D53A10">
        <w:rPr>
          <w:rFonts w:cs="Times New Roman"/>
          <w:color w:val="191919"/>
        </w:rPr>
        <w:t xml:space="preserve"> Tuan</w:t>
      </w:r>
      <w:r w:rsidRPr="00D53A10">
        <w:rPr>
          <w:rFonts w:cs="Times New Roman"/>
          <w:color w:val="000000"/>
          <w:vertAlign w:val="superscript"/>
        </w:rPr>
        <w:t>4</w:t>
      </w:r>
    </w:p>
    <w:p w14:paraId="526BD8AD" w14:textId="77777777" w:rsidR="007A0764" w:rsidRPr="00D53A10" w:rsidRDefault="007A0764" w:rsidP="00517B6C"/>
    <w:p w14:paraId="0E6442F6" w14:textId="77777777" w:rsidR="007A0764" w:rsidRPr="00D53A10" w:rsidRDefault="007A0764" w:rsidP="00517B6C">
      <w:r w:rsidRPr="00D53A10">
        <w:rPr>
          <w:vertAlign w:val="superscript"/>
        </w:rPr>
        <w:t>1.</w:t>
      </w:r>
      <w:r w:rsidRPr="00D53A10">
        <w:t xml:space="preserve"> Research School of Earth Sciences, Australian National University, Acton, 2603, Australia</w:t>
      </w:r>
    </w:p>
    <w:p w14:paraId="3769903D" w14:textId="77777777" w:rsidR="007A0764" w:rsidRPr="00D53A10" w:rsidRDefault="007A0764" w:rsidP="00517B6C">
      <w:r w:rsidRPr="00D53A10">
        <w:rPr>
          <w:vertAlign w:val="superscript"/>
        </w:rPr>
        <w:t>2.</w:t>
      </w:r>
      <w:r w:rsidRPr="00D53A10">
        <w:t xml:space="preserve"> School of Archaeology and Anthropology, Australian National University, Acton, 2603, Australia</w:t>
      </w:r>
    </w:p>
    <w:p w14:paraId="67CF48D4" w14:textId="77777777" w:rsidR="007A0764" w:rsidRPr="00D53A10" w:rsidRDefault="007A0764" w:rsidP="00517B6C">
      <w:r w:rsidRPr="00D53A10">
        <w:rPr>
          <w:vertAlign w:val="superscript"/>
        </w:rPr>
        <w:t>3.</w:t>
      </w:r>
      <w:r w:rsidRPr="00D53A10">
        <w:t xml:space="preserve"> </w:t>
      </w:r>
      <w:r w:rsidRPr="00D53A10">
        <w:rPr>
          <w:rFonts w:eastAsia="Times New Roman" w:cs="Times New Roman"/>
        </w:rPr>
        <w:t xml:space="preserve">Curio Projects Pty Ltd, 17 </w:t>
      </w:r>
      <w:proofErr w:type="spellStart"/>
      <w:r w:rsidRPr="00D53A10">
        <w:rPr>
          <w:rFonts w:eastAsia="Times New Roman" w:cs="Times New Roman"/>
        </w:rPr>
        <w:t>Thurlow</w:t>
      </w:r>
      <w:proofErr w:type="spellEnd"/>
      <w:r w:rsidRPr="00D53A10">
        <w:rPr>
          <w:rFonts w:eastAsia="Times New Roman" w:cs="Times New Roman"/>
        </w:rPr>
        <w:t xml:space="preserve"> Street, </w:t>
      </w:r>
      <w:proofErr w:type="spellStart"/>
      <w:r w:rsidRPr="00D53A10">
        <w:rPr>
          <w:rFonts w:eastAsia="Times New Roman" w:cs="Times New Roman"/>
        </w:rPr>
        <w:t>Redfern</w:t>
      </w:r>
      <w:proofErr w:type="spellEnd"/>
      <w:r w:rsidRPr="00D53A10">
        <w:rPr>
          <w:rFonts w:eastAsia="Times New Roman" w:cs="Times New Roman"/>
        </w:rPr>
        <w:t>, 2016, Australia</w:t>
      </w:r>
    </w:p>
    <w:p w14:paraId="1629D099" w14:textId="77777777" w:rsidR="002E25A2" w:rsidRDefault="007A0764" w:rsidP="00517B6C">
      <w:pPr>
        <w:rPr>
          <w:rFonts w:cs="Times New Roman"/>
          <w:color w:val="191919"/>
        </w:rPr>
      </w:pPr>
      <w:proofErr w:type="gramStart"/>
      <w:r w:rsidRPr="00D53A10">
        <w:rPr>
          <w:rFonts w:cs="Times New Roman"/>
          <w:color w:val="191919"/>
          <w:vertAlign w:val="superscript"/>
        </w:rPr>
        <w:t xml:space="preserve">4. </w:t>
      </w:r>
      <w:r w:rsidRPr="00D53A10">
        <w:rPr>
          <w:rFonts w:cs="Times New Roman"/>
          <w:color w:val="191919"/>
        </w:rPr>
        <w:t>Anthropological</w:t>
      </w:r>
      <w:proofErr w:type="gramEnd"/>
      <w:r w:rsidRPr="00D53A10">
        <w:rPr>
          <w:rFonts w:cs="Times New Roman"/>
          <w:color w:val="191919"/>
        </w:rPr>
        <w:t xml:space="preserve"> and </w:t>
      </w:r>
      <w:proofErr w:type="spellStart"/>
      <w:r w:rsidRPr="00D53A10">
        <w:rPr>
          <w:rFonts w:cs="Times New Roman"/>
          <w:color w:val="191919"/>
        </w:rPr>
        <w:t>Palaeoenvironmental</w:t>
      </w:r>
      <w:proofErr w:type="spellEnd"/>
      <w:r w:rsidRPr="00D53A10">
        <w:rPr>
          <w:rFonts w:cs="Times New Roman"/>
          <w:color w:val="191919"/>
        </w:rPr>
        <w:t xml:space="preserve"> Department</w:t>
      </w:r>
      <w:r w:rsidRPr="00D53A10">
        <w:rPr>
          <w:rFonts w:cs="Times New Roman"/>
          <w:color w:val="000000"/>
        </w:rPr>
        <w:t xml:space="preserve">, </w:t>
      </w:r>
      <w:r w:rsidRPr="00D53A10">
        <w:rPr>
          <w:rFonts w:cs="Times New Roman"/>
          <w:color w:val="191919"/>
        </w:rPr>
        <w:t>The Institute of Archaeology of Vietnam</w:t>
      </w:r>
      <w:r w:rsidRPr="00D53A10">
        <w:rPr>
          <w:rFonts w:cs="Times New Roman"/>
          <w:color w:val="000000"/>
        </w:rPr>
        <w:t xml:space="preserve">, </w:t>
      </w:r>
      <w:r w:rsidRPr="00D53A10">
        <w:rPr>
          <w:rFonts w:cs="Times New Roman"/>
          <w:color w:val="191919"/>
        </w:rPr>
        <w:t>Hanoi, Vietnam</w:t>
      </w:r>
    </w:p>
    <w:p w14:paraId="5D34406B" w14:textId="77777777" w:rsidR="007A0764" w:rsidRDefault="007A0764" w:rsidP="00517B6C">
      <w:pPr>
        <w:rPr>
          <w:rFonts w:cs="Times New Roman"/>
          <w:color w:val="191919"/>
        </w:rPr>
      </w:pPr>
    </w:p>
    <w:p w14:paraId="0B504E61" w14:textId="77777777" w:rsidR="006D1576" w:rsidRDefault="006D1576" w:rsidP="00517B6C">
      <w:pPr>
        <w:rPr>
          <w:rFonts w:cs="Times New Roman"/>
          <w:color w:val="191919"/>
        </w:rPr>
      </w:pPr>
    </w:p>
    <w:p w14:paraId="22DBA7C5" w14:textId="77777777" w:rsidR="006D1576" w:rsidRDefault="006D1576" w:rsidP="00517B6C">
      <w:pPr>
        <w:rPr>
          <w:rFonts w:cs="Times New Roman"/>
          <w:color w:val="191919"/>
        </w:rPr>
      </w:pPr>
    </w:p>
    <w:p w14:paraId="118F4018" w14:textId="77777777" w:rsidR="0035262A" w:rsidRDefault="0035262A" w:rsidP="0035262A">
      <w:pPr>
        <w:pStyle w:val="ListParagraph"/>
        <w:numPr>
          <w:ilvl w:val="0"/>
          <w:numId w:val="2"/>
        </w:numPr>
        <w:rPr>
          <w:b/>
        </w:rPr>
      </w:pPr>
      <w:r w:rsidRPr="0035262A">
        <w:rPr>
          <w:b/>
        </w:rPr>
        <w:t>Samples</w:t>
      </w:r>
    </w:p>
    <w:p w14:paraId="26C1EEAF" w14:textId="77777777" w:rsidR="0035262A" w:rsidRDefault="0035262A" w:rsidP="0035262A">
      <w:pPr>
        <w:pStyle w:val="ListParagraph"/>
        <w:ind w:left="360"/>
        <w:rPr>
          <w:b/>
        </w:rPr>
      </w:pPr>
    </w:p>
    <w:p w14:paraId="7A49FFB2" w14:textId="06C1D49E" w:rsidR="0035262A" w:rsidRPr="0035262A" w:rsidRDefault="0035262A" w:rsidP="0035262A">
      <w:pPr>
        <w:rPr>
          <w:b/>
          <w:sz w:val="20"/>
          <w:szCs w:val="20"/>
        </w:rPr>
      </w:pPr>
      <w:r w:rsidRPr="0035262A">
        <w:rPr>
          <w:sz w:val="20"/>
          <w:szCs w:val="20"/>
        </w:rPr>
        <w:t xml:space="preserve">Table SOM 1; Contextual information for pig teeth from Lo </w:t>
      </w:r>
      <w:proofErr w:type="spellStart"/>
      <w:r w:rsidRPr="0035262A">
        <w:rPr>
          <w:sz w:val="20"/>
          <w:szCs w:val="20"/>
        </w:rPr>
        <w:t>Gach</w:t>
      </w:r>
      <w:proofErr w:type="spellEnd"/>
      <w:r w:rsidRPr="0035262A">
        <w:rPr>
          <w:sz w:val="20"/>
          <w:szCs w:val="20"/>
        </w:rPr>
        <w:t xml:space="preserve"> used in this study (Piper personal communication 2019). Within trench 1, samples are ordered from deepest to shallowest. LGa786 from trench 2 is probably of a similar age to LGa921 and 923.</w:t>
      </w:r>
    </w:p>
    <w:p w14:paraId="03E34BAD" w14:textId="77777777" w:rsidR="0035262A" w:rsidRPr="0035262A" w:rsidRDefault="0035262A" w:rsidP="003526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35262A" w:rsidRPr="00D53A10" w14:paraId="71921978" w14:textId="77777777" w:rsidTr="006D1576">
        <w:tc>
          <w:tcPr>
            <w:tcW w:w="1809" w:type="dxa"/>
          </w:tcPr>
          <w:p w14:paraId="41DAD0A3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Sample name</w:t>
            </w:r>
          </w:p>
        </w:tc>
        <w:tc>
          <w:tcPr>
            <w:tcW w:w="6707" w:type="dxa"/>
          </w:tcPr>
          <w:p w14:paraId="0282DE2D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Context</w:t>
            </w:r>
          </w:p>
        </w:tc>
      </w:tr>
      <w:tr w:rsidR="0035262A" w:rsidRPr="00D53A10" w14:paraId="0391C75B" w14:textId="77777777" w:rsidTr="006D1576">
        <w:tc>
          <w:tcPr>
            <w:tcW w:w="1809" w:type="dxa"/>
          </w:tcPr>
          <w:p w14:paraId="0CE8087C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LGa786</w:t>
            </w:r>
          </w:p>
        </w:tc>
        <w:tc>
          <w:tcPr>
            <w:tcW w:w="6707" w:type="dxa"/>
          </w:tcPr>
          <w:p w14:paraId="3C9A3937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Arial"/>
                <w:color w:val="000000"/>
                <w:sz w:val="20"/>
                <w:szCs w:val="20"/>
              </w:rPr>
              <w:t xml:space="preserve">14LGa: c.203/1 (trench 2). </w:t>
            </w:r>
            <w:r w:rsidRPr="00D53A10">
              <w:rPr>
                <w:sz w:val="20"/>
                <w:szCs w:val="20"/>
              </w:rPr>
              <w:t xml:space="preserve">Dark yellowish brown sandy loam consisting of a mixture of sediment, charcoal and cultural remains (pottery and animal bone). </w:t>
            </w:r>
          </w:p>
        </w:tc>
      </w:tr>
      <w:tr w:rsidR="0035262A" w:rsidRPr="00D53A10" w14:paraId="085D6CE7" w14:textId="77777777" w:rsidTr="006D1576">
        <w:tc>
          <w:tcPr>
            <w:tcW w:w="1809" w:type="dxa"/>
          </w:tcPr>
          <w:p w14:paraId="0A998F68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LGa921</w:t>
            </w:r>
          </w:p>
        </w:tc>
        <w:tc>
          <w:tcPr>
            <w:tcW w:w="6707" w:type="dxa"/>
          </w:tcPr>
          <w:p w14:paraId="401F35BD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Arial"/>
                <w:color w:val="000000"/>
                <w:sz w:val="20"/>
                <w:szCs w:val="20"/>
              </w:rPr>
              <w:t xml:space="preserve">14LGa: c.105 (trench 1). </w:t>
            </w:r>
            <w:r w:rsidRPr="00D53A10">
              <w:rPr>
                <w:sz w:val="20"/>
                <w:szCs w:val="20"/>
              </w:rPr>
              <w:t xml:space="preserve">Dark brown sand deposit that underlay all other cultural deposits in Trench 1. This is effectively a natural deposit into which settlement debris had been dumped, prior to development of cultural deposits over the top. This deposit was partially underwater when the river adjacent river was high. </w:t>
            </w:r>
          </w:p>
        </w:tc>
      </w:tr>
      <w:tr w:rsidR="0035262A" w:rsidRPr="00D53A10" w14:paraId="23A9DD7B" w14:textId="77777777" w:rsidTr="006D1576">
        <w:tc>
          <w:tcPr>
            <w:tcW w:w="1809" w:type="dxa"/>
          </w:tcPr>
          <w:p w14:paraId="03279A36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LGa923</w:t>
            </w:r>
          </w:p>
        </w:tc>
        <w:tc>
          <w:tcPr>
            <w:tcW w:w="6707" w:type="dxa"/>
          </w:tcPr>
          <w:p w14:paraId="2153B740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Arial"/>
                <w:color w:val="000000"/>
                <w:sz w:val="20"/>
                <w:szCs w:val="20"/>
              </w:rPr>
              <w:t xml:space="preserve">14LGa: F1-140 (trench 1). </w:t>
            </w:r>
            <w:r w:rsidRPr="00D53A10">
              <w:rPr>
                <w:sz w:val="20"/>
                <w:szCs w:val="20"/>
              </w:rPr>
              <w:t>A deliberately laid surface probably constructed using sand and shell lime mortar.</w:t>
            </w:r>
          </w:p>
        </w:tc>
      </w:tr>
      <w:tr w:rsidR="0035262A" w:rsidRPr="00D53A10" w14:paraId="2F35B4F2" w14:textId="77777777" w:rsidTr="006D1576">
        <w:tc>
          <w:tcPr>
            <w:tcW w:w="1809" w:type="dxa"/>
          </w:tcPr>
          <w:p w14:paraId="46A29040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LGa932</w:t>
            </w:r>
          </w:p>
        </w:tc>
        <w:tc>
          <w:tcPr>
            <w:tcW w:w="6707" w:type="dxa"/>
          </w:tcPr>
          <w:p w14:paraId="6584B58C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Arial"/>
                <w:color w:val="000000"/>
                <w:sz w:val="20"/>
                <w:szCs w:val="20"/>
              </w:rPr>
              <w:t xml:space="preserve">14LGa: F1-126 (trench 1). </w:t>
            </w:r>
            <w:r w:rsidRPr="00D53A10">
              <w:rPr>
                <w:sz w:val="20"/>
                <w:szCs w:val="20"/>
              </w:rPr>
              <w:t>Very dark greyish brown loamy sand containing huge quantities of silicified rice husks.</w:t>
            </w:r>
          </w:p>
        </w:tc>
      </w:tr>
      <w:tr w:rsidR="0035262A" w:rsidRPr="00D53A10" w14:paraId="4504A4A6" w14:textId="77777777" w:rsidTr="006D1576">
        <w:tc>
          <w:tcPr>
            <w:tcW w:w="1809" w:type="dxa"/>
          </w:tcPr>
          <w:p w14:paraId="3A6B6FC5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LGa935</w:t>
            </w:r>
          </w:p>
        </w:tc>
        <w:tc>
          <w:tcPr>
            <w:tcW w:w="6707" w:type="dxa"/>
          </w:tcPr>
          <w:p w14:paraId="46ABB9D3" w14:textId="77777777" w:rsidR="0035262A" w:rsidRPr="00D53A10" w:rsidRDefault="0035262A" w:rsidP="006D15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Arial"/>
                <w:color w:val="000000"/>
                <w:sz w:val="20"/>
                <w:szCs w:val="20"/>
              </w:rPr>
              <w:t xml:space="preserve">14LGa: F1-17 (trench 1). </w:t>
            </w:r>
            <w:r w:rsidRPr="00D53A10">
              <w:rPr>
                <w:sz w:val="20"/>
                <w:szCs w:val="20"/>
              </w:rPr>
              <w:t>Loose brown sandy loam was restricted to the northwest corner of Trench 1. This appears to represent a layer of detritus that had built up on an underlying, deliberately laid floor surface.</w:t>
            </w:r>
          </w:p>
        </w:tc>
      </w:tr>
    </w:tbl>
    <w:p w14:paraId="5868D4BF" w14:textId="77777777" w:rsidR="0035262A" w:rsidRPr="0035262A" w:rsidRDefault="0035262A" w:rsidP="0035262A">
      <w:pPr>
        <w:rPr>
          <w:b/>
        </w:rPr>
      </w:pPr>
    </w:p>
    <w:p w14:paraId="573647AE" w14:textId="77777777" w:rsidR="0035262A" w:rsidRDefault="0035262A" w:rsidP="00517B6C">
      <w:pPr>
        <w:rPr>
          <w:b/>
        </w:rPr>
      </w:pPr>
    </w:p>
    <w:p w14:paraId="645F14D5" w14:textId="77777777" w:rsidR="006D1576" w:rsidRDefault="006D1576" w:rsidP="00517B6C">
      <w:pPr>
        <w:rPr>
          <w:b/>
        </w:rPr>
        <w:sectPr w:rsidR="006D1576" w:rsidSect="00BA08E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BA24950" w14:textId="5FC003CF" w:rsidR="00517B6C" w:rsidRPr="00FD3588" w:rsidRDefault="0035262A" w:rsidP="00517B6C">
      <w:pPr>
        <w:rPr>
          <w:b/>
        </w:rPr>
      </w:pPr>
      <w:r>
        <w:rPr>
          <w:b/>
        </w:rPr>
        <w:lastRenderedPageBreak/>
        <w:t>2</w:t>
      </w:r>
      <w:r w:rsidR="00517B6C">
        <w:rPr>
          <w:b/>
        </w:rPr>
        <w:t xml:space="preserve">. </w:t>
      </w:r>
      <w:r w:rsidR="00517B6C" w:rsidRPr="00FD3588">
        <w:rPr>
          <w:b/>
        </w:rPr>
        <w:t>Radiocarbon dating</w:t>
      </w:r>
    </w:p>
    <w:p w14:paraId="7BE3608B" w14:textId="77777777" w:rsidR="00517B6C" w:rsidRDefault="00517B6C" w:rsidP="00517B6C"/>
    <w:p w14:paraId="5CFBC209" w14:textId="2CDD3F7E" w:rsidR="00517B6C" w:rsidRPr="00FD3588" w:rsidRDefault="0035262A" w:rsidP="00517B6C">
      <w:pPr>
        <w:rPr>
          <w:u w:val="single"/>
        </w:rPr>
      </w:pPr>
      <w:r>
        <w:rPr>
          <w:u w:val="single"/>
        </w:rPr>
        <w:t>2</w:t>
      </w:r>
      <w:r w:rsidR="00517B6C">
        <w:rPr>
          <w:u w:val="single"/>
        </w:rPr>
        <w:t xml:space="preserve">.1 </w:t>
      </w:r>
      <w:r w:rsidR="00517B6C" w:rsidRPr="00FD3588">
        <w:rPr>
          <w:u w:val="single"/>
        </w:rPr>
        <w:t>Radiocarbon background correction</w:t>
      </w:r>
    </w:p>
    <w:p w14:paraId="414FB1C1" w14:textId="77777777" w:rsidR="00517B6C" w:rsidRDefault="00517B6C" w:rsidP="00517B6C"/>
    <w:p w14:paraId="296314D4" w14:textId="5FB0AD35" w:rsidR="00517B6C" w:rsidRDefault="00517B6C" w:rsidP="00517B6C">
      <w:r>
        <w:t xml:space="preserve">An additional combustion step was introduced to remove gases evolved from enamel during reaction with phosphoric acid, as the iron catalyst was often poisoned during graphitization. </w:t>
      </w:r>
      <w:r w:rsidRPr="00D53A10">
        <w:t>To measure the method</w:t>
      </w:r>
      <w:r>
        <w:t xml:space="preserve"> radiocarbon</w:t>
      </w:r>
      <w:r w:rsidRPr="00D53A10">
        <w:t xml:space="preserve"> background</w:t>
      </w:r>
      <w:r>
        <w:t>,</w:t>
      </w:r>
      <w:r w:rsidRPr="00D53A10">
        <w:t xml:space="preserve"> </w:t>
      </w:r>
      <w:r w:rsidR="007E2609">
        <w:t xml:space="preserve">12 samples of </w:t>
      </w:r>
      <w:r w:rsidRPr="00D53A10">
        <w:t>IAEA-C1 (</w:t>
      </w:r>
      <w:proofErr w:type="spellStart"/>
      <w:r w:rsidRPr="00D53A10">
        <w:t>Carrara</w:t>
      </w:r>
      <w:proofErr w:type="spellEnd"/>
      <w:r w:rsidRPr="00D53A10">
        <w:t xml:space="preserve"> Marble), leached in 0.1 M </w:t>
      </w:r>
      <w:proofErr w:type="spellStart"/>
      <w:r w:rsidRPr="00D53A10">
        <w:t>HCl</w:t>
      </w:r>
      <w:proofErr w:type="spellEnd"/>
      <w:r w:rsidRPr="00D53A10">
        <w:t xml:space="preserve"> to remove 10% of the starting weight, was acidified and combusted between June 2017 and February 2019</w:t>
      </w:r>
      <w:r>
        <w:t xml:space="preserve"> as described in section 2.3</w:t>
      </w:r>
      <w:r w:rsidRPr="00D53A10">
        <w:t xml:space="preserve">. </w:t>
      </w:r>
    </w:p>
    <w:p w14:paraId="5922C914" w14:textId="77777777" w:rsidR="00517B6C" w:rsidRDefault="00517B6C" w:rsidP="00517B6C"/>
    <w:p w14:paraId="2688E9B8" w14:textId="2F27DC40" w:rsidR="00517B6C" w:rsidRDefault="00517B6C" w:rsidP="00517B6C">
      <w:r w:rsidRPr="00D53A10">
        <w:t>F</w:t>
      </w:r>
      <w:r w:rsidRPr="00D53A10">
        <w:rPr>
          <w:vertAlign w:val="superscript"/>
        </w:rPr>
        <w:t>14</w:t>
      </w:r>
      <w:r w:rsidRPr="00D53A10">
        <w:t xml:space="preserve">C </w:t>
      </w:r>
      <w:r w:rsidR="007E2609">
        <w:t>against inverse carbon yield is</w:t>
      </w:r>
      <w:r w:rsidRPr="00D53A10">
        <w:t xml:space="preserve"> positively correlated (r = 0.8, n = 12, t = 4.2, p &lt; 0.05), and so a sample size dependent background is made for all samples combusted in this way using a least squares regression line (Equation </w:t>
      </w:r>
      <w:r>
        <w:t xml:space="preserve">SOM </w:t>
      </w:r>
      <w:r w:rsidRPr="00D53A10">
        <w:t xml:space="preserve">1, Figure </w:t>
      </w:r>
      <w:r>
        <w:t xml:space="preserve">SOM </w:t>
      </w:r>
      <w:r w:rsidRPr="00D53A10">
        <w:t xml:space="preserve">1). The standard deviation of the population of the residuals (0.000724 at 1 </w:t>
      </w:r>
      <w:r w:rsidRPr="00D53A10">
        <w:rPr>
          <w:rFonts w:ascii="Cambria" w:hAnsi="Cambria"/>
        </w:rPr>
        <w:t>σ</w:t>
      </w:r>
      <w:r w:rsidRPr="00D53A10">
        <w:t>) is used as the uncertainty term.</w:t>
      </w:r>
    </w:p>
    <w:p w14:paraId="6D7B0F6F" w14:textId="77777777" w:rsidR="00517B6C" w:rsidRDefault="00517B6C" w:rsidP="00517B6C"/>
    <w:p w14:paraId="250BFC21" w14:textId="77777777" w:rsidR="00517B6C" w:rsidRPr="00D53A10" w:rsidRDefault="00517B6C" w:rsidP="00517B6C">
      <m:oMath>
        <m:r>
          <w:rPr>
            <w:rFonts w:ascii="Cambria Math" w:hAnsi="Cambria Math"/>
          </w:rPr>
          <m:t xml:space="preserve">y= 0.000529 ×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 C (mg)</m:t>
                </m:r>
              </m:den>
            </m:f>
          </m:e>
        </m:d>
        <m:r>
          <w:rPr>
            <w:rFonts w:ascii="Cambria Math" w:hAnsi="Cambria Math"/>
          </w:rPr>
          <m:t>+0.00223</m:t>
        </m:r>
      </m:oMath>
      <w:r w:rsidRPr="00D53A10">
        <w:tab/>
      </w:r>
      <w:r w:rsidRPr="00D53A10">
        <w:tab/>
      </w:r>
      <w:r w:rsidRPr="00D53A10">
        <w:tab/>
      </w:r>
      <w:r w:rsidRPr="00D53A10">
        <w:tab/>
        <w:t>(Equation 1)</w:t>
      </w:r>
    </w:p>
    <w:p w14:paraId="57D4398E" w14:textId="77777777" w:rsidR="00517B6C" w:rsidRDefault="00517B6C" w:rsidP="00517B6C"/>
    <w:p w14:paraId="0F998D6C" w14:textId="66FCE9E5" w:rsidR="00517B6C" w:rsidRPr="00517B6C" w:rsidRDefault="00517B6C" w:rsidP="00517B6C">
      <w:pPr>
        <w:rPr>
          <w:sz w:val="20"/>
          <w:szCs w:val="20"/>
        </w:rPr>
      </w:pPr>
      <w:r w:rsidRPr="00517B6C">
        <w:rPr>
          <w:sz w:val="20"/>
          <w:szCs w:val="20"/>
        </w:rPr>
        <w:t xml:space="preserve">Figure </w:t>
      </w:r>
      <w:r w:rsidR="00C54FDE">
        <w:rPr>
          <w:sz w:val="20"/>
          <w:szCs w:val="20"/>
        </w:rPr>
        <w:t xml:space="preserve">SOM </w:t>
      </w:r>
      <w:r w:rsidRPr="00517B6C">
        <w:rPr>
          <w:sz w:val="20"/>
          <w:szCs w:val="20"/>
        </w:rPr>
        <w:t xml:space="preserve">1; Radiocarbon dates on IAEA-C1 after reaction with phosphoric acid and heating over </w:t>
      </w:r>
      <w:proofErr w:type="spellStart"/>
      <w:r w:rsidRPr="00517B6C">
        <w:rPr>
          <w:sz w:val="20"/>
          <w:szCs w:val="20"/>
        </w:rPr>
        <w:t>CuO</w:t>
      </w:r>
      <w:proofErr w:type="spellEnd"/>
      <w:r w:rsidRPr="00517B6C">
        <w:rPr>
          <w:sz w:val="20"/>
          <w:szCs w:val="20"/>
        </w:rPr>
        <w:t xml:space="preserve"> wire and Ag foil. The least squares regression (solid line) and 1 </w:t>
      </w:r>
      <w:r w:rsidRPr="00517B6C">
        <w:rPr>
          <w:rFonts w:ascii="Cambria" w:hAnsi="Cambria"/>
          <w:sz w:val="20"/>
          <w:szCs w:val="20"/>
        </w:rPr>
        <w:t>σ</w:t>
      </w:r>
      <w:r w:rsidRPr="00517B6C">
        <w:rPr>
          <w:sz w:val="20"/>
          <w:szCs w:val="20"/>
        </w:rPr>
        <w:t xml:space="preserve"> uncertainty (dashed line) is marked on the plot. Uncertainty on each measurement is also plotted at 1 </w:t>
      </w:r>
      <w:r w:rsidRPr="00517B6C">
        <w:rPr>
          <w:rFonts w:ascii="Cambria" w:hAnsi="Cambria"/>
          <w:sz w:val="20"/>
          <w:szCs w:val="20"/>
        </w:rPr>
        <w:t>σ.</w:t>
      </w:r>
    </w:p>
    <w:p w14:paraId="3F0DCDB6" w14:textId="39A409AA" w:rsidR="00517B6C" w:rsidRDefault="00517B6C" w:rsidP="00517B6C">
      <w:r>
        <w:rPr>
          <w:noProof/>
        </w:rPr>
        <w:drawing>
          <wp:inline distT="0" distB="0" distL="0" distR="0" wp14:anchorId="17CF4E59" wp14:editId="0683AEB5">
            <wp:extent cx="5148580" cy="3492844"/>
            <wp:effectExtent l="0" t="0" r="7620" b="12700"/>
            <wp:docPr id="1" name="Picture 1" descr="Macintosh HD:Users:rachelwood:Documents:Papers (mine):Papers submitted:Wood Enamel 2 acid type:Review:Fig SOM 1 Background pl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wood:Documents:Papers (mine):Papers submitted:Wood Enamel 2 acid type:Review:Fig SOM 1 Background plot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630" cy="349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39F1D" w14:textId="77777777" w:rsidR="00517B6C" w:rsidRDefault="00517B6C" w:rsidP="00517B6C">
      <w:pPr>
        <w:rPr>
          <w:u w:val="single"/>
        </w:rPr>
      </w:pPr>
    </w:p>
    <w:p w14:paraId="09FADFA0" w14:textId="77777777" w:rsidR="006D1576" w:rsidRDefault="006D1576" w:rsidP="00517B6C">
      <w:pPr>
        <w:rPr>
          <w:u w:val="single"/>
        </w:rPr>
        <w:sectPr w:rsidR="006D1576" w:rsidSect="00BA08E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03B0E5F0" w14:textId="04D211A0" w:rsidR="00517B6C" w:rsidRPr="0017205C" w:rsidRDefault="0035262A" w:rsidP="00517B6C">
      <w:pPr>
        <w:rPr>
          <w:u w:val="single"/>
        </w:rPr>
      </w:pPr>
      <w:r>
        <w:rPr>
          <w:u w:val="single"/>
        </w:rPr>
        <w:t>2</w:t>
      </w:r>
      <w:r w:rsidR="00517B6C">
        <w:rPr>
          <w:u w:val="single"/>
        </w:rPr>
        <w:t xml:space="preserve">. 2 </w:t>
      </w:r>
      <w:r w:rsidR="00517B6C" w:rsidRPr="0017205C">
        <w:rPr>
          <w:u w:val="single"/>
        </w:rPr>
        <w:t>Adsorption of atmospheric carbon dioxide to small particles</w:t>
      </w:r>
    </w:p>
    <w:p w14:paraId="3471EA80" w14:textId="77777777" w:rsidR="00517B6C" w:rsidRDefault="00517B6C" w:rsidP="00517B6C"/>
    <w:p w14:paraId="113E00D4" w14:textId="77777777" w:rsidR="00517B6C" w:rsidRPr="00D53A10" w:rsidRDefault="00517B6C" w:rsidP="00517B6C">
      <w:r w:rsidRPr="00D53A10">
        <w:t xml:space="preserve">To test whether </w:t>
      </w:r>
      <w:r>
        <w:t>a significant amount</w:t>
      </w:r>
      <w:r w:rsidRPr="00D53A10">
        <w:t xml:space="preserve"> of atmospheric CO</w:t>
      </w:r>
      <w:r w:rsidRPr="00D53A10">
        <w:rPr>
          <w:vertAlign w:val="subscript"/>
        </w:rPr>
        <w:t>2</w:t>
      </w:r>
      <w:r>
        <w:t xml:space="preserve"> was</w:t>
      </w:r>
      <w:r w:rsidRPr="00D53A10">
        <w:t xml:space="preserve"> adsorbed </w:t>
      </w:r>
      <w:r>
        <w:t>after acid cleaning of enamel</w:t>
      </w:r>
      <w:r w:rsidRPr="00D53A10">
        <w:t>, the hand ground and micronized fractions of sample DU798, treated after 20 hours reaction with acetic acid (pretreatment protocol 3)</w:t>
      </w:r>
      <w:r>
        <w:t>,</w:t>
      </w:r>
      <w:r w:rsidRPr="00D53A10">
        <w:t xml:space="preserve"> were dated in the following ways:</w:t>
      </w:r>
    </w:p>
    <w:p w14:paraId="12B26DB4" w14:textId="46577E86" w:rsidR="00517B6C" w:rsidRPr="00D53A10" w:rsidRDefault="00517B6C" w:rsidP="00517B6C">
      <w:pPr>
        <w:pStyle w:val="ListParagraph"/>
        <w:numPr>
          <w:ilvl w:val="0"/>
          <w:numId w:val="1"/>
        </w:numPr>
      </w:pPr>
      <w:r w:rsidRPr="00D53A10">
        <w:t>No exposure: The cleaned enamel was not exposed to atmosphere. After cleaning, a fraction of sa</w:t>
      </w:r>
      <w:r w:rsidR="007E2609">
        <w:t xml:space="preserve">mple was removed as </w:t>
      </w:r>
      <w:proofErr w:type="gramStart"/>
      <w:r w:rsidR="007E2609">
        <w:t>a slurry</w:t>
      </w:r>
      <w:proofErr w:type="gramEnd"/>
      <w:r w:rsidR="007E2609">
        <w:t>,</w:t>
      </w:r>
      <w:r w:rsidRPr="00D53A10">
        <w:t xml:space="preserve"> placed into a </w:t>
      </w:r>
      <w:proofErr w:type="spellStart"/>
      <w:r w:rsidRPr="00D53A10">
        <w:t>Vacutainer</w:t>
      </w:r>
      <w:r w:rsidRPr="00D53A10">
        <w:rPr>
          <w:vertAlign w:val="superscript"/>
        </w:rPr>
        <w:t>TM</w:t>
      </w:r>
      <w:proofErr w:type="spellEnd"/>
      <w:r w:rsidR="007E2609">
        <w:t>,</w:t>
      </w:r>
      <w:r w:rsidRPr="00D53A10">
        <w:t xml:space="preserve"> immediately frozen in a dry ice – ethanol slurry, and evacuated to less than 3x10</w:t>
      </w:r>
      <w:r w:rsidRPr="00D53A10">
        <w:rPr>
          <w:vertAlign w:val="superscript"/>
        </w:rPr>
        <w:t>-3</w:t>
      </w:r>
      <w:r w:rsidRPr="00D53A10">
        <w:t xml:space="preserve"> </w:t>
      </w:r>
      <w:proofErr w:type="spellStart"/>
      <w:r w:rsidRPr="00D53A10">
        <w:t>Torr</w:t>
      </w:r>
      <w:proofErr w:type="spellEnd"/>
      <w:r w:rsidRPr="00D53A10">
        <w:t xml:space="preserve"> before reaction with phosphoric acid according to the normal protocol. </w:t>
      </w:r>
    </w:p>
    <w:p w14:paraId="62275E11" w14:textId="4A3C91E7" w:rsidR="00517B6C" w:rsidRPr="00D53A10" w:rsidRDefault="00517B6C" w:rsidP="00517B6C">
      <w:pPr>
        <w:pStyle w:val="ListParagraph"/>
        <w:numPr>
          <w:ilvl w:val="0"/>
          <w:numId w:val="1"/>
        </w:numPr>
      </w:pPr>
      <w:r w:rsidRPr="00D53A10">
        <w:t>Routine exposure: The freeze-dried cleaned enamel was exposed to air for 1 hour whilst weighing</w:t>
      </w:r>
      <w:r w:rsidR="007E2609">
        <w:t xml:space="preserve"> before the </w:t>
      </w:r>
      <w:proofErr w:type="spellStart"/>
      <w:r w:rsidR="007E2609">
        <w:t>Vacutainer</w:t>
      </w:r>
      <w:proofErr w:type="spellEnd"/>
      <w:r w:rsidR="007E2609">
        <w:t xml:space="preserve"> was evacuated to less </w:t>
      </w:r>
      <w:r w:rsidR="007E2609" w:rsidRPr="00D53A10">
        <w:t>than 3x10</w:t>
      </w:r>
      <w:r w:rsidR="007E2609" w:rsidRPr="00D53A10">
        <w:rPr>
          <w:vertAlign w:val="superscript"/>
        </w:rPr>
        <w:t>-3</w:t>
      </w:r>
      <w:r w:rsidR="007E2609" w:rsidRPr="00D53A10">
        <w:t xml:space="preserve"> </w:t>
      </w:r>
      <w:proofErr w:type="spellStart"/>
      <w:r w:rsidR="007E2609" w:rsidRPr="00D53A10">
        <w:t>Torr</w:t>
      </w:r>
      <w:proofErr w:type="spellEnd"/>
      <w:r w:rsidRPr="00D53A10">
        <w:t>, as typical in the laboratory.</w:t>
      </w:r>
    </w:p>
    <w:p w14:paraId="1B509D8D" w14:textId="77777777" w:rsidR="00517B6C" w:rsidRPr="00D53A10" w:rsidRDefault="00517B6C" w:rsidP="00517B6C">
      <w:pPr>
        <w:pStyle w:val="ListParagraph"/>
        <w:numPr>
          <w:ilvl w:val="0"/>
          <w:numId w:val="1"/>
        </w:numPr>
      </w:pPr>
      <w:r w:rsidRPr="00D53A10">
        <w:t>Long exposure: The freeze-dried cleaned enamel was left in a test tube loosely covered with aluminum foil for 21 days.</w:t>
      </w:r>
    </w:p>
    <w:p w14:paraId="7EB8E8DC" w14:textId="77777777" w:rsidR="00517B6C" w:rsidRDefault="00517B6C" w:rsidP="00517B6C"/>
    <w:p w14:paraId="16CA3A6F" w14:textId="78E78D93" w:rsidR="00517B6C" w:rsidRDefault="00517B6C" w:rsidP="00517B6C">
      <w:pPr>
        <w:rPr>
          <w:rFonts w:ascii="Cambria" w:hAnsi="Cambria"/>
        </w:rPr>
      </w:pPr>
      <w:r w:rsidRPr="00D53A10">
        <w:t xml:space="preserve">As previously found </w:t>
      </w:r>
      <w:r w:rsidRPr="00D53A10">
        <w:fldChar w:fldCharType="begin"/>
      </w:r>
      <w:r>
        <w:instrText xml:space="preserve"> ADDIN EN.CITE &lt;EndNote&gt;&lt;Cite&gt;&lt;Author&gt;Wood&lt;/Author&gt;&lt;Year&gt;2016&lt;/Year&gt;&lt;RecNum&gt;642&lt;/RecNum&gt;&lt;DisplayText&gt;(Wood et al. 2016)&lt;/DisplayText&gt;&lt;record&gt;&lt;rec-number&gt;642&lt;/rec-number&gt;&lt;foreign-keys&gt;&lt;key app="EN" db-id="dadr99rx455stzerfv0vsew8xewss0evz5a2" timestamp="1479182446"&gt;642&lt;/key&gt;&lt;/foreign-keys&gt;&lt;ref-type name="Journal Article"&gt;17&lt;/ref-type&gt;&lt;contributors&gt;&lt;authors&gt;&lt;author&gt;Wood, R.&lt;/author&gt;&lt;author&gt;Duval, M.&lt;/author&gt;&lt;author&gt;Mai Huong, N. T.&lt;/author&gt;&lt;author&gt;Tuan, N. A.&lt;/author&gt;&lt;author&gt;Bacon, A. M.&lt;/author&gt;&lt;author&gt;Demeter, F.&lt;/author&gt;&lt;author&gt;Duringer, P.&lt;/author&gt;&lt;author&gt;Oxenham, M.&lt;/author&gt;&lt;author&gt;Piper, P.&lt;/author&gt;&lt;/authors&gt;&lt;/contributors&gt;&lt;titles&gt;&lt;title&gt;The effect of grain size on carbonate contaminant removal from tooth enamel: Towards an improved pretreatment for radiocarbon dating&lt;/title&gt;&lt;secondary-title&gt;Quaternary Geochronology&lt;/secondary-title&gt;&lt;/titles&gt;&lt;periodical&gt;&lt;full-title&gt;Quaternary Geochronology&lt;/full-title&gt;&lt;/periodical&gt;&lt;pages&gt;174-187&lt;/pages&gt;&lt;volume&gt;36&lt;/volume&gt;&lt;dates&gt;&lt;year&gt;2016&lt;/year&gt;&lt;/dates&gt;&lt;work-type&gt;Article&lt;/work-type&gt;&lt;urls&gt;&lt;related-urls&gt;&lt;url&gt;https://www.scopus.com/inward/record.uri?eid=2-s2.0-84992161863&amp;amp;partnerID=40&amp;amp;md5=247f6ab875acc7a0fcec2d486690cc07&lt;/url&gt;&lt;/related-urls&gt;&lt;/urls&gt;&lt;electronic-resource-num&gt;10.1016/j.quageo.2016.08.010&lt;/electronic-resource-num&gt;&lt;remote-database-name&gt;Scopus&lt;/remote-database-name&gt;&lt;/record&gt;&lt;/Cite&gt;&lt;/EndNote&gt;</w:instrText>
      </w:r>
      <w:r w:rsidRPr="00D53A10">
        <w:fldChar w:fldCharType="separate"/>
      </w:r>
      <w:r>
        <w:rPr>
          <w:noProof/>
        </w:rPr>
        <w:t>(Wood et al. 2016)</w:t>
      </w:r>
      <w:r w:rsidRPr="00D53A10">
        <w:fldChar w:fldCharType="end"/>
      </w:r>
      <w:r w:rsidRPr="00D53A10">
        <w:t>, the hand ground samples produced younger ages than</w:t>
      </w:r>
      <w:r w:rsidR="006346DF">
        <w:t xml:space="preserve"> the micronized samples</w:t>
      </w:r>
      <w:r w:rsidR="009F5500">
        <w:t xml:space="preserve"> because contaminants from the burial environment were not removed as efficiently as from the micronized samples</w:t>
      </w:r>
      <w:r w:rsidR="006346DF">
        <w:t xml:space="preserve"> (Table SOM </w:t>
      </w:r>
      <w:r w:rsidR="001364D4">
        <w:t>2</w:t>
      </w:r>
      <w:r w:rsidRPr="00D53A10">
        <w:t xml:space="preserve">). However, there was no significant change with increased exposure to atmosphere within each grain size (micronized samples </w:t>
      </w:r>
      <w:r w:rsidRPr="00D53A10">
        <w:rPr>
          <w:rFonts w:ascii="Cambria" w:hAnsi="Cambria"/>
        </w:rPr>
        <w:t>Χ</w:t>
      </w:r>
      <w:r w:rsidRPr="00D53A10">
        <w:rPr>
          <w:rFonts w:ascii="Cambria" w:hAnsi="Cambria"/>
          <w:vertAlign w:val="superscript"/>
        </w:rPr>
        <w:t>2</w:t>
      </w:r>
      <w:r w:rsidRPr="00D53A10">
        <w:rPr>
          <w:rFonts w:ascii="Cambria" w:hAnsi="Cambria"/>
        </w:rPr>
        <w:t xml:space="preserve">, </w:t>
      </w:r>
      <w:proofErr w:type="spellStart"/>
      <w:r w:rsidRPr="00D53A10">
        <w:rPr>
          <w:rFonts w:ascii="Cambria" w:hAnsi="Cambria"/>
        </w:rPr>
        <w:t>df</w:t>
      </w:r>
      <w:proofErr w:type="spellEnd"/>
      <w:r w:rsidRPr="00D53A10">
        <w:rPr>
          <w:rFonts w:ascii="Cambria" w:hAnsi="Cambria"/>
        </w:rPr>
        <w:t xml:space="preserve"> 2, T=4.2, 5%=6.0; hand ground samples </w:t>
      </w:r>
      <w:proofErr w:type="spellStart"/>
      <w:r w:rsidRPr="00D53A10">
        <w:rPr>
          <w:rFonts w:ascii="Cambria" w:hAnsi="Cambria"/>
        </w:rPr>
        <w:t>df</w:t>
      </w:r>
      <w:proofErr w:type="spellEnd"/>
      <w:r w:rsidRPr="00D53A10">
        <w:rPr>
          <w:rFonts w:ascii="Cambria" w:hAnsi="Cambria"/>
        </w:rPr>
        <w:t xml:space="preserve"> 2, T= 2.0, 5%=6.0). Whilst unlikely to affect dates of &lt;30 </w:t>
      </w:r>
      <w:proofErr w:type="spellStart"/>
      <w:r w:rsidRPr="00D53A10">
        <w:rPr>
          <w:rFonts w:ascii="Cambria" w:hAnsi="Cambria"/>
        </w:rPr>
        <w:t>kBP</w:t>
      </w:r>
      <w:proofErr w:type="spellEnd"/>
      <w:r w:rsidRPr="00D53A10">
        <w:rPr>
          <w:rFonts w:ascii="Cambria" w:hAnsi="Cambria"/>
        </w:rPr>
        <w:t>, atmospheric adsorption could still be a problem when older dates are considered due to increased sensitivity to smaller amounts of modern carbon.</w:t>
      </w:r>
      <w:r w:rsidR="009F5500">
        <w:rPr>
          <w:rFonts w:ascii="Cambria" w:hAnsi="Cambria"/>
        </w:rPr>
        <w:t xml:space="preserve"> Therefore, all cleaned samples were exposed to air for less than one hour.</w:t>
      </w:r>
    </w:p>
    <w:p w14:paraId="67306733" w14:textId="77B976B5" w:rsidR="00517B6C" w:rsidRDefault="00517B6C" w:rsidP="00517B6C"/>
    <w:p w14:paraId="46F3F62E" w14:textId="25F1CCD6" w:rsidR="00517B6C" w:rsidRPr="00E92478" w:rsidRDefault="0035262A" w:rsidP="00517B6C">
      <w:pPr>
        <w:rPr>
          <w:sz w:val="20"/>
          <w:szCs w:val="20"/>
        </w:rPr>
      </w:pPr>
      <w:r>
        <w:rPr>
          <w:sz w:val="20"/>
          <w:szCs w:val="20"/>
        </w:rPr>
        <w:t>Table SOM 2</w:t>
      </w:r>
      <w:r w:rsidR="00517B6C" w:rsidRPr="00E92478">
        <w:rPr>
          <w:sz w:val="20"/>
          <w:szCs w:val="20"/>
        </w:rPr>
        <w:t>; Effect of exposure to atmospheric CO</w:t>
      </w:r>
      <w:r w:rsidR="00517B6C" w:rsidRPr="00E92478">
        <w:rPr>
          <w:sz w:val="20"/>
          <w:szCs w:val="20"/>
          <w:vertAlign w:val="subscript"/>
        </w:rPr>
        <w:t>2</w:t>
      </w:r>
      <w:r w:rsidR="00517B6C" w:rsidRPr="00E92478">
        <w:rPr>
          <w:sz w:val="20"/>
          <w:szCs w:val="20"/>
        </w:rPr>
        <w:t xml:space="preserve"> on tooth enamel from DU798 after an acetic acid leach</w:t>
      </w:r>
    </w:p>
    <w:tbl>
      <w:tblPr>
        <w:tblStyle w:val="TableGrid"/>
        <w:tblW w:w="8188" w:type="dxa"/>
        <w:tblLayout w:type="fixed"/>
        <w:tblLook w:val="04A0" w:firstRow="1" w:lastRow="0" w:firstColumn="1" w:lastColumn="0" w:noHBand="0" w:noVBand="1"/>
      </w:tblPr>
      <w:tblGrid>
        <w:gridCol w:w="1242"/>
        <w:gridCol w:w="1743"/>
        <w:gridCol w:w="1234"/>
        <w:gridCol w:w="1134"/>
        <w:gridCol w:w="1559"/>
        <w:gridCol w:w="1276"/>
      </w:tblGrid>
      <w:tr w:rsidR="00517B6C" w:rsidRPr="00D53A10" w14:paraId="516ED5F7" w14:textId="77777777" w:rsidTr="00B00979">
        <w:trPr>
          <w:trHeight w:val="300"/>
        </w:trPr>
        <w:tc>
          <w:tcPr>
            <w:tcW w:w="1242" w:type="dxa"/>
            <w:noWrap/>
            <w:hideMark/>
          </w:tcPr>
          <w:p w14:paraId="183816B5" w14:textId="77777777" w:rsidR="00517B6C" w:rsidRPr="00D53A10" w:rsidRDefault="00517B6C" w:rsidP="00517B6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Grinding</w:t>
            </w:r>
          </w:p>
        </w:tc>
        <w:tc>
          <w:tcPr>
            <w:tcW w:w="1743" w:type="dxa"/>
            <w:noWrap/>
            <w:hideMark/>
          </w:tcPr>
          <w:p w14:paraId="3ACBE8FC" w14:textId="77777777" w:rsidR="00517B6C" w:rsidRPr="00D53A10" w:rsidRDefault="00517B6C" w:rsidP="00517B6C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b/>
                <w:color w:val="000000"/>
                <w:sz w:val="18"/>
                <w:szCs w:val="18"/>
                <w:lang w:val="en-AU"/>
              </w:rPr>
              <w:t>Atmospheric exposure</w:t>
            </w:r>
          </w:p>
        </w:tc>
        <w:tc>
          <w:tcPr>
            <w:tcW w:w="1234" w:type="dxa"/>
            <w:noWrap/>
            <w:hideMark/>
          </w:tcPr>
          <w:p w14:paraId="3BB5CD1C" w14:textId="77777777" w:rsidR="00517B6C" w:rsidRPr="00D53A10" w:rsidRDefault="00517B6C" w:rsidP="00517B6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% </w:t>
            </w:r>
            <w:proofErr w:type="gramStart"/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yield</w:t>
            </w:r>
            <w:proofErr w:type="gramEnd"/>
          </w:p>
        </w:tc>
        <w:tc>
          <w:tcPr>
            <w:tcW w:w="1134" w:type="dxa"/>
            <w:noWrap/>
            <w:hideMark/>
          </w:tcPr>
          <w:p w14:paraId="488A828A" w14:textId="77777777" w:rsidR="00517B6C" w:rsidRPr="00D53A10" w:rsidRDefault="00517B6C" w:rsidP="00517B6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S-ANU#</w:t>
            </w:r>
          </w:p>
        </w:tc>
        <w:tc>
          <w:tcPr>
            <w:tcW w:w="1559" w:type="dxa"/>
            <w:noWrap/>
            <w:hideMark/>
          </w:tcPr>
          <w:p w14:paraId="04BEBA09" w14:textId="77777777" w:rsidR="00517B6C" w:rsidRPr="00D53A10" w:rsidRDefault="00517B6C" w:rsidP="00517B6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F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AU"/>
              </w:rPr>
              <w:t>14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C</w:t>
            </w:r>
          </w:p>
        </w:tc>
        <w:tc>
          <w:tcPr>
            <w:tcW w:w="1276" w:type="dxa"/>
            <w:noWrap/>
            <w:hideMark/>
          </w:tcPr>
          <w:p w14:paraId="23F38CD7" w14:textId="77777777" w:rsidR="00517B6C" w:rsidRPr="00D53A10" w:rsidRDefault="00517B6C" w:rsidP="00517B6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AU"/>
              </w:rPr>
              <w:t>14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>C age (BP)</w:t>
            </w:r>
          </w:p>
        </w:tc>
      </w:tr>
      <w:tr w:rsidR="00517B6C" w:rsidRPr="00D53A10" w14:paraId="1925A2C2" w14:textId="77777777" w:rsidTr="00B00979">
        <w:trPr>
          <w:trHeight w:val="300"/>
        </w:trPr>
        <w:tc>
          <w:tcPr>
            <w:tcW w:w="1242" w:type="dxa"/>
            <w:noWrap/>
            <w:hideMark/>
          </w:tcPr>
          <w:p w14:paraId="241357F9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Handground</w:t>
            </w:r>
            <w:proofErr w:type="spellEnd"/>
          </w:p>
        </w:tc>
        <w:tc>
          <w:tcPr>
            <w:tcW w:w="1743" w:type="dxa"/>
            <w:noWrap/>
            <w:hideMark/>
          </w:tcPr>
          <w:p w14:paraId="1522ACDF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A. None</w:t>
            </w:r>
          </w:p>
        </w:tc>
        <w:tc>
          <w:tcPr>
            <w:tcW w:w="1234" w:type="dxa"/>
            <w:noWrap/>
            <w:hideMark/>
          </w:tcPr>
          <w:p w14:paraId="6E4EB070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NA</w:t>
            </w:r>
          </w:p>
        </w:tc>
        <w:tc>
          <w:tcPr>
            <w:tcW w:w="1134" w:type="dxa"/>
            <w:noWrap/>
            <w:hideMark/>
          </w:tcPr>
          <w:p w14:paraId="5BD3B930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54306</w:t>
            </w:r>
          </w:p>
        </w:tc>
        <w:tc>
          <w:tcPr>
            <w:tcW w:w="1559" w:type="dxa"/>
            <w:noWrap/>
            <w:hideMark/>
          </w:tcPr>
          <w:p w14:paraId="6474540E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0.0860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0.0013</w:t>
            </w:r>
          </w:p>
        </w:tc>
        <w:tc>
          <w:tcPr>
            <w:tcW w:w="1276" w:type="dxa"/>
            <w:noWrap/>
            <w:hideMark/>
          </w:tcPr>
          <w:p w14:paraId="5DC99352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19710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130</w:t>
            </w:r>
          </w:p>
        </w:tc>
      </w:tr>
      <w:tr w:rsidR="00517B6C" w:rsidRPr="00D53A10" w14:paraId="0303BCDB" w14:textId="77777777" w:rsidTr="00B00979">
        <w:trPr>
          <w:trHeight w:val="300"/>
        </w:trPr>
        <w:tc>
          <w:tcPr>
            <w:tcW w:w="1242" w:type="dxa"/>
            <w:noWrap/>
            <w:hideMark/>
          </w:tcPr>
          <w:p w14:paraId="53E1AA84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Handground</w:t>
            </w:r>
            <w:proofErr w:type="spellEnd"/>
          </w:p>
        </w:tc>
        <w:tc>
          <w:tcPr>
            <w:tcW w:w="1743" w:type="dxa"/>
            <w:noWrap/>
            <w:hideMark/>
          </w:tcPr>
          <w:p w14:paraId="13577315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B. Routine (1 hour)</w:t>
            </w:r>
          </w:p>
        </w:tc>
        <w:tc>
          <w:tcPr>
            <w:tcW w:w="1234" w:type="dxa"/>
            <w:noWrap/>
            <w:hideMark/>
          </w:tcPr>
          <w:p w14:paraId="1CE69A0A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74.6</w:t>
            </w:r>
          </w:p>
        </w:tc>
        <w:tc>
          <w:tcPr>
            <w:tcW w:w="1134" w:type="dxa"/>
            <w:noWrap/>
            <w:hideMark/>
          </w:tcPr>
          <w:p w14:paraId="55B027F4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54307</w:t>
            </w:r>
          </w:p>
        </w:tc>
        <w:tc>
          <w:tcPr>
            <w:tcW w:w="1559" w:type="dxa"/>
            <w:noWrap/>
            <w:hideMark/>
          </w:tcPr>
          <w:p w14:paraId="61F9AFED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0.0842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0.0012</w:t>
            </w:r>
          </w:p>
        </w:tc>
        <w:tc>
          <w:tcPr>
            <w:tcW w:w="1276" w:type="dxa"/>
            <w:noWrap/>
            <w:hideMark/>
          </w:tcPr>
          <w:p w14:paraId="42DF13B4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19879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123</w:t>
            </w:r>
          </w:p>
        </w:tc>
      </w:tr>
      <w:tr w:rsidR="00517B6C" w:rsidRPr="00D53A10" w14:paraId="063D93D7" w14:textId="77777777" w:rsidTr="00B00979">
        <w:trPr>
          <w:trHeight w:val="300"/>
        </w:trPr>
        <w:tc>
          <w:tcPr>
            <w:tcW w:w="1242" w:type="dxa"/>
            <w:noWrap/>
            <w:hideMark/>
          </w:tcPr>
          <w:p w14:paraId="4170D694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Handground</w:t>
            </w:r>
            <w:proofErr w:type="spellEnd"/>
          </w:p>
        </w:tc>
        <w:tc>
          <w:tcPr>
            <w:tcW w:w="1743" w:type="dxa"/>
            <w:noWrap/>
            <w:hideMark/>
          </w:tcPr>
          <w:p w14:paraId="20E4CE60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C. Long (21 days)</w:t>
            </w:r>
          </w:p>
        </w:tc>
        <w:tc>
          <w:tcPr>
            <w:tcW w:w="1234" w:type="dxa"/>
            <w:noWrap/>
            <w:hideMark/>
          </w:tcPr>
          <w:p w14:paraId="04CE04DB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74.4</w:t>
            </w:r>
          </w:p>
        </w:tc>
        <w:tc>
          <w:tcPr>
            <w:tcW w:w="1134" w:type="dxa"/>
            <w:noWrap/>
            <w:hideMark/>
          </w:tcPr>
          <w:p w14:paraId="6E9D0013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54309</w:t>
            </w:r>
          </w:p>
        </w:tc>
        <w:tc>
          <w:tcPr>
            <w:tcW w:w="1559" w:type="dxa"/>
            <w:noWrap/>
            <w:hideMark/>
          </w:tcPr>
          <w:p w14:paraId="1818D3CA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0.0832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0.0014</w:t>
            </w:r>
          </w:p>
        </w:tc>
        <w:tc>
          <w:tcPr>
            <w:tcW w:w="1276" w:type="dxa"/>
            <w:noWrap/>
            <w:hideMark/>
          </w:tcPr>
          <w:p w14:paraId="0B819BAB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19978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143</w:t>
            </w:r>
          </w:p>
        </w:tc>
      </w:tr>
      <w:tr w:rsidR="00517B6C" w:rsidRPr="00D53A10" w14:paraId="6C9BA91A" w14:textId="77777777" w:rsidTr="00B00979">
        <w:trPr>
          <w:trHeight w:val="300"/>
        </w:trPr>
        <w:tc>
          <w:tcPr>
            <w:tcW w:w="1242" w:type="dxa"/>
            <w:noWrap/>
            <w:hideMark/>
          </w:tcPr>
          <w:p w14:paraId="035D52BC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Micronised</w:t>
            </w:r>
            <w:proofErr w:type="spellEnd"/>
          </w:p>
        </w:tc>
        <w:tc>
          <w:tcPr>
            <w:tcW w:w="1743" w:type="dxa"/>
            <w:noWrap/>
            <w:hideMark/>
          </w:tcPr>
          <w:p w14:paraId="2E3BAF8B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A. None</w:t>
            </w:r>
          </w:p>
        </w:tc>
        <w:tc>
          <w:tcPr>
            <w:tcW w:w="1234" w:type="dxa"/>
            <w:noWrap/>
            <w:hideMark/>
          </w:tcPr>
          <w:p w14:paraId="42CA38A5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NA</w:t>
            </w:r>
          </w:p>
        </w:tc>
        <w:tc>
          <w:tcPr>
            <w:tcW w:w="1134" w:type="dxa"/>
            <w:noWrap/>
            <w:hideMark/>
          </w:tcPr>
          <w:p w14:paraId="62EBE0EA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54310</w:t>
            </w:r>
          </w:p>
        </w:tc>
        <w:tc>
          <w:tcPr>
            <w:tcW w:w="1559" w:type="dxa"/>
            <w:noWrap/>
            <w:hideMark/>
          </w:tcPr>
          <w:p w14:paraId="0E205C15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0.0362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0.0011</w:t>
            </w:r>
          </w:p>
        </w:tc>
        <w:tc>
          <w:tcPr>
            <w:tcW w:w="1276" w:type="dxa"/>
            <w:noWrap/>
            <w:hideMark/>
          </w:tcPr>
          <w:p w14:paraId="0A795AC3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26657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245</w:t>
            </w:r>
          </w:p>
        </w:tc>
      </w:tr>
      <w:tr w:rsidR="00517B6C" w:rsidRPr="00D53A10" w14:paraId="33ACF3CB" w14:textId="77777777" w:rsidTr="00B00979">
        <w:trPr>
          <w:trHeight w:val="300"/>
        </w:trPr>
        <w:tc>
          <w:tcPr>
            <w:tcW w:w="1242" w:type="dxa"/>
            <w:noWrap/>
            <w:hideMark/>
          </w:tcPr>
          <w:p w14:paraId="2AB3487A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Micronised</w:t>
            </w:r>
            <w:proofErr w:type="spellEnd"/>
          </w:p>
        </w:tc>
        <w:tc>
          <w:tcPr>
            <w:tcW w:w="1743" w:type="dxa"/>
            <w:noWrap/>
            <w:hideMark/>
          </w:tcPr>
          <w:p w14:paraId="3AF037E1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B. Routine (1 hour)</w:t>
            </w:r>
          </w:p>
        </w:tc>
        <w:tc>
          <w:tcPr>
            <w:tcW w:w="1234" w:type="dxa"/>
            <w:noWrap/>
            <w:hideMark/>
          </w:tcPr>
          <w:p w14:paraId="2C9C7820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68.4</w:t>
            </w:r>
          </w:p>
        </w:tc>
        <w:tc>
          <w:tcPr>
            <w:tcW w:w="1134" w:type="dxa"/>
            <w:noWrap/>
            <w:hideMark/>
          </w:tcPr>
          <w:p w14:paraId="09B91EBF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54311</w:t>
            </w:r>
          </w:p>
        </w:tc>
        <w:tc>
          <w:tcPr>
            <w:tcW w:w="1559" w:type="dxa"/>
            <w:noWrap/>
            <w:hideMark/>
          </w:tcPr>
          <w:p w14:paraId="1DDD44EE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0.0359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0.0011</w:t>
            </w:r>
          </w:p>
        </w:tc>
        <w:tc>
          <w:tcPr>
            <w:tcW w:w="1276" w:type="dxa"/>
            <w:noWrap/>
            <w:hideMark/>
          </w:tcPr>
          <w:p w14:paraId="4CAA1323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26725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246</w:t>
            </w:r>
          </w:p>
        </w:tc>
      </w:tr>
      <w:tr w:rsidR="00517B6C" w:rsidRPr="00D53A10" w14:paraId="79AD3954" w14:textId="77777777" w:rsidTr="00B00979">
        <w:trPr>
          <w:trHeight w:val="300"/>
        </w:trPr>
        <w:tc>
          <w:tcPr>
            <w:tcW w:w="1242" w:type="dxa"/>
            <w:noWrap/>
            <w:hideMark/>
          </w:tcPr>
          <w:p w14:paraId="0D117091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proofErr w:type="spellStart"/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Micronised</w:t>
            </w:r>
            <w:proofErr w:type="spellEnd"/>
          </w:p>
        </w:tc>
        <w:tc>
          <w:tcPr>
            <w:tcW w:w="1743" w:type="dxa"/>
            <w:noWrap/>
            <w:hideMark/>
          </w:tcPr>
          <w:p w14:paraId="71181887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C. Long (21 days)</w:t>
            </w:r>
          </w:p>
        </w:tc>
        <w:tc>
          <w:tcPr>
            <w:tcW w:w="1234" w:type="dxa"/>
            <w:noWrap/>
            <w:hideMark/>
          </w:tcPr>
          <w:p w14:paraId="4471F98A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68.0</w:t>
            </w:r>
          </w:p>
        </w:tc>
        <w:tc>
          <w:tcPr>
            <w:tcW w:w="1134" w:type="dxa"/>
            <w:noWrap/>
            <w:hideMark/>
          </w:tcPr>
          <w:p w14:paraId="637EFEC5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54312</w:t>
            </w:r>
          </w:p>
        </w:tc>
        <w:tc>
          <w:tcPr>
            <w:tcW w:w="1559" w:type="dxa"/>
            <w:noWrap/>
            <w:hideMark/>
          </w:tcPr>
          <w:p w14:paraId="1A00AB07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0.0390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0.0012</w:t>
            </w:r>
          </w:p>
        </w:tc>
        <w:tc>
          <w:tcPr>
            <w:tcW w:w="1276" w:type="dxa"/>
            <w:noWrap/>
            <w:hideMark/>
          </w:tcPr>
          <w:p w14:paraId="26ADEEC1" w14:textId="77777777" w:rsidR="00517B6C" w:rsidRPr="00D53A10" w:rsidRDefault="00517B6C" w:rsidP="00517B6C">
            <w:pPr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</w:pP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 xml:space="preserve">26068 </w:t>
            </w:r>
            <w:r w:rsidRPr="00D53A1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AU"/>
              </w:rPr>
              <w:t xml:space="preserve">± </w:t>
            </w:r>
            <w:r w:rsidRPr="00D53A10">
              <w:rPr>
                <w:rFonts w:eastAsia="Times New Roman" w:cs="Times New Roman"/>
                <w:color w:val="000000"/>
                <w:sz w:val="18"/>
                <w:szCs w:val="18"/>
                <w:lang w:val="en-AU"/>
              </w:rPr>
              <w:t>248</w:t>
            </w:r>
          </w:p>
        </w:tc>
      </w:tr>
    </w:tbl>
    <w:p w14:paraId="019C136F" w14:textId="77777777" w:rsidR="00517B6C" w:rsidRDefault="00517B6C" w:rsidP="00517B6C">
      <w:pPr>
        <w:rPr>
          <w:rFonts w:cs="Times New Roman"/>
          <w:color w:val="191919"/>
        </w:rPr>
      </w:pPr>
    </w:p>
    <w:p w14:paraId="56819876" w14:textId="77777777" w:rsidR="006D1576" w:rsidRDefault="006D1576" w:rsidP="00517B6C">
      <w:pPr>
        <w:rPr>
          <w:rFonts w:cs="Times New Roman"/>
          <w:b/>
          <w:color w:val="191919"/>
        </w:rPr>
        <w:sectPr w:rsidR="006D1576" w:rsidSect="00BA08E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898239C" w14:textId="7861AEF3" w:rsidR="007A0764" w:rsidRPr="00FD3588" w:rsidRDefault="0035262A" w:rsidP="00517B6C">
      <w:pPr>
        <w:rPr>
          <w:rFonts w:cs="Times New Roman"/>
          <w:b/>
          <w:color w:val="191919"/>
        </w:rPr>
      </w:pPr>
      <w:r>
        <w:rPr>
          <w:rFonts w:cs="Times New Roman"/>
          <w:b/>
          <w:color w:val="191919"/>
        </w:rPr>
        <w:t>3</w:t>
      </w:r>
      <w:r w:rsidR="00517B6C">
        <w:rPr>
          <w:rFonts w:cs="Times New Roman"/>
          <w:b/>
          <w:color w:val="191919"/>
        </w:rPr>
        <w:t xml:space="preserve">. </w:t>
      </w:r>
      <w:r w:rsidR="007A0764" w:rsidRPr="00FD3588">
        <w:rPr>
          <w:rFonts w:cs="Times New Roman"/>
          <w:b/>
          <w:color w:val="191919"/>
        </w:rPr>
        <w:t xml:space="preserve">FTIR </w:t>
      </w:r>
    </w:p>
    <w:p w14:paraId="6B2478B3" w14:textId="77777777" w:rsidR="00FD3588" w:rsidRDefault="00FD3588" w:rsidP="00517B6C">
      <w:pPr>
        <w:rPr>
          <w:rFonts w:cs="Times New Roman"/>
          <w:color w:val="191919"/>
          <w:u w:val="single"/>
        </w:rPr>
      </w:pPr>
    </w:p>
    <w:p w14:paraId="7137501A" w14:textId="149F965C" w:rsidR="00FD3588" w:rsidRDefault="0035262A" w:rsidP="00517B6C">
      <w:pPr>
        <w:rPr>
          <w:rFonts w:cs="Times New Roman"/>
          <w:color w:val="191919"/>
          <w:u w:val="single"/>
        </w:rPr>
      </w:pPr>
      <w:r>
        <w:rPr>
          <w:rFonts w:cs="Times New Roman"/>
          <w:color w:val="191919"/>
          <w:u w:val="single"/>
        </w:rPr>
        <w:t>3</w:t>
      </w:r>
      <w:r w:rsidR="00517B6C">
        <w:rPr>
          <w:rFonts w:cs="Times New Roman"/>
          <w:color w:val="191919"/>
          <w:u w:val="single"/>
        </w:rPr>
        <w:t xml:space="preserve">.1 FTIR </w:t>
      </w:r>
      <w:r w:rsidR="00FD3588">
        <w:rPr>
          <w:rFonts w:cs="Times New Roman"/>
          <w:color w:val="191919"/>
          <w:u w:val="single"/>
        </w:rPr>
        <w:t>Methods</w:t>
      </w:r>
    </w:p>
    <w:p w14:paraId="7DB3ED23" w14:textId="77777777" w:rsidR="00F3633A" w:rsidRDefault="00F3633A" w:rsidP="00517B6C">
      <w:pPr>
        <w:rPr>
          <w:rFonts w:cs="Times New Roman"/>
          <w:color w:val="191919"/>
          <w:u w:val="single"/>
        </w:rPr>
      </w:pPr>
    </w:p>
    <w:p w14:paraId="02061B54" w14:textId="694DB25B" w:rsidR="00F3633A" w:rsidRDefault="00F3633A" w:rsidP="00517B6C">
      <w:pPr>
        <w:widowControl w:val="0"/>
        <w:autoSpaceDE w:val="0"/>
        <w:autoSpaceDN w:val="0"/>
        <w:adjustRightInd w:val="0"/>
        <w:rPr>
          <w:rFonts w:cs="Times New Roman"/>
        </w:rPr>
      </w:pPr>
      <w:r w:rsidRPr="00D53A10">
        <w:rPr>
          <w:rFonts w:cs="Times New Roman"/>
        </w:rPr>
        <w:t xml:space="preserve">1-1.5 mg of sample was mixed with 200-300 mg dry </w:t>
      </w:r>
      <w:proofErr w:type="spellStart"/>
      <w:r w:rsidRPr="00D53A10">
        <w:rPr>
          <w:rFonts w:cs="Times New Roman"/>
        </w:rPr>
        <w:t>KBr</w:t>
      </w:r>
      <w:proofErr w:type="spellEnd"/>
      <w:r w:rsidRPr="00D53A10">
        <w:rPr>
          <w:rFonts w:cs="Times New Roman"/>
        </w:rPr>
        <w:t xml:space="preserve"> and pressed into pellets under vacuum. The average of 100 transmission spectra were recorded on a </w:t>
      </w:r>
      <w:proofErr w:type="spellStart"/>
      <w:r w:rsidRPr="00D53A10">
        <w:rPr>
          <w:rFonts w:cs="Times New Roman"/>
        </w:rPr>
        <w:t>Bruker</w:t>
      </w:r>
      <w:proofErr w:type="spellEnd"/>
      <w:r w:rsidRPr="00D53A10">
        <w:rPr>
          <w:rFonts w:cs="Times New Roman"/>
        </w:rPr>
        <w:t xml:space="preserve"> Tensor 27 at the Research School of Earth Sciences at the ANU between -400 – -4000 cm</w:t>
      </w:r>
      <w:r w:rsidRPr="00D53A10">
        <w:rPr>
          <w:rFonts w:cs="Times New Roman"/>
          <w:vertAlign w:val="superscript"/>
        </w:rPr>
        <w:t>-1</w:t>
      </w:r>
      <w:r w:rsidRPr="00D53A10">
        <w:rPr>
          <w:rFonts w:cs="Times New Roman"/>
        </w:rPr>
        <w:t>, at a resolution of 4 cm</w:t>
      </w:r>
      <w:r w:rsidRPr="00D53A10">
        <w:rPr>
          <w:rFonts w:cs="Times New Roman"/>
          <w:vertAlign w:val="superscript"/>
        </w:rPr>
        <w:t>-1</w:t>
      </w:r>
      <w:r w:rsidRPr="00D53A10">
        <w:rPr>
          <w:rFonts w:cs="Times New Roman"/>
        </w:rPr>
        <w:t>, and a concave rubber band correction with 64 baseline points was applied in the OPUS software.</w:t>
      </w:r>
      <w:r w:rsidR="00DA6A86">
        <w:rPr>
          <w:rFonts w:cs="Times New Roman"/>
        </w:rPr>
        <w:t xml:space="preserve"> Indexes of </w:t>
      </w:r>
      <w:proofErr w:type="spellStart"/>
      <w:r w:rsidR="00DA6A86">
        <w:rPr>
          <w:rFonts w:cs="Times New Roman"/>
        </w:rPr>
        <w:t>bioapatite</w:t>
      </w:r>
      <w:proofErr w:type="spellEnd"/>
      <w:r w:rsidR="00DA6A86">
        <w:rPr>
          <w:rFonts w:cs="Times New Roman"/>
        </w:rPr>
        <w:t xml:space="preserve"> were calculated according to Table SO</w:t>
      </w:r>
      <w:r w:rsidR="001364D4">
        <w:rPr>
          <w:rFonts w:cs="Times New Roman"/>
        </w:rPr>
        <w:t>M 3</w:t>
      </w:r>
      <w:r w:rsidR="00DA6A86">
        <w:rPr>
          <w:rFonts w:cs="Times New Roman"/>
        </w:rPr>
        <w:t>.</w:t>
      </w:r>
    </w:p>
    <w:p w14:paraId="3561675F" w14:textId="77777777" w:rsidR="00DA6A86" w:rsidRPr="00D53A10" w:rsidRDefault="00DA6A86" w:rsidP="00517B6C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9D5D02" w14:textId="0DDB2C00" w:rsidR="00F3633A" w:rsidRDefault="00F3633A" w:rsidP="00517B6C">
      <w:r w:rsidRPr="00D53A10">
        <w:t xml:space="preserve">To reduce the uncertainty introduced by variable grinding during sample preparation, a ‘grinding curve’ can be plotted for the untreated </w:t>
      </w:r>
      <w:proofErr w:type="spellStart"/>
      <w:r w:rsidRPr="00D53A10">
        <w:t>handground</w:t>
      </w:r>
      <w:proofErr w:type="spellEnd"/>
      <w:r w:rsidRPr="00D53A10">
        <w:t xml:space="preserve"> samples </w:t>
      </w:r>
      <w:r w:rsidRPr="00D53A10">
        <w:fldChar w:fldCharType="begin"/>
      </w:r>
      <w:r>
        <w:instrText xml:space="preserve"> ADDIN EN.CITE &lt;EndNote&gt;&lt;Cite&gt;&lt;Author&gt;Asscher&lt;/Author&gt;&lt;Year&gt;2011&lt;/Year&gt;&lt;RecNum&gt;766&lt;/RecNum&gt;&lt;DisplayText&gt;(Asscher et al. 2011b)&lt;/DisplayText&gt;&lt;record&gt;&lt;rec-number&gt;766&lt;/rec-number&gt;&lt;foreign-keys&gt;&lt;key app="EN" db-id="dadr99rx455stzerfv0vsew8xewss0evz5a2" timestamp="1565671977"&gt;766&lt;/key&gt;&lt;/foreign-keys&gt;&lt;ref-type name="Journal Article"&gt;17&lt;/ref-type&gt;&lt;contributors&gt;&lt;authors&gt;&lt;author&gt;Asscher, Y.&lt;/author&gt;&lt;author&gt;Weiner, S.&lt;/author&gt;&lt;author&gt;Boaretto, E.&lt;/author&gt;&lt;/authors&gt;&lt;/contributors&gt;&lt;titles&gt;&lt;title&gt;Variations in Atomic Disorder in Biogenic Carbonate Hydroxyapatite Using the Infrared Spectrum Grinding Curve Method&lt;/title&gt;&lt;secondary-title&gt;Advanced Functional Materials&lt;/secondary-title&gt;&lt;/titles&gt;&lt;periodical&gt;&lt;full-title&gt;Advanced Functional Materials&lt;/full-title&gt;&lt;/periodical&gt;&lt;pages&gt;3308-3313&lt;/pages&gt;&lt;volume&gt;21&lt;/volume&gt;&lt;number&gt;17&lt;/number&gt;&lt;dates&gt;&lt;year&gt;2011&lt;/year&gt;&lt;/dates&gt;&lt;urls&gt;&lt;/urls&gt;&lt;/record&gt;&lt;/Cite&gt;&lt;/EndNote&gt;</w:instrText>
      </w:r>
      <w:r w:rsidRPr="00D53A10">
        <w:fldChar w:fldCharType="separate"/>
      </w:r>
      <w:r>
        <w:rPr>
          <w:noProof/>
        </w:rPr>
        <w:t>(Asscher et al. 2011b)</w:t>
      </w:r>
      <w:r w:rsidRPr="00D53A10">
        <w:fldChar w:fldCharType="end"/>
      </w:r>
      <w:r w:rsidRPr="00D53A10">
        <w:t xml:space="preserve">. </w:t>
      </w:r>
      <w:r w:rsidRPr="00D53A10">
        <w:rPr>
          <w:rFonts w:cs="Times New Roman"/>
        </w:rPr>
        <w:t xml:space="preserve">To construct a grinding curve, the </w:t>
      </w:r>
      <w:proofErr w:type="spellStart"/>
      <w:r w:rsidRPr="00D53A10">
        <w:rPr>
          <w:rFonts w:cs="Times New Roman"/>
        </w:rPr>
        <w:t>KBr</w:t>
      </w:r>
      <w:proofErr w:type="spellEnd"/>
      <w:r w:rsidRPr="00D53A10">
        <w:rPr>
          <w:rFonts w:cs="Times New Roman"/>
        </w:rPr>
        <w:t xml:space="preserve"> pellet was reground and the spectra recorded at least 5 times. </w:t>
      </w:r>
      <w:r w:rsidRPr="00D53A10">
        <w:t xml:space="preserve">Each index is then plotted against the </w:t>
      </w:r>
      <w:r w:rsidRPr="00D53A10">
        <w:rPr>
          <w:rFonts w:cs="Times New Roman"/>
        </w:rPr>
        <w:t>full width at half maximum (FWHM) of the 1035 cm</w:t>
      </w:r>
      <w:r w:rsidRPr="00D53A10">
        <w:rPr>
          <w:rFonts w:cs="Times New Roman"/>
          <w:vertAlign w:val="superscript"/>
        </w:rPr>
        <w:t>-1</w:t>
      </w:r>
      <w:r w:rsidRPr="00D53A10">
        <w:rPr>
          <w:rFonts w:cs="Times New Roman"/>
        </w:rPr>
        <w:t xml:space="preserve"> peak</w:t>
      </w:r>
      <w:r w:rsidRPr="00D53A10">
        <w:t xml:space="preserve">. </w:t>
      </w:r>
      <w:r w:rsidRPr="00D53A10">
        <w:rPr>
          <w:rFonts w:cs="Times New Roman"/>
        </w:rPr>
        <w:t xml:space="preserve">To compare between teeth, the index value at a FWHM </w:t>
      </w:r>
      <w:proofErr w:type="gramStart"/>
      <w:r w:rsidRPr="00D53A10">
        <w:rPr>
          <w:rFonts w:cs="Times New Roman"/>
        </w:rPr>
        <w:t>of 110 cm</w:t>
      </w:r>
      <w:r w:rsidRPr="00D53A10">
        <w:rPr>
          <w:rFonts w:cs="Times New Roman"/>
          <w:vertAlign w:val="superscript"/>
        </w:rPr>
        <w:t>-1</w:t>
      </w:r>
      <w:proofErr w:type="gramEnd"/>
      <w:r w:rsidRPr="00D53A10">
        <w:rPr>
          <w:rFonts w:cs="Times New Roman"/>
        </w:rPr>
        <w:t xml:space="preserve"> has been calculated by regression. Whilst IRSF and API are related to grain size and a grinding curve has been constructed, BPI is not related to FWHM and an average has been calculated. </w:t>
      </w:r>
      <w:r w:rsidRPr="00D53A10">
        <w:t xml:space="preserve">The method could not be applied to the micronized </w:t>
      </w:r>
      <w:proofErr w:type="gramStart"/>
      <w:r w:rsidRPr="00D53A10">
        <w:t>samples</w:t>
      </w:r>
      <w:proofErr w:type="gramEnd"/>
      <w:r w:rsidRPr="00D53A10">
        <w:t xml:space="preserve"> as grain sizes were too small.</w:t>
      </w:r>
    </w:p>
    <w:p w14:paraId="2C33B612" w14:textId="77777777" w:rsidR="00F3633A" w:rsidRPr="007A0764" w:rsidRDefault="00F3633A" w:rsidP="00517B6C">
      <w:pPr>
        <w:rPr>
          <w:rFonts w:cs="Times New Roman"/>
          <w:color w:val="191919"/>
          <w:u w:val="single"/>
        </w:rPr>
      </w:pPr>
    </w:p>
    <w:p w14:paraId="3F9AF03D" w14:textId="77777777" w:rsidR="007A0764" w:rsidRDefault="007A0764" w:rsidP="00517B6C">
      <w:pPr>
        <w:rPr>
          <w:rFonts w:cs="Times New Roman"/>
          <w:color w:val="191919"/>
        </w:rPr>
      </w:pPr>
    </w:p>
    <w:p w14:paraId="6133BABC" w14:textId="6708ACBC" w:rsidR="00955BB5" w:rsidRPr="00E92478" w:rsidRDefault="0035262A" w:rsidP="00517B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Table SOM 3</w:t>
      </w:r>
      <w:r w:rsidR="00955BB5" w:rsidRPr="00E92478">
        <w:rPr>
          <w:sz w:val="20"/>
          <w:szCs w:val="20"/>
        </w:rPr>
        <w:t xml:space="preserve">: FTIR indexes of </w:t>
      </w:r>
      <w:proofErr w:type="spellStart"/>
      <w:r w:rsidR="00955BB5" w:rsidRPr="00E92478">
        <w:rPr>
          <w:sz w:val="20"/>
          <w:szCs w:val="20"/>
        </w:rPr>
        <w:t>bioapatite</w:t>
      </w:r>
      <w:proofErr w:type="spellEnd"/>
      <w:r w:rsidR="00955BB5" w:rsidRPr="00E92478">
        <w:rPr>
          <w:sz w:val="20"/>
          <w:szCs w:val="20"/>
        </w:rPr>
        <w:t xml:space="preserve"> used in this study. “B” refers to height of the band, and </w:t>
      </w:r>
      <w:r w:rsidR="009F5500">
        <w:rPr>
          <w:sz w:val="20"/>
          <w:szCs w:val="20"/>
        </w:rPr>
        <w:t>“V” the valley. Numbers provide</w:t>
      </w:r>
      <w:r w:rsidR="00955BB5" w:rsidRPr="00E92478">
        <w:rPr>
          <w:sz w:val="20"/>
          <w:szCs w:val="20"/>
        </w:rPr>
        <w:t xml:space="preserve"> approximate </w:t>
      </w:r>
      <w:r w:rsidR="00880CC3">
        <w:rPr>
          <w:sz w:val="20"/>
          <w:szCs w:val="20"/>
        </w:rPr>
        <w:t>wavenumbers</w:t>
      </w:r>
      <w:bookmarkStart w:id="0" w:name="_GoBack"/>
      <w:bookmarkEnd w:id="0"/>
      <w:r w:rsidR="00955BB5" w:rsidRPr="00E92478">
        <w:rPr>
          <w:sz w:val="20"/>
          <w:szCs w:val="20"/>
        </w:rPr>
        <w:t xml:space="preserve"> </w:t>
      </w:r>
      <w:r w:rsidR="009F5500">
        <w:rPr>
          <w:sz w:val="20"/>
          <w:szCs w:val="20"/>
        </w:rPr>
        <w:t>(cm</w:t>
      </w:r>
      <w:r w:rsidR="009F5500" w:rsidRPr="009F5500">
        <w:rPr>
          <w:sz w:val="20"/>
          <w:szCs w:val="20"/>
          <w:vertAlign w:val="superscript"/>
        </w:rPr>
        <w:t>-1</w:t>
      </w:r>
      <w:r w:rsidR="009F5500">
        <w:rPr>
          <w:sz w:val="20"/>
          <w:szCs w:val="20"/>
        </w:rPr>
        <w:t xml:space="preserve">) </w:t>
      </w:r>
      <w:r w:rsidR="00955BB5" w:rsidRPr="00E92478">
        <w:rPr>
          <w:sz w:val="20"/>
          <w:szCs w:val="20"/>
        </w:rPr>
        <w:t xml:space="preserve">of the band. </w:t>
      </w:r>
    </w:p>
    <w:p w14:paraId="188FBB0E" w14:textId="77777777" w:rsidR="00955BB5" w:rsidRPr="00D53A10" w:rsidRDefault="00955BB5" w:rsidP="00517B6C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55BB5" w:rsidRPr="00D53A10" w14:paraId="626DA239" w14:textId="77777777" w:rsidTr="00B44FCC">
        <w:tc>
          <w:tcPr>
            <w:tcW w:w="2838" w:type="dxa"/>
          </w:tcPr>
          <w:p w14:paraId="5D07CC1F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Index</w:t>
            </w:r>
          </w:p>
        </w:tc>
        <w:tc>
          <w:tcPr>
            <w:tcW w:w="2839" w:type="dxa"/>
          </w:tcPr>
          <w:p w14:paraId="0F2E9868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Formula</w:t>
            </w:r>
          </w:p>
        </w:tc>
        <w:tc>
          <w:tcPr>
            <w:tcW w:w="2839" w:type="dxa"/>
          </w:tcPr>
          <w:p w14:paraId="09998AC7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Reference</w:t>
            </w:r>
          </w:p>
        </w:tc>
      </w:tr>
      <w:tr w:rsidR="00955BB5" w:rsidRPr="00D53A10" w14:paraId="02FC483A" w14:textId="77777777" w:rsidTr="00B44FCC">
        <w:tc>
          <w:tcPr>
            <w:tcW w:w="2838" w:type="dxa"/>
          </w:tcPr>
          <w:p w14:paraId="22F54BCF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t>IRSF (</w:t>
            </w:r>
            <w:proofErr w:type="spellStart"/>
            <w:r w:rsidRPr="00D53A10">
              <w:rPr>
                <w:rFonts w:cs="Times New Roman"/>
                <w:sz w:val="20"/>
                <w:szCs w:val="20"/>
              </w:rPr>
              <w:t>InfraRed</w:t>
            </w:r>
            <w:proofErr w:type="spellEnd"/>
            <w:r w:rsidRPr="00D53A10">
              <w:rPr>
                <w:rFonts w:cs="Times New Roman"/>
                <w:sz w:val="20"/>
                <w:szCs w:val="20"/>
              </w:rPr>
              <w:t xml:space="preserve"> Splitting Factor). Also known as PCI (Phosphate </w:t>
            </w:r>
            <w:proofErr w:type="spellStart"/>
            <w:r w:rsidRPr="00D53A10">
              <w:rPr>
                <w:rFonts w:cs="Times New Roman"/>
                <w:sz w:val="20"/>
                <w:szCs w:val="20"/>
              </w:rPr>
              <w:t>Crystallinity</w:t>
            </w:r>
            <w:proofErr w:type="spellEnd"/>
            <w:r w:rsidRPr="00D53A10">
              <w:rPr>
                <w:rFonts w:cs="Times New Roman"/>
                <w:sz w:val="20"/>
                <w:szCs w:val="20"/>
              </w:rPr>
              <w:t xml:space="preserve"> Index) or CI</w:t>
            </w:r>
            <w:r w:rsidRPr="00D53A10">
              <w:rPr>
                <w:rFonts w:cs="Times New Roman"/>
                <w:sz w:val="20"/>
                <w:szCs w:val="20"/>
                <w:vertAlign w:val="subscript"/>
              </w:rPr>
              <w:t>IR</w:t>
            </w:r>
            <w:r w:rsidRPr="00D53A10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53A10">
              <w:rPr>
                <w:rFonts w:cs="Times New Roman"/>
                <w:sz w:val="20"/>
                <w:szCs w:val="20"/>
              </w:rPr>
              <w:t>Crystallinity</w:t>
            </w:r>
            <w:proofErr w:type="spellEnd"/>
            <w:r w:rsidRPr="00D53A10">
              <w:rPr>
                <w:rFonts w:cs="Times New Roman"/>
                <w:sz w:val="20"/>
                <w:szCs w:val="20"/>
              </w:rPr>
              <w:t xml:space="preserve"> Index, Infra Red)</w:t>
            </w:r>
          </w:p>
        </w:tc>
        <w:tc>
          <w:tcPr>
            <w:tcW w:w="2839" w:type="dxa"/>
          </w:tcPr>
          <w:p w14:paraId="376A1BA4" w14:textId="77777777" w:rsidR="00955BB5" w:rsidRPr="00D53A10" w:rsidRDefault="00880CC3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605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 B(565)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V(590)</m:t>
                    </m:r>
                  </m:den>
                </m:f>
              </m:oMath>
            </m:oMathPara>
          </w:p>
        </w:tc>
        <w:tc>
          <w:tcPr>
            <w:tcW w:w="2839" w:type="dxa"/>
          </w:tcPr>
          <w:p w14:paraId="7CB33B71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PEVuZE5vdGU+PENpdGU+PEF1dGhvcj5XZWluZXI8L0F1dGhvcj48WWVhcj4xOTkwPC9ZZWFyPjxS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</w:fld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ADDIN EN.CITE </w:instrText>
            </w:r>
            <w:r>
              <w:rPr>
                <w:rFonts w:cs="Times New Roman"/>
                <w:sz w:val="20"/>
                <w:szCs w:val="20"/>
              </w:rPr>
              <w:fldChar w:fldCharType="begin">
                <w:fldData xml:space="preserve">PEVuZE5vdGU+PENpdGU+PEF1dGhvcj5XZWluZXI8L0F1dGhvcj48WWVhcj4xOTkwPC9ZZWFyPjxS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</w:fldData>
              </w:fldChar>
            </w:r>
            <w:r>
              <w:rPr>
                <w:rFonts w:cs="Times New Roman"/>
                <w:sz w:val="20"/>
                <w:szCs w:val="20"/>
              </w:rPr>
              <w:instrText xml:space="preserve"> ADDIN EN.CITE.DATA </w:instrText>
            </w:r>
            <w:r>
              <w:rPr>
                <w:rFonts w:cs="Times New Roman"/>
                <w:sz w:val="20"/>
                <w:szCs w:val="20"/>
              </w:rPr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r w:rsidRPr="00D53A10">
              <w:rPr>
                <w:rFonts w:cs="Times New Roman"/>
                <w:sz w:val="20"/>
                <w:szCs w:val="20"/>
              </w:rPr>
            </w:r>
            <w:r w:rsidRPr="00D53A10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(Termine and Posner 1966; Weiner and Bar-Yosef 1990)</w:t>
            </w:r>
            <w:r w:rsidRPr="00D53A10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955BB5" w:rsidRPr="00D53A10" w14:paraId="270BB04F" w14:textId="77777777" w:rsidTr="00B44FCC">
        <w:tc>
          <w:tcPr>
            <w:tcW w:w="2838" w:type="dxa"/>
          </w:tcPr>
          <w:p w14:paraId="236B9B62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Times New Roman"/>
                <w:sz w:val="20"/>
                <w:szCs w:val="20"/>
              </w:rPr>
              <w:t>BPI (B-carbonate on Phosphate Index)</w:t>
            </w:r>
          </w:p>
        </w:tc>
        <w:tc>
          <w:tcPr>
            <w:tcW w:w="2839" w:type="dxa"/>
          </w:tcPr>
          <w:p w14:paraId="7234CEED" w14:textId="77777777" w:rsidR="00955BB5" w:rsidRPr="00D53A10" w:rsidRDefault="00880CC3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B(1415)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B(605)</m:t>
                    </m:r>
                  </m:den>
                </m:f>
              </m:oMath>
            </m:oMathPara>
          </w:p>
        </w:tc>
        <w:tc>
          <w:tcPr>
            <w:tcW w:w="2839" w:type="dxa"/>
          </w:tcPr>
          <w:p w14:paraId="6EF34026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Times New Roman"/>
                <w:sz w:val="20"/>
                <w:szCs w:val="20"/>
              </w:rPr>
              <w:fldChar w:fldCharType="begin"/>
            </w:r>
            <w:r>
              <w:rPr>
                <w:rFonts w:cs="Times New Roman"/>
                <w:sz w:val="20"/>
                <w:szCs w:val="20"/>
              </w:rPr>
              <w:instrText xml:space="preserve"> ADDIN EN.CITE &lt;EndNote&gt;&lt;Cite&gt;&lt;Author&gt;LeGeros&lt;/Author&gt;&lt;Year&gt;1991&lt;/Year&gt;&lt;RecNum&gt;784&lt;/RecNum&gt;&lt;DisplayText&gt;(LeGeros 1991)&lt;/DisplayText&gt;&lt;record&gt;&lt;rec-number&gt;784&lt;/rec-number&gt;&lt;foreign-keys&gt;&lt;key app="EN" db-id="dadr99rx455stzerfv0vsew8xewss0evz5a2" timestamp="1568011584"&gt;784&lt;/key&gt;&lt;/foreign-keys&gt;&lt;ref-type name="Book Section"&gt;5&lt;/ref-type&gt;&lt;contributors&gt;&lt;authors&gt;&lt;author&gt;LeGeros, R.&lt;/author&gt;&lt;/authors&gt;&lt;secondary-authors&gt;&lt;author&gt;Myers, H.&lt;/author&gt;&lt;/secondary-authors&gt;&lt;/contributors&gt;&lt;titles&gt;&lt;title&gt;Calcium Phosphates in Oral Biology and Medicine&lt;/title&gt;&lt;secondary-title&gt;Monographs in Oral Sciences&lt;/secondary-title&gt;&lt;/titles&gt;&lt;pages&gt;1-201&lt;/pages&gt;&lt;volume&gt;15&lt;/volume&gt;&lt;dates&gt;&lt;year&gt;1991&lt;/year&gt;&lt;/dates&gt;&lt;pub-location&gt;Basel&lt;/pub-location&gt;&lt;publisher&gt;Karger&lt;/publisher&gt;&lt;urls&gt;&lt;/urls&gt;&lt;/record&gt;&lt;/Cite&gt;&lt;/EndNote&gt;</w:instrText>
            </w:r>
            <w:r w:rsidRPr="00D53A10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noProof/>
                <w:sz w:val="20"/>
                <w:szCs w:val="20"/>
              </w:rPr>
              <w:t>(LeGeros 1991)</w:t>
            </w:r>
            <w:r w:rsidRPr="00D53A10">
              <w:rPr>
                <w:rFonts w:cs="Times New Roman"/>
                <w:sz w:val="20"/>
                <w:szCs w:val="20"/>
              </w:rPr>
              <w:fldChar w:fldCharType="end"/>
            </w:r>
          </w:p>
          <w:p w14:paraId="04F0DAEF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55BB5" w:rsidRPr="00D53A10" w14:paraId="4D19D10A" w14:textId="77777777" w:rsidTr="00B44FCC">
        <w:tc>
          <w:tcPr>
            <w:tcW w:w="2838" w:type="dxa"/>
          </w:tcPr>
          <w:p w14:paraId="067783FF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rFonts w:cs="Times New Roman"/>
                <w:sz w:val="20"/>
                <w:szCs w:val="20"/>
              </w:rPr>
              <w:t>API (A-carbonate on Phosphate Index)</w:t>
            </w:r>
          </w:p>
        </w:tc>
        <w:tc>
          <w:tcPr>
            <w:tcW w:w="2839" w:type="dxa"/>
          </w:tcPr>
          <w:p w14:paraId="320F7114" w14:textId="77777777" w:rsidR="00955BB5" w:rsidRPr="00D53A10" w:rsidRDefault="00880CC3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B(1545)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B(605)</m:t>
                    </m:r>
                  </m:den>
                </m:f>
              </m:oMath>
            </m:oMathPara>
          </w:p>
        </w:tc>
        <w:tc>
          <w:tcPr>
            <w:tcW w:w="2839" w:type="dxa"/>
          </w:tcPr>
          <w:p w14:paraId="1571E2E3" w14:textId="77777777" w:rsidR="00955BB5" w:rsidRPr="00D53A10" w:rsidRDefault="00955BB5" w:rsidP="00517B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3A10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&lt;EndNote&gt;&lt;Cite&gt;&lt;Author&gt;Sponheimer&lt;/Author&gt;&lt;Year&gt;1999&lt;/Year&gt;&lt;RecNum&gt;785&lt;/RecNum&gt;&lt;DisplayText&gt;(Sponheimer and Lee-Thorp 1999)&lt;/DisplayText&gt;&lt;record&gt;&lt;rec-number&gt;785&lt;/rec-number&gt;&lt;foreign-keys&gt;&lt;key app="EN" db-id="dadr99rx455stzerfv0vsew8xewss0evz5a2" timestamp="1568011633"&gt;785&lt;/key&gt;&lt;/foreign-keys&gt;&lt;ref-type name="Journal Article"&gt;17&lt;/ref-type&gt;&lt;contributors&gt;&lt;authors&gt;&lt;author&gt;Sponheimer, Matt&lt;/author&gt;&lt;author&gt;Lee-Thorp, Julia A.&lt;/author&gt;&lt;/authors&gt;&lt;/contributors&gt;&lt;titles&gt;&lt;title&gt;Alteration of Enamel Carbonate Environments during Fossilization&lt;/title&gt;&lt;secondary-title&gt;Journal of Archaeological Science&lt;/secondary-title&gt;&lt;/titles&gt;&lt;periodical&gt;&lt;full-title&gt;Journal of Archaeological Science&lt;/full-title&gt;&lt;/periodical&gt;&lt;pages&gt;143-150&lt;/pages&gt;&lt;volume&gt;26&lt;/volume&gt;&lt;number&gt;2&lt;/number&gt;&lt;keywords&gt;&lt;keyword&gt;FOSSILIZATION, DIAGENESIS, ENAMEL, CARBONATE, FTIR SPECTROSCOPY, DIET, ENVIRONMENT&lt;/keyword&gt;&lt;/keywords&gt;&lt;dates&gt;&lt;year&gt;1999&lt;/year&gt;&lt;pub-dates&gt;&lt;date&gt;1999/02/01/&lt;/date&gt;&lt;/pub-dates&gt;&lt;/dates&gt;&lt;isbn&gt;0305-4403&lt;/isbn&gt;&lt;urls&gt;&lt;related-urls&gt;&lt;url&gt;http://www.sciencedirect.com/science/article/pii/S030544039890293X&lt;/url&gt;&lt;/related-urls&gt;&lt;/urls&gt;&lt;electronic-resource-num&gt;https://doi.org/10.1006/jasc.1998.0293&lt;/electronic-resource-num&gt;&lt;/record&gt;&lt;/Cite&gt;&lt;/EndNote&gt;</w:instrText>
            </w:r>
            <w:r w:rsidRPr="00D53A10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(Sponheimer and Lee-Thorp 1999)</w:t>
            </w:r>
            <w:r w:rsidRPr="00D53A10">
              <w:rPr>
                <w:sz w:val="20"/>
                <w:szCs w:val="20"/>
              </w:rPr>
              <w:fldChar w:fldCharType="end"/>
            </w:r>
          </w:p>
        </w:tc>
      </w:tr>
    </w:tbl>
    <w:p w14:paraId="73AA23FE" w14:textId="77777777" w:rsidR="00955BB5" w:rsidRDefault="00955BB5" w:rsidP="00517B6C">
      <w:pPr>
        <w:rPr>
          <w:rFonts w:cs="Times New Roman"/>
          <w:color w:val="191919"/>
        </w:rPr>
      </w:pPr>
    </w:p>
    <w:p w14:paraId="1425584E" w14:textId="77777777" w:rsidR="006716ED" w:rsidRDefault="006716ED" w:rsidP="00517B6C">
      <w:pPr>
        <w:rPr>
          <w:rFonts w:cs="Times New Roman"/>
          <w:color w:val="191919"/>
          <w:u w:val="single"/>
        </w:rPr>
        <w:sectPr w:rsidR="006716ED" w:rsidSect="00BA08E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BC9F7B7" w14:textId="39FF59D0" w:rsidR="007A0764" w:rsidRPr="00FD3588" w:rsidRDefault="0035262A" w:rsidP="00517B6C">
      <w:pPr>
        <w:rPr>
          <w:rFonts w:cs="Times New Roman"/>
          <w:color w:val="191919"/>
          <w:u w:val="single"/>
        </w:rPr>
      </w:pPr>
      <w:r>
        <w:rPr>
          <w:rFonts w:cs="Times New Roman"/>
          <w:color w:val="191919"/>
          <w:u w:val="single"/>
        </w:rPr>
        <w:t>3</w:t>
      </w:r>
      <w:r w:rsidR="00517B6C">
        <w:rPr>
          <w:rFonts w:cs="Times New Roman"/>
          <w:color w:val="191919"/>
          <w:u w:val="single"/>
        </w:rPr>
        <w:t xml:space="preserve">.2 FTIR </w:t>
      </w:r>
      <w:r w:rsidR="00FD3588" w:rsidRPr="00FD3588">
        <w:rPr>
          <w:rFonts w:cs="Times New Roman"/>
          <w:color w:val="191919"/>
          <w:u w:val="single"/>
        </w:rPr>
        <w:t>Results</w:t>
      </w:r>
    </w:p>
    <w:p w14:paraId="5CF870B9" w14:textId="77777777" w:rsidR="00FD3588" w:rsidRDefault="00FD3588" w:rsidP="00517B6C">
      <w:pPr>
        <w:rPr>
          <w:rFonts w:cs="Times New Roman"/>
          <w:color w:val="191919"/>
        </w:rPr>
      </w:pPr>
    </w:p>
    <w:p w14:paraId="2E30E260" w14:textId="7C77331E" w:rsidR="007A0764" w:rsidRDefault="00C54FDE" w:rsidP="00517B6C">
      <w:pPr>
        <w:rPr>
          <w:sz w:val="20"/>
          <w:szCs w:val="20"/>
        </w:rPr>
      </w:pPr>
      <w:r w:rsidRPr="00E92478">
        <w:rPr>
          <w:sz w:val="20"/>
          <w:szCs w:val="20"/>
        </w:rPr>
        <w:t>Figure SOM</w:t>
      </w:r>
      <w:r w:rsidR="00E92478" w:rsidRPr="00E92478">
        <w:rPr>
          <w:sz w:val="20"/>
          <w:szCs w:val="20"/>
        </w:rPr>
        <w:t xml:space="preserve"> </w:t>
      </w:r>
      <w:r w:rsidRPr="00E92478">
        <w:rPr>
          <w:sz w:val="20"/>
          <w:szCs w:val="20"/>
        </w:rPr>
        <w:t>2</w:t>
      </w:r>
      <w:r w:rsidR="007A0764" w:rsidRPr="00E92478">
        <w:rPr>
          <w:sz w:val="20"/>
          <w:szCs w:val="20"/>
        </w:rPr>
        <w:t>: The effect of the type of acid used in pretreatment on the FTIR indices a</w:t>
      </w:r>
      <w:r w:rsidR="00E000FB" w:rsidRPr="00E92478">
        <w:rPr>
          <w:sz w:val="20"/>
          <w:szCs w:val="20"/>
        </w:rPr>
        <w:t xml:space="preserve"> - c) IRSF, d - f) BPI, g - </w:t>
      </w:r>
      <w:proofErr w:type="spellStart"/>
      <w:r w:rsidR="00E000FB" w:rsidRPr="00E92478">
        <w:rPr>
          <w:sz w:val="20"/>
          <w:szCs w:val="20"/>
        </w:rPr>
        <w:t>i</w:t>
      </w:r>
      <w:proofErr w:type="spellEnd"/>
      <w:r w:rsidR="00E000FB" w:rsidRPr="00E92478">
        <w:rPr>
          <w:sz w:val="20"/>
          <w:szCs w:val="20"/>
        </w:rPr>
        <w:t>) API and j - l</w:t>
      </w:r>
      <w:r w:rsidR="007A0764" w:rsidRPr="00E92478">
        <w:rPr>
          <w:sz w:val="20"/>
          <w:szCs w:val="20"/>
        </w:rPr>
        <w:t xml:space="preserve">) API/BPI with different leaching protocols for teeth from </w:t>
      </w:r>
      <w:proofErr w:type="spellStart"/>
      <w:r w:rsidR="007A0764" w:rsidRPr="00E92478">
        <w:rPr>
          <w:sz w:val="20"/>
          <w:szCs w:val="20"/>
        </w:rPr>
        <w:t>Duoi</w:t>
      </w:r>
      <w:proofErr w:type="spellEnd"/>
      <w:r w:rsidR="007A0764" w:rsidRPr="00E92478">
        <w:rPr>
          <w:sz w:val="20"/>
          <w:szCs w:val="20"/>
        </w:rPr>
        <w:t xml:space="preserve"> </w:t>
      </w:r>
      <w:proofErr w:type="spellStart"/>
      <w:r w:rsidR="007A0764" w:rsidRPr="00E92478">
        <w:rPr>
          <w:sz w:val="20"/>
          <w:szCs w:val="20"/>
        </w:rPr>
        <w:t>U’Oi</w:t>
      </w:r>
      <w:proofErr w:type="spellEnd"/>
      <w:r w:rsidR="00E000FB" w:rsidRPr="00E92478">
        <w:rPr>
          <w:sz w:val="20"/>
          <w:szCs w:val="20"/>
        </w:rPr>
        <w:t xml:space="preserve"> (a, d, g, j),</w:t>
      </w:r>
      <w:r w:rsidR="007A0764" w:rsidRPr="00E92478">
        <w:rPr>
          <w:sz w:val="20"/>
          <w:szCs w:val="20"/>
        </w:rPr>
        <w:t xml:space="preserve"> Lo </w:t>
      </w:r>
      <w:proofErr w:type="spellStart"/>
      <w:r w:rsidR="007A0764" w:rsidRPr="00E92478">
        <w:rPr>
          <w:sz w:val="20"/>
          <w:szCs w:val="20"/>
        </w:rPr>
        <w:t>Gach</w:t>
      </w:r>
      <w:proofErr w:type="spellEnd"/>
      <w:r w:rsidR="00E000FB" w:rsidRPr="00E92478">
        <w:rPr>
          <w:sz w:val="20"/>
          <w:szCs w:val="20"/>
        </w:rPr>
        <w:t xml:space="preserve"> (b, e, h, k)</w:t>
      </w:r>
      <w:r w:rsidR="007A0764" w:rsidRPr="00E92478">
        <w:rPr>
          <w:sz w:val="20"/>
          <w:szCs w:val="20"/>
        </w:rPr>
        <w:t xml:space="preserve"> and modern teeth</w:t>
      </w:r>
      <w:r w:rsidR="00E000FB" w:rsidRPr="00E92478">
        <w:rPr>
          <w:sz w:val="20"/>
          <w:szCs w:val="20"/>
        </w:rPr>
        <w:t xml:space="preserve"> (c, f, </w:t>
      </w:r>
      <w:proofErr w:type="spellStart"/>
      <w:r w:rsidR="00E000FB" w:rsidRPr="00E92478">
        <w:rPr>
          <w:sz w:val="20"/>
          <w:szCs w:val="20"/>
        </w:rPr>
        <w:t>i</w:t>
      </w:r>
      <w:proofErr w:type="spellEnd"/>
      <w:r w:rsidR="00E000FB" w:rsidRPr="00E92478">
        <w:rPr>
          <w:sz w:val="20"/>
          <w:szCs w:val="20"/>
        </w:rPr>
        <w:t>, l)</w:t>
      </w:r>
      <w:r w:rsidR="007A0764" w:rsidRPr="00E92478">
        <w:rPr>
          <w:sz w:val="20"/>
          <w:szCs w:val="20"/>
        </w:rPr>
        <w:t xml:space="preserve">. 0 represents no treatment, 1. </w:t>
      </w:r>
      <w:proofErr w:type="gramStart"/>
      <w:r w:rsidR="007A0764" w:rsidRPr="00E92478">
        <w:rPr>
          <w:sz w:val="20"/>
          <w:szCs w:val="20"/>
        </w:rPr>
        <w:t>Hydrochloric acid, 2.</w:t>
      </w:r>
      <w:proofErr w:type="gramEnd"/>
      <w:r w:rsidR="007A0764" w:rsidRPr="00E92478">
        <w:rPr>
          <w:sz w:val="20"/>
          <w:szCs w:val="20"/>
        </w:rPr>
        <w:t xml:space="preserve"> </w:t>
      </w:r>
      <w:proofErr w:type="gramStart"/>
      <w:r w:rsidR="007A0764" w:rsidRPr="00E92478">
        <w:rPr>
          <w:sz w:val="20"/>
          <w:szCs w:val="20"/>
        </w:rPr>
        <w:t>Lactic acid, 3.</w:t>
      </w:r>
      <w:proofErr w:type="gramEnd"/>
      <w:r w:rsidR="007A0764" w:rsidRPr="00E92478">
        <w:rPr>
          <w:sz w:val="20"/>
          <w:szCs w:val="20"/>
        </w:rPr>
        <w:t xml:space="preserve"> </w:t>
      </w:r>
      <w:proofErr w:type="gramStart"/>
      <w:r w:rsidR="007A0764" w:rsidRPr="00E92478">
        <w:rPr>
          <w:sz w:val="20"/>
          <w:szCs w:val="20"/>
        </w:rPr>
        <w:t>Acetic acid, 4.</w:t>
      </w:r>
      <w:proofErr w:type="gramEnd"/>
      <w:r w:rsidR="007A0764" w:rsidRPr="00E92478">
        <w:rPr>
          <w:sz w:val="20"/>
          <w:szCs w:val="20"/>
        </w:rPr>
        <w:t xml:space="preserve"> </w:t>
      </w:r>
      <w:proofErr w:type="gramStart"/>
      <w:r w:rsidR="007A0764" w:rsidRPr="00E92478">
        <w:rPr>
          <w:sz w:val="20"/>
          <w:szCs w:val="20"/>
        </w:rPr>
        <w:t>Propionic ac</w:t>
      </w:r>
      <w:r w:rsidR="00EA7149">
        <w:rPr>
          <w:sz w:val="20"/>
          <w:szCs w:val="20"/>
        </w:rPr>
        <w:t>id and 5.</w:t>
      </w:r>
      <w:proofErr w:type="gramEnd"/>
      <w:r w:rsidR="00EA7149">
        <w:rPr>
          <w:sz w:val="20"/>
          <w:szCs w:val="20"/>
        </w:rPr>
        <w:t xml:space="preserve"> Acetic acid and EDTA.</w:t>
      </w:r>
    </w:p>
    <w:p w14:paraId="6CA27294" w14:textId="24569701" w:rsidR="00B00979" w:rsidRPr="00E92478" w:rsidRDefault="00EA7149" w:rsidP="00517B6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144A967" wp14:editId="51076911">
            <wp:extent cx="5266055" cy="5427345"/>
            <wp:effectExtent l="0" t="0" r="0" b="8255"/>
            <wp:docPr id="4" name="Picture 4" descr="Macintosh HD:Users:rachelwood:Documents:Papers (mine):Papers submitted:Wood Enamel 2 acid type:Review:Fig SOM 2 FTIR vs acid label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chelwood:Documents:Papers (mine):Papers submitted:Wood Enamel 2 acid type:Review:Fig SOM 2 FTIR vs acid labelled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54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94DE0" w14:textId="77777777" w:rsidR="007A0764" w:rsidRPr="00D53A10" w:rsidRDefault="007A0764" w:rsidP="00517B6C"/>
    <w:p w14:paraId="4BACA9EA" w14:textId="77777777" w:rsidR="006716ED" w:rsidRDefault="006716ED" w:rsidP="00517B6C">
      <w:pPr>
        <w:rPr>
          <w:sz w:val="20"/>
          <w:szCs w:val="20"/>
        </w:rPr>
        <w:sectPr w:rsidR="006716ED" w:rsidSect="00BA08E9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6DD4B69" w14:textId="46EB4B18" w:rsidR="007A0764" w:rsidRPr="00E92478" w:rsidRDefault="00C54FDE" w:rsidP="00517B6C">
      <w:pPr>
        <w:rPr>
          <w:sz w:val="20"/>
          <w:szCs w:val="20"/>
        </w:rPr>
      </w:pPr>
      <w:proofErr w:type="gramStart"/>
      <w:r w:rsidRPr="00E92478">
        <w:rPr>
          <w:sz w:val="20"/>
          <w:szCs w:val="20"/>
        </w:rPr>
        <w:t>Figure SOM</w:t>
      </w:r>
      <w:r w:rsidR="00E92478" w:rsidRPr="00E92478">
        <w:rPr>
          <w:sz w:val="20"/>
          <w:szCs w:val="20"/>
        </w:rPr>
        <w:t xml:space="preserve"> </w:t>
      </w:r>
      <w:r w:rsidRPr="00E92478">
        <w:rPr>
          <w:sz w:val="20"/>
          <w:szCs w:val="20"/>
        </w:rPr>
        <w:t>3</w:t>
      </w:r>
      <w:r w:rsidR="007A0764" w:rsidRPr="00E92478">
        <w:rPr>
          <w:sz w:val="20"/>
          <w:szCs w:val="20"/>
        </w:rPr>
        <w:t xml:space="preserve">; Comparison of the FTIR </w:t>
      </w:r>
      <w:proofErr w:type="spellStart"/>
      <w:r w:rsidR="007A0764" w:rsidRPr="00E92478">
        <w:rPr>
          <w:sz w:val="20"/>
          <w:szCs w:val="20"/>
        </w:rPr>
        <w:t>indicies</w:t>
      </w:r>
      <w:proofErr w:type="spellEnd"/>
      <w:r w:rsidR="007A0764" w:rsidRPr="00E92478">
        <w:rPr>
          <w:sz w:val="20"/>
          <w:szCs w:val="20"/>
        </w:rPr>
        <w:t xml:space="preserve"> a</w:t>
      </w:r>
      <w:r w:rsidR="00C44F5A" w:rsidRPr="00E92478">
        <w:rPr>
          <w:sz w:val="20"/>
          <w:szCs w:val="20"/>
        </w:rPr>
        <w:t xml:space="preserve"> - b</w:t>
      </w:r>
      <w:r w:rsidR="007A0764" w:rsidRPr="00E92478">
        <w:rPr>
          <w:sz w:val="20"/>
          <w:szCs w:val="20"/>
        </w:rPr>
        <w:t>) IRSF,</w:t>
      </w:r>
      <w:r w:rsidR="00C44F5A" w:rsidRPr="00E92478">
        <w:rPr>
          <w:sz w:val="20"/>
          <w:szCs w:val="20"/>
        </w:rPr>
        <w:t xml:space="preserve"> c - d) BPI, e - f) API and g - h</w:t>
      </w:r>
      <w:r w:rsidR="007A0764" w:rsidRPr="00E92478">
        <w:rPr>
          <w:sz w:val="20"/>
          <w:szCs w:val="20"/>
        </w:rPr>
        <w:t>) API/BPI with F</w:t>
      </w:r>
      <w:r w:rsidR="007A0764" w:rsidRPr="00E92478">
        <w:rPr>
          <w:sz w:val="20"/>
          <w:szCs w:val="20"/>
          <w:vertAlign w:val="superscript"/>
        </w:rPr>
        <w:t>14</w:t>
      </w:r>
      <w:r w:rsidR="007A0764" w:rsidRPr="00E92478">
        <w:rPr>
          <w:sz w:val="20"/>
          <w:szCs w:val="20"/>
        </w:rPr>
        <w:t xml:space="preserve">C for teeth from </w:t>
      </w:r>
      <w:proofErr w:type="spellStart"/>
      <w:r w:rsidR="007A0764" w:rsidRPr="00E92478">
        <w:rPr>
          <w:sz w:val="20"/>
          <w:szCs w:val="20"/>
        </w:rPr>
        <w:t>Duoi</w:t>
      </w:r>
      <w:proofErr w:type="spellEnd"/>
      <w:r w:rsidR="007A0764" w:rsidRPr="00E92478">
        <w:rPr>
          <w:sz w:val="20"/>
          <w:szCs w:val="20"/>
        </w:rPr>
        <w:t xml:space="preserve"> </w:t>
      </w:r>
      <w:proofErr w:type="spellStart"/>
      <w:r w:rsidR="007A0764" w:rsidRPr="00E92478">
        <w:rPr>
          <w:sz w:val="20"/>
          <w:szCs w:val="20"/>
        </w:rPr>
        <w:t>U’Oi</w:t>
      </w:r>
      <w:proofErr w:type="spellEnd"/>
      <w:r w:rsidR="00C44F5A" w:rsidRPr="00E92478">
        <w:rPr>
          <w:sz w:val="20"/>
          <w:szCs w:val="20"/>
        </w:rPr>
        <w:t xml:space="preserve"> (a, c, e, g)</w:t>
      </w:r>
      <w:r w:rsidR="007A0764" w:rsidRPr="00E92478">
        <w:rPr>
          <w:sz w:val="20"/>
          <w:szCs w:val="20"/>
        </w:rPr>
        <w:t xml:space="preserve"> and Lo </w:t>
      </w:r>
      <w:proofErr w:type="spellStart"/>
      <w:r w:rsidR="007A0764" w:rsidRPr="00E92478">
        <w:rPr>
          <w:sz w:val="20"/>
          <w:szCs w:val="20"/>
        </w:rPr>
        <w:t>Gach</w:t>
      </w:r>
      <w:proofErr w:type="spellEnd"/>
      <w:r w:rsidR="00C44F5A" w:rsidRPr="00E92478">
        <w:rPr>
          <w:sz w:val="20"/>
          <w:szCs w:val="20"/>
        </w:rPr>
        <w:t xml:space="preserve"> (b, d, f, h)</w:t>
      </w:r>
      <w:r w:rsidR="007A0764" w:rsidRPr="00E92478">
        <w:rPr>
          <w:sz w:val="20"/>
          <w:szCs w:val="20"/>
        </w:rPr>
        <w:t>.</w:t>
      </w:r>
      <w:proofErr w:type="gramEnd"/>
      <w:r w:rsidR="007A0764" w:rsidRPr="00E92478">
        <w:rPr>
          <w:sz w:val="20"/>
          <w:szCs w:val="20"/>
        </w:rPr>
        <w:t xml:space="preserve"> </w:t>
      </w:r>
      <w:r w:rsidR="00C2495E">
        <w:rPr>
          <w:sz w:val="20"/>
          <w:szCs w:val="20"/>
        </w:rPr>
        <w:t>Please refer to Figure SOM 2 for a legend.</w:t>
      </w:r>
    </w:p>
    <w:p w14:paraId="22A2EE76" w14:textId="77777777" w:rsidR="007A0764" w:rsidRDefault="007A0764" w:rsidP="00517B6C"/>
    <w:p w14:paraId="7B96F19B" w14:textId="5AAA7312" w:rsidR="00FD3588" w:rsidRDefault="00C2495E" w:rsidP="00517B6C">
      <w:r>
        <w:rPr>
          <w:noProof/>
        </w:rPr>
        <w:drawing>
          <wp:inline distT="0" distB="0" distL="0" distR="0" wp14:anchorId="485A2888" wp14:editId="6402CE1F">
            <wp:extent cx="5266055" cy="6231255"/>
            <wp:effectExtent l="0" t="0" r="0" b="0"/>
            <wp:docPr id="3" name="Picture 3" descr="Macintosh HD:Users:rachelwood:Documents:Papers (mine):Papers submitted:Wood Enamel 2 acid type:Review:Fig SOM 3 FTIR vs F14C Labell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achelwood:Documents:Papers (mine):Papers submitted:Wood Enamel 2 acid type:Review:Fig SOM 3 FTIR vs F14C Labelled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23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588" w:rsidSect="00BA0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9F"/>
    <w:multiLevelType w:val="hybridMultilevel"/>
    <w:tmpl w:val="0C7C6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51AA1"/>
    <w:multiLevelType w:val="hybridMultilevel"/>
    <w:tmpl w:val="A68CC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0E"/>
    <w:rsid w:val="001364D4"/>
    <w:rsid w:val="0017205C"/>
    <w:rsid w:val="002E25A2"/>
    <w:rsid w:val="0035262A"/>
    <w:rsid w:val="00517B6C"/>
    <w:rsid w:val="006346DF"/>
    <w:rsid w:val="006716ED"/>
    <w:rsid w:val="006D1576"/>
    <w:rsid w:val="007A0764"/>
    <w:rsid w:val="007E2609"/>
    <w:rsid w:val="0087396E"/>
    <w:rsid w:val="00880CC3"/>
    <w:rsid w:val="0090775E"/>
    <w:rsid w:val="00955BB5"/>
    <w:rsid w:val="009F210E"/>
    <w:rsid w:val="009F5500"/>
    <w:rsid w:val="00B00979"/>
    <w:rsid w:val="00B44FCC"/>
    <w:rsid w:val="00BA08E9"/>
    <w:rsid w:val="00C2495E"/>
    <w:rsid w:val="00C44F5A"/>
    <w:rsid w:val="00C54FDE"/>
    <w:rsid w:val="00D51169"/>
    <w:rsid w:val="00DA6A86"/>
    <w:rsid w:val="00E000FB"/>
    <w:rsid w:val="00E92478"/>
    <w:rsid w:val="00EA7149"/>
    <w:rsid w:val="00F3633A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775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B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1797</Words>
  <Characters>10244</Characters>
  <Application>Microsoft Macintosh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Wood</dc:creator>
  <cp:keywords/>
  <dc:description/>
  <cp:lastModifiedBy>Rachel Wood</cp:lastModifiedBy>
  <cp:revision>23</cp:revision>
  <dcterms:created xsi:type="dcterms:W3CDTF">2020-10-15T02:35:00Z</dcterms:created>
  <dcterms:modified xsi:type="dcterms:W3CDTF">2020-10-31T09:28:00Z</dcterms:modified>
</cp:coreProperties>
</file>