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5769A" w:rsidRDefault="00DE469D" w:rsidP="009256E9">
      <w:r w:rsidRPr="009C7B40">
        <w:rPr>
          <w:b/>
        </w:rPr>
        <w:t xml:space="preserve">Table </w:t>
      </w:r>
      <w:r w:rsidR="007F5B64" w:rsidRPr="009C7B40">
        <w:rPr>
          <w:b/>
        </w:rPr>
        <w:t>S1</w:t>
      </w:r>
      <w:r w:rsidR="007F5B64">
        <w:t>: Details of the luminescence dating measurements</w:t>
      </w:r>
      <w:r w:rsidR="00B35E86">
        <w:t xml:space="preserve">. A burial </w:t>
      </w:r>
      <w:r w:rsidR="00B35E86" w:rsidRPr="00B35E86">
        <w:t xml:space="preserve">mean water content of 3 ± 3 % was applied </w:t>
      </w:r>
      <w:r w:rsidR="00B35E86">
        <w:t>following Helm et al. (</w:t>
      </w:r>
      <w:r w:rsidR="00B35E86" w:rsidRPr="00B35E86">
        <w:t>2022)</w:t>
      </w:r>
      <w:r w:rsidR="00B35E86">
        <w:t xml:space="preserve">. The Central Age Model (CAM) weighted mean </w:t>
      </w:r>
      <w:r w:rsidR="00CF7ABC">
        <w:t xml:space="preserve">equivalent dose </w:t>
      </w:r>
      <w:r w:rsidR="00B35E86">
        <w:t xml:space="preserve">(Galbraith et al., 1999) was used to calculate sample ages. </w:t>
      </w:r>
      <w:r w:rsidR="00CF7ABC">
        <w:t>*outliers removed prior to averaging (</w:t>
      </w:r>
      <w:r w:rsidR="00A74DF4">
        <w:t>see F</w:t>
      </w:r>
      <w:r w:rsidR="00CF7ABC">
        <w:t>igure S1)</w:t>
      </w:r>
    </w:p>
    <w:tbl>
      <w:tblPr>
        <w:tblStyle w:val="TableGrid"/>
        <w:tblW w:w="14212" w:type="dxa"/>
        <w:tblLayout w:type="fixed"/>
        <w:tblLook w:val="04A0" w:firstRow="1" w:lastRow="0" w:firstColumn="1" w:lastColumn="0" w:noHBand="0" w:noVBand="1"/>
      </w:tblPr>
      <w:tblGrid>
        <w:gridCol w:w="1275"/>
        <w:gridCol w:w="1275"/>
        <w:gridCol w:w="1276"/>
        <w:gridCol w:w="1275"/>
        <w:gridCol w:w="1275"/>
        <w:gridCol w:w="1276"/>
        <w:gridCol w:w="1275"/>
        <w:gridCol w:w="1458"/>
        <w:gridCol w:w="1276"/>
        <w:gridCol w:w="1275"/>
        <w:gridCol w:w="1276"/>
      </w:tblGrid>
      <w:tr w:rsidR="00DE469D" w:rsidTr="00A917E6">
        <w:tc>
          <w:tcPr>
            <w:tcW w:w="1275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>Lab code</w:t>
            </w:r>
          </w:p>
        </w:tc>
        <w:tc>
          <w:tcPr>
            <w:tcW w:w="1275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Field code</w:t>
            </w:r>
          </w:p>
        </w:tc>
        <w:tc>
          <w:tcPr>
            <w:tcW w:w="1276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B</w:t>
            </w:r>
            <w:r w:rsidRPr="00C80DA4">
              <w:rPr>
                <w:b/>
              </w:rPr>
              <w:t>urial depth</w:t>
            </w:r>
            <w:r>
              <w:rPr>
                <w:b/>
              </w:rPr>
              <w:t xml:space="preserve"> (m)</w:t>
            </w:r>
          </w:p>
        </w:tc>
        <w:tc>
          <w:tcPr>
            <w:tcW w:w="1275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>Measured water content</w:t>
            </w:r>
            <w:r>
              <w:rPr>
                <w:b/>
              </w:rPr>
              <w:t xml:space="preserve"> (%)</w:t>
            </w:r>
          </w:p>
        </w:tc>
        <w:tc>
          <w:tcPr>
            <w:tcW w:w="1275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>Applied water content</w:t>
            </w:r>
            <w:r>
              <w:rPr>
                <w:b/>
              </w:rPr>
              <w:t xml:space="preserve"> (%)</w:t>
            </w:r>
          </w:p>
        </w:tc>
        <w:tc>
          <w:tcPr>
            <w:tcW w:w="1276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 xml:space="preserve">Grain size </w:t>
            </w:r>
            <w:r>
              <w:rPr>
                <w:b/>
              </w:rPr>
              <w:t>(</w:t>
            </w:r>
            <w:r>
              <w:rPr>
                <w:rFonts w:cstheme="minorHAnsi"/>
                <w:b/>
              </w:rPr>
              <w:t>µ</w:t>
            </w:r>
            <w:r>
              <w:rPr>
                <w:b/>
              </w:rPr>
              <w:t>m)</w:t>
            </w:r>
          </w:p>
        </w:tc>
        <w:tc>
          <w:tcPr>
            <w:tcW w:w="1275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 xml:space="preserve">Aliquots </w:t>
            </w:r>
            <w:r>
              <w:rPr>
                <w:b/>
              </w:rPr>
              <w:t>accepted</w:t>
            </w:r>
            <w:r w:rsidRPr="00C80DA4">
              <w:rPr>
                <w:b/>
              </w:rPr>
              <w:t xml:space="preserve"> / </w:t>
            </w:r>
            <w:r>
              <w:rPr>
                <w:b/>
              </w:rPr>
              <w:t>measured</w:t>
            </w:r>
          </w:p>
        </w:tc>
        <w:tc>
          <w:tcPr>
            <w:tcW w:w="1458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 w:rsidRPr="00C80DA4">
              <w:rPr>
                <w:b/>
              </w:rPr>
              <w:t>CAM D</w:t>
            </w:r>
            <w:r w:rsidRPr="00C80DA4">
              <w:rPr>
                <w:b/>
                <w:vertAlign w:val="subscript"/>
              </w:rPr>
              <w:t>e</w:t>
            </w:r>
            <w:r w:rsidRPr="00C80DA4">
              <w:rPr>
                <w:b/>
              </w:rPr>
              <w:t xml:space="preserve"> (Gy)</w:t>
            </w:r>
          </w:p>
        </w:tc>
        <w:tc>
          <w:tcPr>
            <w:tcW w:w="1276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OD</w:t>
            </w:r>
            <w:r w:rsidRPr="00C80DA4">
              <w:rPr>
                <w:b/>
              </w:rPr>
              <w:t xml:space="preserve"> (%)</w:t>
            </w:r>
          </w:p>
        </w:tc>
        <w:tc>
          <w:tcPr>
            <w:tcW w:w="1275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Total dose rate</w:t>
            </w:r>
          </w:p>
          <w:p w:rsidR="00DE469D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  <w:tc>
          <w:tcPr>
            <w:tcW w:w="1276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b/>
              </w:rPr>
              <w:t>Age (ka)</w:t>
            </w:r>
          </w:p>
        </w:tc>
      </w:tr>
      <w:tr w:rsidR="00DE469D" w:rsidTr="00DE469D">
        <w:tc>
          <w:tcPr>
            <w:tcW w:w="1275" w:type="dxa"/>
            <w:vAlign w:val="center"/>
          </w:tcPr>
          <w:p w:rsidR="00DE469D" w:rsidRPr="007B2E89" w:rsidRDefault="00DE469D" w:rsidP="009256E9">
            <w:pPr>
              <w:spacing w:line="276" w:lineRule="auto"/>
            </w:pPr>
            <w:r>
              <w:t>Leic20033</w:t>
            </w:r>
          </w:p>
        </w:tc>
        <w:tc>
          <w:tcPr>
            <w:tcW w:w="1275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>
              <w:t>Horse</w:t>
            </w:r>
          </w:p>
        </w:tc>
        <w:tc>
          <w:tcPr>
            <w:tcW w:w="1276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>
              <w:t>70</w:t>
            </w:r>
          </w:p>
        </w:tc>
        <w:tc>
          <w:tcPr>
            <w:tcW w:w="1275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>
              <w:t>0.5</w:t>
            </w:r>
          </w:p>
        </w:tc>
        <w:tc>
          <w:tcPr>
            <w:tcW w:w="1275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 w:rsidRPr="007B2E89">
              <w:t>3 ± 3</w:t>
            </w:r>
          </w:p>
        </w:tc>
        <w:tc>
          <w:tcPr>
            <w:tcW w:w="1276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 w:rsidRPr="007B2E89">
              <w:t>1</w:t>
            </w:r>
            <w:r>
              <w:t>5</w:t>
            </w:r>
            <w:r w:rsidRPr="007B2E89">
              <w:t>0-250</w:t>
            </w:r>
          </w:p>
        </w:tc>
        <w:tc>
          <w:tcPr>
            <w:tcW w:w="1275" w:type="dxa"/>
            <w:vAlign w:val="center"/>
          </w:tcPr>
          <w:p w:rsidR="00DE469D" w:rsidRPr="007B2E89" w:rsidRDefault="00DE469D" w:rsidP="009256E9">
            <w:pPr>
              <w:spacing w:line="276" w:lineRule="auto"/>
              <w:jc w:val="center"/>
            </w:pPr>
            <w:r>
              <w:t>20/20</w:t>
            </w:r>
          </w:p>
        </w:tc>
        <w:tc>
          <w:tcPr>
            <w:tcW w:w="1458" w:type="dxa"/>
            <w:vAlign w:val="center"/>
          </w:tcPr>
          <w:p w:rsidR="00DE469D" w:rsidRPr="00C80DA4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t xml:space="preserve">40.6 </w:t>
            </w:r>
            <w:r>
              <w:rPr>
                <w:rFonts w:cstheme="minorHAnsi"/>
              </w:rPr>
              <w:t>±</w:t>
            </w:r>
            <w:r>
              <w:t xml:space="preserve"> 1.9</w:t>
            </w:r>
          </w:p>
        </w:tc>
        <w:tc>
          <w:tcPr>
            <w:tcW w:w="1276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  <w:rPr>
                <w:b/>
              </w:rPr>
            </w:pPr>
            <w:r>
              <w:t xml:space="preserve">13 </w:t>
            </w:r>
            <w:r>
              <w:rPr>
                <w:rFonts w:cstheme="minorHAnsi"/>
              </w:rPr>
              <w:t>±</w:t>
            </w:r>
            <w:r>
              <w:t xml:space="preserve"> 3</w:t>
            </w:r>
          </w:p>
        </w:tc>
        <w:tc>
          <w:tcPr>
            <w:tcW w:w="1275" w:type="dxa"/>
            <w:vAlign w:val="center"/>
          </w:tcPr>
          <w:p w:rsidR="00DE469D" w:rsidRPr="00D53A74" w:rsidRDefault="00DE469D" w:rsidP="009256E9">
            <w:pPr>
              <w:spacing w:line="276" w:lineRule="auto"/>
              <w:jc w:val="center"/>
            </w:pPr>
            <w:r w:rsidRPr="00D53A74">
              <w:t>0.</w:t>
            </w:r>
            <w:r w:rsidR="000968B1">
              <w:t>25</w:t>
            </w:r>
            <w:r w:rsidR="00CF7ABC">
              <w:t xml:space="preserve"> </w:t>
            </w:r>
            <w:r w:rsidRPr="00D53A74">
              <w:t>± 0.02</w:t>
            </w:r>
          </w:p>
        </w:tc>
        <w:tc>
          <w:tcPr>
            <w:tcW w:w="1276" w:type="dxa"/>
            <w:vAlign w:val="center"/>
          </w:tcPr>
          <w:p w:rsidR="00DE469D" w:rsidRDefault="000968B1" w:rsidP="009256E9">
            <w:pPr>
              <w:spacing w:line="276" w:lineRule="auto"/>
              <w:jc w:val="center"/>
              <w:rPr>
                <w:b/>
              </w:rPr>
            </w:pPr>
            <w:r>
              <w:rPr>
                <w:rFonts w:cstheme="minorHAnsi"/>
                <w:b/>
              </w:rPr>
              <w:t>161</w:t>
            </w:r>
            <w:r w:rsidR="00DE469D">
              <w:rPr>
                <w:rFonts w:cstheme="minorHAnsi"/>
                <w:b/>
              </w:rPr>
              <w:t xml:space="preserve"> </w:t>
            </w:r>
            <w:r w:rsidR="00DE469D" w:rsidRPr="00D932AF">
              <w:rPr>
                <w:rFonts w:cstheme="minorHAnsi"/>
                <w:b/>
              </w:rPr>
              <w:t>±</w:t>
            </w:r>
            <w:r w:rsidR="00DE469D">
              <w:rPr>
                <w:rFonts w:cstheme="minorHAnsi"/>
                <w:b/>
              </w:rPr>
              <w:t xml:space="preserve"> </w:t>
            </w:r>
            <w:r>
              <w:rPr>
                <w:rFonts w:cstheme="minorHAnsi"/>
                <w:b/>
              </w:rPr>
              <w:t>12</w:t>
            </w:r>
          </w:p>
        </w:tc>
      </w:tr>
      <w:tr w:rsidR="00DE469D" w:rsidTr="00DE469D"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Pr="00A01EAE" w:rsidRDefault="00DE469D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Leic21005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Mole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70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5.2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Default="00CF7ABC" w:rsidP="009256E9">
            <w:pPr>
              <w:spacing w:line="276" w:lineRule="auto"/>
              <w:jc w:val="center"/>
            </w:pPr>
            <w:r>
              <w:t>5</w:t>
            </w:r>
            <w:r w:rsidR="00DE469D" w:rsidRPr="001257B8">
              <w:t xml:space="preserve"> ± 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180-250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18/20</w:t>
            </w:r>
          </w:p>
        </w:tc>
        <w:tc>
          <w:tcPr>
            <w:tcW w:w="1458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 xml:space="preserve">68.2 </w:t>
            </w:r>
            <w:r>
              <w:rPr>
                <w:rFonts w:cstheme="minorHAnsi"/>
              </w:rPr>
              <w:t>±</w:t>
            </w:r>
            <w:r>
              <w:t xml:space="preserve"> 3.1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 xml:space="preserve">11 </w:t>
            </w:r>
            <w:r>
              <w:rPr>
                <w:rFonts w:cstheme="minorHAnsi"/>
              </w:rPr>
              <w:t>±</w:t>
            </w:r>
            <w:r>
              <w:t xml:space="preserve"> 4</w:t>
            </w:r>
          </w:p>
        </w:tc>
        <w:tc>
          <w:tcPr>
            <w:tcW w:w="1275" w:type="dxa"/>
            <w:tcBorders>
              <w:top w:val="single" w:sz="4" w:space="0" w:color="auto"/>
            </w:tcBorders>
            <w:vAlign w:val="center"/>
          </w:tcPr>
          <w:p w:rsidR="00DE469D" w:rsidRPr="00097E83" w:rsidRDefault="00DE469D" w:rsidP="009256E9">
            <w:pPr>
              <w:jc w:val="center"/>
            </w:pPr>
            <w:r w:rsidRPr="00097E83">
              <w:t>0.</w:t>
            </w:r>
            <w:r w:rsidR="000968B1">
              <w:t>54</w:t>
            </w:r>
            <w:r w:rsidRPr="00097E83">
              <w:t xml:space="preserve"> ± 0.03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vAlign w:val="center"/>
          </w:tcPr>
          <w:p w:rsidR="00DE469D" w:rsidRDefault="00DE469D" w:rsidP="009256E9">
            <w:pPr>
              <w:jc w:val="center"/>
            </w:pPr>
            <w:r>
              <w:rPr>
                <w:rFonts w:cstheme="minorHAnsi"/>
                <w:b/>
              </w:rPr>
              <w:t>1</w:t>
            </w:r>
            <w:r w:rsidR="000968B1">
              <w:rPr>
                <w:rFonts w:cstheme="minorHAnsi"/>
                <w:b/>
              </w:rPr>
              <w:t>26</w:t>
            </w:r>
            <w:r>
              <w:rPr>
                <w:rFonts w:cstheme="minorHAnsi"/>
                <w:b/>
              </w:rPr>
              <w:t xml:space="preserve"> </w:t>
            </w:r>
            <w:r w:rsidRPr="00D932AF">
              <w:rPr>
                <w:rFonts w:cstheme="minorHAnsi"/>
                <w:b/>
              </w:rPr>
              <w:t>±</w:t>
            </w:r>
            <w:r>
              <w:rPr>
                <w:rFonts w:cstheme="minorHAnsi"/>
                <w:b/>
              </w:rPr>
              <w:t xml:space="preserve"> </w:t>
            </w:r>
            <w:r w:rsidR="000968B1">
              <w:rPr>
                <w:rFonts w:cstheme="minorHAnsi"/>
                <w:b/>
              </w:rPr>
              <w:t>9</w:t>
            </w:r>
          </w:p>
        </w:tc>
      </w:tr>
      <w:tr w:rsidR="00DE469D" w:rsidTr="00DE469D">
        <w:tc>
          <w:tcPr>
            <w:tcW w:w="1275" w:type="dxa"/>
            <w:vAlign w:val="center"/>
          </w:tcPr>
          <w:p w:rsidR="00DE469D" w:rsidRPr="00A01EAE" w:rsidRDefault="00DE469D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Leic21003</w:t>
            </w:r>
          </w:p>
        </w:tc>
        <w:tc>
          <w:tcPr>
            <w:tcW w:w="1275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Robberg 1</w:t>
            </w:r>
          </w:p>
        </w:tc>
        <w:tc>
          <w:tcPr>
            <w:tcW w:w="1276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1275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0.4</w:t>
            </w:r>
          </w:p>
        </w:tc>
        <w:tc>
          <w:tcPr>
            <w:tcW w:w="1275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 w:rsidRPr="001257B8">
              <w:t>3 ± 3</w:t>
            </w:r>
          </w:p>
        </w:tc>
        <w:tc>
          <w:tcPr>
            <w:tcW w:w="1276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</w:pPr>
            <w:r>
              <w:t>180-250</w:t>
            </w:r>
          </w:p>
        </w:tc>
        <w:tc>
          <w:tcPr>
            <w:tcW w:w="1275" w:type="dxa"/>
            <w:vAlign w:val="center"/>
          </w:tcPr>
          <w:p w:rsidR="00DE469D" w:rsidRDefault="0067412A" w:rsidP="009256E9">
            <w:pPr>
              <w:spacing w:line="276" w:lineRule="auto"/>
              <w:jc w:val="center"/>
            </w:pPr>
            <w:r>
              <w:t>20</w:t>
            </w:r>
            <w:r w:rsidR="00DE469D">
              <w:t>/2</w:t>
            </w:r>
            <w:r>
              <w:t>2</w:t>
            </w:r>
          </w:p>
        </w:tc>
        <w:tc>
          <w:tcPr>
            <w:tcW w:w="1458" w:type="dxa"/>
            <w:vAlign w:val="center"/>
          </w:tcPr>
          <w:p w:rsidR="00DE469D" w:rsidRDefault="0067412A" w:rsidP="009256E9">
            <w:pPr>
              <w:spacing w:line="276" w:lineRule="auto"/>
              <w:jc w:val="center"/>
            </w:pPr>
            <w:r>
              <w:t>69.0</w:t>
            </w:r>
            <w:r w:rsidR="00DE469D">
              <w:t xml:space="preserve"> </w:t>
            </w:r>
            <w:r w:rsidR="00DE469D">
              <w:rPr>
                <w:rFonts w:cstheme="minorHAnsi"/>
              </w:rPr>
              <w:t>±</w:t>
            </w:r>
            <w:r w:rsidR="00DE469D">
              <w:t xml:space="preserve"> </w:t>
            </w:r>
            <w:r>
              <w:t>3.7</w:t>
            </w:r>
          </w:p>
        </w:tc>
        <w:tc>
          <w:tcPr>
            <w:tcW w:w="1276" w:type="dxa"/>
            <w:vAlign w:val="center"/>
          </w:tcPr>
          <w:p w:rsidR="00DE469D" w:rsidRDefault="00DE469D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</w:t>
            </w:r>
            <w:r w:rsidR="0067412A">
              <w:rPr>
                <w:rFonts w:cstheme="minorHAnsi"/>
              </w:rPr>
              <w:t>7</w:t>
            </w:r>
            <w:r>
              <w:rPr>
                <w:rFonts w:cstheme="minorHAnsi"/>
              </w:rPr>
              <w:t xml:space="preserve"> ±</w:t>
            </w:r>
            <w:r>
              <w:t xml:space="preserve"> </w:t>
            </w:r>
            <w:r w:rsidR="0067412A">
              <w:t>4</w:t>
            </w:r>
          </w:p>
        </w:tc>
        <w:tc>
          <w:tcPr>
            <w:tcW w:w="1275" w:type="dxa"/>
            <w:vAlign w:val="center"/>
          </w:tcPr>
          <w:p w:rsidR="00DE469D" w:rsidRPr="00097E83" w:rsidRDefault="000968B1" w:rsidP="009256E9">
            <w:pPr>
              <w:jc w:val="center"/>
            </w:pPr>
            <w:r>
              <w:t>1.23</w:t>
            </w:r>
            <w:r w:rsidR="00DE469D" w:rsidRPr="00097E83">
              <w:t xml:space="preserve"> ± 0.</w:t>
            </w:r>
            <w:r>
              <w:t>07</w:t>
            </w:r>
          </w:p>
        </w:tc>
        <w:tc>
          <w:tcPr>
            <w:tcW w:w="1276" w:type="dxa"/>
            <w:vAlign w:val="center"/>
          </w:tcPr>
          <w:p w:rsidR="00DE469D" w:rsidRDefault="000968B1" w:rsidP="009256E9">
            <w:pPr>
              <w:jc w:val="center"/>
            </w:pPr>
            <w:r>
              <w:rPr>
                <w:rFonts w:cstheme="minorHAnsi"/>
                <w:b/>
              </w:rPr>
              <w:t>56</w:t>
            </w:r>
            <w:r w:rsidR="00DE469D">
              <w:rPr>
                <w:rFonts w:cstheme="minorHAnsi"/>
                <w:b/>
              </w:rPr>
              <w:t xml:space="preserve"> </w:t>
            </w:r>
            <w:r w:rsidR="00DE469D" w:rsidRPr="00D932AF">
              <w:rPr>
                <w:rFonts w:cstheme="minorHAnsi"/>
                <w:b/>
              </w:rPr>
              <w:t>±</w:t>
            </w:r>
            <w:r w:rsidR="00DE469D">
              <w:rPr>
                <w:rFonts w:cstheme="minorHAnsi"/>
                <w:b/>
              </w:rPr>
              <w:t xml:space="preserve"> </w:t>
            </w:r>
            <w:r>
              <w:rPr>
                <w:rFonts w:cstheme="minorHAnsi"/>
                <w:b/>
              </w:rPr>
              <w:t>5</w:t>
            </w:r>
          </w:p>
        </w:tc>
      </w:tr>
      <w:tr w:rsidR="000968B1" w:rsidTr="00DE469D">
        <w:tc>
          <w:tcPr>
            <w:tcW w:w="1275" w:type="dxa"/>
            <w:vAlign w:val="center"/>
          </w:tcPr>
          <w:p w:rsidR="000968B1" w:rsidRPr="00A01EAE" w:rsidRDefault="000968B1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Leic21004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Robberg 2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nd.</w:t>
            </w:r>
          </w:p>
        </w:tc>
        <w:tc>
          <w:tcPr>
            <w:tcW w:w="1275" w:type="dxa"/>
            <w:vAlign w:val="center"/>
          </w:tcPr>
          <w:p w:rsidR="000968B1" w:rsidRPr="001257B8" w:rsidRDefault="000968B1" w:rsidP="009256E9">
            <w:pPr>
              <w:spacing w:line="276" w:lineRule="auto"/>
              <w:jc w:val="center"/>
            </w:pPr>
            <w:r w:rsidRPr="001257B8">
              <w:t>3 ± 3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150-250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23/24</w:t>
            </w:r>
          </w:p>
        </w:tc>
        <w:tc>
          <w:tcPr>
            <w:tcW w:w="1458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 xml:space="preserve">83.9 </w:t>
            </w:r>
            <w:r>
              <w:rPr>
                <w:rFonts w:cstheme="minorHAnsi"/>
              </w:rPr>
              <w:t>±</w:t>
            </w:r>
            <w:r>
              <w:t xml:space="preserve"> 4.4*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16 ±</w:t>
            </w:r>
            <w:r>
              <w:t xml:space="preserve"> 3</w:t>
            </w:r>
          </w:p>
        </w:tc>
        <w:tc>
          <w:tcPr>
            <w:tcW w:w="1275" w:type="dxa"/>
            <w:vAlign w:val="center"/>
          </w:tcPr>
          <w:p w:rsidR="000968B1" w:rsidRPr="00097E83" w:rsidRDefault="000968B1" w:rsidP="009256E9">
            <w:pPr>
              <w:jc w:val="center"/>
            </w:pPr>
            <w:r>
              <w:t>1.96</w:t>
            </w:r>
            <w:r w:rsidRPr="00097E83">
              <w:t xml:space="preserve"> ± 0.</w:t>
            </w:r>
            <w:r>
              <w:t>15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jc w:val="center"/>
            </w:pPr>
            <w:r>
              <w:rPr>
                <w:rFonts w:cstheme="minorHAnsi"/>
                <w:b/>
              </w:rPr>
              <w:t xml:space="preserve">43 </w:t>
            </w:r>
            <w:r w:rsidRPr="00D932AF">
              <w:rPr>
                <w:rFonts w:cstheme="minorHAnsi"/>
                <w:b/>
              </w:rPr>
              <w:t>±</w:t>
            </w:r>
            <w:r>
              <w:rPr>
                <w:rFonts w:cstheme="minorHAnsi"/>
                <w:b/>
              </w:rPr>
              <w:t xml:space="preserve"> 4</w:t>
            </w:r>
          </w:p>
        </w:tc>
      </w:tr>
      <w:tr w:rsidR="000968B1" w:rsidTr="00DE469D">
        <w:tc>
          <w:tcPr>
            <w:tcW w:w="1275" w:type="dxa"/>
            <w:vAlign w:val="center"/>
          </w:tcPr>
          <w:p w:rsidR="000968B1" w:rsidRPr="00A01EAE" w:rsidRDefault="000968B1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Leic20028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Robberg 3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10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0.5</w:t>
            </w:r>
          </w:p>
        </w:tc>
        <w:tc>
          <w:tcPr>
            <w:tcW w:w="1275" w:type="dxa"/>
            <w:vAlign w:val="center"/>
          </w:tcPr>
          <w:p w:rsidR="000968B1" w:rsidRPr="001257B8" w:rsidRDefault="000968B1" w:rsidP="009256E9">
            <w:pPr>
              <w:spacing w:line="276" w:lineRule="auto"/>
              <w:jc w:val="center"/>
            </w:pPr>
            <w:r w:rsidRPr="001257B8">
              <w:t>3 ± 3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150-250</w:t>
            </w:r>
          </w:p>
        </w:tc>
        <w:tc>
          <w:tcPr>
            <w:tcW w:w="1275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>23/30</w:t>
            </w:r>
          </w:p>
        </w:tc>
        <w:tc>
          <w:tcPr>
            <w:tcW w:w="1458" w:type="dxa"/>
            <w:vAlign w:val="center"/>
          </w:tcPr>
          <w:p w:rsidR="000968B1" w:rsidRDefault="000968B1" w:rsidP="009256E9">
            <w:pPr>
              <w:spacing w:line="276" w:lineRule="auto"/>
              <w:jc w:val="center"/>
            </w:pPr>
            <w:r>
              <w:t xml:space="preserve">60.9 </w:t>
            </w:r>
            <w:r>
              <w:rPr>
                <w:rFonts w:cstheme="minorHAnsi"/>
              </w:rPr>
              <w:t>±</w:t>
            </w:r>
            <w:r>
              <w:t xml:space="preserve"> 3.5*</w:t>
            </w:r>
          </w:p>
        </w:tc>
        <w:tc>
          <w:tcPr>
            <w:tcW w:w="1276" w:type="dxa"/>
            <w:vAlign w:val="center"/>
          </w:tcPr>
          <w:p w:rsidR="000968B1" w:rsidRPr="00120430" w:rsidRDefault="000968B1" w:rsidP="009256E9">
            <w:pPr>
              <w:spacing w:line="276" w:lineRule="auto"/>
              <w:jc w:val="center"/>
            </w:pPr>
            <w:r>
              <w:rPr>
                <w:rFonts w:cstheme="minorHAnsi"/>
              </w:rPr>
              <w:t>18 ±</w:t>
            </w:r>
            <w:r>
              <w:t xml:space="preserve"> 4</w:t>
            </w:r>
          </w:p>
        </w:tc>
        <w:tc>
          <w:tcPr>
            <w:tcW w:w="1275" w:type="dxa"/>
            <w:vAlign w:val="center"/>
          </w:tcPr>
          <w:p w:rsidR="000968B1" w:rsidRPr="00097E83" w:rsidRDefault="000968B1" w:rsidP="009256E9">
            <w:pPr>
              <w:jc w:val="center"/>
            </w:pPr>
            <w:r>
              <w:t>1.39</w:t>
            </w:r>
            <w:r w:rsidRPr="00097E83">
              <w:t xml:space="preserve"> ± 0.</w:t>
            </w:r>
            <w:r>
              <w:t>09</w:t>
            </w:r>
          </w:p>
        </w:tc>
        <w:tc>
          <w:tcPr>
            <w:tcW w:w="1276" w:type="dxa"/>
            <w:vAlign w:val="center"/>
          </w:tcPr>
          <w:p w:rsidR="000968B1" w:rsidRDefault="000968B1" w:rsidP="009256E9">
            <w:pPr>
              <w:jc w:val="center"/>
            </w:pPr>
            <w:r>
              <w:rPr>
                <w:rFonts w:cstheme="minorHAnsi"/>
                <w:b/>
              </w:rPr>
              <w:t xml:space="preserve">44 </w:t>
            </w:r>
            <w:r w:rsidRPr="00D932AF">
              <w:rPr>
                <w:rFonts w:cstheme="minorHAnsi"/>
                <w:b/>
              </w:rPr>
              <w:t>±</w:t>
            </w:r>
            <w:r>
              <w:rPr>
                <w:rFonts w:cstheme="minorHAnsi"/>
                <w:b/>
              </w:rPr>
              <w:t xml:space="preserve"> 4</w:t>
            </w:r>
          </w:p>
        </w:tc>
      </w:tr>
    </w:tbl>
    <w:p w:rsidR="00962F6D" w:rsidRDefault="00962F6D" w:rsidP="009256E9">
      <w:r>
        <w:br w:type="page"/>
      </w:r>
    </w:p>
    <w:p w:rsidR="00D85C30" w:rsidRDefault="00D85C30" w:rsidP="009256E9">
      <w:r w:rsidRPr="002740A8">
        <w:rPr>
          <w:b/>
        </w:rPr>
        <w:lastRenderedPageBreak/>
        <w:t>Table S2</w:t>
      </w:r>
      <w:r>
        <w:t xml:space="preserve">: Details of the measured elemental concentrations and dose rate calculations. </w:t>
      </w:r>
      <w:r w:rsidRPr="000C730E">
        <w:rPr>
          <w:vertAlign w:val="superscript"/>
        </w:rPr>
        <w:t>a</w:t>
      </w:r>
      <w:r>
        <w:t>a</w:t>
      </w:r>
      <w:r w:rsidRPr="000C730E">
        <w:t>n internal alpha dose rate was included following Jacobs et al. (2003)</w:t>
      </w:r>
      <w:r>
        <w:t xml:space="preserve">. Relative uncertainties of 10% (U and Th) and 5% (K) were </w:t>
      </w:r>
      <w:r w:rsidR="00B35E86">
        <w:t xml:space="preserve">applied to the elemental concentrations </w:t>
      </w:r>
      <w:r w:rsidR="00CF7ABC">
        <w:t xml:space="preserve">and were </w:t>
      </w:r>
      <w:r>
        <w:t xml:space="preserve">propagated to the final dose rate uncertainties. </w:t>
      </w:r>
      <w:r w:rsidR="002477D6">
        <w:t>External gamma and beta doses were corrected for water content (Aitken, 1985), external beta doses were also corrected for grain size (Mejdahl, 1979) and HF etching (Bell, 1979).</w:t>
      </w:r>
      <w:r w:rsidR="00B35E86">
        <w:t xml:space="preserve"> </w:t>
      </w:r>
      <w:r w:rsidR="00B35E86" w:rsidRPr="00B35E86">
        <w:t xml:space="preserve">The external beta dose rates were </w:t>
      </w:r>
      <w:r w:rsidR="00B35E86">
        <w:t>evaluated</w:t>
      </w:r>
      <w:r w:rsidR="00B35E86" w:rsidRPr="00B35E86">
        <w:t xml:space="preserve"> using GM beta counting on a </w:t>
      </w:r>
      <w:r w:rsidR="00CF7ABC">
        <w:t xml:space="preserve">dried and </w:t>
      </w:r>
      <w:r w:rsidR="00B35E86" w:rsidRPr="00B35E86">
        <w:t>powdered sub-sample (Bøtter-Jensen and Mejdahl,</w:t>
      </w:r>
      <w:r w:rsidR="00B35E86">
        <w:t xml:space="preserve"> 1988; Jacobs and Roberts, 2015). </w:t>
      </w:r>
      <w:r w:rsidR="00B35E86" w:rsidRPr="002740A8">
        <w:t xml:space="preserve">Cosmic dose rates were calculated using the </w:t>
      </w:r>
      <w:r w:rsidR="00B35E86" w:rsidRPr="00C93246">
        <w:rPr>
          <w:i/>
        </w:rPr>
        <w:t>Luminescence</w:t>
      </w:r>
      <w:r w:rsidR="00B35E86" w:rsidRPr="002740A8">
        <w:t xml:space="preserve"> R package (Kreutzer et al., 2012, 2022),</w:t>
      </w:r>
      <w:r w:rsidR="00B35E86">
        <w:t xml:space="preserve"> a calculation </w:t>
      </w:r>
      <w:r w:rsidR="00B35E86" w:rsidRPr="002740A8">
        <w:t>itself base</w:t>
      </w:r>
      <w:r w:rsidR="00B35E86">
        <w:t>d on Prescott and Hutton (1994).</w:t>
      </w:r>
    </w:p>
    <w:tbl>
      <w:tblPr>
        <w:tblStyle w:val="TableGrid"/>
        <w:tblW w:w="13567" w:type="dxa"/>
        <w:tblLayout w:type="fixed"/>
        <w:tblLook w:val="04A0" w:firstRow="1" w:lastRow="0" w:firstColumn="1" w:lastColumn="0" w:noHBand="0" w:noVBand="1"/>
      </w:tblPr>
      <w:tblGrid>
        <w:gridCol w:w="1134"/>
        <w:gridCol w:w="1271"/>
        <w:gridCol w:w="878"/>
        <w:gridCol w:w="878"/>
        <w:gridCol w:w="992"/>
        <w:gridCol w:w="1701"/>
        <w:gridCol w:w="1985"/>
        <w:gridCol w:w="1691"/>
        <w:gridCol w:w="1634"/>
        <w:gridCol w:w="1403"/>
      </w:tblGrid>
      <w:tr w:rsidR="00D85C30" w:rsidRPr="00C80DA4" w:rsidTr="00A917E6">
        <w:tc>
          <w:tcPr>
            <w:tcW w:w="1134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 w:rsidRPr="00C80DA4">
              <w:rPr>
                <w:b/>
              </w:rPr>
              <w:t>Lab code</w:t>
            </w:r>
          </w:p>
        </w:tc>
        <w:tc>
          <w:tcPr>
            <w:tcW w:w="1271" w:type="dxa"/>
            <w:tcBorders>
              <w:bottom w:val="single" w:sz="18" w:space="0" w:color="auto"/>
            </w:tcBorders>
          </w:tcPr>
          <w:p w:rsidR="00D85C30" w:rsidRDefault="00D85C30" w:rsidP="009256E9">
            <w:pPr>
              <w:spacing w:line="276" w:lineRule="auto"/>
              <w:rPr>
                <w:b/>
              </w:rPr>
            </w:pPr>
          </w:p>
        </w:tc>
        <w:tc>
          <w:tcPr>
            <w:tcW w:w="878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U </w:t>
            </w:r>
          </w:p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(ppm)</w:t>
            </w:r>
          </w:p>
        </w:tc>
        <w:tc>
          <w:tcPr>
            <w:tcW w:w="878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Th </w:t>
            </w:r>
          </w:p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(ppm)</w:t>
            </w:r>
          </w:p>
        </w:tc>
        <w:tc>
          <w:tcPr>
            <w:tcW w:w="992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 xml:space="preserve">K </w:t>
            </w:r>
          </w:p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(%)</w:t>
            </w:r>
          </w:p>
        </w:tc>
        <w:tc>
          <w:tcPr>
            <w:tcW w:w="1701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Internal alpha dose rate</w:t>
            </w:r>
          </w:p>
          <w:p w:rsidR="00D85C30" w:rsidRPr="00113323" w:rsidRDefault="00D85C30" w:rsidP="009256E9">
            <w:pPr>
              <w:spacing w:line="276" w:lineRule="auto"/>
              <w:rPr>
                <w:b/>
                <w:vertAlign w:val="superscript"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  <w:r w:rsidRPr="00113323">
              <w:rPr>
                <w:b/>
                <w:vertAlign w:val="superscript"/>
              </w:rPr>
              <w:t>a</w:t>
            </w:r>
          </w:p>
        </w:tc>
        <w:tc>
          <w:tcPr>
            <w:tcW w:w="1985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External beta dose rate (ICP-MS)</w:t>
            </w:r>
          </w:p>
          <w:p w:rsidR="00D85C30" w:rsidRPr="00C80DA4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  <w:tc>
          <w:tcPr>
            <w:tcW w:w="1691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External gamma dose rate</w:t>
            </w:r>
          </w:p>
          <w:p w:rsidR="00D85C30" w:rsidRPr="00C80DA4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  <w:tc>
          <w:tcPr>
            <w:tcW w:w="1634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Cosmic dose rate</w:t>
            </w:r>
          </w:p>
          <w:p w:rsidR="00D85C30" w:rsidRPr="00C80DA4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  <w:tc>
          <w:tcPr>
            <w:tcW w:w="1403" w:type="dxa"/>
            <w:tcBorders>
              <w:bottom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Total Dose rate</w:t>
            </w:r>
          </w:p>
          <w:p w:rsidR="00D85C30" w:rsidRPr="00C80DA4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</w:tr>
      <w:tr w:rsidR="00D85C30" w:rsidRPr="00C80DA4" w:rsidTr="00A917E6">
        <w:tc>
          <w:tcPr>
            <w:tcW w:w="1134" w:type="dxa"/>
            <w:tcBorders>
              <w:top w:val="single" w:sz="18" w:space="0" w:color="auto"/>
            </w:tcBorders>
            <w:vAlign w:val="center"/>
          </w:tcPr>
          <w:p w:rsidR="00D85C30" w:rsidRPr="007B2E89" w:rsidRDefault="00D85C30" w:rsidP="009256E9">
            <w:pPr>
              <w:spacing w:line="276" w:lineRule="auto"/>
            </w:pPr>
            <w:r>
              <w:t>Leic20033</w:t>
            </w:r>
          </w:p>
        </w:tc>
        <w:tc>
          <w:tcPr>
            <w:tcW w:w="1271" w:type="dxa"/>
            <w:tcBorders>
              <w:top w:val="single" w:sz="18" w:space="0" w:color="auto"/>
            </w:tcBorders>
            <w:vAlign w:val="center"/>
          </w:tcPr>
          <w:p w:rsidR="00D85C30" w:rsidRPr="007B2E89" w:rsidRDefault="00D85C30" w:rsidP="009256E9">
            <w:pPr>
              <w:spacing w:line="276" w:lineRule="auto"/>
              <w:jc w:val="center"/>
            </w:pPr>
            <w:r>
              <w:t>Horse</w:t>
            </w:r>
          </w:p>
        </w:tc>
        <w:tc>
          <w:tcPr>
            <w:tcW w:w="878" w:type="dxa"/>
            <w:tcBorders>
              <w:top w:val="single" w:sz="18" w:space="0" w:color="auto"/>
            </w:tcBorders>
            <w:vAlign w:val="center"/>
          </w:tcPr>
          <w:p w:rsidR="00D85C30" w:rsidRPr="00D53A74" w:rsidRDefault="00D85C30" w:rsidP="009256E9">
            <w:pPr>
              <w:spacing w:line="276" w:lineRule="auto"/>
              <w:jc w:val="center"/>
            </w:pPr>
            <w:r>
              <w:t>0.6</w:t>
            </w:r>
          </w:p>
        </w:tc>
        <w:tc>
          <w:tcPr>
            <w:tcW w:w="878" w:type="dxa"/>
            <w:tcBorders>
              <w:top w:val="single" w:sz="18" w:space="0" w:color="auto"/>
            </w:tcBorders>
            <w:vAlign w:val="center"/>
          </w:tcPr>
          <w:p w:rsidR="00D85C30" w:rsidRPr="00D53A74" w:rsidRDefault="00D85C30" w:rsidP="009256E9">
            <w:pPr>
              <w:spacing w:line="276" w:lineRule="auto"/>
              <w:jc w:val="center"/>
            </w:pPr>
            <w:r>
              <w:t>0.6</w:t>
            </w:r>
          </w:p>
        </w:tc>
        <w:tc>
          <w:tcPr>
            <w:tcW w:w="992" w:type="dxa"/>
            <w:tcBorders>
              <w:top w:val="single" w:sz="18" w:space="0" w:color="auto"/>
            </w:tcBorders>
            <w:vAlign w:val="center"/>
          </w:tcPr>
          <w:p w:rsidR="00D85C30" w:rsidRPr="00D53A74" w:rsidRDefault="00D85C30" w:rsidP="009256E9">
            <w:pPr>
              <w:spacing w:line="276" w:lineRule="auto"/>
              <w:jc w:val="center"/>
            </w:pPr>
            <w:r>
              <w:t>0.05</w:t>
            </w:r>
          </w:p>
        </w:tc>
        <w:tc>
          <w:tcPr>
            <w:tcW w:w="1701" w:type="dxa"/>
            <w:tcBorders>
              <w:top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  <w:r w:rsidRPr="009B02C0">
              <w:t xml:space="preserve">0.036 </w:t>
            </w:r>
            <w:r w:rsidRPr="009B02C0">
              <w:rPr>
                <w:rFonts w:cstheme="minorHAnsi"/>
              </w:rPr>
              <w:t>± 0.01</w:t>
            </w:r>
          </w:p>
        </w:tc>
        <w:tc>
          <w:tcPr>
            <w:tcW w:w="1985" w:type="dxa"/>
            <w:tcBorders>
              <w:top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  <w:r>
              <w:t>0.</w:t>
            </w:r>
            <w:r w:rsidR="007F5B64">
              <w:t>109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</w:t>
            </w:r>
            <w:r w:rsidR="007F5B64">
              <w:t>08</w:t>
            </w:r>
          </w:p>
        </w:tc>
        <w:tc>
          <w:tcPr>
            <w:tcW w:w="1691" w:type="dxa"/>
            <w:tcBorders>
              <w:top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  <w:r>
              <w:t>0.</w:t>
            </w:r>
            <w:r w:rsidR="007F5B64">
              <w:t>102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</w:t>
            </w:r>
            <w:r w:rsidR="007F5B64">
              <w:t>08</w:t>
            </w:r>
          </w:p>
        </w:tc>
        <w:tc>
          <w:tcPr>
            <w:tcW w:w="1634" w:type="dxa"/>
            <w:tcBorders>
              <w:top w:val="single" w:sz="18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  <w:r>
              <w:t xml:space="preserve">0.005 </w:t>
            </w:r>
            <w:r w:rsidRPr="004B1045">
              <w:rPr>
                <w:rFonts w:cstheme="minorHAnsi"/>
              </w:rPr>
              <w:t>± 0.</w:t>
            </w:r>
            <w:r>
              <w:rPr>
                <w:rFonts w:cstheme="minorHAnsi"/>
              </w:rPr>
              <w:t>0</w:t>
            </w:r>
            <w:r w:rsidRPr="004B1045">
              <w:rPr>
                <w:rFonts w:cstheme="minorHAnsi"/>
              </w:rPr>
              <w:t>0</w:t>
            </w:r>
            <w:r>
              <w:rPr>
                <w:rFonts w:cstheme="minorHAnsi"/>
              </w:rPr>
              <w:t>1</w:t>
            </w:r>
          </w:p>
        </w:tc>
        <w:tc>
          <w:tcPr>
            <w:tcW w:w="1403" w:type="dxa"/>
            <w:tcBorders>
              <w:top w:val="single" w:sz="18" w:space="0" w:color="auto"/>
            </w:tcBorders>
            <w:vAlign w:val="center"/>
          </w:tcPr>
          <w:p w:rsidR="00D85C30" w:rsidRPr="00D53A74" w:rsidRDefault="00D85C30" w:rsidP="009256E9">
            <w:pPr>
              <w:spacing w:line="276" w:lineRule="auto"/>
              <w:jc w:val="center"/>
            </w:pPr>
            <w:r w:rsidRPr="00D53A74">
              <w:t>0.</w:t>
            </w:r>
            <w:r>
              <w:t>25</w:t>
            </w:r>
            <w:r w:rsidR="00CF7ABC">
              <w:t xml:space="preserve"> </w:t>
            </w:r>
            <w:r w:rsidRPr="00D53A74">
              <w:t>± 0.02</w:t>
            </w:r>
          </w:p>
        </w:tc>
      </w:tr>
      <w:tr w:rsidR="00D85C30" w:rsidTr="00C8188A">
        <w:tc>
          <w:tcPr>
            <w:tcW w:w="1134" w:type="dxa"/>
            <w:tcBorders>
              <w:top w:val="single" w:sz="4" w:space="0" w:color="auto"/>
            </w:tcBorders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Leic21005</w:t>
            </w:r>
          </w:p>
        </w:tc>
        <w:tc>
          <w:tcPr>
            <w:tcW w:w="1271" w:type="dxa"/>
            <w:tcBorders>
              <w:top w:val="single" w:sz="4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Mole</w:t>
            </w:r>
          </w:p>
        </w:tc>
        <w:tc>
          <w:tcPr>
            <w:tcW w:w="878" w:type="dxa"/>
            <w:tcBorders>
              <w:top w:val="single" w:sz="4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1.4</w:t>
            </w:r>
          </w:p>
        </w:tc>
        <w:tc>
          <w:tcPr>
            <w:tcW w:w="878" w:type="dxa"/>
            <w:tcBorders>
              <w:top w:val="single" w:sz="4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1.4</w:t>
            </w:r>
          </w:p>
        </w:tc>
        <w:tc>
          <w:tcPr>
            <w:tcW w:w="992" w:type="dxa"/>
            <w:tcBorders>
              <w:top w:val="single" w:sz="4" w:space="0" w:color="auto"/>
            </w:tcBorders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0.11</w:t>
            </w:r>
          </w:p>
        </w:tc>
        <w:tc>
          <w:tcPr>
            <w:tcW w:w="1701" w:type="dxa"/>
            <w:tcBorders>
              <w:top w:val="single" w:sz="4" w:space="0" w:color="auto"/>
            </w:tcBorders>
            <w:vAlign w:val="center"/>
          </w:tcPr>
          <w:p w:rsidR="00D85C30" w:rsidRDefault="00D85C30" w:rsidP="009256E9">
            <w:pPr>
              <w:jc w:val="center"/>
            </w:pPr>
            <w:r w:rsidRPr="009B02C0">
              <w:t xml:space="preserve">0.036 </w:t>
            </w:r>
            <w:r w:rsidRPr="009B02C0">
              <w:rPr>
                <w:rFonts w:cstheme="minorHAnsi"/>
              </w:rPr>
              <w:t>± 0.01</w:t>
            </w:r>
          </w:p>
        </w:tc>
        <w:tc>
          <w:tcPr>
            <w:tcW w:w="1985" w:type="dxa"/>
            <w:tcBorders>
              <w:top w:val="single" w:sz="4" w:space="0" w:color="auto"/>
            </w:tcBorders>
            <w:vAlign w:val="center"/>
          </w:tcPr>
          <w:p w:rsidR="00D85C30" w:rsidRPr="009979B8" w:rsidRDefault="00D85C30" w:rsidP="009256E9">
            <w:pPr>
              <w:spacing w:line="276" w:lineRule="auto"/>
              <w:jc w:val="center"/>
            </w:pPr>
            <w:r>
              <w:t>0.</w:t>
            </w:r>
            <w:r w:rsidR="007F5B64">
              <w:t>257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0.020</w:t>
            </w:r>
          </w:p>
        </w:tc>
        <w:tc>
          <w:tcPr>
            <w:tcW w:w="1691" w:type="dxa"/>
            <w:tcBorders>
              <w:top w:val="single" w:sz="4" w:space="0" w:color="auto"/>
            </w:tcBorders>
            <w:vAlign w:val="center"/>
          </w:tcPr>
          <w:p w:rsidR="00D85C30" w:rsidRPr="009979B8" w:rsidRDefault="00D85C30" w:rsidP="009256E9">
            <w:pPr>
              <w:spacing w:line="276" w:lineRule="auto"/>
              <w:jc w:val="center"/>
            </w:pPr>
            <w:r>
              <w:t>0.</w:t>
            </w:r>
            <w:r w:rsidR="007F5B64">
              <w:t>242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0.01</w:t>
            </w:r>
            <w:r w:rsidR="007F5B64">
              <w:t>8</w:t>
            </w:r>
          </w:p>
        </w:tc>
        <w:tc>
          <w:tcPr>
            <w:tcW w:w="1634" w:type="dxa"/>
            <w:tcBorders>
              <w:top w:val="single" w:sz="4" w:space="0" w:color="auto"/>
            </w:tcBorders>
            <w:vAlign w:val="center"/>
          </w:tcPr>
          <w:p w:rsidR="00D85C30" w:rsidRPr="009979B8" w:rsidRDefault="00D85C30" w:rsidP="009256E9">
            <w:pPr>
              <w:spacing w:line="276" w:lineRule="auto"/>
              <w:jc w:val="center"/>
            </w:pPr>
            <w:r>
              <w:t xml:space="preserve">0.005 </w:t>
            </w:r>
            <w:r w:rsidRPr="004B1045">
              <w:rPr>
                <w:rFonts w:cstheme="minorHAnsi"/>
              </w:rPr>
              <w:t>± 0.</w:t>
            </w:r>
            <w:r>
              <w:rPr>
                <w:rFonts w:cstheme="minorHAnsi"/>
              </w:rPr>
              <w:t>0</w:t>
            </w:r>
            <w:r w:rsidRPr="004B1045">
              <w:rPr>
                <w:rFonts w:cstheme="minorHAnsi"/>
              </w:rPr>
              <w:t>0</w:t>
            </w:r>
            <w:r>
              <w:rPr>
                <w:rFonts w:cstheme="minorHAnsi"/>
              </w:rPr>
              <w:t>1</w:t>
            </w:r>
          </w:p>
        </w:tc>
        <w:tc>
          <w:tcPr>
            <w:tcW w:w="1403" w:type="dxa"/>
            <w:tcBorders>
              <w:top w:val="single" w:sz="4" w:space="0" w:color="auto"/>
            </w:tcBorders>
            <w:vAlign w:val="center"/>
          </w:tcPr>
          <w:p w:rsidR="00D85C30" w:rsidRPr="00097E83" w:rsidRDefault="00D85C30" w:rsidP="009256E9">
            <w:pPr>
              <w:jc w:val="center"/>
            </w:pPr>
            <w:r w:rsidRPr="00097E83">
              <w:t>0.</w:t>
            </w:r>
            <w:r>
              <w:t>54</w:t>
            </w:r>
            <w:r w:rsidRPr="00097E83">
              <w:t xml:space="preserve"> ± 0.03</w:t>
            </w:r>
          </w:p>
        </w:tc>
      </w:tr>
      <w:tr w:rsidR="00D85C30" w:rsidTr="00C8188A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Leic21003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1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4.0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1.3</w:t>
            </w:r>
          </w:p>
        </w:tc>
        <w:tc>
          <w:tcPr>
            <w:tcW w:w="992" w:type="dxa"/>
            <w:vAlign w:val="center"/>
          </w:tcPr>
          <w:p w:rsidR="00D85C30" w:rsidRPr="00D53A74" w:rsidRDefault="00D85C30" w:rsidP="009256E9">
            <w:pPr>
              <w:spacing w:line="276" w:lineRule="auto"/>
              <w:jc w:val="center"/>
            </w:pPr>
            <w:r>
              <w:t>0.19</w:t>
            </w:r>
          </w:p>
        </w:tc>
        <w:tc>
          <w:tcPr>
            <w:tcW w:w="1701" w:type="dxa"/>
            <w:vAlign w:val="center"/>
          </w:tcPr>
          <w:p w:rsidR="00D85C30" w:rsidRDefault="00D85C30" w:rsidP="009256E9">
            <w:pPr>
              <w:jc w:val="center"/>
            </w:pPr>
            <w:r w:rsidRPr="009B02C0">
              <w:t xml:space="preserve">0.036 </w:t>
            </w:r>
            <w:r w:rsidRPr="009B02C0">
              <w:rPr>
                <w:rFonts w:cstheme="minorHAnsi"/>
              </w:rPr>
              <w:t>± 0.01</w:t>
            </w:r>
          </w:p>
        </w:tc>
        <w:tc>
          <w:tcPr>
            <w:tcW w:w="1985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>0.</w:t>
            </w:r>
            <w:r w:rsidR="007F5B64">
              <w:t>588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</w:t>
            </w:r>
            <w:r w:rsidR="007F5B64">
              <w:t>54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>0.</w:t>
            </w:r>
            <w:r w:rsidR="007F5B64">
              <w:t>533</w:t>
            </w:r>
            <w:r>
              <w:t xml:space="preserve"> </w:t>
            </w:r>
            <w:r>
              <w:rPr>
                <w:rFonts w:cstheme="minorHAnsi"/>
              </w:rPr>
              <w:t xml:space="preserve">± </w:t>
            </w:r>
            <w:r>
              <w:t>0.0</w:t>
            </w:r>
            <w:r w:rsidR="007F5B64">
              <w:t>4</w:t>
            </w:r>
            <w:r>
              <w:t>9</w:t>
            </w: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 xml:space="preserve">0.074 </w:t>
            </w:r>
            <w:r w:rsidRPr="004B1045">
              <w:rPr>
                <w:rFonts w:cstheme="minorHAnsi"/>
              </w:rPr>
              <w:t>± 0.0</w:t>
            </w:r>
            <w:r>
              <w:rPr>
                <w:rFonts w:cstheme="minorHAnsi"/>
              </w:rPr>
              <w:t>07</w:t>
            </w:r>
          </w:p>
        </w:tc>
        <w:tc>
          <w:tcPr>
            <w:tcW w:w="1403" w:type="dxa"/>
            <w:vAlign w:val="center"/>
          </w:tcPr>
          <w:p w:rsidR="00D85C30" w:rsidRPr="00097E83" w:rsidRDefault="00D85C30" w:rsidP="009256E9">
            <w:pPr>
              <w:jc w:val="center"/>
            </w:pPr>
            <w:r>
              <w:t>1.23</w:t>
            </w:r>
            <w:r w:rsidRPr="00097E83">
              <w:t xml:space="preserve"> ± 0.</w:t>
            </w:r>
            <w:r>
              <w:t>07</w:t>
            </w:r>
          </w:p>
        </w:tc>
      </w:tr>
      <w:tr w:rsidR="00D85C30" w:rsidTr="00C8188A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Leic21004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2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7.9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0.4</w:t>
            </w: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0.09</w:t>
            </w:r>
          </w:p>
        </w:tc>
        <w:tc>
          <w:tcPr>
            <w:tcW w:w="1701" w:type="dxa"/>
            <w:vAlign w:val="center"/>
          </w:tcPr>
          <w:p w:rsidR="00D85C30" w:rsidRPr="009B02C0" w:rsidRDefault="00D85C30" w:rsidP="009256E9">
            <w:pPr>
              <w:jc w:val="center"/>
            </w:pPr>
            <w:r w:rsidRPr="009B02C0">
              <w:t xml:space="preserve">0.036 </w:t>
            </w:r>
            <w:r w:rsidRPr="009B02C0">
              <w:rPr>
                <w:rFonts w:cstheme="minorHAnsi"/>
              </w:rPr>
              <w:t>± 0.01</w:t>
            </w:r>
          </w:p>
        </w:tc>
        <w:tc>
          <w:tcPr>
            <w:tcW w:w="1985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</w:pPr>
            <w:r>
              <w:t xml:space="preserve">0.955 </w:t>
            </w:r>
            <w:r>
              <w:rPr>
                <w:rFonts w:cstheme="minorHAnsi"/>
              </w:rPr>
              <w:t xml:space="preserve">± </w:t>
            </w:r>
            <w:r>
              <w:t>0.108</w:t>
            </w:r>
          </w:p>
        </w:tc>
        <w:tc>
          <w:tcPr>
            <w:tcW w:w="1691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</w:pPr>
            <w:r>
              <w:t xml:space="preserve">0.891 </w:t>
            </w:r>
            <w:r>
              <w:rPr>
                <w:rFonts w:cstheme="minorHAnsi"/>
              </w:rPr>
              <w:t xml:space="preserve">± </w:t>
            </w:r>
            <w:r>
              <w:t>0.096</w:t>
            </w:r>
          </w:p>
        </w:tc>
        <w:tc>
          <w:tcPr>
            <w:tcW w:w="1634" w:type="dxa"/>
            <w:vAlign w:val="center"/>
          </w:tcPr>
          <w:p w:rsidR="00D85C30" w:rsidRPr="009979B8" w:rsidRDefault="00D85C30" w:rsidP="009256E9">
            <w:pPr>
              <w:spacing w:line="276" w:lineRule="auto"/>
              <w:jc w:val="center"/>
            </w:pPr>
            <w:r>
              <w:t xml:space="preserve">0.074 </w:t>
            </w:r>
            <w:r w:rsidRPr="004B1045">
              <w:rPr>
                <w:rFonts w:cstheme="minorHAnsi"/>
              </w:rPr>
              <w:t>± 0.0</w:t>
            </w:r>
            <w:r>
              <w:rPr>
                <w:rFonts w:cstheme="minorHAnsi"/>
              </w:rPr>
              <w:t>07</w:t>
            </w:r>
          </w:p>
        </w:tc>
        <w:tc>
          <w:tcPr>
            <w:tcW w:w="1403" w:type="dxa"/>
            <w:vAlign w:val="center"/>
          </w:tcPr>
          <w:p w:rsidR="00D85C30" w:rsidRPr="00097E83" w:rsidRDefault="00D85C30" w:rsidP="009256E9">
            <w:pPr>
              <w:jc w:val="center"/>
            </w:pPr>
            <w:r>
              <w:t>1.96</w:t>
            </w:r>
            <w:r w:rsidRPr="00097E83">
              <w:t xml:space="preserve"> ± 0.</w:t>
            </w:r>
            <w:r>
              <w:t>15</w:t>
            </w:r>
          </w:p>
        </w:tc>
      </w:tr>
      <w:tr w:rsidR="00D85C30" w:rsidTr="00C8188A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Leic20028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3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4.8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0.7</w:t>
            </w: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0.18</w:t>
            </w:r>
          </w:p>
        </w:tc>
        <w:tc>
          <w:tcPr>
            <w:tcW w:w="1701" w:type="dxa"/>
            <w:vAlign w:val="center"/>
          </w:tcPr>
          <w:p w:rsidR="00D85C30" w:rsidRPr="009B02C0" w:rsidRDefault="00D85C30" w:rsidP="009256E9">
            <w:pPr>
              <w:jc w:val="center"/>
            </w:pPr>
            <w:r w:rsidRPr="009B02C0">
              <w:t xml:space="preserve">0.036 </w:t>
            </w:r>
            <w:r w:rsidRPr="009B02C0">
              <w:rPr>
                <w:rFonts w:cstheme="minorHAnsi"/>
              </w:rPr>
              <w:t>± 0.01</w:t>
            </w:r>
          </w:p>
        </w:tc>
        <w:tc>
          <w:tcPr>
            <w:tcW w:w="1985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</w:pPr>
            <w:r>
              <w:t xml:space="preserve">0.677 </w:t>
            </w:r>
            <w:r>
              <w:rPr>
                <w:rFonts w:cstheme="minorHAnsi"/>
              </w:rPr>
              <w:t xml:space="preserve">± </w:t>
            </w:r>
            <w:r>
              <w:t>0.067</w:t>
            </w:r>
          </w:p>
        </w:tc>
        <w:tc>
          <w:tcPr>
            <w:tcW w:w="1691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</w:pPr>
            <w:r>
              <w:t xml:space="preserve">0.601 </w:t>
            </w:r>
            <w:r>
              <w:rPr>
                <w:rFonts w:cstheme="minorHAnsi"/>
              </w:rPr>
              <w:t xml:space="preserve">± </w:t>
            </w:r>
            <w:r>
              <w:t>0.060</w:t>
            </w:r>
          </w:p>
        </w:tc>
        <w:tc>
          <w:tcPr>
            <w:tcW w:w="1634" w:type="dxa"/>
            <w:vAlign w:val="center"/>
          </w:tcPr>
          <w:p w:rsidR="00D85C30" w:rsidRPr="009979B8" w:rsidRDefault="00D85C30" w:rsidP="009256E9">
            <w:pPr>
              <w:spacing w:line="276" w:lineRule="auto"/>
              <w:jc w:val="center"/>
            </w:pPr>
            <w:r>
              <w:t xml:space="preserve">0.074 </w:t>
            </w:r>
            <w:r w:rsidRPr="004B1045">
              <w:rPr>
                <w:rFonts w:cstheme="minorHAnsi"/>
              </w:rPr>
              <w:t>± 0.0</w:t>
            </w:r>
            <w:r>
              <w:rPr>
                <w:rFonts w:cstheme="minorHAnsi"/>
              </w:rPr>
              <w:t>07</w:t>
            </w:r>
          </w:p>
        </w:tc>
        <w:tc>
          <w:tcPr>
            <w:tcW w:w="1403" w:type="dxa"/>
            <w:vAlign w:val="center"/>
          </w:tcPr>
          <w:p w:rsidR="00D85C30" w:rsidRPr="00097E83" w:rsidRDefault="00D85C30" w:rsidP="009256E9">
            <w:pPr>
              <w:jc w:val="center"/>
            </w:pPr>
            <w:r>
              <w:t>1.39</w:t>
            </w:r>
            <w:r w:rsidRPr="00097E83">
              <w:t xml:space="preserve"> ± 0.</w:t>
            </w:r>
            <w:r>
              <w:t>09</w:t>
            </w:r>
          </w:p>
        </w:tc>
      </w:tr>
      <w:tr w:rsidR="00D85C30" w:rsidTr="00A917E6">
        <w:trPr>
          <w:trHeight w:val="934"/>
        </w:trPr>
        <w:tc>
          <w:tcPr>
            <w:tcW w:w="6854" w:type="dxa"/>
            <w:gridSpan w:val="6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Pr="00C80DA4" w:rsidRDefault="00D85C30" w:rsidP="009256E9">
            <w:pPr>
              <w:spacing w:line="276" w:lineRule="auto"/>
              <w:rPr>
                <w:b/>
              </w:rPr>
            </w:pPr>
            <w:r>
              <w:rPr>
                <w:b/>
              </w:rPr>
              <w:t>External beta dose rate beta counting (Gy ka</w:t>
            </w:r>
            <w:r w:rsidRPr="009979B8">
              <w:rPr>
                <w:b/>
                <w:vertAlign w:val="superscript"/>
              </w:rPr>
              <w:t>-1</w:t>
            </w:r>
            <w:r>
              <w:rPr>
                <w:b/>
              </w:rPr>
              <w:t>)</w:t>
            </w:r>
          </w:p>
        </w:tc>
        <w:tc>
          <w:tcPr>
            <w:tcW w:w="4728" w:type="dxa"/>
            <w:gridSpan w:val="3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C30" w:rsidTr="00A917E6">
        <w:tc>
          <w:tcPr>
            <w:tcW w:w="1134" w:type="dxa"/>
            <w:vAlign w:val="center"/>
          </w:tcPr>
          <w:p w:rsidR="00D85C30" w:rsidRPr="007B2E89" w:rsidRDefault="00D85C30" w:rsidP="009256E9">
            <w:pPr>
              <w:spacing w:line="276" w:lineRule="auto"/>
            </w:pPr>
            <w:r>
              <w:t>Leic20033</w:t>
            </w:r>
          </w:p>
        </w:tc>
        <w:tc>
          <w:tcPr>
            <w:tcW w:w="1271" w:type="dxa"/>
            <w:vAlign w:val="center"/>
          </w:tcPr>
          <w:p w:rsidR="00D85C30" w:rsidRPr="007B2E89" w:rsidRDefault="00D85C30" w:rsidP="009256E9">
            <w:pPr>
              <w:spacing w:line="276" w:lineRule="auto"/>
              <w:jc w:val="center"/>
            </w:pPr>
            <w:r>
              <w:t>Horse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701" w:type="dxa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0.10 ± 0.06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jc w:val="center"/>
            </w:pPr>
          </w:p>
        </w:tc>
        <w:tc>
          <w:tcPr>
            <w:tcW w:w="1403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C30" w:rsidTr="00895F65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Leic21005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Mole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701" w:type="dxa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0.31 ± 0.07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jc w:val="center"/>
            </w:pPr>
          </w:p>
        </w:tc>
        <w:tc>
          <w:tcPr>
            <w:tcW w:w="1403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C30" w:rsidTr="00895F65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Leic21003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1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701" w:type="dxa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Default="007F5B64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 xml:space="preserve">0.59 </w:t>
            </w:r>
            <w:r>
              <w:rPr>
                <w:rFonts w:cstheme="minorHAnsi"/>
              </w:rPr>
              <w:t xml:space="preserve">± </w:t>
            </w:r>
            <w:r>
              <w:t>0.07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jc w:val="center"/>
            </w:pPr>
          </w:p>
        </w:tc>
        <w:tc>
          <w:tcPr>
            <w:tcW w:w="1403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C30" w:rsidTr="00895F65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Leic21004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2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701" w:type="dxa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Pr="00EF48D9" w:rsidRDefault="007F5B64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t xml:space="preserve">0.93 </w:t>
            </w:r>
            <w:r>
              <w:rPr>
                <w:rFonts w:cstheme="minorHAnsi"/>
              </w:rPr>
              <w:t xml:space="preserve">± </w:t>
            </w:r>
            <w:r>
              <w:t>0.08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jc w:val="center"/>
            </w:pPr>
          </w:p>
        </w:tc>
        <w:tc>
          <w:tcPr>
            <w:tcW w:w="1403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  <w:tr w:rsidR="00D85C30" w:rsidTr="00895F65">
        <w:tc>
          <w:tcPr>
            <w:tcW w:w="1134" w:type="dxa"/>
            <w:vAlign w:val="center"/>
          </w:tcPr>
          <w:p w:rsidR="00D85C30" w:rsidRPr="00A01EAE" w:rsidRDefault="00D85C30" w:rsidP="009256E9">
            <w:pPr>
              <w:spacing w:line="276" w:lineRule="auto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Leic20028</w:t>
            </w:r>
          </w:p>
        </w:tc>
        <w:tc>
          <w:tcPr>
            <w:tcW w:w="127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  <w:r>
              <w:t>Robberg 3</w:t>
            </w: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878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992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701" w:type="dxa"/>
            <w:vAlign w:val="center"/>
          </w:tcPr>
          <w:p w:rsidR="00D85C30" w:rsidRPr="004B38A8" w:rsidRDefault="00D85C30" w:rsidP="009256E9">
            <w:pPr>
              <w:jc w:val="center"/>
            </w:pPr>
          </w:p>
        </w:tc>
        <w:tc>
          <w:tcPr>
            <w:tcW w:w="1985" w:type="dxa"/>
            <w:vAlign w:val="center"/>
          </w:tcPr>
          <w:p w:rsidR="00D85C30" w:rsidRPr="00EF48D9" w:rsidRDefault="007F5B64" w:rsidP="009256E9">
            <w:pPr>
              <w:spacing w:line="276" w:lineRule="auto"/>
              <w:jc w:val="center"/>
              <w:rPr>
                <w:rFonts w:cstheme="minorHAnsi"/>
              </w:rPr>
            </w:pPr>
            <w:r>
              <w:rPr>
                <w:rFonts w:cstheme="minorHAnsi"/>
              </w:rPr>
              <w:t>Nd.</w:t>
            </w:r>
          </w:p>
        </w:tc>
        <w:tc>
          <w:tcPr>
            <w:tcW w:w="1691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</w:pPr>
          </w:p>
        </w:tc>
        <w:tc>
          <w:tcPr>
            <w:tcW w:w="1634" w:type="dxa"/>
            <w:vAlign w:val="center"/>
          </w:tcPr>
          <w:p w:rsidR="00D85C30" w:rsidRDefault="00D85C30" w:rsidP="009256E9">
            <w:pPr>
              <w:jc w:val="center"/>
            </w:pPr>
          </w:p>
        </w:tc>
        <w:tc>
          <w:tcPr>
            <w:tcW w:w="1403" w:type="dxa"/>
            <w:vAlign w:val="center"/>
          </w:tcPr>
          <w:p w:rsidR="00D85C30" w:rsidRDefault="00D85C30" w:rsidP="009256E9">
            <w:pPr>
              <w:spacing w:line="276" w:lineRule="auto"/>
              <w:jc w:val="center"/>
              <w:rPr>
                <w:b/>
              </w:rPr>
            </w:pPr>
          </w:p>
        </w:tc>
      </w:tr>
    </w:tbl>
    <w:p w:rsidR="00B35E86" w:rsidRDefault="00B35E86" w:rsidP="009256E9">
      <w:pPr>
        <w:spacing w:after="0"/>
      </w:pPr>
      <w:r>
        <w:br w:type="page"/>
      </w:r>
    </w:p>
    <w:p w:rsidR="00B35E86" w:rsidRDefault="00B35E86" w:rsidP="009256E9">
      <w:pPr>
        <w:rPr>
          <w:b/>
        </w:rPr>
        <w:sectPr w:rsidR="00B35E86" w:rsidSect="009256E9">
          <w:pgSz w:w="16838" w:h="11906" w:orient="landscape"/>
          <w:pgMar w:top="1440" w:right="1440" w:bottom="1440" w:left="1440" w:header="708" w:footer="708" w:gutter="0"/>
          <w:lnNumType w:countBy="1" w:restart="continuous"/>
          <w:cols w:space="708"/>
          <w:docGrid w:linePitch="360"/>
        </w:sectPr>
      </w:pPr>
    </w:p>
    <w:p w:rsidR="007D5F4B" w:rsidRDefault="007D5F4B" w:rsidP="009256E9">
      <w:pPr>
        <w:jc w:val="both"/>
        <w:rPr>
          <w:b/>
        </w:rPr>
      </w:pPr>
      <w:r>
        <w:rPr>
          <w:b/>
        </w:rPr>
        <w:lastRenderedPageBreak/>
        <w:t>EQUIVALENT DOSE DISTRIBUTIONS</w:t>
      </w:r>
    </w:p>
    <w:p w:rsidR="007D5F4B" w:rsidRDefault="006001F1" w:rsidP="009256E9">
      <w:pPr>
        <w:jc w:val="both"/>
        <w:rPr>
          <w:b/>
        </w:rPr>
      </w:pPr>
      <w:r>
        <w:rPr>
          <w:b/>
          <w:noProof/>
          <w:lang w:val="en-CA" w:eastAsia="en-CA"/>
        </w:rPr>
        <w:drawing>
          <wp:inline distT="0" distB="0" distL="0" distR="0" wp14:anchorId="4BF02D31" wp14:editId="58029DD2">
            <wp:extent cx="5214294" cy="7654637"/>
            <wp:effectExtent l="0" t="0" r="5715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quus paper_radial plots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814" b="5430"/>
                    <a:stretch/>
                  </pic:blipFill>
                  <pic:spPr bwMode="auto">
                    <a:xfrm>
                      <a:off x="0" y="0"/>
                      <a:ext cx="5215045" cy="7655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256E9" w:rsidRDefault="007D5F4B" w:rsidP="009256E9">
      <w:pPr>
        <w:spacing w:after="0"/>
        <w:jc w:val="both"/>
        <w:rPr>
          <w:rFonts w:cstheme="minorHAnsi"/>
        </w:rPr>
      </w:pPr>
      <w:r w:rsidRPr="007D5F4B">
        <w:rPr>
          <w:b/>
        </w:rPr>
        <w:t>Figure S1</w:t>
      </w:r>
      <w:r w:rsidRPr="007D5F4B">
        <w:t>:</w:t>
      </w:r>
      <w:r>
        <w:t xml:space="preserve"> Radial plots showing the measured equivalent dose distributions, created with the Radial Plotter software (Vermeesch, 2009).</w:t>
      </w:r>
      <w:r w:rsidR="00CF7ABC">
        <w:t xml:space="preserve"> Filled circles represent a</w:t>
      </w:r>
      <w:r w:rsidR="00A74DF4">
        <w:t>liquots identified as outli</w:t>
      </w:r>
      <w:r w:rsidR="00CF7ABC">
        <w:t>e</w:t>
      </w:r>
      <w:r w:rsidR="00A74DF4">
        <w:t>r</w:t>
      </w:r>
      <w:r w:rsidR="00CF7ABC">
        <w:t xml:space="preserve">s using the </w:t>
      </w:r>
      <w:r w:rsidR="00CF7ABC">
        <w:rPr>
          <w:rFonts w:cstheme="minorHAnsi"/>
        </w:rPr>
        <w:t>Normalised Median Absolute Deviation (nMAD e.g. Clarkson et al. 2017)</w:t>
      </w:r>
    </w:p>
    <w:p w:rsidR="00CF7ABC" w:rsidRDefault="00CF7ABC" w:rsidP="009256E9">
      <w:pPr>
        <w:spacing w:after="0"/>
        <w:jc w:val="both"/>
      </w:pPr>
    </w:p>
    <w:p w:rsidR="00B35E86" w:rsidRDefault="00B35E86" w:rsidP="009256E9">
      <w:pPr>
        <w:spacing w:after="0"/>
        <w:jc w:val="both"/>
        <w:rPr>
          <w:b/>
        </w:rPr>
      </w:pPr>
      <w:r w:rsidRPr="00B35E86">
        <w:rPr>
          <w:b/>
        </w:rPr>
        <w:lastRenderedPageBreak/>
        <w:t>SAMPLE PREPARATION</w:t>
      </w:r>
    </w:p>
    <w:p w:rsidR="009256E9" w:rsidRPr="00B35E86" w:rsidRDefault="009256E9" w:rsidP="009256E9">
      <w:pPr>
        <w:spacing w:after="0"/>
        <w:jc w:val="both"/>
        <w:rPr>
          <w:b/>
        </w:rPr>
      </w:pPr>
    </w:p>
    <w:p w:rsidR="00B35E86" w:rsidRDefault="00B35E86" w:rsidP="009256E9">
      <w:pPr>
        <w:spacing w:after="0"/>
        <w:jc w:val="both"/>
      </w:pPr>
      <w:r>
        <w:t xml:space="preserve">Block </w:t>
      </w:r>
      <w:r w:rsidRPr="002740A8">
        <w:t>samples were shipped to the University of Leicester (UK)</w:t>
      </w:r>
      <w:r>
        <w:t xml:space="preserve">, were </w:t>
      </w:r>
      <w:r w:rsidRPr="002740A8">
        <w:t>spray painted</w:t>
      </w:r>
      <w:r>
        <w:t xml:space="preserve"> black</w:t>
      </w:r>
      <w:r w:rsidRPr="002740A8">
        <w:t xml:space="preserve"> and broken up under red light conditions. </w:t>
      </w:r>
      <w:r>
        <w:t>Analyse</w:t>
      </w:r>
      <w:r w:rsidRPr="002740A8">
        <w:t xml:space="preserve">s </w:t>
      </w:r>
      <w:r>
        <w:t>were undertaken on</w:t>
      </w:r>
      <w:r w:rsidRPr="002740A8">
        <w:t xml:space="preserve"> coarse-grained quartz (usually in the range 1</w:t>
      </w:r>
      <w:r>
        <w:t>80</w:t>
      </w:r>
      <w:r w:rsidRPr="002740A8">
        <w:t xml:space="preserve">-250 µm). </w:t>
      </w:r>
      <w:r>
        <w:t>Samples were treated with dilute HCl to remove carbonates and</w:t>
      </w:r>
      <w:r w:rsidRPr="002740A8">
        <w:t xml:space="preserve"> 30% H</w:t>
      </w:r>
      <w:r w:rsidRPr="002740A8">
        <w:rPr>
          <w:vertAlign w:val="subscript"/>
        </w:rPr>
        <w:t>2</w:t>
      </w:r>
      <w:r w:rsidRPr="002740A8">
        <w:t>O</w:t>
      </w:r>
      <w:r w:rsidRPr="002740A8">
        <w:rPr>
          <w:vertAlign w:val="subscript"/>
        </w:rPr>
        <w:t>2</w:t>
      </w:r>
      <w:r w:rsidRPr="002740A8">
        <w:t xml:space="preserve"> to remove organic matter</w:t>
      </w:r>
      <w:r>
        <w:t>. The</w:t>
      </w:r>
      <w:r w:rsidRPr="002740A8">
        <w:t xml:space="preserve"> fraction &gt; 2.58 g cm</w:t>
      </w:r>
      <w:r w:rsidRPr="002740A8">
        <w:rPr>
          <w:vertAlign w:val="superscript"/>
        </w:rPr>
        <w:t>-3</w:t>
      </w:r>
      <w:r w:rsidRPr="002740A8">
        <w:t xml:space="preserve"> and &lt; 2.7 g cm</w:t>
      </w:r>
      <w:r w:rsidRPr="002740A8">
        <w:rPr>
          <w:vertAlign w:val="superscript"/>
        </w:rPr>
        <w:t>-3</w:t>
      </w:r>
      <w:r w:rsidRPr="002740A8">
        <w:t xml:space="preserve"> was etched in 48% HF for 45 minutes</w:t>
      </w:r>
      <w:r>
        <w:t xml:space="preserve"> and then treated with HCl for one hour. The remaining material was </w:t>
      </w:r>
      <w:r w:rsidRPr="002740A8">
        <w:t>repeatedly rinsed in deionised water and re-sieved to the selected grain size range.</w:t>
      </w:r>
    </w:p>
    <w:p w:rsidR="009256E9" w:rsidRPr="002740A8" w:rsidRDefault="009256E9" w:rsidP="009256E9">
      <w:pPr>
        <w:spacing w:after="0"/>
        <w:jc w:val="both"/>
      </w:pPr>
    </w:p>
    <w:p w:rsidR="00B35E86" w:rsidRDefault="00B35E86" w:rsidP="009256E9">
      <w:pPr>
        <w:spacing w:after="0"/>
        <w:jc w:val="both"/>
        <w:rPr>
          <w:b/>
        </w:rPr>
      </w:pPr>
      <w:r w:rsidRPr="002740A8">
        <w:rPr>
          <w:b/>
        </w:rPr>
        <w:t>INSTRUMENTATION AND EQUIVALENT DOSE MEASUREMENT</w:t>
      </w:r>
    </w:p>
    <w:p w:rsidR="009256E9" w:rsidRPr="002740A8" w:rsidRDefault="009256E9" w:rsidP="009256E9">
      <w:pPr>
        <w:spacing w:after="0"/>
        <w:jc w:val="both"/>
      </w:pPr>
    </w:p>
    <w:p w:rsidR="009256E9" w:rsidRDefault="00B35E86" w:rsidP="009256E9">
      <w:pPr>
        <w:spacing w:after="0"/>
        <w:jc w:val="both"/>
      </w:pPr>
      <w:r>
        <w:t>M</w:t>
      </w:r>
      <w:r w:rsidRPr="002740A8">
        <w:t>easurements were undertaken using a Risoe DA20 TL/OSL reader</w:t>
      </w:r>
      <w:r>
        <w:t xml:space="preserve"> using</w:t>
      </w:r>
      <w:r w:rsidRPr="002740A8">
        <w:t xml:space="preserve"> small (2 mm) </w:t>
      </w:r>
      <w:r>
        <w:t xml:space="preserve">multi-grain </w:t>
      </w:r>
      <w:r w:rsidRPr="002740A8">
        <w:t>aliquots of quartz</w:t>
      </w:r>
      <w:r>
        <w:t xml:space="preserve">. Optical stimulation was provided by blue LEDS (wavelength 470 nm, </w:t>
      </w:r>
      <w:r w:rsidRPr="002740A8">
        <w:t>40 seconds at 125°C</w:t>
      </w:r>
      <w:r>
        <w:t xml:space="preserve">), </w:t>
      </w:r>
      <w:r w:rsidRPr="002740A8">
        <w:t xml:space="preserve">detected via a Hoya U-340 detection filter. Laboratory irradiations were delivered by a calibrated </w:t>
      </w:r>
      <w:r w:rsidRPr="002740A8">
        <w:rPr>
          <w:vertAlign w:val="superscript"/>
        </w:rPr>
        <w:t>90</w:t>
      </w:r>
      <w:r w:rsidRPr="002740A8">
        <w:t>Sr beta source. Equivalent doses (D</w:t>
      </w:r>
      <w:r w:rsidRPr="002740A8">
        <w:rPr>
          <w:vertAlign w:val="subscript"/>
        </w:rPr>
        <w:t>e</w:t>
      </w:r>
      <w:r w:rsidRPr="002740A8">
        <w:t>) were determined using the Single Aliquot Regeneration (SAR) protocol (Murray and Wintle, 2000,</w:t>
      </w:r>
      <w:r>
        <w:t xml:space="preserve"> 2003; Wintle and Murray, 2006). This </w:t>
      </w:r>
      <w:r w:rsidRPr="002740A8">
        <w:t>compris</w:t>
      </w:r>
      <w:r>
        <w:t>ed</w:t>
      </w:r>
      <w:r w:rsidRPr="002740A8">
        <w:t xml:space="preserve"> 6 or 7 regeneration point</w:t>
      </w:r>
      <w:r>
        <w:t>s</w:t>
      </w:r>
      <w:r w:rsidRPr="002740A8">
        <w:t>, a repeat (recycling) regeneration dose point, an IR depletion ratio regeneration point (Dull</w:t>
      </w:r>
      <w:r>
        <w:t>er, 2003) and a zero-dose point.</w:t>
      </w:r>
      <w:r w:rsidRPr="002740A8">
        <w:t xml:space="preserve"> Aliquots were rejected from the analyses, prior to calculation</w:t>
      </w:r>
      <w:r>
        <w:t xml:space="preserve"> of the sample equivalent dose if: 1) </w:t>
      </w:r>
      <w:r w:rsidRPr="002740A8">
        <w:t xml:space="preserve">recycling ratios </w:t>
      </w:r>
      <w:r>
        <w:t xml:space="preserve">were </w:t>
      </w:r>
      <w:r w:rsidRPr="002740A8">
        <w:t xml:space="preserve">outside of 10% of unity, </w:t>
      </w:r>
      <w:r>
        <w:t xml:space="preserve">2) </w:t>
      </w:r>
      <w:r w:rsidRPr="002740A8">
        <w:t xml:space="preserve">recuperation (zero dose) </w:t>
      </w:r>
      <w:r>
        <w:t>L</w:t>
      </w:r>
      <w:r w:rsidRPr="000C730E">
        <w:rPr>
          <w:vertAlign w:val="subscript"/>
        </w:rPr>
        <w:t>x</w:t>
      </w:r>
      <w:r>
        <w:t>/T</w:t>
      </w:r>
      <w:r w:rsidRPr="000C730E">
        <w:rPr>
          <w:vertAlign w:val="subscript"/>
        </w:rPr>
        <w:t>x</w:t>
      </w:r>
      <w:r>
        <w:t xml:space="preserve"> </w:t>
      </w:r>
      <w:r w:rsidRPr="002740A8">
        <w:t>values</w:t>
      </w:r>
      <w:r>
        <w:t xml:space="preserve"> were</w:t>
      </w:r>
      <w:r w:rsidRPr="002740A8">
        <w:t xml:space="preserve"> greater than 5% of the natural sen</w:t>
      </w:r>
      <w:r>
        <w:t xml:space="preserve">sitivity-corrected OSL signal, 3) </w:t>
      </w:r>
      <w:r w:rsidRPr="002740A8">
        <w:t xml:space="preserve">a significant reduction in the sensitivity-corrected OSL signal after infra-red stimulation (Duller, 2003). </w:t>
      </w:r>
      <w:r>
        <w:t xml:space="preserve"> All analyses were undertaken in the </w:t>
      </w:r>
      <w:r w:rsidRPr="002740A8">
        <w:t>Risoe</w:t>
      </w:r>
      <w:r>
        <w:t xml:space="preserve"> </w:t>
      </w:r>
      <w:r w:rsidRPr="000C730E">
        <w:rPr>
          <w:i/>
        </w:rPr>
        <w:t>Analyst</w:t>
      </w:r>
      <w:r>
        <w:t xml:space="preserve"> software (Duller, 2007). OSL signal </w:t>
      </w:r>
      <w:r w:rsidRPr="002740A8">
        <w:t xml:space="preserve">integration windows comprised the first 0.8 seconds of stimulation and a background” subtraction </w:t>
      </w:r>
      <w:r>
        <w:t xml:space="preserve">from the </w:t>
      </w:r>
      <w:r w:rsidRPr="002740A8">
        <w:t>last 3.2 seconds of measurement.</w:t>
      </w:r>
      <w:r>
        <w:t xml:space="preserve"> The d</w:t>
      </w:r>
      <w:r w:rsidRPr="002740A8">
        <w:t xml:space="preserve">ose-response curves </w:t>
      </w:r>
      <w:r>
        <w:t xml:space="preserve">were </w:t>
      </w:r>
      <w:r w:rsidRPr="002740A8">
        <w:t>fitted with saturating exponential plus linear fits</w:t>
      </w:r>
      <w:r>
        <w:t>.</w:t>
      </w:r>
      <w:r w:rsidRPr="002740A8">
        <w:t xml:space="preserve"> D</w:t>
      </w:r>
      <w:r w:rsidRPr="002740A8">
        <w:rPr>
          <w:vertAlign w:val="subscript"/>
        </w:rPr>
        <w:t>e</w:t>
      </w:r>
      <w:r w:rsidRPr="002740A8">
        <w:t xml:space="preserve"> uncertainties were all calculated using Monte Carlo methods (1000 ite</w:t>
      </w:r>
      <w:r>
        <w:t>rations, following Duller 2007) (</w:t>
      </w:r>
      <w:r w:rsidRPr="00C93246">
        <w:rPr>
          <w:b/>
        </w:rPr>
        <w:t>Table S1</w:t>
      </w:r>
      <w:r>
        <w:t>)</w:t>
      </w:r>
      <w:r w:rsidRPr="002740A8">
        <w:t>.</w:t>
      </w:r>
    </w:p>
    <w:p w:rsidR="00B35E86" w:rsidRDefault="00B35E86" w:rsidP="009256E9">
      <w:pPr>
        <w:spacing w:after="0"/>
        <w:jc w:val="both"/>
      </w:pPr>
      <w:r w:rsidRPr="002740A8">
        <w:t xml:space="preserve"> </w:t>
      </w:r>
    </w:p>
    <w:p w:rsidR="00B35E86" w:rsidRDefault="00B35E86" w:rsidP="009256E9">
      <w:pPr>
        <w:spacing w:after="0"/>
        <w:jc w:val="both"/>
      </w:pPr>
      <w:r w:rsidRPr="002740A8">
        <w:rPr>
          <w:b/>
        </w:rPr>
        <w:t>DOSE RATE DETERMINATION</w:t>
      </w:r>
    </w:p>
    <w:p w:rsidR="009256E9" w:rsidRPr="002740A8" w:rsidRDefault="009256E9" w:rsidP="009256E9">
      <w:pPr>
        <w:spacing w:after="0"/>
        <w:jc w:val="both"/>
      </w:pPr>
    </w:p>
    <w:p w:rsidR="00B35E86" w:rsidRDefault="00B35E86" w:rsidP="009256E9">
      <w:pPr>
        <w:spacing w:after="0"/>
        <w:jc w:val="both"/>
      </w:pPr>
      <w:r w:rsidRPr="002740A8">
        <w:t xml:space="preserve">Dose rates were </w:t>
      </w:r>
      <w:r>
        <w:t>determined from U, Th and K concentrations (</w:t>
      </w:r>
      <w:r w:rsidRPr="00366229">
        <w:rPr>
          <w:b/>
        </w:rPr>
        <w:t>Table S</w:t>
      </w:r>
      <w:r>
        <w:rPr>
          <w:b/>
        </w:rPr>
        <w:t>2</w:t>
      </w:r>
      <w:r>
        <w:t xml:space="preserve">). These were estimated using </w:t>
      </w:r>
      <w:r w:rsidRPr="002740A8">
        <w:t xml:space="preserve">several tens of grams of block sample material </w:t>
      </w:r>
      <w:r>
        <w:t>via</w:t>
      </w:r>
      <w:r w:rsidRPr="002740A8">
        <w:t xml:space="preserve"> inductively coupled plasma mass spectrometry (ICP-MS; U and Th) and ICP-OES (K).</w:t>
      </w:r>
      <w:r>
        <w:t xml:space="preserve"> These</w:t>
      </w:r>
      <w:r w:rsidRPr="00B35E86">
        <w:t xml:space="preserve"> were converted to annual dose rates following</w:t>
      </w:r>
      <w:r>
        <w:t xml:space="preserve"> the conversion factors provided by</w:t>
      </w:r>
      <w:r w:rsidRPr="00B35E86">
        <w:t xml:space="preserve"> Guerin et al. (2011)</w:t>
      </w:r>
      <w:r>
        <w:t>.</w:t>
      </w:r>
    </w:p>
    <w:p w:rsidR="009256E9" w:rsidRDefault="009256E9" w:rsidP="009256E9">
      <w:pPr>
        <w:spacing w:after="0"/>
        <w:jc w:val="both"/>
      </w:pPr>
    </w:p>
    <w:p w:rsidR="00B35E86" w:rsidRDefault="00B35E86" w:rsidP="009256E9">
      <w:pPr>
        <w:spacing w:after="0"/>
        <w:rPr>
          <w:b/>
        </w:rPr>
      </w:pPr>
      <w:r w:rsidRPr="00DA0F5D">
        <w:rPr>
          <w:b/>
        </w:rPr>
        <w:t>REFERENCES</w:t>
      </w:r>
    </w:p>
    <w:p w:rsidR="009256E9" w:rsidRPr="00DA0F5D" w:rsidRDefault="009256E9" w:rsidP="009256E9">
      <w:pPr>
        <w:spacing w:after="0"/>
        <w:rPr>
          <w:b/>
        </w:rPr>
      </w:pPr>
    </w:p>
    <w:p w:rsidR="00B35E86" w:rsidRDefault="00B35E86" w:rsidP="00323992">
      <w:pPr>
        <w:spacing w:after="0"/>
      </w:pPr>
      <w:r w:rsidRPr="00DA0F5D">
        <w:t xml:space="preserve">Aitken, M.J., 1985. </w:t>
      </w:r>
      <w:r w:rsidRPr="00DA0F5D">
        <w:rPr>
          <w:i/>
        </w:rPr>
        <w:t>Thermoluminescence Dating</w:t>
      </w:r>
      <w:r w:rsidRPr="00DA0F5D">
        <w:t>. Academic Press, London, 370 pp.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Bell, W.T., 1979. Thermoluminescence dating: radiation dose rate data. Archaeometry </w:t>
      </w:r>
      <w:r w:rsidRPr="00323992">
        <w:rPr>
          <w:b/>
        </w:rPr>
        <w:t>21</w:t>
      </w:r>
      <w:r w:rsidRPr="00DA0F5D">
        <w:t xml:space="preserve">,243–246. 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Bøtter-Jensen, L., Mejdahl, V., 1988. Assessment of beta dose-rate using a GM multicounter system. </w:t>
      </w:r>
      <w:r w:rsidRPr="00DA0F5D">
        <w:rPr>
          <w:i/>
        </w:rPr>
        <w:t>Nuclear Tracks and Radiation Measurements</w:t>
      </w:r>
      <w:r w:rsidRPr="00DA0F5D">
        <w:t xml:space="preserve"> </w:t>
      </w:r>
      <w:r w:rsidRPr="00323992">
        <w:rPr>
          <w:b/>
        </w:rPr>
        <w:t>14</w:t>
      </w:r>
      <w:r w:rsidRPr="00DA0F5D">
        <w:t>, 187–191.</w:t>
      </w:r>
    </w:p>
    <w:p w:rsidR="009256E9" w:rsidRPr="00DA0F5D" w:rsidRDefault="009256E9" w:rsidP="00323992">
      <w:pPr>
        <w:spacing w:after="0"/>
      </w:pPr>
    </w:p>
    <w:p w:rsidR="00A74DF4" w:rsidRDefault="00A74DF4" w:rsidP="00323992">
      <w:pPr>
        <w:spacing w:after="0"/>
      </w:pPr>
      <w:r w:rsidRPr="00A74DF4">
        <w:t xml:space="preserve">Clarkson, C., Jacobs, Z., Marwick, B., Fullagar, R., Wallis, L., Smith, M., Roberts, R. G., Hayes, E., Lowe, K., Carah, X., </w:t>
      </w:r>
      <w:r>
        <w:t>Florin, S.</w:t>
      </w:r>
      <w:r w:rsidRPr="00A74DF4">
        <w:t xml:space="preserve">A. 2017. Human occupation of northern Australia by 65,000 years ago. </w:t>
      </w:r>
      <w:r w:rsidRPr="00A74DF4">
        <w:rPr>
          <w:i/>
        </w:rPr>
        <w:t>Nature</w:t>
      </w:r>
      <w:r w:rsidRPr="00A74DF4">
        <w:t xml:space="preserve"> </w:t>
      </w:r>
      <w:r w:rsidRPr="00A74DF4">
        <w:rPr>
          <w:b/>
        </w:rPr>
        <w:t>547</w:t>
      </w:r>
      <w:r>
        <w:t>,</w:t>
      </w:r>
      <w:r w:rsidRPr="00A74DF4">
        <w:t xml:space="preserve"> 306–310.</w:t>
      </w:r>
    </w:p>
    <w:p w:rsidR="00A74DF4" w:rsidRDefault="00A74DF4" w:rsidP="00323992">
      <w:pPr>
        <w:spacing w:after="0"/>
      </w:pPr>
    </w:p>
    <w:p w:rsidR="00B35E86" w:rsidRDefault="00B35E86" w:rsidP="00323992">
      <w:pPr>
        <w:spacing w:after="0"/>
      </w:pPr>
      <w:r w:rsidRPr="00DA0F5D">
        <w:lastRenderedPageBreak/>
        <w:t xml:space="preserve">Duller, G.A.T., 2003. Distinguishing quartz and feldspar in single grain luminescence measurements.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37</w:t>
      </w:r>
      <w:r w:rsidRPr="00DA0F5D">
        <w:t>, 161–165.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Duller, G.A.T., 2007. Assessing the error on equivalent dose estimates derived from single aliquot regenerative dose measurements. </w:t>
      </w:r>
      <w:r w:rsidRPr="00DA0F5D">
        <w:rPr>
          <w:i/>
        </w:rPr>
        <w:t>Ancient TL</w:t>
      </w:r>
      <w:r w:rsidRPr="00DA0F5D">
        <w:t xml:space="preserve"> </w:t>
      </w:r>
      <w:r w:rsidRPr="00323992">
        <w:rPr>
          <w:b/>
        </w:rPr>
        <w:t>25</w:t>
      </w:r>
      <w:r w:rsidRPr="00DA0F5D">
        <w:t>, 15–24.</w:t>
      </w:r>
    </w:p>
    <w:p w:rsidR="009256E9" w:rsidRPr="00DA0F5D" w:rsidRDefault="009256E9" w:rsidP="00323992">
      <w:pPr>
        <w:spacing w:after="0"/>
      </w:pPr>
    </w:p>
    <w:p w:rsidR="00B35E86" w:rsidRDefault="00323992" w:rsidP="00323992">
      <w:pPr>
        <w:spacing w:after="0"/>
      </w:pPr>
      <w:r>
        <w:t>Galbraith, R.F., Roberts, R.G., Laslett, G.M.,</w:t>
      </w:r>
      <w:r w:rsidR="00B35E86" w:rsidRPr="00DA0F5D">
        <w:t xml:space="preserve"> Yoshida H., Olley, J.M., 1999. Optical dating of single and multiple grains of quartz from Jinmium rock shelter, northern Australia, part 1, Experimental design and statistical models. </w:t>
      </w:r>
      <w:r w:rsidR="00B35E86" w:rsidRPr="00DA0F5D">
        <w:rPr>
          <w:i/>
        </w:rPr>
        <w:t>Archaeometry</w:t>
      </w:r>
      <w:r w:rsidR="00B35E86" w:rsidRPr="00DA0F5D">
        <w:t xml:space="preserve"> </w:t>
      </w:r>
      <w:r w:rsidR="00B35E86" w:rsidRPr="00323992">
        <w:rPr>
          <w:b/>
        </w:rPr>
        <w:t>41</w:t>
      </w:r>
      <w:r w:rsidR="00B35E86" w:rsidRPr="00DA0F5D">
        <w:t>, 339–364.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>Guérin, G., Mercier, N., Adamiec, G., 2011</w:t>
      </w:r>
      <w:r w:rsidR="00323992">
        <w:t>.</w:t>
      </w:r>
      <w:r w:rsidRPr="00DA0F5D">
        <w:t xml:space="preserve"> Dose-rate conversion factors: update. </w:t>
      </w:r>
      <w:r w:rsidRPr="00DA0F5D">
        <w:rPr>
          <w:i/>
        </w:rPr>
        <w:t xml:space="preserve">Ancient </w:t>
      </w:r>
      <w:r w:rsidRPr="00B35E86">
        <w:rPr>
          <w:i/>
        </w:rPr>
        <w:t>TL</w:t>
      </w:r>
      <w:r w:rsidRPr="00B35E86">
        <w:t xml:space="preserve"> </w:t>
      </w:r>
      <w:r w:rsidRPr="00323992">
        <w:rPr>
          <w:b/>
        </w:rPr>
        <w:t>29</w:t>
      </w:r>
      <w:r w:rsidRPr="00B35E86">
        <w:t>,</w:t>
      </w:r>
      <w:r w:rsidRPr="00DA0F5D">
        <w:t xml:space="preserve"> 5–8.</w:t>
      </w:r>
    </w:p>
    <w:p w:rsidR="00323992" w:rsidRDefault="00323992" w:rsidP="00323992">
      <w:pPr>
        <w:spacing w:after="0"/>
      </w:pPr>
    </w:p>
    <w:p w:rsidR="00B35E86" w:rsidRDefault="00B35E86" w:rsidP="00323992">
      <w:pPr>
        <w:spacing w:after="0"/>
      </w:pPr>
      <w:r>
        <w:t xml:space="preserve">Jacobs, Z. </w:t>
      </w:r>
      <w:r w:rsidRPr="000C730E">
        <w:t xml:space="preserve">Wintle, A.G., </w:t>
      </w:r>
      <w:r>
        <w:t>Duller, G.A.T.</w:t>
      </w:r>
      <w:r w:rsidR="00323992">
        <w:t>,</w:t>
      </w:r>
      <w:r w:rsidRPr="000C730E">
        <w:t xml:space="preserve"> 2003. Optical dating of dune sand from Blombos Cave, South Africa: I—multiple grain d</w:t>
      </w:r>
      <w:r>
        <w:t xml:space="preserve">ata. </w:t>
      </w:r>
      <w:r w:rsidRPr="000C730E">
        <w:rPr>
          <w:i/>
        </w:rPr>
        <w:t>Journal of Human Evolution</w:t>
      </w:r>
      <w:r w:rsidRPr="000C730E">
        <w:t xml:space="preserve"> </w:t>
      </w:r>
      <w:r w:rsidRPr="00323992">
        <w:rPr>
          <w:b/>
        </w:rPr>
        <w:t>44</w:t>
      </w:r>
      <w:r w:rsidRPr="000C730E">
        <w:t>, 599–612.</w:t>
      </w:r>
    </w:p>
    <w:p w:rsidR="009256E9" w:rsidRPr="000C730E" w:rsidRDefault="009256E9" w:rsidP="00323992">
      <w:pPr>
        <w:spacing w:after="0"/>
      </w:pPr>
    </w:p>
    <w:p w:rsidR="00B35E86" w:rsidRDefault="00B35E86" w:rsidP="00323992">
      <w:pPr>
        <w:spacing w:after="0"/>
        <w:rPr>
          <w:rStyle w:val="Hyperlink"/>
        </w:rPr>
      </w:pPr>
      <w:r w:rsidRPr="00DA0F5D">
        <w:t xml:space="preserve">Kreutzer, S., Burow, C., Dietze, M., Fuchs, M., Schmidt, C., Fischer, M., Friedrich, J., Mercier, N., Philippe, A., Riedesel, S., Autzen, M., Mittelstrass, D., Gray, H., Galharret, J., 2022. Luminescence: Comprehensive Luminescence Dating Data Analysis. R package version 0.9.19, </w:t>
      </w:r>
      <w:hyperlink r:id="rId6" w:history="1">
        <w:r w:rsidRPr="00DA0F5D">
          <w:rPr>
            <w:rStyle w:val="Hyperlink"/>
          </w:rPr>
          <w:t>https://CRAN.R-project.org/package=Luminescence</w:t>
        </w:r>
      </w:hyperlink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>Kreutzer, S., Schmidt, C., Fuchs, M.C., Dietze, M., Fischer, M., Fuchs, M.</w:t>
      </w:r>
      <w:r w:rsidR="00323992">
        <w:t>,</w:t>
      </w:r>
      <w:r w:rsidRPr="00DA0F5D">
        <w:t xml:space="preserve"> 2012. Introducing an R package for luminescence dating analysis. </w:t>
      </w:r>
      <w:r w:rsidRPr="00DA0F5D">
        <w:rPr>
          <w:i/>
        </w:rPr>
        <w:t>Ancient TL</w:t>
      </w:r>
      <w:r w:rsidRPr="00DA0F5D">
        <w:t xml:space="preserve"> </w:t>
      </w:r>
      <w:r w:rsidRPr="00323992">
        <w:rPr>
          <w:b/>
        </w:rPr>
        <w:t>30</w:t>
      </w:r>
      <w:r w:rsidRPr="00DA0F5D">
        <w:t>, 1-8.</w:t>
      </w:r>
    </w:p>
    <w:p w:rsidR="009256E9" w:rsidRPr="00DA0F5D" w:rsidRDefault="009256E9" w:rsidP="00323992">
      <w:pPr>
        <w:spacing w:after="0"/>
      </w:pPr>
    </w:p>
    <w:p w:rsidR="00B35E86" w:rsidRDefault="00323992" w:rsidP="00323992">
      <w:pPr>
        <w:spacing w:after="0"/>
      </w:pPr>
      <w:r>
        <w:t xml:space="preserve">Mejdahl, V., </w:t>
      </w:r>
      <w:r w:rsidR="00B35E86" w:rsidRPr="00DA0F5D">
        <w:t xml:space="preserve">1979. Thermoluminescence dating - Beta-dose attenuation in quartz grains. </w:t>
      </w:r>
      <w:r w:rsidR="00B35E86">
        <w:t>A</w:t>
      </w:r>
      <w:r w:rsidR="00B35E86" w:rsidRPr="00DA0F5D">
        <w:rPr>
          <w:i/>
        </w:rPr>
        <w:t>rchaeometry</w:t>
      </w:r>
      <w:r w:rsidR="00B35E86" w:rsidRPr="00DA0F5D">
        <w:t xml:space="preserve"> </w:t>
      </w:r>
      <w:r w:rsidR="00B35E86" w:rsidRPr="00323992">
        <w:rPr>
          <w:b/>
        </w:rPr>
        <w:t>21</w:t>
      </w:r>
      <w:r w:rsidR="00B35E86" w:rsidRPr="00DA0F5D">
        <w:t>, 61–72.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  <w:rPr>
          <w:i/>
        </w:rPr>
      </w:pPr>
      <w:r w:rsidRPr="00DA0F5D">
        <w:t xml:space="preserve">Mauz, B., Hoffmann, D., 2014. What to do when carbonate replaced water: Carb, the model for estimating the dose rate of carbonate-rich samples. </w:t>
      </w:r>
      <w:r w:rsidRPr="00DA0F5D">
        <w:rPr>
          <w:i/>
        </w:rPr>
        <w:t xml:space="preserve">Ancient TL </w:t>
      </w:r>
      <w:r w:rsidRPr="00323992">
        <w:rPr>
          <w:b/>
        </w:rPr>
        <w:t>32</w:t>
      </w:r>
      <w:r w:rsidRPr="009256E9">
        <w:t>, 24–32.</w:t>
      </w:r>
    </w:p>
    <w:p w:rsidR="009256E9" w:rsidRPr="00DA0F5D" w:rsidRDefault="009256E9" w:rsidP="00323992">
      <w:pPr>
        <w:spacing w:after="0"/>
        <w:rPr>
          <w:i/>
        </w:rPr>
      </w:pPr>
    </w:p>
    <w:p w:rsidR="00B35E86" w:rsidRDefault="00B35E86" w:rsidP="00323992">
      <w:pPr>
        <w:spacing w:after="0"/>
      </w:pPr>
      <w:r w:rsidRPr="00DA0F5D">
        <w:t xml:space="preserve">Murray, A.S., Wintle, A.G., 2000. Luminescence dating of quartz using an improved single-aliquot regenerative-dose protocol.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32</w:t>
      </w:r>
      <w:r w:rsidRPr="00DA0F5D">
        <w:t>, 57–73.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Murray, A.S., Wintle, A.G., 2003. The single-aliquot regenerative-dose protocol: potential for improvements in reliability.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37</w:t>
      </w:r>
      <w:r w:rsidRPr="00DA0F5D">
        <w:t>, 377–381.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Prescott, J.R., Hutton, J.T., 1994. Cosmic ray contributions to dose rates for luminescence and ESR dating: large depths and long-term variations.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23</w:t>
      </w:r>
      <w:r w:rsidRPr="00DA0F5D">
        <w:t>, 497–500.</w:t>
      </w:r>
    </w:p>
    <w:p w:rsidR="009256E9" w:rsidRPr="00DA0F5D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Vermeesch, P., 2009. RadialPlotter: a Java application for fission track, luminescence and other radial plots.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44</w:t>
      </w:r>
      <w:r w:rsidRPr="00DA0F5D">
        <w:t>, 409–41.</w:t>
      </w:r>
    </w:p>
    <w:p w:rsidR="009256E9" w:rsidRDefault="009256E9" w:rsidP="00323992">
      <w:pPr>
        <w:spacing w:after="0"/>
      </w:pPr>
    </w:p>
    <w:p w:rsidR="00B35E86" w:rsidRDefault="00B35E86" w:rsidP="00323992">
      <w:pPr>
        <w:spacing w:after="0"/>
      </w:pPr>
      <w:r w:rsidRPr="00DA0F5D">
        <w:t xml:space="preserve">Wintle, A.G., Murray, A.S., 2006. A review of quartz optically stimulated luminescence characteristics and their relevance in single-aliquot regeneration dating protocols. </w:t>
      </w:r>
      <w:r w:rsidRPr="00DA0F5D">
        <w:rPr>
          <w:i/>
        </w:rPr>
        <w:t>Radiation Measurements</w:t>
      </w:r>
      <w:r w:rsidRPr="00DA0F5D">
        <w:t xml:space="preserve"> </w:t>
      </w:r>
      <w:r w:rsidRPr="00323992">
        <w:rPr>
          <w:b/>
        </w:rPr>
        <w:t>41</w:t>
      </w:r>
      <w:r w:rsidRPr="00DA0F5D">
        <w:t>, 369–391.</w:t>
      </w:r>
    </w:p>
    <w:p w:rsidR="006E2FD9" w:rsidRDefault="006E2FD9">
      <w:r>
        <w:br w:type="page"/>
      </w:r>
    </w:p>
    <w:p w:rsidR="0017184D" w:rsidRDefault="00685E32" w:rsidP="0017184D">
      <w:pPr>
        <w:spacing w:after="0"/>
        <w:jc w:val="center"/>
        <w:rPr>
          <w:sz w:val="20"/>
          <w:szCs w:val="20"/>
          <w:highlight w:val="yellow"/>
        </w:rPr>
      </w:pPr>
      <w:r>
        <w:rPr>
          <w:noProof/>
          <w:sz w:val="20"/>
          <w:szCs w:val="20"/>
          <w:lang w:val="en-CA" w:eastAsia="en-CA"/>
        </w:rPr>
        <w:lastRenderedPageBreak/>
        <w:drawing>
          <wp:inline distT="0" distB="0" distL="0" distR="0">
            <wp:extent cx="5731510" cy="3223885"/>
            <wp:effectExtent l="0" t="0" r="2540" b="0"/>
            <wp:docPr id="1" name="Picture 1" descr="C:\Users\charleshelm\Desktop\coastal palaeoscience\papers\equus\PJ\DJI_0715 - arrow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harleshelm\Desktop\coastal palaeoscience\papers\equus\PJ\DJI_0715 - arrows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56E9" w:rsidRDefault="0017184D" w:rsidP="00323992">
      <w:pPr>
        <w:spacing w:after="0"/>
        <w:rPr>
          <w:sz w:val="20"/>
          <w:szCs w:val="20"/>
        </w:rPr>
      </w:pPr>
      <w:r w:rsidRPr="0017184D">
        <w:rPr>
          <w:b/>
          <w:sz w:val="20"/>
          <w:szCs w:val="20"/>
        </w:rPr>
        <w:t>Figure S2:</w:t>
      </w:r>
      <w:r w:rsidRPr="0017184D">
        <w:rPr>
          <w:sz w:val="20"/>
          <w:szCs w:val="20"/>
        </w:rPr>
        <w:t xml:space="preserve"> </w:t>
      </w:r>
      <w:r w:rsidR="006E2FD9" w:rsidRPr="0017184D">
        <w:rPr>
          <w:sz w:val="20"/>
          <w:szCs w:val="20"/>
        </w:rPr>
        <w:t xml:space="preserve">Drone image of the </w:t>
      </w:r>
      <w:r w:rsidRPr="0017184D">
        <w:rPr>
          <w:sz w:val="20"/>
          <w:szCs w:val="20"/>
        </w:rPr>
        <w:t>long large-equid trackway</w:t>
      </w:r>
      <w:r w:rsidR="00A71E14">
        <w:rPr>
          <w:sz w:val="20"/>
          <w:szCs w:val="20"/>
        </w:rPr>
        <w:t xml:space="preserve"> (indicated by white arrow)</w:t>
      </w:r>
      <w:r w:rsidRPr="0017184D">
        <w:rPr>
          <w:sz w:val="20"/>
          <w:szCs w:val="20"/>
        </w:rPr>
        <w:t xml:space="preserve"> at Driefontein, </w:t>
      </w:r>
      <w:r w:rsidR="00A71E14">
        <w:rPr>
          <w:sz w:val="20"/>
          <w:szCs w:val="20"/>
        </w:rPr>
        <w:t>and surrounding coastline</w:t>
      </w:r>
      <w:r>
        <w:rPr>
          <w:sz w:val="20"/>
          <w:szCs w:val="20"/>
        </w:rPr>
        <w:t>.</w:t>
      </w:r>
    </w:p>
    <w:p w:rsidR="0017184D" w:rsidRDefault="0017184D" w:rsidP="00323992">
      <w:pPr>
        <w:spacing w:after="0"/>
        <w:rPr>
          <w:sz w:val="20"/>
          <w:szCs w:val="20"/>
        </w:rPr>
      </w:pPr>
    </w:p>
    <w:p w:rsidR="0017184D" w:rsidRDefault="0097256F" w:rsidP="00323992">
      <w:pPr>
        <w:spacing w:after="0"/>
      </w:pPr>
      <w:r>
        <w:rPr>
          <w:noProof/>
          <w:lang w:val="en-CA" w:eastAsia="en-CA"/>
        </w:rPr>
        <w:drawing>
          <wp:inline distT="0" distB="0" distL="0" distR="0">
            <wp:extent cx="5731510" cy="3223885"/>
            <wp:effectExtent l="0" t="0" r="2540" b="0"/>
            <wp:docPr id="4" name="Picture 4" descr="C:\Users\charleshelm\Desktop\coastal palaeoscience\papers\equus\Revision\Figure S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arleshelm\Desktop\coastal palaeoscience\papers\equus\Revision\Figure S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3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184D" w:rsidRDefault="0017184D" w:rsidP="0017184D">
      <w:pPr>
        <w:spacing w:after="0"/>
        <w:rPr>
          <w:sz w:val="20"/>
          <w:szCs w:val="20"/>
        </w:rPr>
      </w:pPr>
      <w:r>
        <w:rPr>
          <w:b/>
          <w:sz w:val="20"/>
          <w:szCs w:val="20"/>
        </w:rPr>
        <w:t>Figure S3</w:t>
      </w:r>
      <w:r w:rsidRPr="0017184D">
        <w:rPr>
          <w:b/>
          <w:sz w:val="20"/>
          <w:szCs w:val="20"/>
        </w:rPr>
        <w:t>:</w:t>
      </w:r>
      <w:r w:rsidRPr="0017184D">
        <w:rPr>
          <w:sz w:val="20"/>
          <w:szCs w:val="20"/>
        </w:rPr>
        <w:t xml:space="preserve"> Drone image of the long large-equid trackway at Driefontein, </w:t>
      </w:r>
      <w:r w:rsidR="00D61C11">
        <w:rPr>
          <w:sz w:val="20"/>
          <w:szCs w:val="20"/>
        </w:rPr>
        <w:t>taken from  directly above the trackway</w:t>
      </w:r>
      <w:bookmarkStart w:id="0" w:name="_GoBack"/>
      <w:bookmarkEnd w:id="0"/>
      <w:r>
        <w:rPr>
          <w:sz w:val="20"/>
          <w:szCs w:val="20"/>
        </w:rPr>
        <w:t>; all scale bars = 10 cm, and white arrows indicate two adult humans for scale.</w:t>
      </w:r>
    </w:p>
    <w:p w:rsidR="0017184D" w:rsidRDefault="0017184D" w:rsidP="00323992">
      <w:pPr>
        <w:spacing w:after="0"/>
      </w:pPr>
    </w:p>
    <w:sectPr w:rsidR="0017184D" w:rsidSect="009256E9">
      <w:pgSz w:w="11906" w:h="16838"/>
      <w:pgMar w:top="1440" w:right="1440" w:bottom="1440" w:left="1440" w:header="708" w:footer="708" w:gutter="0"/>
      <w:lnNumType w:countBy="1" w:restart="continuous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doNotDisplayPageBoundaries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E469D"/>
    <w:rsid w:val="00006102"/>
    <w:rsid w:val="00085CCF"/>
    <w:rsid w:val="000968B1"/>
    <w:rsid w:val="000A6668"/>
    <w:rsid w:val="00120430"/>
    <w:rsid w:val="0017184D"/>
    <w:rsid w:val="00172B83"/>
    <w:rsid w:val="002477D6"/>
    <w:rsid w:val="00323992"/>
    <w:rsid w:val="004B1F24"/>
    <w:rsid w:val="005967B8"/>
    <w:rsid w:val="006001F1"/>
    <w:rsid w:val="0067412A"/>
    <w:rsid w:val="00685E32"/>
    <w:rsid w:val="0069148E"/>
    <w:rsid w:val="006E2FD9"/>
    <w:rsid w:val="007D5F4B"/>
    <w:rsid w:val="007F5B64"/>
    <w:rsid w:val="009256E9"/>
    <w:rsid w:val="00962F6D"/>
    <w:rsid w:val="0097256F"/>
    <w:rsid w:val="009C7B40"/>
    <w:rsid w:val="00A71E14"/>
    <w:rsid w:val="00A74DF4"/>
    <w:rsid w:val="00B33382"/>
    <w:rsid w:val="00B35E86"/>
    <w:rsid w:val="00CF7ABC"/>
    <w:rsid w:val="00D61C11"/>
    <w:rsid w:val="00D85C30"/>
    <w:rsid w:val="00DE469D"/>
    <w:rsid w:val="00F37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E46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46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69D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35E86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9256E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DE469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DE469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E469D"/>
    <w:rPr>
      <w:rFonts w:ascii="Segoe UI" w:hAnsi="Segoe UI" w:cs="Segoe UI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B35E86"/>
    <w:rPr>
      <w:color w:val="0563C1" w:themeColor="hyperlink"/>
      <w:u w:val="single"/>
    </w:rPr>
  </w:style>
  <w:style w:type="character" w:styleId="LineNumber">
    <w:name w:val="line number"/>
    <w:basedOn w:val="DefaultParagraphFont"/>
    <w:uiPriority w:val="99"/>
    <w:semiHidden/>
    <w:unhideWhenUsed/>
    <w:rsid w:val="009256E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customXml" Target="../customXml/item2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https://CRAN.R-project.org/package=Luminescence" TargetMode="External"/><Relationship Id="rId11" Type="http://schemas.openxmlformats.org/officeDocument/2006/relationships/customXml" Target="../customXml/item1.xml"/><Relationship Id="rId5" Type="http://schemas.openxmlformats.org/officeDocument/2006/relationships/image" Target="media/image1.jp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4B02EEE46B09A43947188FFB069E6BD" ma:contentTypeVersion="7" ma:contentTypeDescription="Create a new document." ma:contentTypeScope="" ma:versionID="828a97f2ae9bed027da71df3d515e58f">
  <xsd:schema xmlns:xsd="http://www.w3.org/2001/XMLSchema" xmlns:xs="http://www.w3.org/2001/XMLSchema" xmlns:p="http://schemas.microsoft.com/office/2006/metadata/properties" xmlns:ns2="d0dd517d-ad48-4805-a765-433e5ec7f57e" xmlns:ns3="bb66058c-3e6b-4e16-ba1f-210a4c721550" xmlns:ns4="7424b78e-8606-4fd1-9a19-b6b90bbc0a1b" xmlns:ns5="ca645f8a-364e-4828-94c0-6ee427c50029" targetNamespace="http://schemas.microsoft.com/office/2006/metadata/properties" ma:root="true" ma:fieldsID="83e35dbdb77cc7421640b3cc6b7c330a" ns2:_="" ns3:_="" ns4:_="" ns5:_="">
    <xsd:import namespace="d0dd517d-ad48-4805-a765-433e5ec7f57e"/>
    <xsd:import namespace="bb66058c-3e6b-4e16-ba1f-210a4c721550"/>
    <xsd:import namespace="7424b78e-8606-4fd1-9a19-b6b90bbc0a1b"/>
    <xsd:import namespace="ca645f8a-364e-4828-94c0-6ee427c50029"/>
    <xsd:element name="properties">
      <xsd:complexType>
        <xsd:sequence>
          <xsd:element name="documentManagement">
            <xsd:complexType>
              <xsd:all>
                <xsd:element ref="ns2:NotebookType" minOccurs="0"/>
                <xsd:element ref="ns2:FolderType" minOccurs="0"/>
                <xsd:element ref="ns2:CultureName" minOccurs="0"/>
                <xsd:element ref="ns2:AppVersion" minOccurs="0"/>
                <xsd:element ref="ns2:TeamsChannelId" minOccurs="0"/>
                <xsd:element ref="ns2:Owner" minOccurs="0"/>
                <xsd:element ref="ns2:Math_Settings" minOccurs="0"/>
                <xsd:element ref="ns2:DefaultSectionNames" minOccurs="0"/>
                <xsd:element ref="ns2:Templates" minOccurs="0"/>
                <xsd:element ref="ns2:Teachers" minOccurs="0"/>
                <xsd:element ref="ns2:Students" minOccurs="0"/>
                <xsd:element ref="ns2:Student_Groups" minOccurs="0"/>
                <xsd:element ref="ns2:Distribution_Groups" minOccurs="0"/>
                <xsd:element ref="ns2:LMS_Mappings" minOccurs="0"/>
                <xsd:element ref="ns2:Invited_Teachers" minOccurs="0"/>
                <xsd:element ref="ns2:Invited_Students" minOccurs="0"/>
                <xsd:element ref="ns2:Self_Registration_Enabled" minOccurs="0"/>
                <xsd:element ref="ns2:Has_Teacher_Only_SectionGroup" minOccurs="0"/>
                <xsd:element ref="ns2:Is_Collaboration_Space_Locked" minOccurs="0"/>
                <xsd:element ref="ns2:IsNotebookLocked" minOccurs="0"/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AutoKeyPoints" minOccurs="0"/>
                <xsd:element ref="ns2:MediaServiceKeyPoints" minOccurs="0"/>
                <xsd:element ref="ns2:MediaServiceOCR" minOccurs="0"/>
                <xsd:element ref="ns3:MediaLengthInSeconds" minOccurs="0"/>
                <xsd:element ref="ns3:lcf76f155ced4ddcb4097134ff3c332f" minOccurs="0"/>
                <xsd:element ref="ns4:TaxCatchAll" minOccurs="0"/>
                <xsd:element ref="ns5:SharedWithUsers" minOccurs="0"/>
                <xsd:element ref="ns5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0dd517d-ad48-4805-a765-433e5ec7f57e" elementFormDefault="qualified">
    <xsd:import namespace="http://schemas.microsoft.com/office/2006/documentManagement/types"/>
    <xsd:import namespace="http://schemas.microsoft.com/office/infopath/2007/PartnerControls"/>
    <xsd:element name="NotebookType" ma:index="8" nillable="true" ma:displayName="Notebook Type" ma:internalName="NotebookType">
      <xsd:simpleType>
        <xsd:restriction base="dms:Text"/>
      </xsd:simpleType>
    </xsd:element>
    <xsd:element name="FolderType" ma:index="9" nillable="true" ma:displayName="Folder Type" ma:internalName="FolderType">
      <xsd:simpleType>
        <xsd:restriction base="dms:Text"/>
      </xsd:simpleType>
    </xsd:element>
    <xsd:element name="CultureName" ma:index="10" nillable="true" ma:displayName="Culture Name" ma:internalName="CultureName">
      <xsd:simpleType>
        <xsd:restriction base="dms:Text"/>
      </xsd:simpleType>
    </xsd:element>
    <xsd:element name="AppVersion" ma:index="11" nillable="true" ma:displayName="App Version" ma:internalName="AppVersion">
      <xsd:simpleType>
        <xsd:restriction base="dms:Text"/>
      </xsd:simpleType>
    </xsd:element>
    <xsd:element name="TeamsChannelId" ma:index="12" nillable="true" ma:displayName="Teams Channel Id" ma:internalName="TeamsChannelId">
      <xsd:simpleType>
        <xsd:restriction base="dms:Text"/>
      </xsd:simpleType>
    </xsd:element>
    <xsd:element name="Owner" ma:index="13" nillable="true" ma:displayName="Owner" ma:internalName="Own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Math_Settings" ma:index="14" nillable="true" ma:displayName="Math Settings" ma:internalName="Math_Settings">
      <xsd:simpleType>
        <xsd:restriction base="dms:Text"/>
      </xsd:simpleType>
    </xsd:element>
    <xsd:element name="DefaultSectionNames" ma:index="15" nillable="true" ma:displayName="Default Section Names" ma:internalName="DefaultSectionNames">
      <xsd:simpleType>
        <xsd:restriction base="dms:Note">
          <xsd:maxLength value="255"/>
        </xsd:restriction>
      </xsd:simpleType>
    </xsd:element>
    <xsd:element name="Templates" ma:index="16" nillable="true" ma:displayName="Templates" ma:internalName="Templates">
      <xsd:simpleType>
        <xsd:restriction base="dms:Note">
          <xsd:maxLength value="255"/>
        </xsd:restriction>
      </xsd:simpleType>
    </xsd:element>
    <xsd:element name="Teachers" ma:index="17" nillable="true" ma:displayName="Teachers" ma:internalName="Teacher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s" ma:index="18" nillable="true" ma:displayName="Students" ma:internalName="Student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tudent_Groups" ma:index="19" nillable="true" ma:displayName="Student Groups" ma:internalName="Student_Groups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istribution_Groups" ma:index="20" nillable="true" ma:displayName="Distribution Groups" ma:internalName="Distribution_Groups">
      <xsd:simpleType>
        <xsd:restriction base="dms:Note">
          <xsd:maxLength value="255"/>
        </xsd:restriction>
      </xsd:simpleType>
    </xsd:element>
    <xsd:element name="LMS_Mappings" ma:index="21" nillable="true" ma:displayName="LMS Mappings" ma:internalName="LMS_Mappings">
      <xsd:simpleType>
        <xsd:restriction base="dms:Note">
          <xsd:maxLength value="255"/>
        </xsd:restriction>
      </xsd:simpleType>
    </xsd:element>
    <xsd:element name="Invited_Teachers" ma:index="22" nillable="true" ma:displayName="Invited Teachers" ma:internalName="Invited_Teachers">
      <xsd:simpleType>
        <xsd:restriction base="dms:Note">
          <xsd:maxLength value="255"/>
        </xsd:restriction>
      </xsd:simpleType>
    </xsd:element>
    <xsd:element name="Invited_Students" ma:index="23" nillable="true" ma:displayName="Invited Students" ma:internalName="Invited_Students">
      <xsd:simpleType>
        <xsd:restriction base="dms:Note">
          <xsd:maxLength value="255"/>
        </xsd:restriction>
      </xsd:simpleType>
    </xsd:element>
    <xsd:element name="Self_Registration_Enabled" ma:index="24" nillable="true" ma:displayName="Self Registration Enabled" ma:internalName="Self_Registration_Enabled">
      <xsd:simpleType>
        <xsd:restriction base="dms:Boolean"/>
      </xsd:simpleType>
    </xsd:element>
    <xsd:element name="Has_Teacher_Only_SectionGroup" ma:index="25" nillable="true" ma:displayName="Has Teacher Only SectionGroup" ma:internalName="Has_Teacher_Only_SectionGroup">
      <xsd:simpleType>
        <xsd:restriction base="dms:Boolean"/>
      </xsd:simpleType>
    </xsd:element>
    <xsd:element name="Is_Collaboration_Space_Locked" ma:index="26" nillable="true" ma:displayName="Is Collaboration Space Locked" ma:internalName="Is_Collaboration_Space_Locked">
      <xsd:simpleType>
        <xsd:restriction base="dms:Boolean"/>
      </xsd:simpleType>
    </xsd:element>
    <xsd:element name="IsNotebookLocked" ma:index="27" nillable="true" ma:displayName="Is Notebook Locked" ma:internalName="IsNotebookLocked">
      <xsd:simpleType>
        <xsd:restriction base="dms:Boolean"/>
      </xsd:simpleType>
    </xsd:element>
    <xsd:element name="MediaServiceMetadata" ma:index="2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2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30" nillable="true" ma:displayName="Tags" ma:internalName="MediaServiceAutoTags" ma:readOnly="true">
      <xsd:simpleType>
        <xsd:restriction base="dms:Text"/>
      </xsd:simpleType>
    </xsd:element>
    <xsd:element name="MediaServiceGenerationTime" ma:index="3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3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3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34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35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OCR" ma:index="36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66058c-3e6b-4e16-ba1f-210a4c721550" elementFormDefault="qualified">
    <xsd:import namespace="http://schemas.microsoft.com/office/2006/documentManagement/types"/>
    <xsd:import namespace="http://schemas.microsoft.com/office/infopath/2007/PartnerControls"/>
    <xsd:element name="MediaLengthInSeconds" ma:index="37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39" nillable="true" ma:taxonomy="true" ma:internalName="lcf76f155ced4ddcb4097134ff3c332f" ma:taxonomyFieldName="MediaServiceImageTags" ma:displayName="Image Tags" ma:readOnly="false" ma:fieldId="{5cf76f15-5ced-4ddc-b409-7134ff3c332f}" ma:taxonomyMulti="true" ma:sspId="a7882c5b-1fc0-4c64-8edd-3b527906c47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424b78e-8606-4fd1-9a19-b6b90bbc0a1b" elementFormDefault="qualified">
    <xsd:import namespace="http://schemas.microsoft.com/office/2006/documentManagement/types"/>
    <xsd:import namespace="http://schemas.microsoft.com/office/infopath/2007/PartnerControls"/>
    <xsd:element name="TaxCatchAll" ma:index="40" nillable="true" ma:displayName="Taxonomy Catch All Column" ma:hidden="true" ma:list="{9a33b82e-77eb-4fcd-8186-edb432026917}" ma:internalName="TaxCatchAll" ma:showField="CatchAllData" ma:web="ca645f8a-364e-4828-94c0-6ee427c5002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a645f8a-364e-4828-94c0-6ee427c50029" elementFormDefault="qualified">
    <xsd:import namespace="http://schemas.microsoft.com/office/2006/documentManagement/types"/>
    <xsd:import namespace="http://schemas.microsoft.com/office/infopath/2007/PartnerControls"/>
    <xsd:element name="SharedWithUsers" ma:index="4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4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D99AAF5C-67B9-4D20-A76B-FFB8A188823B}"/>
</file>

<file path=customXml/itemProps2.xml><?xml version="1.0" encoding="utf-8"?>
<ds:datastoreItem xmlns:ds="http://schemas.openxmlformats.org/officeDocument/2006/customXml" ds:itemID="{D8624E72-6B93-44A0-A211-2BED3F059B79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6</Pages>
  <Words>1314</Words>
  <Characters>7492</Characters>
  <Application>Microsoft Office Word</Application>
  <DocSecurity>0</DocSecurity>
  <Lines>62</Lines>
  <Paragraphs>17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Leicester</Company>
  <LinksUpToDate>false</LinksUpToDate>
  <CharactersWithSpaces>8789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Carr, Andrew S. (Dr.)</dc:creator>
  <cp:keywords/>
  <dc:description/>
  <cp:lastModifiedBy>anon</cp:lastModifiedBy>
  <cp:revision>19</cp:revision>
  <dcterms:created xsi:type="dcterms:W3CDTF">2022-07-19T12:44:00Z</dcterms:created>
  <dcterms:modified xsi:type="dcterms:W3CDTF">2023-01-17T14:56:00Z</dcterms:modified>
</cp:coreProperties>
</file>