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05FB6" w14:textId="77777777" w:rsidR="000A13A2" w:rsidRPr="0095027A" w:rsidRDefault="000A13A2" w:rsidP="000A13A2">
      <w:pPr>
        <w:spacing w:line="480" w:lineRule="auto"/>
        <w:rPr>
          <w:rFonts w:ascii="Arial" w:hAnsi="Arial" w:cs="Arial"/>
          <w:b/>
          <w:bCs/>
          <w:color w:val="000000" w:themeColor="text1"/>
          <w:sz w:val="20"/>
          <w:szCs w:val="20"/>
          <w:lang w:val="en-GB"/>
        </w:rPr>
      </w:pPr>
      <w:r w:rsidRPr="0095027A">
        <w:rPr>
          <w:rFonts w:ascii="Arial" w:hAnsi="Arial" w:cs="Arial"/>
          <w:b/>
          <w:bCs/>
          <w:color w:val="000000" w:themeColor="text1"/>
          <w:sz w:val="20"/>
          <w:szCs w:val="20"/>
          <w:lang w:val="en-GB"/>
        </w:rPr>
        <w:t>Supplementary Material</w:t>
      </w:r>
    </w:p>
    <w:p w14:paraId="53949E16" w14:textId="77777777" w:rsidR="000A13A2" w:rsidRPr="0095027A" w:rsidRDefault="000A13A2" w:rsidP="000A13A2">
      <w:pPr>
        <w:spacing w:line="480" w:lineRule="auto"/>
        <w:rPr>
          <w:rFonts w:ascii="Arial" w:hAnsi="Arial" w:cs="Arial"/>
          <w:b/>
          <w:bCs/>
          <w:color w:val="000000" w:themeColor="text1"/>
          <w:sz w:val="16"/>
          <w:szCs w:val="16"/>
          <w:lang w:val="en-US"/>
        </w:rPr>
      </w:pPr>
      <w:r w:rsidRPr="0095027A">
        <w:rPr>
          <w:rFonts w:ascii="Arial" w:hAnsi="Arial" w:cs="Arial"/>
          <w:b/>
          <w:bCs/>
          <w:color w:val="000000" w:themeColor="text1"/>
          <w:sz w:val="16"/>
          <w:szCs w:val="16"/>
          <w:lang w:val="en-US"/>
        </w:rPr>
        <w:t>General principles of luminescence dating</w:t>
      </w:r>
    </w:p>
    <w:p w14:paraId="07818B16" w14:textId="77777777" w:rsidR="000A13A2" w:rsidRPr="0095027A" w:rsidRDefault="000A13A2" w:rsidP="000A13A2">
      <w:pPr>
        <w:spacing w:line="480" w:lineRule="auto"/>
        <w:rPr>
          <w:rFonts w:ascii="Arial" w:hAnsi="Arial" w:cs="Arial"/>
          <w:color w:val="000000" w:themeColor="text1"/>
          <w:sz w:val="16"/>
          <w:szCs w:val="16"/>
          <w:lang w:val="en-US"/>
        </w:rPr>
      </w:pPr>
    </w:p>
    <w:p w14:paraId="0FC17D59" w14:textId="77777777" w:rsidR="000A13A2" w:rsidRPr="0095027A" w:rsidRDefault="000A13A2" w:rsidP="000A13A2">
      <w:pPr>
        <w:spacing w:line="480" w:lineRule="auto"/>
        <w:rPr>
          <w:rFonts w:ascii="Arial" w:hAnsi="Arial" w:cs="Arial"/>
          <w:color w:val="000000" w:themeColor="text1"/>
          <w:sz w:val="16"/>
          <w:szCs w:val="16"/>
          <w:lang w:val="en-US"/>
        </w:rPr>
      </w:pPr>
      <w:r w:rsidRPr="0095027A">
        <w:rPr>
          <w:rFonts w:ascii="Arial" w:hAnsi="Arial" w:cs="Arial"/>
          <w:color w:val="000000" w:themeColor="text1"/>
          <w:sz w:val="16"/>
          <w:szCs w:val="16"/>
          <w:lang w:val="en-US"/>
        </w:rPr>
        <w:t>Luminescence dating is a dosimetric method that builds on the time-dependent accumulation of dose information in natural minerals (e.g., quartz or feldspar) in the form of trapped charge carriers as a result of exposure to ionizing radiation. The stored dose information can be released and therefore reset by external stimulation with heat or light. In the course of such stimulation, the mineral emits light (luminescence), that can be registered by sensitive photon detection devices. Owing to the natural variety of minerals, no universal relationship between dose and luminescence signal exists; instead a so-called dose-response curve has to be established for each sample. This allows comparing the natural luminescence signal with those signals induced by known doses of laboratory irradiation to infer the equivalent dose (</w:t>
      </w:r>
      <w:r w:rsidRPr="0095027A">
        <w:rPr>
          <w:rFonts w:ascii="Arial" w:hAnsi="Arial" w:cs="Arial"/>
          <w:i/>
          <w:color w:val="000000" w:themeColor="text1"/>
          <w:sz w:val="16"/>
          <w:szCs w:val="16"/>
          <w:lang w:val="en-US"/>
        </w:rPr>
        <w:t>D</w:t>
      </w:r>
      <w:r w:rsidRPr="0095027A">
        <w:rPr>
          <w:rFonts w:ascii="Arial" w:hAnsi="Arial" w:cs="Arial"/>
          <w:color w:val="000000" w:themeColor="text1"/>
          <w:sz w:val="16"/>
          <w:szCs w:val="16"/>
          <w:vertAlign w:val="subscript"/>
          <w:lang w:val="en-US"/>
        </w:rPr>
        <w:t>e</w:t>
      </w:r>
      <w:r w:rsidRPr="0095027A">
        <w:rPr>
          <w:rFonts w:ascii="Arial" w:hAnsi="Arial" w:cs="Arial"/>
          <w:color w:val="000000" w:themeColor="text1"/>
          <w:sz w:val="16"/>
          <w:szCs w:val="16"/>
          <w:lang w:val="en-US"/>
        </w:rPr>
        <w:t xml:space="preserve">), i.e., the laboratory dose that creates a signal of identical intensity as the natural signal. Under the assumption of constant dose supply over time (dose rate </w:t>
      </w:r>
      <w:r w:rsidRPr="0095027A">
        <w:rPr>
          <w:rFonts w:ascii="Arial" w:hAnsi="Arial" w:cs="Arial"/>
          <w:i/>
          <w:color w:val="000000" w:themeColor="text1"/>
          <w:sz w:val="16"/>
          <w:szCs w:val="16"/>
          <w:lang w:val="en-US"/>
        </w:rPr>
        <w:t>Ḋ</w:t>
      </w:r>
      <w:r w:rsidRPr="0095027A">
        <w:rPr>
          <w:rFonts w:ascii="Arial" w:hAnsi="Arial" w:cs="Arial"/>
          <w:color w:val="000000" w:themeColor="text1"/>
          <w:sz w:val="16"/>
          <w:szCs w:val="16"/>
          <w:lang w:val="en-US"/>
        </w:rPr>
        <w:t>) due to the environmental radiation, the luminescence age of a sample is given by the following equation (Aitken 1985; Aitken 1997; Aitken 1998) or the reviews by (</w:t>
      </w:r>
      <w:proofErr w:type="spellStart"/>
      <w:r w:rsidRPr="0095027A">
        <w:rPr>
          <w:rFonts w:ascii="Arial" w:hAnsi="Arial" w:cs="Arial"/>
          <w:color w:val="000000" w:themeColor="text1"/>
          <w:sz w:val="16"/>
          <w:szCs w:val="16"/>
          <w:lang w:val="en-US"/>
        </w:rPr>
        <w:t>Preusser</w:t>
      </w:r>
      <w:proofErr w:type="spellEnd"/>
      <w:r w:rsidRPr="0095027A">
        <w:rPr>
          <w:rFonts w:ascii="Arial" w:hAnsi="Arial" w:cs="Arial"/>
          <w:color w:val="000000" w:themeColor="text1"/>
          <w:sz w:val="16"/>
          <w:szCs w:val="16"/>
          <w:lang w:val="en-US"/>
        </w:rPr>
        <w:t xml:space="preserve"> et al. </w:t>
      </w:r>
      <w:r>
        <w:rPr>
          <w:rFonts w:ascii="Arial" w:hAnsi="Arial" w:cs="Arial"/>
          <w:color w:val="000000" w:themeColor="text1"/>
          <w:sz w:val="16"/>
          <w:szCs w:val="16"/>
          <w:lang w:val="en-US"/>
        </w:rPr>
        <w:t>,</w:t>
      </w:r>
      <w:r w:rsidRPr="0095027A">
        <w:rPr>
          <w:rFonts w:ascii="Arial" w:hAnsi="Arial" w:cs="Arial"/>
          <w:color w:val="000000" w:themeColor="text1"/>
          <w:sz w:val="16"/>
          <w:szCs w:val="16"/>
          <w:lang w:val="en-US"/>
        </w:rPr>
        <w:t>2008; Rhodes</w:t>
      </w:r>
      <w:r>
        <w:rPr>
          <w:rFonts w:ascii="Arial" w:hAnsi="Arial" w:cs="Arial"/>
          <w:color w:val="000000" w:themeColor="text1"/>
          <w:sz w:val="16"/>
          <w:szCs w:val="16"/>
          <w:lang w:val="en-US"/>
        </w:rPr>
        <w:t>,</w:t>
      </w:r>
      <w:r w:rsidRPr="0095027A">
        <w:rPr>
          <w:rFonts w:ascii="Arial" w:hAnsi="Arial" w:cs="Arial"/>
          <w:color w:val="000000" w:themeColor="text1"/>
          <w:sz w:val="16"/>
          <w:szCs w:val="16"/>
          <w:lang w:val="en-US"/>
        </w:rPr>
        <w:t xml:space="preserve"> 2011; Schmidt and </w:t>
      </w:r>
      <w:proofErr w:type="spellStart"/>
      <w:r w:rsidRPr="0095027A">
        <w:rPr>
          <w:rFonts w:ascii="Arial" w:hAnsi="Arial" w:cs="Arial"/>
          <w:color w:val="000000" w:themeColor="text1"/>
          <w:sz w:val="16"/>
          <w:szCs w:val="16"/>
          <w:lang w:val="en-US"/>
        </w:rPr>
        <w:t>Hambach</w:t>
      </w:r>
      <w:proofErr w:type="spellEnd"/>
      <w:r>
        <w:rPr>
          <w:rFonts w:ascii="Arial" w:hAnsi="Arial" w:cs="Arial"/>
          <w:color w:val="000000" w:themeColor="text1"/>
          <w:sz w:val="16"/>
          <w:szCs w:val="16"/>
          <w:lang w:val="en-US"/>
        </w:rPr>
        <w:t>,</w:t>
      </w:r>
      <w:r w:rsidRPr="0095027A">
        <w:rPr>
          <w:rFonts w:ascii="Arial" w:hAnsi="Arial" w:cs="Arial"/>
          <w:color w:val="000000" w:themeColor="text1"/>
          <w:sz w:val="16"/>
          <w:szCs w:val="16"/>
          <w:lang w:val="en-US"/>
        </w:rPr>
        <w:t xml:space="preserve"> 2015):</w:t>
      </w:r>
    </w:p>
    <w:p w14:paraId="0CF27535" w14:textId="77777777" w:rsidR="000A13A2" w:rsidRPr="0095027A" w:rsidRDefault="000A13A2" w:rsidP="000A13A2">
      <w:pPr>
        <w:spacing w:line="480" w:lineRule="auto"/>
        <w:rPr>
          <w:rFonts w:ascii="Arial" w:hAnsi="Arial" w:cs="Arial"/>
          <w:color w:val="000000" w:themeColor="text1"/>
          <w:sz w:val="16"/>
          <w:szCs w:val="16"/>
          <w:lang w:val="en-US"/>
        </w:rPr>
      </w:pPr>
    </w:p>
    <w:p w14:paraId="4C873CBB" w14:textId="77777777" w:rsidR="000A13A2" w:rsidRPr="0095027A" w:rsidRDefault="000A13A2" w:rsidP="000A13A2">
      <w:pPr>
        <w:spacing w:line="480" w:lineRule="auto"/>
        <w:rPr>
          <w:rFonts w:ascii="Arial" w:hAnsi="Arial" w:cs="Arial"/>
          <w:color w:val="000000" w:themeColor="text1"/>
          <w:sz w:val="16"/>
          <w:szCs w:val="16"/>
          <w:lang w:val="en-US"/>
        </w:rPr>
      </w:pPr>
      <w:r w:rsidRPr="0095027A">
        <w:rPr>
          <w:rFonts w:ascii="Arial" w:hAnsi="Arial" w:cs="Arial"/>
          <w:color w:val="000000" w:themeColor="text1"/>
          <w:sz w:val="16"/>
          <w:szCs w:val="16"/>
          <w:lang w:val="en-US"/>
        </w:rPr>
        <w:t xml:space="preserve">Age [ka] = </w:t>
      </w:r>
      <w:r w:rsidRPr="0095027A">
        <w:rPr>
          <w:rFonts w:ascii="Arial" w:hAnsi="Arial" w:cs="Arial"/>
          <w:i/>
          <w:color w:val="000000" w:themeColor="text1"/>
          <w:sz w:val="16"/>
          <w:szCs w:val="16"/>
          <w:lang w:val="en-US"/>
        </w:rPr>
        <w:t>D</w:t>
      </w:r>
      <w:r w:rsidRPr="0095027A">
        <w:rPr>
          <w:rFonts w:ascii="Arial" w:hAnsi="Arial" w:cs="Arial"/>
          <w:color w:val="000000" w:themeColor="text1"/>
          <w:sz w:val="16"/>
          <w:szCs w:val="16"/>
          <w:vertAlign w:val="subscript"/>
          <w:lang w:val="en-US"/>
        </w:rPr>
        <w:t>e</w:t>
      </w:r>
      <w:r w:rsidRPr="0095027A">
        <w:rPr>
          <w:rFonts w:ascii="Arial" w:hAnsi="Arial" w:cs="Arial"/>
          <w:color w:val="000000" w:themeColor="text1"/>
          <w:sz w:val="16"/>
          <w:szCs w:val="16"/>
          <w:lang w:val="en-US"/>
        </w:rPr>
        <w:t xml:space="preserve"> [</w:t>
      </w:r>
      <w:proofErr w:type="spellStart"/>
      <w:r w:rsidRPr="0095027A">
        <w:rPr>
          <w:rFonts w:ascii="Arial" w:hAnsi="Arial" w:cs="Arial"/>
          <w:color w:val="000000" w:themeColor="text1"/>
          <w:sz w:val="16"/>
          <w:szCs w:val="16"/>
          <w:lang w:val="en-US"/>
        </w:rPr>
        <w:t>Gy</w:t>
      </w:r>
      <w:proofErr w:type="spellEnd"/>
      <w:r w:rsidRPr="0095027A">
        <w:rPr>
          <w:rFonts w:ascii="Arial" w:hAnsi="Arial" w:cs="Arial"/>
          <w:color w:val="000000" w:themeColor="text1"/>
          <w:sz w:val="16"/>
          <w:szCs w:val="16"/>
          <w:lang w:val="en-US"/>
        </w:rPr>
        <w:t>]/</w:t>
      </w:r>
      <w:r w:rsidRPr="0095027A">
        <w:rPr>
          <w:rFonts w:ascii="Arial" w:hAnsi="Arial" w:cs="Arial"/>
          <w:i/>
          <w:color w:val="000000" w:themeColor="text1"/>
          <w:sz w:val="16"/>
          <w:szCs w:val="16"/>
          <w:lang w:val="en-US"/>
        </w:rPr>
        <w:t>Ḋ</w:t>
      </w:r>
      <w:r w:rsidRPr="0095027A">
        <w:rPr>
          <w:rFonts w:ascii="Arial" w:hAnsi="Arial" w:cs="Arial"/>
          <w:color w:val="000000" w:themeColor="text1"/>
          <w:sz w:val="16"/>
          <w:szCs w:val="16"/>
          <w:lang w:val="en-US"/>
        </w:rPr>
        <w:t xml:space="preserve"> [</w:t>
      </w:r>
      <w:proofErr w:type="spellStart"/>
      <w:r w:rsidRPr="0095027A">
        <w:rPr>
          <w:rFonts w:ascii="Arial" w:hAnsi="Arial" w:cs="Arial"/>
          <w:color w:val="000000" w:themeColor="text1"/>
          <w:sz w:val="16"/>
          <w:szCs w:val="16"/>
          <w:lang w:val="en-US"/>
        </w:rPr>
        <w:t>Gy</w:t>
      </w:r>
      <w:proofErr w:type="spellEnd"/>
      <w:r w:rsidRPr="0095027A">
        <w:rPr>
          <w:rFonts w:ascii="Arial" w:hAnsi="Arial" w:cs="Arial"/>
          <w:color w:val="000000" w:themeColor="text1"/>
          <w:sz w:val="16"/>
          <w:szCs w:val="16"/>
          <w:lang w:val="en-US"/>
        </w:rPr>
        <w:t xml:space="preserve"> </w:t>
      </w:r>
      <w:proofErr w:type="gramStart"/>
      <w:r w:rsidRPr="0095027A">
        <w:rPr>
          <w:rFonts w:ascii="Arial" w:hAnsi="Arial" w:cs="Arial"/>
          <w:color w:val="000000" w:themeColor="text1"/>
          <w:sz w:val="16"/>
          <w:szCs w:val="16"/>
          <w:lang w:val="en-US"/>
        </w:rPr>
        <w:t>ka</w:t>
      </w:r>
      <w:r w:rsidRPr="0095027A">
        <w:rPr>
          <w:rFonts w:ascii="Arial" w:hAnsi="Arial" w:cs="Arial"/>
          <w:color w:val="000000" w:themeColor="text1"/>
          <w:sz w:val="16"/>
          <w:szCs w:val="16"/>
          <w:vertAlign w:val="superscript"/>
          <w:lang w:val="en-US"/>
        </w:rPr>
        <w:t>-1</w:t>
      </w:r>
      <w:proofErr w:type="gramEnd"/>
      <w:r w:rsidRPr="0095027A">
        <w:rPr>
          <w:rFonts w:ascii="Arial" w:hAnsi="Arial" w:cs="Arial"/>
          <w:color w:val="000000" w:themeColor="text1"/>
          <w:sz w:val="16"/>
          <w:szCs w:val="16"/>
          <w:lang w:val="en-US"/>
        </w:rPr>
        <w:t>]</w:t>
      </w:r>
    </w:p>
    <w:p w14:paraId="7B31C0E6" w14:textId="77777777" w:rsidR="000A13A2" w:rsidRPr="0095027A" w:rsidRDefault="000A13A2" w:rsidP="000A13A2">
      <w:pPr>
        <w:spacing w:line="480" w:lineRule="auto"/>
        <w:rPr>
          <w:rFonts w:ascii="Arial" w:hAnsi="Arial" w:cs="Arial"/>
          <w:color w:val="000000" w:themeColor="text1"/>
          <w:sz w:val="16"/>
          <w:szCs w:val="16"/>
          <w:lang w:val="en-US"/>
        </w:rPr>
      </w:pPr>
    </w:p>
    <w:p w14:paraId="3EC23822" w14:textId="77777777" w:rsidR="000A13A2" w:rsidRPr="0095027A" w:rsidRDefault="000A13A2" w:rsidP="000A13A2">
      <w:pPr>
        <w:spacing w:line="480" w:lineRule="auto"/>
        <w:rPr>
          <w:rFonts w:ascii="Arial" w:hAnsi="Arial" w:cs="Arial"/>
          <w:color w:val="000000" w:themeColor="text1"/>
          <w:sz w:val="16"/>
          <w:szCs w:val="16"/>
          <w:lang w:val="en-US"/>
        </w:rPr>
      </w:pPr>
      <w:r w:rsidRPr="0095027A">
        <w:rPr>
          <w:rFonts w:ascii="Arial" w:hAnsi="Arial" w:cs="Arial"/>
          <w:color w:val="000000" w:themeColor="text1"/>
          <w:sz w:val="16"/>
          <w:szCs w:val="16"/>
          <w:lang w:val="en-US"/>
        </w:rPr>
        <w:t>Such an age represents the time elapsed since the last exposure of the mineral to light or temperatures &gt;300–350 °C (= dated event). Sediment mobility can thus be directly dated using this method.</w:t>
      </w:r>
    </w:p>
    <w:p w14:paraId="3BF03E81" w14:textId="77777777" w:rsidR="000A13A2" w:rsidRPr="0095027A" w:rsidRDefault="000A13A2" w:rsidP="000A13A2">
      <w:pPr>
        <w:spacing w:line="480" w:lineRule="auto"/>
        <w:rPr>
          <w:rFonts w:ascii="Arial" w:hAnsi="Arial" w:cs="Arial"/>
          <w:color w:val="000000" w:themeColor="text1"/>
          <w:sz w:val="16"/>
          <w:szCs w:val="16"/>
          <w:lang w:val="en-US"/>
        </w:rPr>
      </w:pPr>
      <w:r w:rsidRPr="0095027A">
        <w:rPr>
          <w:rFonts w:ascii="Arial" w:hAnsi="Arial" w:cs="Arial"/>
          <w:color w:val="000000" w:themeColor="text1"/>
          <w:sz w:val="16"/>
          <w:szCs w:val="16"/>
          <w:lang w:val="en-US"/>
        </w:rPr>
        <w:t>While the optically stimulated luminescence (OSL) signal of quartz requires shorter light exposure times for complete signal resetting compared to the infrared stimulated luminescence (IRSL) signal of K-feldspar (in the order of 10</w:t>
      </w:r>
      <w:r w:rsidRPr="0095027A">
        <w:rPr>
          <w:rFonts w:ascii="Arial" w:hAnsi="Arial" w:cs="Arial"/>
          <w:color w:val="000000" w:themeColor="text1"/>
          <w:sz w:val="16"/>
          <w:szCs w:val="16"/>
          <w:vertAlign w:val="superscript"/>
          <w:lang w:val="en-US"/>
        </w:rPr>
        <w:t>1</w:t>
      </w:r>
      <w:r w:rsidRPr="0095027A">
        <w:rPr>
          <w:rFonts w:ascii="Arial" w:hAnsi="Arial" w:cs="Arial"/>
          <w:color w:val="000000" w:themeColor="text1"/>
          <w:sz w:val="16"/>
          <w:szCs w:val="16"/>
          <w:lang w:val="en-US"/>
        </w:rPr>
        <w:t>–10</w:t>
      </w:r>
      <w:r w:rsidRPr="0095027A">
        <w:rPr>
          <w:rFonts w:ascii="Arial" w:hAnsi="Arial" w:cs="Arial"/>
          <w:color w:val="000000" w:themeColor="text1"/>
          <w:sz w:val="16"/>
          <w:szCs w:val="16"/>
          <w:vertAlign w:val="superscript"/>
          <w:lang w:val="en-US"/>
        </w:rPr>
        <w:t>2</w:t>
      </w:r>
      <w:r w:rsidRPr="0095027A">
        <w:rPr>
          <w:rFonts w:ascii="Arial" w:hAnsi="Arial" w:cs="Arial"/>
          <w:color w:val="000000" w:themeColor="text1"/>
          <w:sz w:val="16"/>
          <w:szCs w:val="16"/>
          <w:lang w:val="en-US"/>
        </w:rPr>
        <w:t xml:space="preserve"> s for quartz vs. &gt;10</w:t>
      </w:r>
      <w:r w:rsidRPr="0095027A">
        <w:rPr>
          <w:rFonts w:ascii="Arial" w:hAnsi="Arial" w:cs="Arial"/>
          <w:color w:val="000000" w:themeColor="text1"/>
          <w:sz w:val="16"/>
          <w:szCs w:val="16"/>
          <w:vertAlign w:val="superscript"/>
          <w:lang w:val="en-US"/>
        </w:rPr>
        <w:t>2</w:t>
      </w:r>
      <w:r w:rsidRPr="0095027A">
        <w:rPr>
          <w:rFonts w:ascii="Arial" w:hAnsi="Arial" w:cs="Arial"/>
          <w:color w:val="000000" w:themeColor="text1"/>
          <w:sz w:val="16"/>
          <w:szCs w:val="16"/>
          <w:lang w:val="en-US"/>
        </w:rPr>
        <w:t>–10</w:t>
      </w:r>
      <w:r w:rsidRPr="0095027A">
        <w:rPr>
          <w:rFonts w:ascii="Arial" w:hAnsi="Arial" w:cs="Arial"/>
          <w:color w:val="000000" w:themeColor="text1"/>
          <w:sz w:val="16"/>
          <w:szCs w:val="16"/>
          <w:vertAlign w:val="superscript"/>
          <w:lang w:val="en-US"/>
        </w:rPr>
        <w:t>3</w:t>
      </w:r>
      <w:r w:rsidRPr="0095027A">
        <w:rPr>
          <w:rFonts w:ascii="Arial" w:hAnsi="Arial" w:cs="Arial"/>
          <w:color w:val="000000" w:themeColor="text1"/>
          <w:sz w:val="16"/>
          <w:szCs w:val="16"/>
          <w:lang w:val="en-US"/>
        </w:rPr>
        <w:t xml:space="preserve"> s for feldspar; Godfrey-Smith et al., 1988; Murray et al., 2012), the latter saturates at higher doses, allowing to extend the dating range by a factor of ~2–3 (see for example </w:t>
      </w:r>
      <w:proofErr w:type="spellStart"/>
      <w:r w:rsidRPr="0095027A">
        <w:rPr>
          <w:rFonts w:ascii="Arial" w:hAnsi="Arial" w:cs="Arial"/>
          <w:color w:val="000000" w:themeColor="text1"/>
          <w:sz w:val="16"/>
          <w:szCs w:val="16"/>
          <w:lang w:val="en-US"/>
        </w:rPr>
        <w:t>Wintle</w:t>
      </w:r>
      <w:proofErr w:type="spellEnd"/>
      <w:r w:rsidRPr="0095027A">
        <w:rPr>
          <w:rFonts w:ascii="Arial" w:hAnsi="Arial" w:cs="Arial"/>
          <w:color w:val="000000" w:themeColor="text1"/>
          <w:sz w:val="16"/>
          <w:szCs w:val="16"/>
          <w:lang w:val="en-US"/>
        </w:rPr>
        <w:t xml:space="preserve"> and Murray</w:t>
      </w:r>
      <w:r>
        <w:rPr>
          <w:rFonts w:ascii="Arial" w:hAnsi="Arial" w:cs="Arial"/>
          <w:color w:val="000000" w:themeColor="text1"/>
          <w:sz w:val="16"/>
          <w:szCs w:val="16"/>
          <w:lang w:val="en-US"/>
        </w:rPr>
        <w:t>,</w:t>
      </w:r>
      <w:r w:rsidRPr="0095027A">
        <w:rPr>
          <w:rFonts w:ascii="Arial" w:hAnsi="Arial" w:cs="Arial"/>
          <w:color w:val="000000" w:themeColor="text1"/>
          <w:sz w:val="16"/>
          <w:szCs w:val="16"/>
          <w:lang w:val="en-US"/>
        </w:rPr>
        <w:t xml:space="preserve"> 2006; Li et al.</w:t>
      </w:r>
      <w:r>
        <w:rPr>
          <w:rFonts w:ascii="Arial" w:hAnsi="Arial" w:cs="Arial"/>
          <w:color w:val="000000" w:themeColor="text1"/>
          <w:sz w:val="16"/>
          <w:szCs w:val="16"/>
          <w:lang w:val="en-US"/>
        </w:rPr>
        <w:t>,</w:t>
      </w:r>
      <w:r w:rsidRPr="0095027A">
        <w:rPr>
          <w:rFonts w:ascii="Arial" w:hAnsi="Arial" w:cs="Arial"/>
          <w:color w:val="000000" w:themeColor="text1"/>
          <w:sz w:val="16"/>
          <w:szCs w:val="16"/>
          <w:lang w:val="en-US"/>
        </w:rPr>
        <w:t xml:space="preserve"> 2014)  .</w:t>
      </w:r>
    </w:p>
    <w:p w14:paraId="0A9A9FA7" w14:textId="77777777" w:rsidR="000A13A2" w:rsidRPr="0095027A" w:rsidRDefault="000A13A2" w:rsidP="000A13A2">
      <w:pPr>
        <w:spacing w:line="480" w:lineRule="auto"/>
        <w:rPr>
          <w:rFonts w:ascii="Arial" w:hAnsi="Arial" w:cs="Arial"/>
          <w:color w:val="000000" w:themeColor="text1"/>
          <w:sz w:val="16"/>
          <w:szCs w:val="16"/>
          <w:lang w:val="en-US"/>
        </w:rPr>
      </w:pPr>
    </w:p>
    <w:p w14:paraId="68EB7367" w14:textId="77777777" w:rsidR="000A13A2" w:rsidRPr="0095027A" w:rsidRDefault="000A13A2" w:rsidP="000A13A2">
      <w:pPr>
        <w:spacing w:line="480" w:lineRule="auto"/>
        <w:rPr>
          <w:rFonts w:ascii="Arial" w:hAnsi="Arial" w:cs="Arial"/>
          <w:b/>
          <w:bCs/>
          <w:color w:val="000000" w:themeColor="text1"/>
          <w:sz w:val="16"/>
          <w:szCs w:val="16"/>
          <w:lang w:val="en-US"/>
        </w:rPr>
      </w:pPr>
      <w:r w:rsidRPr="0095027A">
        <w:rPr>
          <w:rFonts w:ascii="Arial" w:hAnsi="Arial" w:cs="Arial"/>
          <w:b/>
          <w:bCs/>
          <w:color w:val="000000" w:themeColor="text1"/>
          <w:sz w:val="16"/>
          <w:szCs w:val="16"/>
          <w:lang w:val="en-US"/>
        </w:rPr>
        <w:t>Sample preparation</w:t>
      </w:r>
    </w:p>
    <w:p w14:paraId="2BB716ED" w14:textId="77777777" w:rsidR="000A13A2" w:rsidRPr="0095027A" w:rsidRDefault="000A13A2" w:rsidP="000A13A2">
      <w:pPr>
        <w:spacing w:line="480" w:lineRule="auto"/>
        <w:rPr>
          <w:rFonts w:ascii="Arial" w:hAnsi="Arial" w:cs="Arial"/>
          <w:color w:val="000000" w:themeColor="text1"/>
          <w:sz w:val="16"/>
          <w:szCs w:val="16"/>
          <w:lang w:val="en-US"/>
        </w:rPr>
      </w:pPr>
    </w:p>
    <w:p w14:paraId="29F75A24" w14:textId="77777777" w:rsidR="000A13A2" w:rsidRPr="0095027A" w:rsidRDefault="000A13A2" w:rsidP="000A13A2">
      <w:pPr>
        <w:spacing w:line="480" w:lineRule="auto"/>
        <w:rPr>
          <w:rFonts w:ascii="Arial" w:hAnsi="Arial" w:cs="Arial"/>
          <w:color w:val="000000" w:themeColor="text1"/>
          <w:sz w:val="16"/>
          <w:szCs w:val="16"/>
          <w:lang w:val="en-US"/>
        </w:rPr>
      </w:pPr>
      <w:r w:rsidRPr="0095027A">
        <w:rPr>
          <w:rFonts w:ascii="Arial" w:hAnsi="Arial" w:cs="Arial"/>
          <w:color w:val="000000" w:themeColor="text1"/>
          <w:sz w:val="16"/>
          <w:szCs w:val="16"/>
          <w:lang w:val="en-US"/>
        </w:rPr>
        <w:t>After wet sieving to target grain sizes &lt;63 µm, samples were treated with 10% HCl and 10% H</w:t>
      </w:r>
      <w:r w:rsidRPr="0095027A">
        <w:rPr>
          <w:rFonts w:ascii="Arial" w:hAnsi="Arial" w:cs="Arial"/>
          <w:color w:val="000000" w:themeColor="text1"/>
          <w:sz w:val="16"/>
          <w:szCs w:val="16"/>
          <w:vertAlign w:val="subscript"/>
          <w:lang w:val="en-US"/>
        </w:rPr>
        <w:t>2</w:t>
      </w:r>
      <w:r w:rsidRPr="0095027A">
        <w:rPr>
          <w:rFonts w:ascii="Arial" w:hAnsi="Arial" w:cs="Arial"/>
          <w:color w:val="000000" w:themeColor="text1"/>
          <w:sz w:val="16"/>
          <w:szCs w:val="16"/>
          <w:lang w:val="en-US"/>
        </w:rPr>
        <w:t>O</w:t>
      </w:r>
      <w:r w:rsidRPr="0095027A">
        <w:rPr>
          <w:rFonts w:ascii="Arial" w:hAnsi="Arial" w:cs="Arial"/>
          <w:color w:val="000000" w:themeColor="text1"/>
          <w:sz w:val="16"/>
          <w:szCs w:val="16"/>
          <w:vertAlign w:val="subscript"/>
          <w:lang w:val="en-US"/>
        </w:rPr>
        <w:t>2</w:t>
      </w:r>
      <w:r w:rsidRPr="0095027A">
        <w:rPr>
          <w:rFonts w:ascii="Arial" w:hAnsi="Arial" w:cs="Arial"/>
          <w:color w:val="000000" w:themeColor="text1"/>
          <w:sz w:val="16"/>
          <w:szCs w:val="16"/>
          <w:lang w:val="en-US"/>
        </w:rPr>
        <w:t xml:space="preserve"> to dissolve carbonates and oxidize organic matter, respectively. Settling the grains in a water column for specified periods (following Stokes' Law) allows separating the grain size range </w:t>
      </w:r>
      <w:bookmarkStart w:id="0" w:name="OLE_LINK1"/>
      <w:bookmarkStart w:id="1" w:name="OLE_LINK2"/>
      <w:r w:rsidRPr="0095027A">
        <w:rPr>
          <w:rFonts w:ascii="Arial" w:hAnsi="Arial" w:cs="Arial"/>
          <w:color w:val="000000" w:themeColor="text1"/>
          <w:sz w:val="16"/>
          <w:szCs w:val="16"/>
          <w:lang w:val="en-US"/>
        </w:rPr>
        <w:t>~4–11 µm ('fine grains')</w:t>
      </w:r>
      <w:bookmarkEnd w:id="0"/>
      <w:bookmarkEnd w:id="1"/>
      <w:r w:rsidRPr="0095027A">
        <w:rPr>
          <w:rFonts w:ascii="Arial" w:hAnsi="Arial" w:cs="Arial"/>
          <w:color w:val="000000" w:themeColor="text1"/>
          <w:sz w:val="16"/>
          <w:szCs w:val="16"/>
          <w:lang w:val="en-US"/>
        </w:rPr>
        <w:t>. Readily prepared sample material was pipetted with water onto 9.6 mm diameter aluminum discs (~1.2 mg in 200 µl water per aliquot). Following the experience by Faust et al. 2015 for a comparable setting, no attempts were undertaken to extract coarser material ('coarse grains') and/or quartz for luminescence dating.</w:t>
      </w:r>
    </w:p>
    <w:p w14:paraId="1149DAF7" w14:textId="77777777" w:rsidR="000A13A2" w:rsidRPr="0095027A" w:rsidRDefault="000A13A2" w:rsidP="000A13A2">
      <w:pPr>
        <w:spacing w:line="480" w:lineRule="auto"/>
        <w:rPr>
          <w:rFonts w:ascii="Arial" w:hAnsi="Arial" w:cs="Arial"/>
          <w:color w:val="000000" w:themeColor="text1"/>
          <w:sz w:val="16"/>
          <w:szCs w:val="16"/>
          <w:lang w:val="en-US"/>
        </w:rPr>
      </w:pPr>
    </w:p>
    <w:p w14:paraId="5961FEEF" w14:textId="77777777" w:rsidR="000A13A2" w:rsidRPr="0095027A" w:rsidRDefault="000A13A2" w:rsidP="000A13A2">
      <w:pPr>
        <w:spacing w:line="480" w:lineRule="auto"/>
        <w:rPr>
          <w:rFonts w:ascii="Arial" w:hAnsi="Arial" w:cs="Arial"/>
          <w:b/>
          <w:bCs/>
          <w:color w:val="000000" w:themeColor="text1"/>
          <w:sz w:val="16"/>
          <w:szCs w:val="16"/>
          <w:lang w:val="en-US"/>
        </w:rPr>
      </w:pPr>
      <w:r w:rsidRPr="0095027A">
        <w:rPr>
          <w:rFonts w:ascii="Arial" w:hAnsi="Arial" w:cs="Arial"/>
          <w:b/>
          <w:bCs/>
          <w:color w:val="000000" w:themeColor="text1"/>
          <w:sz w:val="16"/>
          <w:szCs w:val="16"/>
          <w:lang w:val="en-US"/>
        </w:rPr>
        <w:t>Dose rate determination</w:t>
      </w:r>
    </w:p>
    <w:p w14:paraId="1F7E026C" w14:textId="77777777" w:rsidR="000A13A2" w:rsidRPr="0095027A" w:rsidRDefault="000A13A2" w:rsidP="000A13A2">
      <w:pPr>
        <w:spacing w:line="480" w:lineRule="auto"/>
        <w:rPr>
          <w:rFonts w:ascii="Arial" w:hAnsi="Arial" w:cs="Arial"/>
          <w:color w:val="000000" w:themeColor="text1"/>
          <w:sz w:val="16"/>
          <w:szCs w:val="16"/>
          <w:lang w:val="en-US"/>
        </w:rPr>
      </w:pPr>
    </w:p>
    <w:p w14:paraId="402FBCC8" w14:textId="77777777" w:rsidR="000A13A2" w:rsidRPr="0095027A" w:rsidRDefault="000A13A2" w:rsidP="000A13A2">
      <w:pPr>
        <w:spacing w:line="480" w:lineRule="auto"/>
        <w:rPr>
          <w:rFonts w:ascii="Arial" w:hAnsi="Arial" w:cs="Arial"/>
          <w:color w:val="000000" w:themeColor="text1"/>
          <w:sz w:val="16"/>
          <w:szCs w:val="16"/>
          <w:lang w:val="en-US"/>
        </w:rPr>
      </w:pPr>
      <w:r w:rsidRPr="0095027A">
        <w:rPr>
          <w:rFonts w:ascii="Arial" w:hAnsi="Arial" w:cs="Arial"/>
          <w:color w:val="000000" w:themeColor="text1"/>
          <w:sz w:val="16"/>
          <w:szCs w:val="16"/>
          <w:lang w:val="en-US"/>
        </w:rPr>
        <w:t xml:space="preserve">Surrounding material for dose rate assessment was milled to grain sizes &lt;63 µm, sealed and stored in plastic containers for at least four weeks prior to </w:t>
      </w:r>
      <w:bookmarkStart w:id="2" w:name="OLE_LINK3"/>
      <w:bookmarkStart w:id="3" w:name="OLE_LINK4"/>
      <w:r w:rsidRPr="0095027A">
        <w:rPr>
          <w:rFonts w:ascii="Arial" w:hAnsi="Arial" w:cs="Arial"/>
          <w:color w:val="000000" w:themeColor="text1"/>
          <w:sz w:val="16"/>
          <w:szCs w:val="16"/>
          <w:lang w:val="en-US"/>
        </w:rPr>
        <w:t xml:space="preserve">thick-source α-counting analysis (Aitken, 1985; </w:t>
      </w:r>
      <w:proofErr w:type="spellStart"/>
      <w:r w:rsidRPr="0095027A">
        <w:rPr>
          <w:rFonts w:ascii="Arial" w:hAnsi="Arial" w:cs="Arial"/>
          <w:color w:val="000000" w:themeColor="text1"/>
          <w:sz w:val="16"/>
          <w:szCs w:val="16"/>
          <w:lang w:val="en-US"/>
        </w:rPr>
        <w:t>Zöller</w:t>
      </w:r>
      <w:proofErr w:type="spellEnd"/>
      <w:r w:rsidRPr="0095027A">
        <w:rPr>
          <w:rFonts w:ascii="Arial" w:hAnsi="Arial" w:cs="Arial"/>
          <w:color w:val="000000" w:themeColor="text1"/>
          <w:sz w:val="16"/>
          <w:szCs w:val="16"/>
          <w:lang w:val="en-US"/>
        </w:rPr>
        <w:t xml:space="preserve"> and </w:t>
      </w:r>
      <w:proofErr w:type="spellStart"/>
      <w:r w:rsidRPr="0095027A">
        <w:rPr>
          <w:rFonts w:ascii="Arial" w:hAnsi="Arial" w:cs="Arial"/>
          <w:color w:val="000000" w:themeColor="text1"/>
          <w:sz w:val="16"/>
          <w:szCs w:val="16"/>
          <w:lang w:val="en-US"/>
        </w:rPr>
        <w:t>Pernicka</w:t>
      </w:r>
      <w:proofErr w:type="spellEnd"/>
      <w:r w:rsidRPr="0095027A">
        <w:rPr>
          <w:rFonts w:ascii="Arial" w:hAnsi="Arial" w:cs="Arial"/>
          <w:color w:val="000000" w:themeColor="text1"/>
          <w:sz w:val="16"/>
          <w:szCs w:val="16"/>
          <w:lang w:val="en-US"/>
        </w:rPr>
        <w:t>, 1989)</w:t>
      </w:r>
      <w:bookmarkEnd w:id="2"/>
      <w:bookmarkEnd w:id="3"/>
      <w:r w:rsidRPr="0095027A">
        <w:rPr>
          <w:rFonts w:ascii="Arial" w:hAnsi="Arial" w:cs="Arial"/>
          <w:color w:val="000000" w:themeColor="text1"/>
          <w:sz w:val="16"/>
          <w:szCs w:val="16"/>
          <w:lang w:val="en-US"/>
        </w:rPr>
        <w:t xml:space="preserve">. Resulting count rates measured for the U and Th decay chains were translated to dose rates by means of published conversion factors (Aitken, 1985; Guerin et al., 2011). The K concentration was measured by ICP-OES at the </w:t>
      </w:r>
      <w:proofErr w:type="spellStart"/>
      <w:r w:rsidRPr="0095027A">
        <w:rPr>
          <w:rFonts w:ascii="Arial" w:hAnsi="Arial" w:cs="Arial"/>
          <w:color w:val="000000" w:themeColor="text1"/>
          <w:sz w:val="16"/>
          <w:szCs w:val="16"/>
          <w:lang w:val="en-US"/>
        </w:rPr>
        <w:t>BayCEER</w:t>
      </w:r>
      <w:proofErr w:type="spellEnd"/>
      <w:r w:rsidRPr="0095027A">
        <w:rPr>
          <w:rFonts w:ascii="Arial" w:hAnsi="Arial" w:cs="Arial"/>
          <w:color w:val="000000" w:themeColor="text1"/>
          <w:sz w:val="16"/>
          <w:szCs w:val="16"/>
          <w:lang w:val="en-US"/>
        </w:rPr>
        <w:t xml:space="preserve"> (University of Bayreuth). The cosmic dose rate as well as the total environmental dose rate and age were calculated with DRAC </w:t>
      </w:r>
      <w:bookmarkStart w:id="4" w:name="OLE_LINK5"/>
      <w:bookmarkStart w:id="5" w:name="OLE_LINK6"/>
      <w:r w:rsidRPr="0095027A">
        <w:rPr>
          <w:rFonts w:ascii="Arial" w:hAnsi="Arial" w:cs="Arial"/>
          <w:color w:val="000000" w:themeColor="text1"/>
          <w:sz w:val="16"/>
          <w:szCs w:val="16"/>
          <w:lang w:val="en-US"/>
        </w:rPr>
        <w:t>(v1.2; (Durcan et al., 2015)</w:t>
      </w:r>
      <w:bookmarkEnd w:id="4"/>
      <w:bookmarkEnd w:id="5"/>
      <w:r w:rsidRPr="0095027A">
        <w:rPr>
          <w:rFonts w:ascii="Arial" w:hAnsi="Arial" w:cs="Arial"/>
          <w:color w:val="000000" w:themeColor="text1"/>
          <w:sz w:val="16"/>
          <w:szCs w:val="16"/>
          <w:lang w:val="en-US"/>
        </w:rPr>
        <w:t xml:space="preserve"> using α-attenuation factors by (Brennan et al., 1991) and β grain size attenuation factors by (Guerin et al., 2011). An α-efficiency (</w:t>
      </w:r>
      <w:r w:rsidRPr="0095027A">
        <w:rPr>
          <w:rFonts w:ascii="Arial" w:hAnsi="Arial" w:cs="Arial"/>
          <w:i/>
          <w:color w:val="000000" w:themeColor="text1"/>
          <w:sz w:val="16"/>
          <w:szCs w:val="16"/>
          <w:lang w:val="en-US"/>
        </w:rPr>
        <w:t>a</w:t>
      </w:r>
      <w:r w:rsidRPr="0095027A">
        <w:rPr>
          <w:rFonts w:ascii="Arial" w:hAnsi="Arial" w:cs="Arial"/>
          <w:color w:val="000000" w:themeColor="text1"/>
          <w:sz w:val="16"/>
          <w:szCs w:val="16"/>
          <w:lang w:val="en-US"/>
        </w:rPr>
        <w:t>-</w:t>
      </w:r>
      <w:r w:rsidRPr="0095027A">
        <w:rPr>
          <w:rFonts w:ascii="Arial" w:hAnsi="Arial" w:cs="Arial"/>
          <w:color w:val="000000" w:themeColor="text1"/>
          <w:sz w:val="16"/>
          <w:szCs w:val="16"/>
          <w:lang w:val="en-US"/>
        </w:rPr>
        <w:lastRenderedPageBreak/>
        <w:t xml:space="preserve">value) of 0.08 ± 0.01 was assumed based on </w:t>
      </w:r>
      <w:sdt>
        <w:sdtPr>
          <w:rPr>
            <w:rFonts w:ascii="Arial" w:hAnsi="Arial" w:cs="Arial"/>
            <w:color w:val="000000" w:themeColor="text1"/>
            <w:sz w:val="16"/>
            <w:szCs w:val="16"/>
            <w:lang w:val="en-US"/>
          </w:rPr>
          <w:tag w:val="MENDELEY_CITATION_90f05379-554e-48db-9a02-482b3de42975"/>
          <w:id w:val="-433602008"/>
          <w:placeholder>
            <w:docPart w:val="7734A5EFFC9BA345BE72BCE893EBB5DB"/>
          </w:placeholder>
        </w:sdtPr>
        <w:sdtContent>
          <w:r w:rsidRPr="0095027A">
            <w:rPr>
              <w:rFonts w:ascii="Arial" w:hAnsi="Arial" w:cs="Arial"/>
              <w:color w:val="000000" w:themeColor="text1"/>
              <w:sz w:val="16"/>
              <w:szCs w:val="16"/>
              <w:lang w:val="en-US"/>
            </w:rPr>
            <w:t>(Schmidt et al., 2018)</w:t>
          </w:r>
        </w:sdtContent>
      </w:sdt>
      <w:r w:rsidRPr="0095027A">
        <w:rPr>
          <w:rFonts w:ascii="Arial" w:hAnsi="Arial" w:cs="Arial"/>
          <w:color w:val="000000" w:themeColor="text1"/>
          <w:sz w:val="16"/>
          <w:szCs w:val="16"/>
          <w:lang w:val="en-US"/>
        </w:rPr>
        <w:t>. An interstitial water content of 10 ± 5 wt.% was estimated to be representative for the burial period (Faust et al., 2015). All dose rates were calculated based on the infinite matrix assumption (Guerin et al., 2011).</w:t>
      </w:r>
    </w:p>
    <w:p w14:paraId="026A0C71" w14:textId="77777777" w:rsidR="000A13A2" w:rsidRPr="0095027A" w:rsidRDefault="000A13A2" w:rsidP="000A13A2">
      <w:pPr>
        <w:spacing w:line="480" w:lineRule="auto"/>
        <w:rPr>
          <w:rFonts w:ascii="Arial" w:hAnsi="Arial" w:cs="Arial"/>
          <w:color w:val="000000" w:themeColor="text1"/>
          <w:sz w:val="16"/>
          <w:szCs w:val="16"/>
          <w:lang w:val="en-US"/>
        </w:rPr>
      </w:pPr>
    </w:p>
    <w:p w14:paraId="396BFEFA" w14:textId="77777777" w:rsidR="000A13A2" w:rsidRPr="0095027A" w:rsidRDefault="000A13A2" w:rsidP="000A13A2">
      <w:pPr>
        <w:spacing w:line="480" w:lineRule="auto"/>
        <w:rPr>
          <w:rFonts w:ascii="Arial" w:hAnsi="Arial" w:cs="Arial"/>
          <w:b/>
          <w:bCs/>
          <w:color w:val="000000" w:themeColor="text1"/>
          <w:sz w:val="16"/>
          <w:szCs w:val="16"/>
          <w:lang w:val="en-US"/>
        </w:rPr>
      </w:pPr>
      <w:r w:rsidRPr="0095027A">
        <w:rPr>
          <w:rFonts w:ascii="Arial" w:hAnsi="Arial" w:cs="Arial"/>
          <w:b/>
          <w:bCs/>
          <w:color w:val="000000" w:themeColor="text1"/>
          <w:sz w:val="16"/>
          <w:szCs w:val="16"/>
          <w:lang w:val="en-US"/>
        </w:rPr>
        <w:t>IRSL measurement equipment</w:t>
      </w:r>
    </w:p>
    <w:p w14:paraId="7F2191F0" w14:textId="77777777" w:rsidR="000A13A2" w:rsidRPr="0095027A" w:rsidRDefault="000A13A2" w:rsidP="000A13A2">
      <w:pPr>
        <w:spacing w:line="480" w:lineRule="auto"/>
        <w:rPr>
          <w:rFonts w:ascii="Arial" w:hAnsi="Arial" w:cs="Arial"/>
          <w:color w:val="000000" w:themeColor="text1"/>
          <w:sz w:val="16"/>
          <w:szCs w:val="16"/>
          <w:lang w:val="en-US"/>
        </w:rPr>
      </w:pPr>
    </w:p>
    <w:p w14:paraId="45E8A238" w14:textId="77777777" w:rsidR="000A13A2" w:rsidRPr="0095027A" w:rsidRDefault="000A13A2" w:rsidP="000A13A2">
      <w:pPr>
        <w:spacing w:line="480" w:lineRule="auto"/>
        <w:rPr>
          <w:rFonts w:ascii="Arial" w:hAnsi="Arial" w:cs="Arial"/>
          <w:color w:val="000000" w:themeColor="text1"/>
          <w:sz w:val="16"/>
          <w:szCs w:val="16"/>
          <w:lang w:val="en-US"/>
        </w:rPr>
      </w:pPr>
      <w:r w:rsidRPr="0095027A">
        <w:rPr>
          <w:rFonts w:ascii="Arial" w:hAnsi="Arial" w:cs="Arial"/>
          <w:color w:val="000000" w:themeColor="text1"/>
          <w:sz w:val="16"/>
          <w:szCs w:val="16"/>
          <w:lang w:val="en-US"/>
        </w:rPr>
        <w:t xml:space="preserve">IRSL was measured with a </w:t>
      </w:r>
      <w:proofErr w:type="spellStart"/>
      <w:r w:rsidRPr="0095027A">
        <w:rPr>
          <w:rFonts w:ascii="Arial" w:hAnsi="Arial" w:cs="Arial"/>
          <w:color w:val="000000" w:themeColor="text1"/>
          <w:sz w:val="16"/>
          <w:szCs w:val="16"/>
          <w:lang w:val="en-US"/>
        </w:rPr>
        <w:t>Risø</w:t>
      </w:r>
      <w:proofErr w:type="spellEnd"/>
      <w:r w:rsidRPr="0095027A">
        <w:rPr>
          <w:rFonts w:ascii="Arial" w:hAnsi="Arial" w:cs="Arial"/>
          <w:color w:val="000000" w:themeColor="text1"/>
          <w:sz w:val="16"/>
          <w:szCs w:val="16"/>
          <w:lang w:val="en-US"/>
        </w:rPr>
        <w:t xml:space="preserve"> DA15 TL/OSL reader (featuring a DA20 control unit; </w:t>
      </w:r>
      <w:proofErr w:type="spellStart"/>
      <w:r w:rsidRPr="0095027A">
        <w:rPr>
          <w:rFonts w:ascii="Arial" w:hAnsi="Arial" w:cs="Arial"/>
          <w:color w:val="000000" w:themeColor="text1"/>
          <w:sz w:val="16"/>
          <w:szCs w:val="16"/>
          <w:lang w:val="en-US"/>
        </w:rPr>
        <w:t>Bøtter</w:t>
      </w:r>
      <w:proofErr w:type="spellEnd"/>
      <w:r w:rsidRPr="0095027A">
        <w:rPr>
          <w:rFonts w:ascii="Arial" w:hAnsi="Arial" w:cs="Arial"/>
          <w:color w:val="000000" w:themeColor="text1"/>
          <w:sz w:val="16"/>
          <w:szCs w:val="16"/>
          <w:lang w:val="en-US"/>
        </w:rPr>
        <w:t xml:space="preserve">-Jensen et al., 2003) by stimulation with IR LEDs (875 ± 80 nm; max. 135 </w:t>
      </w:r>
      <w:proofErr w:type="spellStart"/>
      <w:r w:rsidRPr="0095027A">
        <w:rPr>
          <w:rFonts w:ascii="Arial" w:hAnsi="Arial" w:cs="Arial"/>
          <w:color w:val="000000" w:themeColor="text1"/>
          <w:sz w:val="16"/>
          <w:szCs w:val="16"/>
          <w:lang w:val="en-US"/>
        </w:rPr>
        <w:t>mW</w:t>
      </w:r>
      <w:proofErr w:type="spellEnd"/>
      <w:r w:rsidRPr="0095027A">
        <w:rPr>
          <w:rFonts w:ascii="Arial" w:hAnsi="Arial" w:cs="Arial"/>
          <w:color w:val="000000" w:themeColor="text1"/>
          <w:sz w:val="16"/>
          <w:szCs w:val="16"/>
          <w:lang w:val="en-US"/>
        </w:rPr>
        <w:t xml:space="preserve"> cm</w:t>
      </w:r>
      <w:r w:rsidRPr="0095027A">
        <w:rPr>
          <w:rFonts w:ascii="Arial" w:hAnsi="Arial" w:cs="Arial"/>
          <w:color w:val="000000" w:themeColor="text1"/>
          <w:sz w:val="16"/>
          <w:szCs w:val="16"/>
          <w:vertAlign w:val="superscript"/>
          <w:lang w:val="en-US"/>
        </w:rPr>
        <w:t>-2</w:t>
      </w:r>
      <w:r w:rsidRPr="0095027A">
        <w:rPr>
          <w:rFonts w:ascii="Arial" w:hAnsi="Arial" w:cs="Arial"/>
          <w:color w:val="000000" w:themeColor="text1"/>
          <w:sz w:val="16"/>
          <w:szCs w:val="16"/>
          <w:lang w:val="en-US"/>
        </w:rPr>
        <w:t xml:space="preserve">) and signal detection using a Chroma D410/x interference filter (410 ± 20 nm) in front of an EMI 9235QB15 photomultiplier tube. The built-in </w:t>
      </w:r>
      <w:r w:rsidRPr="0095027A">
        <w:rPr>
          <w:rFonts w:ascii="Arial" w:hAnsi="Arial" w:cs="Arial"/>
          <w:color w:val="000000" w:themeColor="text1"/>
          <w:sz w:val="16"/>
          <w:szCs w:val="16"/>
          <w:vertAlign w:val="superscript"/>
          <w:lang w:val="en-US"/>
        </w:rPr>
        <w:t>90</w:t>
      </w:r>
      <w:r w:rsidRPr="0095027A">
        <w:rPr>
          <w:rFonts w:ascii="Arial" w:hAnsi="Arial" w:cs="Arial"/>
          <w:color w:val="000000" w:themeColor="text1"/>
          <w:sz w:val="16"/>
          <w:szCs w:val="16"/>
          <w:lang w:val="en-US"/>
        </w:rPr>
        <w:t>Sr/</w:t>
      </w:r>
      <w:r w:rsidRPr="0095027A">
        <w:rPr>
          <w:rFonts w:ascii="Arial" w:hAnsi="Arial" w:cs="Arial"/>
          <w:color w:val="000000" w:themeColor="text1"/>
          <w:sz w:val="16"/>
          <w:szCs w:val="16"/>
          <w:vertAlign w:val="superscript"/>
          <w:lang w:val="en-US"/>
        </w:rPr>
        <w:t>90</w:t>
      </w:r>
      <w:r w:rsidRPr="0095027A">
        <w:rPr>
          <w:rFonts w:ascii="Arial" w:hAnsi="Arial" w:cs="Arial"/>
          <w:color w:val="000000" w:themeColor="text1"/>
          <w:sz w:val="16"/>
          <w:szCs w:val="16"/>
          <w:lang w:val="en-US"/>
        </w:rPr>
        <w:t xml:space="preserve">Y β-source delivers a dose rate of ~0.122 </w:t>
      </w:r>
      <w:proofErr w:type="spellStart"/>
      <w:r w:rsidRPr="0095027A">
        <w:rPr>
          <w:rFonts w:ascii="Arial" w:hAnsi="Arial" w:cs="Arial"/>
          <w:color w:val="000000" w:themeColor="text1"/>
          <w:sz w:val="16"/>
          <w:szCs w:val="16"/>
          <w:lang w:val="en-US"/>
        </w:rPr>
        <w:t>Gy</w:t>
      </w:r>
      <w:proofErr w:type="spellEnd"/>
      <w:r w:rsidRPr="0095027A">
        <w:rPr>
          <w:rFonts w:ascii="Arial" w:hAnsi="Arial" w:cs="Arial"/>
          <w:color w:val="000000" w:themeColor="text1"/>
          <w:sz w:val="16"/>
          <w:szCs w:val="16"/>
          <w:lang w:val="en-US"/>
        </w:rPr>
        <w:t xml:space="preserve"> s</w:t>
      </w:r>
      <w:r w:rsidRPr="0095027A">
        <w:rPr>
          <w:rFonts w:ascii="Arial" w:hAnsi="Arial" w:cs="Arial"/>
          <w:color w:val="000000" w:themeColor="text1"/>
          <w:sz w:val="16"/>
          <w:szCs w:val="16"/>
          <w:vertAlign w:val="superscript"/>
          <w:lang w:val="en-US"/>
        </w:rPr>
        <w:t>-1</w:t>
      </w:r>
      <w:r w:rsidRPr="0095027A">
        <w:rPr>
          <w:rFonts w:ascii="Arial" w:hAnsi="Arial" w:cs="Arial"/>
          <w:color w:val="000000" w:themeColor="text1"/>
          <w:sz w:val="16"/>
          <w:szCs w:val="16"/>
          <w:lang w:val="en-US"/>
        </w:rPr>
        <w:t xml:space="preserve"> to fine grain samples.</w:t>
      </w:r>
    </w:p>
    <w:p w14:paraId="08A405E7" w14:textId="77777777" w:rsidR="000A13A2" w:rsidRPr="0095027A" w:rsidRDefault="000A13A2" w:rsidP="000A13A2">
      <w:pPr>
        <w:spacing w:line="480" w:lineRule="auto"/>
        <w:rPr>
          <w:rFonts w:ascii="Arial" w:hAnsi="Arial" w:cs="Arial"/>
          <w:b/>
          <w:bCs/>
          <w:color w:val="000000" w:themeColor="text1"/>
          <w:sz w:val="16"/>
          <w:szCs w:val="16"/>
          <w:lang w:val="en-US"/>
        </w:rPr>
      </w:pPr>
    </w:p>
    <w:p w14:paraId="1783344E" w14:textId="77777777" w:rsidR="000A13A2" w:rsidRPr="0095027A" w:rsidRDefault="000A13A2" w:rsidP="000A13A2">
      <w:pPr>
        <w:spacing w:line="480" w:lineRule="auto"/>
        <w:rPr>
          <w:rFonts w:ascii="Arial" w:hAnsi="Arial" w:cs="Arial"/>
          <w:b/>
          <w:bCs/>
          <w:color w:val="000000" w:themeColor="text1"/>
          <w:sz w:val="16"/>
          <w:szCs w:val="16"/>
          <w:lang w:val="en-US"/>
        </w:rPr>
      </w:pPr>
      <w:r w:rsidRPr="0095027A">
        <w:rPr>
          <w:rFonts w:ascii="Arial" w:hAnsi="Arial" w:cs="Arial"/>
          <w:b/>
          <w:bCs/>
          <w:color w:val="000000" w:themeColor="text1"/>
          <w:sz w:val="16"/>
          <w:szCs w:val="16"/>
          <w:lang w:val="en-US"/>
        </w:rPr>
        <w:t>Dose recovery and fading tests</w:t>
      </w:r>
    </w:p>
    <w:p w14:paraId="1F7A4F75" w14:textId="77777777" w:rsidR="000A13A2" w:rsidRPr="0095027A" w:rsidRDefault="000A13A2" w:rsidP="000A13A2">
      <w:pPr>
        <w:spacing w:line="480" w:lineRule="auto"/>
        <w:rPr>
          <w:rFonts w:ascii="Arial" w:hAnsi="Arial" w:cs="Arial"/>
          <w:color w:val="000000" w:themeColor="text1"/>
          <w:sz w:val="16"/>
          <w:szCs w:val="16"/>
          <w:lang w:val="en-US"/>
        </w:rPr>
      </w:pPr>
    </w:p>
    <w:p w14:paraId="3246FB0B" w14:textId="77777777" w:rsidR="000A13A2" w:rsidRPr="0095027A" w:rsidRDefault="000A13A2" w:rsidP="000A13A2">
      <w:pPr>
        <w:spacing w:line="480" w:lineRule="auto"/>
        <w:rPr>
          <w:rFonts w:ascii="Arial" w:hAnsi="Arial" w:cs="Arial"/>
          <w:color w:val="000000" w:themeColor="text1"/>
          <w:sz w:val="16"/>
          <w:szCs w:val="16"/>
          <w:lang w:val="en-US"/>
        </w:rPr>
      </w:pPr>
      <w:r w:rsidRPr="0095027A">
        <w:rPr>
          <w:rFonts w:ascii="Arial" w:hAnsi="Arial" w:cs="Arial"/>
          <w:color w:val="000000" w:themeColor="text1"/>
          <w:sz w:val="16"/>
          <w:szCs w:val="16"/>
          <w:lang w:val="en-US"/>
        </w:rPr>
        <w:t xml:space="preserve">A dose recovery test (DRT) was carried out for sample BT1709. To this aim, several aliquots of this sample were bleached for &gt;3 h using an Osram </w:t>
      </w:r>
      <w:proofErr w:type="spellStart"/>
      <w:r w:rsidRPr="0095027A">
        <w:rPr>
          <w:rFonts w:ascii="Arial" w:hAnsi="Arial" w:cs="Arial"/>
          <w:color w:val="000000" w:themeColor="text1"/>
          <w:sz w:val="16"/>
          <w:szCs w:val="16"/>
          <w:lang w:val="en-US"/>
        </w:rPr>
        <w:t>Duluxstar</w:t>
      </w:r>
      <w:proofErr w:type="spellEnd"/>
      <w:r w:rsidRPr="0095027A">
        <w:rPr>
          <w:rFonts w:ascii="Arial" w:hAnsi="Arial" w:cs="Arial"/>
          <w:color w:val="000000" w:themeColor="text1"/>
          <w:sz w:val="16"/>
          <w:szCs w:val="16"/>
          <w:lang w:val="en-US"/>
        </w:rPr>
        <w:t xml:space="preserve"> lamp and then irradiated with a dose similar to the expected </w:t>
      </w:r>
      <w:r w:rsidRPr="0095027A">
        <w:rPr>
          <w:rFonts w:ascii="Arial" w:hAnsi="Arial" w:cs="Arial"/>
          <w:i/>
          <w:color w:val="000000" w:themeColor="text1"/>
          <w:sz w:val="16"/>
          <w:szCs w:val="16"/>
          <w:lang w:val="en-US"/>
        </w:rPr>
        <w:t>D</w:t>
      </w:r>
      <w:r w:rsidRPr="0095027A">
        <w:rPr>
          <w:rFonts w:ascii="Arial" w:hAnsi="Arial" w:cs="Arial"/>
          <w:color w:val="000000" w:themeColor="text1"/>
          <w:sz w:val="16"/>
          <w:szCs w:val="16"/>
          <w:vertAlign w:val="subscript"/>
          <w:lang w:val="en-US"/>
        </w:rPr>
        <w:t>e</w:t>
      </w:r>
      <w:r w:rsidRPr="0095027A">
        <w:rPr>
          <w:rFonts w:ascii="Arial" w:hAnsi="Arial" w:cs="Arial"/>
          <w:color w:val="000000" w:themeColor="text1"/>
          <w:sz w:val="16"/>
          <w:szCs w:val="16"/>
          <w:lang w:val="en-US"/>
        </w:rPr>
        <w:t xml:space="preserve"> (~40 </w:t>
      </w:r>
      <w:proofErr w:type="spellStart"/>
      <w:r w:rsidRPr="0095027A">
        <w:rPr>
          <w:rFonts w:ascii="Arial" w:hAnsi="Arial" w:cs="Arial"/>
          <w:color w:val="000000" w:themeColor="text1"/>
          <w:sz w:val="16"/>
          <w:szCs w:val="16"/>
          <w:lang w:val="en-US"/>
        </w:rPr>
        <w:t>Gy</w:t>
      </w:r>
      <w:proofErr w:type="spellEnd"/>
      <w:r w:rsidRPr="0095027A">
        <w:rPr>
          <w:rFonts w:ascii="Arial" w:hAnsi="Arial" w:cs="Arial"/>
          <w:color w:val="000000" w:themeColor="text1"/>
          <w:sz w:val="16"/>
          <w:szCs w:val="16"/>
          <w:lang w:val="en-US"/>
        </w:rPr>
        <w:t xml:space="preserve">). A fading test was performed for the same sample to </w:t>
      </w:r>
      <w:bookmarkStart w:id="6" w:name="OLE_LINK9"/>
      <w:bookmarkStart w:id="7" w:name="OLE_LINK10"/>
      <w:r w:rsidRPr="0095027A">
        <w:rPr>
          <w:rFonts w:ascii="Arial" w:hAnsi="Arial" w:cs="Arial"/>
          <w:color w:val="000000" w:themeColor="text1"/>
          <w:sz w:val="16"/>
          <w:szCs w:val="16"/>
          <w:lang w:val="en-US"/>
        </w:rPr>
        <w:t xml:space="preserve">assess the impact of potential anomalous fading on the </w:t>
      </w:r>
      <w:r w:rsidRPr="0095027A">
        <w:rPr>
          <w:rFonts w:ascii="Arial" w:hAnsi="Arial" w:cs="Arial"/>
          <w:i/>
          <w:color w:val="000000" w:themeColor="text1"/>
          <w:sz w:val="16"/>
          <w:szCs w:val="16"/>
          <w:lang w:val="en-US"/>
        </w:rPr>
        <w:t>D</w:t>
      </w:r>
      <w:r w:rsidRPr="0095027A">
        <w:rPr>
          <w:rFonts w:ascii="Arial" w:hAnsi="Arial" w:cs="Arial"/>
          <w:color w:val="000000" w:themeColor="text1"/>
          <w:sz w:val="16"/>
          <w:szCs w:val="16"/>
          <w:vertAlign w:val="subscript"/>
          <w:lang w:val="en-US"/>
        </w:rPr>
        <w:t>e</w:t>
      </w:r>
      <w:r w:rsidRPr="0095027A">
        <w:rPr>
          <w:rFonts w:ascii="Arial" w:hAnsi="Arial" w:cs="Arial"/>
          <w:color w:val="000000" w:themeColor="text1"/>
          <w:sz w:val="16"/>
          <w:szCs w:val="16"/>
          <w:lang w:val="en-US"/>
        </w:rPr>
        <w:t xml:space="preserve"> results</w:t>
      </w:r>
      <w:bookmarkEnd w:id="6"/>
      <w:bookmarkEnd w:id="7"/>
      <w:r w:rsidRPr="0095027A">
        <w:rPr>
          <w:rFonts w:ascii="Arial" w:hAnsi="Arial" w:cs="Arial"/>
          <w:color w:val="000000" w:themeColor="text1"/>
          <w:sz w:val="16"/>
          <w:szCs w:val="16"/>
          <w:lang w:val="en-US"/>
        </w:rPr>
        <w:t xml:space="preserve">. This test consisted of repeatedly irradiating the sample with a dose similar to the </w:t>
      </w:r>
      <w:r w:rsidRPr="0095027A">
        <w:rPr>
          <w:rFonts w:ascii="Arial" w:hAnsi="Arial" w:cs="Arial"/>
          <w:i/>
          <w:color w:val="000000" w:themeColor="text1"/>
          <w:sz w:val="16"/>
          <w:szCs w:val="16"/>
          <w:lang w:val="en-US"/>
        </w:rPr>
        <w:t>D</w:t>
      </w:r>
      <w:r w:rsidRPr="0095027A">
        <w:rPr>
          <w:rFonts w:ascii="Arial" w:hAnsi="Arial" w:cs="Arial"/>
          <w:color w:val="000000" w:themeColor="text1"/>
          <w:sz w:val="16"/>
          <w:szCs w:val="16"/>
          <w:vertAlign w:val="subscript"/>
          <w:lang w:val="en-US"/>
        </w:rPr>
        <w:t>e</w:t>
      </w:r>
      <w:r w:rsidRPr="0095027A">
        <w:rPr>
          <w:rFonts w:ascii="Arial" w:hAnsi="Arial" w:cs="Arial"/>
          <w:color w:val="000000" w:themeColor="text1"/>
          <w:sz w:val="16"/>
          <w:szCs w:val="16"/>
          <w:lang w:val="en-US"/>
        </w:rPr>
        <w:t xml:space="preserve"> and stepwise increasing the delay times between irradiation and measurement, while always keeping the 20 min delay as inherent feature of the protocol. The sensitivity-corrected IRSL intensities (</w:t>
      </w:r>
      <w:r w:rsidRPr="0095027A">
        <w:rPr>
          <w:rFonts w:ascii="Arial" w:hAnsi="Arial" w:cs="Arial"/>
          <w:i/>
          <w:color w:val="000000" w:themeColor="text1"/>
          <w:sz w:val="16"/>
          <w:szCs w:val="16"/>
          <w:lang w:val="en-US"/>
        </w:rPr>
        <w:t>L</w:t>
      </w:r>
      <w:r w:rsidRPr="0095027A">
        <w:rPr>
          <w:rFonts w:ascii="Arial" w:hAnsi="Arial" w:cs="Arial"/>
          <w:color w:val="000000" w:themeColor="text1"/>
          <w:sz w:val="16"/>
          <w:szCs w:val="16"/>
          <w:vertAlign w:val="subscript"/>
          <w:lang w:val="en-US"/>
        </w:rPr>
        <w:t>x</w:t>
      </w:r>
      <w:r w:rsidRPr="0095027A">
        <w:rPr>
          <w:rFonts w:ascii="Arial" w:hAnsi="Arial" w:cs="Arial"/>
          <w:color w:val="000000" w:themeColor="text1"/>
          <w:sz w:val="16"/>
          <w:szCs w:val="16"/>
          <w:lang w:val="en-US"/>
        </w:rPr>
        <w:t>/</w:t>
      </w:r>
      <w:r w:rsidRPr="0095027A">
        <w:rPr>
          <w:rFonts w:ascii="Arial" w:hAnsi="Arial" w:cs="Arial"/>
          <w:i/>
          <w:color w:val="000000" w:themeColor="text1"/>
          <w:sz w:val="16"/>
          <w:szCs w:val="16"/>
          <w:lang w:val="en-US"/>
        </w:rPr>
        <w:t>T</w:t>
      </w:r>
      <w:r w:rsidRPr="0095027A">
        <w:rPr>
          <w:rFonts w:ascii="Arial" w:hAnsi="Arial" w:cs="Arial"/>
          <w:color w:val="000000" w:themeColor="text1"/>
          <w:sz w:val="16"/>
          <w:szCs w:val="16"/>
          <w:vertAlign w:val="subscript"/>
          <w:lang w:val="en-US"/>
        </w:rPr>
        <w:t>x</w:t>
      </w:r>
      <w:r w:rsidRPr="0095027A">
        <w:rPr>
          <w:rFonts w:ascii="Arial" w:hAnsi="Arial" w:cs="Arial"/>
          <w:color w:val="000000" w:themeColor="text1"/>
          <w:sz w:val="16"/>
          <w:szCs w:val="16"/>
          <w:lang w:val="en-US"/>
        </w:rPr>
        <w:t xml:space="preserve">) were then plotted versus the additional delay time prior to measurement to obtain the fading rate in terms of the </w:t>
      </w:r>
      <w:r w:rsidRPr="0095027A">
        <w:rPr>
          <w:rFonts w:ascii="Arial" w:hAnsi="Arial" w:cs="Arial"/>
          <w:i/>
          <w:color w:val="000000" w:themeColor="text1"/>
          <w:sz w:val="16"/>
          <w:szCs w:val="16"/>
          <w:lang w:val="en-US"/>
        </w:rPr>
        <w:t>g</w:t>
      </w:r>
      <w:r w:rsidRPr="0095027A">
        <w:rPr>
          <w:rFonts w:ascii="Arial" w:hAnsi="Arial" w:cs="Arial"/>
          <w:color w:val="000000" w:themeColor="text1"/>
          <w:sz w:val="16"/>
          <w:szCs w:val="16"/>
          <w:lang w:val="en-US"/>
        </w:rPr>
        <w:t xml:space="preserve">-value (Aitken, 1985) by utilizing the function </w:t>
      </w:r>
      <w:proofErr w:type="spellStart"/>
      <w:r w:rsidRPr="0095027A">
        <w:rPr>
          <w:rFonts w:ascii="Arial" w:hAnsi="Arial" w:cs="Arial"/>
          <w:color w:val="000000" w:themeColor="text1"/>
          <w:sz w:val="16"/>
          <w:szCs w:val="16"/>
          <w:lang w:val="en-US"/>
        </w:rPr>
        <w:t>analyse_FadingMeasurement</w:t>
      </w:r>
      <w:proofErr w:type="spellEnd"/>
      <w:r w:rsidRPr="0095027A">
        <w:rPr>
          <w:rFonts w:ascii="Arial" w:hAnsi="Arial" w:cs="Arial"/>
          <w:color w:val="000000" w:themeColor="text1"/>
          <w:sz w:val="16"/>
          <w:szCs w:val="16"/>
          <w:lang w:val="en-US"/>
        </w:rPr>
        <w:t xml:space="preserve"> (Kreutzer and </w:t>
      </w:r>
      <w:proofErr w:type="spellStart"/>
      <w:r w:rsidRPr="0095027A">
        <w:rPr>
          <w:rFonts w:ascii="Arial" w:hAnsi="Arial" w:cs="Arial"/>
          <w:color w:val="000000" w:themeColor="text1"/>
          <w:sz w:val="16"/>
          <w:szCs w:val="16"/>
          <w:lang w:val="en-US"/>
        </w:rPr>
        <w:t>Burow</w:t>
      </w:r>
      <w:proofErr w:type="spellEnd"/>
      <w:r w:rsidRPr="0095027A">
        <w:rPr>
          <w:rFonts w:ascii="Arial" w:hAnsi="Arial" w:cs="Arial"/>
          <w:color w:val="000000" w:themeColor="text1"/>
          <w:sz w:val="16"/>
          <w:szCs w:val="16"/>
          <w:lang w:val="en-US"/>
        </w:rPr>
        <w:t xml:space="preserve">, 2019) contained in the </w:t>
      </w:r>
      <w:r w:rsidRPr="0095027A">
        <w:rPr>
          <w:rFonts w:ascii="Arial" w:hAnsi="Arial" w:cs="Arial"/>
          <w:b/>
          <w:color w:val="000000" w:themeColor="text1"/>
          <w:sz w:val="16"/>
          <w:szCs w:val="16"/>
          <w:lang w:val="en-US"/>
        </w:rPr>
        <w:t>R</w:t>
      </w:r>
      <w:r w:rsidRPr="0095027A">
        <w:rPr>
          <w:rFonts w:ascii="Arial" w:hAnsi="Arial" w:cs="Arial"/>
          <w:color w:val="000000" w:themeColor="text1"/>
          <w:sz w:val="16"/>
          <w:szCs w:val="16"/>
          <w:lang w:val="en-US"/>
        </w:rPr>
        <w:t xml:space="preserve"> package 'Luminescence' (Kreutzer et al., 2019, 2012).</w:t>
      </w:r>
    </w:p>
    <w:p w14:paraId="6819B008" w14:textId="77777777" w:rsidR="000A13A2" w:rsidRPr="0095027A" w:rsidRDefault="000A13A2" w:rsidP="000A13A2">
      <w:pPr>
        <w:spacing w:line="480" w:lineRule="auto"/>
        <w:rPr>
          <w:rFonts w:ascii="Arial" w:hAnsi="Arial" w:cs="Arial"/>
          <w:color w:val="000000" w:themeColor="text1"/>
          <w:sz w:val="16"/>
          <w:szCs w:val="16"/>
          <w:lang w:val="en-US"/>
        </w:rPr>
      </w:pPr>
    </w:p>
    <w:p w14:paraId="530C0E21" w14:textId="77777777" w:rsidR="00DB0FFD" w:rsidRPr="000A13A2" w:rsidRDefault="00DB0FFD">
      <w:pPr>
        <w:rPr>
          <w:lang w:val="en-US"/>
        </w:rPr>
      </w:pPr>
    </w:p>
    <w:sectPr w:rsidR="00DB0FFD" w:rsidRPr="000A13A2" w:rsidSect="00CB22DA">
      <w:pgSz w:w="11900" w:h="16840"/>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3A2"/>
    <w:rsid w:val="000A13A2"/>
    <w:rsid w:val="00A150D9"/>
    <w:rsid w:val="00CB22DA"/>
    <w:rsid w:val="00DB0F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56F2734"/>
  <w15:chartTrackingRefBased/>
  <w15:docId w15:val="{E3C0F92C-6D73-864C-ABB7-187177E3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13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A13A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A13A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734A5EFFC9BA345BE72BCE893EBB5DB"/>
        <w:category>
          <w:name w:val="Allgemein"/>
          <w:gallery w:val="placeholder"/>
        </w:category>
        <w:types>
          <w:type w:val="bbPlcHdr"/>
        </w:types>
        <w:behaviors>
          <w:behavior w:val="content"/>
        </w:behaviors>
        <w:guid w:val="{B6425E39-96CA-9E42-867F-D1C5E62F56CD}"/>
      </w:docPartPr>
      <w:docPartBody>
        <w:p w:rsidR="00000000" w:rsidRDefault="00DC32F9" w:rsidP="00DC32F9">
          <w:pPr>
            <w:pStyle w:val="7734A5EFFC9BA345BE72BCE893EBB5DB"/>
          </w:pPr>
          <w:r w:rsidRPr="005F7CC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2F9"/>
    <w:rsid w:val="00667AE1"/>
    <w:rsid w:val="00DC32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C32F9"/>
    <w:rPr>
      <w:color w:val="808080"/>
    </w:rPr>
  </w:style>
  <w:style w:type="paragraph" w:customStyle="1" w:styleId="7734A5EFFC9BA345BE72BCE893EBB5DB">
    <w:name w:val="7734A5EFFC9BA345BE72BCE893EBB5DB"/>
    <w:rsid w:val="00DC32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4398</Characters>
  <Application>Microsoft Office Word</Application>
  <DocSecurity>0</DocSecurity>
  <Lines>36</Lines>
  <Paragraphs>10</Paragraphs>
  <ScaleCrop>false</ScaleCrop>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Hartmut Heinrich</dc:creator>
  <cp:keywords/>
  <dc:description/>
  <cp:lastModifiedBy>Hartmut Heinrich</cp:lastModifiedBy>
  <cp:revision>1</cp:revision>
  <dcterms:created xsi:type="dcterms:W3CDTF">2020-09-05T13:34:00Z</dcterms:created>
  <dcterms:modified xsi:type="dcterms:W3CDTF">2020-09-05T13:35:00Z</dcterms:modified>
</cp:coreProperties>
</file>