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s>
        <w:spacing w:line="480" w:lineRule="auto"/>
        <w:jc w:val="center"/>
        <w:rPr/>
      </w:pPr>
      <w:r w:rsidDel="00000000" w:rsidR="00000000" w:rsidRPr="00000000">
        <w:rPr>
          <w:rtl w:val="0"/>
        </w:rPr>
        <w:t xml:space="preserve">Supplemental Materials</w:t>
      </w:r>
    </w:p>
    <w:p w:rsidR="00000000" w:rsidDel="00000000" w:rsidP="00000000" w:rsidRDefault="00000000" w:rsidRPr="00000000" w14:paraId="00000002">
      <w:pPr>
        <w:tabs>
          <w:tab w:val="left" w:pos="720"/>
        </w:tabs>
        <w:spacing w:line="480" w:lineRule="auto"/>
        <w:ind w:firstLine="720"/>
        <w:rPr>
          <w:color w:val="2a2a2a"/>
          <w:sz w:val="23"/>
          <w:szCs w:val="23"/>
          <w:highlight w:val="white"/>
        </w:rPr>
      </w:pPr>
      <w:r w:rsidDel="00000000" w:rsidR="00000000" w:rsidRPr="00000000">
        <w:rPr>
          <w:i w:val="1"/>
          <w:color w:val="2a2a2a"/>
          <w:sz w:val="23"/>
          <w:szCs w:val="23"/>
          <w:highlight w:val="white"/>
          <w:rtl w:val="0"/>
        </w:rPr>
        <w:t xml:space="preserve">Data quality</w:t>
      </w:r>
      <w:r w:rsidDel="00000000" w:rsidR="00000000" w:rsidRPr="00000000">
        <w:rPr>
          <w:color w:val="2a2a2a"/>
          <w:sz w:val="23"/>
          <w:szCs w:val="23"/>
          <w:highlight w:val="white"/>
          <w:rtl w:val="0"/>
        </w:rPr>
        <w:t xml:space="preserve">. We undertook a series of analyses to ensure that our methods were appropriate for the questions that were being asked. </w:t>
      </w:r>
    </w:p>
    <w:p w:rsidR="00000000" w:rsidDel="00000000" w:rsidP="00000000" w:rsidRDefault="00000000" w:rsidRPr="00000000" w14:paraId="00000003">
      <w:pPr>
        <w:tabs>
          <w:tab w:val="left" w:pos="720"/>
        </w:tabs>
        <w:spacing w:line="480" w:lineRule="auto"/>
        <w:ind w:firstLine="720"/>
        <w:rPr>
          <w:color w:val="2a2a2a"/>
          <w:sz w:val="23"/>
          <w:szCs w:val="23"/>
          <w:highlight w:val="white"/>
        </w:rPr>
      </w:pPr>
      <w:r w:rsidDel="00000000" w:rsidR="00000000" w:rsidRPr="00000000">
        <w:rPr>
          <w:color w:val="2a2a2a"/>
          <w:sz w:val="23"/>
          <w:szCs w:val="23"/>
          <w:highlight w:val="white"/>
          <w:rtl w:val="0"/>
        </w:rPr>
        <w:t xml:space="preserve">1. Impact of diagenesis on micromilled samples. Sample loss was a major concern due to the small size (~1mg) of micromilled enamel samples. For this reason, we chose to forego traditional pretreatment of these samples where there was the possibility of sample loss (or reduction) due to handling. Instead, we analyzed paired treated/untreated bulk enamel samples to assess the impact of diagenesis on isotopic results (SM Table 2). Untreated bulk enamel samples were consistently &lt;1‰ different from enamel samples treated with 0.1N acetic acid and 2.5% NaOCl. Therefore we expect that diagenetic alteration of enamel carbonate to have little impact on δ13C, δ18O, and 87Sr/86Sr results. </w:t>
      </w:r>
    </w:p>
    <w:p w:rsidR="00000000" w:rsidDel="00000000" w:rsidP="00000000" w:rsidRDefault="00000000" w:rsidRPr="00000000" w14:paraId="00000004">
      <w:pPr>
        <w:tabs>
          <w:tab w:val="left" w:pos="720"/>
        </w:tabs>
        <w:spacing w:line="480" w:lineRule="auto"/>
        <w:ind w:firstLine="720"/>
        <w:rPr>
          <w:color w:val="2a2a2a"/>
          <w:sz w:val="23"/>
          <w:szCs w:val="23"/>
          <w:highlight w:val="white"/>
        </w:rPr>
      </w:pPr>
      <w:r w:rsidDel="00000000" w:rsidR="00000000" w:rsidRPr="00000000">
        <w:rPr>
          <w:color w:val="2a2a2a"/>
          <w:sz w:val="23"/>
          <w:szCs w:val="23"/>
          <w:highlight w:val="white"/>
          <w:rtl w:val="0"/>
        </w:rPr>
        <w:t xml:space="preserve">SM Table 2. Results of paired, NaOCl+Acetic and Water only samples.</w:t>
      </w:r>
    </w:p>
    <w:tbl>
      <w:tblPr>
        <w:tblStyle w:val="Table1"/>
        <w:tblW w:w="91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1125"/>
        <w:gridCol w:w="1410"/>
        <w:gridCol w:w="1215"/>
        <w:gridCol w:w="1410"/>
        <w:gridCol w:w="1005"/>
        <w:gridCol w:w="975"/>
        <w:tblGridChange w:id="0">
          <w:tblGrid>
            <w:gridCol w:w="2055"/>
            <w:gridCol w:w="1125"/>
            <w:gridCol w:w="1410"/>
            <w:gridCol w:w="1215"/>
            <w:gridCol w:w="1410"/>
            <w:gridCol w:w="1005"/>
            <w:gridCol w:w="975"/>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color w:val="2a2a2a"/>
                <w:sz w:val="23"/>
                <w:szCs w:val="23"/>
                <w:highlight w:val="whit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color w:val="2a2a2a"/>
                <w:sz w:val="23"/>
                <w:szCs w:val="23"/>
                <w:highlight w:val="white"/>
              </w:rPr>
            </w:pPr>
            <w:r w:rsidDel="00000000" w:rsidR="00000000" w:rsidRPr="00000000">
              <w:rPr>
                <w:color w:val="2a2a2a"/>
                <w:sz w:val="23"/>
                <w:szCs w:val="23"/>
                <w:highlight w:val="white"/>
                <w:rtl w:val="0"/>
              </w:rPr>
              <w:t xml:space="preserve">NaOCl+Acetic</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color w:val="2a2a2a"/>
                <w:sz w:val="23"/>
                <w:szCs w:val="23"/>
                <w:highlight w:val="white"/>
              </w:rPr>
            </w:pPr>
            <w:r w:rsidDel="00000000" w:rsidR="00000000" w:rsidRPr="00000000">
              <w:rPr>
                <w:color w:val="2a2a2a"/>
                <w:sz w:val="23"/>
                <w:szCs w:val="23"/>
                <w:highlight w:val="white"/>
                <w:rtl w:val="0"/>
              </w:rPr>
              <w:t xml:space="preserve">Water only</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color w:val="2a2a2a"/>
                <w:sz w:val="23"/>
                <w:szCs w:val="23"/>
                <w:highlight w:val="white"/>
              </w:rPr>
            </w:pPr>
            <w:r w:rsidDel="00000000" w:rsidR="00000000" w:rsidRPr="00000000">
              <w:rPr>
                <w:color w:val="2a2a2a"/>
                <w:sz w:val="23"/>
                <w:szCs w:val="23"/>
                <w:highlight w:val="white"/>
                <w:rtl w:val="0"/>
              </w:rPr>
              <w:t xml:space="preserve">Difference</w:t>
            </w:r>
          </w:p>
        </w:tc>
      </w:tr>
      <w:tr>
        <w:trPr>
          <w:trHeight w:val="4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color w:val="2a2a2a"/>
                <w:sz w:val="23"/>
                <w:szCs w:val="23"/>
                <w:highlight w:val="white"/>
              </w:rPr>
            </w:pPr>
            <w:r w:rsidDel="00000000" w:rsidR="00000000" w:rsidRPr="00000000">
              <w:rPr>
                <w:color w:val="2a2a2a"/>
                <w:sz w:val="23"/>
                <w:szCs w:val="23"/>
                <w:highlight w:val="white"/>
                <w:rtl w:val="0"/>
              </w:rPr>
              <w:t xml:space="preserve">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tabs>
                <w:tab w:val="left" w:pos="720"/>
              </w:tabs>
              <w:spacing w:line="240" w:lineRule="auto"/>
              <w:ind w:left="0" w:firstLine="0"/>
              <w:rPr>
                <w:color w:val="2a2a2a"/>
                <w:sz w:val="23"/>
                <w:szCs w:val="23"/>
                <w:highlight w:val="white"/>
              </w:rPr>
            </w:pPr>
            <w:r w:rsidDel="00000000" w:rsidR="00000000" w:rsidRPr="00000000">
              <w:rPr>
                <w:color w:val="2a2a2a"/>
                <w:sz w:val="23"/>
                <w:szCs w:val="23"/>
                <w:highlight w:val="white"/>
                <w:rtl w:val="0"/>
              </w:rPr>
              <w:t xml:space="preserve">δ13C (VPDB)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tabs>
                <w:tab w:val="left" w:pos="720"/>
              </w:tabs>
              <w:spacing w:line="240" w:lineRule="auto"/>
              <w:ind w:left="0" w:firstLine="0"/>
              <w:rPr>
                <w:color w:val="2a2a2a"/>
                <w:sz w:val="23"/>
                <w:szCs w:val="23"/>
                <w:highlight w:val="white"/>
              </w:rPr>
            </w:pPr>
            <w:r w:rsidDel="00000000" w:rsidR="00000000" w:rsidRPr="00000000">
              <w:rPr>
                <w:color w:val="2a2a2a"/>
                <w:sz w:val="23"/>
                <w:szCs w:val="23"/>
                <w:highlight w:val="white"/>
                <w:rtl w:val="0"/>
              </w:rPr>
              <w:t xml:space="preserve">δ18O (VSMOW)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tabs>
                <w:tab w:val="left" w:pos="720"/>
              </w:tabs>
              <w:spacing w:line="240" w:lineRule="auto"/>
              <w:rPr>
                <w:color w:val="2a2a2a"/>
                <w:sz w:val="23"/>
                <w:szCs w:val="23"/>
                <w:highlight w:val="white"/>
              </w:rPr>
            </w:pPr>
            <w:r w:rsidDel="00000000" w:rsidR="00000000" w:rsidRPr="00000000">
              <w:rPr>
                <w:color w:val="2a2a2a"/>
                <w:sz w:val="23"/>
                <w:szCs w:val="23"/>
                <w:highlight w:val="white"/>
                <w:rtl w:val="0"/>
              </w:rPr>
              <w:t xml:space="preserve">δ13C (VPDB)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tabs>
                <w:tab w:val="left" w:pos="720"/>
              </w:tabs>
              <w:spacing w:line="240" w:lineRule="auto"/>
              <w:rPr>
                <w:color w:val="2a2a2a"/>
                <w:sz w:val="23"/>
                <w:szCs w:val="23"/>
                <w:highlight w:val="white"/>
              </w:rPr>
            </w:pPr>
            <w:r w:rsidDel="00000000" w:rsidR="00000000" w:rsidRPr="00000000">
              <w:rPr>
                <w:color w:val="2a2a2a"/>
                <w:sz w:val="23"/>
                <w:szCs w:val="23"/>
                <w:highlight w:val="white"/>
                <w:rtl w:val="0"/>
              </w:rPr>
              <w:t xml:space="preserve">δ18O (VSMOW)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color w:val="2a2a2a"/>
                <w:sz w:val="23"/>
                <w:szCs w:val="23"/>
                <w:highlight w:val="white"/>
              </w:rPr>
            </w:pPr>
            <w:r w:rsidDel="00000000" w:rsidR="00000000" w:rsidRPr="00000000">
              <w:rPr>
                <w:color w:val="2a2a2a"/>
                <w:sz w:val="23"/>
                <w:szCs w:val="23"/>
                <w:highlight w:val="white"/>
                <w:rtl w:val="0"/>
              </w:rPr>
              <w:t xml:space="preserve">d13C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color w:val="2a2a2a"/>
                <w:sz w:val="23"/>
                <w:szCs w:val="23"/>
                <w:highlight w:val="white"/>
              </w:rPr>
            </w:pPr>
            <w:r w:rsidDel="00000000" w:rsidR="00000000" w:rsidRPr="00000000">
              <w:rPr>
                <w:color w:val="2a2a2a"/>
                <w:sz w:val="23"/>
                <w:szCs w:val="23"/>
                <w:highlight w:val="white"/>
                <w:rtl w:val="0"/>
              </w:rPr>
              <w:t xml:space="preserve">d18O</w:t>
            </w:r>
          </w:p>
        </w:tc>
      </w:tr>
      <w:tr>
        <w:trPr>
          <w:trHeight w:val="4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color w:val="2a2a2a"/>
                <w:sz w:val="23"/>
                <w:szCs w:val="23"/>
                <w:highlight w:val="white"/>
              </w:rPr>
            </w:pPr>
            <w:r w:rsidDel="00000000" w:rsidR="00000000" w:rsidRPr="00000000">
              <w:rPr>
                <w:color w:val="2a2a2a"/>
                <w:sz w:val="23"/>
                <w:szCs w:val="23"/>
                <w:highlight w:val="white"/>
                <w:rtl w:val="0"/>
              </w:rPr>
              <w:t xml:space="preserve">64JS73, sample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color w:val="2a2a2a"/>
                <w:sz w:val="23"/>
                <w:szCs w:val="23"/>
                <w:highlight w:val="white"/>
              </w:rPr>
            </w:pPr>
            <w:r w:rsidDel="00000000" w:rsidR="00000000" w:rsidRPr="00000000">
              <w:rPr>
                <w:color w:val="2a2a2a"/>
                <w:sz w:val="23"/>
                <w:szCs w:val="23"/>
                <w:highlight w:val="white"/>
                <w:rtl w:val="0"/>
              </w:rPr>
              <w:t xml:space="preserve">-0.25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color w:val="2a2a2a"/>
                <w:sz w:val="23"/>
                <w:szCs w:val="23"/>
                <w:highlight w:val="white"/>
              </w:rPr>
            </w:pPr>
            <w:r w:rsidDel="00000000" w:rsidR="00000000" w:rsidRPr="00000000">
              <w:rPr>
                <w:color w:val="2a2a2a"/>
                <w:sz w:val="23"/>
                <w:szCs w:val="23"/>
                <w:highlight w:val="white"/>
                <w:rtl w:val="0"/>
              </w:rPr>
              <w:t xml:space="preserve">27.65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color w:val="2a2a2a"/>
                <w:sz w:val="23"/>
                <w:szCs w:val="23"/>
                <w:highlight w:val="white"/>
              </w:rPr>
            </w:pPr>
            <w:r w:rsidDel="00000000" w:rsidR="00000000" w:rsidRPr="00000000">
              <w:rPr>
                <w:color w:val="2a2a2a"/>
                <w:sz w:val="23"/>
                <w:szCs w:val="23"/>
                <w:highlight w:val="white"/>
                <w:rtl w:val="0"/>
              </w:rPr>
              <w:t xml:space="preserve">-0.79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color w:val="2a2a2a"/>
                <w:sz w:val="23"/>
                <w:szCs w:val="23"/>
                <w:highlight w:val="white"/>
              </w:rPr>
            </w:pPr>
            <w:r w:rsidDel="00000000" w:rsidR="00000000" w:rsidRPr="00000000">
              <w:rPr>
                <w:color w:val="2a2a2a"/>
                <w:sz w:val="23"/>
                <w:szCs w:val="23"/>
                <w:highlight w:val="white"/>
                <w:rtl w:val="0"/>
              </w:rPr>
              <w:t xml:space="preserve">27.58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color w:val="2a2a2a"/>
                <w:sz w:val="23"/>
                <w:szCs w:val="23"/>
                <w:highlight w:val="white"/>
              </w:rPr>
            </w:pPr>
            <w:r w:rsidDel="00000000" w:rsidR="00000000" w:rsidRPr="00000000">
              <w:rPr>
                <w:color w:val="2a2a2a"/>
                <w:sz w:val="23"/>
                <w:szCs w:val="23"/>
                <w:highlight w:val="white"/>
                <w:rtl w:val="0"/>
              </w:rPr>
              <w:t xml:space="preserve">0.54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color w:val="2a2a2a"/>
                <w:sz w:val="23"/>
                <w:szCs w:val="23"/>
                <w:highlight w:val="white"/>
              </w:rPr>
            </w:pPr>
            <w:r w:rsidDel="00000000" w:rsidR="00000000" w:rsidRPr="00000000">
              <w:rPr>
                <w:color w:val="2a2a2a"/>
                <w:sz w:val="23"/>
                <w:szCs w:val="23"/>
                <w:highlight w:val="white"/>
                <w:rtl w:val="0"/>
              </w:rPr>
              <w:t xml:space="preserve">0.07</w:t>
            </w:r>
          </w:p>
        </w:tc>
      </w:tr>
      <w:tr>
        <w:trPr>
          <w:trHeight w:val="5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color w:val="2a2a2a"/>
                <w:sz w:val="23"/>
                <w:szCs w:val="23"/>
                <w:highlight w:val="white"/>
              </w:rPr>
            </w:pPr>
            <w:r w:rsidDel="00000000" w:rsidR="00000000" w:rsidRPr="00000000">
              <w:rPr>
                <w:color w:val="2a2a2a"/>
                <w:sz w:val="23"/>
                <w:szCs w:val="23"/>
                <w:highlight w:val="white"/>
                <w:rtl w:val="0"/>
              </w:rPr>
              <w:t xml:space="preserve">64JS73, sample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color w:val="2a2a2a"/>
                <w:sz w:val="23"/>
                <w:szCs w:val="23"/>
                <w:highlight w:val="white"/>
              </w:rPr>
            </w:pPr>
            <w:r w:rsidDel="00000000" w:rsidR="00000000" w:rsidRPr="00000000">
              <w:rPr>
                <w:color w:val="2a2a2a"/>
                <w:sz w:val="23"/>
                <w:szCs w:val="23"/>
                <w:highlight w:val="white"/>
                <w:rtl w:val="0"/>
              </w:rPr>
              <w:t xml:space="preserve">-3.45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color w:val="2a2a2a"/>
                <w:sz w:val="23"/>
                <w:szCs w:val="23"/>
                <w:highlight w:val="white"/>
              </w:rPr>
            </w:pPr>
            <w:r w:rsidDel="00000000" w:rsidR="00000000" w:rsidRPr="00000000">
              <w:rPr>
                <w:color w:val="2a2a2a"/>
                <w:sz w:val="23"/>
                <w:szCs w:val="23"/>
                <w:highlight w:val="white"/>
                <w:rtl w:val="0"/>
              </w:rPr>
              <w:t xml:space="preserve">23.56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color w:val="2a2a2a"/>
                <w:sz w:val="23"/>
                <w:szCs w:val="23"/>
                <w:highlight w:val="white"/>
              </w:rPr>
            </w:pPr>
            <w:r w:rsidDel="00000000" w:rsidR="00000000" w:rsidRPr="00000000">
              <w:rPr>
                <w:color w:val="2a2a2a"/>
                <w:sz w:val="23"/>
                <w:szCs w:val="23"/>
                <w:highlight w:val="white"/>
                <w:rtl w:val="0"/>
              </w:rPr>
              <w:t xml:space="preserve">-3.71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color w:val="2a2a2a"/>
                <w:sz w:val="23"/>
                <w:szCs w:val="23"/>
                <w:highlight w:val="white"/>
              </w:rPr>
            </w:pPr>
            <w:r w:rsidDel="00000000" w:rsidR="00000000" w:rsidRPr="00000000">
              <w:rPr>
                <w:color w:val="2a2a2a"/>
                <w:sz w:val="23"/>
                <w:szCs w:val="23"/>
                <w:highlight w:val="white"/>
                <w:rtl w:val="0"/>
              </w:rPr>
              <w:t xml:space="preserve">23.52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color w:val="2a2a2a"/>
                <w:sz w:val="23"/>
                <w:szCs w:val="23"/>
                <w:highlight w:val="white"/>
              </w:rPr>
            </w:pPr>
            <w:r w:rsidDel="00000000" w:rsidR="00000000" w:rsidRPr="00000000">
              <w:rPr>
                <w:color w:val="2a2a2a"/>
                <w:sz w:val="23"/>
                <w:szCs w:val="23"/>
                <w:highlight w:val="white"/>
                <w:rtl w:val="0"/>
              </w:rPr>
              <w:t xml:space="preserve">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color w:val="2a2a2a"/>
                <w:sz w:val="23"/>
                <w:szCs w:val="23"/>
                <w:highlight w:val="white"/>
              </w:rPr>
            </w:pPr>
            <w:r w:rsidDel="00000000" w:rsidR="00000000" w:rsidRPr="00000000">
              <w:rPr>
                <w:color w:val="2a2a2a"/>
                <w:sz w:val="23"/>
                <w:szCs w:val="23"/>
                <w:highlight w:val="white"/>
                <w:rtl w:val="0"/>
              </w:rPr>
              <w:t xml:space="preserve">0.04</w:t>
            </w:r>
          </w:p>
        </w:tc>
      </w:tr>
    </w:tbl>
    <w:p w:rsidR="00000000" w:rsidDel="00000000" w:rsidP="00000000" w:rsidRDefault="00000000" w:rsidRPr="00000000" w14:paraId="00000021">
      <w:pPr>
        <w:tabs>
          <w:tab w:val="left" w:pos="720"/>
        </w:tabs>
        <w:spacing w:line="480" w:lineRule="auto"/>
        <w:ind w:firstLine="720"/>
        <w:rPr>
          <w:color w:val="2a2a2a"/>
          <w:sz w:val="23"/>
          <w:szCs w:val="23"/>
          <w:highlight w:val="white"/>
        </w:rPr>
      </w:pPr>
      <w:r w:rsidDel="00000000" w:rsidR="00000000" w:rsidRPr="00000000">
        <w:rPr>
          <w:rtl w:val="0"/>
        </w:rPr>
      </w:r>
    </w:p>
    <w:p w:rsidR="00000000" w:rsidDel="00000000" w:rsidP="00000000" w:rsidRDefault="00000000" w:rsidRPr="00000000" w14:paraId="00000022">
      <w:pPr>
        <w:tabs>
          <w:tab w:val="left" w:pos="720"/>
        </w:tabs>
        <w:spacing w:line="480" w:lineRule="auto"/>
        <w:ind w:firstLine="720"/>
        <w:rPr>
          <w:color w:val="2a2a2a"/>
          <w:sz w:val="23"/>
          <w:szCs w:val="23"/>
          <w:highlight w:val="white"/>
        </w:rPr>
      </w:pPr>
      <w:r w:rsidDel="00000000" w:rsidR="00000000" w:rsidRPr="00000000">
        <w:rPr>
          <w:color w:val="2a2a2a"/>
          <w:sz w:val="23"/>
          <w:szCs w:val="23"/>
          <w:highlight w:val="white"/>
          <w:rtl w:val="0"/>
        </w:rPr>
        <w:t xml:space="preserve">2. Impact of sample depth on micromilled samples. The timing of enamel growth and maturation complicates analyses of sub-annual isotopic changes across many species of large herbivores </w:t>
      </w:r>
      <w:r w:rsidDel="00000000" w:rsidR="00000000" w:rsidRPr="00000000">
        <w:rPr>
          <w:highlight w:val="white"/>
          <w:vertAlign w:val="superscript"/>
          <w:rtl w:val="0"/>
        </w:rPr>
        <w:t xml:space="preserve">1,2</w:t>
      </w:r>
      <w:r w:rsidDel="00000000" w:rsidR="00000000" w:rsidRPr="00000000">
        <w:rPr>
          <w:color w:val="2a2a2a"/>
          <w:sz w:val="23"/>
          <w:szCs w:val="23"/>
          <w:highlight w:val="white"/>
          <w:rtl w:val="0"/>
        </w:rPr>
        <w:t xml:space="preserve">. This has been demonstrated to be an issue for mammoth enamel ridge-plates as well </w:t>
      </w:r>
      <w:r w:rsidDel="00000000" w:rsidR="00000000" w:rsidRPr="00000000">
        <w:rPr>
          <w:highlight w:val="white"/>
          <w:vertAlign w:val="superscript"/>
          <w:rtl w:val="0"/>
        </w:rPr>
        <w:t xml:space="preserve">3</w:t>
      </w:r>
      <w:r w:rsidDel="00000000" w:rsidR="00000000" w:rsidRPr="00000000">
        <w:rPr>
          <w:color w:val="2a2a2a"/>
          <w:sz w:val="23"/>
          <w:szCs w:val="23"/>
          <w:highlight w:val="white"/>
          <w:rtl w:val="0"/>
        </w:rPr>
        <w:t xml:space="preserve">. To assess the effectiveness of our micromilling method, we analyzed three depth profiles for δ13C and δ18O (SM Table 3). There are significant changes in both isotopes between outer and inner enamel samples (SM Figure 1). There is no evidence for significant diagenetic alteration, so we assume these trends reflect the timing of enamel maturation, with the latest forming enamel forming at inner boundary between enamel and dentin.</w:t>
      </w:r>
      <w:r w:rsidDel="00000000" w:rsidR="00000000" w:rsidRPr="00000000">
        <w:br w:type="page"/>
      </w:r>
      <w:r w:rsidDel="00000000" w:rsidR="00000000" w:rsidRPr="00000000">
        <w:rPr>
          <w:rtl w:val="0"/>
        </w:rPr>
      </w:r>
    </w:p>
    <w:p w:rsidR="00000000" w:rsidDel="00000000" w:rsidP="00000000" w:rsidRDefault="00000000" w:rsidRPr="00000000" w14:paraId="00000023">
      <w:pPr>
        <w:tabs>
          <w:tab w:val="left" w:pos="720"/>
        </w:tabs>
        <w:spacing w:line="480" w:lineRule="auto"/>
        <w:ind w:firstLine="720"/>
        <w:rPr>
          <w:color w:val="2a2a2a"/>
          <w:sz w:val="23"/>
          <w:szCs w:val="23"/>
          <w:highlight w:val="white"/>
        </w:rPr>
      </w:pPr>
      <w:r w:rsidDel="00000000" w:rsidR="00000000" w:rsidRPr="00000000">
        <w:rPr>
          <w:rtl w:val="0"/>
        </w:rPr>
      </w:r>
    </w:p>
    <w:p w:rsidR="00000000" w:rsidDel="00000000" w:rsidP="00000000" w:rsidRDefault="00000000" w:rsidRPr="00000000" w14:paraId="00000024">
      <w:pPr>
        <w:tabs>
          <w:tab w:val="left" w:pos="720"/>
        </w:tabs>
        <w:spacing w:line="480" w:lineRule="auto"/>
        <w:ind w:firstLine="720"/>
        <w:jc w:val="center"/>
        <w:rPr>
          <w:color w:val="2a2a2a"/>
          <w:sz w:val="23"/>
          <w:szCs w:val="23"/>
          <w:highlight w:val="white"/>
        </w:rPr>
      </w:pPr>
      <w:r w:rsidDel="00000000" w:rsidR="00000000" w:rsidRPr="00000000">
        <w:rPr>
          <w:color w:val="2a2a2a"/>
          <w:sz w:val="23"/>
          <w:szCs w:val="23"/>
          <w:highlight w:val="white"/>
        </w:rPr>
        <w:drawing>
          <wp:inline distB="114300" distT="114300" distL="114300" distR="114300">
            <wp:extent cx="5024822" cy="63769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024822" cy="6376988"/>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tabs>
          <w:tab w:val="left" w:pos="720"/>
        </w:tabs>
        <w:spacing w:line="480" w:lineRule="auto"/>
        <w:ind w:left="720" w:firstLine="0"/>
        <w:rPr>
          <w:color w:val="2a2a2a"/>
          <w:sz w:val="23"/>
          <w:szCs w:val="23"/>
          <w:highlight w:val="white"/>
        </w:rPr>
      </w:pPr>
      <w:r w:rsidDel="00000000" w:rsidR="00000000" w:rsidRPr="00000000">
        <w:rPr>
          <w:color w:val="2a2a2a"/>
          <w:sz w:val="23"/>
          <w:szCs w:val="23"/>
          <w:highlight w:val="white"/>
          <w:rtl w:val="0"/>
        </w:rPr>
        <w:t xml:space="preserve">SM Figure 1. Depth profiles of stable isotope values through the thickness of mammoth tooth enamel.</w:t>
      </w:r>
    </w:p>
    <w:p w:rsidR="00000000" w:rsidDel="00000000" w:rsidP="00000000" w:rsidRDefault="00000000" w:rsidRPr="00000000" w14:paraId="00000026">
      <w:pPr>
        <w:tabs>
          <w:tab w:val="left" w:pos="720"/>
        </w:tabs>
        <w:spacing w:line="480" w:lineRule="auto"/>
        <w:ind w:firstLine="720"/>
        <w:rPr>
          <w:color w:val="2a2a2a"/>
          <w:sz w:val="23"/>
          <w:szCs w:val="23"/>
          <w:highlight w:val="white"/>
        </w:rPr>
      </w:pPr>
      <w:r w:rsidDel="00000000" w:rsidR="00000000" w:rsidRPr="00000000">
        <w:rPr>
          <w:rtl w:val="0"/>
        </w:rPr>
      </w:r>
    </w:p>
    <w:p w:rsidR="00000000" w:rsidDel="00000000" w:rsidP="00000000" w:rsidRDefault="00000000" w:rsidRPr="00000000" w14:paraId="00000027">
      <w:pPr>
        <w:tabs>
          <w:tab w:val="left" w:pos="720"/>
        </w:tabs>
        <w:spacing w:line="480" w:lineRule="auto"/>
        <w:ind w:left="264" w:hanging="264"/>
        <w:rPr>
          <w:color w:val="2a2a2a"/>
          <w:sz w:val="23"/>
          <w:szCs w:val="23"/>
          <w:highlight w:val="white"/>
        </w:rPr>
      </w:pPr>
      <w:r w:rsidDel="00000000" w:rsidR="00000000" w:rsidRPr="00000000">
        <w:rPr>
          <w:color w:val="2a2a2a"/>
          <w:sz w:val="23"/>
          <w:szCs w:val="23"/>
          <w:highlight w:val="white"/>
          <w:rtl w:val="0"/>
        </w:rPr>
        <w:t xml:space="preserve">REFERENCES CITED</w:t>
      </w:r>
    </w:p>
    <w:p w:rsidR="00000000" w:rsidDel="00000000" w:rsidP="00000000" w:rsidRDefault="00000000" w:rsidRPr="00000000" w14:paraId="00000028">
      <w:pPr>
        <w:tabs>
          <w:tab w:val="left" w:pos="720"/>
        </w:tabs>
        <w:spacing w:line="480" w:lineRule="auto"/>
        <w:ind w:left="264" w:hanging="264"/>
        <w:rPr>
          <w:color w:val="2a2a2a"/>
          <w:sz w:val="23"/>
          <w:szCs w:val="23"/>
          <w:highlight w:val="white"/>
        </w:rPr>
      </w:pPr>
      <w:r w:rsidDel="00000000" w:rsidR="00000000" w:rsidRPr="00000000">
        <w:rPr>
          <w:vertAlign w:val="baseline"/>
          <w:rtl w:val="0"/>
        </w:rPr>
        <w:t xml:space="preserve">1.</w:t>
        <w:tab/>
        <w:t xml:space="preserve">Zazzo, A., Balasse, M. &amp; Patterson, W. P. W. P. W. P. The reconstruction of mammal individual history: refining high-resolution isotope record in bovine tooth dentine. </w:t>
      </w:r>
      <w:r w:rsidDel="00000000" w:rsidR="00000000" w:rsidRPr="00000000">
        <w:rPr>
          <w:i w:val="1"/>
          <w:vertAlign w:val="baseline"/>
          <w:rtl w:val="0"/>
        </w:rPr>
        <w:t xml:space="preserve">Journal of Archaeological Science </w:t>
      </w:r>
      <w:r w:rsidDel="00000000" w:rsidR="00000000" w:rsidRPr="00000000">
        <w:rPr>
          <w:b w:val="1"/>
          <w:vertAlign w:val="baseline"/>
          <w:rtl w:val="0"/>
        </w:rPr>
        <w:t xml:space="preserve">33</w:t>
      </w:r>
      <w:r w:rsidDel="00000000" w:rsidR="00000000" w:rsidRPr="00000000">
        <w:rPr>
          <w:vertAlign w:val="baseline"/>
          <w:rtl w:val="0"/>
        </w:rPr>
        <w:t xml:space="preserve">, 1177–1187 (2006).</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264" w:right="0" w:hanging="264"/>
        <w:jc w:val="left"/>
        <w:rPr>
          <w:color w:val="2a2a2a"/>
          <w:sz w:val="23"/>
          <w:szCs w:val="23"/>
          <w:highlight w:val="white"/>
        </w:rPr>
      </w:pPr>
      <w:r w:rsidDel="00000000" w:rsidR="00000000" w:rsidRPr="00000000">
        <w:rPr>
          <w:vertAlign w:val="baseline"/>
          <w:rtl w:val="0"/>
        </w:rPr>
        <w:t xml:space="preserve">2.</w:t>
        <w:tab/>
        <w:t xml:space="preserve">Blumenthal, S. A. </w:t>
      </w:r>
      <w:r w:rsidDel="00000000" w:rsidR="00000000" w:rsidRPr="00000000">
        <w:rPr>
          <w:i w:val="1"/>
          <w:vertAlign w:val="baseline"/>
          <w:rtl w:val="0"/>
        </w:rPr>
        <w:t xml:space="preserve">et al.</w:t>
      </w:r>
      <w:r w:rsidDel="00000000" w:rsidR="00000000" w:rsidRPr="00000000">
        <w:rPr>
          <w:vertAlign w:val="baseline"/>
          <w:rtl w:val="0"/>
        </w:rPr>
        <w:t xml:space="preserve"> Stable isotope time-series in mammalian teeth: In situ δ18O from the innermost enamel layer. </w:t>
      </w:r>
      <w:r w:rsidDel="00000000" w:rsidR="00000000" w:rsidRPr="00000000">
        <w:rPr>
          <w:i w:val="1"/>
          <w:vertAlign w:val="baseline"/>
          <w:rtl w:val="0"/>
        </w:rPr>
        <w:t xml:space="preserve">Geochimica et Cosmochimica Acta </w:t>
      </w:r>
      <w:r w:rsidDel="00000000" w:rsidR="00000000" w:rsidRPr="00000000">
        <w:rPr>
          <w:b w:val="1"/>
          <w:vertAlign w:val="baseline"/>
          <w:rtl w:val="0"/>
        </w:rPr>
        <w:t xml:space="preserve">124</w:t>
      </w:r>
      <w:r w:rsidDel="00000000" w:rsidR="00000000" w:rsidRPr="00000000">
        <w:rPr>
          <w:vertAlign w:val="baseline"/>
          <w:rtl w:val="0"/>
        </w:rPr>
        <w:t xml:space="preserve">, 223–236 (2014).</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264" w:right="0" w:hanging="264"/>
        <w:jc w:val="left"/>
        <w:rPr>
          <w:color w:val="2a2a2a"/>
          <w:sz w:val="23"/>
          <w:szCs w:val="23"/>
          <w:highlight w:val="white"/>
        </w:rPr>
      </w:pPr>
      <w:r w:rsidDel="00000000" w:rsidR="00000000" w:rsidRPr="00000000">
        <w:rPr>
          <w:vertAlign w:val="baseline"/>
          <w:rtl w:val="0"/>
        </w:rPr>
        <w:t xml:space="preserve">3.</w:t>
        <w:tab/>
        <w:t xml:space="preserve">Metcalfe, J. Z. &amp; Longstaffe, F. J. Mammoth tooth enamel growth rates inferred from stable isotope analysis and histology. </w:t>
      </w:r>
      <w:r w:rsidDel="00000000" w:rsidR="00000000" w:rsidRPr="00000000">
        <w:rPr>
          <w:i w:val="1"/>
          <w:vertAlign w:val="baseline"/>
          <w:rtl w:val="0"/>
        </w:rPr>
        <w:t xml:space="preserve">Quaternary Research </w:t>
      </w:r>
      <w:r w:rsidDel="00000000" w:rsidR="00000000" w:rsidRPr="00000000">
        <w:rPr>
          <w:b w:val="1"/>
          <w:vertAlign w:val="baseline"/>
          <w:rtl w:val="0"/>
        </w:rPr>
        <w:t xml:space="preserve">77</w:t>
      </w:r>
      <w:r w:rsidDel="00000000" w:rsidR="00000000" w:rsidRPr="00000000">
        <w:rPr>
          <w:vertAlign w:val="baseline"/>
          <w:rtl w:val="0"/>
        </w:rPr>
        <w:t xml:space="preserve">, 424–432 (2012).</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