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9B9CFE" w14:textId="00B116CF" w:rsidR="00291C92" w:rsidRPr="00291C92" w:rsidRDefault="00291C92" w:rsidP="00291C92">
      <w:pPr>
        <w:autoSpaceDE w:val="0"/>
        <w:autoSpaceDN w:val="0"/>
        <w:adjustRightInd w:val="0"/>
        <w:spacing w:after="0" w:line="480" w:lineRule="auto"/>
        <w:rPr>
          <w:rFonts w:eastAsia="Arial Unicode MS" w:cs="Arial"/>
          <w:color w:val="000000"/>
          <w:szCs w:val="24"/>
          <w:lang w:val="en-CA" w:eastAsia="en-CA"/>
        </w:rPr>
      </w:pPr>
      <w:r w:rsidRPr="00291C92">
        <w:rPr>
          <w:rFonts w:eastAsia="Arial Unicode MS" w:cs="Arial"/>
          <w:b/>
          <w:bCs/>
          <w:color w:val="000000"/>
          <w:szCs w:val="24"/>
          <w:lang w:val="en-CA" w:eastAsia="en-CA"/>
        </w:rPr>
        <w:t>SUPPLEMENTA</w:t>
      </w:r>
      <w:r w:rsidR="00D645F2">
        <w:rPr>
          <w:rFonts w:eastAsia="Arial Unicode MS" w:cs="Arial"/>
          <w:b/>
          <w:bCs/>
          <w:color w:val="000000"/>
          <w:szCs w:val="24"/>
          <w:lang w:val="en-CA" w:eastAsia="en-CA"/>
        </w:rPr>
        <w:t>RY</w:t>
      </w:r>
      <w:r w:rsidRPr="00291C92">
        <w:rPr>
          <w:rFonts w:eastAsia="Arial Unicode MS" w:cs="Arial"/>
          <w:b/>
          <w:bCs/>
          <w:color w:val="000000"/>
          <w:szCs w:val="24"/>
          <w:lang w:val="en-CA" w:eastAsia="en-CA"/>
        </w:rPr>
        <w:t xml:space="preserve"> MATERIAL </w:t>
      </w:r>
    </w:p>
    <w:p w14:paraId="7B4007C2" w14:textId="77777777" w:rsidR="00226BE0" w:rsidRDefault="00226BE0" w:rsidP="00291C92">
      <w:pPr>
        <w:autoSpaceDE w:val="0"/>
        <w:autoSpaceDN w:val="0"/>
        <w:adjustRightInd w:val="0"/>
        <w:spacing w:after="0" w:line="480" w:lineRule="auto"/>
        <w:rPr>
          <w:rFonts w:eastAsia="Arial Unicode MS" w:cs="Arial"/>
          <w:b/>
          <w:bCs/>
          <w:color w:val="000000"/>
          <w:szCs w:val="24"/>
          <w:lang w:val="en-CA" w:eastAsia="en-CA"/>
        </w:rPr>
      </w:pPr>
    </w:p>
    <w:p w14:paraId="3CE26542" w14:textId="77777777" w:rsidR="00291C92" w:rsidRPr="00291C92" w:rsidRDefault="00291C92" w:rsidP="00291C92">
      <w:pPr>
        <w:autoSpaceDE w:val="0"/>
        <w:autoSpaceDN w:val="0"/>
        <w:adjustRightInd w:val="0"/>
        <w:spacing w:after="0" w:line="480" w:lineRule="auto"/>
        <w:rPr>
          <w:rFonts w:eastAsia="Arial Unicode MS" w:cs="Arial"/>
          <w:color w:val="000000"/>
          <w:szCs w:val="24"/>
          <w:lang w:val="en-CA" w:eastAsia="en-CA"/>
        </w:rPr>
      </w:pPr>
      <w:r w:rsidRPr="00291C92">
        <w:rPr>
          <w:rFonts w:eastAsia="Arial Unicode MS" w:cs="Arial"/>
          <w:b/>
          <w:bCs/>
          <w:color w:val="000000"/>
          <w:szCs w:val="24"/>
          <w:lang w:val="en-CA" w:eastAsia="en-CA"/>
        </w:rPr>
        <w:t xml:space="preserve">LUMINESCENCE DATING </w:t>
      </w:r>
    </w:p>
    <w:p w14:paraId="54537C87" w14:textId="77777777" w:rsidR="00291C92" w:rsidRPr="00291C92" w:rsidRDefault="00291C92" w:rsidP="00291C92">
      <w:pPr>
        <w:autoSpaceDE w:val="0"/>
        <w:autoSpaceDN w:val="0"/>
        <w:adjustRightInd w:val="0"/>
        <w:spacing w:after="0" w:line="480" w:lineRule="auto"/>
        <w:ind w:right="135"/>
        <w:rPr>
          <w:rFonts w:eastAsia="Arial Unicode MS" w:cs="Arial"/>
          <w:color w:val="000000"/>
          <w:szCs w:val="24"/>
          <w:lang w:val="en-CA" w:eastAsia="en-CA"/>
        </w:rPr>
      </w:pPr>
      <w:r w:rsidRPr="00291C92">
        <w:rPr>
          <w:rFonts w:eastAsia="Arial Unicode MS" w:cs="Arial"/>
          <w:color w:val="000000"/>
          <w:szCs w:val="24"/>
          <w:lang w:val="en-CA" w:eastAsia="en-CA"/>
        </w:rPr>
        <w:t xml:space="preserve">Aeolian landforms in Tasmania, and in Australia in general, have been dated mainly by luminescence methods. Indeed, the advent of luminescence dating has revolutionised the understanding of </w:t>
      </w:r>
      <w:proofErr w:type="spellStart"/>
      <w:r w:rsidRPr="00291C92">
        <w:rPr>
          <w:rFonts w:eastAsia="Arial Unicode MS" w:cs="Arial"/>
          <w:color w:val="000000"/>
          <w:szCs w:val="24"/>
          <w:lang w:val="en-CA" w:eastAsia="en-CA"/>
        </w:rPr>
        <w:t>aeolian</w:t>
      </w:r>
      <w:proofErr w:type="spellEnd"/>
      <w:r w:rsidRPr="00291C92">
        <w:rPr>
          <w:rFonts w:eastAsia="Arial Unicode MS" w:cs="Arial"/>
          <w:color w:val="000000"/>
          <w:szCs w:val="24"/>
          <w:lang w:val="en-CA" w:eastAsia="en-CA"/>
        </w:rPr>
        <w:t xml:space="preserve"> environments (e.g., </w:t>
      </w:r>
      <w:proofErr w:type="spellStart"/>
      <w:r w:rsidRPr="00291C92">
        <w:rPr>
          <w:rFonts w:eastAsia="Arial Unicode MS" w:cs="Arial"/>
          <w:color w:val="000000"/>
          <w:szCs w:val="24"/>
          <w:lang w:val="en-CA" w:eastAsia="en-CA"/>
        </w:rPr>
        <w:t>Singhvi</w:t>
      </w:r>
      <w:proofErr w:type="spellEnd"/>
      <w:r w:rsidRPr="00291C92">
        <w:rPr>
          <w:rFonts w:eastAsia="Arial Unicode MS" w:cs="Arial"/>
          <w:color w:val="000000"/>
          <w:szCs w:val="24"/>
          <w:lang w:val="en-CA" w:eastAsia="en-CA"/>
        </w:rPr>
        <w:t xml:space="preserve"> and </w:t>
      </w:r>
      <w:proofErr w:type="spellStart"/>
      <w:r w:rsidRPr="00291C92">
        <w:rPr>
          <w:rFonts w:eastAsia="Arial Unicode MS" w:cs="Arial"/>
          <w:color w:val="000000"/>
          <w:szCs w:val="24"/>
          <w:lang w:val="en-CA" w:eastAsia="en-CA"/>
        </w:rPr>
        <w:t>Porat</w:t>
      </w:r>
      <w:proofErr w:type="spellEnd"/>
      <w:r w:rsidRPr="00291C92">
        <w:rPr>
          <w:rFonts w:eastAsia="Arial Unicode MS" w:cs="Arial"/>
          <w:color w:val="000000"/>
          <w:szCs w:val="24"/>
          <w:lang w:val="en-CA" w:eastAsia="en-CA"/>
        </w:rPr>
        <w:t xml:space="preserve">, 2008; Duller, 2016) and of late Quaternary history in general (Roberts and </w:t>
      </w:r>
      <w:proofErr w:type="spellStart"/>
      <w:r w:rsidRPr="00291C92">
        <w:rPr>
          <w:rFonts w:eastAsia="Arial Unicode MS" w:cs="Arial"/>
          <w:color w:val="000000"/>
          <w:szCs w:val="24"/>
          <w:lang w:val="en-CA" w:eastAsia="en-CA"/>
        </w:rPr>
        <w:t>Lian</w:t>
      </w:r>
      <w:proofErr w:type="spellEnd"/>
      <w:r w:rsidRPr="00291C92">
        <w:rPr>
          <w:rFonts w:eastAsia="Arial Unicode MS" w:cs="Arial"/>
          <w:color w:val="000000"/>
          <w:szCs w:val="24"/>
          <w:lang w:val="en-CA" w:eastAsia="en-CA"/>
        </w:rPr>
        <w:t>, 2015).</w:t>
      </w:r>
    </w:p>
    <w:p w14:paraId="21DD21EF" w14:textId="77777777" w:rsidR="00291C92" w:rsidRPr="00291C92" w:rsidRDefault="00291C92" w:rsidP="00291C92">
      <w:pPr>
        <w:autoSpaceDE w:val="0"/>
        <w:autoSpaceDN w:val="0"/>
        <w:adjustRightInd w:val="0"/>
        <w:spacing w:after="0" w:line="480" w:lineRule="auto"/>
        <w:ind w:firstLine="567"/>
        <w:rPr>
          <w:rFonts w:eastAsia="Arial Unicode MS" w:cs="Arial"/>
          <w:color w:val="000000"/>
          <w:szCs w:val="24"/>
          <w:lang w:val="en-CA" w:eastAsia="en-CA"/>
        </w:rPr>
      </w:pPr>
      <w:r w:rsidRPr="00291C92">
        <w:rPr>
          <w:rFonts w:eastAsia="Arial Unicode MS" w:cs="Arial"/>
          <w:color w:val="000000"/>
          <w:szCs w:val="24"/>
          <w:lang w:val="en-CA" w:eastAsia="en-CA"/>
        </w:rPr>
        <w:t xml:space="preserve">Luminescence dating is based on the premise that natural minerals contain impurities and structural defects that can act as traps for free electrons. At ambient temperatures some of these traps can hold electrons for only a few hours or less, but there are others that can hold them for millions of years or more, and these are referred to as thermally stable or deep traps. All traps can be emptied by exposure to sufficient heat (~400°C), but only some traps can be emptied by exposure to light. Free electrons are produced when minerals absorbs ambient radiation. If a sediment sample is buried in a sedimentary landform, for example, electron traps in the mineral grains will fill at a rate proportional to the production of free electrons, the environmental dose rate. If the sediment sample is uncovered and exposed to a few seconds of direct sunlight, light-sensitive electron traps will be emptied. If the sample is exposed to sufficient heat, both light-sensitive and light-insensitive traps will be emptied. In the laboratory, experiments are designed that allow for an estimate to be made of the dose of laboratory radiation that will produce the same intensity of luminescence as the dose absorbed by the sample in the environment since burial; this is referred to as the equivalent dose. A sample’s luminescence age is simply its equivalent dose divided by its environmental dose rate. The various luminescence </w:t>
      </w:r>
      <w:r w:rsidRPr="00291C92">
        <w:rPr>
          <w:rFonts w:eastAsia="Arial Unicode MS" w:cs="Arial"/>
          <w:color w:val="000000"/>
          <w:szCs w:val="24"/>
          <w:lang w:val="en-CA" w:eastAsia="en-CA"/>
        </w:rPr>
        <w:lastRenderedPageBreak/>
        <w:t xml:space="preserve">dating methods that have been developed since the 1960s mainly involve variations in the technique used to estimate equivalent dose, and in the methods by which the most light-sensitive thermally stable traps are selected. The evolution of luminescence dating techniques, and their design and applicability has been reviewed in detail by </w:t>
      </w:r>
      <w:proofErr w:type="spellStart"/>
      <w:r w:rsidRPr="00291C92">
        <w:rPr>
          <w:rFonts w:eastAsia="Arial Unicode MS" w:cs="Arial"/>
          <w:color w:val="000000"/>
          <w:szCs w:val="24"/>
          <w:lang w:val="en-CA" w:eastAsia="en-CA"/>
        </w:rPr>
        <w:t>Lian</w:t>
      </w:r>
      <w:proofErr w:type="spellEnd"/>
      <w:r w:rsidRPr="00291C92">
        <w:rPr>
          <w:rFonts w:eastAsia="Arial Unicode MS" w:cs="Arial"/>
          <w:color w:val="000000"/>
          <w:szCs w:val="24"/>
          <w:lang w:val="en-CA" w:eastAsia="en-CA"/>
        </w:rPr>
        <w:t xml:space="preserve"> and Roberts (2006) and </w:t>
      </w:r>
      <w:proofErr w:type="spellStart"/>
      <w:r w:rsidRPr="00291C92">
        <w:rPr>
          <w:rFonts w:eastAsia="Arial Unicode MS" w:cs="Arial"/>
          <w:color w:val="000000"/>
          <w:szCs w:val="24"/>
          <w:lang w:val="en-CA" w:eastAsia="en-CA"/>
        </w:rPr>
        <w:t>Wintle</w:t>
      </w:r>
      <w:proofErr w:type="spellEnd"/>
      <w:r w:rsidRPr="00291C92">
        <w:rPr>
          <w:rFonts w:eastAsia="Arial Unicode MS" w:cs="Arial"/>
          <w:color w:val="000000"/>
          <w:szCs w:val="24"/>
          <w:lang w:val="en-CA" w:eastAsia="en-CA"/>
        </w:rPr>
        <w:t xml:space="preserve"> (2008) and in these reviews illustrative examples are also given; a concise account is given below, with an emphasis on quartz as it has been the preferred chronometer for dating </w:t>
      </w:r>
      <w:proofErr w:type="spellStart"/>
      <w:r w:rsidRPr="00291C92">
        <w:rPr>
          <w:rFonts w:eastAsia="Arial Unicode MS" w:cs="Arial"/>
          <w:color w:val="000000"/>
          <w:szCs w:val="24"/>
          <w:lang w:val="en-CA" w:eastAsia="en-CA"/>
        </w:rPr>
        <w:t>aeolian</w:t>
      </w:r>
      <w:proofErr w:type="spellEnd"/>
      <w:r w:rsidRPr="00291C92">
        <w:rPr>
          <w:rFonts w:eastAsia="Arial Unicode MS" w:cs="Arial"/>
          <w:color w:val="000000"/>
          <w:szCs w:val="24"/>
          <w:lang w:val="en-CA" w:eastAsia="en-CA"/>
        </w:rPr>
        <w:t xml:space="preserve"> landforms in Australia.</w:t>
      </w:r>
    </w:p>
    <w:p w14:paraId="3B6B8DF7" w14:textId="77777777" w:rsidR="00291C92" w:rsidRPr="00291C92" w:rsidRDefault="00291C92" w:rsidP="00291C92">
      <w:pPr>
        <w:widowControl w:val="0"/>
        <w:autoSpaceDE w:val="0"/>
        <w:autoSpaceDN w:val="0"/>
        <w:adjustRightInd w:val="0"/>
        <w:spacing w:after="0" w:line="240" w:lineRule="auto"/>
        <w:rPr>
          <w:rFonts w:ascii="Arial Unicode MS" w:eastAsia="Arial Unicode MS" w:hAnsiTheme="minorHAnsi" w:cs="Arial Unicode MS"/>
          <w:color w:val="000000"/>
          <w:szCs w:val="24"/>
          <w:lang w:val="en-CA" w:eastAsia="en-CA"/>
        </w:rPr>
      </w:pPr>
    </w:p>
    <w:p w14:paraId="283202CA" w14:textId="77777777" w:rsidR="00291C92" w:rsidRPr="00291C92" w:rsidRDefault="00291C92" w:rsidP="00291C92">
      <w:pPr>
        <w:autoSpaceDE w:val="0"/>
        <w:autoSpaceDN w:val="0"/>
        <w:adjustRightInd w:val="0"/>
        <w:spacing w:after="0" w:line="480" w:lineRule="auto"/>
        <w:rPr>
          <w:rFonts w:eastAsia="Arial Unicode MS" w:cs="Arial"/>
          <w:color w:val="000000"/>
          <w:szCs w:val="24"/>
          <w:lang w:val="en-CA" w:eastAsia="en-CA"/>
        </w:rPr>
      </w:pPr>
      <w:proofErr w:type="spellStart"/>
      <w:r w:rsidRPr="00291C92">
        <w:rPr>
          <w:rFonts w:eastAsia="Arial Unicode MS" w:cs="Arial"/>
          <w:b/>
          <w:bCs/>
          <w:i/>
          <w:iCs/>
          <w:color w:val="000000"/>
          <w:szCs w:val="24"/>
          <w:lang w:val="en-CA" w:eastAsia="en-CA"/>
        </w:rPr>
        <w:t>Thermoluminescence</w:t>
      </w:r>
      <w:proofErr w:type="spellEnd"/>
      <w:r w:rsidRPr="00291C92">
        <w:rPr>
          <w:rFonts w:eastAsia="Arial Unicode MS" w:cs="Arial"/>
          <w:b/>
          <w:bCs/>
          <w:i/>
          <w:iCs/>
          <w:color w:val="000000"/>
          <w:szCs w:val="24"/>
          <w:lang w:val="en-CA" w:eastAsia="en-CA"/>
        </w:rPr>
        <w:t xml:space="preserve"> dating </w:t>
      </w:r>
    </w:p>
    <w:p w14:paraId="21A1D2DB" w14:textId="77777777" w:rsidR="00291C92" w:rsidRPr="00291C92" w:rsidRDefault="00291C92" w:rsidP="00291C92">
      <w:pPr>
        <w:autoSpaceDE w:val="0"/>
        <w:autoSpaceDN w:val="0"/>
        <w:adjustRightInd w:val="0"/>
        <w:spacing w:after="0" w:line="480" w:lineRule="auto"/>
        <w:rPr>
          <w:rFonts w:eastAsia="Arial Unicode MS" w:cs="Arial"/>
          <w:color w:val="000000"/>
          <w:szCs w:val="24"/>
          <w:lang w:val="en-CA" w:eastAsia="en-CA"/>
        </w:rPr>
      </w:pPr>
      <w:r w:rsidRPr="00291C92">
        <w:rPr>
          <w:rFonts w:eastAsia="Arial Unicode MS" w:cs="Arial"/>
          <w:color w:val="000000"/>
          <w:szCs w:val="24"/>
          <w:lang w:val="en-CA" w:eastAsia="en-CA"/>
        </w:rPr>
        <w:t xml:space="preserve">Luminescence dating has its roots in </w:t>
      </w:r>
      <w:proofErr w:type="spellStart"/>
      <w:r w:rsidRPr="00291C92">
        <w:rPr>
          <w:rFonts w:eastAsia="Arial Unicode MS" w:cs="Arial"/>
          <w:color w:val="000000"/>
          <w:szCs w:val="24"/>
          <w:lang w:val="en-CA" w:eastAsia="en-CA"/>
        </w:rPr>
        <w:t>thermoluminescence</w:t>
      </w:r>
      <w:proofErr w:type="spellEnd"/>
      <w:r w:rsidRPr="00291C92">
        <w:rPr>
          <w:rFonts w:eastAsia="Arial Unicode MS" w:cs="Arial"/>
          <w:color w:val="000000"/>
          <w:szCs w:val="24"/>
          <w:lang w:val="en-CA" w:eastAsia="en-CA"/>
        </w:rPr>
        <w:t xml:space="preserve"> (TL) dating of fired material such as pottery (Aitken et al. (1964, 1968); and see review by Roberts (1997)). The first detailed accounts of reliable methods for TL dating sunlight-exposed sediments were reported by </w:t>
      </w:r>
      <w:proofErr w:type="spellStart"/>
      <w:r w:rsidRPr="00291C92">
        <w:rPr>
          <w:rFonts w:eastAsia="Arial Unicode MS" w:cs="Arial"/>
          <w:color w:val="000000"/>
          <w:szCs w:val="24"/>
          <w:lang w:val="en-CA" w:eastAsia="en-CA"/>
        </w:rPr>
        <w:t>Wintle</w:t>
      </w:r>
      <w:proofErr w:type="spellEnd"/>
      <w:r w:rsidRPr="00291C92">
        <w:rPr>
          <w:rFonts w:eastAsia="Arial Unicode MS" w:cs="Arial"/>
          <w:color w:val="000000"/>
          <w:szCs w:val="24"/>
          <w:lang w:val="en-CA" w:eastAsia="en-CA"/>
        </w:rPr>
        <w:t xml:space="preserve"> and Huntley (1979a, b, 1980, 1982). The most widely used TL dating methods are relatively similar in that to estimate equivalent dose they rely on the measurement of many multi-grain aliquots of prepared sediment. The simplest methods involve leaving some of the aliquots as is (the ‘naturals’, N), while the remainder are given various increasing doses of laboratory radiation producing an </w:t>
      </w:r>
      <w:proofErr w:type="spellStart"/>
      <w:r w:rsidRPr="00291C92">
        <w:rPr>
          <w:rFonts w:eastAsia="Arial Unicode MS" w:cs="Arial"/>
          <w:color w:val="000000"/>
          <w:szCs w:val="24"/>
          <w:lang w:val="en-CA" w:eastAsia="en-CA"/>
        </w:rPr>
        <w:t>N+dose</w:t>
      </w:r>
      <w:proofErr w:type="spellEnd"/>
      <w:r w:rsidRPr="00291C92">
        <w:rPr>
          <w:rFonts w:eastAsia="Arial Unicode MS" w:cs="Arial"/>
          <w:color w:val="000000"/>
          <w:szCs w:val="24"/>
          <w:lang w:val="en-CA" w:eastAsia="en-CA"/>
        </w:rPr>
        <w:t xml:space="preserve"> set of aliquots. All of the aliquots are heated one at a time in an inert atmosphere from room temperature to about 600°C while the TL is recorded; each aliquot produces a plot of TL intensity as a function of temperature, which is often called a glow curve. Glow curves consist of several overlapping peaks that represent trap populations with various sensitivities to light and different thermal stabilities; the peaks that appear at higher temperatures are those that are thermally stable over time periods of interest. </w:t>
      </w:r>
    </w:p>
    <w:p w14:paraId="79A79EA7" w14:textId="77777777" w:rsidR="00036922" w:rsidRDefault="00291C92" w:rsidP="00036922">
      <w:pPr>
        <w:autoSpaceDE w:val="0"/>
        <w:autoSpaceDN w:val="0"/>
        <w:adjustRightInd w:val="0"/>
        <w:spacing w:after="0" w:line="480" w:lineRule="auto"/>
        <w:ind w:right="120" w:firstLine="720"/>
        <w:rPr>
          <w:rFonts w:eastAsia="Arial Unicode MS" w:cs="Arial"/>
          <w:color w:val="000000"/>
          <w:szCs w:val="24"/>
          <w:lang w:val="en-CA" w:eastAsia="en-CA"/>
        </w:rPr>
      </w:pPr>
      <w:r w:rsidRPr="00291C92">
        <w:rPr>
          <w:rFonts w:eastAsia="Arial Unicode MS" w:cs="Arial"/>
          <w:color w:val="000000"/>
          <w:szCs w:val="24"/>
          <w:lang w:val="en-CA" w:eastAsia="en-CA"/>
        </w:rPr>
        <w:lastRenderedPageBreak/>
        <w:t>In the simplest case an equivalent dose value is estimated by plotting the TL measured at a particular temperature as a function of laboratory dose, which produces a dose-response curve (or ‘growth curve’). The TL recorded from the natural aliquot(s) is interpolated onto the dose-response curve to find the equivalent dose (</w:t>
      </w:r>
      <w:proofErr w:type="spellStart"/>
      <w:r w:rsidRPr="00291C92">
        <w:rPr>
          <w:rFonts w:eastAsia="Arial Unicode MS" w:cs="Arial"/>
          <w:color w:val="000000"/>
          <w:szCs w:val="24"/>
          <w:lang w:val="en-CA" w:eastAsia="en-CA"/>
        </w:rPr>
        <w:t>Wintle</w:t>
      </w:r>
      <w:proofErr w:type="spellEnd"/>
      <w:r w:rsidRPr="00291C92">
        <w:rPr>
          <w:rFonts w:eastAsia="Arial Unicode MS" w:cs="Arial"/>
          <w:color w:val="000000"/>
          <w:szCs w:val="24"/>
          <w:lang w:val="en-CA" w:eastAsia="en-CA"/>
        </w:rPr>
        <w:t xml:space="preserve"> and Huntley, 1982, fig. 1b). If the heating </w:t>
      </w:r>
      <w:proofErr w:type="gramStart"/>
      <w:r w:rsidRPr="00291C92">
        <w:rPr>
          <w:rFonts w:eastAsia="Arial Unicode MS" w:cs="Arial"/>
          <w:color w:val="000000"/>
          <w:szCs w:val="24"/>
          <w:lang w:val="en-CA" w:eastAsia="en-CA"/>
        </w:rPr>
        <w:t>causes</w:t>
      </w:r>
      <w:proofErr w:type="gramEnd"/>
      <w:r w:rsidRPr="00291C92">
        <w:rPr>
          <w:rFonts w:eastAsia="Arial Unicode MS" w:cs="Arial"/>
          <w:color w:val="000000"/>
          <w:szCs w:val="24"/>
          <w:lang w:val="en-CA" w:eastAsia="en-CA"/>
        </w:rPr>
        <w:t xml:space="preserve"> sensitivity change in the mineral being analysed, then a different approach is needed. This involves plotting the N and </w:t>
      </w:r>
      <w:proofErr w:type="spellStart"/>
      <w:r w:rsidRPr="00291C92">
        <w:rPr>
          <w:rFonts w:eastAsia="Arial Unicode MS" w:cs="Arial"/>
          <w:color w:val="000000"/>
          <w:szCs w:val="24"/>
          <w:lang w:val="en-CA" w:eastAsia="en-CA"/>
        </w:rPr>
        <w:t>N+dose</w:t>
      </w:r>
      <w:proofErr w:type="spellEnd"/>
      <w:r w:rsidRPr="00291C92">
        <w:rPr>
          <w:rFonts w:eastAsia="Arial Unicode MS" w:cs="Arial"/>
          <w:color w:val="000000"/>
          <w:szCs w:val="24"/>
          <w:lang w:val="en-CA" w:eastAsia="en-CA"/>
        </w:rPr>
        <w:t xml:space="preserve"> aliquots together, fitting a curve to all the data, and extrapolating it to where it intersects the dose axis (</w:t>
      </w:r>
      <w:proofErr w:type="spellStart"/>
      <w:r w:rsidRPr="00291C92">
        <w:rPr>
          <w:rFonts w:eastAsia="Arial Unicode MS" w:cs="Arial"/>
          <w:color w:val="000000"/>
          <w:szCs w:val="24"/>
          <w:lang w:val="en-CA" w:eastAsia="en-CA"/>
        </w:rPr>
        <w:t>Wintle</w:t>
      </w:r>
      <w:proofErr w:type="spellEnd"/>
      <w:r w:rsidRPr="00291C92">
        <w:rPr>
          <w:rFonts w:eastAsia="Arial Unicode MS" w:cs="Arial"/>
          <w:color w:val="000000"/>
          <w:szCs w:val="24"/>
          <w:lang w:val="en-CA" w:eastAsia="en-CA"/>
        </w:rPr>
        <w:t xml:space="preserve"> and Huntley 1982, fig. 1c). An expansion of this method accounts for the presence of a residual TL signal (from incomplete, or partial bleaching prior to burial). This method involves exposing some of the natural and dosed aliquots to a short duration of light to empty the most light-sensitive traps, producing a separate </w:t>
      </w:r>
      <w:proofErr w:type="spellStart"/>
      <w:r w:rsidRPr="00291C92">
        <w:rPr>
          <w:rFonts w:eastAsia="Arial Unicode MS" w:cs="Arial"/>
          <w:color w:val="000000"/>
          <w:szCs w:val="24"/>
          <w:lang w:val="en-CA" w:eastAsia="en-CA"/>
        </w:rPr>
        <w:t>N+dose+bleach</w:t>
      </w:r>
      <w:proofErr w:type="spellEnd"/>
      <w:r w:rsidRPr="00291C92">
        <w:rPr>
          <w:rFonts w:eastAsia="Arial Unicode MS" w:cs="Arial"/>
          <w:color w:val="000000"/>
          <w:szCs w:val="24"/>
          <w:lang w:val="en-CA" w:eastAsia="en-CA"/>
        </w:rPr>
        <w:t xml:space="preserve"> set of aliquots. The growth curves from both sets of aliquots are plotted on the same graph and extrapolated to where they intersect above the dose axis, and the equivalent dose is read at that point. This is the ‘partial bleach’ technique (</w:t>
      </w:r>
      <w:proofErr w:type="spellStart"/>
      <w:r w:rsidRPr="00291C92">
        <w:rPr>
          <w:rFonts w:eastAsia="Arial Unicode MS" w:cs="Arial"/>
          <w:color w:val="000000"/>
          <w:szCs w:val="24"/>
          <w:lang w:val="en-CA" w:eastAsia="en-CA"/>
        </w:rPr>
        <w:t>Wintle</w:t>
      </w:r>
      <w:proofErr w:type="spellEnd"/>
      <w:r w:rsidRPr="00291C92">
        <w:rPr>
          <w:rFonts w:eastAsia="Arial Unicode MS" w:cs="Arial"/>
          <w:color w:val="000000"/>
          <w:szCs w:val="24"/>
          <w:lang w:val="en-CA" w:eastAsia="en-CA"/>
        </w:rPr>
        <w:t xml:space="preserve"> and Huntley, 1982, fig. 9). In some cases the partial bleach technique is simplified by replacing the </w:t>
      </w:r>
      <w:proofErr w:type="spellStart"/>
      <w:r w:rsidRPr="00291C92">
        <w:rPr>
          <w:rFonts w:eastAsia="Arial Unicode MS" w:cs="Arial"/>
          <w:color w:val="000000"/>
          <w:szCs w:val="24"/>
          <w:lang w:val="en-CA" w:eastAsia="en-CA"/>
        </w:rPr>
        <w:t>N+dose+bleach</w:t>
      </w:r>
      <w:proofErr w:type="spellEnd"/>
      <w:r w:rsidRPr="00291C92">
        <w:rPr>
          <w:rFonts w:eastAsia="Arial Unicode MS" w:cs="Arial"/>
          <w:color w:val="000000"/>
          <w:szCs w:val="24"/>
          <w:lang w:val="en-CA" w:eastAsia="en-CA"/>
        </w:rPr>
        <w:t xml:space="preserve"> set of aliquots by a single </w:t>
      </w:r>
      <w:proofErr w:type="spellStart"/>
      <w:r w:rsidRPr="00291C92">
        <w:rPr>
          <w:rFonts w:eastAsia="Arial Unicode MS" w:cs="Arial"/>
          <w:color w:val="000000"/>
          <w:szCs w:val="24"/>
          <w:lang w:val="en-CA" w:eastAsia="en-CA"/>
        </w:rPr>
        <w:t>N+bleach</w:t>
      </w:r>
      <w:proofErr w:type="spellEnd"/>
      <w:r w:rsidRPr="00291C92">
        <w:rPr>
          <w:rFonts w:eastAsia="Arial Unicode MS" w:cs="Arial"/>
          <w:color w:val="000000"/>
          <w:szCs w:val="24"/>
          <w:lang w:val="en-CA" w:eastAsia="en-CA"/>
        </w:rPr>
        <w:t xml:space="preserve"> point and a line is extended from it to where it intersects the </w:t>
      </w:r>
      <w:proofErr w:type="spellStart"/>
      <w:r w:rsidRPr="00291C92">
        <w:rPr>
          <w:rFonts w:eastAsia="Arial Unicode MS" w:cs="Arial"/>
          <w:color w:val="000000"/>
          <w:szCs w:val="24"/>
          <w:lang w:val="en-CA" w:eastAsia="en-CA"/>
        </w:rPr>
        <w:t>N+dose</w:t>
      </w:r>
      <w:proofErr w:type="spellEnd"/>
      <w:r w:rsidRPr="00291C92">
        <w:rPr>
          <w:rFonts w:eastAsia="Arial Unicode MS" w:cs="Arial"/>
          <w:color w:val="000000"/>
          <w:szCs w:val="24"/>
          <w:lang w:val="en-CA" w:eastAsia="en-CA"/>
        </w:rPr>
        <w:t xml:space="preserve"> curve. In other cases, where it is suspected that the sample received extended sunlight exposure prior to burial, the </w:t>
      </w:r>
      <w:proofErr w:type="spellStart"/>
      <w:r w:rsidRPr="00291C92">
        <w:rPr>
          <w:rFonts w:eastAsia="Arial Unicode MS" w:cs="Arial"/>
          <w:color w:val="000000"/>
          <w:szCs w:val="24"/>
          <w:lang w:val="en-CA" w:eastAsia="en-CA"/>
        </w:rPr>
        <w:t>N+dose+bleach</w:t>
      </w:r>
      <w:proofErr w:type="spellEnd"/>
      <w:r w:rsidRPr="00291C92">
        <w:rPr>
          <w:rFonts w:eastAsia="Arial Unicode MS" w:cs="Arial"/>
          <w:color w:val="000000"/>
          <w:szCs w:val="24"/>
          <w:lang w:val="en-CA" w:eastAsia="en-CA"/>
        </w:rPr>
        <w:t xml:space="preserve"> set (or </w:t>
      </w:r>
      <w:proofErr w:type="spellStart"/>
      <w:r w:rsidRPr="00291C92">
        <w:rPr>
          <w:rFonts w:eastAsia="Arial Unicode MS" w:cs="Arial"/>
          <w:color w:val="000000"/>
          <w:szCs w:val="24"/>
          <w:lang w:val="en-CA" w:eastAsia="en-CA"/>
        </w:rPr>
        <w:t>N+bleach</w:t>
      </w:r>
      <w:proofErr w:type="spellEnd"/>
      <w:r w:rsidRPr="00291C92">
        <w:rPr>
          <w:rFonts w:eastAsia="Arial Unicode MS" w:cs="Arial"/>
          <w:color w:val="000000"/>
          <w:szCs w:val="24"/>
          <w:lang w:val="en-CA" w:eastAsia="en-CA"/>
        </w:rPr>
        <w:t xml:space="preserve"> aliquot) is given a longer sunlight bleach to empty all light-sensitive traps, and this is referred to as the ‘total bleach’ method (</w:t>
      </w:r>
      <w:proofErr w:type="spellStart"/>
      <w:r w:rsidRPr="00291C92">
        <w:rPr>
          <w:rFonts w:eastAsia="Arial Unicode MS" w:cs="Arial"/>
          <w:color w:val="000000"/>
          <w:szCs w:val="24"/>
          <w:lang w:val="en-CA" w:eastAsia="en-CA"/>
        </w:rPr>
        <w:t>Wintle</w:t>
      </w:r>
      <w:proofErr w:type="spellEnd"/>
      <w:r w:rsidRPr="00291C92">
        <w:rPr>
          <w:rFonts w:eastAsia="Arial Unicode MS" w:cs="Arial"/>
          <w:color w:val="000000"/>
          <w:szCs w:val="24"/>
          <w:lang w:val="en-CA" w:eastAsia="en-CA"/>
        </w:rPr>
        <w:t xml:space="preserve"> and Huntley, 1979 a; </w:t>
      </w:r>
      <w:proofErr w:type="spellStart"/>
      <w:r w:rsidRPr="00291C92">
        <w:rPr>
          <w:rFonts w:eastAsia="Arial Unicode MS" w:cs="Arial"/>
          <w:color w:val="000000"/>
          <w:szCs w:val="24"/>
          <w:lang w:val="en-CA" w:eastAsia="en-CA"/>
        </w:rPr>
        <w:t>Singhvi</w:t>
      </w:r>
      <w:proofErr w:type="spellEnd"/>
      <w:r w:rsidRPr="00291C92">
        <w:rPr>
          <w:rFonts w:eastAsia="Arial Unicode MS" w:cs="Arial"/>
          <w:color w:val="000000"/>
          <w:szCs w:val="24"/>
          <w:lang w:val="en-CA" w:eastAsia="en-CA"/>
        </w:rPr>
        <w:t xml:space="preserve"> et al., 1982). Another approach is to give a set of aliquots prolonged exposure to light, to entirely remove the light-sensitive TL signal, and then give them various doses to construct an </w:t>
      </w:r>
      <w:proofErr w:type="spellStart"/>
      <w:r w:rsidRPr="00291C92">
        <w:rPr>
          <w:rFonts w:eastAsia="Arial Unicode MS" w:cs="Arial"/>
          <w:color w:val="000000"/>
          <w:szCs w:val="24"/>
          <w:lang w:val="en-CA" w:eastAsia="en-CA"/>
        </w:rPr>
        <w:t>N+bleach+dose</w:t>
      </w:r>
      <w:proofErr w:type="spellEnd"/>
      <w:r w:rsidRPr="00291C92">
        <w:rPr>
          <w:rFonts w:eastAsia="Arial Unicode MS" w:cs="Arial"/>
          <w:color w:val="000000"/>
          <w:szCs w:val="24"/>
          <w:lang w:val="en-CA" w:eastAsia="en-CA"/>
        </w:rPr>
        <w:t xml:space="preserve"> (regenerative) set. This regenerative set of data is shifted onto the </w:t>
      </w:r>
      <w:proofErr w:type="spellStart"/>
      <w:r w:rsidRPr="00291C92">
        <w:rPr>
          <w:rFonts w:eastAsia="Arial Unicode MS" w:cs="Arial"/>
          <w:color w:val="000000"/>
          <w:szCs w:val="24"/>
          <w:lang w:val="en-CA" w:eastAsia="en-CA"/>
        </w:rPr>
        <w:lastRenderedPageBreak/>
        <w:t>N+dose</w:t>
      </w:r>
      <w:proofErr w:type="spellEnd"/>
      <w:r w:rsidRPr="00291C92">
        <w:rPr>
          <w:rFonts w:eastAsia="Arial Unicode MS" w:cs="Arial"/>
          <w:color w:val="000000"/>
          <w:szCs w:val="24"/>
          <w:lang w:val="en-CA" w:eastAsia="en-CA"/>
        </w:rPr>
        <w:t xml:space="preserve"> set, and the magnitude of the shift is taken as the equivalent dose value; this technique is referred to as the ‘Australian Slide’ (AS) method due to its initial application to date a sequence of ancient coastal dunes in South Australia (Prescott et al. 1993). This method is preferred when the extrapolation of dose response curves required for the partial bleach method is large, which is common for old samples. The Australian Slide method also has the advantage of detecting the presence of any sensitivity change in the mineral (incurred by dosing, bleaching, and heating the sample in the laboratory) by comparing quantitatively the shapes of the two growth curves. </w:t>
      </w:r>
    </w:p>
    <w:p w14:paraId="4C6D06EC" w14:textId="2E7E636E" w:rsidR="00291C92" w:rsidRPr="00291C92" w:rsidRDefault="00291C92" w:rsidP="00036922">
      <w:pPr>
        <w:autoSpaceDE w:val="0"/>
        <w:autoSpaceDN w:val="0"/>
        <w:adjustRightInd w:val="0"/>
        <w:spacing w:after="0" w:line="480" w:lineRule="auto"/>
        <w:ind w:right="120" w:firstLine="720"/>
        <w:rPr>
          <w:rFonts w:eastAsia="Arial Unicode MS" w:cs="Arial"/>
          <w:color w:val="000000"/>
          <w:szCs w:val="24"/>
          <w:lang w:val="en-CA" w:eastAsia="en-CA"/>
        </w:rPr>
      </w:pPr>
      <w:r w:rsidRPr="00291C92">
        <w:rPr>
          <w:rFonts w:eastAsia="Arial Unicode MS" w:cs="Arial"/>
          <w:color w:val="000000"/>
          <w:szCs w:val="24"/>
          <w:lang w:val="en-CA" w:eastAsia="en-CA"/>
        </w:rPr>
        <w:t xml:space="preserve">For TL dating techniques, growth curves are constructed at various read temperatures, and these produce a set of equivalent dose values that are plotted as a function of temperature. For a sample that has received sufficient sunlight exposure prior to burial, and for which growth curve data are fitted with the appropriate function (curve), the equivalent dose values should plot as a plateau, and, for quartz, if this is the case, values between 325 and 400 °C (e.g., Huntley and Prescott, 2001) are typically averaged and used together with the sample’s environmental dose rate to estimate a TL age. </w:t>
      </w:r>
    </w:p>
    <w:p w14:paraId="0DAF607B" w14:textId="77777777" w:rsidR="00291C92" w:rsidRPr="00291C92" w:rsidRDefault="00291C92" w:rsidP="00291C92">
      <w:pPr>
        <w:autoSpaceDE w:val="0"/>
        <w:autoSpaceDN w:val="0"/>
        <w:adjustRightInd w:val="0"/>
        <w:spacing w:after="0" w:line="240" w:lineRule="auto"/>
        <w:rPr>
          <w:rFonts w:ascii="Arial Unicode MS" w:eastAsia="Arial Unicode MS" w:hAnsiTheme="minorHAnsi" w:cs="Arial Unicode MS"/>
          <w:color w:val="000000"/>
          <w:szCs w:val="24"/>
          <w:lang w:val="en-CA" w:eastAsia="en-CA"/>
        </w:rPr>
      </w:pPr>
    </w:p>
    <w:p w14:paraId="1C1512DF" w14:textId="77777777" w:rsidR="00291C92" w:rsidRPr="00291C92" w:rsidRDefault="00291C92" w:rsidP="00291C92">
      <w:pPr>
        <w:autoSpaceDE w:val="0"/>
        <w:autoSpaceDN w:val="0"/>
        <w:adjustRightInd w:val="0"/>
        <w:spacing w:after="0" w:line="480" w:lineRule="auto"/>
        <w:rPr>
          <w:rFonts w:eastAsia="Arial Unicode MS" w:cs="Arial"/>
          <w:color w:val="000000"/>
          <w:szCs w:val="24"/>
          <w:lang w:val="en-CA" w:eastAsia="en-CA"/>
        </w:rPr>
      </w:pPr>
      <w:r w:rsidRPr="00291C92">
        <w:rPr>
          <w:rFonts w:eastAsia="Arial Unicode MS" w:cs="Arial"/>
          <w:b/>
          <w:bCs/>
          <w:i/>
          <w:iCs/>
          <w:color w:val="000000"/>
          <w:szCs w:val="24"/>
          <w:lang w:val="en-CA" w:eastAsia="en-CA"/>
        </w:rPr>
        <w:t xml:space="preserve">Optically stimulated luminescence dating </w:t>
      </w:r>
    </w:p>
    <w:p w14:paraId="6F81B3B9" w14:textId="77777777" w:rsidR="00291C92" w:rsidRPr="00291C92" w:rsidRDefault="00291C92" w:rsidP="00291C92">
      <w:pPr>
        <w:tabs>
          <w:tab w:val="left" w:pos="5490"/>
        </w:tabs>
        <w:autoSpaceDE w:val="0"/>
        <w:autoSpaceDN w:val="0"/>
        <w:adjustRightInd w:val="0"/>
        <w:spacing w:after="0" w:line="480" w:lineRule="auto"/>
        <w:rPr>
          <w:rFonts w:eastAsia="Arial Unicode MS" w:cs="Arial"/>
          <w:color w:val="000000"/>
          <w:szCs w:val="24"/>
          <w:lang w:val="en-CA" w:eastAsia="en-CA"/>
        </w:rPr>
      </w:pPr>
      <w:r w:rsidRPr="00291C92">
        <w:rPr>
          <w:rFonts w:eastAsia="Arial Unicode MS" w:cs="Arial"/>
          <w:color w:val="000000"/>
          <w:szCs w:val="24"/>
          <w:lang w:val="en-CA" w:eastAsia="en-CA"/>
        </w:rPr>
        <w:t xml:space="preserve">A new luminescence dating technique was developed by Huntley et al. (1985) in which luminescence is produced by stimulation with light of a specific wavelength, or wavelength range, instead of by heat. This technique is called optical dating, and it is also commonly referred to as optically-stimulated luminescence (OSL) dating. It has advantages over TL dating in that the most light-sensitive electron traps can be measured directly (the OSL signal bleaches much more rapidly than the TL signal), and the experimental setup is simpler which leads to better precision. The first OSL </w:t>
      </w:r>
      <w:r w:rsidRPr="00291C92">
        <w:rPr>
          <w:rFonts w:eastAsia="Arial Unicode MS" w:cs="Arial"/>
          <w:color w:val="000000"/>
          <w:szCs w:val="24"/>
          <w:lang w:val="en-CA" w:eastAsia="en-CA"/>
        </w:rPr>
        <w:lastRenderedPageBreak/>
        <w:t xml:space="preserve">dating techniques were developed directly from those used for TL dating and therefore also required that many aliquots be made to construct dose response curves. Because aliquots cannot be made to be identical, they are normalised using the OSL measured over a short duration before any doses of laboratory radiation are administered. Since laboratory irradiation populates both thermally stable and thermally unstable traps, the aliquots are heated together before the OSL is measured to empty electrons from thermally unstable traps which would not have remained filled in the environment over geological timescales. This ‘preheating’ sometimes causes the unwanted transfer of electrons from light-insensitive traps to the traps of interest for dating, but it can be accounted for by including an </w:t>
      </w:r>
      <w:proofErr w:type="spellStart"/>
      <w:r w:rsidRPr="00291C92">
        <w:rPr>
          <w:rFonts w:eastAsia="Arial Unicode MS" w:cs="Arial"/>
          <w:color w:val="000000"/>
          <w:szCs w:val="24"/>
          <w:lang w:val="en-CA" w:eastAsia="en-CA"/>
        </w:rPr>
        <w:t>N+dose+bleach</w:t>
      </w:r>
      <w:proofErr w:type="spellEnd"/>
      <w:r w:rsidRPr="00291C92">
        <w:rPr>
          <w:rFonts w:eastAsia="Arial Unicode MS" w:cs="Arial"/>
          <w:color w:val="000000"/>
          <w:szCs w:val="24"/>
          <w:lang w:val="en-CA" w:eastAsia="en-CA"/>
        </w:rPr>
        <w:t xml:space="preserve"> set of aliquots (Huntley et al., 1993). Aliquots are measured one at a time and the OSL is recorded as a function of time, typically for 50 or 100 s. The result is a luminescence decay curve (shine-down curve) for each aliquot which is the sum of several individual curves (signal components), each representing a specific trap or trap population. For quartz, some of these signal components are useful for dating, while others are not; not all quartz samples have the same signal components, and the prominence of these components vary from sample to sample, and even between aliquots or single grains of the same sample. Dose response curves are constructed over intervals of measurement time and this approach can be used to crudely select the signal components of interest (there are more complex methods that can be used to more thoroughly and objectively separate signal components). Equivalent dose is found by extrapolation of the </w:t>
      </w:r>
      <w:proofErr w:type="spellStart"/>
      <w:r w:rsidRPr="00291C92">
        <w:rPr>
          <w:rFonts w:eastAsia="Arial Unicode MS" w:cs="Arial"/>
          <w:color w:val="000000"/>
          <w:szCs w:val="24"/>
          <w:lang w:val="en-CA" w:eastAsia="en-CA"/>
        </w:rPr>
        <w:t>N+dose</w:t>
      </w:r>
      <w:proofErr w:type="spellEnd"/>
      <w:r w:rsidRPr="00291C92">
        <w:rPr>
          <w:rFonts w:eastAsia="Arial Unicode MS" w:cs="Arial"/>
          <w:color w:val="000000"/>
          <w:szCs w:val="24"/>
          <w:lang w:val="en-CA" w:eastAsia="en-CA"/>
        </w:rPr>
        <w:t xml:space="preserve"> and </w:t>
      </w:r>
      <w:proofErr w:type="spellStart"/>
      <w:r w:rsidRPr="00291C92">
        <w:rPr>
          <w:rFonts w:eastAsia="Arial Unicode MS" w:cs="Arial"/>
          <w:color w:val="000000"/>
          <w:szCs w:val="24"/>
          <w:lang w:val="en-CA" w:eastAsia="en-CA"/>
        </w:rPr>
        <w:t>N+dose+bleach</w:t>
      </w:r>
      <w:proofErr w:type="spellEnd"/>
      <w:r w:rsidRPr="00291C92">
        <w:rPr>
          <w:rFonts w:eastAsia="Arial Unicode MS" w:cs="Arial"/>
          <w:color w:val="000000"/>
          <w:szCs w:val="24"/>
          <w:lang w:val="en-CA" w:eastAsia="en-CA"/>
        </w:rPr>
        <w:t xml:space="preserve"> data to where they intersect above the dose axis. In some cases the </w:t>
      </w:r>
      <w:proofErr w:type="spellStart"/>
      <w:r w:rsidRPr="00291C92">
        <w:rPr>
          <w:rFonts w:eastAsia="Arial Unicode MS" w:cs="Arial"/>
          <w:color w:val="000000"/>
          <w:szCs w:val="24"/>
          <w:lang w:val="en-CA" w:eastAsia="en-CA"/>
        </w:rPr>
        <w:t>N+dose+bleach</w:t>
      </w:r>
      <w:proofErr w:type="spellEnd"/>
      <w:r w:rsidRPr="00291C92">
        <w:rPr>
          <w:rFonts w:eastAsia="Arial Unicode MS" w:cs="Arial"/>
          <w:color w:val="000000"/>
          <w:szCs w:val="24"/>
          <w:lang w:val="en-CA" w:eastAsia="en-CA"/>
        </w:rPr>
        <w:t xml:space="preserve"> curve is omitted, if thermal transfer is found to be negligible, or it is replaced by a single </w:t>
      </w:r>
      <w:proofErr w:type="spellStart"/>
      <w:r w:rsidRPr="00291C92">
        <w:rPr>
          <w:rFonts w:eastAsia="Arial Unicode MS" w:cs="Arial"/>
          <w:color w:val="000000"/>
          <w:szCs w:val="24"/>
          <w:lang w:val="en-CA" w:eastAsia="en-CA"/>
        </w:rPr>
        <w:t>N+bleach</w:t>
      </w:r>
      <w:proofErr w:type="spellEnd"/>
      <w:r w:rsidRPr="00291C92">
        <w:rPr>
          <w:rFonts w:eastAsia="Arial Unicode MS" w:cs="Arial"/>
          <w:color w:val="000000"/>
          <w:szCs w:val="24"/>
          <w:lang w:val="en-CA" w:eastAsia="en-CA"/>
        </w:rPr>
        <w:t xml:space="preserve"> point as is done in the total bleach method used in TL </w:t>
      </w:r>
      <w:r w:rsidRPr="00291C92">
        <w:rPr>
          <w:rFonts w:eastAsia="Arial Unicode MS" w:cs="Arial"/>
          <w:color w:val="000000"/>
          <w:szCs w:val="24"/>
          <w:lang w:val="en-CA" w:eastAsia="en-CA"/>
        </w:rPr>
        <w:lastRenderedPageBreak/>
        <w:t xml:space="preserve">dating. The AS method, already described for TL dating, is also applicable to OSL dating. </w:t>
      </w:r>
    </w:p>
    <w:p w14:paraId="5DD8C1AE" w14:textId="77777777" w:rsidR="00291C92" w:rsidRPr="00291C92" w:rsidRDefault="00291C92" w:rsidP="00291C92">
      <w:pPr>
        <w:widowControl w:val="0"/>
        <w:autoSpaceDE w:val="0"/>
        <w:autoSpaceDN w:val="0"/>
        <w:adjustRightInd w:val="0"/>
        <w:spacing w:after="0" w:line="240" w:lineRule="auto"/>
        <w:rPr>
          <w:rFonts w:ascii="Arial Unicode MS" w:eastAsia="Arial Unicode MS" w:hAnsiTheme="minorHAnsi" w:cs="Arial Unicode MS"/>
          <w:color w:val="000000"/>
          <w:szCs w:val="24"/>
          <w:lang w:val="en-CA" w:eastAsia="en-CA"/>
        </w:rPr>
      </w:pPr>
    </w:p>
    <w:p w14:paraId="5F8B2B9E" w14:textId="77777777" w:rsidR="00291C92" w:rsidRPr="00291C92" w:rsidRDefault="00291C92" w:rsidP="00291C92">
      <w:pPr>
        <w:autoSpaceDE w:val="0"/>
        <w:autoSpaceDN w:val="0"/>
        <w:adjustRightInd w:val="0"/>
        <w:spacing w:after="0" w:line="480" w:lineRule="auto"/>
        <w:rPr>
          <w:rFonts w:eastAsia="Arial Unicode MS" w:cs="Arial"/>
          <w:i/>
          <w:iCs/>
          <w:color w:val="000000"/>
          <w:szCs w:val="24"/>
          <w:lang w:val="en-CA" w:eastAsia="en-CA"/>
        </w:rPr>
      </w:pPr>
      <w:r w:rsidRPr="00291C92">
        <w:rPr>
          <w:rFonts w:eastAsia="Arial Unicode MS" w:cs="Arial"/>
          <w:i/>
          <w:iCs/>
          <w:color w:val="000000"/>
          <w:szCs w:val="24"/>
          <w:lang w:val="en-CA" w:eastAsia="en-CA"/>
        </w:rPr>
        <w:t>The single-aliquot regenerative-dose (SAR) technique</w:t>
      </w:r>
    </w:p>
    <w:p w14:paraId="79152C74" w14:textId="77777777" w:rsidR="00291C92" w:rsidRPr="00291C92" w:rsidRDefault="00291C92" w:rsidP="00291C92">
      <w:pPr>
        <w:autoSpaceDE w:val="0"/>
        <w:autoSpaceDN w:val="0"/>
        <w:adjustRightInd w:val="0"/>
        <w:spacing w:after="0" w:line="480" w:lineRule="auto"/>
        <w:rPr>
          <w:rFonts w:eastAsia="Arial Unicode MS" w:cs="Arial"/>
          <w:color w:val="000000"/>
          <w:szCs w:val="24"/>
          <w:lang w:val="en-CA" w:eastAsia="en-CA"/>
        </w:rPr>
      </w:pPr>
      <w:r w:rsidRPr="00291C92">
        <w:rPr>
          <w:rFonts w:eastAsia="Arial Unicode MS" w:cs="Arial"/>
          <w:color w:val="000000"/>
          <w:szCs w:val="24"/>
          <w:lang w:val="en-CA" w:eastAsia="en-CA"/>
        </w:rPr>
        <w:t xml:space="preserve">Shortly after the development of the first multiple aliquot OSL dating methods, protocols were introduced that allowed an equivalent dose value to be determined from a single aliquot of prepared sediment, which could consist many grains or just a single grain (Stokes, 1994; Murray and Roberts, 1997). This allows for much small sample sizes to be measured, and samples that consist of populations of grains with various environmental bleaching histories, or different luminescence signal characteristics, can potentially be scrutinised; it also eliminates the need for normalisation. This lead to the development of statistical techniques that can be used to estimate representative equivalent dose values (and ages) from those produced from many aliquots (e.g., Galbraith et al., 1999; Roberts et al., 2000). </w:t>
      </w:r>
    </w:p>
    <w:p w14:paraId="3C575919" w14:textId="77777777" w:rsidR="00291C92" w:rsidRPr="00291C92" w:rsidRDefault="00291C92" w:rsidP="00291C92">
      <w:pPr>
        <w:autoSpaceDE w:val="0"/>
        <w:autoSpaceDN w:val="0"/>
        <w:adjustRightInd w:val="0"/>
        <w:spacing w:after="0" w:line="480" w:lineRule="auto"/>
        <w:rPr>
          <w:rFonts w:eastAsia="Arial Unicode MS" w:cs="Arial"/>
          <w:color w:val="000000"/>
          <w:szCs w:val="24"/>
          <w:lang w:val="en-CA" w:eastAsia="en-CA"/>
        </w:rPr>
      </w:pPr>
      <w:r w:rsidRPr="00291C92">
        <w:rPr>
          <w:rFonts w:eastAsia="Arial Unicode MS" w:cs="Arial"/>
          <w:color w:val="000000"/>
          <w:szCs w:val="24"/>
          <w:lang w:val="en-CA" w:eastAsia="en-CA"/>
        </w:rPr>
        <w:t>The first single aliquot techniques consisted of a simple single-aliquot additive-dose (SAAD) protocol, and a ‘single-aliquot regeneration and added-dose’ (SARA) protocol (</w:t>
      </w:r>
      <w:proofErr w:type="spellStart"/>
      <w:r w:rsidRPr="00291C92">
        <w:rPr>
          <w:rFonts w:eastAsia="Arial Unicode MS" w:cs="Arial"/>
          <w:color w:val="000000"/>
          <w:szCs w:val="24"/>
          <w:lang w:val="en-CA" w:eastAsia="en-CA"/>
        </w:rPr>
        <w:t>Mejdahl</w:t>
      </w:r>
      <w:proofErr w:type="spellEnd"/>
      <w:r w:rsidRPr="00291C92">
        <w:rPr>
          <w:rFonts w:eastAsia="Arial Unicode MS" w:cs="Arial"/>
          <w:color w:val="000000"/>
          <w:szCs w:val="24"/>
          <w:lang w:val="en-CA" w:eastAsia="en-CA"/>
        </w:rPr>
        <w:t xml:space="preserve"> and </w:t>
      </w:r>
      <w:proofErr w:type="spellStart"/>
      <w:r w:rsidRPr="00291C92">
        <w:rPr>
          <w:rFonts w:eastAsia="Arial Unicode MS" w:cs="Arial"/>
          <w:color w:val="000000"/>
          <w:szCs w:val="24"/>
          <w:lang w:val="en-CA" w:eastAsia="en-CA"/>
        </w:rPr>
        <w:t>Bøtter</w:t>
      </w:r>
      <w:proofErr w:type="spellEnd"/>
      <w:r w:rsidRPr="00291C92">
        <w:rPr>
          <w:rFonts w:eastAsia="Arial Unicode MS" w:cs="Arial"/>
          <w:color w:val="000000"/>
          <w:szCs w:val="24"/>
          <w:lang w:val="en-CA" w:eastAsia="en-CA"/>
        </w:rPr>
        <w:t xml:space="preserve">-Jensen, 1994). But because these protocols required that each aliquot be dosed, heated, and measured several times, the sensitivity of the aliquot changed with each cycle (e.g., Armitage et al., 2000) and this had to be corrected for. This correction was usually done by monitoring sensitivity changes in a second aliquot of the same sample. These methods were therefore not strictly single-aliquot protocols, but they later became so by instead monitoring changes to the sensitivity in the 110°C TL peak (for quartz). This approach was later improved further by alternatively monitoring sensitivity changes in the OSL measured after a ‘test dose’, which is administered immediately after the OSL is measured from the natural and each regenerative dose. This protocol includes internal checks for </w:t>
      </w:r>
      <w:r w:rsidRPr="00291C92">
        <w:rPr>
          <w:rFonts w:eastAsia="Arial Unicode MS" w:cs="Arial"/>
          <w:color w:val="000000"/>
          <w:szCs w:val="24"/>
          <w:lang w:val="en-CA" w:eastAsia="en-CA"/>
        </w:rPr>
        <w:lastRenderedPageBreak/>
        <w:t xml:space="preserve">thermal transfer (recuperation) and for the efficacy of the chosen test dose to correct for sensitivity change, and it also called for a subsequent experiment to test the utility of the protocol to recover a known dose of laboratory radiation, similar in magnitude to what it had absorbed in the environment (the dose recovery test). It has become the standard single-aliquot regenerative-dose (SAR) protocol used today for dating both quartz (Murray and </w:t>
      </w:r>
      <w:proofErr w:type="spellStart"/>
      <w:r w:rsidRPr="00291C92">
        <w:rPr>
          <w:rFonts w:eastAsia="Arial Unicode MS" w:cs="Arial"/>
          <w:color w:val="000000"/>
          <w:szCs w:val="24"/>
          <w:lang w:val="en-CA" w:eastAsia="en-CA"/>
        </w:rPr>
        <w:t>Wintle</w:t>
      </w:r>
      <w:proofErr w:type="spellEnd"/>
      <w:r w:rsidRPr="00291C92">
        <w:rPr>
          <w:rFonts w:eastAsia="Arial Unicode MS" w:cs="Arial"/>
          <w:color w:val="000000"/>
          <w:szCs w:val="24"/>
          <w:lang w:val="en-CA" w:eastAsia="en-CA"/>
        </w:rPr>
        <w:t xml:space="preserve">, 2000, 2003; </w:t>
      </w:r>
      <w:proofErr w:type="spellStart"/>
      <w:r w:rsidRPr="00291C92">
        <w:rPr>
          <w:rFonts w:eastAsia="Arial Unicode MS" w:cs="Arial"/>
          <w:color w:val="000000"/>
          <w:szCs w:val="24"/>
          <w:lang w:val="en-CA" w:eastAsia="en-CA"/>
        </w:rPr>
        <w:t>Wintle</w:t>
      </w:r>
      <w:proofErr w:type="spellEnd"/>
      <w:r w:rsidRPr="00291C92">
        <w:rPr>
          <w:rFonts w:eastAsia="Arial Unicode MS" w:cs="Arial"/>
          <w:color w:val="000000"/>
          <w:szCs w:val="24"/>
          <w:lang w:val="en-CA" w:eastAsia="en-CA"/>
        </w:rPr>
        <w:t xml:space="preserve"> and Murray, 2006) and feldspar. Subsequent development has included use of different OSL signals, such as the thermally-transferred OSL signal from quartz, which is discussed below in the context of this paper, to extend the upper age limit of the method.</w:t>
      </w:r>
    </w:p>
    <w:p w14:paraId="7E01F0C4" w14:textId="77777777" w:rsidR="00291C92" w:rsidRPr="00291C92" w:rsidRDefault="00291C92" w:rsidP="00291C92">
      <w:pPr>
        <w:widowControl w:val="0"/>
        <w:autoSpaceDE w:val="0"/>
        <w:autoSpaceDN w:val="0"/>
        <w:adjustRightInd w:val="0"/>
        <w:spacing w:after="0" w:line="240" w:lineRule="auto"/>
        <w:rPr>
          <w:rFonts w:ascii="Arial Unicode MS" w:eastAsia="Arial Unicode MS" w:hAnsiTheme="minorHAnsi" w:cs="Arial Unicode MS"/>
          <w:color w:val="000000"/>
          <w:szCs w:val="24"/>
          <w:lang w:val="en-CA" w:eastAsia="en-CA"/>
        </w:rPr>
      </w:pPr>
    </w:p>
    <w:p w14:paraId="2B7E837E" w14:textId="77777777" w:rsidR="00291C92" w:rsidRPr="00291C92" w:rsidRDefault="00291C92" w:rsidP="00291C92">
      <w:pPr>
        <w:autoSpaceDE w:val="0"/>
        <w:autoSpaceDN w:val="0"/>
        <w:adjustRightInd w:val="0"/>
        <w:spacing w:after="0" w:line="480" w:lineRule="auto"/>
        <w:rPr>
          <w:rFonts w:eastAsia="Arial Unicode MS" w:cs="Arial"/>
          <w:i/>
          <w:iCs/>
          <w:color w:val="000000"/>
          <w:szCs w:val="24"/>
          <w:lang w:val="en-CA" w:eastAsia="en-CA"/>
        </w:rPr>
      </w:pPr>
      <w:r w:rsidRPr="00291C92">
        <w:rPr>
          <w:rFonts w:eastAsia="Arial Unicode MS" w:cs="Arial"/>
          <w:i/>
          <w:iCs/>
          <w:color w:val="000000"/>
          <w:szCs w:val="24"/>
          <w:lang w:val="en-CA" w:eastAsia="en-CA"/>
        </w:rPr>
        <w:t>Age evaluation and sources of uncertainty</w:t>
      </w:r>
    </w:p>
    <w:p w14:paraId="54F20A5C" w14:textId="77777777" w:rsidR="00036922" w:rsidRDefault="00291C92" w:rsidP="00291C92">
      <w:pPr>
        <w:autoSpaceDE w:val="0"/>
        <w:autoSpaceDN w:val="0"/>
        <w:adjustRightInd w:val="0"/>
        <w:spacing w:after="0" w:line="480" w:lineRule="auto"/>
        <w:rPr>
          <w:rFonts w:eastAsia="Arial Unicode MS" w:cs="Arial"/>
          <w:color w:val="000000"/>
          <w:szCs w:val="24"/>
          <w:lang w:val="en-CA" w:eastAsia="en-CA"/>
        </w:rPr>
      </w:pPr>
      <w:r w:rsidRPr="00291C92">
        <w:rPr>
          <w:rFonts w:eastAsia="Arial Unicode MS" w:cs="Arial"/>
          <w:color w:val="000000"/>
          <w:szCs w:val="24"/>
          <w:lang w:val="en-CA" w:eastAsia="en-CA"/>
        </w:rPr>
        <w:t xml:space="preserve">It is important to recognise that all luminescence dating techniques are inherently experimental. This is because the luminescence characteristics of quartz (and feldspar) vary from site to site, and even within a single site. Preliminary experiments are therefore usually conducted to ascertain the character of the OSL (or TL) signal in order to identify and isolate the most easily bleached thermally-stable component(s) and to identify the most efficient preheat temperature(s). The factors that lead to uncertainty in the determination of a sample’s environmental dose rate are site dependent, and are influenced by uncertainty about a sample’s water content and its burial depth over time, by the degree of knowledge of local variations in the concentrations of relevant radioisotopes in the sediment matrix (on both the macro and micro scales), and how these may have changed over time, and by assumptions made about the degree of equilibrium in their decay chains. There are also uncertainties associated with the radioisotope content within the grains, but this is relatively minor when dating quartz. And of course the fundamental conditions that the mineral grains sampled were exposed to sufficient sunlight prior to burial, and </w:t>
      </w:r>
      <w:r w:rsidRPr="00291C92">
        <w:rPr>
          <w:rFonts w:eastAsia="Arial Unicode MS" w:cs="Arial"/>
          <w:color w:val="000000"/>
          <w:szCs w:val="24"/>
          <w:lang w:val="en-CA" w:eastAsia="en-CA"/>
        </w:rPr>
        <w:lastRenderedPageBreak/>
        <w:t xml:space="preserve">that they have not been mixed with older or younger grain populations after burial, has to be satisfied (or at least accounted for later) and this is not always the case even for </w:t>
      </w:r>
      <w:proofErr w:type="spellStart"/>
      <w:r w:rsidRPr="00291C92">
        <w:rPr>
          <w:rFonts w:eastAsia="Arial Unicode MS" w:cs="Arial"/>
          <w:color w:val="000000"/>
          <w:szCs w:val="24"/>
          <w:lang w:val="en-CA" w:eastAsia="en-CA"/>
        </w:rPr>
        <w:t>aeolian</w:t>
      </w:r>
      <w:proofErr w:type="spellEnd"/>
      <w:r w:rsidRPr="00291C92">
        <w:rPr>
          <w:rFonts w:eastAsia="Arial Unicode MS" w:cs="Arial"/>
          <w:color w:val="000000"/>
          <w:szCs w:val="24"/>
          <w:lang w:val="en-CA" w:eastAsia="en-CA"/>
        </w:rPr>
        <w:t xml:space="preserve"> sediments (e.g., </w:t>
      </w:r>
      <w:proofErr w:type="spellStart"/>
      <w:r w:rsidRPr="00291C92">
        <w:rPr>
          <w:rFonts w:eastAsia="Arial Unicode MS" w:cs="Arial"/>
          <w:color w:val="000000"/>
          <w:szCs w:val="24"/>
          <w:lang w:val="en-CA" w:eastAsia="en-CA"/>
        </w:rPr>
        <w:t>Lian</w:t>
      </w:r>
      <w:proofErr w:type="spellEnd"/>
      <w:r w:rsidRPr="00291C92">
        <w:rPr>
          <w:rFonts w:eastAsia="Arial Unicode MS" w:cs="Arial"/>
          <w:color w:val="000000"/>
          <w:szCs w:val="24"/>
          <w:lang w:val="en-CA" w:eastAsia="en-CA"/>
        </w:rPr>
        <w:t xml:space="preserve"> and Huntley, 1999; Cohen et al., 2010). </w:t>
      </w:r>
    </w:p>
    <w:p w14:paraId="2F874F04" w14:textId="6484590A" w:rsidR="00291C92" w:rsidRPr="00291C92" w:rsidRDefault="00291C92" w:rsidP="00036922">
      <w:pPr>
        <w:autoSpaceDE w:val="0"/>
        <w:autoSpaceDN w:val="0"/>
        <w:adjustRightInd w:val="0"/>
        <w:spacing w:after="0" w:line="480" w:lineRule="auto"/>
        <w:ind w:firstLine="709"/>
        <w:rPr>
          <w:rFonts w:eastAsia="Arial Unicode MS" w:cs="Arial"/>
          <w:color w:val="000000"/>
          <w:szCs w:val="24"/>
          <w:lang w:val="en-CA" w:eastAsia="en-CA"/>
        </w:rPr>
      </w:pPr>
      <w:r w:rsidRPr="00291C92">
        <w:rPr>
          <w:rFonts w:eastAsia="Arial Unicode MS" w:cs="Arial"/>
          <w:color w:val="000000"/>
          <w:szCs w:val="24"/>
          <w:lang w:val="en-CA" w:eastAsia="en-CA"/>
        </w:rPr>
        <w:t>The best check to see if a luminescence dating protocol is able to effectively estimate burial age at a particular site is to compare ages with those derived using reliable independent method at the same stratigraphic position. This was proposed as an acceptance criterion in one of the seminal papers on luminescence dating of sediments (</w:t>
      </w:r>
      <w:proofErr w:type="spellStart"/>
      <w:r w:rsidRPr="00291C92">
        <w:rPr>
          <w:rFonts w:eastAsia="Arial Unicode MS" w:cs="Arial"/>
          <w:color w:val="000000"/>
          <w:szCs w:val="24"/>
          <w:lang w:val="en-CA" w:eastAsia="en-CA"/>
        </w:rPr>
        <w:t>Wintle</w:t>
      </w:r>
      <w:proofErr w:type="spellEnd"/>
      <w:r w:rsidRPr="00291C92">
        <w:rPr>
          <w:rFonts w:eastAsia="Arial Unicode MS" w:cs="Arial"/>
          <w:color w:val="000000"/>
          <w:szCs w:val="24"/>
          <w:lang w:val="en-CA" w:eastAsia="en-CA"/>
        </w:rPr>
        <w:t xml:space="preserve"> and Huntley, 1982). In practice, however, this is often difficult to do when working with </w:t>
      </w:r>
      <w:proofErr w:type="spellStart"/>
      <w:r w:rsidRPr="00291C92">
        <w:rPr>
          <w:rFonts w:eastAsia="Arial Unicode MS" w:cs="Arial"/>
          <w:color w:val="000000"/>
          <w:szCs w:val="24"/>
          <w:lang w:val="en-CA" w:eastAsia="en-CA"/>
        </w:rPr>
        <w:t>aeolian</w:t>
      </w:r>
      <w:proofErr w:type="spellEnd"/>
      <w:r w:rsidRPr="00291C92">
        <w:rPr>
          <w:rFonts w:eastAsia="Arial Unicode MS" w:cs="Arial"/>
          <w:color w:val="000000"/>
          <w:szCs w:val="24"/>
          <w:lang w:val="en-CA" w:eastAsia="en-CA"/>
        </w:rPr>
        <w:t xml:space="preserve"> landforms, especially dunes, as the applicability of other dating methods to the </w:t>
      </w:r>
      <w:proofErr w:type="spellStart"/>
      <w:r w:rsidRPr="00291C92">
        <w:rPr>
          <w:rFonts w:eastAsia="Arial Unicode MS" w:cs="Arial"/>
          <w:color w:val="000000"/>
          <w:szCs w:val="24"/>
          <w:lang w:val="en-CA" w:eastAsia="en-CA"/>
        </w:rPr>
        <w:t>aeolian</w:t>
      </w:r>
      <w:proofErr w:type="spellEnd"/>
      <w:r w:rsidRPr="00291C92">
        <w:rPr>
          <w:rFonts w:eastAsia="Arial Unicode MS" w:cs="Arial"/>
          <w:color w:val="000000"/>
          <w:szCs w:val="24"/>
          <w:lang w:val="en-CA" w:eastAsia="en-CA"/>
        </w:rPr>
        <w:t xml:space="preserve"> environment is rare; however, good consistency has been found in many cases, for example, see Rhodes (2011, fig. 10). Moreover, not all practitioners publish experimental procedures with the same level of detail, and this commonly makes comparison between studies challenging, and differences in ages, even within a single study, difficult to assess. And even in cases where detailed experimental work has been performed, and has been well presented, discrepancies between ages found using different luminescence dating methods can be difficult to understand (e.g., Mueller et al., 2018). It is therefore not possible to conclude that a luminescence dating protocol(s) that has been demonstrated to be successful at one site will also be useful at another site; all that can be said is that it is likely to be successful there as well, sometimes after some modification. These sentiments have been exemplified by Hesse (2016) who provides an analysis of nearly 700 OSL and TL ages, found using various laboratory protocols, using both multiple and single aliquot techniques, associated with Australian continental </w:t>
      </w:r>
      <w:proofErr w:type="spellStart"/>
      <w:r w:rsidRPr="00291C92">
        <w:rPr>
          <w:rFonts w:eastAsia="Arial Unicode MS" w:cs="Arial"/>
          <w:color w:val="000000"/>
          <w:szCs w:val="24"/>
          <w:lang w:val="en-CA" w:eastAsia="en-CA"/>
        </w:rPr>
        <w:t>aeolian</w:t>
      </w:r>
      <w:proofErr w:type="spellEnd"/>
      <w:r w:rsidRPr="00291C92">
        <w:rPr>
          <w:rFonts w:eastAsia="Arial Unicode MS" w:cs="Arial"/>
          <w:color w:val="000000"/>
          <w:szCs w:val="24"/>
          <w:lang w:val="en-CA" w:eastAsia="en-CA"/>
        </w:rPr>
        <w:t xml:space="preserve"> dunes (coastal dunes and lunettes were excluded in his review), including those in Tasmania. He did find, however, that the published data sets of age values for this </w:t>
      </w:r>
      <w:r w:rsidRPr="00291C92">
        <w:rPr>
          <w:rFonts w:eastAsia="Arial Unicode MS" w:cs="Arial"/>
          <w:color w:val="000000"/>
          <w:szCs w:val="24"/>
          <w:lang w:val="en-CA" w:eastAsia="en-CA"/>
        </w:rPr>
        <w:lastRenderedPageBreak/>
        <w:t xml:space="preserve">region contained very few internal inconsistencies, such as age reversals (Hesse, 2016). </w:t>
      </w:r>
    </w:p>
    <w:p w14:paraId="74EF28E9" w14:textId="77777777" w:rsidR="00291C92" w:rsidRPr="00291C92" w:rsidRDefault="00291C92" w:rsidP="00291C92">
      <w:pPr>
        <w:widowControl w:val="0"/>
        <w:autoSpaceDE w:val="0"/>
        <w:autoSpaceDN w:val="0"/>
        <w:adjustRightInd w:val="0"/>
        <w:spacing w:after="0" w:line="240" w:lineRule="auto"/>
        <w:rPr>
          <w:rFonts w:ascii="Arial Unicode MS" w:eastAsia="Arial Unicode MS" w:hAnsiTheme="minorHAnsi" w:cs="Arial Unicode MS"/>
          <w:color w:val="000000"/>
          <w:szCs w:val="24"/>
          <w:lang w:val="en-CA" w:eastAsia="en-CA"/>
        </w:rPr>
      </w:pPr>
    </w:p>
    <w:p w14:paraId="16017865" w14:textId="77777777" w:rsidR="00291C92" w:rsidRPr="00291C92" w:rsidRDefault="00291C92" w:rsidP="00291C92">
      <w:pPr>
        <w:autoSpaceDE w:val="0"/>
        <w:autoSpaceDN w:val="0"/>
        <w:adjustRightInd w:val="0"/>
        <w:spacing w:after="0" w:line="480" w:lineRule="auto"/>
        <w:rPr>
          <w:rFonts w:eastAsia="Arial Unicode MS" w:cs="Arial"/>
          <w:color w:val="000000"/>
          <w:szCs w:val="24"/>
          <w:lang w:val="en-CA" w:eastAsia="en-CA"/>
        </w:rPr>
      </w:pPr>
      <w:r w:rsidRPr="00291C92">
        <w:rPr>
          <w:rFonts w:eastAsia="Arial Unicode MS" w:cs="Arial"/>
          <w:b/>
          <w:bCs/>
          <w:i/>
          <w:iCs/>
          <w:color w:val="000000"/>
          <w:szCs w:val="24"/>
          <w:lang w:val="en-CA" w:eastAsia="en-CA"/>
        </w:rPr>
        <w:t xml:space="preserve">Luminescence dating methods relevant to this study </w:t>
      </w:r>
    </w:p>
    <w:p w14:paraId="51747702" w14:textId="77777777" w:rsidR="00291C92" w:rsidRPr="00291C92" w:rsidRDefault="00291C92" w:rsidP="00291C92">
      <w:pPr>
        <w:autoSpaceDE w:val="0"/>
        <w:autoSpaceDN w:val="0"/>
        <w:adjustRightInd w:val="0"/>
        <w:spacing w:after="0" w:line="480" w:lineRule="auto"/>
        <w:rPr>
          <w:rFonts w:eastAsia="Arial Unicode MS" w:cs="Arial"/>
          <w:color w:val="000000"/>
          <w:szCs w:val="24"/>
          <w:lang w:val="en-CA" w:eastAsia="en-CA"/>
        </w:rPr>
      </w:pPr>
      <w:r w:rsidRPr="00291C92">
        <w:rPr>
          <w:rFonts w:eastAsia="Arial Unicode MS" w:cs="Arial"/>
          <w:color w:val="000000"/>
          <w:szCs w:val="24"/>
          <w:lang w:val="en-CA" w:eastAsia="en-CA"/>
        </w:rPr>
        <w:t>The geochronology of most sites in Tasmania discussed in this paper come mainly from TL ages derived using the method of Shepherd and Price (1990). Some sites include OSL ages determined using the SAR method (</w:t>
      </w:r>
      <w:proofErr w:type="spellStart"/>
      <w:r w:rsidRPr="00291C92">
        <w:rPr>
          <w:rFonts w:eastAsia="Arial Unicode MS" w:cs="Arial"/>
          <w:color w:val="000000"/>
          <w:szCs w:val="24"/>
          <w:lang w:val="en-CA" w:eastAsia="en-CA"/>
        </w:rPr>
        <w:t>Wintle</w:t>
      </w:r>
      <w:proofErr w:type="spellEnd"/>
      <w:r w:rsidRPr="00291C92">
        <w:rPr>
          <w:rFonts w:eastAsia="Arial Unicode MS" w:cs="Arial"/>
          <w:color w:val="000000"/>
          <w:szCs w:val="24"/>
          <w:lang w:val="en-CA" w:eastAsia="en-CA"/>
        </w:rPr>
        <w:t xml:space="preserve"> and Murray, 2000), and one site, Southwood B dune, has been dated using thermally-transferred (TT) OSL signals and the SAR method, which has been shown to be successful in dating sediments that are beyond the upper age limit of more traditional OSL methods. </w:t>
      </w:r>
    </w:p>
    <w:p w14:paraId="7C066A07" w14:textId="77777777" w:rsidR="00291C92" w:rsidRPr="00291C92" w:rsidRDefault="00291C92" w:rsidP="00291C92">
      <w:pPr>
        <w:widowControl w:val="0"/>
        <w:autoSpaceDE w:val="0"/>
        <w:autoSpaceDN w:val="0"/>
        <w:adjustRightInd w:val="0"/>
        <w:spacing w:after="0" w:line="240" w:lineRule="auto"/>
        <w:rPr>
          <w:rFonts w:ascii="Arial Unicode MS" w:eastAsia="Arial Unicode MS" w:hAnsiTheme="minorHAnsi" w:cs="Arial Unicode MS"/>
          <w:color w:val="000000"/>
          <w:szCs w:val="24"/>
          <w:lang w:val="en-CA" w:eastAsia="en-CA"/>
        </w:rPr>
      </w:pPr>
    </w:p>
    <w:p w14:paraId="1D1E9ABC" w14:textId="77777777" w:rsidR="00291C92" w:rsidRPr="00291C92" w:rsidRDefault="00291C92" w:rsidP="00291C92">
      <w:pPr>
        <w:autoSpaceDE w:val="0"/>
        <w:autoSpaceDN w:val="0"/>
        <w:adjustRightInd w:val="0"/>
        <w:spacing w:after="0" w:line="480" w:lineRule="auto"/>
        <w:rPr>
          <w:rFonts w:eastAsia="Arial Unicode MS" w:cs="Arial"/>
          <w:iCs/>
          <w:color w:val="000000"/>
          <w:szCs w:val="24"/>
          <w:lang w:val="en-CA" w:eastAsia="en-CA"/>
        </w:rPr>
      </w:pPr>
      <w:r w:rsidRPr="00291C92">
        <w:rPr>
          <w:rFonts w:eastAsia="Arial Unicode MS" w:cs="Arial"/>
          <w:i/>
          <w:iCs/>
          <w:color w:val="000000"/>
          <w:szCs w:val="24"/>
          <w:lang w:val="en-CA" w:eastAsia="en-CA"/>
        </w:rPr>
        <w:t xml:space="preserve">The TL method of Shepherd and Price (1990) </w:t>
      </w:r>
    </w:p>
    <w:p w14:paraId="3A22F271" w14:textId="23E547B1" w:rsidR="00291C92" w:rsidRPr="00291C92" w:rsidRDefault="00291C92" w:rsidP="00036922">
      <w:pPr>
        <w:autoSpaceDE w:val="0"/>
        <w:autoSpaceDN w:val="0"/>
        <w:adjustRightInd w:val="0"/>
        <w:spacing w:after="0" w:line="480" w:lineRule="auto"/>
        <w:rPr>
          <w:rFonts w:eastAsia="Arial Unicode MS" w:cs="Arial"/>
          <w:color w:val="000000"/>
          <w:szCs w:val="24"/>
          <w:lang w:val="en-CA" w:eastAsia="en-CA"/>
        </w:rPr>
      </w:pPr>
      <w:r w:rsidRPr="00291C92">
        <w:rPr>
          <w:rFonts w:eastAsia="Arial Unicode MS" w:cs="Arial"/>
          <w:color w:val="000000"/>
          <w:szCs w:val="24"/>
          <w:lang w:val="en-CA" w:eastAsia="en-CA"/>
        </w:rPr>
        <w:t xml:space="preserve">The TL method of Shepherd and Price (1990), which essentially is that described by </w:t>
      </w:r>
      <w:proofErr w:type="spellStart"/>
      <w:r w:rsidRPr="00291C92">
        <w:rPr>
          <w:rFonts w:eastAsia="Arial Unicode MS" w:cs="Arial"/>
          <w:color w:val="000000"/>
          <w:szCs w:val="24"/>
          <w:lang w:val="en-CA" w:eastAsia="en-CA"/>
        </w:rPr>
        <w:t>Readhead</w:t>
      </w:r>
      <w:proofErr w:type="spellEnd"/>
      <w:r w:rsidRPr="00291C92">
        <w:rPr>
          <w:rFonts w:eastAsia="Arial Unicode MS" w:cs="Arial"/>
          <w:color w:val="000000"/>
          <w:szCs w:val="24"/>
          <w:lang w:val="en-CA" w:eastAsia="en-CA"/>
        </w:rPr>
        <w:t xml:space="preserve"> (1988), was developed from the early methods described above. It is a combined multiple-aliquot additive and regenerative dose procedure. The TL growth curve in this instance is derived from aliquots that have had the bleachable fractions of their TL signals removed by exposure to an ultraviolet lamp. They are then given, in groups, successively increasing (regenerative) doses of radiation prior to TL measurement. Aliquot-to-aliquot variations in TL intensity is normalised using an “irradiation/second glow” procedure, and TL sensitivity differences between the natural aliquots, and the aliquots that had been bleached in the laboratory, are checked by overlaying the first growth curve (above) with a growth curve generated from natural (unbleached) aliquots that are subsequently given a series of radiation (additive) doses, much like the sensitivity check that is inherent to the AS method. As mentioned earlier, TL ages derived using multiple aliquot techniques require many aliquots of prepared sample to generate a single age. Therefore, TL dating </w:t>
      </w:r>
      <w:r w:rsidRPr="00291C92">
        <w:rPr>
          <w:rFonts w:eastAsia="Arial Unicode MS" w:cs="Arial"/>
          <w:color w:val="000000"/>
          <w:szCs w:val="24"/>
          <w:lang w:val="en-CA" w:eastAsia="en-CA"/>
        </w:rPr>
        <w:lastRenderedPageBreak/>
        <w:t xml:space="preserve">techniques cannot mitigate the adverse effects of poorly bleached grains that may lead to age being overestimated. Thus TL dating is most applicable to well-bleached deposits (loess, and dunes and </w:t>
      </w:r>
      <w:proofErr w:type="spellStart"/>
      <w:r w:rsidRPr="00291C92">
        <w:rPr>
          <w:rFonts w:eastAsia="Arial Unicode MS" w:cs="Arial"/>
          <w:color w:val="000000"/>
          <w:szCs w:val="24"/>
          <w:lang w:val="en-CA" w:eastAsia="en-CA"/>
        </w:rPr>
        <w:t>sandsheets</w:t>
      </w:r>
      <w:proofErr w:type="spellEnd"/>
      <w:r w:rsidRPr="00291C92">
        <w:rPr>
          <w:rFonts w:eastAsia="Arial Unicode MS" w:cs="Arial"/>
          <w:color w:val="000000"/>
          <w:szCs w:val="24"/>
          <w:lang w:val="en-CA" w:eastAsia="en-CA"/>
        </w:rPr>
        <w:t xml:space="preserve"> constructed of distally derived material will normally fit this category) and in these instances they have been shown in many cases to yield ages consistent with those found using SAR OSL. In Tasmania, for example, TL ages for dunes at Mary Ann Bay (Slee et al., 2012) determined using the protocol of Shepherd and Price (1990) are consistent with ages found using OSL and what appears to be a SAR method (Shin 2013) (Supplementa</w:t>
      </w:r>
      <w:r w:rsidR="00EC5B88">
        <w:rPr>
          <w:rFonts w:eastAsia="Arial Unicode MS" w:cs="Arial"/>
          <w:color w:val="000000"/>
          <w:szCs w:val="24"/>
          <w:lang w:val="en-CA" w:eastAsia="en-CA"/>
        </w:rPr>
        <w:t>ry</w:t>
      </w:r>
      <w:r w:rsidRPr="00291C92">
        <w:rPr>
          <w:rFonts w:eastAsia="Arial Unicode MS" w:cs="Arial"/>
          <w:color w:val="000000"/>
          <w:szCs w:val="24"/>
          <w:lang w:val="en-CA" w:eastAsia="en-CA"/>
        </w:rPr>
        <w:t xml:space="preserve"> Material</w:t>
      </w:r>
      <w:r w:rsidR="00EC5B88">
        <w:rPr>
          <w:rFonts w:eastAsia="Arial Unicode MS" w:cs="Arial"/>
          <w:color w:val="000000"/>
          <w:szCs w:val="24"/>
          <w:lang w:val="en-CA" w:eastAsia="en-CA"/>
        </w:rPr>
        <w:t>,</w:t>
      </w:r>
      <w:r w:rsidRPr="00291C92">
        <w:rPr>
          <w:rFonts w:eastAsia="Arial Unicode MS" w:cs="Arial"/>
          <w:color w:val="000000"/>
          <w:szCs w:val="24"/>
          <w:lang w:val="en-CA" w:eastAsia="en-CA"/>
        </w:rPr>
        <w:t xml:space="preserve"> Table </w:t>
      </w:r>
      <w:r w:rsidR="00EC5B88">
        <w:rPr>
          <w:rFonts w:eastAsia="Arial Unicode MS" w:cs="Arial"/>
          <w:color w:val="000000"/>
          <w:szCs w:val="24"/>
          <w:lang w:val="en-CA" w:eastAsia="en-CA"/>
        </w:rPr>
        <w:t>S</w:t>
      </w:r>
      <w:bookmarkStart w:id="0" w:name="_GoBack"/>
      <w:bookmarkEnd w:id="0"/>
      <w:r w:rsidRPr="00291C92">
        <w:rPr>
          <w:rFonts w:eastAsia="Arial Unicode MS" w:cs="Arial"/>
          <w:color w:val="000000"/>
          <w:szCs w:val="24"/>
          <w:lang w:val="en-CA" w:eastAsia="en-CA"/>
        </w:rPr>
        <w:t>1), but unfortunately Shin (2013) provides no experimental detail so a thorough assessment cannot be made.</w:t>
      </w:r>
    </w:p>
    <w:p w14:paraId="69BBB237" w14:textId="77777777" w:rsidR="00291C92" w:rsidRPr="00291C92" w:rsidRDefault="00291C92" w:rsidP="00291C92">
      <w:pPr>
        <w:autoSpaceDE w:val="0"/>
        <w:autoSpaceDN w:val="0"/>
        <w:adjustRightInd w:val="0"/>
        <w:spacing w:after="0" w:line="480" w:lineRule="auto"/>
        <w:ind w:firstLine="720"/>
        <w:rPr>
          <w:rFonts w:eastAsia="Arial Unicode MS" w:cs="Arial"/>
          <w:color w:val="000000"/>
          <w:szCs w:val="24"/>
          <w:lang w:val="en-CA" w:eastAsia="en-CA"/>
        </w:rPr>
      </w:pPr>
      <w:r w:rsidRPr="00291C92">
        <w:rPr>
          <w:rFonts w:eastAsia="Arial Unicode MS" w:cs="Arial"/>
          <w:color w:val="000000"/>
          <w:szCs w:val="24"/>
          <w:lang w:val="en-CA" w:eastAsia="en-CA"/>
        </w:rPr>
        <w:t xml:space="preserve"> </w:t>
      </w:r>
    </w:p>
    <w:p w14:paraId="60B0C7AA" w14:textId="2AF694CC" w:rsidR="00291C92" w:rsidRPr="00291C92" w:rsidRDefault="00291C92" w:rsidP="00291C92">
      <w:pPr>
        <w:autoSpaceDE w:val="0"/>
        <w:autoSpaceDN w:val="0"/>
        <w:adjustRightInd w:val="0"/>
        <w:spacing w:after="0" w:line="480" w:lineRule="auto"/>
        <w:rPr>
          <w:rFonts w:eastAsia="Arial Unicode MS" w:cs="Arial"/>
          <w:color w:val="000000"/>
          <w:szCs w:val="24"/>
          <w:lang w:val="en-CA" w:eastAsia="en-CA"/>
        </w:rPr>
      </w:pPr>
      <w:r w:rsidRPr="00291C92">
        <w:rPr>
          <w:rFonts w:eastAsia="Arial Unicode MS" w:cs="Arial"/>
          <w:b/>
          <w:bCs/>
          <w:color w:val="000000"/>
          <w:szCs w:val="24"/>
          <w:lang w:val="en-CA" w:eastAsia="en-CA"/>
        </w:rPr>
        <w:t>Supplementa</w:t>
      </w:r>
      <w:r w:rsidR="00D645F2">
        <w:rPr>
          <w:rFonts w:eastAsia="Arial Unicode MS" w:cs="Arial"/>
          <w:b/>
          <w:bCs/>
          <w:color w:val="000000"/>
          <w:szCs w:val="24"/>
          <w:lang w:val="en-CA" w:eastAsia="en-CA"/>
        </w:rPr>
        <w:t>ry</w:t>
      </w:r>
      <w:r w:rsidRPr="00291C92">
        <w:rPr>
          <w:rFonts w:eastAsia="Arial Unicode MS" w:cs="Arial"/>
          <w:b/>
          <w:bCs/>
          <w:color w:val="000000"/>
          <w:szCs w:val="24"/>
          <w:lang w:val="en-CA" w:eastAsia="en-CA"/>
        </w:rPr>
        <w:t xml:space="preserve"> Material</w:t>
      </w:r>
      <w:r w:rsidR="00D645F2">
        <w:rPr>
          <w:rFonts w:eastAsia="Arial Unicode MS" w:cs="Arial"/>
          <w:b/>
          <w:bCs/>
          <w:color w:val="000000"/>
          <w:szCs w:val="24"/>
          <w:lang w:val="en-CA" w:eastAsia="en-CA"/>
        </w:rPr>
        <w:t>,</w:t>
      </w:r>
      <w:r w:rsidRPr="00291C92">
        <w:rPr>
          <w:rFonts w:eastAsia="Arial Unicode MS" w:cs="Arial"/>
          <w:b/>
          <w:bCs/>
          <w:color w:val="000000"/>
          <w:szCs w:val="24"/>
          <w:lang w:val="en-CA" w:eastAsia="en-CA"/>
        </w:rPr>
        <w:t xml:space="preserve"> Table </w:t>
      </w:r>
      <w:r w:rsidR="00D645F2">
        <w:rPr>
          <w:rFonts w:eastAsia="Arial Unicode MS" w:cs="Arial"/>
          <w:b/>
          <w:bCs/>
          <w:color w:val="000000"/>
          <w:szCs w:val="24"/>
          <w:lang w:val="en-CA" w:eastAsia="en-CA"/>
        </w:rPr>
        <w:t>S</w:t>
      </w:r>
      <w:r w:rsidRPr="00291C92">
        <w:rPr>
          <w:rFonts w:eastAsia="Arial Unicode MS" w:cs="Arial"/>
          <w:b/>
          <w:bCs/>
          <w:color w:val="000000"/>
          <w:szCs w:val="24"/>
          <w:lang w:val="en-CA" w:eastAsia="en-CA"/>
        </w:rPr>
        <w:t xml:space="preserve">1. </w:t>
      </w:r>
      <w:r w:rsidRPr="00291C92">
        <w:rPr>
          <w:rFonts w:eastAsia="Arial Unicode MS" w:cs="Arial"/>
          <w:color w:val="000000"/>
          <w:szCs w:val="24"/>
          <w:lang w:val="en-CA" w:eastAsia="en-CA"/>
        </w:rPr>
        <w:t xml:space="preserve">Comparison of TL and OSL ages obtained from Mary Ann Bay </w:t>
      </w:r>
      <w:proofErr w:type="spellStart"/>
      <w:r w:rsidRPr="00291C92">
        <w:rPr>
          <w:rFonts w:eastAsia="Arial Unicode MS" w:cs="Arial"/>
          <w:color w:val="000000"/>
          <w:szCs w:val="24"/>
          <w:lang w:val="en-CA" w:eastAsia="en-CA"/>
        </w:rPr>
        <w:t>sandsheets</w:t>
      </w:r>
      <w:proofErr w:type="spellEnd"/>
      <w:r w:rsidRPr="00291C92">
        <w:rPr>
          <w:rFonts w:eastAsia="Arial Unicode MS" w:cs="Arial"/>
          <w:color w:val="000000"/>
          <w:szCs w:val="24"/>
          <w:lang w:val="en-CA" w:eastAsia="en-CA"/>
        </w:rPr>
        <w:t>. See the main text for details.</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0"/>
        <w:gridCol w:w="2160"/>
        <w:gridCol w:w="1170"/>
        <w:gridCol w:w="1800"/>
        <w:gridCol w:w="2069"/>
      </w:tblGrid>
      <w:tr w:rsidR="00291C92" w:rsidRPr="00291C92" w14:paraId="48497201" w14:textId="77777777" w:rsidTr="00114551">
        <w:tc>
          <w:tcPr>
            <w:tcW w:w="1530" w:type="dxa"/>
            <w:tcBorders>
              <w:top w:val="single" w:sz="4" w:space="0" w:color="auto"/>
              <w:bottom w:val="single" w:sz="4" w:space="0" w:color="auto"/>
            </w:tcBorders>
            <w:vAlign w:val="center"/>
          </w:tcPr>
          <w:p w14:paraId="78E89CDF" w14:textId="77777777" w:rsidR="00291C92" w:rsidRPr="00291C92" w:rsidRDefault="00291C92" w:rsidP="00291C92">
            <w:pPr>
              <w:spacing w:after="160"/>
              <w:contextualSpacing/>
              <w:rPr>
                <w:rFonts w:eastAsiaTheme="minorEastAsia" w:cs="Arial"/>
                <w:sz w:val="22"/>
                <w:lang w:eastAsia="en-CA"/>
              </w:rPr>
            </w:pPr>
            <w:r w:rsidRPr="00291C92">
              <w:rPr>
                <w:rFonts w:eastAsiaTheme="minorEastAsia" w:cs="Arial"/>
                <w:sz w:val="22"/>
                <w:lang w:eastAsia="en-CA"/>
              </w:rPr>
              <w:t>Depth (cm)</w:t>
            </w:r>
          </w:p>
        </w:tc>
        <w:tc>
          <w:tcPr>
            <w:tcW w:w="2160" w:type="dxa"/>
            <w:tcBorders>
              <w:top w:val="single" w:sz="4" w:space="0" w:color="auto"/>
              <w:bottom w:val="single" w:sz="4" w:space="0" w:color="auto"/>
            </w:tcBorders>
            <w:vAlign w:val="center"/>
          </w:tcPr>
          <w:p w14:paraId="0ED7083B" w14:textId="77777777" w:rsidR="00291C92" w:rsidRPr="00291C92" w:rsidRDefault="00291C92" w:rsidP="00291C92">
            <w:pPr>
              <w:spacing w:after="120"/>
              <w:contextualSpacing/>
              <w:rPr>
                <w:rFonts w:eastAsiaTheme="minorEastAsia" w:cs="Arial"/>
                <w:sz w:val="22"/>
                <w:lang w:eastAsia="en-CA"/>
              </w:rPr>
            </w:pPr>
            <w:r w:rsidRPr="00291C92">
              <w:rPr>
                <w:rFonts w:eastAsiaTheme="minorEastAsia" w:cs="Arial"/>
                <w:sz w:val="22"/>
                <w:lang w:eastAsia="en-CA"/>
              </w:rPr>
              <w:t>Laboratory I.D.</w:t>
            </w:r>
          </w:p>
        </w:tc>
        <w:tc>
          <w:tcPr>
            <w:tcW w:w="1170" w:type="dxa"/>
            <w:tcBorders>
              <w:top w:val="single" w:sz="4" w:space="0" w:color="auto"/>
              <w:bottom w:val="single" w:sz="4" w:space="0" w:color="auto"/>
            </w:tcBorders>
            <w:vAlign w:val="center"/>
          </w:tcPr>
          <w:p w14:paraId="6A638497" w14:textId="77777777" w:rsidR="00291C92" w:rsidRPr="00291C92" w:rsidRDefault="00291C92" w:rsidP="00291C92">
            <w:pPr>
              <w:spacing w:after="120"/>
              <w:contextualSpacing/>
              <w:rPr>
                <w:rFonts w:eastAsiaTheme="minorEastAsia" w:cs="Arial"/>
                <w:sz w:val="22"/>
                <w:lang w:eastAsia="en-CA"/>
              </w:rPr>
            </w:pPr>
            <w:r w:rsidRPr="00291C92">
              <w:rPr>
                <w:rFonts w:eastAsiaTheme="minorEastAsia" w:cs="Arial"/>
                <w:sz w:val="22"/>
                <w:lang w:eastAsia="en-CA"/>
              </w:rPr>
              <w:t>Method</w:t>
            </w:r>
          </w:p>
        </w:tc>
        <w:tc>
          <w:tcPr>
            <w:tcW w:w="1800" w:type="dxa"/>
            <w:tcBorders>
              <w:top w:val="single" w:sz="4" w:space="0" w:color="auto"/>
              <w:bottom w:val="single" w:sz="4" w:space="0" w:color="auto"/>
            </w:tcBorders>
            <w:vAlign w:val="center"/>
          </w:tcPr>
          <w:p w14:paraId="06E287CD" w14:textId="77777777" w:rsidR="00291C92" w:rsidRPr="00291C92" w:rsidRDefault="00291C92" w:rsidP="00291C92">
            <w:pPr>
              <w:spacing w:after="120"/>
              <w:contextualSpacing/>
              <w:rPr>
                <w:rFonts w:eastAsiaTheme="minorEastAsia" w:cs="Arial"/>
                <w:sz w:val="22"/>
                <w:lang w:eastAsia="en-CA"/>
              </w:rPr>
            </w:pPr>
            <w:r w:rsidRPr="00291C92">
              <w:rPr>
                <w:rFonts w:eastAsiaTheme="minorEastAsia" w:cs="Arial"/>
                <w:sz w:val="22"/>
                <w:lang w:eastAsia="en-CA"/>
              </w:rPr>
              <w:t>Age (</w:t>
            </w:r>
            <w:proofErr w:type="spellStart"/>
            <w:r w:rsidRPr="00291C92">
              <w:rPr>
                <w:rFonts w:eastAsiaTheme="minorEastAsia" w:cs="Arial"/>
                <w:sz w:val="22"/>
                <w:lang w:eastAsia="en-CA"/>
              </w:rPr>
              <w:t>ka</w:t>
            </w:r>
            <w:proofErr w:type="spellEnd"/>
            <w:r w:rsidRPr="00291C92">
              <w:rPr>
                <w:rFonts w:eastAsiaTheme="minorEastAsia" w:cs="Arial"/>
                <w:sz w:val="22"/>
                <w:lang w:eastAsia="en-CA"/>
              </w:rPr>
              <w:t>)</w:t>
            </w:r>
            <w:r w:rsidRPr="00291C92">
              <w:rPr>
                <w:rFonts w:eastAsiaTheme="minorEastAsia" w:cs="Arial"/>
                <w:sz w:val="22"/>
                <w:vertAlign w:val="superscript"/>
                <w:lang w:eastAsia="en-CA"/>
              </w:rPr>
              <w:t>1</w:t>
            </w:r>
            <w:r w:rsidRPr="00291C92">
              <w:rPr>
                <w:rFonts w:eastAsiaTheme="minorEastAsia" w:cs="Arial"/>
                <w:sz w:val="22"/>
                <w:lang w:eastAsia="en-CA"/>
              </w:rPr>
              <w:t xml:space="preserve"> </w:t>
            </w:r>
          </w:p>
        </w:tc>
        <w:tc>
          <w:tcPr>
            <w:tcW w:w="2069" w:type="dxa"/>
            <w:tcBorders>
              <w:top w:val="single" w:sz="4" w:space="0" w:color="auto"/>
              <w:bottom w:val="single" w:sz="4" w:space="0" w:color="auto"/>
            </w:tcBorders>
            <w:vAlign w:val="center"/>
          </w:tcPr>
          <w:p w14:paraId="3B806903" w14:textId="77777777" w:rsidR="00291C92" w:rsidRPr="00291C92" w:rsidRDefault="00291C92" w:rsidP="00291C92">
            <w:pPr>
              <w:spacing w:after="120"/>
              <w:contextualSpacing/>
              <w:rPr>
                <w:rFonts w:eastAsiaTheme="minorEastAsia" w:cs="Arial"/>
                <w:sz w:val="22"/>
                <w:lang w:eastAsia="en-CA"/>
              </w:rPr>
            </w:pPr>
            <w:r w:rsidRPr="00291C92">
              <w:rPr>
                <w:rFonts w:eastAsiaTheme="minorEastAsia" w:cs="Arial"/>
                <w:sz w:val="22"/>
                <w:lang w:eastAsia="en-CA"/>
              </w:rPr>
              <w:t>Reference</w:t>
            </w:r>
          </w:p>
        </w:tc>
      </w:tr>
      <w:tr w:rsidR="00291C92" w:rsidRPr="00291C92" w14:paraId="3B4B48A5" w14:textId="77777777" w:rsidTr="00114551">
        <w:tc>
          <w:tcPr>
            <w:tcW w:w="1530" w:type="dxa"/>
            <w:tcBorders>
              <w:top w:val="single" w:sz="4" w:space="0" w:color="auto"/>
            </w:tcBorders>
          </w:tcPr>
          <w:p w14:paraId="44A76901" w14:textId="77777777" w:rsidR="00291C92" w:rsidRPr="00291C92" w:rsidRDefault="00291C92" w:rsidP="00291C92">
            <w:pPr>
              <w:spacing w:before="120" w:after="120"/>
              <w:contextualSpacing/>
              <w:rPr>
                <w:rFonts w:eastAsiaTheme="minorEastAsia" w:cs="Arial"/>
                <w:sz w:val="22"/>
                <w:lang w:eastAsia="en-CA"/>
              </w:rPr>
            </w:pPr>
            <w:r w:rsidRPr="00291C92">
              <w:rPr>
                <w:rFonts w:eastAsiaTheme="minorEastAsia" w:cs="Arial"/>
                <w:sz w:val="22"/>
                <w:lang w:eastAsia="en-CA"/>
              </w:rPr>
              <w:t>200</w:t>
            </w:r>
          </w:p>
        </w:tc>
        <w:tc>
          <w:tcPr>
            <w:tcW w:w="2160" w:type="dxa"/>
            <w:tcBorders>
              <w:top w:val="single" w:sz="4" w:space="0" w:color="auto"/>
            </w:tcBorders>
          </w:tcPr>
          <w:p w14:paraId="657420A1" w14:textId="77777777" w:rsidR="00291C92" w:rsidRPr="00291C92" w:rsidRDefault="00291C92" w:rsidP="00291C92">
            <w:pPr>
              <w:spacing w:before="120" w:after="120"/>
              <w:contextualSpacing/>
              <w:rPr>
                <w:rFonts w:eastAsiaTheme="minorEastAsia" w:cs="Arial"/>
                <w:sz w:val="22"/>
                <w:lang w:eastAsia="en-CA"/>
              </w:rPr>
            </w:pPr>
            <w:r w:rsidRPr="00291C92">
              <w:rPr>
                <w:rFonts w:eastAsiaTheme="minorEastAsia" w:cs="Arial"/>
                <w:sz w:val="22"/>
                <w:lang w:eastAsia="en-CA"/>
              </w:rPr>
              <w:t>MA02</w:t>
            </w:r>
          </w:p>
        </w:tc>
        <w:tc>
          <w:tcPr>
            <w:tcW w:w="1170" w:type="dxa"/>
            <w:tcBorders>
              <w:top w:val="single" w:sz="4" w:space="0" w:color="auto"/>
            </w:tcBorders>
          </w:tcPr>
          <w:p w14:paraId="3314B574" w14:textId="77777777" w:rsidR="00291C92" w:rsidRPr="00291C92" w:rsidRDefault="00291C92" w:rsidP="00291C92">
            <w:pPr>
              <w:spacing w:before="120" w:after="120"/>
              <w:contextualSpacing/>
              <w:rPr>
                <w:rFonts w:eastAsiaTheme="minorEastAsia" w:cs="Arial"/>
                <w:sz w:val="22"/>
                <w:lang w:eastAsia="en-CA"/>
              </w:rPr>
            </w:pPr>
            <w:r w:rsidRPr="00291C92">
              <w:rPr>
                <w:rFonts w:eastAsiaTheme="minorEastAsia" w:cs="Arial"/>
                <w:sz w:val="22"/>
                <w:lang w:eastAsia="en-CA"/>
              </w:rPr>
              <w:t>OSL</w:t>
            </w:r>
          </w:p>
        </w:tc>
        <w:tc>
          <w:tcPr>
            <w:tcW w:w="1800" w:type="dxa"/>
            <w:tcBorders>
              <w:top w:val="single" w:sz="4" w:space="0" w:color="auto"/>
            </w:tcBorders>
          </w:tcPr>
          <w:p w14:paraId="3C81EB5F" w14:textId="77777777" w:rsidR="00291C92" w:rsidRPr="00291C92" w:rsidRDefault="00291C92" w:rsidP="00291C92">
            <w:pPr>
              <w:spacing w:before="120" w:after="120"/>
              <w:contextualSpacing/>
              <w:rPr>
                <w:rFonts w:eastAsiaTheme="minorEastAsia" w:cs="Arial"/>
                <w:sz w:val="22"/>
                <w:lang w:eastAsia="en-CA"/>
              </w:rPr>
            </w:pPr>
            <w:r w:rsidRPr="00291C92">
              <w:rPr>
                <w:rFonts w:eastAsiaTheme="minorEastAsia" w:cs="Arial"/>
                <w:sz w:val="22"/>
                <w:lang w:eastAsia="en-CA"/>
              </w:rPr>
              <w:t>31.0 ± 3.0</w:t>
            </w:r>
          </w:p>
        </w:tc>
        <w:tc>
          <w:tcPr>
            <w:tcW w:w="2069" w:type="dxa"/>
            <w:tcBorders>
              <w:top w:val="single" w:sz="4" w:space="0" w:color="auto"/>
            </w:tcBorders>
          </w:tcPr>
          <w:p w14:paraId="5F2F793F" w14:textId="77777777" w:rsidR="00291C92" w:rsidRPr="00291C92" w:rsidRDefault="00291C92" w:rsidP="00291C92">
            <w:pPr>
              <w:spacing w:before="120" w:after="120"/>
              <w:contextualSpacing/>
              <w:rPr>
                <w:rFonts w:eastAsiaTheme="minorEastAsia" w:cs="Arial"/>
                <w:sz w:val="22"/>
                <w:lang w:eastAsia="en-CA"/>
              </w:rPr>
            </w:pPr>
            <w:r w:rsidRPr="00291C92">
              <w:rPr>
                <w:rFonts w:eastAsiaTheme="minorEastAsia" w:cs="Arial"/>
                <w:sz w:val="22"/>
                <w:lang w:eastAsia="en-CA"/>
              </w:rPr>
              <w:t>Shin (2013)</w:t>
            </w:r>
          </w:p>
        </w:tc>
      </w:tr>
      <w:tr w:rsidR="00291C92" w:rsidRPr="00291C92" w14:paraId="243AB3CB" w14:textId="77777777" w:rsidTr="00114551">
        <w:tc>
          <w:tcPr>
            <w:tcW w:w="1530" w:type="dxa"/>
          </w:tcPr>
          <w:p w14:paraId="522EA4DA" w14:textId="77777777" w:rsidR="00291C92" w:rsidRPr="00291C92" w:rsidRDefault="00291C92" w:rsidP="00291C92">
            <w:pPr>
              <w:spacing w:before="120" w:after="120"/>
              <w:contextualSpacing/>
              <w:rPr>
                <w:rFonts w:eastAsiaTheme="minorEastAsia" w:cs="Arial"/>
                <w:sz w:val="22"/>
                <w:lang w:eastAsia="en-CA"/>
              </w:rPr>
            </w:pPr>
            <w:r w:rsidRPr="00291C92">
              <w:rPr>
                <w:rFonts w:eastAsiaTheme="minorEastAsia" w:cs="Arial"/>
                <w:sz w:val="22"/>
                <w:lang w:eastAsia="en-CA"/>
              </w:rPr>
              <w:t>290-300</w:t>
            </w:r>
          </w:p>
        </w:tc>
        <w:tc>
          <w:tcPr>
            <w:tcW w:w="2160" w:type="dxa"/>
          </w:tcPr>
          <w:p w14:paraId="627720E6" w14:textId="77777777" w:rsidR="00291C92" w:rsidRPr="00291C92" w:rsidRDefault="00291C92" w:rsidP="00291C92">
            <w:pPr>
              <w:spacing w:before="120" w:after="120"/>
              <w:contextualSpacing/>
              <w:rPr>
                <w:rFonts w:eastAsiaTheme="minorEastAsia" w:cs="Arial"/>
                <w:sz w:val="22"/>
                <w:lang w:eastAsia="en-CA"/>
              </w:rPr>
            </w:pPr>
            <w:r w:rsidRPr="00291C92">
              <w:rPr>
                <w:rFonts w:eastAsiaTheme="minorEastAsia" w:cs="Arial"/>
                <w:sz w:val="22"/>
                <w:lang w:eastAsia="en-CA"/>
              </w:rPr>
              <w:t>W4475</w:t>
            </w:r>
          </w:p>
        </w:tc>
        <w:tc>
          <w:tcPr>
            <w:tcW w:w="1170" w:type="dxa"/>
          </w:tcPr>
          <w:p w14:paraId="0F36125E" w14:textId="77777777" w:rsidR="00291C92" w:rsidRPr="00291C92" w:rsidRDefault="00291C92" w:rsidP="00291C92">
            <w:pPr>
              <w:spacing w:before="120" w:after="120"/>
              <w:contextualSpacing/>
              <w:rPr>
                <w:rFonts w:eastAsiaTheme="minorEastAsia" w:cs="Arial"/>
                <w:sz w:val="22"/>
                <w:lang w:eastAsia="en-CA"/>
              </w:rPr>
            </w:pPr>
            <w:r w:rsidRPr="00291C92">
              <w:rPr>
                <w:rFonts w:eastAsiaTheme="minorEastAsia" w:cs="Arial"/>
                <w:sz w:val="22"/>
                <w:lang w:eastAsia="en-CA"/>
              </w:rPr>
              <w:t>TL</w:t>
            </w:r>
          </w:p>
        </w:tc>
        <w:tc>
          <w:tcPr>
            <w:tcW w:w="1800" w:type="dxa"/>
          </w:tcPr>
          <w:p w14:paraId="286B4876" w14:textId="77777777" w:rsidR="00291C92" w:rsidRPr="00291C92" w:rsidRDefault="00291C92" w:rsidP="00291C92">
            <w:pPr>
              <w:spacing w:before="120" w:after="120"/>
              <w:contextualSpacing/>
              <w:rPr>
                <w:rFonts w:eastAsiaTheme="minorEastAsia" w:cs="Arial"/>
                <w:sz w:val="22"/>
                <w:lang w:eastAsia="en-CA"/>
              </w:rPr>
            </w:pPr>
            <w:r w:rsidRPr="00291C92">
              <w:rPr>
                <w:rFonts w:eastAsiaTheme="minorEastAsia" w:cs="Arial"/>
                <w:sz w:val="22"/>
                <w:lang w:eastAsia="en-CA"/>
              </w:rPr>
              <w:t>30.7 ± 1.0</w:t>
            </w:r>
          </w:p>
        </w:tc>
        <w:tc>
          <w:tcPr>
            <w:tcW w:w="2069" w:type="dxa"/>
          </w:tcPr>
          <w:p w14:paraId="36C7A611" w14:textId="77777777" w:rsidR="00291C92" w:rsidRPr="00291C92" w:rsidRDefault="00291C92" w:rsidP="00291C92">
            <w:pPr>
              <w:spacing w:before="120" w:after="120"/>
              <w:contextualSpacing/>
              <w:rPr>
                <w:rFonts w:eastAsiaTheme="minorEastAsia" w:cs="Arial"/>
                <w:sz w:val="22"/>
                <w:lang w:eastAsia="en-CA"/>
              </w:rPr>
            </w:pPr>
            <w:r w:rsidRPr="00291C92">
              <w:rPr>
                <w:rFonts w:eastAsiaTheme="minorEastAsia" w:cs="Arial"/>
                <w:sz w:val="22"/>
                <w:lang w:eastAsia="en-CA"/>
              </w:rPr>
              <w:t>Slee et al. (2012)</w:t>
            </w:r>
          </w:p>
        </w:tc>
      </w:tr>
      <w:tr w:rsidR="00291C92" w:rsidRPr="00291C92" w14:paraId="3345FC52" w14:textId="77777777" w:rsidTr="00114551">
        <w:tc>
          <w:tcPr>
            <w:tcW w:w="1530" w:type="dxa"/>
          </w:tcPr>
          <w:p w14:paraId="7B102F82" w14:textId="77777777" w:rsidR="00291C92" w:rsidRPr="00291C92" w:rsidRDefault="00291C92" w:rsidP="00291C92">
            <w:pPr>
              <w:spacing w:before="120" w:after="120"/>
              <w:contextualSpacing/>
              <w:rPr>
                <w:rFonts w:eastAsiaTheme="minorEastAsia" w:cs="Arial"/>
                <w:sz w:val="22"/>
                <w:lang w:eastAsia="en-CA"/>
              </w:rPr>
            </w:pPr>
            <w:r w:rsidRPr="00291C92">
              <w:rPr>
                <w:rFonts w:eastAsiaTheme="minorEastAsia" w:cs="Arial"/>
                <w:sz w:val="22"/>
                <w:lang w:eastAsia="en-CA"/>
              </w:rPr>
              <w:t>600</w:t>
            </w:r>
          </w:p>
        </w:tc>
        <w:tc>
          <w:tcPr>
            <w:tcW w:w="2160" w:type="dxa"/>
          </w:tcPr>
          <w:p w14:paraId="36FB9A58" w14:textId="77777777" w:rsidR="00291C92" w:rsidRPr="00291C92" w:rsidRDefault="00291C92" w:rsidP="00291C92">
            <w:pPr>
              <w:spacing w:before="120" w:after="120"/>
              <w:contextualSpacing/>
              <w:rPr>
                <w:rFonts w:eastAsiaTheme="minorEastAsia" w:cs="Arial"/>
                <w:sz w:val="22"/>
                <w:lang w:eastAsia="en-CA"/>
              </w:rPr>
            </w:pPr>
            <w:r w:rsidRPr="00291C92">
              <w:rPr>
                <w:rFonts w:eastAsiaTheme="minorEastAsia" w:cs="Arial"/>
                <w:sz w:val="22"/>
                <w:lang w:eastAsia="en-CA"/>
              </w:rPr>
              <w:t>MA05</w:t>
            </w:r>
          </w:p>
        </w:tc>
        <w:tc>
          <w:tcPr>
            <w:tcW w:w="1170" w:type="dxa"/>
          </w:tcPr>
          <w:p w14:paraId="6D5CEF38" w14:textId="77777777" w:rsidR="00291C92" w:rsidRPr="00291C92" w:rsidRDefault="00291C92" w:rsidP="00291C92">
            <w:pPr>
              <w:spacing w:before="120" w:after="120"/>
              <w:contextualSpacing/>
              <w:rPr>
                <w:rFonts w:eastAsiaTheme="minorEastAsia" w:cs="Arial"/>
                <w:sz w:val="22"/>
                <w:lang w:eastAsia="en-CA"/>
              </w:rPr>
            </w:pPr>
            <w:r w:rsidRPr="00291C92">
              <w:rPr>
                <w:rFonts w:eastAsiaTheme="minorEastAsia" w:cs="Arial"/>
                <w:sz w:val="22"/>
                <w:lang w:eastAsia="en-CA"/>
              </w:rPr>
              <w:t>OSL</w:t>
            </w:r>
          </w:p>
        </w:tc>
        <w:tc>
          <w:tcPr>
            <w:tcW w:w="1800" w:type="dxa"/>
          </w:tcPr>
          <w:p w14:paraId="21521B9A" w14:textId="77777777" w:rsidR="00291C92" w:rsidRPr="00291C92" w:rsidRDefault="00291C92" w:rsidP="00291C92">
            <w:pPr>
              <w:spacing w:before="120" w:after="120"/>
              <w:contextualSpacing/>
              <w:rPr>
                <w:rFonts w:eastAsiaTheme="minorEastAsia" w:cs="Arial"/>
                <w:sz w:val="22"/>
                <w:lang w:eastAsia="en-CA"/>
              </w:rPr>
            </w:pPr>
            <w:r w:rsidRPr="00291C92">
              <w:rPr>
                <w:rFonts w:eastAsiaTheme="minorEastAsia" w:cs="Arial"/>
                <w:sz w:val="22"/>
                <w:lang w:eastAsia="en-CA"/>
              </w:rPr>
              <w:t>25.0 ± 3.0</w:t>
            </w:r>
          </w:p>
        </w:tc>
        <w:tc>
          <w:tcPr>
            <w:tcW w:w="2069" w:type="dxa"/>
          </w:tcPr>
          <w:p w14:paraId="65F997EB" w14:textId="77777777" w:rsidR="00291C92" w:rsidRPr="00291C92" w:rsidRDefault="00291C92" w:rsidP="00291C92">
            <w:pPr>
              <w:spacing w:before="120" w:after="120"/>
              <w:contextualSpacing/>
              <w:rPr>
                <w:rFonts w:eastAsiaTheme="minorEastAsia" w:cs="Arial"/>
                <w:sz w:val="22"/>
                <w:lang w:eastAsia="en-CA"/>
              </w:rPr>
            </w:pPr>
            <w:r w:rsidRPr="00291C92">
              <w:rPr>
                <w:rFonts w:eastAsiaTheme="minorEastAsia" w:cs="Arial"/>
                <w:sz w:val="22"/>
                <w:lang w:eastAsia="en-CA"/>
              </w:rPr>
              <w:t>Shin (2013)</w:t>
            </w:r>
          </w:p>
        </w:tc>
      </w:tr>
      <w:tr w:rsidR="00291C92" w:rsidRPr="00291C92" w14:paraId="1C141A79" w14:textId="77777777" w:rsidTr="00114551">
        <w:tc>
          <w:tcPr>
            <w:tcW w:w="1530" w:type="dxa"/>
            <w:tcBorders>
              <w:bottom w:val="single" w:sz="4" w:space="0" w:color="auto"/>
            </w:tcBorders>
          </w:tcPr>
          <w:p w14:paraId="1EEDA97C" w14:textId="77777777" w:rsidR="00291C92" w:rsidRPr="00291C92" w:rsidRDefault="00291C92" w:rsidP="00291C92">
            <w:pPr>
              <w:spacing w:before="120" w:after="120"/>
              <w:contextualSpacing/>
              <w:rPr>
                <w:rFonts w:eastAsiaTheme="minorEastAsia" w:cs="Arial"/>
                <w:sz w:val="22"/>
                <w:lang w:eastAsia="en-CA"/>
              </w:rPr>
            </w:pPr>
            <w:r w:rsidRPr="00291C92">
              <w:rPr>
                <w:rFonts w:eastAsiaTheme="minorEastAsia" w:cs="Arial"/>
                <w:sz w:val="22"/>
                <w:lang w:eastAsia="en-CA"/>
              </w:rPr>
              <w:t>670-680</w:t>
            </w:r>
          </w:p>
        </w:tc>
        <w:tc>
          <w:tcPr>
            <w:tcW w:w="2160" w:type="dxa"/>
            <w:tcBorders>
              <w:bottom w:val="single" w:sz="4" w:space="0" w:color="auto"/>
            </w:tcBorders>
          </w:tcPr>
          <w:p w14:paraId="1E8BCFC4" w14:textId="77777777" w:rsidR="00291C92" w:rsidRPr="00291C92" w:rsidRDefault="00291C92" w:rsidP="00291C92">
            <w:pPr>
              <w:spacing w:before="120" w:after="120"/>
              <w:contextualSpacing/>
              <w:rPr>
                <w:rFonts w:eastAsiaTheme="minorEastAsia" w:cs="Arial"/>
                <w:sz w:val="22"/>
                <w:lang w:eastAsia="en-CA"/>
              </w:rPr>
            </w:pPr>
            <w:r w:rsidRPr="00291C92">
              <w:rPr>
                <w:rFonts w:eastAsiaTheme="minorEastAsia" w:cs="Arial"/>
                <w:sz w:val="22"/>
                <w:lang w:eastAsia="en-CA"/>
              </w:rPr>
              <w:t>W4476</w:t>
            </w:r>
          </w:p>
        </w:tc>
        <w:tc>
          <w:tcPr>
            <w:tcW w:w="1170" w:type="dxa"/>
            <w:tcBorders>
              <w:bottom w:val="single" w:sz="4" w:space="0" w:color="auto"/>
            </w:tcBorders>
          </w:tcPr>
          <w:p w14:paraId="74AE643F" w14:textId="77777777" w:rsidR="00291C92" w:rsidRPr="00291C92" w:rsidRDefault="00291C92" w:rsidP="00291C92">
            <w:pPr>
              <w:spacing w:before="120" w:after="120"/>
              <w:contextualSpacing/>
              <w:rPr>
                <w:rFonts w:eastAsiaTheme="minorEastAsia" w:cs="Arial"/>
                <w:sz w:val="22"/>
                <w:lang w:eastAsia="en-CA"/>
              </w:rPr>
            </w:pPr>
            <w:r w:rsidRPr="00291C92">
              <w:rPr>
                <w:rFonts w:eastAsiaTheme="minorEastAsia" w:cs="Arial"/>
                <w:sz w:val="22"/>
                <w:lang w:eastAsia="en-CA"/>
              </w:rPr>
              <w:t>TL</w:t>
            </w:r>
          </w:p>
        </w:tc>
        <w:tc>
          <w:tcPr>
            <w:tcW w:w="1800" w:type="dxa"/>
            <w:tcBorders>
              <w:bottom w:val="single" w:sz="4" w:space="0" w:color="auto"/>
            </w:tcBorders>
          </w:tcPr>
          <w:p w14:paraId="6148C11E" w14:textId="77777777" w:rsidR="00291C92" w:rsidRPr="00291C92" w:rsidRDefault="00291C92" w:rsidP="00291C92">
            <w:pPr>
              <w:spacing w:before="120" w:after="120"/>
              <w:contextualSpacing/>
              <w:rPr>
                <w:rFonts w:eastAsiaTheme="minorEastAsia" w:cs="Arial"/>
                <w:sz w:val="22"/>
                <w:lang w:eastAsia="en-CA"/>
              </w:rPr>
            </w:pPr>
            <w:r w:rsidRPr="00291C92">
              <w:rPr>
                <w:rFonts w:eastAsiaTheme="minorEastAsia" w:cs="Arial"/>
                <w:sz w:val="22"/>
                <w:lang w:eastAsia="en-CA"/>
              </w:rPr>
              <w:t>30.3 ± 3.7</w:t>
            </w:r>
          </w:p>
        </w:tc>
        <w:tc>
          <w:tcPr>
            <w:tcW w:w="2069" w:type="dxa"/>
            <w:tcBorders>
              <w:bottom w:val="single" w:sz="4" w:space="0" w:color="auto"/>
            </w:tcBorders>
          </w:tcPr>
          <w:p w14:paraId="3F257C08" w14:textId="77777777" w:rsidR="00291C92" w:rsidRPr="00291C92" w:rsidRDefault="00291C92" w:rsidP="00291C92">
            <w:pPr>
              <w:spacing w:before="120" w:after="120"/>
              <w:contextualSpacing/>
              <w:rPr>
                <w:rFonts w:eastAsiaTheme="minorEastAsia" w:cs="Arial"/>
                <w:sz w:val="22"/>
                <w:lang w:eastAsia="en-CA"/>
              </w:rPr>
            </w:pPr>
            <w:r w:rsidRPr="00291C92">
              <w:rPr>
                <w:rFonts w:eastAsiaTheme="minorEastAsia" w:cs="Arial"/>
                <w:sz w:val="22"/>
                <w:lang w:eastAsia="en-CA"/>
              </w:rPr>
              <w:t>Slee et al. (2012)</w:t>
            </w:r>
          </w:p>
        </w:tc>
      </w:tr>
    </w:tbl>
    <w:p w14:paraId="4A484615" w14:textId="77777777" w:rsidR="00291C92" w:rsidRPr="00291C92" w:rsidRDefault="00291C92" w:rsidP="00291C92">
      <w:pPr>
        <w:widowControl w:val="0"/>
        <w:autoSpaceDE w:val="0"/>
        <w:autoSpaceDN w:val="0"/>
        <w:adjustRightInd w:val="0"/>
        <w:spacing w:after="0" w:line="240" w:lineRule="auto"/>
        <w:rPr>
          <w:rFonts w:eastAsia="Arial Unicode MS" w:cs="Arial"/>
          <w:color w:val="000000"/>
          <w:sz w:val="22"/>
          <w:lang w:val="en-CA" w:eastAsia="en-CA"/>
        </w:rPr>
      </w:pPr>
      <w:r w:rsidRPr="00291C92">
        <w:rPr>
          <w:rFonts w:eastAsia="Arial Unicode MS" w:cs="Arial"/>
          <w:color w:val="000000"/>
          <w:sz w:val="22"/>
          <w:vertAlign w:val="superscript"/>
          <w:lang w:val="en-CA" w:eastAsia="en-CA"/>
        </w:rPr>
        <w:t>1</w:t>
      </w:r>
      <w:r w:rsidRPr="00291C92">
        <w:rPr>
          <w:rFonts w:eastAsia="Arial Unicode MS" w:cs="Arial"/>
          <w:color w:val="000000"/>
          <w:sz w:val="22"/>
          <w:lang w:val="en-CA" w:eastAsia="en-CA"/>
        </w:rPr>
        <w:t>Errors are ± 1</w:t>
      </w:r>
      <w:r w:rsidRPr="00291C92">
        <w:rPr>
          <w:rFonts w:ascii="Symbol" w:eastAsia="Arial Unicode MS" w:hAnsi="Symbol" w:cs="Arial"/>
          <w:color w:val="000000"/>
          <w:sz w:val="22"/>
          <w:lang w:val="en-CA" w:eastAsia="en-CA"/>
        </w:rPr>
        <w:t></w:t>
      </w:r>
    </w:p>
    <w:p w14:paraId="51B58153" w14:textId="77777777" w:rsidR="00291C92" w:rsidRDefault="00291C92" w:rsidP="00291C92">
      <w:pPr>
        <w:autoSpaceDE w:val="0"/>
        <w:autoSpaceDN w:val="0"/>
        <w:adjustRightInd w:val="0"/>
        <w:spacing w:after="0" w:line="480" w:lineRule="auto"/>
        <w:ind w:firstLine="720"/>
        <w:rPr>
          <w:rFonts w:eastAsia="Arial Unicode MS" w:cs="Arial"/>
          <w:i/>
          <w:iCs/>
          <w:color w:val="000000"/>
          <w:szCs w:val="24"/>
          <w:lang w:val="en-CA" w:eastAsia="en-CA"/>
        </w:rPr>
      </w:pPr>
    </w:p>
    <w:p w14:paraId="62BE7C6D" w14:textId="77777777" w:rsidR="00036922" w:rsidRPr="00291C92" w:rsidRDefault="00036922" w:rsidP="00291C92">
      <w:pPr>
        <w:autoSpaceDE w:val="0"/>
        <w:autoSpaceDN w:val="0"/>
        <w:adjustRightInd w:val="0"/>
        <w:spacing w:after="0" w:line="480" w:lineRule="auto"/>
        <w:ind w:firstLine="720"/>
        <w:rPr>
          <w:rFonts w:eastAsia="Arial Unicode MS" w:cs="Arial"/>
          <w:i/>
          <w:iCs/>
          <w:color w:val="000000"/>
          <w:szCs w:val="24"/>
          <w:lang w:val="en-CA" w:eastAsia="en-CA"/>
        </w:rPr>
      </w:pPr>
    </w:p>
    <w:p w14:paraId="3B2F23FF" w14:textId="77777777" w:rsidR="00291C92" w:rsidRPr="00291C92" w:rsidRDefault="00291C92" w:rsidP="00291C92">
      <w:pPr>
        <w:autoSpaceDE w:val="0"/>
        <w:autoSpaceDN w:val="0"/>
        <w:adjustRightInd w:val="0"/>
        <w:spacing w:after="0" w:line="480" w:lineRule="auto"/>
        <w:rPr>
          <w:rFonts w:eastAsia="Arial Unicode MS" w:cs="Arial"/>
          <w:i/>
          <w:iCs/>
          <w:color w:val="000000"/>
          <w:szCs w:val="24"/>
          <w:lang w:val="en-CA" w:eastAsia="en-CA"/>
        </w:rPr>
      </w:pPr>
      <w:r w:rsidRPr="00291C92">
        <w:rPr>
          <w:rFonts w:eastAsia="Arial Unicode MS" w:cs="Arial"/>
          <w:i/>
          <w:iCs/>
          <w:color w:val="000000"/>
          <w:szCs w:val="24"/>
          <w:lang w:val="en-CA" w:eastAsia="en-CA"/>
        </w:rPr>
        <w:t>Multiple-aliquot OSL and TL dating and single aliquot OSL dating</w:t>
      </w:r>
    </w:p>
    <w:p w14:paraId="1A84B51F" w14:textId="77777777" w:rsidR="00291C92" w:rsidRPr="00291C92" w:rsidRDefault="00291C92" w:rsidP="00981394">
      <w:pPr>
        <w:autoSpaceDE w:val="0"/>
        <w:autoSpaceDN w:val="0"/>
        <w:adjustRightInd w:val="0"/>
        <w:spacing w:after="0" w:line="480" w:lineRule="auto"/>
        <w:rPr>
          <w:rFonts w:eastAsia="Arial Unicode MS" w:cs="Arial"/>
          <w:color w:val="000000"/>
          <w:szCs w:val="24"/>
          <w:lang w:val="en-CA" w:eastAsia="en-CA"/>
        </w:rPr>
      </w:pPr>
      <w:r w:rsidRPr="00291C92">
        <w:rPr>
          <w:rFonts w:eastAsia="Arial Unicode MS" w:cs="Arial"/>
          <w:color w:val="000000"/>
          <w:szCs w:val="24"/>
          <w:lang w:val="en-CA" w:eastAsia="en-CA"/>
        </w:rPr>
        <w:t xml:space="preserve">Duller and </w:t>
      </w:r>
      <w:proofErr w:type="spellStart"/>
      <w:r w:rsidRPr="00291C92">
        <w:rPr>
          <w:rFonts w:eastAsia="Arial Unicode MS" w:cs="Arial"/>
          <w:color w:val="000000"/>
          <w:szCs w:val="24"/>
          <w:lang w:val="en-CA" w:eastAsia="en-CA"/>
        </w:rPr>
        <w:t>Augustinus</w:t>
      </w:r>
      <w:proofErr w:type="spellEnd"/>
      <w:r w:rsidRPr="00291C92">
        <w:rPr>
          <w:rFonts w:eastAsia="Arial Unicode MS" w:cs="Arial"/>
          <w:color w:val="000000"/>
          <w:szCs w:val="24"/>
          <w:lang w:val="en-CA" w:eastAsia="en-CA"/>
        </w:rPr>
        <w:t xml:space="preserve"> (1997) applied three luminescence dating methods to quartz from the Ainslie dunes. The first two procedures consisted of OSL and TL multiple-aliquot methods applied to the same aliquots: the OSL signal was measured first, followed by the TL signal. A single-aliquot OSL procedure was also attempted. The </w:t>
      </w:r>
      <w:r w:rsidRPr="00291C92">
        <w:rPr>
          <w:rFonts w:eastAsia="Arial Unicode MS" w:cs="Arial"/>
          <w:color w:val="000000"/>
          <w:szCs w:val="24"/>
          <w:lang w:val="en-CA" w:eastAsia="en-CA"/>
        </w:rPr>
        <w:lastRenderedPageBreak/>
        <w:t>single-aliquot ages were comparable to those found using the multiple-aliquot OSL procedure, and also to three of the five TL ages.</w:t>
      </w:r>
    </w:p>
    <w:p w14:paraId="702524AD" w14:textId="77777777" w:rsidR="00291C92" w:rsidRPr="00291C92" w:rsidRDefault="00291C92" w:rsidP="00291C92">
      <w:pPr>
        <w:autoSpaceDE w:val="0"/>
        <w:autoSpaceDN w:val="0"/>
        <w:adjustRightInd w:val="0"/>
        <w:spacing w:after="0" w:line="480" w:lineRule="auto"/>
        <w:rPr>
          <w:rFonts w:eastAsia="Arial Unicode MS" w:cs="Arial"/>
          <w:color w:val="000000"/>
          <w:szCs w:val="24"/>
          <w:lang w:val="en-CA" w:eastAsia="en-CA"/>
        </w:rPr>
      </w:pPr>
    </w:p>
    <w:p w14:paraId="5BFCE673" w14:textId="77777777" w:rsidR="00291C92" w:rsidRPr="00291C92" w:rsidRDefault="00291C92" w:rsidP="00291C92">
      <w:pPr>
        <w:autoSpaceDE w:val="0"/>
        <w:autoSpaceDN w:val="0"/>
        <w:adjustRightInd w:val="0"/>
        <w:spacing w:after="0" w:line="480" w:lineRule="auto"/>
        <w:rPr>
          <w:rFonts w:eastAsia="Arial Unicode MS" w:cs="Arial"/>
          <w:i/>
          <w:iCs/>
          <w:color w:val="000000"/>
          <w:szCs w:val="24"/>
          <w:lang w:val="en-CA" w:eastAsia="en-CA"/>
        </w:rPr>
      </w:pPr>
      <w:r w:rsidRPr="00291C92">
        <w:rPr>
          <w:rFonts w:eastAsia="Arial Unicode MS" w:cs="Arial"/>
          <w:i/>
          <w:iCs/>
          <w:color w:val="000000"/>
          <w:szCs w:val="24"/>
          <w:lang w:val="en-CA" w:eastAsia="en-CA"/>
        </w:rPr>
        <w:t>OSL and TT-OSL dating using SAR</w:t>
      </w:r>
    </w:p>
    <w:p w14:paraId="1021AF4F" w14:textId="77777777" w:rsidR="00291C92" w:rsidRPr="00291C92" w:rsidRDefault="00291C92" w:rsidP="00036922">
      <w:pPr>
        <w:autoSpaceDE w:val="0"/>
        <w:autoSpaceDN w:val="0"/>
        <w:adjustRightInd w:val="0"/>
        <w:spacing w:after="0" w:line="480" w:lineRule="auto"/>
        <w:rPr>
          <w:rFonts w:eastAsia="Arial Unicode MS" w:cs="Arial"/>
          <w:color w:val="000000"/>
          <w:szCs w:val="24"/>
          <w:lang w:val="en-CA" w:eastAsia="en-CA"/>
        </w:rPr>
      </w:pPr>
      <w:r w:rsidRPr="00291C92">
        <w:rPr>
          <w:rFonts w:eastAsia="Arial Unicode MS" w:cs="Arial"/>
          <w:color w:val="000000"/>
          <w:szCs w:val="24"/>
          <w:lang w:val="en-CA" w:eastAsia="en-CA"/>
        </w:rPr>
        <w:t>In light of the development of SAR protocols in the late 1990s (</w:t>
      </w:r>
      <w:proofErr w:type="spellStart"/>
      <w:r w:rsidRPr="00291C92">
        <w:rPr>
          <w:rFonts w:eastAsia="Arial Unicode MS" w:cs="Arial"/>
          <w:color w:val="000000"/>
          <w:szCs w:val="24"/>
          <w:lang w:val="en-CA" w:eastAsia="en-CA"/>
        </w:rPr>
        <w:t>Wintle</w:t>
      </w:r>
      <w:proofErr w:type="spellEnd"/>
      <w:r w:rsidRPr="00291C92">
        <w:rPr>
          <w:rFonts w:eastAsia="Arial Unicode MS" w:cs="Arial"/>
          <w:color w:val="000000"/>
          <w:szCs w:val="24"/>
          <w:lang w:val="en-CA" w:eastAsia="en-CA"/>
        </w:rPr>
        <w:t xml:space="preserve"> and Murray, 2000), Duller and </w:t>
      </w:r>
      <w:proofErr w:type="spellStart"/>
      <w:r w:rsidRPr="00291C92">
        <w:rPr>
          <w:rFonts w:eastAsia="Arial Unicode MS" w:cs="Arial"/>
          <w:color w:val="000000"/>
          <w:szCs w:val="24"/>
          <w:lang w:val="en-CA" w:eastAsia="en-CA"/>
        </w:rPr>
        <w:t>Augustinus</w:t>
      </w:r>
      <w:proofErr w:type="spellEnd"/>
      <w:r w:rsidRPr="00291C92">
        <w:rPr>
          <w:rFonts w:eastAsia="Arial Unicode MS" w:cs="Arial"/>
          <w:color w:val="000000"/>
          <w:szCs w:val="24"/>
          <w:lang w:val="en-CA" w:eastAsia="en-CA"/>
        </w:rPr>
        <w:t xml:space="preserve"> (2006) re-dated their samples from Ainslie dunes using this method. As mentioned earlier, an important difference between the SAR protocol and the earlier methods used by Duller and </w:t>
      </w:r>
      <w:proofErr w:type="spellStart"/>
      <w:r w:rsidRPr="00291C92">
        <w:rPr>
          <w:rFonts w:eastAsia="Arial Unicode MS" w:cs="Arial"/>
          <w:color w:val="000000"/>
          <w:szCs w:val="24"/>
          <w:lang w:val="en-CA" w:eastAsia="en-CA"/>
        </w:rPr>
        <w:t>Augustinus</w:t>
      </w:r>
      <w:proofErr w:type="spellEnd"/>
      <w:r w:rsidRPr="00291C92">
        <w:rPr>
          <w:rFonts w:eastAsia="Arial Unicode MS" w:cs="Arial"/>
          <w:color w:val="000000"/>
          <w:szCs w:val="24"/>
          <w:lang w:val="en-CA" w:eastAsia="en-CA"/>
        </w:rPr>
        <w:t xml:space="preserve"> (1997) is the SAR protocol’s ability to correct for sensitivity change and its inclusion of internal quality control checks. The ages Duller and </w:t>
      </w:r>
      <w:proofErr w:type="spellStart"/>
      <w:r w:rsidRPr="00291C92">
        <w:rPr>
          <w:rFonts w:eastAsia="Arial Unicode MS" w:cs="Arial"/>
          <w:color w:val="000000"/>
          <w:szCs w:val="24"/>
          <w:lang w:val="en-CA" w:eastAsia="en-CA"/>
        </w:rPr>
        <w:t>Augustinus</w:t>
      </w:r>
      <w:proofErr w:type="spellEnd"/>
      <w:r w:rsidRPr="00291C92">
        <w:rPr>
          <w:rFonts w:eastAsia="Arial Unicode MS" w:cs="Arial"/>
          <w:color w:val="000000"/>
          <w:szCs w:val="24"/>
          <w:lang w:val="en-CA" w:eastAsia="en-CA"/>
        </w:rPr>
        <w:t xml:space="preserve"> (2006) determined using SAR are significantly different from those found using the older multiple-aliquot methods (Duller and </w:t>
      </w:r>
      <w:proofErr w:type="spellStart"/>
      <w:r w:rsidRPr="00291C92">
        <w:rPr>
          <w:rFonts w:eastAsia="Arial Unicode MS" w:cs="Arial"/>
          <w:color w:val="000000"/>
          <w:szCs w:val="24"/>
          <w:lang w:val="en-CA" w:eastAsia="en-CA"/>
        </w:rPr>
        <w:t>Augustinus</w:t>
      </w:r>
      <w:proofErr w:type="spellEnd"/>
      <w:r w:rsidRPr="00291C92">
        <w:rPr>
          <w:rFonts w:eastAsia="Arial Unicode MS" w:cs="Arial"/>
          <w:color w:val="000000"/>
          <w:szCs w:val="24"/>
          <w:lang w:val="en-CA" w:eastAsia="en-CA"/>
        </w:rPr>
        <w:t xml:space="preserve">, 1997), are considered to be more accurate, and they are also consistent with </w:t>
      </w:r>
      <w:proofErr w:type="spellStart"/>
      <w:r w:rsidRPr="00291C92">
        <w:rPr>
          <w:rFonts w:eastAsia="Arial Unicode MS" w:cs="Arial"/>
          <w:color w:val="000000"/>
          <w:szCs w:val="24"/>
          <w:lang w:val="en-CA" w:eastAsia="en-CA"/>
        </w:rPr>
        <w:t>palaeoclimate</w:t>
      </w:r>
      <w:proofErr w:type="spellEnd"/>
      <w:r w:rsidRPr="00291C92">
        <w:rPr>
          <w:rFonts w:eastAsia="Arial Unicode MS" w:cs="Arial"/>
          <w:color w:val="000000"/>
          <w:szCs w:val="24"/>
          <w:lang w:val="en-CA" w:eastAsia="en-CA"/>
        </w:rPr>
        <w:t xml:space="preserve"> interpretations for the region. They also cast doubt on the general applicability of the older methods. </w:t>
      </w:r>
    </w:p>
    <w:p w14:paraId="774F21E4" w14:textId="77777777" w:rsidR="00291C92" w:rsidRPr="00291C92" w:rsidRDefault="00291C92" w:rsidP="00291C92">
      <w:pPr>
        <w:autoSpaceDE w:val="0"/>
        <w:autoSpaceDN w:val="0"/>
        <w:adjustRightInd w:val="0"/>
        <w:spacing w:after="0" w:line="480" w:lineRule="auto"/>
        <w:ind w:firstLine="720"/>
        <w:rPr>
          <w:rFonts w:eastAsia="Arial Unicode MS" w:cs="Arial"/>
          <w:color w:val="000000"/>
          <w:szCs w:val="24"/>
          <w:lang w:val="en-CA" w:eastAsia="en-CA"/>
        </w:rPr>
      </w:pPr>
      <w:r w:rsidRPr="00291C92">
        <w:rPr>
          <w:rFonts w:eastAsia="Arial Unicode MS" w:cs="Arial"/>
          <w:color w:val="000000"/>
          <w:szCs w:val="24"/>
          <w:lang w:val="en-CA" w:eastAsia="en-CA"/>
        </w:rPr>
        <w:t xml:space="preserve">OSL dating using SAR methods with multi-grain aliquots or single grains has become much more routine in Tasmania (see Neudorf et al., 2019, table S1), and an extension of that method that uses the TT-OSL signal, which has been shown to extend the upper age limit of quartz OSL dating (Wang et al., 2006), has been applied at Southwood B dunes (Neudorf et al., 2019). As mentioned earlier, traditional OSL dating protocols involve heating (‘preheating’) the sample to a predefined temperature to empty electrons in thermally unstable traps, and then stimulating the sample with blue light (for quartz) to measure the luminescence resulting from thermally-stable traps. TT-OSL dating, on the other hand, involves heating, then stimulating the sample as one would when using a traditional OSL dating protocol, but then heating the sample again to high temperature (e.g., 290°C) </w:t>
      </w:r>
      <w:r w:rsidRPr="00291C92">
        <w:rPr>
          <w:rFonts w:eastAsia="Arial Unicode MS" w:cs="Arial"/>
          <w:color w:val="000000"/>
          <w:szCs w:val="24"/>
          <w:lang w:val="en-CA" w:eastAsia="en-CA"/>
        </w:rPr>
        <w:lastRenderedPageBreak/>
        <w:t xml:space="preserve">before measuring the luminescence signal a second time. This signal results from the second high-temperature preheat, which thermally transfers charge from less-optically sensitive traps, to optically sensitive traps that are sampled during stimulation (the TT-OSL). For a given quartz sample, growth curves generated by TT-OSL signals continue to increase with added dose when OSL growth curves tend to flatten out (or ‘saturate’), allowing the measurement of equivalent doses from older samples. </w:t>
      </w:r>
    </w:p>
    <w:p w14:paraId="31D430E0" w14:textId="77777777" w:rsidR="00291C92" w:rsidRPr="00291C92" w:rsidRDefault="00291C92" w:rsidP="00291C92">
      <w:pPr>
        <w:autoSpaceDE w:val="0"/>
        <w:autoSpaceDN w:val="0"/>
        <w:adjustRightInd w:val="0"/>
        <w:spacing w:after="0" w:line="480" w:lineRule="auto"/>
        <w:ind w:firstLine="720"/>
        <w:rPr>
          <w:rFonts w:eastAsia="Arial Unicode MS" w:cs="Arial"/>
          <w:color w:val="000000"/>
          <w:szCs w:val="24"/>
          <w:lang w:val="en-CA" w:eastAsia="en-CA"/>
        </w:rPr>
      </w:pPr>
      <w:r w:rsidRPr="00291C92">
        <w:rPr>
          <w:rFonts w:eastAsia="Arial Unicode MS" w:cs="Arial"/>
          <w:color w:val="000000"/>
          <w:szCs w:val="24"/>
          <w:lang w:val="en-CA" w:eastAsia="en-CA"/>
        </w:rPr>
        <w:t xml:space="preserve">At Southwood B, a sequence of TT-OSL SAR ages were found to be consistent with those found previously using the TL dating method of Shepherd and Price (1990), but only after the dosimetry used to derive some of the TL ages was recalculated based on new radioisotope measurements (Neudorf et al., 2019); see also Table 3 and Figure 2 in the main article. Although the apparent consistency between the TL and TT-OSL SAR ages is encouraging, it should be considered with some caution as the TT-OSL SAR dating technique is still relatively novel. Moreover, as the TT-OSL signal bleaches more slowly than the OSL signal it usually requires correction for insufficient bleaching using the signal measured from a modern sample collected from a similar depositional environment. </w:t>
      </w:r>
    </w:p>
    <w:p w14:paraId="3463BD65" w14:textId="77777777" w:rsidR="00291C92" w:rsidRPr="00291C92" w:rsidRDefault="00291C92" w:rsidP="00291C92">
      <w:pPr>
        <w:autoSpaceDE w:val="0"/>
        <w:autoSpaceDN w:val="0"/>
        <w:adjustRightInd w:val="0"/>
        <w:spacing w:after="0" w:line="480" w:lineRule="auto"/>
        <w:rPr>
          <w:rFonts w:eastAsia="Arial Unicode MS" w:cs="Arial"/>
          <w:szCs w:val="24"/>
          <w:lang w:val="en-CA" w:eastAsia="en-CA"/>
        </w:rPr>
      </w:pPr>
    </w:p>
    <w:p w14:paraId="7165921F" w14:textId="4B330A6A" w:rsidR="00291C92" w:rsidRPr="00D645F2" w:rsidRDefault="00D645F2" w:rsidP="00291C92">
      <w:pPr>
        <w:autoSpaceDE w:val="0"/>
        <w:autoSpaceDN w:val="0"/>
        <w:adjustRightInd w:val="0"/>
        <w:spacing w:after="0" w:line="480" w:lineRule="auto"/>
        <w:rPr>
          <w:rFonts w:eastAsia="Arial Unicode MS" w:cs="Arial"/>
          <w:szCs w:val="24"/>
          <w:lang w:val="en-CA" w:eastAsia="en-CA"/>
        </w:rPr>
      </w:pPr>
      <w:r w:rsidRPr="00D645F2">
        <w:rPr>
          <w:rFonts w:eastAsia="Arial Unicode MS" w:cs="Arial"/>
          <w:b/>
          <w:bCs/>
          <w:szCs w:val="24"/>
          <w:lang w:val="en-CA" w:eastAsia="en-CA"/>
        </w:rPr>
        <w:t xml:space="preserve">NEW TL AGES INCORPORATED INTO THIS REVIEW </w:t>
      </w:r>
    </w:p>
    <w:p w14:paraId="60A3A592" w14:textId="77777777" w:rsidR="00291C92" w:rsidRPr="00291C92" w:rsidRDefault="00291C92" w:rsidP="00291C92">
      <w:pPr>
        <w:autoSpaceDE w:val="0"/>
        <w:autoSpaceDN w:val="0"/>
        <w:adjustRightInd w:val="0"/>
        <w:spacing w:after="0" w:line="480" w:lineRule="auto"/>
        <w:rPr>
          <w:rFonts w:eastAsia="Arial Unicode MS" w:cs="Arial"/>
          <w:szCs w:val="24"/>
          <w:lang w:val="en-CA" w:eastAsia="en-CA"/>
        </w:rPr>
      </w:pPr>
      <w:r w:rsidRPr="00291C92">
        <w:rPr>
          <w:rFonts w:eastAsia="Arial Unicode MS" w:cs="Arial"/>
          <w:szCs w:val="24"/>
          <w:lang w:val="en-CA" w:eastAsia="en-CA"/>
        </w:rPr>
        <w:t xml:space="preserve">At Rocky Point (39.5985°S 144.0040°E) on the north-east coast of King Island (Figure 2) the age of beach-backing ‘New Dunes’ (Jennings, 1957) exposed within a </w:t>
      </w:r>
      <w:proofErr w:type="spellStart"/>
      <w:r w:rsidRPr="00291C92">
        <w:rPr>
          <w:rFonts w:eastAsia="Arial Unicode MS" w:cs="Arial"/>
          <w:szCs w:val="24"/>
          <w:lang w:val="en-CA" w:eastAsia="en-CA"/>
        </w:rPr>
        <w:t>sandblow</w:t>
      </w:r>
      <w:proofErr w:type="spellEnd"/>
      <w:r w:rsidRPr="00291C92">
        <w:rPr>
          <w:rFonts w:eastAsia="Arial Unicode MS" w:cs="Arial"/>
          <w:szCs w:val="24"/>
          <w:lang w:val="en-CA" w:eastAsia="en-CA"/>
        </w:rPr>
        <w:t xml:space="preserve"> within an otherwise vegetated coastal dune complex was investigated. Five units were distinguished by their texture and colour (Figure 2) and units 3 and 5 were sampled for TL dating using rigid opaque PVC tubes 75 mm diameter and 120 </w:t>
      </w:r>
      <w:r w:rsidRPr="00291C92">
        <w:rPr>
          <w:rFonts w:eastAsia="Arial Unicode MS" w:cs="Arial"/>
          <w:szCs w:val="24"/>
          <w:lang w:val="en-CA" w:eastAsia="en-CA"/>
        </w:rPr>
        <w:lastRenderedPageBreak/>
        <w:t xml:space="preserve">mm long. At </w:t>
      </w:r>
      <w:proofErr w:type="spellStart"/>
      <w:r w:rsidRPr="00291C92">
        <w:rPr>
          <w:rFonts w:eastAsia="Arial Unicode MS" w:cs="Arial"/>
          <w:szCs w:val="24"/>
          <w:lang w:val="en-CA" w:eastAsia="en-CA"/>
        </w:rPr>
        <w:t>Maynes</w:t>
      </w:r>
      <w:proofErr w:type="spellEnd"/>
      <w:r w:rsidRPr="00291C92">
        <w:rPr>
          <w:rFonts w:eastAsia="Arial Unicode MS" w:cs="Arial"/>
          <w:szCs w:val="24"/>
          <w:lang w:val="en-CA" w:eastAsia="en-CA"/>
        </w:rPr>
        <w:t xml:space="preserve"> Junction (Figure 10) the top and lowest pale layers were sampled for TL analysis by carving a 100 mm</w:t>
      </w:r>
      <w:r w:rsidRPr="00291C92">
        <w:rPr>
          <w:rFonts w:eastAsia="Arial Unicode MS" w:cs="Arial"/>
          <w:position w:val="8"/>
          <w:szCs w:val="24"/>
          <w:vertAlign w:val="superscript"/>
          <w:lang w:val="en-CA" w:eastAsia="en-CA"/>
        </w:rPr>
        <w:t xml:space="preserve">3 </w:t>
      </w:r>
      <w:r w:rsidRPr="00291C92">
        <w:rPr>
          <w:rFonts w:eastAsia="Arial Unicode MS" w:cs="Arial"/>
          <w:szCs w:val="24"/>
          <w:lang w:val="en-CA" w:eastAsia="en-CA"/>
        </w:rPr>
        <w:t>block of sediment.</w:t>
      </w:r>
    </w:p>
    <w:p w14:paraId="0113CB0D" w14:textId="77777777" w:rsidR="00291C92" w:rsidRPr="00291C92" w:rsidRDefault="00291C92" w:rsidP="00291C92">
      <w:pPr>
        <w:autoSpaceDE w:val="0"/>
        <w:autoSpaceDN w:val="0"/>
        <w:adjustRightInd w:val="0"/>
        <w:spacing w:after="0" w:line="480" w:lineRule="auto"/>
        <w:rPr>
          <w:rFonts w:eastAsia="Arial Unicode MS" w:cs="Arial"/>
          <w:szCs w:val="24"/>
          <w:lang w:val="en-CA" w:eastAsia="en-CA"/>
        </w:rPr>
      </w:pPr>
      <w:r w:rsidRPr="00291C92">
        <w:rPr>
          <w:rFonts w:eastAsia="Arial Unicode MS" w:cs="Arial"/>
          <w:szCs w:val="24"/>
          <w:lang w:val="en-CA" w:eastAsia="en-CA"/>
        </w:rPr>
        <w:t xml:space="preserve"> </w:t>
      </w:r>
    </w:p>
    <w:p w14:paraId="6F61729C" w14:textId="0E5981EF" w:rsidR="00291C92" w:rsidRPr="00291C92" w:rsidRDefault="00291C92" w:rsidP="00291C92">
      <w:pPr>
        <w:autoSpaceDE w:val="0"/>
        <w:autoSpaceDN w:val="0"/>
        <w:adjustRightInd w:val="0"/>
        <w:spacing w:after="0" w:line="480" w:lineRule="auto"/>
        <w:rPr>
          <w:rFonts w:eastAsia="Arial Unicode MS" w:cs="Arial"/>
          <w:szCs w:val="24"/>
          <w:lang w:val="en-CA" w:eastAsia="en-CA"/>
        </w:rPr>
      </w:pPr>
      <w:r w:rsidRPr="00291C92">
        <w:rPr>
          <w:rFonts w:eastAsia="Arial Unicode MS" w:cs="Arial"/>
          <w:szCs w:val="24"/>
          <w:lang w:val="en-CA" w:eastAsia="en-CA"/>
        </w:rPr>
        <w:t>TL dating (Supplementa</w:t>
      </w:r>
      <w:r w:rsidR="00EC5B88">
        <w:rPr>
          <w:rFonts w:eastAsia="Arial Unicode MS" w:cs="Arial"/>
          <w:szCs w:val="24"/>
          <w:lang w:val="en-CA" w:eastAsia="en-CA"/>
        </w:rPr>
        <w:t>ry</w:t>
      </w:r>
      <w:r w:rsidRPr="00291C92">
        <w:rPr>
          <w:rFonts w:eastAsia="Arial Unicode MS" w:cs="Arial"/>
          <w:szCs w:val="24"/>
          <w:lang w:val="en-CA" w:eastAsia="en-CA"/>
        </w:rPr>
        <w:t xml:space="preserve"> Material</w:t>
      </w:r>
      <w:r w:rsidR="00EC5B88">
        <w:rPr>
          <w:rFonts w:eastAsia="Arial Unicode MS" w:cs="Arial"/>
          <w:szCs w:val="24"/>
          <w:lang w:val="en-CA" w:eastAsia="en-CA"/>
        </w:rPr>
        <w:t>,</w:t>
      </w:r>
      <w:r w:rsidRPr="00291C92">
        <w:rPr>
          <w:rFonts w:eastAsia="Arial Unicode MS" w:cs="Arial"/>
          <w:szCs w:val="24"/>
          <w:lang w:val="en-CA" w:eastAsia="en-CA"/>
        </w:rPr>
        <w:t xml:space="preserve"> Table </w:t>
      </w:r>
      <w:r w:rsidR="00EC5B88">
        <w:rPr>
          <w:rFonts w:eastAsia="Arial Unicode MS" w:cs="Arial"/>
          <w:szCs w:val="24"/>
          <w:lang w:val="en-CA" w:eastAsia="en-CA"/>
        </w:rPr>
        <w:t>S</w:t>
      </w:r>
      <w:r w:rsidRPr="00291C92">
        <w:rPr>
          <w:rFonts w:eastAsia="Arial Unicode MS" w:cs="Arial"/>
          <w:szCs w:val="24"/>
          <w:lang w:val="en-CA" w:eastAsia="en-CA"/>
        </w:rPr>
        <w:t>2) was performed using the methods described by Shepherd and Price (1990) and Nanson et al. (1991). Samples were analysed using the 90–125 µm quartz grain size fraction separated from the centre of bulk field samples. A summary of methods employed, including examples of TL glow curves, the TL versus temperature plateaus, and a representative growth curve was presented by McIntosh et al. (2009).</w:t>
      </w:r>
    </w:p>
    <w:p w14:paraId="0876B00E" w14:textId="77777777" w:rsidR="00291C92" w:rsidRDefault="00291C92" w:rsidP="00291C92">
      <w:pPr>
        <w:widowControl w:val="0"/>
        <w:autoSpaceDE w:val="0"/>
        <w:autoSpaceDN w:val="0"/>
        <w:adjustRightInd w:val="0"/>
        <w:spacing w:after="0" w:line="240" w:lineRule="auto"/>
        <w:rPr>
          <w:rFonts w:ascii="Arial Unicode MS" w:eastAsia="Arial Unicode MS" w:hAnsiTheme="minorHAnsi" w:cs="Arial Unicode MS"/>
          <w:color w:val="000000"/>
          <w:szCs w:val="24"/>
          <w:lang w:val="en-CA" w:eastAsia="en-CA"/>
        </w:rPr>
      </w:pPr>
    </w:p>
    <w:p w14:paraId="12175299" w14:textId="39DA5861" w:rsidR="00226BE0" w:rsidRDefault="00226BE0" w:rsidP="00226BE0">
      <w:pPr>
        <w:spacing w:after="0"/>
        <w:rPr>
          <w:rFonts w:cs="Arial"/>
          <w:szCs w:val="24"/>
        </w:rPr>
      </w:pPr>
      <w:r>
        <w:rPr>
          <w:rFonts w:cs="Arial"/>
          <w:b/>
          <w:szCs w:val="24"/>
        </w:rPr>
        <w:t>Supplementa</w:t>
      </w:r>
      <w:r w:rsidR="00D645F2">
        <w:rPr>
          <w:rFonts w:cs="Arial"/>
          <w:b/>
          <w:szCs w:val="24"/>
        </w:rPr>
        <w:t>ry</w:t>
      </w:r>
      <w:r>
        <w:rPr>
          <w:rFonts w:cs="Arial"/>
          <w:b/>
          <w:szCs w:val="24"/>
        </w:rPr>
        <w:t xml:space="preserve"> Material</w:t>
      </w:r>
      <w:r w:rsidR="00D645F2">
        <w:rPr>
          <w:rFonts w:cs="Arial"/>
          <w:b/>
          <w:szCs w:val="24"/>
        </w:rPr>
        <w:t>,</w:t>
      </w:r>
      <w:r>
        <w:rPr>
          <w:rFonts w:cs="Arial"/>
          <w:b/>
          <w:szCs w:val="24"/>
        </w:rPr>
        <w:t xml:space="preserve"> Table </w:t>
      </w:r>
      <w:r w:rsidR="00D645F2">
        <w:rPr>
          <w:rFonts w:cs="Arial"/>
          <w:b/>
          <w:szCs w:val="24"/>
        </w:rPr>
        <w:t>S</w:t>
      </w:r>
      <w:r>
        <w:rPr>
          <w:rFonts w:cs="Arial"/>
          <w:b/>
          <w:szCs w:val="24"/>
        </w:rPr>
        <w:t>2.</w:t>
      </w:r>
      <w:r>
        <w:rPr>
          <w:rFonts w:cs="Arial"/>
          <w:szCs w:val="24"/>
        </w:rPr>
        <w:t xml:space="preserve"> Previously unpublished TL ages for Rocky Point and </w:t>
      </w:r>
      <w:proofErr w:type="spellStart"/>
      <w:r>
        <w:rPr>
          <w:rFonts w:cs="Arial"/>
          <w:szCs w:val="24"/>
        </w:rPr>
        <w:t>Maynes</w:t>
      </w:r>
      <w:proofErr w:type="spellEnd"/>
      <w:r>
        <w:rPr>
          <w:rFonts w:cs="Arial"/>
          <w:szCs w:val="24"/>
        </w:rPr>
        <w:t xml:space="preserve"> Junction </w:t>
      </w:r>
      <w:proofErr w:type="spellStart"/>
      <w:r>
        <w:rPr>
          <w:rFonts w:cs="Arial"/>
          <w:szCs w:val="24"/>
        </w:rPr>
        <w:t>aeolian</w:t>
      </w:r>
      <w:proofErr w:type="spellEnd"/>
      <w:r>
        <w:rPr>
          <w:rFonts w:cs="Arial"/>
          <w:szCs w:val="24"/>
        </w:rPr>
        <w:t xml:space="preserve"> sediments, and data used to derive the TL ages.</w:t>
      </w:r>
    </w:p>
    <w:tbl>
      <w:tblPr>
        <w:tblW w:w="0" w:type="dxa"/>
        <w:tblLayout w:type="fixed"/>
        <w:tblCellMar>
          <w:left w:w="0" w:type="dxa"/>
          <w:right w:w="0" w:type="dxa"/>
        </w:tblCellMar>
        <w:tblLook w:val="04A0" w:firstRow="1" w:lastRow="0" w:firstColumn="1" w:lastColumn="0" w:noHBand="0" w:noVBand="1"/>
      </w:tblPr>
      <w:tblGrid>
        <w:gridCol w:w="2552"/>
        <w:gridCol w:w="1417"/>
        <w:gridCol w:w="1418"/>
        <w:gridCol w:w="1276"/>
        <w:gridCol w:w="1417"/>
        <w:gridCol w:w="1418"/>
      </w:tblGrid>
      <w:tr w:rsidR="00226BE0" w14:paraId="752131BF" w14:textId="77777777" w:rsidTr="00226BE0">
        <w:trPr>
          <w:trHeight w:val="447"/>
        </w:trPr>
        <w:tc>
          <w:tcPr>
            <w:tcW w:w="2552" w:type="dxa"/>
            <w:tcBorders>
              <w:top w:val="single" w:sz="4" w:space="0" w:color="auto"/>
              <w:left w:val="nil"/>
              <w:bottom w:val="nil"/>
              <w:right w:val="nil"/>
            </w:tcBorders>
          </w:tcPr>
          <w:p w14:paraId="23C861C5" w14:textId="77777777" w:rsidR="00226BE0" w:rsidRDefault="00226BE0">
            <w:pPr>
              <w:spacing w:before="60" w:after="60" w:line="240" w:lineRule="auto"/>
              <w:rPr>
                <w:rFonts w:cs="Arial"/>
                <w:b/>
                <w:sz w:val="20"/>
                <w:szCs w:val="20"/>
              </w:rPr>
            </w:pPr>
          </w:p>
        </w:tc>
        <w:tc>
          <w:tcPr>
            <w:tcW w:w="4111" w:type="dxa"/>
            <w:gridSpan w:val="3"/>
            <w:tcBorders>
              <w:top w:val="single" w:sz="4" w:space="0" w:color="auto"/>
              <w:left w:val="nil"/>
              <w:bottom w:val="nil"/>
              <w:right w:val="nil"/>
            </w:tcBorders>
            <w:hideMark/>
          </w:tcPr>
          <w:p w14:paraId="595B8028" w14:textId="77777777" w:rsidR="00226BE0" w:rsidRDefault="00226BE0">
            <w:pPr>
              <w:spacing w:before="60" w:after="60" w:line="240" w:lineRule="auto"/>
              <w:jc w:val="center"/>
              <w:rPr>
                <w:rFonts w:cs="Arial"/>
                <w:b/>
                <w:sz w:val="20"/>
                <w:szCs w:val="20"/>
              </w:rPr>
            </w:pPr>
            <w:r>
              <w:rPr>
                <w:rFonts w:cs="Arial"/>
                <w:b/>
                <w:sz w:val="20"/>
                <w:szCs w:val="20"/>
              </w:rPr>
              <w:t>Rocky Point samples</w:t>
            </w:r>
          </w:p>
        </w:tc>
        <w:tc>
          <w:tcPr>
            <w:tcW w:w="2835" w:type="dxa"/>
            <w:gridSpan w:val="2"/>
            <w:tcBorders>
              <w:top w:val="single" w:sz="4" w:space="0" w:color="auto"/>
              <w:left w:val="nil"/>
              <w:bottom w:val="nil"/>
              <w:right w:val="nil"/>
            </w:tcBorders>
            <w:hideMark/>
          </w:tcPr>
          <w:p w14:paraId="26506436" w14:textId="77777777" w:rsidR="00226BE0" w:rsidRDefault="00226BE0">
            <w:pPr>
              <w:spacing w:before="60" w:after="60" w:line="240" w:lineRule="auto"/>
              <w:jc w:val="center"/>
              <w:rPr>
                <w:rFonts w:cs="Arial"/>
                <w:b/>
                <w:sz w:val="20"/>
                <w:szCs w:val="20"/>
              </w:rPr>
            </w:pPr>
            <w:proofErr w:type="spellStart"/>
            <w:r>
              <w:rPr>
                <w:rFonts w:cs="Arial"/>
                <w:b/>
                <w:sz w:val="20"/>
                <w:szCs w:val="20"/>
              </w:rPr>
              <w:t>Maynes</w:t>
            </w:r>
            <w:proofErr w:type="spellEnd"/>
            <w:r>
              <w:rPr>
                <w:rFonts w:cs="Arial"/>
                <w:b/>
                <w:sz w:val="20"/>
                <w:szCs w:val="20"/>
              </w:rPr>
              <w:t xml:space="preserve"> Junction sample</w:t>
            </w:r>
          </w:p>
        </w:tc>
      </w:tr>
      <w:tr w:rsidR="00226BE0" w14:paraId="4B2C0106" w14:textId="77777777" w:rsidTr="00226BE0">
        <w:trPr>
          <w:trHeight w:val="447"/>
        </w:trPr>
        <w:tc>
          <w:tcPr>
            <w:tcW w:w="2552" w:type="dxa"/>
            <w:tcBorders>
              <w:top w:val="single" w:sz="4" w:space="0" w:color="auto"/>
              <w:left w:val="nil"/>
              <w:bottom w:val="nil"/>
              <w:right w:val="nil"/>
            </w:tcBorders>
            <w:hideMark/>
          </w:tcPr>
          <w:p w14:paraId="157E6D31" w14:textId="77777777" w:rsidR="00226BE0" w:rsidRDefault="00226BE0">
            <w:pPr>
              <w:spacing w:before="60" w:after="60" w:line="240" w:lineRule="auto"/>
              <w:rPr>
                <w:rFonts w:cs="Arial"/>
                <w:b/>
                <w:sz w:val="20"/>
                <w:szCs w:val="20"/>
              </w:rPr>
            </w:pPr>
            <w:r>
              <w:rPr>
                <w:rFonts w:cs="Arial"/>
                <w:b/>
                <w:sz w:val="20"/>
                <w:szCs w:val="20"/>
              </w:rPr>
              <w:t>Sample Lab No.</w:t>
            </w:r>
          </w:p>
        </w:tc>
        <w:tc>
          <w:tcPr>
            <w:tcW w:w="1417" w:type="dxa"/>
            <w:tcBorders>
              <w:top w:val="single" w:sz="4" w:space="0" w:color="auto"/>
              <w:left w:val="nil"/>
              <w:bottom w:val="nil"/>
              <w:right w:val="nil"/>
            </w:tcBorders>
            <w:hideMark/>
          </w:tcPr>
          <w:p w14:paraId="2E2FAD92" w14:textId="77777777" w:rsidR="00226BE0" w:rsidRDefault="00226BE0">
            <w:pPr>
              <w:spacing w:before="60" w:after="60" w:line="240" w:lineRule="auto"/>
              <w:jc w:val="center"/>
              <w:rPr>
                <w:rFonts w:cs="Arial"/>
                <w:b/>
                <w:sz w:val="20"/>
                <w:szCs w:val="20"/>
              </w:rPr>
            </w:pPr>
            <w:r>
              <w:rPr>
                <w:rFonts w:cs="Arial"/>
                <w:b/>
                <w:sz w:val="20"/>
                <w:szCs w:val="20"/>
              </w:rPr>
              <w:t>W5021</w:t>
            </w:r>
          </w:p>
        </w:tc>
        <w:tc>
          <w:tcPr>
            <w:tcW w:w="1418" w:type="dxa"/>
            <w:tcBorders>
              <w:top w:val="single" w:sz="4" w:space="0" w:color="auto"/>
              <w:left w:val="nil"/>
              <w:bottom w:val="nil"/>
              <w:right w:val="nil"/>
            </w:tcBorders>
            <w:hideMark/>
          </w:tcPr>
          <w:p w14:paraId="7622796D" w14:textId="77777777" w:rsidR="00226BE0" w:rsidRDefault="00226BE0">
            <w:pPr>
              <w:spacing w:before="60" w:after="60" w:line="240" w:lineRule="auto"/>
              <w:jc w:val="center"/>
              <w:rPr>
                <w:rFonts w:cs="Arial"/>
                <w:b/>
                <w:sz w:val="20"/>
                <w:szCs w:val="20"/>
              </w:rPr>
            </w:pPr>
            <w:r>
              <w:rPr>
                <w:rFonts w:cs="Arial"/>
                <w:b/>
                <w:sz w:val="20"/>
                <w:szCs w:val="20"/>
              </w:rPr>
              <w:t>W5022</w:t>
            </w:r>
          </w:p>
        </w:tc>
        <w:tc>
          <w:tcPr>
            <w:tcW w:w="1276" w:type="dxa"/>
            <w:tcBorders>
              <w:top w:val="single" w:sz="4" w:space="0" w:color="auto"/>
              <w:left w:val="nil"/>
              <w:bottom w:val="nil"/>
              <w:right w:val="nil"/>
            </w:tcBorders>
            <w:hideMark/>
          </w:tcPr>
          <w:p w14:paraId="23993E10" w14:textId="77777777" w:rsidR="00226BE0" w:rsidRDefault="00226BE0">
            <w:pPr>
              <w:spacing w:before="60" w:after="60" w:line="240" w:lineRule="auto"/>
              <w:jc w:val="center"/>
              <w:rPr>
                <w:rFonts w:cs="Arial"/>
                <w:b/>
                <w:sz w:val="20"/>
                <w:szCs w:val="20"/>
              </w:rPr>
            </w:pPr>
            <w:r>
              <w:rPr>
                <w:rFonts w:cs="Arial"/>
                <w:b/>
                <w:sz w:val="20"/>
                <w:szCs w:val="20"/>
              </w:rPr>
              <w:t>W5023</w:t>
            </w:r>
          </w:p>
        </w:tc>
        <w:tc>
          <w:tcPr>
            <w:tcW w:w="1417" w:type="dxa"/>
            <w:tcBorders>
              <w:top w:val="single" w:sz="4" w:space="0" w:color="auto"/>
              <w:left w:val="nil"/>
              <w:bottom w:val="nil"/>
              <w:right w:val="nil"/>
            </w:tcBorders>
            <w:hideMark/>
          </w:tcPr>
          <w:p w14:paraId="48EEC234" w14:textId="77777777" w:rsidR="00226BE0" w:rsidRDefault="00226BE0">
            <w:pPr>
              <w:spacing w:before="60" w:after="60" w:line="240" w:lineRule="auto"/>
              <w:jc w:val="center"/>
              <w:rPr>
                <w:rFonts w:cs="Arial"/>
                <w:b/>
                <w:sz w:val="20"/>
                <w:szCs w:val="20"/>
              </w:rPr>
            </w:pPr>
            <w:r>
              <w:rPr>
                <w:rFonts w:cs="Arial"/>
                <w:b/>
                <w:sz w:val="20"/>
                <w:szCs w:val="20"/>
              </w:rPr>
              <w:t>W4947</w:t>
            </w:r>
          </w:p>
        </w:tc>
        <w:tc>
          <w:tcPr>
            <w:tcW w:w="1418" w:type="dxa"/>
            <w:tcBorders>
              <w:top w:val="single" w:sz="4" w:space="0" w:color="auto"/>
              <w:left w:val="nil"/>
              <w:bottom w:val="nil"/>
              <w:right w:val="nil"/>
            </w:tcBorders>
            <w:hideMark/>
          </w:tcPr>
          <w:p w14:paraId="0A9D2F4B" w14:textId="77777777" w:rsidR="00226BE0" w:rsidRDefault="00226BE0">
            <w:pPr>
              <w:spacing w:before="60" w:after="60" w:line="240" w:lineRule="auto"/>
              <w:jc w:val="center"/>
              <w:rPr>
                <w:rFonts w:cs="Arial"/>
                <w:b/>
                <w:sz w:val="20"/>
                <w:szCs w:val="20"/>
              </w:rPr>
            </w:pPr>
            <w:r>
              <w:rPr>
                <w:rFonts w:cs="Arial"/>
                <w:b/>
                <w:sz w:val="20"/>
                <w:szCs w:val="20"/>
              </w:rPr>
              <w:t>W4968</w:t>
            </w:r>
          </w:p>
        </w:tc>
      </w:tr>
      <w:tr w:rsidR="00226BE0" w14:paraId="0FA1F898" w14:textId="77777777" w:rsidTr="00226BE0">
        <w:trPr>
          <w:trHeight w:val="447"/>
        </w:trPr>
        <w:tc>
          <w:tcPr>
            <w:tcW w:w="2552" w:type="dxa"/>
            <w:tcBorders>
              <w:top w:val="single" w:sz="4" w:space="0" w:color="auto"/>
              <w:left w:val="nil"/>
              <w:bottom w:val="nil"/>
              <w:right w:val="nil"/>
            </w:tcBorders>
            <w:hideMark/>
          </w:tcPr>
          <w:p w14:paraId="72302688" w14:textId="77777777" w:rsidR="00226BE0" w:rsidRDefault="00226BE0">
            <w:pPr>
              <w:spacing w:before="60" w:after="60" w:line="240" w:lineRule="auto"/>
              <w:contextualSpacing/>
              <w:rPr>
                <w:rFonts w:cs="Arial"/>
                <w:b/>
                <w:sz w:val="20"/>
                <w:szCs w:val="20"/>
              </w:rPr>
            </w:pPr>
            <w:r>
              <w:rPr>
                <w:rFonts w:cs="Arial"/>
                <w:b/>
                <w:sz w:val="20"/>
                <w:szCs w:val="20"/>
              </w:rPr>
              <w:t>Field ID</w:t>
            </w:r>
          </w:p>
        </w:tc>
        <w:tc>
          <w:tcPr>
            <w:tcW w:w="1417" w:type="dxa"/>
            <w:tcBorders>
              <w:top w:val="single" w:sz="4" w:space="0" w:color="auto"/>
              <w:left w:val="nil"/>
              <w:bottom w:val="nil"/>
              <w:right w:val="nil"/>
            </w:tcBorders>
            <w:hideMark/>
          </w:tcPr>
          <w:p w14:paraId="3C432A10" w14:textId="77777777" w:rsidR="00226BE0" w:rsidRDefault="00226BE0">
            <w:pPr>
              <w:spacing w:before="60" w:after="60" w:line="240" w:lineRule="auto"/>
              <w:contextualSpacing/>
              <w:jc w:val="center"/>
              <w:rPr>
                <w:rFonts w:cs="Arial"/>
                <w:b/>
                <w:sz w:val="20"/>
                <w:szCs w:val="20"/>
              </w:rPr>
            </w:pPr>
            <w:r>
              <w:rPr>
                <w:rFonts w:cs="Arial"/>
                <w:b/>
                <w:sz w:val="20"/>
                <w:szCs w:val="20"/>
              </w:rPr>
              <w:t>Unit 3 (upper)</w:t>
            </w:r>
          </w:p>
        </w:tc>
        <w:tc>
          <w:tcPr>
            <w:tcW w:w="1418" w:type="dxa"/>
            <w:tcBorders>
              <w:top w:val="single" w:sz="4" w:space="0" w:color="auto"/>
              <w:left w:val="nil"/>
              <w:bottom w:val="nil"/>
              <w:right w:val="nil"/>
            </w:tcBorders>
            <w:hideMark/>
          </w:tcPr>
          <w:p w14:paraId="77B18EFC" w14:textId="77777777" w:rsidR="00226BE0" w:rsidRDefault="00226BE0">
            <w:pPr>
              <w:spacing w:before="60" w:after="60" w:line="240" w:lineRule="auto"/>
              <w:contextualSpacing/>
              <w:jc w:val="center"/>
              <w:rPr>
                <w:rFonts w:cs="Arial"/>
                <w:b/>
                <w:sz w:val="20"/>
                <w:szCs w:val="20"/>
              </w:rPr>
            </w:pPr>
            <w:r>
              <w:rPr>
                <w:rFonts w:cs="Arial"/>
                <w:b/>
                <w:sz w:val="20"/>
                <w:szCs w:val="20"/>
              </w:rPr>
              <w:t>Unit 3 (lower)</w:t>
            </w:r>
          </w:p>
        </w:tc>
        <w:tc>
          <w:tcPr>
            <w:tcW w:w="1276" w:type="dxa"/>
            <w:tcBorders>
              <w:top w:val="single" w:sz="4" w:space="0" w:color="auto"/>
              <w:left w:val="nil"/>
              <w:bottom w:val="nil"/>
              <w:right w:val="nil"/>
            </w:tcBorders>
            <w:hideMark/>
          </w:tcPr>
          <w:p w14:paraId="71C75E51" w14:textId="77777777" w:rsidR="00226BE0" w:rsidRDefault="00226BE0">
            <w:pPr>
              <w:spacing w:before="60" w:after="60" w:line="240" w:lineRule="auto"/>
              <w:contextualSpacing/>
              <w:jc w:val="center"/>
              <w:rPr>
                <w:rFonts w:cs="Arial"/>
                <w:b/>
                <w:sz w:val="20"/>
                <w:szCs w:val="20"/>
              </w:rPr>
            </w:pPr>
            <w:r>
              <w:rPr>
                <w:rFonts w:cs="Arial"/>
                <w:b/>
                <w:sz w:val="20"/>
                <w:szCs w:val="20"/>
              </w:rPr>
              <w:t>Unit 5</w:t>
            </w:r>
          </w:p>
        </w:tc>
        <w:tc>
          <w:tcPr>
            <w:tcW w:w="1417" w:type="dxa"/>
            <w:tcBorders>
              <w:top w:val="single" w:sz="4" w:space="0" w:color="auto"/>
              <w:left w:val="nil"/>
              <w:bottom w:val="nil"/>
              <w:right w:val="nil"/>
            </w:tcBorders>
            <w:hideMark/>
          </w:tcPr>
          <w:p w14:paraId="087A4489" w14:textId="77777777" w:rsidR="00226BE0" w:rsidRDefault="00226BE0">
            <w:pPr>
              <w:spacing w:before="60" w:after="60" w:line="240" w:lineRule="auto"/>
              <w:contextualSpacing/>
              <w:jc w:val="center"/>
              <w:rPr>
                <w:rFonts w:cs="Arial"/>
                <w:b/>
                <w:sz w:val="20"/>
                <w:szCs w:val="20"/>
              </w:rPr>
            </w:pPr>
            <w:r>
              <w:rPr>
                <w:rFonts w:cs="Arial"/>
                <w:b/>
                <w:sz w:val="20"/>
                <w:szCs w:val="20"/>
              </w:rPr>
              <w:t>Top pale   layer</w:t>
            </w:r>
          </w:p>
        </w:tc>
        <w:tc>
          <w:tcPr>
            <w:tcW w:w="1418" w:type="dxa"/>
            <w:tcBorders>
              <w:top w:val="single" w:sz="4" w:space="0" w:color="auto"/>
              <w:left w:val="nil"/>
              <w:bottom w:val="nil"/>
              <w:right w:val="nil"/>
            </w:tcBorders>
            <w:hideMark/>
          </w:tcPr>
          <w:p w14:paraId="55A40007" w14:textId="77777777" w:rsidR="00226BE0" w:rsidRDefault="00226BE0">
            <w:pPr>
              <w:spacing w:before="60" w:after="60" w:line="240" w:lineRule="auto"/>
              <w:contextualSpacing/>
              <w:jc w:val="center"/>
              <w:rPr>
                <w:rFonts w:cs="Arial"/>
                <w:b/>
                <w:sz w:val="20"/>
                <w:szCs w:val="20"/>
              </w:rPr>
            </w:pPr>
            <w:r>
              <w:rPr>
                <w:rFonts w:cs="Arial"/>
                <w:b/>
                <w:sz w:val="20"/>
                <w:szCs w:val="20"/>
              </w:rPr>
              <w:t>Lowest pale layer</w:t>
            </w:r>
          </w:p>
        </w:tc>
      </w:tr>
      <w:tr w:rsidR="00226BE0" w14:paraId="3B3455B5" w14:textId="77777777" w:rsidTr="00226BE0">
        <w:trPr>
          <w:trHeight w:val="20"/>
        </w:trPr>
        <w:tc>
          <w:tcPr>
            <w:tcW w:w="2552" w:type="dxa"/>
            <w:tcBorders>
              <w:top w:val="single" w:sz="4" w:space="0" w:color="auto"/>
              <w:left w:val="nil"/>
              <w:bottom w:val="nil"/>
              <w:right w:val="nil"/>
            </w:tcBorders>
            <w:hideMark/>
          </w:tcPr>
          <w:p w14:paraId="53CA8FD9" w14:textId="77777777" w:rsidR="00226BE0" w:rsidRDefault="00226BE0">
            <w:pPr>
              <w:spacing w:before="60" w:after="60" w:line="240" w:lineRule="auto"/>
              <w:rPr>
                <w:rFonts w:cs="Arial"/>
                <w:sz w:val="20"/>
                <w:szCs w:val="20"/>
              </w:rPr>
            </w:pPr>
            <w:r>
              <w:rPr>
                <w:rFonts w:cs="Arial"/>
                <w:sz w:val="20"/>
                <w:szCs w:val="20"/>
              </w:rPr>
              <w:t>TL Plateau region (</w:t>
            </w:r>
            <w:proofErr w:type="spellStart"/>
            <w:r>
              <w:rPr>
                <w:rFonts w:cs="Arial"/>
                <w:sz w:val="20"/>
                <w:szCs w:val="20"/>
                <w:vertAlign w:val="superscript"/>
              </w:rPr>
              <w:t>o</w:t>
            </w:r>
            <w:r>
              <w:rPr>
                <w:rFonts w:cs="Arial"/>
                <w:sz w:val="20"/>
                <w:szCs w:val="20"/>
              </w:rPr>
              <w:t>C</w:t>
            </w:r>
            <w:proofErr w:type="spellEnd"/>
            <w:r>
              <w:rPr>
                <w:rFonts w:cs="Arial"/>
                <w:sz w:val="20"/>
                <w:szCs w:val="20"/>
              </w:rPr>
              <w:t>)</w:t>
            </w:r>
          </w:p>
        </w:tc>
        <w:tc>
          <w:tcPr>
            <w:tcW w:w="1417" w:type="dxa"/>
            <w:tcBorders>
              <w:top w:val="single" w:sz="4" w:space="0" w:color="auto"/>
              <w:left w:val="nil"/>
              <w:bottom w:val="nil"/>
              <w:right w:val="nil"/>
            </w:tcBorders>
            <w:hideMark/>
          </w:tcPr>
          <w:p w14:paraId="1CFD4D41" w14:textId="77777777" w:rsidR="00226BE0" w:rsidRDefault="00226BE0">
            <w:pPr>
              <w:spacing w:before="60" w:after="60" w:line="240" w:lineRule="auto"/>
              <w:jc w:val="center"/>
              <w:rPr>
                <w:rFonts w:cs="Arial"/>
                <w:sz w:val="20"/>
                <w:szCs w:val="20"/>
              </w:rPr>
            </w:pPr>
            <w:r>
              <w:rPr>
                <w:rFonts w:cs="Arial"/>
                <w:sz w:val="20"/>
                <w:szCs w:val="20"/>
              </w:rPr>
              <w:t>300–400</w:t>
            </w:r>
          </w:p>
        </w:tc>
        <w:tc>
          <w:tcPr>
            <w:tcW w:w="1418" w:type="dxa"/>
            <w:tcBorders>
              <w:top w:val="single" w:sz="4" w:space="0" w:color="auto"/>
              <w:left w:val="nil"/>
              <w:bottom w:val="nil"/>
              <w:right w:val="nil"/>
            </w:tcBorders>
            <w:hideMark/>
          </w:tcPr>
          <w:p w14:paraId="3C896CC9" w14:textId="77777777" w:rsidR="00226BE0" w:rsidRDefault="00226BE0">
            <w:pPr>
              <w:spacing w:before="60" w:after="60" w:line="240" w:lineRule="auto"/>
              <w:jc w:val="center"/>
              <w:rPr>
                <w:rFonts w:cs="Arial"/>
                <w:sz w:val="20"/>
                <w:szCs w:val="20"/>
              </w:rPr>
            </w:pPr>
            <w:r>
              <w:rPr>
                <w:rFonts w:cs="Arial"/>
                <w:sz w:val="20"/>
                <w:szCs w:val="20"/>
              </w:rPr>
              <w:t>275–500</w:t>
            </w:r>
          </w:p>
        </w:tc>
        <w:tc>
          <w:tcPr>
            <w:tcW w:w="1276" w:type="dxa"/>
            <w:tcBorders>
              <w:top w:val="single" w:sz="4" w:space="0" w:color="auto"/>
              <w:left w:val="nil"/>
              <w:bottom w:val="nil"/>
              <w:right w:val="nil"/>
            </w:tcBorders>
            <w:hideMark/>
          </w:tcPr>
          <w:p w14:paraId="7F1F415E" w14:textId="77777777" w:rsidR="00226BE0" w:rsidRDefault="00226BE0">
            <w:pPr>
              <w:spacing w:before="60" w:after="60" w:line="240" w:lineRule="auto"/>
              <w:jc w:val="center"/>
              <w:rPr>
                <w:rFonts w:cs="Arial"/>
                <w:sz w:val="20"/>
                <w:szCs w:val="20"/>
              </w:rPr>
            </w:pPr>
            <w:r>
              <w:rPr>
                <w:rFonts w:cs="Arial"/>
                <w:sz w:val="20"/>
                <w:szCs w:val="20"/>
              </w:rPr>
              <w:t>275–500</w:t>
            </w:r>
          </w:p>
        </w:tc>
        <w:tc>
          <w:tcPr>
            <w:tcW w:w="1417" w:type="dxa"/>
            <w:tcBorders>
              <w:top w:val="single" w:sz="4" w:space="0" w:color="auto"/>
              <w:left w:val="nil"/>
              <w:bottom w:val="nil"/>
              <w:right w:val="nil"/>
            </w:tcBorders>
            <w:hideMark/>
          </w:tcPr>
          <w:p w14:paraId="6D1BB7FE" w14:textId="77777777" w:rsidR="00226BE0" w:rsidRDefault="00226BE0">
            <w:pPr>
              <w:spacing w:before="60" w:after="60" w:line="240" w:lineRule="auto"/>
              <w:jc w:val="center"/>
              <w:rPr>
                <w:rFonts w:cs="Arial"/>
                <w:sz w:val="20"/>
                <w:szCs w:val="20"/>
              </w:rPr>
            </w:pPr>
            <w:r>
              <w:rPr>
                <w:rFonts w:cs="Arial"/>
                <w:sz w:val="20"/>
                <w:szCs w:val="20"/>
              </w:rPr>
              <w:t>275–500</w:t>
            </w:r>
          </w:p>
        </w:tc>
        <w:tc>
          <w:tcPr>
            <w:tcW w:w="1418" w:type="dxa"/>
            <w:tcBorders>
              <w:top w:val="single" w:sz="4" w:space="0" w:color="auto"/>
              <w:left w:val="nil"/>
              <w:bottom w:val="nil"/>
              <w:right w:val="nil"/>
            </w:tcBorders>
            <w:hideMark/>
          </w:tcPr>
          <w:p w14:paraId="5B6E8D6C" w14:textId="77777777" w:rsidR="00226BE0" w:rsidRDefault="00226BE0">
            <w:pPr>
              <w:spacing w:before="60" w:after="60" w:line="240" w:lineRule="auto"/>
              <w:jc w:val="center"/>
              <w:rPr>
                <w:rFonts w:cs="Arial"/>
                <w:sz w:val="20"/>
                <w:szCs w:val="20"/>
              </w:rPr>
            </w:pPr>
            <w:r>
              <w:rPr>
                <w:rFonts w:cs="Arial"/>
                <w:sz w:val="20"/>
                <w:szCs w:val="20"/>
              </w:rPr>
              <w:t>275–500</w:t>
            </w:r>
          </w:p>
        </w:tc>
      </w:tr>
      <w:tr w:rsidR="00226BE0" w14:paraId="42C11039" w14:textId="77777777" w:rsidTr="00226BE0">
        <w:trPr>
          <w:trHeight w:val="20"/>
        </w:trPr>
        <w:tc>
          <w:tcPr>
            <w:tcW w:w="2552" w:type="dxa"/>
            <w:hideMark/>
          </w:tcPr>
          <w:p w14:paraId="61C8C2B0" w14:textId="77777777" w:rsidR="00226BE0" w:rsidRDefault="00226BE0">
            <w:pPr>
              <w:spacing w:before="60" w:after="60" w:line="240" w:lineRule="auto"/>
              <w:rPr>
                <w:rFonts w:cs="Arial"/>
                <w:sz w:val="20"/>
                <w:szCs w:val="20"/>
              </w:rPr>
            </w:pPr>
            <w:r>
              <w:rPr>
                <w:rFonts w:cs="Arial"/>
                <w:sz w:val="20"/>
                <w:szCs w:val="20"/>
              </w:rPr>
              <w:t>Analysis temp. (</w:t>
            </w:r>
            <w:proofErr w:type="spellStart"/>
            <w:r>
              <w:rPr>
                <w:rFonts w:cs="Arial"/>
                <w:sz w:val="20"/>
                <w:szCs w:val="20"/>
                <w:vertAlign w:val="superscript"/>
              </w:rPr>
              <w:t>o</w:t>
            </w:r>
            <w:r>
              <w:rPr>
                <w:rFonts w:cs="Arial"/>
                <w:sz w:val="20"/>
                <w:szCs w:val="20"/>
              </w:rPr>
              <w:t>C</w:t>
            </w:r>
            <w:proofErr w:type="spellEnd"/>
            <w:r>
              <w:rPr>
                <w:rFonts w:cs="Arial"/>
                <w:sz w:val="20"/>
                <w:szCs w:val="20"/>
              </w:rPr>
              <w:t>)</w:t>
            </w:r>
          </w:p>
        </w:tc>
        <w:tc>
          <w:tcPr>
            <w:tcW w:w="1417" w:type="dxa"/>
            <w:hideMark/>
          </w:tcPr>
          <w:p w14:paraId="6DE1D425" w14:textId="77777777" w:rsidR="00226BE0" w:rsidRDefault="00226BE0">
            <w:pPr>
              <w:spacing w:before="60" w:after="60" w:line="240" w:lineRule="auto"/>
              <w:jc w:val="center"/>
              <w:rPr>
                <w:rFonts w:cs="Arial"/>
                <w:sz w:val="20"/>
                <w:szCs w:val="20"/>
              </w:rPr>
            </w:pPr>
            <w:r>
              <w:rPr>
                <w:rFonts w:cs="Arial"/>
                <w:sz w:val="20"/>
                <w:szCs w:val="20"/>
              </w:rPr>
              <w:t>375</w:t>
            </w:r>
          </w:p>
        </w:tc>
        <w:tc>
          <w:tcPr>
            <w:tcW w:w="1418" w:type="dxa"/>
            <w:hideMark/>
          </w:tcPr>
          <w:p w14:paraId="0B947319" w14:textId="77777777" w:rsidR="00226BE0" w:rsidRDefault="00226BE0">
            <w:pPr>
              <w:spacing w:before="60" w:after="60" w:line="240" w:lineRule="auto"/>
              <w:jc w:val="center"/>
              <w:rPr>
                <w:rFonts w:cs="Arial"/>
                <w:sz w:val="20"/>
                <w:szCs w:val="20"/>
              </w:rPr>
            </w:pPr>
            <w:r>
              <w:rPr>
                <w:rFonts w:cs="Arial"/>
                <w:sz w:val="20"/>
                <w:szCs w:val="20"/>
              </w:rPr>
              <w:t>375</w:t>
            </w:r>
          </w:p>
        </w:tc>
        <w:tc>
          <w:tcPr>
            <w:tcW w:w="1276" w:type="dxa"/>
            <w:hideMark/>
          </w:tcPr>
          <w:p w14:paraId="59105009" w14:textId="77777777" w:rsidR="00226BE0" w:rsidRDefault="00226BE0">
            <w:pPr>
              <w:spacing w:before="60" w:after="60" w:line="240" w:lineRule="auto"/>
              <w:jc w:val="center"/>
              <w:rPr>
                <w:rFonts w:cs="Arial"/>
                <w:sz w:val="20"/>
                <w:szCs w:val="20"/>
              </w:rPr>
            </w:pPr>
            <w:r>
              <w:rPr>
                <w:rFonts w:cs="Arial"/>
                <w:sz w:val="20"/>
                <w:szCs w:val="20"/>
              </w:rPr>
              <w:t>375</w:t>
            </w:r>
          </w:p>
        </w:tc>
        <w:tc>
          <w:tcPr>
            <w:tcW w:w="1417" w:type="dxa"/>
            <w:hideMark/>
          </w:tcPr>
          <w:p w14:paraId="61DB4DD2" w14:textId="77777777" w:rsidR="00226BE0" w:rsidRDefault="00226BE0">
            <w:pPr>
              <w:spacing w:before="60" w:after="60" w:line="240" w:lineRule="auto"/>
              <w:jc w:val="center"/>
              <w:rPr>
                <w:rFonts w:cs="Arial"/>
                <w:sz w:val="20"/>
                <w:szCs w:val="20"/>
              </w:rPr>
            </w:pPr>
            <w:r>
              <w:rPr>
                <w:rFonts w:cs="Arial"/>
                <w:sz w:val="20"/>
                <w:szCs w:val="20"/>
              </w:rPr>
              <w:t>375</w:t>
            </w:r>
          </w:p>
        </w:tc>
        <w:tc>
          <w:tcPr>
            <w:tcW w:w="1418" w:type="dxa"/>
            <w:hideMark/>
          </w:tcPr>
          <w:p w14:paraId="3545685A" w14:textId="77777777" w:rsidR="00226BE0" w:rsidRDefault="00226BE0">
            <w:pPr>
              <w:spacing w:before="60" w:after="60" w:line="240" w:lineRule="auto"/>
              <w:jc w:val="center"/>
              <w:rPr>
                <w:rFonts w:cs="Arial"/>
                <w:sz w:val="20"/>
                <w:szCs w:val="20"/>
              </w:rPr>
            </w:pPr>
            <w:r>
              <w:rPr>
                <w:rFonts w:cs="Arial"/>
                <w:sz w:val="20"/>
                <w:szCs w:val="20"/>
              </w:rPr>
              <w:t>375</w:t>
            </w:r>
          </w:p>
        </w:tc>
      </w:tr>
      <w:tr w:rsidR="00226BE0" w14:paraId="5F72EDC4" w14:textId="77777777" w:rsidTr="00226BE0">
        <w:trPr>
          <w:trHeight w:val="20"/>
        </w:trPr>
        <w:tc>
          <w:tcPr>
            <w:tcW w:w="2552" w:type="dxa"/>
            <w:hideMark/>
          </w:tcPr>
          <w:p w14:paraId="03983826" w14:textId="77777777" w:rsidR="00226BE0" w:rsidRDefault="00226BE0">
            <w:pPr>
              <w:spacing w:before="60" w:after="60" w:line="240" w:lineRule="auto"/>
              <w:rPr>
                <w:rFonts w:cs="Arial"/>
                <w:sz w:val="20"/>
                <w:szCs w:val="20"/>
              </w:rPr>
            </w:pPr>
            <w:r>
              <w:rPr>
                <w:rFonts w:cs="Arial"/>
                <w:sz w:val="20"/>
                <w:szCs w:val="20"/>
              </w:rPr>
              <w:t>Equivalent dose (</w:t>
            </w:r>
            <w:proofErr w:type="spellStart"/>
            <w:r>
              <w:rPr>
                <w:rFonts w:cs="Arial"/>
                <w:sz w:val="20"/>
                <w:szCs w:val="20"/>
              </w:rPr>
              <w:t>Gy</w:t>
            </w:r>
            <w:proofErr w:type="spellEnd"/>
            <w:r>
              <w:rPr>
                <w:rFonts w:cs="Arial"/>
                <w:sz w:val="20"/>
                <w:szCs w:val="20"/>
              </w:rPr>
              <w:t>)</w:t>
            </w:r>
          </w:p>
        </w:tc>
        <w:tc>
          <w:tcPr>
            <w:tcW w:w="1417" w:type="dxa"/>
            <w:hideMark/>
          </w:tcPr>
          <w:p w14:paraId="01AEAA54" w14:textId="77777777" w:rsidR="00226BE0" w:rsidRDefault="00226BE0">
            <w:pPr>
              <w:spacing w:before="60" w:after="60" w:line="240" w:lineRule="auto"/>
              <w:jc w:val="center"/>
              <w:rPr>
                <w:rFonts w:cs="Arial"/>
                <w:sz w:val="20"/>
                <w:szCs w:val="20"/>
              </w:rPr>
            </w:pPr>
            <w:r>
              <w:rPr>
                <w:rFonts w:cs="Arial"/>
                <w:sz w:val="20"/>
                <w:szCs w:val="20"/>
              </w:rPr>
              <w:t>4.5 ± 0.5</w:t>
            </w:r>
          </w:p>
        </w:tc>
        <w:tc>
          <w:tcPr>
            <w:tcW w:w="1418" w:type="dxa"/>
            <w:hideMark/>
          </w:tcPr>
          <w:p w14:paraId="24C9058D" w14:textId="77777777" w:rsidR="00226BE0" w:rsidRDefault="00226BE0">
            <w:pPr>
              <w:spacing w:before="60" w:after="60" w:line="240" w:lineRule="auto"/>
              <w:jc w:val="center"/>
              <w:rPr>
                <w:rFonts w:cs="Arial"/>
                <w:sz w:val="20"/>
                <w:szCs w:val="20"/>
              </w:rPr>
            </w:pPr>
            <w:r>
              <w:rPr>
                <w:rFonts w:cs="Arial"/>
                <w:sz w:val="20"/>
                <w:szCs w:val="20"/>
              </w:rPr>
              <w:t>5.0 ± 0.5</w:t>
            </w:r>
          </w:p>
        </w:tc>
        <w:tc>
          <w:tcPr>
            <w:tcW w:w="1276" w:type="dxa"/>
            <w:hideMark/>
          </w:tcPr>
          <w:p w14:paraId="4EE6AC12" w14:textId="77777777" w:rsidR="00226BE0" w:rsidRDefault="00226BE0">
            <w:pPr>
              <w:spacing w:before="60" w:after="60" w:line="240" w:lineRule="auto"/>
              <w:jc w:val="center"/>
              <w:rPr>
                <w:rFonts w:cs="Arial"/>
                <w:sz w:val="20"/>
                <w:szCs w:val="20"/>
              </w:rPr>
            </w:pPr>
            <w:r>
              <w:rPr>
                <w:rFonts w:cs="Arial"/>
                <w:sz w:val="20"/>
                <w:szCs w:val="20"/>
              </w:rPr>
              <w:t>52.2 ± 3.4</w:t>
            </w:r>
          </w:p>
        </w:tc>
        <w:tc>
          <w:tcPr>
            <w:tcW w:w="1417" w:type="dxa"/>
            <w:hideMark/>
          </w:tcPr>
          <w:p w14:paraId="026401B7" w14:textId="77777777" w:rsidR="00226BE0" w:rsidRDefault="00226BE0">
            <w:pPr>
              <w:spacing w:before="60" w:after="60" w:line="240" w:lineRule="auto"/>
              <w:jc w:val="center"/>
              <w:rPr>
                <w:rFonts w:cs="Arial"/>
                <w:sz w:val="20"/>
                <w:szCs w:val="20"/>
              </w:rPr>
            </w:pPr>
            <w:r>
              <w:rPr>
                <w:rFonts w:cs="Arial"/>
                <w:sz w:val="20"/>
                <w:szCs w:val="20"/>
              </w:rPr>
              <w:t>35.5 ± 2.5</w:t>
            </w:r>
          </w:p>
        </w:tc>
        <w:tc>
          <w:tcPr>
            <w:tcW w:w="1418" w:type="dxa"/>
            <w:hideMark/>
          </w:tcPr>
          <w:p w14:paraId="51A26E6B" w14:textId="77777777" w:rsidR="00226BE0" w:rsidRDefault="00226BE0">
            <w:pPr>
              <w:spacing w:before="60" w:after="60" w:line="240" w:lineRule="auto"/>
              <w:jc w:val="center"/>
              <w:rPr>
                <w:rFonts w:cs="Arial"/>
                <w:sz w:val="20"/>
                <w:szCs w:val="20"/>
              </w:rPr>
            </w:pPr>
            <w:r>
              <w:rPr>
                <w:rFonts w:cs="Arial"/>
                <w:sz w:val="20"/>
                <w:szCs w:val="20"/>
              </w:rPr>
              <w:t>176 ± 20</w:t>
            </w:r>
          </w:p>
        </w:tc>
      </w:tr>
      <w:tr w:rsidR="00226BE0" w14:paraId="0C9CA6FC" w14:textId="77777777" w:rsidTr="00226BE0">
        <w:trPr>
          <w:trHeight w:val="20"/>
        </w:trPr>
        <w:tc>
          <w:tcPr>
            <w:tcW w:w="2552" w:type="dxa"/>
            <w:hideMark/>
          </w:tcPr>
          <w:p w14:paraId="57186273" w14:textId="77777777" w:rsidR="00226BE0" w:rsidRDefault="00226BE0">
            <w:pPr>
              <w:spacing w:before="60" w:after="60" w:line="240" w:lineRule="auto"/>
              <w:rPr>
                <w:rFonts w:cs="Arial"/>
                <w:sz w:val="20"/>
                <w:szCs w:val="20"/>
              </w:rPr>
            </w:pPr>
            <w:r>
              <w:rPr>
                <w:rFonts w:cs="Arial"/>
                <w:sz w:val="20"/>
                <w:szCs w:val="20"/>
              </w:rPr>
              <w:t>K content (by XRF) (%)</w:t>
            </w:r>
          </w:p>
        </w:tc>
        <w:tc>
          <w:tcPr>
            <w:tcW w:w="1417" w:type="dxa"/>
            <w:hideMark/>
          </w:tcPr>
          <w:p w14:paraId="5D85C558" w14:textId="77777777" w:rsidR="00226BE0" w:rsidRDefault="00226BE0">
            <w:pPr>
              <w:spacing w:before="60" w:after="60" w:line="240" w:lineRule="auto"/>
              <w:jc w:val="center"/>
              <w:rPr>
                <w:rFonts w:cs="Arial"/>
                <w:sz w:val="20"/>
                <w:szCs w:val="20"/>
              </w:rPr>
            </w:pPr>
            <w:r>
              <w:rPr>
                <w:rFonts w:cs="Arial"/>
                <w:sz w:val="20"/>
                <w:szCs w:val="20"/>
              </w:rPr>
              <w:t>0.168 ± 0.005</w:t>
            </w:r>
          </w:p>
        </w:tc>
        <w:tc>
          <w:tcPr>
            <w:tcW w:w="1418" w:type="dxa"/>
            <w:hideMark/>
          </w:tcPr>
          <w:p w14:paraId="6FF0AC90" w14:textId="77777777" w:rsidR="00226BE0" w:rsidRDefault="00226BE0">
            <w:pPr>
              <w:spacing w:before="60" w:after="60" w:line="240" w:lineRule="auto"/>
              <w:jc w:val="center"/>
              <w:rPr>
                <w:rFonts w:cs="Arial"/>
                <w:sz w:val="20"/>
                <w:szCs w:val="20"/>
              </w:rPr>
            </w:pPr>
            <w:r>
              <w:rPr>
                <w:rFonts w:cs="Arial"/>
                <w:sz w:val="20"/>
                <w:szCs w:val="20"/>
              </w:rPr>
              <w:t>0.191 ± 0.005</w:t>
            </w:r>
          </w:p>
        </w:tc>
        <w:tc>
          <w:tcPr>
            <w:tcW w:w="1276" w:type="dxa"/>
            <w:hideMark/>
          </w:tcPr>
          <w:p w14:paraId="7F190A38" w14:textId="77777777" w:rsidR="00226BE0" w:rsidRDefault="00226BE0">
            <w:pPr>
              <w:spacing w:before="60" w:after="60" w:line="240" w:lineRule="auto"/>
              <w:jc w:val="center"/>
              <w:rPr>
                <w:rFonts w:cs="Arial"/>
                <w:sz w:val="20"/>
                <w:szCs w:val="20"/>
              </w:rPr>
            </w:pPr>
            <w:r>
              <w:rPr>
                <w:rFonts w:cs="Arial"/>
                <w:sz w:val="20"/>
                <w:szCs w:val="20"/>
              </w:rPr>
              <w:t>0.249 ± 0.005</w:t>
            </w:r>
          </w:p>
        </w:tc>
        <w:tc>
          <w:tcPr>
            <w:tcW w:w="1417" w:type="dxa"/>
            <w:hideMark/>
          </w:tcPr>
          <w:p w14:paraId="7EA9F48F" w14:textId="77777777" w:rsidR="00226BE0" w:rsidRDefault="00226BE0">
            <w:pPr>
              <w:spacing w:before="60" w:after="60" w:line="240" w:lineRule="auto"/>
              <w:jc w:val="center"/>
              <w:rPr>
                <w:rFonts w:cs="Arial"/>
                <w:sz w:val="20"/>
                <w:szCs w:val="20"/>
              </w:rPr>
            </w:pPr>
            <w:r>
              <w:rPr>
                <w:rFonts w:cs="Arial"/>
                <w:sz w:val="20"/>
                <w:szCs w:val="20"/>
              </w:rPr>
              <w:t>0.355 ± 0.005</w:t>
            </w:r>
          </w:p>
        </w:tc>
        <w:tc>
          <w:tcPr>
            <w:tcW w:w="1418" w:type="dxa"/>
            <w:hideMark/>
          </w:tcPr>
          <w:p w14:paraId="591819A5" w14:textId="77777777" w:rsidR="00226BE0" w:rsidRDefault="00226BE0">
            <w:pPr>
              <w:spacing w:before="60" w:after="60" w:line="240" w:lineRule="auto"/>
              <w:jc w:val="center"/>
              <w:rPr>
                <w:rFonts w:cs="Arial"/>
                <w:sz w:val="20"/>
                <w:szCs w:val="20"/>
              </w:rPr>
            </w:pPr>
            <w:r>
              <w:rPr>
                <w:rFonts w:cs="Arial"/>
                <w:sz w:val="20"/>
                <w:szCs w:val="20"/>
              </w:rPr>
              <w:t>0.520 ± 0.005</w:t>
            </w:r>
          </w:p>
        </w:tc>
      </w:tr>
      <w:tr w:rsidR="00226BE0" w14:paraId="24085F07" w14:textId="77777777" w:rsidTr="00226BE0">
        <w:trPr>
          <w:trHeight w:val="20"/>
        </w:trPr>
        <w:tc>
          <w:tcPr>
            <w:tcW w:w="2552" w:type="dxa"/>
            <w:hideMark/>
          </w:tcPr>
          <w:p w14:paraId="70BED56E" w14:textId="77777777" w:rsidR="00226BE0" w:rsidRDefault="00226BE0">
            <w:pPr>
              <w:spacing w:before="60" w:after="60" w:line="240" w:lineRule="auto"/>
              <w:rPr>
                <w:rFonts w:cs="Arial"/>
                <w:sz w:val="20"/>
                <w:szCs w:val="20"/>
              </w:rPr>
            </w:pPr>
            <w:r>
              <w:rPr>
                <w:rFonts w:cs="Arial"/>
                <w:sz w:val="20"/>
                <w:szCs w:val="20"/>
              </w:rPr>
              <w:t>Moisture content by weight (%)</w:t>
            </w:r>
          </w:p>
        </w:tc>
        <w:tc>
          <w:tcPr>
            <w:tcW w:w="1417" w:type="dxa"/>
            <w:hideMark/>
          </w:tcPr>
          <w:p w14:paraId="640ECC87" w14:textId="77777777" w:rsidR="00226BE0" w:rsidRDefault="00226BE0">
            <w:pPr>
              <w:spacing w:before="60" w:after="60" w:line="240" w:lineRule="auto"/>
              <w:jc w:val="center"/>
              <w:rPr>
                <w:rFonts w:cs="Arial"/>
                <w:sz w:val="20"/>
                <w:szCs w:val="20"/>
              </w:rPr>
            </w:pPr>
            <w:r>
              <w:rPr>
                <w:rFonts w:cs="Arial"/>
                <w:sz w:val="20"/>
                <w:szCs w:val="20"/>
              </w:rPr>
              <w:t>3.9 ± 3</w:t>
            </w:r>
          </w:p>
        </w:tc>
        <w:tc>
          <w:tcPr>
            <w:tcW w:w="1418" w:type="dxa"/>
            <w:hideMark/>
          </w:tcPr>
          <w:p w14:paraId="26C942B7" w14:textId="77777777" w:rsidR="00226BE0" w:rsidRDefault="00226BE0">
            <w:pPr>
              <w:spacing w:before="60" w:after="60" w:line="240" w:lineRule="auto"/>
              <w:jc w:val="center"/>
              <w:rPr>
                <w:rFonts w:cs="Arial"/>
                <w:sz w:val="20"/>
                <w:szCs w:val="20"/>
              </w:rPr>
            </w:pPr>
            <w:r>
              <w:rPr>
                <w:rFonts w:cs="Arial"/>
                <w:sz w:val="20"/>
                <w:szCs w:val="20"/>
              </w:rPr>
              <w:t>5.0 ± 3</w:t>
            </w:r>
          </w:p>
        </w:tc>
        <w:tc>
          <w:tcPr>
            <w:tcW w:w="1276" w:type="dxa"/>
            <w:hideMark/>
          </w:tcPr>
          <w:p w14:paraId="121140FF" w14:textId="77777777" w:rsidR="00226BE0" w:rsidRDefault="00226BE0">
            <w:pPr>
              <w:spacing w:before="60" w:after="60" w:line="240" w:lineRule="auto"/>
              <w:jc w:val="center"/>
              <w:rPr>
                <w:rFonts w:cs="Arial"/>
                <w:sz w:val="20"/>
                <w:szCs w:val="20"/>
              </w:rPr>
            </w:pPr>
            <w:r>
              <w:rPr>
                <w:rFonts w:cs="Arial"/>
                <w:sz w:val="20"/>
                <w:szCs w:val="20"/>
              </w:rPr>
              <w:t>14.0 ± 3</w:t>
            </w:r>
          </w:p>
        </w:tc>
        <w:tc>
          <w:tcPr>
            <w:tcW w:w="1417" w:type="dxa"/>
            <w:hideMark/>
          </w:tcPr>
          <w:p w14:paraId="3AF73A4C" w14:textId="77777777" w:rsidR="00226BE0" w:rsidRDefault="00226BE0">
            <w:pPr>
              <w:spacing w:before="60" w:after="60" w:line="240" w:lineRule="auto"/>
              <w:jc w:val="center"/>
              <w:rPr>
                <w:rFonts w:cs="Arial"/>
                <w:sz w:val="20"/>
                <w:szCs w:val="20"/>
              </w:rPr>
            </w:pPr>
            <w:r>
              <w:rPr>
                <w:rFonts w:cs="Arial"/>
                <w:sz w:val="20"/>
                <w:szCs w:val="20"/>
              </w:rPr>
              <w:t>11.7 ± 3</w:t>
            </w:r>
          </w:p>
        </w:tc>
        <w:tc>
          <w:tcPr>
            <w:tcW w:w="1418" w:type="dxa"/>
            <w:hideMark/>
          </w:tcPr>
          <w:p w14:paraId="39845046" w14:textId="77777777" w:rsidR="00226BE0" w:rsidRDefault="00226BE0">
            <w:pPr>
              <w:spacing w:before="60" w:after="60" w:line="240" w:lineRule="auto"/>
              <w:jc w:val="center"/>
              <w:rPr>
                <w:rFonts w:cs="Arial"/>
                <w:sz w:val="20"/>
                <w:szCs w:val="20"/>
              </w:rPr>
            </w:pPr>
            <w:r>
              <w:rPr>
                <w:rFonts w:cs="Arial"/>
                <w:sz w:val="20"/>
                <w:szCs w:val="20"/>
              </w:rPr>
              <w:t>10.1 ± 3</w:t>
            </w:r>
          </w:p>
        </w:tc>
      </w:tr>
      <w:tr w:rsidR="00226BE0" w14:paraId="5BE37AE4" w14:textId="77777777" w:rsidTr="00226BE0">
        <w:trPr>
          <w:trHeight w:val="20"/>
        </w:trPr>
        <w:tc>
          <w:tcPr>
            <w:tcW w:w="2552" w:type="dxa"/>
            <w:hideMark/>
          </w:tcPr>
          <w:p w14:paraId="703261F6" w14:textId="77777777" w:rsidR="00226BE0" w:rsidRDefault="00226BE0">
            <w:pPr>
              <w:spacing w:before="60" w:after="60" w:line="240" w:lineRule="auto"/>
              <w:rPr>
                <w:rFonts w:cs="Arial"/>
                <w:sz w:val="20"/>
                <w:szCs w:val="20"/>
              </w:rPr>
            </w:pPr>
            <w:r>
              <w:rPr>
                <w:rFonts w:cs="Arial"/>
                <w:sz w:val="20"/>
                <w:szCs w:val="20"/>
              </w:rPr>
              <w:t>Specific activity (</w:t>
            </w:r>
            <w:proofErr w:type="spellStart"/>
            <w:r>
              <w:rPr>
                <w:rFonts w:cs="Arial"/>
                <w:sz w:val="20"/>
                <w:szCs w:val="20"/>
              </w:rPr>
              <w:t>U+Th</w:t>
            </w:r>
            <w:proofErr w:type="spellEnd"/>
            <w:r>
              <w:rPr>
                <w:rFonts w:cs="Arial"/>
                <w:sz w:val="20"/>
                <w:szCs w:val="20"/>
              </w:rPr>
              <w:t>) (</w:t>
            </w:r>
            <w:proofErr w:type="spellStart"/>
            <w:r>
              <w:rPr>
                <w:rFonts w:cs="Arial"/>
                <w:sz w:val="20"/>
                <w:szCs w:val="20"/>
              </w:rPr>
              <w:t>Bq</w:t>
            </w:r>
            <w:proofErr w:type="spellEnd"/>
            <w:r>
              <w:rPr>
                <w:rFonts w:cs="Arial"/>
                <w:sz w:val="20"/>
                <w:szCs w:val="20"/>
              </w:rPr>
              <w:t xml:space="preserve">/kg) </w:t>
            </w:r>
          </w:p>
        </w:tc>
        <w:tc>
          <w:tcPr>
            <w:tcW w:w="1417" w:type="dxa"/>
            <w:hideMark/>
          </w:tcPr>
          <w:p w14:paraId="57E51313" w14:textId="77777777" w:rsidR="00226BE0" w:rsidRDefault="00226BE0">
            <w:pPr>
              <w:spacing w:before="60" w:after="60" w:line="240" w:lineRule="auto"/>
              <w:jc w:val="center"/>
              <w:rPr>
                <w:rFonts w:cs="Arial"/>
                <w:sz w:val="20"/>
                <w:szCs w:val="20"/>
              </w:rPr>
            </w:pPr>
            <w:r>
              <w:rPr>
                <w:rFonts w:cs="Arial"/>
                <w:sz w:val="20"/>
                <w:szCs w:val="20"/>
              </w:rPr>
              <w:t>10.0 ± 0.3</w:t>
            </w:r>
          </w:p>
        </w:tc>
        <w:tc>
          <w:tcPr>
            <w:tcW w:w="1418" w:type="dxa"/>
            <w:hideMark/>
          </w:tcPr>
          <w:p w14:paraId="0A19B1B9" w14:textId="77777777" w:rsidR="00226BE0" w:rsidRDefault="00226BE0">
            <w:pPr>
              <w:spacing w:before="60" w:after="60" w:line="240" w:lineRule="auto"/>
              <w:jc w:val="center"/>
              <w:rPr>
                <w:rFonts w:cs="Arial"/>
                <w:sz w:val="20"/>
                <w:szCs w:val="20"/>
              </w:rPr>
            </w:pPr>
            <w:r>
              <w:rPr>
                <w:rFonts w:cs="Arial"/>
                <w:sz w:val="20"/>
                <w:szCs w:val="20"/>
              </w:rPr>
              <w:t>19.1 ± 0.6</w:t>
            </w:r>
          </w:p>
        </w:tc>
        <w:tc>
          <w:tcPr>
            <w:tcW w:w="1276" w:type="dxa"/>
            <w:hideMark/>
          </w:tcPr>
          <w:p w14:paraId="16C3B650" w14:textId="77777777" w:rsidR="00226BE0" w:rsidRDefault="00226BE0">
            <w:pPr>
              <w:spacing w:before="60" w:after="60" w:line="240" w:lineRule="auto"/>
              <w:jc w:val="center"/>
              <w:rPr>
                <w:rFonts w:cs="Arial"/>
                <w:sz w:val="20"/>
                <w:szCs w:val="20"/>
              </w:rPr>
            </w:pPr>
            <w:r>
              <w:rPr>
                <w:rFonts w:cs="Arial"/>
                <w:sz w:val="20"/>
                <w:szCs w:val="20"/>
              </w:rPr>
              <w:t>27.5 ± 0.9</w:t>
            </w:r>
          </w:p>
        </w:tc>
        <w:tc>
          <w:tcPr>
            <w:tcW w:w="1417" w:type="dxa"/>
            <w:hideMark/>
          </w:tcPr>
          <w:p w14:paraId="6D35E610" w14:textId="77777777" w:rsidR="00226BE0" w:rsidRDefault="00226BE0">
            <w:pPr>
              <w:spacing w:before="60" w:after="60" w:line="240" w:lineRule="auto"/>
              <w:jc w:val="center"/>
              <w:rPr>
                <w:rFonts w:cs="Arial"/>
                <w:sz w:val="20"/>
                <w:szCs w:val="20"/>
              </w:rPr>
            </w:pPr>
            <w:r>
              <w:rPr>
                <w:rFonts w:cs="Arial"/>
                <w:sz w:val="20"/>
                <w:szCs w:val="20"/>
              </w:rPr>
              <w:t>75.1 ± 2.0</w:t>
            </w:r>
          </w:p>
        </w:tc>
        <w:tc>
          <w:tcPr>
            <w:tcW w:w="1418" w:type="dxa"/>
            <w:hideMark/>
          </w:tcPr>
          <w:p w14:paraId="47C7ED32" w14:textId="77777777" w:rsidR="00226BE0" w:rsidRDefault="00226BE0">
            <w:pPr>
              <w:spacing w:before="60" w:after="60" w:line="240" w:lineRule="auto"/>
              <w:jc w:val="center"/>
              <w:rPr>
                <w:rFonts w:cs="Arial"/>
                <w:sz w:val="20"/>
                <w:szCs w:val="20"/>
              </w:rPr>
            </w:pPr>
            <w:r>
              <w:rPr>
                <w:rFonts w:cs="Arial"/>
                <w:sz w:val="20"/>
                <w:szCs w:val="20"/>
              </w:rPr>
              <w:t>71.1 ± 1.7</w:t>
            </w:r>
          </w:p>
        </w:tc>
      </w:tr>
      <w:tr w:rsidR="00226BE0" w14:paraId="710CEB56" w14:textId="77777777" w:rsidTr="00226BE0">
        <w:trPr>
          <w:trHeight w:val="20"/>
        </w:trPr>
        <w:tc>
          <w:tcPr>
            <w:tcW w:w="2552" w:type="dxa"/>
            <w:hideMark/>
          </w:tcPr>
          <w:p w14:paraId="40EE73F7" w14:textId="77777777" w:rsidR="00226BE0" w:rsidRDefault="00226BE0">
            <w:pPr>
              <w:spacing w:before="60" w:after="60" w:line="240" w:lineRule="auto"/>
              <w:rPr>
                <w:rFonts w:cs="Arial"/>
                <w:sz w:val="20"/>
                <w:szCs w:val="20"/>
              </w:rPr>
            </w:pPr>
            <w:r>
              <w:rPr>
                <w:rFonts w:cs="Arial"/>
                <w:sz w:val="20"/>
                <w:szCs w:val="20"/>
              </w:rPr>
              <w:t>Cosmic ray contribution (assumed) (µ</w:t>
            </w:r>
            <w:proofErr w:type="spellStart"/>
            <w:r>
              <w:rPr>
                <w:rFonts w:cs="Arial"/>
                <w:sz w:val="20"/>
                <w:szCs w:val="20"/>
              </w:rPr>
              <w:t>Gy</w:t>
            </w:r>
            <w:proofErr w:type="spellEnd"/>
            <w:r>
              <w:rPr>
                <w:rFonts w:cs="Arial"/>
                <w:sz w:val="20"/>
                <w:szCs w:val="20"/>
              </w:rPr>
              <w:t>/</w:t>
            </w:r>
            <w:proofErr w:type="spellStart"/>
            <w:r>
              <w:rPr>
                <w:rFonts w:cs="Arial"/>
                <w:sz w:val="20"/>
                <w:szCs w:val="20"/>
              </w:rPr>
              <w:t>yr</w:t>
            </w:r>
            <w:proofErr w:type="spellEnd"/>
            <w:r>
              <w:rPr>
                <w:rFonts w:cs="Arial"/>
                <w:sz w:val="20"/>
                <w:szCs w:val="20"/>
              </w:rPr>
              <w:t>)</w:t>
            </w:r>
          </w:p>
        </w:tc>
        <w:tc>
          <w:tcPr>
            <w:tcW w:w="1417" w:type="dxa"/>
            <w:hideMark/>
          </w:tcPr>
          <w:p w14:paraId="16E39D3B" w14:textId="77777777" w:rsidR="00226BE0" w:rsidRDefault="00226BE0">
            <w:pPr>
              <w:spacing w:before="60" w:after="60" w:line="240" w:lineRule="auto"/>
              <w:jc w:val="center"/>
              <w:rPr>
                <w:rFonts w:cs="Arial"/>
                <w:sz w:val="20"/>
                <w:szCs w:val="20"/>
              </w:rPr>
            </w:pPr>
            <w:r>
              <w:rPr>
                <w:rFonts w:cs="Arial"/>
                <w:sz w:val="20"/>
                <w:szCs w:val="20"/>
              </w:rPr>
              <w:t>180 ± 25</w:t>
            </w:r>
          </w:p>
        </w:tc>
        <w:tc>
          <w:tcPr>
            <w:tcW w:w="1418" w:type="dxa"/>
            <w:hideMark/>
          </w:tcPr>
          <w:p w14:paraId="35139363" w14:textId="77777777" w:rsidR="00226BE0" w:rsidRDefault="00226BE0">
            <w:pPr>
              <w:spacing w:before="60" w:after="60" w:line="240" w:lineRule="auto"/>
              <w:jc w:val="center"/>
              <w:rPr>
                <w:rFonts w:cs="Arial"/>
                <w:sz w:val="20"/>
                <w:szCs w:val="20"/>
              </w:rPr>
            </w:pPr>
            <w:r>
              <w:rPr>
                <w:rFonts w:cs="Arial"/>
                <w:sz w:val="20"/>
                <w:szCs w:val="20"/>
              </w:rPr>
              <w:t>180 ± 25</w:t>
            </w:r>
          </w:p>
        </w:tc>
        <w:tc>
          <w:tcPr>
            <w:tcW w:w="1276" w:type="dxa"/>
            <w:hideMark/>
          </w:tcPr>
          <w:p w14:paraId="4B0A0439" w14:textId="77777777" w:rsidR="00226BE0" w:rsidRDefault="00226BE0">
            <w:pPr>
              <w:spacing w:before="60" w:after="60" w:line="240" w:lineRule="auto"/>
              <w:jc w:val="center"/>
              <w:rPr>
                <w:rFonts w:cs="Arial"/>
                <w:sz w:val="20"/>
                <w:szCs w:val="20"/>
              </w:rPr>
            </w:pPr>
            <w:r>
              <w:rPr>
                <w:rFonts w:cs="Arial"/>
                <w:sz w:val="20"/>
                <w:szCs w:val="20"/>
              </w:rPr>
              <w:t>180 ± 25</w:t>
            </w:r>
          </w:p>
        </w:tc>
        <w:tc>
          <w:tcPr>
            <w:tcW w:w="1417" w:type="dxa"/>
            <w:hideMark/>
          </w:tcPr>
          <w:p w14:paraId="5A50CE94" w14:textId="77777777" w:rsidR="00226BE0" w:rsidRDefault="00226BE0">
            <w:pPr>
              <w:spacing w:before="60" w:after="60" w:line="240" w:lineRule="auto"/>
              <w:jc w:val="center"/>
              <w:rPr>
                <w:rFonts w:cs="Arial"/>
                <w:sz w:val="20"/>
                <w:szCs w:val="20"/>
              </w:rPr>
            </w:pPr>
            <w:r>
              <w:rPr>
                <w:rFonts w:cs="Arial"/>
                <w:sz w:val="20"/>
                <w:szCs w:val="20"/>
              </w:rPr>
              <w:t>150 ± 25</w:t>
            </w:r>
          </w:p>
        </w:tc>
        <w:tc>
          <w:tcPr>
            <w:tcW w:w="1418" w:type="dxa"/>
            <w:hideMark/>
          </w:tcPr>
          <w:p w14:paraId="6911F5BB" w14:textId="77777777" w:rsidR="00226BE0" w:rsidRDefault="00226BE0">
            <w:pPr>
              <w:spacing w:before="60" w:after="60" w:line="240" w:lineRule="auto"/>
              <w:jc w:val="center"/>
              <w:rPr>
                <w:rFonts w:cs="Arial"/>
                <w:sz w:val="20"/>
                <w:szCs w:val="20"/>
              </w:rPr>
            </w:pPr>
            <w:r>
              <w:rPr>
                <w:rFonts w:cs="Arial"/>
                <w:sz w:val="20"/>
                <w:szCs w:val="20"/>
              </w:rPr>
              <w:t>150 ± 25</w:t>
            </w:r>
          </w:p>
        </w:tc>
      </w:tr>
      <w:tr w:rsidR="00226BE0" w14:paraId="40AAA29A" w14:textId="77777777" w:rsidTr="00226BE0">
        <w:trPr>
          <w:trHeight w:val="20"/>
        </w:trPr>
        <w:tc>
          <w:tcPr>
            <w:tcW w:w="2552" w:type="dxa"/>
            <w:hideMark/>
          </w:tcPr>
          <w:p w14:paraId="17AD2B5F" w14:textId="77777777" w:rsidR="00226BE0" w:rsidRDefault="00226BE0">
            <w:pPr>
              <w:spacing w:before="60" w:after="60" w:line="240" w:lineRule="auto"/>
              <w:rPr>
                <w:rFonts w:cs="Arial"/>
                <w:sz w:val="20"/>
                <w:szCs w:val="20"/>
              </w:rPr>
            </w:pPr>
            <w:r>
              <w:rPr>
                <w:rFonts w:cs="Arial"/>
                <w:sz w:val="20"/>
                <w:szCs w:val="20"/>
              </w:rPr>
              <w:t>Total environmental dose rate (µ</w:t>
            </w:r>
            <w:proofErr w:type="spellStart"/>
            <w:r>
              <w:rPr>
                <w:rFonts w:cs="Arial"/>
                <w:sz w:val="20"/>
                <w:szCs w:val="20"/>
              </w:rPr>
              <w:t>Gy</w:t>
            </w:r>
            <w:proofErr w:type="spellEnd"/>
            <w:r>
              <w:rPr>
                <w:rFonts w:cs="Arial"/>
                <w:sz w:val="20"/>
                <w:szCs w:val="20"/>
              </w:rPr>
              <w:t>/</w:t>
            </w:r>
            <w:proofErr w:type="spellStart"/>
            <w:r>
              <w:rPr>
                <w:rFonts w:cs="Arial"/>
                <w:sz w:val="20"/>
                <w:szCs w:val="20"/>
              </w:rPr>
              <w:t>yr</w:t>
            </w:r>
            <w:proofErr w:type="spellEnd"/>
            <w:r>
              <w:rPr>
                <w:rFonts w:cs="Arial"/>
                <w:sz w:val="20"/>
                <w:szCs w:val="20"/>
              </w:rPr>
              <w:t>)</w:t>
            </w:r>
          </w:p>
        </w:tc>
        <w:tc>
          <w:tcPr>
            <w:tcW w:w="1417" w:type="dxa"/>
            <w:hideMark/>
          </w:tcPr>
          <w:p w14:paraId="696588FE" w14:textId="77777777" w:rsidR="00226BE0" w:rsidRDefault="00226BE0">
            <w:pPr>
              <w:spacing w:before="60" w:after="60" w:line="240" w:lineRule="auto"/>
              <w:jc w:val="center"/>
              <w:rPr>
                <w:rFonts w:cs="Arial"/>
                <w:sz w:val="20"/>
                <w:szCs w:val="20"/>
              </w:rPr>
            </w:pPr>
            <w:r>
              <w:rPr>
                <w:rFonts w:cs="Arial"/>
                <w:sz w:val="20"/>
                <w:szCs w:val="20"/>
              </w:rPr>
              <w:t>543 ± 25</w:t>
            </w:r>
          </w:p>
        </w:tc>
        <w:tc>
          <w:tcPr>
            <w:tcW w:w="1418" w:type="dxa"/>
            <w:hideMark/>
          </w:tcPr>
          <w:p w14:paraId="77455BED" w14:textId="77777777" w:rsidR="00226BE0" w:rsidRDefault="00226BE0">
            <w:pPr>
              <w:spacing w:before="60" w:after="60" w:line="240" w:lineRule="auto"/>
              <w:jc w:val="center"/>
              <w:rPr>
                <w:rFonts w:cs="Arial"/>
                <w:sz w:val="20"/>
                <w:szCs w:val="20"/>
              </w:rPr>
            </w:pPr>
            <w:r>
              <w:rPr>
                <w:rFonts w:cs="Arial"/>
                <w:sz w:val="20"/>
                <w:szCs w:val="20"/>
              </w:rPr>
              <w:t>737 ± 26</w:t>
            </w:r>
          </w:p>
        </w:tc>
        <w:tc>
          <w:tcPr>
            <w:tcW w:w="1276" w:type="dxa"/>
            <w:hideMark/>
          </w:tcPr>
          <w:p w14:paraId="3AE48344" w14:textId="77777777" w:rsidR="00226BE0" w:rsidRDefault="00226BE0">
            <w:pPr>
              <w:spacing w:before="60" w:after="60" w:line="240" w:lineRule="auto"/>
              <w:jc w:val="center"/>
              <w:rPr>
                <w:rFonts w:cs="Arial"/>
                <w:sz w:val="20"/>
                <w:szCs w:val="20"/>
              </w:rPr>
            </w:pPr>
            <w:r>
              <w:rPr>
                <w:rFonts w:cs="Arial"/>
                <w:sz w:val="20"/>
                <w:szCs w:val="20"/>
              </w:rPr>
              <w:t>872 ± 24</w:t>
            </w:r>
          </w:p>
        </w:tc>
        <w:tc>
          <w:tcPr>
            <w:tcW w:w="1417" w:type="dxa"/>
            <w:hideMark/>
          </w:tcPr>
          <w:p w14:paraId="6B8C9E65" w14:textId="77777777" w:rsidR="00226BE0" w:rsidRDefault="00226BE0">
            <w:pPr>
              <w:spacing w:before="60" w:after="60" w:line="240" w:lineRule="auto"/>
              <w:jc w:val="center"/>
              <w:rPr>
                <w:rFonts w:cs="Arial"/>
                <w:sz w:val="20"/>
                <w:szCs w:val="20"/>
              </w:rPr>
            </w:pPr>
            <w:r>
              <w:rPr>
                <w:rFonts w:cs="Arial"/>
                <w:sz w:val="20"/>
                <w:szCs w:val="20"/>
              </w:rPr>
              <w:t>1813 ± 34</w:t>
            </w:r>
          </w:p>
        </w:tc>
        <w:tc>
          <w:tcPr>
            <w:tcW w:w="1418" w:type="dxa"/>
            <w:hideMark/>
          </w:tcPr>
          <w:p w14:paraId="0CA5689A" w14:textId="77777777" w:rsidR="00226BE0" w:rsidRDefault="00226BE0">
            <w:pPr>
              <w:spacing w:before="60" w:after="60" w:line="240" w:lineRule="auto"/>
              <w:jc w:val="center"/>
              <w:rPr>
                <w:rFonts w:cs="Arial"/>
                <w:sz w:val="20"/>
                <w:szCs w:val="20"/>
              </w:rPr>
            </w:pPr>
            <w:r>
              <w:rPr>
                <w:rFonts w:cs="Arial"/>
                <w:sz w:val="20"/>
                <w:szCs w:val="20"/>
              </w:rPr>
              <w:t>1951 ± 32</w:t>
            </w:r>
          </w:p>
        </w:tc>
      </w:tr>
      <w:tr w:rsidR="00226BE0" w14:paraId="5413A2E9" w14:textId="77777777" w:rsidTr="00226BE0">
        <w:trPr>
          <w:trHeight w:val="20"/>
        </w:trPr>
        <w:tc>
          <w:tcPr>
            <w:tcW w:w="2552" w:type="dxa"/>
            <w:tcBorders>
              <w:top w:val="nil"/>
              <w:left w:val="nil"/>
              <w:bottom w:val="single" w:sz="4" w:space="0" w:color="auto"/>
              <w:right w:val="nil"/>
            </w:tcBorders>
            <w:hideMark/>
          </w:tcPr>
          <w:p w14:paraId="6D2CD2CC" w14:textId="77777777" w:rsidR="00226BE0" w:rsidRDefault="00226BE0">
            <w:pPr>
              <w:spacing w:before="60" w:after="60" w:line="240" w:lineRule="auto"/>
              <w:rPr>
                <w:rFonts w:cs="Arial"/>
                <w:b/>
                <w:sz w:val="20"/>
                <w:szCs w:val="20"/>
              </w:rPr>
            </w:pPr>
            <w:r>
              <w:rPr>
                <w:rFonts w:cs="Arial"/>
                <w:b/>
                <w:sz w:val="20"/>
                <w:szCs w:val="20"/>
              </w:rPr>
              <w:t xml:space="preserve">TL age </w:t>
            </w:r>
            <w:r>
              <w:rPr>
                <w:rFonts w:cs="Arial"/>
                <w:sz w:val="20"/>
                <w:szCs w:val="20"/>
              </w:rPr>
              <w:t>(</w:t>
            </w:r>
            <w:proofErr w:type="spellStart"/>
            <w:r>
              <w:rPr>
                <w:rFonts w:cs="Arial"/>
                <w:sz w:val="20"/>
                <w:szCs w:val="20"/>
              </w:rPr>
              <w:t>ka</w:t>
            </w:r>
            <w:proofErr w:type="spellEnd"/>
            <w:r>
              <w:rPr>
                <w:rFonts w:cs="Arial"/>
                <w:sz w:val="20"/>
                <w:szCs w:val="20"/>
              </w:rPr>
              <w:t>)</w:t>
            </w:r>
            <w:r>
              <w:rPr>
                <w:rFonts w:cs="Arial"/>
                <w:b/>
                <w:sz w:val="20"/>
                <w:szCs w:val="20"/>
              </w:rPr>
              <w:t xml:space="preserve"> </w:t>
            </w:r>
          </w:p>
        </w:tc>
        <w:tc>
          <w:tcPr>
            <w:tcW w:w="1417" w:type="dxa"/>
            <w:tcBorders>
              <w:top w:val="nil"/>
              <w:left w:val="nil"/>
              <w:bottom w:val="single" w:sz="4" w:space="0" w:color="auto"/>
              <w:right w:val="nil"/>
            </w:tcBorders>
            <w:hideMark/>
          </w:tcPr>
          <w:p w14:paraId="6B9FC8AE" w14:textId="77777777" w:rsidR="00226BE0" w:rsidRDefault="00226BE0">
            <w:pPr>
              <w:spacing w:before="60" w:after="60" w:line="240" w:lineRule="auto"/>
              <w:jc w:val="center"/>
              <w:rPr>
                <w:rFonts w:cs="Arial"/>
                <w:b/>
                <w:sz w:val="20"/>
                <w:szCs w:val="20"/>
              </w:rPr>
            </w:pPr>
            <w:r>
              <w:rPr>
                <w:rFonts w:cs="Arial"/>
                <w:b/>
                <w:sz w:val="20"/>
                <w:szCs w:val="20"/>
              </w:rPr>
              <w:t>8.32 ± 1.00</w:t>
            </w:r>
            <w:r>
              <w:rPr>
                <w:rFonts w:cs="Arial"/>
                <w:sz w:val="20"/>
                <w:szCs w:val="20"/>
                <w:vertAlign w:val="superscript"/>
              </w:rPr>
              <w:t>1</w:t>
            </w:r>
          </w:p>
        </w:tc>
        <w:tc>
          <w:tcPr>
            <w:tcW w:w="1418" w:type="dxa"/>
            <w:tcBorders>
              <w:top w:val="nil"/>
              <w:left w:val="nil"/>
              <w:bottom w:val="single" w:sz="4" w:space="0" w:color="auto"/>
              <w:right w:val="nil"/>
            </w:tcBorders>
            <w:hideMark/>
          </w:tcPr>
          <w:p w14:paraId="6BE29CB1" w14:textId="77777777" w:rsidR="00226BE0" w:rsidRDefault="00226BE0">
            <w:pPr>
              <w:spacing w:before="60" w:after="60" w:line="240" w:lineRule="auto"/>
              <w:jc w:val="center"/>
              <w:rPr>
                <w:rFonts w:cs="Arial"/>
                <w:b/>
                <w:sz w:val="20"/>
                <w:szCs w:val="20"/>
              </w:rPr>
            </w:pPr>
            <w:r>
              <w:rPr>
                <w:rFonts w:cs="Arial"/>
                <w:b/>
                <w:sz w:val="20"/>
                <w:szCs w:val="20"/>
              </w:rPr>
              <w:t>6.75 ± 0.65</w:t>
            </w:r>
          </w:p>
        </w:tc>
        <w:tc>
          <w:tcPr>
            <w:tcW w:w="1276" w:type="dxa"/>
            <w:tcBorders>
              <w:top w:val="nil"/>
              <w:left w:val="nil"/>
              <w:bottom w:val="single" w:sz="4" w:space="0" w:color="auto"/>
              <w:right w:val="nil"/>
            </w:tcBorders>
            <w:hideMark/>
          </w:tcPr>
          <w:p w14:paraId="6FA21847" w14:textId="77777777" w:rsidR="00226BE0" w:rsidRDefault="00226BE0">
            <w:pPr>
              <w:spacing w:before="60" w:after="60" w:line="240" w:lineRule="auto"/>
              <w:jc w:val="center"/>
              <w:rPr>
                <w:rFonts w:cs="Arial"/>
                <w:b/>
                <w:sz w:val="20"/>
                <w:szCs w:val="20"/>
              </w:rPr>
            </w:pPr>
            <w:r>
              <w:rPr>
                <w:rFonts w:cs="Arial"/>
                <w:b/>
                <w:sz w:val="20"/>
                <w:szCs w:val="20"/>
              </w:rPr>
              <w:t>59.9 ± 4.3</w:t>
            </w:r>
          </w:p>
        </w:tc>
        <w:tc>
          <w:tcPr>
            <w:tcW w:w="1417" w:type="dxa"/>
            <w:tcBorders>
              <w:top w:val="nil"/>
              <w:left w:val="nil"/>
              <w:bottom w:val="single" w:sz="4" w:space="0" w:color="auto"/>
              <w:right w:val="nil"/>
            </w:tcBorders>
            <w:hideMark/>
          </w:tcPr>
          <w:p w14:paraId="388A3DE0" w14:textId="77777777" w:rsidR="00226BE0" w:rsidRDefault="00226BE0">
            <w:pPr>
              <w:spacing w:before="60" w:after="60" w:line="240" w:lineRule="auto"/>
              <w:jc w:val="center"/>
              <w:rPr>
                <w:rFonts w:cs="Arial"/>
                <w:b/>
                <w:sz w:val="20"/>
                <w:szCs w:val="20"/>
              </w:rPr>
            </w:pPr>
            <w:r>
              <w:rPr>
                <w:rFonts w:cs="Arial"/>
                <w:b/>
                <w:sz w:val="20"/>
                <w:szCs w:val="20"/>
              </w:rPr>
              <w:t>19.6 ± 1.4</w:t>
            </w:r>
          </w:p>
        </w:tc>
        <w:tc>
          <w:tcPr>
            <w:tcW w:w="1418" w:type="dxa"/>
            <w:tcBorders>
              <w:top w:val="nil"/>
              <w:left w:val="nil"/>
              <w:bottom w:val="single" w:sz="4" w:space="0" w:color="auto"/>
              <w:right w:val="nil"/>
            </w:tcBorders>
            <w:hideMark/>
          </w:tcPr>
          <w:p w14:paraId="2A748B60" w14:textId="77777777" w:rsidR="00226BE0" w:rsidRDefault="00226BE0">
            <w:pPr>
              <w:spacing w:before="60" w:after="60" w:line="240" w:lineRule="auto"/>
              <w:jc w:val="center"/>
              <w:rPr>
                <w:rFonts w:cs="Arial"/>
                <w:b/>
                <w:sz w:val="20"/>
                <w:szCs w:val="20"/>
              </w:rPr>
            </w:pPr>
            <w:r>
              <w:rPr>
                <w:rFonts w:cs="Arial"/>
                <w:b/>
                <w:sz w:val="20"/>
                <w:szCs w:val="20"/>
              </w:rPr>
              <w:t>90.2 ± 10.2</w:t>
            </w:r>
          </w:p>
        </w:tc>
      </w:tr>
    </w:tbl>
    <w:p w14:paraId="105DB7F6" w14:textId="77777777" w:rsidR="00226BE0" w:rsidRDefault="00226BE0" w:rsidP="00226BE0">
      <w:pPr>
        <w:spacing w:after="0"/>
        <w:rPr>
          <w:rFonts w:cs="Arial"/>
          <w:sz w:val="20"/>
          <w:szCs w:val="20"/>
        </w:rPr>
      </w:pPr>
      <w:r>
        <w:rPr>
          <w:rFonts w:cs="Arial"/>
          <w:szCs w:val="24"/>
          <w:vertAlign w:val="superscript"/>
        </w:rPr>
        <w:t>1</w:t>
      </w:r>
      <w:r>
        <w:rPr>
          <w:rFonts w:cs="Arial"/>
          <w:sz w:val="20"/>
          <w:szCs w:val="20"/>
        </w:rPr>
        <w:t>This sample exhibited a short temperature plateau suggestive of incomplete re-setting of the TL signal.</w:t>
      </w:r>
    </w:p>
    <w:p w14:paraId="766720BF" w14:textId="5E8DC4A9" w:rsidR="00226BE0" w:rsidRDefault="00226BE0" w:rsidP="00226BE0">
      <w:pPr>
        <w:rPr>
          <w:sz w:val="20"/>
          <w:szCs w:val="20"/>
        </w:rPr>
      </w:pPr>
      <w:r w:rsidRPr="00226BE0">
        <w:rPr>
          <w:i/>
          <w:sz w:val="20"/>
          <w:szCs w:val="20"/>
        </w:rPr>
        <w:t>Note</w:t>
      </w:r>
      <w:r>
        <w:rPr>
          <w:sz w:val="20"/>
          <w:szCs w:val="20"/>
        </w:rPr>
        <w:t>: Measured and calculated values are listed here as reported by the laboratory. Since some of the measured values are reported with a precision of two significant figures, the calculated TL ages should be considered with the same precision.</w:t>
      </w:r>
    </w:p>
    <w:p w14:paraId="1714B8B0" w14:textId="77777777" w:rsidR="00BF69B5" w:rsidRDefault="00BF69B5" w:rsidP="00BF69B5">
      <w:pPr>
        <w:autoSpaceDE w:val="0"/>
        <w:autoSpaceDN w:val="0"/>
        <w:adjustRightInd w:val="0"/>
        <w:spacing w:after="0" w:line="480" w:lineRule="auto"/>
        <w:rPr>
          <w:rFonts w:eastAsia="AdvOT863180fb" w:cs="Arial"/>
          <w:color w:val="000000"/>
          <w:szCs w:val="24"/>
        </w:rPr>
      </w:pPr>
    </w:p>
    <w:p w14:paraId="10FDF1C9" w14:textId="77777777" w:rsidR="00BF69B5" w:rsidRDefault="00BF69B5" w:rsidP="00BF69B5">
      <w:pPr>
        <w:spacing w:after="0" w:line="480" w:lineRule="auto"/>
        <w:jc w:val="both"/>
        <w:rPr>
          <w:b/>
          <w:szCs w:val="32"/>
        </w:rPr>
      </w:pPr>
      <w:r w:rsidRPr="005D07E8">
        <w:rPr>
          <w:b/>
          <w:szCs w:val="32"/>
        </w:rPr>
        <w:t>PARTICLE SIZE ANALYSIS</w:t>
      </w:r>
    </w:p>
    <w:p w14:paraId="7931682F" w14:textId="77777777" w:rsidR="00BF69B5" w:rsidRDefault="00BF69B5" w:rsidP="00BF69B5">
      <w:pPr>
        <w:spacing w:after="0" w:line="480" w:lineRule="auto"/>
      </w:pPr>
    </w:p>
    <w:p w14:paraId="7776CDCE" w14:textId="552760EE" w:rsidR="00BF69B5" w:rsidRDefault="00BF69B5" w:rsidP="00BF69B5">
      <w:pPr>
        <w:spacing w:after="0" w:line="480" w:lineRule="auto"/>
      </w:pPr>
      <w:r>
        <w:t xml:space="preserve">At </w:t>
      </w:r>
      <w:proofErr w:type="spellStart"/>
      <w:r>
        <w:t>Maynes</w:t>
      </w:r>
      <w:proofErr w:type="spellEnd"/>
      <w:r>
        <w:t xml:space="preserve"> Junction, previously radiocarbon dated by McIntosh et al. (2012) a section on the right-hand side of the exposure (Figure 10), including the top pale layer and lowest pale layer was described. Component layers distinguished and sampled on the basis of their texture and colour (National Committee on Soil and Terrain 2009). Air-dried bulk samples were pre-treated as recommended by </w:t>
      </w:r>
      <w:proofErr w:type="spellStart"/>
      <w:r>
        <w:t>Cresswell</w:t>
      </w:r>
      <w:proofErr w:type="spellEnd"/>
      <w:r>
        <w:t xml:space="preserve"> et al. </w:t>
      </w:r>
      <w:r>
        <w:fldChar w:fldCharType="begin"/>
      </w:r>
      <w:r>
        <w:instrText xml:space="preserve"> ADDIN EN.CITE &lt;EndNote&gt;&lt;Cite ExcludeAuth="1"&gt;&lt;Author&gt;Cresswell&lt;/Author&gt;&lt;Year&gt;2002&lt;/Year&gt;&lt;RecNum&gt;53&lt;/RecNum&gt;&lt;DisplayText&gt;(2002)&lt;/DisplayText&gt;&lt;record&gt;&lt;rec-number&gt;53&lt;/rec-number&gt;&lt;foreign-keys&gt;&lt;key app="EN" db-id="rprx0sawfse00rezwd8x0ftgtxddrdt5xtvx"&gt;53&lt;/key&gt;&lt;/foreign-keys&gt;&lt;ref-type name="Book"&gt;6&lt;/ref-type&gt;&lt;contributors&gt;&lt;authors&gt;&lt;author&gt;Cresswell, H. P.&lt;/author&gt;&lt;author&gt;McKenzie, Neil J.&lt;/author&gt;&lt;author&gt;Coughlan, K. J.&lt;/author&gt;&lt;/authors&gt;&lt;/contributors&gt;&lt;titles&gt;&lt;title&gt;Soil physical measurement and interpretation for land evaluation&lt;/title&gt;&lt;secondary-title&gt;Australian soil and land survey handbook series: vol. 5&lt;/secondary-title&gt;&lt;/titles&gt;&lt;section&gt;224-239&lt;/section&gt;&lt;keywords&gt;&lt;keyword&gt;Soil surveys -- Australia -- Handbooks, manuals, etc&lt;/keyword&gt;&lt;keyword&gt;Land use surveys -- Australia -- Handbooks, manuals, etc&lt;/keyword&gt;&lt;/keywords&gt;&lt;dates&gt;&lt;year&gt;2002&lt;/year&gt;&lt;/dates&gt;&lt;publisher&gt;Collingwood, Vic. : CSIRO Publishing, 2002.&lt;/publisher&gt;&lt;isbn&gt;0643067671&lt;/isbn&gt;&lt;work-type&gt;Non-fiction&lt;/work-type&gt;&lt;urls&gt;&lt;related-urls&gt;&lt;url&gt;https://login.ezproxy.utas.edu.au/login?url=http://search.ebscohost.com/login.aspx?direct=true&amp;amp;db=cat02831a&amp;amp;AN=UTas.b1418326&amp;amp;site=eds-live&lt;/url&gt;&lt;/related-urls&gt;&lt;/urls&gt;&lt;remote-database-name&gt;cat02831a&lt;/remote-database-name&gt;&lt;remote-database-provider&gt;EBSCOhost&lt;/remote-database-provider&gt;&lt;/record&gt;&lt;/Cite&gt;&lt;/EndNote&gt;</w:instrText>
      </w:r>
      <w:r>
        <w:fldChar w:fldCharType="separate"/>
      </w:r>
      <w:r>
        <w:rPr>
          <w:noProof/>
        </w:rPr>
        <w:t>(</w:t>
      </w:r>
      <w:hyperlink r:id="rId4" w:anchor="_ENREF_10" w:tooltip="Cresswell, 2002 #53" w:history="1">
        <w:r>
          <w:rPr>
            <w:rStyle w:val="Hyperlink"/>
            <w:noProof/>
          </w:rPr>
          <w:t>2002</w:t>
        </w:r>
      </w:hyperlink>
      <w:r>
        <w:rPr>
          <w:noProof/>
        </w:rPr>
        <w:t>)</w:t>
      </w:r>
      <w:r>
        <w:fldChar w:fldCharType="end"/>
      </w:r>
      <w:r>
        <w:t>. Samples rich in organic matter from 0-12 cm, 12-30 cm, and 70-100 cm depth were treated with H</w:t>
      </w:r>
      <w:r>
        <w:rPr>
          <w:vertAlign w:val="subscript"/>
        </w:rPr>
        <w:t>2</w:t>
      </w:r>
      <w:r>
        <w:t>O</w:t>
      </w:r>
      <w:r>
        <w:rPr>
          <w:vertAlign w:val="subscript"/>
        </w:rPr>
        <w:t>2</w:t>
      </w:r>
      <w:r>
        <w:t xml:space="preserve"> under gentle heating and disaggregated by addition of 25 ml of 0.05M sodium </w:t>
      </w:r>
      <w:proofErr w:type="spellStart"/>
      <w:r>
        <w:t>hexametaphosphate</w:t>
      </w:r>
      <w:proofErr w:type="spellEnd"/>
      <w:r>
        <w:t xml:space="preserve"> solution followed by</w:t>
      </w:r>
      <w:r>
        <w:rPr>
          <w:color w:val="000000" w:themeColor="text1"/>
        </w:rPr>
        <w:t xml:space="preserve"> 1 min of </w:t>
      </w:r>
      <w:proofErr w:type="spellStart"/>
      <w:r>
        <w:rPr>
          <w:color w:val="000000" w:themeColor="text1"/>
        </w:rPr>
        <w:t>sonification</w:t>
      </w:r>
      <w:proofErr w:type="spellEnd"/>
      <w:r>
        <w:rPr>
          <w:color w:val="000000" w:themeColor="text1"/>
        </w:rPr>
        <w:t xml:space="preserve"> and overnight end-over-end shaking. D</w:t>
      </w:r>
      <w:r>
        <w:t xml:space="preserve">ispersed samples from all sampled layers were separated into fine and coarse fractions using a 63 </w:t>
      </w:r>
      <w:proofErr w:type="spellStart"/>
      <w:r>
        <w:t>μm</w:t>
      </w:r>
      <w:proofErr w:type="spellEnd"/>
      <w:r>
        <w:t xml:space="preserve"> sieve. Sediment and gravel captured on the 63 </w:t>
      </w:r>
      <w:proofErr w:type="spellStart"/>
      <w:r>
        <w:t>μm</w:t>
      </w:r>
      <w:proofErr w:type="spellEnd"/>
      <w:r>
        <w:t xml:space="preserve"> sieve was designated the coarse fraction, and was retained for particle size analysis by dry sieving. The fine fractions were suspended in 1 L sedimentation tubes and particle size analysis was conducted by the p</w:t>
      </w:r>
      <w:r w:rsidR="00036922">
        <w:t>ipette method (</w:t>
      </w:r>
      <w:proofErr w:type="spellStart"/>
      <w:r w:rsidR="00036922">
        <w:t>Cresswell</w:t>
      </w:r>
      <w:proofErr w:type="spellEnd"/>
      <w:r w:rsidR="00036922">
        <w:t xml:space="preserve"> et al.</w:t>
      </w:r>
      <w:r>
        <w:t xml:space="preserve"> </w:t>
      </w:r>
      <w:r>
        <w:fldChar w:fldCharType="begin"/>
      </w:r>
      <w:r>
        <w:instrText xml:space="preserve"> ADDIN EN.CITE &lt;EndNote&gt;&lt;Cite ExcludeAuth="1"&gt;&lt;Author&gt;Cresswell&lt;/Author&gt;&lt;Year&gt;2002&lt;/Year&gt;&lt;RecNum&gt;53&lt;/RecNum&gt;&lt;DisplayText&gt;(2002)&lt;/DisplayText&gt;&lt;record&gt;&lt;rec-number&gt;53&lt;/rec-number&gt;&lt;foreign-keys&gt;&lt;key app="EN" db-id="rprx0sawfse00rezwd8x0ftgtxddrdt5xtvx"&gt;53&lt;/key&gt;&lt;/foreign-keys&gt;&lt;ref-type name="Book"&gt;6&lt;/ref-type&gt;&lt;contributors&gt;&lt;authors&gt;&lt;author&gt;Cresswell, H. P.&lt;/author&gt;&lt;author&gt;McKenzie, Neil J.&lt;/author&gt;&lt;author&gt;Coughlan, K. J.&lt;/author&gt;&lt;/authors&gt;&lt;/contributors&gt;&lt;titles&gt;&lt;title&gt;Soil physical measurement and interpretation for land evaluation&lt;/title&gt;&lt;secondary-title&gt;Australian soil and land survey handbook series: vol. 5&lt;/secondary-title&gt;&lt;/titles&gt;&lt;section&gt;224-239&lt;/section&gt;&lt;keywords&gt;&lt;keyword&gt;Soil surveys -- Australia -- Handbooks, manuals, etc&lt;/keyword&gt;&lt;keyword&gt;Land use surveys -- Australia -- Handbooks, manuals, etc&lt;/keyword&gt;&lt;/keywords&gt;&lt;dates&gt;&lt;year&gt;2002&lt;/year&gt;&lt;/dates&gt;&lt;publisher&gt;Collingwood, Vic. : CSIRO Publishing, 2002.&lt;/publisher&gt;&lt;isbn&gt;0643067671&lt;/isbn&gt;&lt;work-type&gt;Non-fiction&lt;/work-type&gt;&lt;urls&gt;&lt;related-urls&gt;&lt;url&gt;https://login.ezproxy.utas.edu.au/login?url=http://search.ebscohost.com/login.aspx?direct=true&amp;amp;db=cat02831a&amp;amp;AN=UTas.b1418326&amp;amp;site=eds-live&lt;/url&gt;&lt;/related-urls&gt;&lt;/urls&gt;&lt;remote-database-name&gt;cat02831a&lt;/remote-database-name&gt;&lt;remote-database-provider&gt;EBSCOhost&lt;/remote-database-provider&gt;&lt;/record&gt;&lt;/Cite&gt;&lt;/EndNote&gt;</w:instrText>
      </w:r>
      <w:r>
        <w:fldChar w:fldCharType="separate"/>
      </w:r>
      <w:hyperlink r:id="rId5" w:anchor="_ENREF_10" w:tooltip="Cresswell, 2002 #53" w:history="1">
        <w:r>
          <w:rPr>
            <w:rStyle w:val="Hyperlink"/>
            <w:noProof/>
          </w:rPr>
          <w:t>2002</w:t>
        </w:r>
      </w:hyperlink>
      <w:r>
        <w:rPr>
          <w:noProof/>
        </w:rPr>
        <w:t>)</w:t>
      </w:r>
      <w:r>
        <w:fldChar w:fldCharType="end"/>
      </w:r>
      <w:r>
        <w:t xml:space="preserve">. A 20 ml blank sample was taken from 25 ml sodium </w:t>
      </w:r>
      <w:proofErr w:type="spellStart"/>
      <w:r>
        <w:t>hexametaphosphate</w:t>
      </w:r>
      <w:proofErr w:type="spellEnd"/>
      <w:r>
        <w:t xml:space="preserve"> in a 1 L sedimentation tube so that a correction for the mass of the dispersant could be applied. The samples were then oven dried overnight at 105˚C and weighed. Coarse fractions (&gt;63 </w:t>
      </w:r>
      <w:proofErr w:type="spellStart"/>
      <w:r>
        <w:t>μm</w:t>
      </w:r>
      <w:proofErr w:type="spellEnd"/>
      <w:r>
        <w:t>) were thoroughly air dried and mechanically shaken through an Endecott standard sieve stack at half phi (</w:t>
      </w:r>
      <w:r>
        <w:rPr>
          <w:rFonts w:ascii="Symbol" w:hAnsi="Symbol"/>
        </w:rPr>
        <w:t></w:t>
      </w:r>
      <w:r>
        <w:t>) intervals for 10 min.</w:t>
      </w:r>
      <w:r w:rsidRPr="00AC5F04">
        <w:t xml:space="preserve"> </w:t>
      </w:r>
      <w:r>
        <w:t xml:space="preserve">Sediment weights obtained by pipette analysis were expressed as a percentage of the total weight of the &lt; 2 mm sample. The percentage of gravel (&gt;2 mm) in the total sample was also calculated. </w:t>
      </w:r>
    </w:p>
    <w:p w14:paraId="179666ED" w14:textId="77777777" w:rsidR="0020682F" w:rsidRDefault="0020682F" w:rsidP="00BF69B5">
      <w:pPr>
        <w:pStyle w:val="Heading2"/>
        <w:spacing w:before="0" w:line="480" w:lineRule="auto"/>
        <w:rPr>
          <w:rFonts w:ascii="Arial" w:hAnsi="Arial" w:cs="Arial"/>
          <w:b/>
          <w:color w:val="000000" w:themeColor="text1"/>
          <w:sz w:val="24"/>
          <w:szCs w:val="24"/>
        </w:rPr>
      </w:pPr>
    </w:p>
    <w:p w14:paraId="6F06686A" w14:textId="77777777" w:rsidR="00BF69B5" w:rsidRDefault="00BF69B5" w:rsidP="00BF69B5">
      <w:pPr>
        <w:pStyle w:val="Heading2"/>
        <w:spacing w:before="0" w:line="480" w:lineRule="auto"/>
        <w:rPr>
          <w:rFonts w:ascii="Arial" w:hAnsi="Arial" w:cs="Arial"/>
          <w:b/>
          <w:color w:val="000000" w:themeColor="text1"/>
          <w:sz w:val="24"/>
          <w:szCs w:val="24"/>
        </w:rPr>
      </w:pPr>
      <w:r w:rsidRPr="00995675">
        <w:rPr>
          <w:rFonts w:ascii="Arial" w:hAnsi="Arial" w:cs="Arial"/>
          <w:b/>
          <w:color w:val="000000" w:themeColor="text1"/>
          <w:sz w:val="24"/>
          <w:szCs w:val="24"/>
        </w:rPr>
        <w:t>X-RAY FLUORESCENCE ANALYSIS</w:t>
      </w:r>
    </w:p>
    <w:p w14:paraId="63E0A8D6" w14:textId="77777777" w:rsidR="00BF69B5" w:rsidRPr="008D33FA" w:rsidRDefault="00BF69B5" w:rsidP="00BF69B5"/>
    <w:p w14:paraId="3CB9FD2C" w14:textId="77777777" w:rsidR="00BF69B5" w:rsidRPr="008D33FA" w:rsidRDefault="00BF69B5" w:rsidP="00BF69B5">
      <w:pPr>
        <w:autoSpaceDE w:val="0"/>
        <w:autoSpaceDN w:val="0"/>
        <w:spacing w:after="0" w:line="480" w:lineRule="auto"/>
        <w:rPr>
          <w:rFonts w:cs="Arial"/>
          <w:color w:val="000000" w:themeColor="text1"/>
          <w:szCs w:val="24"/>
        </w:rPr>
      </w:pPr>
      <w:r w:rsidRPr="008D33FA">
        <w:rPr>
          <w:rFonts w:cs="Arial"/>
          <w:color w:val="000000" w:themeColor="text1"/>
          <w:szCs w:val="24"/>
        </w:rPr>
        <w:t xml:space="preserve">Sub-samples of 14–16 g of &lt;2 mm soil from the </w:t>
      </w:r>
      <w:proofErr w:type="spellStart"/>
      <w:r w:rsidRPr="008D33FA">
        <w:rPr>
          <w:rFonts w:cs="Arial"/>
          <w:color w:val="000000" w:themeColor="text1"/>
          <w:szCs w:val="24"/>
        </w:rPr>
        <w:t>Maynes</w:t>
      </w:r>
      <w:proofErr w:type="spellEnd"/>
      <w:r w:rsidRPr="008D33FA">
        <w:rPr>
          <w:rFonts w:cs="Arial"/>
          <w:color w:val="000000" w:themeColor="text1"/>
          <w:szCs w:val="24"/>
        </w:rPr>
        <w:t xml:space="preserve"> Junction soil horizons </w:t>
      </w:r>
      <w:r>
        <w:rPr>
          <w:rFonts w:cs="Arial"/>
          <w:color w:val="000000" w:themeColor="text1"/>
          <w:szCs w:val="24"/>
        </w:rPr>
        <w:t>listed</w:t>
      </w:r>
      <w:r w:rsidRPr="008D33FA">
        <w:rPr>
          <w:rFonts w:cs="Arial"/>
          <w:color w:val="000000" w:themeColor="text1"/>
          <w:szCs w:val="24"/>
        </w:rPr>
        <w:t xml:space="preserve"> in Table 5 were oven dried and ground to fine powder in a tungsten carbide pneumonic mill. A melted fusion disk was prepared to homogenise the sample and ensure complete oxidation. XRF analysis was performed at the School of Earth Sciences</w:t>
      </w:r>
      <w:r>
        <w:rPr>
          <w:rFonts w:cs="Arial"/>
          <w:color w:val="000000" w:themeColor="text1"/>
          <w:szCs w:val="24"/>
        </w:rPr>
        <w:t xml:space="preserve">, </w:t>
      </w:r>
      <w:r w:rsidRPr="008D33FA">
        <w:rPr>
          <w:rFonts w:cs="Arial"/>
          <w:color w:val="000000" w:themeColor="text1"/>
          <w:szCs w:val="24"/>
        </w:rPr>
        <w:t>U</w:t>
      </w:r>
      <w:r>
        <w:rPr>
          <w:rFonts w:cs="Arial"/>
          <w:color w:val="000000" w:themeColor="text1"/>
          <w:szCs w:val="24"/>
        </w:rPr>
        <w:t>niversity of Tasmania</w:t>
      </w:r>
      <w:r w:rsidRPr="008D33FA">
        <w:rPr>
          <w:rFonts w:cs="Arial"/>
          <w:color w:val="000000" w:themeColor="text1"/>
          <w:szCs w:val="24"/>
        </w:rPr>
        <w:t xml:space="preserve"> using a </w:t>
      </w:r>
      <w:proofErr w:type="spellStart"/>
      <w:r w:rsidRPr="008D33FA">
        <w:rPr>
          <w:rFonts w:cs="Arial"/>
          <w:color w:val="000000" w:themeColor="text1"/>
          <w:szCs w:val="24"/>
        </w:rPr>
        <w:t>ScMo</w:t>
      </w:r>
      <w:proofErr w:type="spellEnd"/>
      <w:r w:rsidRPr="008D33FA">
        <w:rPr>
          <w:rFonts w:cs="Arial"/>
          <w:color w:val="000000" w:themeColor="text1"/>
          <w:szCs w:val="24"/>
        </w:rPr>
        <w:t xml:space="preserve"> 3kW side window X-ray tube and a Philips PW1480 x-ray spectrometer, following the methods of Robinson (2003). Whole rock sample powders were fused with 12</w:t>
      </w:r>
      <w:r w:rsidRPr="008D33FA">
        <w:rPr>
          <w:rFonts w:cs="Arial" w:hint="eastAsia"/>
          <w:color w:val="000000" w:themeColor="text1"/>
          <w:szCs w:val="24"/>
        </w:rPr>
        <w:t>–</w:t>
      </w:r>
      <w:r w:rsidRPr="008D33FA">
        <w:rPr>
          <w:rFonts w:cs="Arial"/>
          <w:color w:val="000000" w:themeColor="text1"/>
          <w:szCs w:val="24"/>
        </w:rPr>
        <w:t>22 flux (a pre-fused mixture consisting of 12 parts Li</w:t>
      </w:r>
      <w:r w:rsidRPr="008D33FA">
        <w:rPr>
          <w:rFonts w:cs="Arial"/>
          <w:color w:val="000000" w:themeColor="text1"/>
          <w:szCs w:val="24"/>
          <w:vertAlign w:val="subscript"/>
        </w:rPr>
        <w:t>2</w:t>
      </w:r>
      <w:r w:rsidRPr="008D33FA">
        <w:rPr>
          <w:rFonts w:cs="Arial"/>
          <w:color w:val="000000" w:themeColor="text1"/>
          <w:szCs w:val="24"/>
        </w:rPr>
        <w:t>B</w:t>
      </w:r>
      <w:r w:rsidRPr="008D33FA">
        <w:rPr>
          <w:rFonts w:cs="Arial"/>
          <w:color w:val="000000" w:themeColor="text1"/>
          <w:szCs w:val="24"/>
          <w:vertAlign w:val="subscript"/>
        </w:rPr>
        <w:t>4</w:t>
      </w:r>
      <w:r w:rsidRPr="008D33FA">
        <w:rPr>
          <w:rFonts w:cs="Arial"/>
          <w:color w:val="000000" w:themeColor="text1"/>
          <w:szCs w:val="24"/>
        </w:rPr>
        <w:t>O</w:t>
      </w:r>
      <w:r w:rsidRPr="008D33FA">
        <w:rPr>
          <w:rFonts w:cs="Arial"/>
          <w:color w:val="000000" w:themeColor="text1"/>
          <w:szCs w:val="24"/>
          <w:vertAlign w:val="subscript"/>
        </w:rPr>
        <w:t>7</w:t>
      </w:r>
      <w:r w:rsidRPr="008D33FA">
        <w:rPr>
          <w:rFonts w:cs="Arial"/>
          <w:color w:val="000000" w:themeColor="text1"/>
          <w:szCs w:val="24"/>
        </w:rPr>
        <w:t xml:space="preserve"> and 22 parts LiBO</w:t>
      </w:r>
      <w:r w:rsidRPr="008D33FA">
        <w:rPr>
          <w:rFonts w:cs="Arial"/>
          <w:color w:val="000000" w:themeColor="text1"/>
          <w:szCs w:val="24"/>
          <w:vertAlign w:val="subscript"/>
        </w:rPr>
        <w:t>2</w:t>
      </w:r>
      <w:r w:rsidRPr="008D33FA">
        <w:rPr>
          <w:rFonts w:cs="Arial"/>
          <w:color w:val="000000" w:themeColor="text1"/>
          <w:szCs w:val="24"/>
        </w:rPr>
        <w:t>) using a sample: flux ratio of 1:9 at 1100</w:t>
      </w:r>
      <w:r w:rsidRPr="008D33FA">
        <w:rPr>
          <w:rFonts w:cs="Arial"/>
          <w:color w:val="000000" w:themeColor="text1"/>
          <w:szCs w:val="24"/>
          <w:vertAlign w:val="superscript"/>
        </w:rPr>
        <w:t>o</w:t>
      </w:r>
      <w:r w:rsidRPr="008D33FA">
        <w:rPr>
          <w:rFonts w:cs="Arial"/>
          <w:color w:val="000000" w:themeColor="text1"/>
          <w:szCs w:val="24"/>
        </w:rPr>
        <w:t xml:space="preserve">C. Corrections for mass absorption were calculated using Philips X40 software with De </w:t>
      </w:r>
      <w:proofErr w:type="spellStart"/>
      <w:r w:rsidRPr="008D33FA">
        <w:rPr>
          <w:rFonts w:cs="Arial"/>
          <w:color w:val="000000" w:themeColor="text1"/>
          <w:szCs w:val="24"/>
        </w:rPr>
        <w:t>Jongh</w:t>
      </w:r>
      <w:r>
        <w:rPr>
          <w:rFonts w:cs="Arial"/>
          <w:color w:val="000000" w:themeColor="text1"/>
          <w:szCs w:val="24"/>
        </w:rPr>
        <w:t>’</w:t>
      </w:r>
      <w:r w:rsidRPr="008D33FA">
        <w:rPr>
          <w:rFonts w:cs="Arial"/>
          <w:color w:val="000000" w:themeColor="text1"/>
          <w:szCs w:val="24"/>
        </w:rPr>
        <w:t>s</w:t>
      </w:r>
      <w:proofErr w:type="spellEnd"/>
      <w:r w:rsidRPr="008D33FA">
        <w:rPr>
          <w:rFonts w:cs="Arial"/>
          <w:color w:val="000000" w:themeColor="text1"/>
          <w:szCs w:val="24"/>
        </w:rPr>
        <w:t xml:space="preserve"> calibration model and Philips</w:t>
      </w:r>
      <w:r>
        <w:rPr>
          <w:rFonts w:cs="Arial"/>
          <w:color w:val="000000" w:themeColor="text1"/>
          <w:szCs w:val="24"/>
        </w:rPr>
        <w:t>’</w:t>
      </w:r>
      <w:r w:rsidRPr="008D33FA">
        <w:rPr>
          <w:rFonts w:cs="Arial"/>
          <w:color w:val="000000" w:themeColor="text1"/>
          <w:szCs w:val="24"/>
        </w:rPr>
        <w:t xml:space="preserve"> alpha coefficients.</w:t>
      </w:r>
    </w:p>
    <w:p w14:paraId="46325C3F" w14:textId="77777777" w:rsidR="00BF69B5" w:rsidRDefault="00BF69B5" w:rsidP="00BF69B5">
      <w:pPr>
        <w:autoSpaceDE w:val="0"/>
        <w:autoSpaceDN w:val="0"/>
        <w:adjustRightInd w:val="0"/>
        <w:spacing w:after="0" w:line="480" w:lineRule="auto"/>
        <w:rPr>
          <w:rFonts w:eastAsia="AdvOT863180fb" w:cs="Arial"/>
          <w:color w:val="000000"/>
          <w:szCs w:val="24"/>
        </w:rPr>
      </w:pPr>
    </w:p>
    <w:p w14:paraId="1509BFDF" w14:textId="77777777" w:rsidR="00BF69B5" w:rsidRPr="00EC5154" w:rsidRDefault="00BF69B5" w:rsidP="00BF69B5">
      <w:pPr>
        <w:autoSpaceDE w:val="0"/>
        <w:autoSpaceDN w:val="0"/>
        <w:adjustRightInd w:val="0"/>
        <w:spacing w:after="0" w:line="480" w:lineRule="auto"/>
        <w:ind w:left="567" w:hanging="567"/>
        <w:rPr>
          <w:rFonts w:cs="Arial"/>
          <w:b/>
          <w:szCs w:val="24"/>
        </w:rPr>
      </w:pPr>
      <w:r w:rsidRPr="00EC5154">
        <w:rPr>
          <w:rFonts w:cs="Arial"/>
          <w:b/>
          <w:szCs w:val="24"/>
        </w:rPr>
        <w:t>REFERENCES</w:t>
      </w:r>
    </w:p>
    <w:p w14:paraId="32127F77" w14:textId="77777777" w:rsidR="00BF69B5" w:rsidRDefault="00BF69B5" w:rsidP="00BF69B5">
      <w:pPr>
        <w:autoSpaceDE w:val="0"/>
        <w:autoSpaceDN w:val="0"/>
        <w:adjustRightInd w:val="0"/>
        <w:spacing w:after="0" w:line="480" w:lineRule="auto"/>
        <w:ind w:left="288" w:hanging="288"/>
        <w:contextualSpacing/>
        <w:rPr>
          <w:rFonts w:cs="Arial"/>
          <w:szCs w:val="24"/>
          <w:lang w:val="en-CA"/>
        </w:rPr>
      </w:pPr>
    </w:p>
    <w:p w14:paraId="0AB0CD94" w14:textId="77777777" w:rsidR="00BF69B5" w:rsidRPr="00FC2529" w:rsidRDefault="00BF69B5" w:rsidP="00BF69B5">
      <w:pPr>
        <w:autoSpaceDE w:val="0"/>
        <w:autoSpaceDN w:val="0"/>
        <w:adjustRightInd w:val="0"/>
        <w:spacing w:after="0" w:line="480" w:lineRule="auto"/>
        <w:ind w:left="567" w:hanging="567"/>
        <w:contextualSpacing/>
        <w:rPr>
          <w:rFonts w:cs="Arial"/>
          <w:szCs w:val="24"/>
          <w:lang w:val="en-CA"/>
        </w:rPr>
      </w:pPr>
      <w:r w:rsidRPr="00FC2529">
        <w:rPr>
          <w:rFonts w:cs="Arial"/>
          <w:szCs w:val="24"/>
          <w:lang w:val="en-CA"/>
        </w:rPr>
        <w:t xml:space="preserve">Aitken, M.J., </w:t>
      </w:r>
      <w:proofErr w:type="spellStart"/>
      <w:r w:rsidRPr="00FC2529">
        <w:rPr>
          <w:rFonts w:cs="Arial"/>
          <w:szCs w:val="24"/>
          <w:lang w:val="en-CA"/>
        </w:rPr>
        <w:t>Tite</w:t>
      </w:r>
      <w:proofErr w:type="spellEnd"/>
      <w:r w:rsidRPr="00FC2529">
        <w:rPr>
          <w:rFonts w:cs="Arial"/>
          <w:szCs w:val="24"/>
          <w:lang w:val="en-CA"/>
        </w:rPr>
        <w:t>, M.S., and Reid, J.</w:t>
      </w:r>
      <w:r>
        <w:rPr>
          <w:rFonts w:cs="Arial"/>
          <w:szCs w:val="24"/>
          <w:lang w:val="en-CA"/>
        </w:rPr>
        <w:t>,</w:t>
      </w:r>
      <w:r w:rsidRPr="00FC2529">
        <w:rPr>
          <w:rFonts w:cs="Arial"/>
          <w:szCs w:val="24"/>
          <w:lang w:val="en-CA"/>
        </w:rPr>
        <w:t xml:space="preserve"> 1964. </w:t>
      </w:r>
      <w:proofErr w:type="spellStart"/>
      <w:r w:rsidRPr="00FC2529">
        <w:rPr>
          <w:rFonts w:cs="Arial"/>
          <w:szCs w:val="24"/>
          <w:lang w:val="en-CA"/>
        </w:rPr>
        <w:t>Thermoluminescent</w:t>
      </w:r>
      <w:proofErr w:type="spellEnd"/>
      <w:r w:rsidRPr="00FC2529">
        <w:rPr>
          <w:rFonts w:cs="Arial"/>
          <w:szCs w:val="24"/>
          <w:lang w:val="en-CA"/>
        </w:rPr>
        <w:t xml:space="preserve"> dating of ancient ceramics. Nature 202, 1032–1033.</w:t>
      </w:r>
    </w:p>
    <w:p w14:paraId="3BCB55F9" w14:textId="77777777" w:rsidR="00BF69B5" w:rsidRPr="00FC2529" w:rsidRDefault="00BF69B5" w:rsidP="00BF69B5">
      <w:pPr>
        <w:autoSpaceDE w:val="0"/>
        <w:autoSpaceDN w:val="0"/>
        <w:adjustRightInd w:val="0"/>
        <w:spacing w:after="0" w:line="480" w:lineRule="auto"/>
        <w:ind w:left="567" w:hanging="567"/>
        <w:contextualSpacing/>
        <w:rPr>
          <w:rFonts w:cs="Arial"/>
          <w:szCs w:val="24"/>
          <w:lang w:val="en-CA"/>
        </w:rPr>
      </w:pPr>
      <w:r>
        <w:rPr>
          <w:rFonts w:cs="Arial"/>
          <w:szCs w:val="24"/>
          <w:lang w:val="en-CA"/>
        </w:rPr>
        <w:t>Aitken, M.J., Zimmerman, D.W.</w:t>
      </w:r>
      <w:r w:rsidRPr="00FC2529">
        <w:rPr>
          <w:rFonts w:cs="Arial"/>
          <w:szCs w:val="24"/>
          <w:lang w:val="en-CA"/>
        </w:rPr>
        <w:t xml:space="preserve"> and Fleming, S.J.</w:t>
      </w:r>
      <w:r>
        <w:rPr>
          <w:rFonts w:cs="Arial"/>
          <w:szCs w:val="24"/>
          <w:lang w:val="en-CA"/>
        </w:rPr>
        <w:t>,</w:t>
      </w:r>
      <w:r w:rsidRPr="00FC2529">
        <w:rPr>
          <w:rFonts w:cs="Arial"/>
          <w:szCs w:val="24"/>
          <w:lang w:val="en-CA"/>
        </w:rPr>
        <w:t xml:space="preserve"> 1968. </w:t>
      </w:r>
      <w:proofErr w:type="spellStart"/>
      <w:r w:rsidRPr="00FC2529">
        <w:rPr>
          <w:rFonts w:cs="Arial"/>
          <w:szCs w:val="24"/>
          <w:lang w:val="en-CA"/>
        </w:rPr>
        <w:t>Thermoluminescent</w:t>
      </w:r>
      <w:proofErr w:type="spellEnd"/>
      <w:r w:rsidRPr="00FC2529">
        <w:rPr>
          <w:rFonts w:cs="Arial"/>
          <w:szCs w:val="24"/>
          <w:lang w:val="en-CA"/>
        </w:rPr>
        <w:t xml:space="preserve"> dating of ancient pottery. Nature 219, 442–444.</w:t>
      </w:r>
    </w:p>
    <w:p w14:paraId="02ADF592" w14:textId="77777777" w:rsidR="00BF69B5" w:rsidRPr="00FC2529" w:rsidRDefault="00BF69B5" w:rsidP="00BF69B5">
      <w:pPr>
        <w:autoSpaceDE w:val="0"/>
        <w:autoSpaceDN w:val="0"/>
        <w:adjustRightInd w:val="0"/>
        <w:spacing w:after="0" w:line="480" w:lineRule="auto"/>
        <w:ind w:left="567" w:hanging="567"/>
        <w:contextualSpacing/>
        <w:rPr>
          <w:rFonts w:cs="Arial"/>
          <w:szCs w:val="24"/>
          <w:lang w:val="en-CA"/>
        </w:rPr>
      </w:pPr>
      <w:r w:rsidRPr="00FC2529">
        <w:rPr>
          <w:rFonts w:cs="Arial"/>
          <w:szCs w:val="24"/>
          <w:lang w:val="en-CA"/>
        </w:rPr>
        <w:t xml:space="preserve">Armitage, S.J., Duller, G.A.T., and </w:t>
      </w:r>
      <w:proofErr w:type="spellStart"/>
      <w:r w:rsidRPr="00FC2529">
        <w:rPr>
          <w:rFonts w:cs="Arial"/>
          <w:szCs w:val="24"/>
          <w:lang w:val="en-CA"/>
        </w:rPr>
        <w:t>Wintle</w:t>
      </w:r>
      <w:proofErr w:type="spellEnd"/>
      <w:r w:rsidRPr="00FC2529">
        <w:rPr>
          <w:rFonts w:cs="Arial"/>
          <w:szCs w:val="24"/>
          <w:lang w:val="en-CA"/>
        </w:rPr>
        <w:t xml:space="preserve">, A.G. 2000. Quartz from South Africa: sensitivity changes as a result of thermal </w:t>
      </w:r>
      <w:proofErr w:type="spellStart"/>
      <w:r w:rsidRPr="00FC2529">
        <w:rPr>
          <w:rFonts w:cs="Arial"/>
          <w:szCs w:val="24"/>
          <w:lang w:val="en-CA"/>
        </w:rPr>
        <w:t>pretreatment</w:t>
      </w:r>
      <w:proofErr w:type="spellEnd"/>
      <w:r w:rsidRPr="00FC2529">
        <w:rPr>
          <w:rFonts w:cs="Arial"/>
          <w:szCs w:val="24"/>
          <w:lang w:val="en-CA"/>
        </w:rPr>
        <w:t>. Radiation Measurements 32, 571–577.</w:t>
      </w:r>
    </w:p>
    <w:p w14:paraId="66B299C9" w14:textId="77777777" w:rsidR="00BF69B5" w:rsidRPr="00FC2529" w:rsidRDefault="00BF69B5" w:rsidP="00BF69B5">
      <w:pPr>
        <w:autoSpaceDE w:val="0"/>
        <w:autoSpaceDN w:val="0"/>
        <w:adjustRightInd w:val="0"/>
        <w:spacing w:after="0" w:line="480" w:lineRule="auto"/>
        <w:ind w:left="567" w:hanging="567"/>
        <w:contextualSpacing/>
        <w:rPr>
          <w:rFonts w:eastAsia="AdvOT863180fb" w:cs="Arial"/>
          <w:szCs w:val="24"/>
          <w:lang w:val="en-CA"/>
        </w:rPr>
      </w:pPr>
      <w:r w:rsidRPr="00FC2529">
        <w:rPr>
          <w:rFonts w:eastAsia="AdvOT863180fb" w:cs="Arial"/>
          <w:szCs w:val="24"/>
          <w:lang w:val="en-CA"/>
        </w:rPr>
        <w:t>Cohen, T.J., Nanson, G.C., Larsen, J.R., Jones,</w:t>
      </w:r>
      <w:r>
        <w:rPr>
          <w:rFonts w:eastAsia="AdvOT863180fb" w:cs="Arial"/>
          <w:szCs w:val="24"/>
          <w:lang w:val="en-CA"/>
        </w:rPr>
        <w:t xml:space="preserve"> B.G., Price, D.M., Coleman, M.</w:t>
      </w:r>
      <w:r w:rsidRPr="00FC2529">
        <w:rPr>
          <w:rFonts w:eastAsia="AdvOT863180fb" w:cs="Arial"/>
          <w:szCs w:val="24"/>
          <w:lang w:val="en-CA"/>
        </w:rPr>
        <w:t xml:space="preserve"> and </w:t>
      </w:r>
      <w:proofErr w:type="spellStart"/>
      <w:r w:rsidRPr="00FC2529">
        <w:rPr>
          <w:rFonts w:eastAsia="AdvOT863180fb" w:cs="Arial"/>
          <w:szCs w:val="24"/>
          <w:lang w:val="en-CA"/>
        </w:rPr>
        <w:t>Pietsch</w:t>
      </w:r>
      <w:proofErr w:type="spellEnd"/>
      <w:r w:rsidRPr="00FC2529">
        <w:rPr>
          <w:rFonts w:eastAsia="AdvOT863180fb" w:cs="Arial"/>
          <w:szCs w:val="24"/>
          <w:lang w:val="en-CA"/>
        </w:rPr>
        <w:t>, T.J.</w:t>
      </w:r>
      <w:r>
        <w:rPr>
          <w:rFonts w:eastAsia="AdvOT863180fb" w:cs="Arial"/>
          <w:szCs w:val="24"/>
          <w:lang w:val="en-CA"/>
        </w:rPr>
        <w:t>,</w:t>
      </w:r>
      <w:r w:rsidRPr="00FC2529">
        <w:rPr>
          <w:rFonts w:eastAsia="AdvOT863180fb" w:cs="Arial"/>
          <w:szCs w:val="24"/>
          <w:lang w:val="en-CA"/>
        </w:rPr>
        <w:t xml:space="preserve"> 2010. Late Quaternary </w:t>
      </w:r>
      <w:proofErr w:type="spellStart"/>
      <w:r w:rsidRPr="00FC2529">
        <w:rPr>
          <w:rFonts w:eastAsia="AdvOT863180fb" w:cs="Arial"/>
          <w:szCs w:val="24"/>
          <w:lang w:val="en-CA"/>
        </w:rPr>
        <w:t>aeolian</w:t>
      </w:r>
      <w:proofErr w:type="spellEnd"/>
      <w:r w:rsidRPr="00FC2529">
        <w:rPr>
          <w:rFonts w:eastAsia="AdvOT863180fb" w:cs="Arial"/>
          <w:szCs w:val="24"/>
          <w:lang w:val="en-CA"/>
        </w:rPr>
        <w:t xml:space="preserve"> and fluvial interactions on the </w:t>
      </w:r>
      <w:r w:rsidRPr="00FC2529">
        <w:rPr>
          <w:rFonts w:eastAsia="AdvOT863180fb" w:cs="Arial"/>
          <w:szCs w:val="24"/>
          <w:lang w:val="en-CA"/>
        </w:rPr>
        <w:lastRenderedPageBreak/>
        <w:t>Cooper Creek fan and the association between linear and source-bordering dunes, Strzelecki Desert, Australia. Quaternary Science Reviews 29, 455-471.</w:t>
      </w:r>
    </w:p>
    <w:p w14:paraId="6CC29341" w14:textId="77777777" w:rsidR="00BF69B5" w:rsidRPr="00FC2529" w:rsidRDefault="00BF69B5" w:rsidP="00BF69B5">
      <w:pPr>
        <w:spacing w:after="0" w:line="480" w:lineRule="auto"/>
        <w:ind w:left="567" w:hanging="567"/>
        <w:jc w:val="both"/>
        <w:rPr>
          <w:rFonts w:cs="Arial"/>
          <w:noProof/>
          <w:szCs w:val="24"/>
        </w:rPr>
      </w:pPr>
      <w:bookmarkStart w:id="1" w:name="_ENREF_10"/>
      <w:r>
        <w:rPr>
          <w:rFonts w:cs="Arial"/>
          <w:noProof/>
          <w:szCs w:val="24"/>
        </w:rPr>
        <w:t>Cresswell, H.P., McKenzie, N.J. and Coughlan, K.</w:t>
      </w:r>
      <w:r w:rsidRPr="00FC2529">
        <w:rPr>
          <w:rFonts w:cs="Arial"/>
          <w:noProof/>
          <w:szCs w:val="24"/>
        </w:rPr>
        <w:t>J.</w:t>
      </w:r>
      <w:r>
        <w:rPr>
          <w:rFonts w:cs="Arial"/>
          <w:noProof/>
          <w:szCs w:val="24"/>
        </w:rPr>
        <w:t>,</w:t>
      </w:r>
      <w:r w:rsidRPr="00FC2529">
        <w:rPr>
          <w:rFonts w:cs="Arial"/>
          <w:noProof/>
          <w:szCs w:val="24"/>
        </w:rPr>
        <w:t xml:space="preserve"> 2002. Soil physical measurement and interpretation for land evaluation. CSIRO Publishing, Collingwood, Victoria.</w:t>
      </w:r>
      <w:bookmarkEnd w:id="1"/>
    </w:p>
    <w:p w14:paraId="7F981048" w14:textId="77777777" w:rsidR="00BF69B5" w:rsidRPr="008D33FA" w:rsidRDefault="00BF69B5" w:rsidP="00BF69B5">
      <w:pPr>
        <w:autoSpaceDE w:val="0"/>
        <w:autoSpaceDN w:val="0"/>
        <w:adjustRightInd w:val="0"/>
        <w:spacing w:after="0" w:line="480" w:lineRule="auto"/>
        <w:ind w:left="567" w:hanging="567"/>
        <w:rPr>
          <w:rFonts w:ascii="Calibri" w:hAnsi="Calibri"/>
          <w:color w:val="000000"/>
          <w:szCs w:val="24"/>
        </w:rPr>
      </w:pPr>
      <w:r w:rsidRPr="008D33FA">
        <w:rPr>
          <w:rFonts w:ascii="Tahoma" w:eastAsia="Times New Roman" w:hAnsi="Tahoma" w:cs="Tahoma"/>
          <w:color w:val="000000"/>
          <w:szCs w:val="24"/>
          <w:lang w:eastAsia="en-CA"/>
        </w:rPr>
        <w:t>Duller, G.A.T.</w:t>
      </w:r>
      <w:r>
        <w:rPr>
          <w:rFonts w:ascii="Tahoma" w:eastAsia="Times New Roman" w:hAnsi="Tahoma" w:cs="Tahoma"/>
          <w:color w:val="000000"/>
          <w:szCs w:val="24"/>
          <w:lang w:eastAsia="en-CA"/>
        </w:rPr>
        <w:t>,</w:t>
      </w:r>
      <w:r w:rsidRPr="008D33FA">
        <w:rPr>
          <w:rFonts w:ascii="Tahoma" w:eastAsia="Times New Roman" w:hAnsi="Tahoma" w:cs="Tahoma"/>
          <w:color w:val="000000"/>
          <w:szCs w:val="24"/>
          <w:lang w:eastAsia="en-CA"/>
        </w:rPr>
        <w:t xml:space="preserve"> 2016. Challenges involved in obtaining luminescence ages for long records of aridity: Examples from the Arabian Peninsula. Quaternary International 410, 69–74.</w:t>
      </w:r>
    </w:p>
    <w:p w14:paraId="07B59B1D" w14:textId="77777777" w:rsidR="00BF69B5" w:rsidRPr="008F278E" w:rsidRDefault="00BF69B5" w:rsidP="00BF69B5">
      <w:pPr>
        <w:spacing w:after="0" w:line="480" w:lineRule="auto"/>
        <w:ind w:left="567" w:hanging="567"/>
        <w:rPr>
          <w:rFonts w:cs="Arial"/>
          <w:szCs w:val="24"/>
        </w:rPr>
      </w:pPr>
      <w:r w:rsidRPr="008F278E">
        <w:rPr>
          <w:rFonts w:cs="Arial"/>
          <w:szCs w:val="24"/>
        </w:rPr>
        <w:t>Duller, G.A.T.</w:t>
      </w:r>
      <w:r>
        <w:rPr>
          <w:rFonts w:cs="Arial"/>
          <w:szCs w:val="24"/>
        </w:rPr>
        <w:t xml:space="preserve"> and</w:t>
      </w:r>
      <w:r w:rsidRPr="008F278E">
        <w:rPr>
          <w:rFonts w:cs="Arial"/>
          <w:szCs w:val="24"/>
        </w:rPr>
        <w:t xml:space="preserve"> </w:t>
      </w:r>
      <w:proofErr w:type="spellStart"/>
      <w:r w:rsidRPr="008F278E">
        <w:rPr>
          <w:rFonts w:cs="Arial"/>
          <w:szCs w:val="24"/>
        </w:rPr>
        <w:t>Augustinus</w:t>
      </w:r>
      <w:proofErr w:type="spellEnd"/>
      <w:r w:rsidRPr="008F278E">
        <w:rPr>
          <w:rFonts w:cs="Arial"/>
          <w:szCs w:val="24"/>
        </w:rPr>
        <w:t>, P.</w:t>
      </w:r>
      <w:r>
        <w:rPr>
          <w:rFonts w:cs="Arial"/>
          <w:szCs w:val="24"/>
        </w:rPr>
        <w:t>, 19</w:t>
      </w:r>
      <w:r w:rsidRPr="008F278E">
        <w:rPr>
          <w:rFonts w:cs="Arial"/>
          <w:szCs w:val="24"/>
        </w:rPr>
        <w:t>97. Luminescence studies of dunes from north-eastern Tasmania. Quaternary Science Reviews (Quaternary Geochronology) 16</w:t>
      </w:r>
      <w:r>
        <w:rPr>
          <w:rFonts w:cs="Arial"/>
          <w:szCs w:val="24"/>
        </w:rPr>
        <w:t>,</w:t>
      </w:r>
      <w:r w:rsidRPr="008F278E">
        <w:rPr>
          <w:rFonts w:cs="Arial"/>
          <w:szCs w:val="24"/>
        </w:rPr>
        <w:t xml:space="preserve"> 357–365.</w:t>
      </w:r>
    </w:p>
    <w:p w14:paraId="5D0C4BE0" w14:textId="77777777" w:rsidR="00BF69B5" w:rsidRDefault="00BF69B5" w:rsidP="00BF69B5">
      <w:pPr>
        <w:spacing w:after="0" w:line="480" w:lineRule="auto"/>
        <w:ind w:left="567" w:hanging="567"/>
        <w:rPr>
          <w:rFonts w:cs="Arial"/>
          <w:szCs w:val="24"/>
        </w:rPr>
      </w:pPr>
      <w:r w:rsidRPr="008F278E">
        <w:rPr>
          <w:rFonts w:cs="Arial"/>
          <w:szCs w:val="24"/>
        </w:rPr>
        <w:t>Duller, G.A.T.</w:t>
      </w:r>
      <w:r>
        <w:rPr>
          <w:rFonts w:cs="Arial"/>
          <w:szCs w:val="24"/>
        </w:rPr>
        <w:t xml:space="preserve"> and</w:t>
      </w:r>
      <w:r w:rsidRPr="008F278E">
        <w:rPr>
          <w:rFonts w:cs="Arial"/>
          <w:szCs w:val="24"/>
        </w:rPr>
        <w:t xml:space="preserve"> </w:t>
      </w:r>
      <w:proofErr w:type="spellStart"/>
      <w:r w:rsidRPr="008F278E">
        <w:rPr>
          <w:rFonts w:cs="Arial"/>
          <w:szCs w:val="24"/>
        </w:rPr>
        <w:t>Augustinus</w:t>
      </w:r>
      <w:proofErr w:type="spellEnd"/>
      <w:r w:rsidRPr="008F278E">
        <w:rPr>
          <w:rFonts w:cs="Arial"/>
          <w:szCs w:val="24"/>
        </w:rPr>
        <w:t>, P.</w:t>
      </w:r>
      <w:r>
        <w:rPr>
          <w:rFonts w:cs="Arial"/>
          <w:szCs w:val="24"/>
        </w:rPr>
        <w:t>, 20</w:t>
      </w:r>
      <w:r w:rsidRPr="008F278E">
        <w:rPr>
          <w:rFonts w:cs="Arial"/>
          <w:szCs w:val="24"/>
        </w:rPr>
        <w:t>06. Reassessment of the record of linear dune activity in Tasmania using optical dating. Quaternary Science Reviews 25, 2608–2618.</w:t>
      </w:r>
    </w:p>
    <w:p w14:paraId="3BC7ADE3" w14:textId="77777777" w:rsidR="00BF69B5" w:rsidRPr="00FC2529" w:rsidRDefault="00BF69B5" w:rsidP="00BF69B5">
      <w:pPr>
        <w:autoSpaceDE w:val="0"/>
        <w:autoSpaceDN w:val="0"/>
        <w:adjustRightInd w:val="0"/>
        <w:spacing w:after="0" w:line="480" w:lineRule="auto"/>
        <w:ind w:left="567" w:hanging="567"/>
        <w:contextualSpacing/>
        <w:rPr>
          <w:rFonts w:cs="Arial"/>
          <w:szCs w:val="24"/>
          <w:lang w:val="en-CA"/>
        </w:rPr>
      </w:pPr>
      <w:r w:rsidRPr="00FC2529">
        <w:rPr>
          <w:rFonts w:cs="Arial"/>
          <w:szCs w:val="24"/>
          <w:lang w:val="en-CA"/>
        </w:rPr>
        <w:t xml:space="preserve">Galbraith, R.F., Roberts, R.G., </w:t>
      </w:r>
      <w:proofErr w:type="spellStart"/>
      <w:r w:rsidRPr="00FC2529">
        <w:rPr>
          <w:rFonts w:cs="Arial"/>
          <w:szCs w:val="24"/>
          <w:lang w:val="en-CA"/>
        </w:rPr>
        <w:t>Laslett</w:t>
      </w:r>
      <w:proofErr w:type="spellEnd"/>
      <w:r w:rsidRPr="00FC2529">
        <w:rPr>
          <w:rFonts w:cs="Arial"/>
          <w:szCs w:val="24"/>
          <w:lang w:val="en-CA"/>
        </w:rPr>
        <w:t xml:space="preserve">, G.M., Yoshida, H., and </w:t>
      </w:r>
      <w:proofErr w:type="spellStart"/>
      <w:r w:rsidRPr="00FC2529">
        <w:rPr>
          <w:rFonts w:cs="Arial"/>
          <w:szCs w:val="24"/>
          <w:lang w:val="en-CA"/>
        </w:rPr>
        <w:t>Olley</w:t>
      </w:r>
      <w:proofErr w:type="spellEnd"/>
      <w:r w:rsidRPr="00FC2529">
        <w:rPr>
          <w:rFonts w:cs="Arial"/>
          <w:szCs w:val="24"/>
          <w:lang w:val="en-CA"/>
        </w:rPr>
        <w:t>, J.M.</w:t>
      </w:r>
      <w:r>
        <w:rPr>
          <w:rFonts w:cs="Arial"/>
          <w:szCs w:val="24"/>
          <w:lang w:val="en-CA"/>
        </w:rPr>
        <w:t>,</w:t>
      </w:r>
      <w:r w:rsidRPr="00FC2529">
        <w:rPr>
          <w:rFonts w:cs="Arial"/>
          <w:szCs w:val="24"/>
          <w:lang w:val="en-CA"/>
        </w:rPr>
        <w:t xml:space="preserve"> 1999. Optical dating of single and multiple grains of quartz from </w:t>
      </w:r>
      <w:proofErr w:type="spellStart"/>
      <w:r w:rsidRPr="00FC2529">
        <w:rPr>
          <w:rFonts w:cs="Arial"/>
          <w:szCs w:val="24"/>
          <w:lang w:val="en-CA"/>
        </w:rPr>
        <w:t>Jinmium</w:t>
      </w:r>
      <w:proofErr w:type="spellEnd"/>
      <w:r w:rsidRPr="00FC2529">
        <w:rPr>
          <w:rFonts w:cs="Arial"/>
          <w:szCs w:val="24"/>
          <w:lang w:val="en-CA"/>
        </w:rPr>
        <w:t xml:space="preserve"> rock shelter, northern Australia. Part I: experimental design and statistical models. </w:t>
      </w:r>
      <w:proofErr w:type="spellStart"/>
      <w:r w:rsidRPr="00FC2529">
        <w:rPr>
          <w:rFonts w:cs="Arial"/>
          <w:szCs w:val="24"/>
          <w:lang w:val="en-CA"/>
        </w:rPr>
        <w:t>Archaeometry</w:t>
      </w:r>
      <w:proofErr w:type="spellEnd"/>
      <w:r w:rsidRPr="00FC2529">
        <w:rPr>
          <w:rFonts w:cs="Arial"/>
          <w:szCs w:val="24"/>
          <w:lang w:val="en-CA"/>
        </w:rPr>
        <w:t xml:space="preserve"> 41, 339–364.</w:t>
      </w:r>
    </w:p>
    <w:p w14:paraId="7666AB50" w14:textId="77777777" w:rsidR="00BF69B5" w:rsidRDefault="00BF69B5" w:rsidP="00BF69B5">
      <w:pPr>
        <w:spacing w:after="0" w:line="480" w:lineRule="auto"/>
        <w:ind w:left="567" w:hanging="567"/>
        <w:rPr>
          <w:rFonts w:cs="Arial"/>
          <w:szCs w:val="24"/>
        </w:rPr>
      </w:pPr>
      <w:r w:rsidRPr="008F278E">
        <w:rPr>
          <w:rFonts w:cs="Arial"/>
          <w:szCs w:val="24"/>
        </w:rPr>
        <w:t>Hesse, P.P.</w:t>
      </w:r>
      <w:r>
        <w:rPr>
          <w:rFonts w:cs="Arial"/>
          <w:szCs w:val="24"/>
        </w:rPr>
        <w:t>, 20</w:t>
      </w:r>
      <w:r w:rsidRPr="008F278E">
        <w:rPr>
          <w:rFonts w:cs="Arial"/>
          <w:szCs w:val="24"/>
        </w:rPr>
        <w:t>1</w:t>
      </w:r>
      <w:r>
        <w:rPr>
          <w:rFonts w:cs="Arial"/>
          <w:szCs w:val="24"/>
        </w:rPr>
        <w:t>6</w:t>
      </w:r>
      <w:r w:rsidRPr="008F278E">
        <w:rPr>
          <w:rFonts w:cs="Arial"/>
          <w:szCs w:val="24"/>
        </w:rPr>
        <w:t xml:space="preserve">. How do longitudinal dunes respond to climate forcing? Insights from 25 years of luminescence dating of the Australian desert </w:t>
      </w:r>
      <w:proofErr w:type="spellStart"/>
      <w:r w:rsidRPr="008F278E">
        <w:rPr>
          <w:rFonts w:cs="Arial"/>
          <w:szCs w:val="24"/>
        </w:rPr>
        <w:t>dunefields</w:t>
      </w:r>
      <w:proofErr w:type="spellEnd"/>
      <w:r w:rsidRPr="008F278E">
        <w:rPr>
          <w:rFonts w:cs="Arial"/>
          <w:szCs w:val="24"/>
        </w:rPr>
        <w:t>. Quaternary International 410</w:t>
      </w:r>
      <w:r>
        <w:rPr>
          <w:rFonts w:cs="Arial"/>
          <w:szCs w:val="24"/>
        </w:rPr>
        <w:t xml:space="preserve">, </w:t>
      </w:r>
      <w:r w:rsidRPr="008F278E">
        <w:rPr>
          <w:rFonts w:cs="Arial"/>
          <w:szCs w:val="24"/>
        </w:rPr>
        <w:t>11–29.</w:t>
      </w:r>
    </w:p>
    <w:p w14:paraId="5BC711B3" w14:textId="77777777" w:rsidR="00BF69B5" w:rsidRPr="00FC2529" w:rsidRDefault="00BF69B5" w:rsidP="00BF69B5">
      <w:pPr>
        <w:autoSpaceDE w:val="0"/>
        <w:autoSpaceDN w:val="0"/>
        <w:adjustRightInd w:val="0"/>
        <w:spacing w:after="0" w:line="480" w:lineRule="auto"/>
        <w:ind w:left="567" w:hanging="567"/>
        <w:contextualSpacing/>
        <w:rPr>
          <w:rFonts w:eastAsia="AdvOT863180fb" w:cs="Arial"/>
          <w:szCs w:val="24"/>
          <w:lang w:val="en-CA"/>
        </w:rPr>
      </w:pPr>
      <w:r w:rsidRPr="00FC2529">
        <w:rPr>
          <w:rFonts w:eastAsia="AdvOT863180fb" w:cs="Arial"/>
          <w:szCs w:val="24"/>
          <w:lang w:val="en-CA"/>
        </w:rPr>
        <w:t xml:space="preserve">Huntley, D.J., Godfrey-Smith, D.I., and </w:t>
      </w:r>
      <w:proofErr w:type="spellStart"/>
      <w:r w:rsidRPr="00FC2529">
        <w:rPr>
          <w:rFonts w:eastAsia="AdvOT863180fb" w:cs="Arial"/>
          <w:szCs w:val="24"/>
          <w:lang w:val="en-CA"/>
        </w:rPr>
        <w:t>Thewalt</w:t>
      </w:r>
      <w:proofErr w:type="spellEnd"/>
      <w:r w:rsidRPr="00FC2529">
        <w:rPr>
          <w:rFonts w:eastAsia="AdvOT863180fb" w:cs="Arial"/>
          <w:szCs w:val="24"/>
          <w:lang w:val="en-CA"/>
        </w:rPr>
        <w:t>, M.L.W.</w:t>
      </w:r>
      <w:r>
        <w:rPr>
          <w:rFonts w:eastAsia="AdvOT863180fb" w:cs="Arial"/>
          <w:szCs w:val="24"/>
          <w:lang w:val="en-CA"/>
        </w:rPr>
        <w:t>,</w:t>
      </w:r>
      <w:r w:rsidRPr="00FC2529">
        <w:rPr>
          <w:rFonts w:eastAsia="AdvOT863180fb" w:cs="Arial"/>
          <w:szCs w:val="24"/>
          <w:lang w:val="en-CA"/>
        </w:rPr>
        <w:t xml:space="preserve"> 1985. Optical dating of sediments. Nature 313: 105-107.</w:t>
      </w:r>
    </w:p>
    <w:p w14:paraId="7EFEE0C2" w14:textId="77777777" w:rsidR="00BF69B5" w:rsidRPr="00FC2529" w:rsidRDefault="00BF69B5" w:rsidP="00BF69B5">
      <w:pPr>
        <w:autoSpaceDE w:val="0"/>
        <w:autoSpaceDN w:val="0"/>
        <w:adjustRightInd w:val="0"/>
        <w:spacing w:after="0" w:line="480" w:lineRule="auto"/>
        <w:ind w:left="567" w:hanging="567"/>
        <w:contextualSpacing/>
        <w:rPr>
          <w:rFonts w:cs="Arial"/>
          <w:szCs w:val="24"/>
          <w:lang w:val="en-CA"/>
        </w:rPr>
      </w:pPr>
      <w:r w:rsidRPr="00FC2529">
        <w:rPr>
          <w:rFonts w:cs="Arial"/>
          <w:szCs w:val="24"/>
          <w:lang w:val="en-CA"/>
        </w:rPr>
        <w:t>Huntley, D.J., Hutton, J.T., and Prescott, J.R.</w:t>
      </w:r>
      <w:r>
        <w:rPr>
          <w:rFonts w:cs="Arial"/>
          <w:szCs w:val="24"/>
          <w:lang w:val="en-CA"/>
        </w:rPr>
        <w:t>,</w:t>
      </w:r>
      <w:r w:rsidRPr="00FC2529">
        <w:rPr>
          <w:rFonts w:cs="Arial"/>
          <w:szCs w:val="24"/>
          <w:lang w:val="en-CA"/>
        </w:rPr>
        <w:t xml:space="preserve"> 1993. Optical dating using inclusions within quartz grains. Geology 21, 1087–1090.</w:t>
      </w:r>
    </w:p>
    <w:p w14:paraId="13015F6D" w14:textId="77777777" w:rsidR="00BF69B5" w:rsidRPr="00FC2529" w:rsidRDefault="00BF69B5" w:rsidP="00BF69B5">
      <w:pPr>
        <w:autoSpaceDE w:val="0"/>
        <w:autoSpaceDN w:val="0"/>
        <w:adjustRightInd w:val="0"/>
        <w:spacing w:after="0" w:line="480" w:lineRule="auto"/>
        <w:ind w:left="567" w:hanging="567"/>
        <w:contextualSpacing/>
        <w:rPr>
          <w:rFonts w:cs="Arial"/>
          <w:szCs w:val="24"/>
          <w:lang w:val="en-CA"/>
        </w:rPr>
      </w:pPr>
      <w:r w:rsidRPr="00FC2529">
        <w:rPr>
          <w:rFonts w:cs="Arial"/>
          <w:szCs w:val="24"/>
          <w:lang w:val="en-CA"/>
        </w:rPr>
        <w:lastRenderedPageBreak/>
        <w:t>Huntley, D.J., and Prescott, J.R.</w:t>
      </w:r>
      <w:r>
        <w:rPr>
          <w:rFonts w:cs="Arial"/>
          <w:szCs w:val="24"/>
          <w:lang w:val="en-CA"/>
        </w:rPr>
        <w:t>,</w:t>
      </w:r>
      <w:r w:rsidRPr="00FC2529">
        <w:rPr>
          <w:rFonts w:cs="Arial"/>
          <w:szCs w:val="24"/>
          <w:lang w:val="en-CA"/>
        </w:rPr>
        <w:t xml:space="preserve"> 2001. Improved methodology and new </w:t>
      </w:r>
      <w:proofErr w:type="spellStart"/>
      <w:r w:rsidRPr="00FC2529">
        <w:rPr>
          <w:rFonts w:cs="Arial"/>
          <w:szCs w:val="24"/>
          <w:lang w:val="en-CA"/>
        </w:rPr>
        <w:t>thermoluminescence</w:t>
      </w:r>
      <w:proofErr w:type="spellEnd"/>
      <w:r w:rsidRPr="00FC2529">
        <w:rPr>
          <w:rFonts w:cs="Arial"/>
          <w:szCs w:val="24"/>
          <w:lang w:val="en-CA"/>
        </w:rPr>
        <w:t xml:space="preserve"> ages for the dune sequence in south-east South Australia. Quaternary Science Reviews 20, 687–699. </w:t>
      </w:r>
    </w:p>
    <w:p w14:paraId="36B69045" w14:textId="77777777" w:rsidR="00BF69B5" w:rsidRDefault="00BF69B5" w:rsidP="00BF69B5">
      <w:pPr>
        <w:spacing w:after="0" w:line="480" w:lineRule="auto"/>
        <w:ind w:left="567" w:hanging="567"/>
        <w:rPr>
          <w:rFonts w:cs="Arial"/>
          <w:szCs w:val="24"/>
        </w:rPr>
      </w:pPr>
      <w:r>
        <w:rPr>
          <w:rFonts w:cs="Arial"/>
          <w:szCs w:val="24"/>
        </w:rPr>
        <w:t>Jennings, J.N., 1957. Coastal dune lakes as exemplified from King Island, Tasmania. Geographical Journal 123, 59–70.</w:t>
      </w:r>
    </w:p>
    <w:p w14:paraId="14C97F56" w14:textId="77777777" w:rsidR="00BF69B5" w:rsidRPr="00FC2529" w:rsidRDefault="00BF69B5" w:rsidP="00BF69B5">
      <w:pPr>
        <w:keepLines/>
        <w:spacing w:after="0" w:line="480" w:lineRule="auto"/>
        <w:ind w:left="567" w:hanging="567"/>
        <w:contextualSpacing/>
        <w:rPr>
          <w:rFonts w:cs="Arial"/>
          <w:szCs w:val="24"/>
          <w:lang w:val="en-CA"/>
        </w:rPr>
      </w:pPr>
      <w:proofErr w:type="spellStart"/>
      <w:r w:rsidRPr="00FC2529">
        <w:rPr>
          <w:rFonts w:cs="Arial"/>
          <w:szCs w:val="24"/>
          <w:lang w:val="en-CA"/>
        </w:rPr>
        <w:t>Lian</w:t>
      </w:r>
      <w:proofErr w:type="spellEnd"/>
      <w:r w:rsidRPr="00FC2529">
        <w:rPr>
          <w:rFonts w:cs="Arial"/>
          <w:szCs w:val="24"/>
          <w:lang w:val="en-CA"/>
        </w:rPr>
        <w:t>, O.B., and Huntley, D.J.</w:t>
      </w:r>
      <w:r>
        <w:rPr>
          <w:rFonts w:cs="Arial"/>
          <w:szCs w:val="24"/>
          <w:lang w:val="en-CA"/>
        </w:rPr>
        <w:t>,</w:t>
      </w:r>
      <w:r w:rsidRPr="00FC2529">
        <w:rPr>
          <w:rFonts w:cs="Arial"/>
          <w:szCs w:val="24"/>
          <w:lang w:val="en-CA"/>
        </w:rPr>
        <w:t xml:space="preserve"> 1999. Optical dating of post-glacial </w:t>
      </w:r>
      <w:proofErr w:type="spellStart"/>
      <w:r w:rsidRPr="00FC2529">
        <w:rPr>
          <w:rFonts w:cs="Arial"/>
          <w:szCs w:val="24"/>
          <w:lang w:val="en-CA"/>
        </w:rPr>
        <w:t>aeolian</w:t>
      </w:r>
      <w:proofErr w:type="spellEnd"/>
      <w:r w:rsidRPr="00FC2529">
        <w:rPr>
          <w:rFonts w:cs="Arial"/>
          <w:szCs w:val="24"/>
          <w:lang w:val="en-CA"/>
        </w:rPr>
        <w:t xml:space="preserve"> deposits from the south-central interior of British Columbia, Canada. Quaternary Science Reviews 18, 1453–1466.</w:t>
      </w:r>
    </w:p>
    <w:p w14:paraId="1126B8AC" w14:textId="77777777" w:rsidR="00BF69B5" w:rsidRPr="00FC2529" w:rsidRDefault="00BF69B5" w:rsidP="00BF69B5">
      <w:pPr>
        <w:spacing w:after="0" w:line="480" w:lineRule="auto"/>
        <w:ind w:left="567" w:hanging="567"/>
        <w:contextualSpacing/>
        <w:rPr>
          <w:rFonts w:cs="Arial"/>
          <w:szCs w:val="24"/>
          <w:lang w:val="en-US"/>
        </w:rPr>
      </w:pPr>
      <w:proofErr w:type="spellStart"/>
      <w:r w:rsidRPr="00FC2529">
        <w:rPr>
          <w:rFonts w:cs="Arial"/>
          <w:bCs/>
          <w:szCs w:val="24"/>
          <w:lang w:val="en-CA"/>
        </w:rPr>
        <w:t>Lian</w:t>
      </w:r>
      <w:proofErr w:type="spellEnd"/>
      <w:r w:rsidRPr="00FC2529">
        <w:rPr>
          <w:rFonts w:cs="Arial"/>
          <w:bCs/>
          <w:szCs w:val="24"/>
          <w:lang w:val="en-CA"/>
        </w:rPr>
        <w:t>, O.B.</w:t>
      </w:r>
      <w:r w:rsidRPr="00FC2529">
        <w:rPr>
          <w:rFonts w:cs="Arial"/>
          <w:szCs w:val="24"/>
          <w:lang w:val="en-CA"/>
        </w:rPr>
        <w:t xml:space="preserve"> and Roberts, R.G.</w:t>
      </w:r>
      <w:r>
        <w:rPr>
          <w:rFonts w:cs="Arial"/>
          <w:szCs w:val="24"/>
          <w:lang w:val="en-CA"/>
        </w:rPr>
        <w:t>,</w:t>
      </w:r>
      <w:r w:rsidRPr="00FC2529">
        <w:rPr>
          <w:rFonts w:cs="Arial"/>
          <w:szCs w:val="24"/>
          <w:lang w:val="en-CA"/>
        </w:rPr>
        <w:t xml:space="preserve"> 2006. Dating the Quaternary: progress in luminescence dating of sediments. </w:t>
      </w:r>
      <w:r w:rsidRPr="00FC2529">
        <w:rPr>
          <w:rFonts w:cs="Arial"/>
          <w:iCs/>
          <w:szCs w:val="24"/>
          <w:lang w:val="en-CA"/>
        </w:rPr>
        <w:t>Quaternary Science Reviews</w:t>
      </w:r>
      <w:r w:rsidRPr="00FC2529">
        <w:rPr>
          <w:rFonts w:cs="Arial"/>
          <w:szCs w:val="24"/>
          <w:lang w:val="en-CA"/>
        </w:rPr>
        <w:t xml:space="preserve"> 25, </w:t>
      </w:r>
      <w:r w:rsidRPr="00FC2529">
        <w:rPr>
          <w:rFonts w:cs="Arial"/>
          <w:szCs w:val="24"/>
          <w:lang w:val="en-US"/>
        </w:rPr>
        <w:t>2449–2468.</w:t>
      </w:r>
    </w:p>
    <w:p w14:paraId="15875B54" w14:textId="77777777" w:rsidR="00BF69B5" w:rsidRPr="00FC2529" w:rsidRDefault="00BF69B5" w:rsidP="00BF69B5">
      <w:pPr>
        <w:spacing w:after="0" w:line="480" w:lineRule="auto"/>
        <w:ind w:left="567" w:hanging="567"/>
        <w:rPr>
          <w:rFonts w:cs="Arial"/>
          <w:szCs w:val="24"/>
        </w:rPr>
      </w:pPr>
      <w:r w:rsidRPr="00FC2529">
        <w:rPr>
          <w:rFonts w:cs="Arial"/>
          <w:szCs w:val="24"/>
        </w:rPr>
        <w:t>McIntosh, P.D., Price, D.M., Eberhard, R. and Slee, A.J., 2009. Late Quaternary erosion events in lowland and mid-altitude Tasmania in relation to climate change and first human arrival. Quaternary Science Reviews 28, 850–872.</w:t>
      </w:r>
    </w:p>
    <w:p w14:paraId="04C76BE1" w14:textId="77777777" w:rsidR="00BF69B5" w:rsidRPr="008F278E" w:rsidRDefault="00BF69B5" w:rsidP="00BF69B5">
      <w:pPr>
        <w:spacing w:after="0" w:line="480" w:lineRule="auto"/>
        <w:ind w:left="567" w:hanging="567"/>
        <w:rPr>
          <w:rFonts w:cs="Arial"/>
          <w:szCs w:val="24"/>
        </w:rPr>
      </w:pPr>
      <w:r w:rsidRPr="008F278E">
        <w:rPr>
          <w:rFonts w:cs="Arial"/>
          <w:szCs w:val="24"/>
        </w:rPr>
        <w:t>McIntosh, P.D., Eberhard, R., Slee, A., Moss, P., Price,</w:t>
      </w:r>
      <w:r>
        <w:rPr>
          <w:rFonts w:cs="Arial"/>
          <w:szCs w:val="24"/>
        </w:rPr>
        <w:t xml:space="preserve"> D.M., Donaldson, P., Doyle, R., and</w:t>
      </w:r>
      <w:r w:rsidRPr="008F278E">
        <w:rPr>
          <w:rFonts w:cs="Arial"/>
          <w:szCs w:val="24"/>
        </w:rPr>
        <w:t xml:space="preserve"> Martins, J., 2012. Late Quaternary extra-glacial cold-climate deposits in low and mid-altitude Tasmania and their climatic implications. Geomorphology 179, 21–39.</w:t>
      </w:r>
    </w:p>
    <w:p w14:paraId="7182395A" w14:textId="77777777" w:rsidR="00BF69B5" w:rsidRPr="00FC2529" w:rsidRDefault="00BF69B5" w:rsidP="00BF69B5">
      <w:pPr>
        <w:spacing w:after="0" w:line="480" w:lineRule="auto"/>
        <w:ind w:left="567" w:hanging="567"/>
        <w:contextualSpacing/>
        <w:rPr>
          <w:rFonts w:cs="Arial"/>
          <w:szCs w:val="24"/>
          <w:lang w:val="en-CA"/>
        </w:rPr>
      </w:pPr>
      <w:proofErr w:type="spellStart"/>
      <w:r w:rsidRPr="00FC2529">
        <w:rPr>
          <w:rFonts w:cs="Arial"/>
          <w:szCs w:val="24"/>
          <w:lang w:val="en-CA"/>
        </w:rPr>
        <w:t>Mejdahl</w:t>
      </w:r>
      <w:proofErr w:type="spellEnd"/>
      <w:r w:rsidRPr="00FC2529">
        <w:rPr>
          <w:rFonts w:cs="Arial"/>
          <w:szCs w:val="24"/>
          <w:lang w:val="en-CA"/>
        </w:rPr>
        <w:t xml:space="preserve">, V., and </w:t>
      </w:r>
      <w:proofErr w:type="spellStart"/>
      <w:r w:rsidRPr="00FC2529">
        <w:rPr>
          <w:rFonts w:cs="Arial"/>
          <w:szCs w:val="24"/>
          <w:lang w:val="en-CA"/>
        </w:rPr>
        <w:t>Bøtter</w:t>
      </w:r>
      <w:proofErr w:type="spellEnd"/>
      <w:r w:rsidRPr="00FC2529">
        <w:rPr>
          <w:rFonts w:cs="Arial"/>
          <w:szCs w:val="24"/>
          <w:lang w:val="en-CA"/>
        </w:rPr>
        <w:t>-Jensen, L.</w:t>
      </w:r>
      <w:r>
        <w:rPr>
          <w:rFonts w:cs="Arial"/>
          <w:szCs w:val="24"/>
          <w:lang w:val="en-CA"/>
        </w:rPr>
        <w:t>,</w:t>
      </w:r>
      <w:r w:rsidRPr="00FC2529">
        <w:rPr>
          <w:rFonts w:cs="Arial"/>
          <w:szCs w:val="24"/>
          <w:lang w:val="en-CA"/>
        </w:rPr>
        <w:t xml:space="preserve"> 1994. Luminescence dating of archaeological materials using a new technique based on single aliquot measurements. Quaternary Science Reviews 13, 551–554.</w:t>
      </w:r>
    </w:p>
    <w:p w14:paraId="2BDF2EC1" w14:textId="77777777" w:rsidR="00BF69B5" w:rsidRPr="00FC2529" w:rsidRDefault="00BF69B5" w:rsidP="00BF69B5">
      <w:pPr>
        <w:autoSpaceDE w:val="0"/>
        <w:autoSpaceDN w:val="0"/>
        <w:adjustRightInd w:val="0"/>
        <w:spacing w:after="0" w:line="480" w:lineRule="auto"/>
        <w:ind w:left="567" w:hanging="567"/>
        <w:contextualSpacing/>
        <w:rPr>
          <w:rFonts w:cs="Arial"/>
          <w:szCs w:val="24"/>
          <w:lang w:val="en-CA"/>
        </w:rPr>
      </w:pPr>
      <w:r w:rsidRPr="00B667F8">
        <w:rPr>
          <w:rFonts w:cs="Arial"/>
          <w:szCs w:val="24"/>
          <w:lang w:val="en-CA"/>
        </w:rPr>
        <w:t xml:space="preserve">Mueller, D., Jacobs, Z., Cohen, T.J., Price, D.M., </w:t>
      </w:r>
      <w:proofErr w:type="spellStart"/>
      <w:r w:rsidRPr="00B667F8">
        <w:rPr>
          <w:rFonts w:cs="Arial"/>
          <w:szCs w:val="24"/>
          <w:lang w:val="en-CA"/>
        </w:rPr>
        <w:t>Reinfelds</w:t>
      </w:r>
      <w:proofErr w:type="spellEnd"/>
      <w:r w:rsidRPr="00B667F8">
        <w:rPr>
          <w:rFonts w:cs="Arial"/>
          <w:szCs w:val="24"/>
          <w:lang w:val="en-CA"/>
        </w:rPr>
        <w:t>, I.V., and Shulmeister, J.</w:t>
      </w:r>
      <w:r>
        <w:rPr>
          <w:rFonts w:cs="Arial"/>
          <w:szCs w:val="24"/>
          <w:lang w:val="en-CA"/>
        </w:rPr>
        <w:t>,</w:t>
      </w:r>
      <w:r w:rsidRPr="00B667F8">
        <w:rPr>
          <w:rFonts w:cs="Arial"/>
          <w:szCs w:val="24"/>
          <w:lang w:val="en-CA"/>
        </w:rPr>
        <w:t xml:space="preserve"> 2018.</w:t>
      </w:r>
      <w:r w:rsidRPr="00B667F8">
        <w:rPr>
          <w:rFonts w:cs="Arial"/>
          <w:b/>
          <w:bCs/>
          <w:szCs w:val="24"/>
          <w:lang w:val="en-CA"/>
        </w:rPr>
        <w:t xml:space="preserve"> </w:t>
      </w:r>
      <w:r w:rsidRPr="00B667F8">
        <w:rPr>
          <w:rFonts w:cs="Arial"/>
          <w:bCs/>
          <w:szCs w:val="24"/>
          <w:lang w:val="en-CA"/>
        </w:rPr>
        <w:t xml:space="preserve">Revisiting an arid LGM using fluvial archives: a luminescence chronology for </w:t>
      </w:r>
      <w:proofErr w:type="spellStart"/>
      <w:r w:rsidRPr="00B667F8">
        <w:rPr>
          <w:rFonts w:cs="Arial"/>
          <w:bCs/>
          <w:szCs w:val="24"/>
          <w:lang w:val="en-CA"/>
        </w:rPr>
        <w:t>palaeochannels</w:t>
      </w:r>
      <w:proofErr w:type="spellEnd"/>
      <w:r w:rsidRPr="00B667F8">
        <w:rPr>
          <w:rFonts w:cs="Arial"/>
          <w:bCs/>
          <w:szCs w:val="24"/>
          <w:lang w:val="en-CA"/>
        </w:rPr>
        <w:t xml:space="preserve"> of the </w:t>
      </w:r>
      <w:proofErr w:type="spellStart"/>
      <w:r w:rsidRPr="00B667F8">
        <w:rPr>
          <w:rFonts w:cs="Arial"/>
          <w:bCs/>
          <w:szCs w:val="24"/>
          <w:lang w:val="en-CA"/>
        </w:rPr>
        <w:t>Murrumbidgee</w:t>
      </w:r>
      <w:proofErr w:type="spellEnd"/>
      <w:r w:rsidRPr="00B667F8">
        <w:rPr>
          <w:rFonts w:cs="Arial"/>
          <w:bCs/>
          <w:szCs w:val="24"/>
          <w:lang w:val="en-CA"/>
        </w:rPr>
        <w:t xml:space="preserve"> River, south-eastern Australia. Journal of Quaternary Science, 33: 777– 793</w:t>
      </w:r>
      <w:r>
        <w:rPr>
          <w:rFonts w:cs="Arial"/>
          <w:bCs/>
          <w:szCs w:val="24"/>
          <w:lang w:val="en-CA"/>
        </w:rPr>
        <w:t>.</w:t>
      </w:r>
    </w:p>
    <w:p w14:paraId="2C115BBC" w14:textId="77777777" w:rsidR="00BF69B5" w:rsidRPr="00FC2529" w:rsidRDefault="00BF69B5" w:rsidP="00BF69B5">
      <w:pPr>
        <w:autoSpaceDE w:val="0"/>
        <w:autoSpaceDN w:val="0"/>
        <w:adjustRightInd w:val="0"/>
        <w:spacing w:after="0" w:line="480" w:lineRule="auto"/>
        <w:ind w:left="567" w:hanging="567"/>
        <w:contextualSpacing/>
        <w:rPr>
          <w:rFonts w:cs="Arial"/>
          <w:szCs w:val="24"/>
          <w:lang w:val="en-CA"/>
        </w:rPr>
      </w:pPr>
      <w:r w:rsidRPr="00FC2529">
        <w:rPr>
          <w:rFonts w:cs="Arial"/>
          <w:szCs w:val="24"/>
          <w:lang w:val="en-CA"/>
        </w:rPr>
        <w:lastRenderedPageBreak/>
        <w:t>Murray, A.S., and Roberts, R.G.</w:t>
      </w:r>
      <w:r>
        <w:rPr>
          <w:rFonts w:cs="Arial"/>
          <w:szCs w:val="24"/>
          <w:lang w:val="en-CA"/>
        </w:rPr>
        <w:t>,</w:t>
      </w:r>
      <w:r w:rsidRPr="00FC2529">
        <w:rPr>
          <w:rFonts w:cs="Arial"/>
          <w:szCs w:val="24"/>
          <w:lang w:val="en-CA"/>
        </w:rPr>
        <w:t xml:space="preserve"> 1997. Determining the burial time of single grains of quartz using optically stimulated luminescence. Earth and Planetary Science Letters 152, 163–180.</w:t>
      </w:r>
    </w:p>
    <w:p w14:paraId="30F908ED" w14:textId="77777777" w:rsidR="00BF69B5" w:rsidRPr="00FC2529" w:rsidRDefault="00BF69B5" w:rsidP="00BF69B5">
      <w:pPr>
        <w:autoSpaceDE w:val="0"/>
        <w:autoSpaceDN w:val="0"/>
        <w:adjustRightInd w:val="0"/>
        <w:spacing w:after="0" w:line="480" w:lineRule="auto"/>
        <w:ind w:left="567" w:hanging="567"/>
        <w:rPr>
          <w:rFonts w:eastAsia="AdvOT863180fb" w:cs="Arial"/>
          <w:szCs w:val="24"/>
          <w:lang w:val="en-CA"/>
        </w:rPr>
      </w:pPr>
      <w:r w:rsidRPr="00FC2529">
        <w:rPr>
          <w:rFonts w:eastAsia="AdvOT863180fb" w:cs="Arial"/>
          <w:szCs w:val="24"/>
          <w:lang w:val="en-CA"/>
        </w:rPr>
        <w:t xml:space="preserve">Murray, A.S., and </w:t>
      </w:r>
      <w:proofErr w:type="spellStart"/>
      <w:r w:rsidRPr="00FC2529">
        <w:rPr>
          <w:rFonts w:eastAsia="AdvOT863180fb" w:cs="Arial"/>
          <w:szCs w:val="24"/>
          <w:lang w:val="en-CA"/>
        </w:rPr>
        <w:t>Wintle</w:t>
      </w:r>
      <w:proofErr w:type="spellEnd"/>
      <w:r w:rsidRPr="00FC2529">
        <w:rPr>
          <w:rFonts w:eastAsia="AdvOT863180fb" w:cs="Arial"/>
          <w:szCs w:val="24"/>
          <w:lang w:val="en-CA"/>
        </w:rPr>
        <w:t>, A.G.</w:t>
      </w:r>
      <w:r>
        <w:rPr>
          <w:rFonts w:eastAsia="AdvOT863180fb" w:cs="Arial"/>
          <w:szCs w:val="24"/>
          <w:lang w:val="en-CA"/>
        </w:rPr>
        <w:t>,</w:t>
      </w:r>
      <w:r w:rsidRPr="00FC2529">
        <w:rPr>
          <w:rFonts w:eastAsia="AdvOT863180fb" w:cs="Arial"/>
          <w:szCs w:val="24"/>
          <w:lang w:val="en-CA"/>
        </w:rPr>
        <w:t xml:space="preserve"> 2000. Luminescence dating of quartz using an improved single-aliquot regenerative-dose protocol. Radiation Measurements 32, 57-73.</w:t>
      </w:r>
    </w:p>
    <w:p w14:paraId="5CD82677" w14:textId="77777777" w:rsidR="00BF69B5" w:rsidRPr="00FC2529" w:rsidRDefault="00BF69B5" w:rsidP="00BF69B5">
      <w:pPr>
        <w:autoSpaceDE w:val="0"/>
        <w:autoSpaceDN w:val="0"/>
        <w:adjustRightInd w:val="0"/>
        <w:spacing w:after="0" w:line="480" w:lineRule="auto"/>
        <w:ind w:left="567" w:hanging="567"/>
        <w:rPr>
          <w:rFonts w:cs="Arial"/>
          <w:szCs w:val="24"/>
          <w:lang w:val="en-CA"/>
        </w:rPr>
      </w:pPr>
      <w:r w:rsidRPr="00FC2529">
        <w:rPr>
          <w:rFonts w:cs="Arial"/>
          <w:szCs w:val="24"/>
          <w:lang w:val="en-CA"/>
        </w:rPr>
        <w:t xml:space="preserve">Murray, A.S., and </w:t>
      </w:r>
      <w:proofErr w:type="spellStart"/>
      <w:r w:rsidRPr="00FC2529">
        <w:rPr>
          <w:rFonts w:cs="Arial"/>
          <w:szCs w:val="24"/>
          <w:lang w:val="en-CA"/>
        </w:rPr>
        <w:t>Wintle</w:t>
      </w:r>
      <w:proofErr w:type="spellEnd"/>
      <w:r w:rsidRPr="00FC2529">
        <w:rPr>
          <w:rFonts w:cs="Arial"/>
          <w:szCs w:val="24"/>
          <w:lang w:val="en-CA"/>
        </w:rPr>
        <w:t>, A.G.</w:t>
      </w:r>
      <w:r>
        <w:rPr>
          <w:rFonts w:cs="Arial"/>
          <w:szCs w:val="24"/>
          <w:lang w:val="en-CA"/>
        </w:rPr>
        <w:t>,</w:t>
      </w:r>
      <w:r w:rsidRPr="00FC2529">
        <w:rPr>
          <w:rFonts w:cs="Arial"/>
          <w:szCs w:val="24"/>
          <w:lang w:val="en-CA"/>
        </w:rPr>
        <w:t xml:space="preserve"> 2003. The single aliquot regenerative dose protocol: potential for improvements in reliability. Radiation Measurements 37, 377–381.</w:t>
      </w:r>
    </w:p>
    <w:p w14:paraId="6B48902D" w14:textId="77777777" w:rsidR="00BF69B5" w:rsidRPr="008D33FA" w:rsidRDefault="00BF69B5" w:rsidP="00BF69B5">
      <w:pPr>
        <w:spacing w:after="0" w:line="480" w:lineRule="auto"/>
        <w:ind w:left="567" w:hanging="567"/>
        <w:rPr>
          <w:rFonts w:cs="Arial"/>
          <w:szCs w:val="24"/>
          <w:highlight w:val="cyan"/>
        </w:rPr>
      </w:pPr>
      <w:r w:rsidRPr="00FC2529">
        <w:rPr>
          <w:rFonts w:cs="Arial"/>
          <w:szCs w:val="24"/>
        </w:rPr>
        <w:t xml:space="preserve">Nanson, G.C., Price, D.M., Short, S.A., Young, R.W. and Jones, B.G., 1991. Comparative uranium–thorium and </w:t>
      </w:r>
      <w:proofErr w:type="spellStart"/>
      <w:r w:rsidRPr="00FC2529">
        <w:rPr>
          <w:rFonts w:cs="Arial"/>
          <w:szCs w:val="24"/>
        </w:rPr>
        <w:t>thermoluminescence</w:t>
      </w:r>
      <w:proofErr w:type="spellEnd"/>
      <w:r w:rsidRPr="00FC2529">
        <w:rPr>
          <w:rFonts w:cs="Arial"/>
          <w:szCs w:val="24"/>
        </w:rPr>
        <w:t xml:space="preserve"> chronologies for weathered alluvial sequences in the seasonally dry tropics of Northern Queensland, Australia. </w:t>
      </w:r>
      <w:r w:rsidRPr="000B2606">
        <w:rPr>
          <w:rFonts w:cs="Arial"/>
          <w:szCs w:val="24"/>
        </w:rPr>
        <w:t>Quaternary Research 35, 347–366.</w:t>
      </w:r>
    </w:p>
    <w:p w14:paraId="59CFEC3B" w14:textId="77777777" w:rsidR="00BF69B5" w:rsidRPr="008F278E" w:rsidRDefault="00BF69B5" w:rsidP="00BF69B5">
      <w:pPr>
        <w:spacing w:after="0" w:line="480" w:lineRule="auto"/>
        <w:ind w:left="567" w:hanging="567"/>
        <w:rPr>
          <w:rFonts w:cs="Arial"/>
          <w:szCs w:val="24"/>
        </w:rPr>
      </w:pPr>
      <w:r w:rsidRPr="00704BA3">
        <w:t>National Committee on Soil and Terrain</w:t>
      </w:r>
      <w:r>
        <w:t>,</w:t>
      </w:r>
      <w:r w:rsidRPr="00704BA3">
        <w:t xml:space="preserve"> 2009. Australian Soil and Land Survey Field Handbook. 3</w:t>
      </w:r>
      <w:r w:rsidRPr="00704BA3">
        <w:rPr>
          <w:vertAlign w:val="superscript"/>
        </w:rPr>
        <w:t>rd</w:t>
      </w:r>
      <w:r w:rsidRPr="00704BA3">
        <w:t xml:space="preserve"> Edition. CSIRO, Collingwood.</w:t>
      </w:r>
    </w:p>
    <w:p w14:paraId="18A68434" w14:textId="77777777" w:rsidR="00BF69B5" w:rsidRPr="004A4E3D" w:rsidRDefault="00BF69B5" w:rsidP="00BF69B5">
      <w:pPr>
        <w:spacing w:after="0" w:line="480" w:lineRule="auto"/>
        <w:ind w:left="567" w:hanging="567"/>
        <w:rPr>
          <w:rFonts w:cs="Arial"/>
          <w:szCs w:val="24"/>
        </w:rPr>
      </w:pPr>
      <w:r w:rsidRPr="004A4E3D">
        <w:rPr>
          <w:rFonts w:cs="Arial"/>
          <w:szCs w:val="24"/>
        </w:rPr>
        <w:t xml:space="preserve">Neudorf, C.M., </w:t>
      </w:r>
      <w:proofErr w:type="spellStart"/>
      <w:r w:rsidRPr="004A4E3D">
        <w:rPr>
          <w:rFonts w:cs="Arial"/>
          <w:szCs w:val="24"/>
        </w:rPr>
        <w:t>Lian</w:t>
      </w:r>
      <w:proofErr w:type="spellEnd"/>
      <w:r w:rsidRPr="004A4E3D">
        <w:rPr>
          <w:rFonts w:cs="Arial"/>
          <w:szCs w:val="24"/>
        </w:rPr>
        <w:t xml:space="preserve">, O.B., McIntosh, P.D., </w:t>
      </w:r>
      <w:proofErr w:type="spellStart"/>
      <w:r w:rsidRPr="004A4E3D">
        <w:rPr>
          <w:rFonts w:cs="Arial"/>
          <w:szCs w:val="24"/>
        </w:rPr>
        <w:t>Gingerich</w:t>
      </w:r>
      <w:proofErr w:type="spellEnd"/>
      <w:r w:rsidRPr="004A4E3D">
        <w:rPr>
          <w:rFonts w:cs="Arial"/>
          <w:szCs w:val="24"/>
        </w:rPr>
        <w:t xml:space="preserve">, T.B., </w:t>
      </w:r>
      <w:proofErr w:type="spellStart"/>
      <w:r w:rsidRPr="004A4E3D">
        <w:rPr>
          <w:rFonts w:cs="Arial"/>
          <w:szCs w:val="24"/>
        </w:rPr>
        <w:t>Augustinus</w:t>
      </w:r>
      <w:proofErr w:type="spellEnd"/>
      <w:r w:rsidRPr="004A4E3D">
        <w:rPr>
          <w:rFonts w:cs="Arial"/>
          <w:szCs w:val="24"/>
        </w:rPr>
        <w:t>, P.C.</w:t>
      </w:r>
      <w:r>
        <w:rPr>
          <w:rFonts w:cs="Arial"/>
          <w:szCs w:val="24"/>
        </w:rPr>
        <w:t>, 20</w:t>
      </w:r>
      <w:r w:rsidRPr="004A4E3D">
        <w:rPr>
          <w:rFonts w:cs="Arial"/>
          <w:szCs w:val="24"/>
        </w:rPr>
        <w:t>19. Investigation into the OSL and TT-OSL signa</w:t>
      </w:r>
      <w:r>
        <w:rPr>
          <w:rFonts w:cs="Arial"/>
          <w:szCs w:val="24"/>
        </w:rPr>
        <w:t>l characteristics of ancient (&gt;</w:t>
      </w:r>
      <w:r w:rsidRPr="004A4E3D">
        <w:rPr>
          <w:rFonts w:cs="Arial"/>
          <w:szCs w:val="24"/>
        </w:rPr>
        <w:t xml:space="preserve">100 </w:t>
      </w:r>
      <w:proofErr w:type="spellStart"/>
      <w:r w:rsidRPr="004A4E3D">
        <w:rPr>
          <w:rFonts w:cs="Arial"/>
          <w:szCs w:val="24"/>
        </w:rPr>
        <w:t>ka</w:t>
      </w:r>
      <w:proofErr w:type="spellEnd"/>
      <w:r w:rsidRPr="004A4E3D">
        <w:rPr>
          <w:rFonts w:cs="Arial"/>
          <w:szCs w:val="24"/>
        </w:rPr>
        <w:t xml:space="preserve">) Tasmanian </w:t>
      </w:r>
      <w:proofErr w:type="spellStart"/>
      <w:r w:rsidRPr="004A4E3D">
        <w:rPr>
          <w:rFonts w:cs="Arial"/>
          <w:szCs w:val="24"/>
        </w:rPr>
        <w:t>aeolian</w:t>
      </w:r>
      <w:proofErr w:type="spellEnd"/>
      <w:r w:rsidRPr="004A4E3D">
        <w:rPr>
          <w:rFonts w:cs="Arial"/>
          <w:szCs w:val="24"/>
        </w:rPr>
        <w:t xml:space="preserve"> quartz and its utility as a </w:t>
      </w:r>
      <w:proofErr w:type="spellStart"/>
      <w:r w:rsidRPr="004A4E3D">
        <w:rPr>
          <w:rFonts w:cs="Arial"/>
          <w:szCs w:val="24"/>
        </w:rPr>
        <w:t>geochronometer</w:t>
      </w:r>
      <w:proofErr w:type="spellEnd"/>
      <w:r w:rsidRPr="004A4E3D">
        <w:rPr>
          <w:rFonts w:cs="Arial"/>
          <w:szCs w:val="24"/>
        </w:rPr>
        <w:t xml:space="preserve"> for understanding long-term climate-driven landscape change. </w:t>
      </w:r>
      <w:r>
        <w:rPr>
          <w:rFonts w:cs="Arial"/>
          <w:szCs w:val="24"/>
        </w:rPr>
        <w:t>Qu</w:t>
      </w:r>
      <w:r w:rsidRPr="004A4E3D">
        <w:rPr>
          <w:rFonts w:cs="Arial"/>
          <w:szCs w:val="24"/>
        </w:rPr>
        <w:t xml:space="preserve">aternary </w:t>
      </w:r>
      <w:r>
        <w:rPr>
          <w:rFonts w:cs="Arial"/>
          <w:szCs w:val="24"/>
        </w:rPr>
        <w:t xml:space="preserve">Geochronology 53, </w:t>
      </w:r>
      <w:r w:rsidRPr="004A4E3D">
        <w:rPr>
          <w:rFonts w:cs="Arial"/>
          <w:szCs w:val="24"/>
        </w:rPr>
        <w:t>doi.org/10.1016/j.quageo.2019.101005</w:t>
      </w:r>
      <w:r>
        <w:rPr>
          <w:rFonts w:cs="Arial"/>
          <w:szCs w:val="24"/>
        </w:rPr>
        <w:t>.</w:t>
      </w:r>
    </w:p>
    <w:p w14:paraId="472A8087" w14:textId="77777777" w:rsidR="00BF69B5" w:rsidRPr="008D33FA" w:rsidRDefault="00BF69B5" w:rsidP="00BF69B5">
      <w:pPr>
        <w:autoSpaceDE w:val="0"/>
        <w:autoSpaceDN w:val="0"/>
        <w:adjustRightInd w:val="0"/>
        <w:spacing w:after="0" w:line="480" w:lineRule="auto"/>
        <w:ind w:left="567" w:hanging="567"/>
        <w:contextualSpacing/>
        <w:rPr>
          <w:rFonts w:cs="Arial"/>
          <w:szCs w:val="24"/>
          <w:lang w:val="en-CA"/>
        </w:rPr>
      </w:pPr>
      <w:r w:rsidRPr="008D33FA">
        <w:rPr>
          <w:rFonts w:cs="Arial"/>
          <w:szCs w:val="24"/>
          <w:lang w:val="en-CA"/>
        </w:rPr>
        <w:t>Prescott, J.R., Huntley, D.J., and Hutton, J.T.</w:t>
      </w:r>
      <w:r>
        <w:rPr>
          <w:rFonts w:cs="Arial"/>
          <w:szCs w:val="24"/>
          <w:lang w:val="en-CA"/>
        </w:rPr>
        <w:t>,</w:t>
      </w:r>
      <w:r w:rsidRPr="008D33FA">
        <w:rPr>
          <w:rFonts w:cs="Arial"/>
          <w:szCs w:val="24"/>
          <w:lang w:val="en-CA"/>
        </w:rPr>
        <w:t xml:space="preserve"> 1993. Estimation of equivalent dose in </w:t>
      </w:r>
      <w:proofErr w:type="spellStart"/>
      <w:r w:rsidRPr="008D33FA">
        <w:rPr>
          <w:rFonts w:cs="Arial"/>
          <w:szCs w:val="24"/>
          <w:lang w:val="en-CA"/>
        </w:rPr>
        <w:t>thermoluminescence</w:t>
      </w:r>
      <w:proofErr w:type="spellEnd"/>
      <w:r w:rsidRPr="008D33FA">
        <w:rPr>
          <w:rFonts w:cs="Arial"/>
          <w:szCs w:val="24"/>
          <w:lang w:val="en-CA"/>
        </w:rPr>
        <w:t xml:space="preserve"> dating the Australian slide method. Ancient TL 11, 1-5.</w:t>
      </w:r>
    </w:p>
    <w:p w14:paraId="44919961" w14:textId="77777777" w:rsidR="00BF69B5" w:rsidRPr="00FC2529" w:rsidRDefault="00BF69B5" w:rsidP="00BF69B5">
      <w:pPr>
        <w:spacing w:after="0" w:line="480" w:lineRule="auto"/>
        <w:ind w:left="567" w:hanging="567"/>
        <w:rPr>
          <w:rFonts w:cs="Arial"/>
          <w:szCs w:val="24"/>
          <w:lang w:val="en-CA"/>
        </w:rPr>
      </w:pPr>
      <w:proofErr w:type="spellStart"/>
      <w:r w:rsidRPr="00FC2529">
        <w:rPr>
          <w:rFonts w:cs="Arial"/>
          <w:szCs w:val="24"/>
          <w:lang w:val="en-CA"/>
        </w:rPr>
        <w:t>Readhead</w:t>
      </w:r>
      <w:proofErr w:type="spellEnd"/>
      <w:r w:rsidRPr="00FC2529">
        <w:rPr>
          <w:rFonts w:cs="Arial"/>
          <w:szCs w:val="24"/>
          <w:lang w:val="en-CA"/>
        </w:rPr>
        <w:t>, M.L.</w:t>
      </w:r>
      <w:r>
        <w:rPr>
          <w:rFonts w:cs="Arial"/>
          <w:szCs w:val="24"/>
          <w:lang w:val="en-CA"/>
        </w:rPr>
        <w:t>,</w:t>
      </w:r>
      <w:r w:rsidRPr="00FC2529">
        <w:rPr>
          <w:rFonts w:cs="Arial"/>
          <w:szCs w:val="24"/>
          <w:lang w:val="en-CA"/>
        </w:rPr>
        <w:t xml:space="preserve"> 1988. </w:t>
      </w:r>
      <w:proofErr w:type="spellStart"/>
      <w:r w:rsidRPr="00FC2529">
        <w:rPr>
          <w:rFonts w:cs="Arial"/>
          <w:szCs w:val="24"/>
          <w:lang w:val="en-CA"/>
        </w:rPr>
        <w:t>Thermoluminescence</w:t>
      </w:r>
      <w:proofErr w:type="spellEnd"/>
      <w:r w:rsidRPr="00FC2529">
        <w:rPr>
          <w:rFonts w:cs="Arial"/>
          <w:szCs w:val="24"/>
          <w:lang w:val="en-CA"/>
        </w:rPr>
        <w:t xml:space="preserve"> dating study of quartz in </w:t>
      </w:r>
      <w:proofErr w:type="spellStart"/>
      <w:r w:rsidRPr="00FC2529">
        <w:rPr>
          <w:rFonts w:cs="Arial"/>
          <w:szCs w:val="24"/>
          <w:lang w:val="en-CA"/>
        </w:rPr>
        <w:t>aeolian</w:t>
      </w:r>
      <w:proofErr w:type="spellEnd"/>
      <w:r w:rsidRPr="00FC2529">
        <w:rPr>
          <w:rFonts w:cs="Arial"/>
          <w:szCs w:val="24"/>
          <w:lang w:val="en-CA"/>
        </w:rPr>
        <w:t xml:space="preserve"> sediments from southeastern Australia. Quaternary Science Reviews 7, 257–264.</w:t>
      </w:r>
    </w:p>
    <w:p w14:paraId="20B5EC04" w14:textId="77777777" w:rsidR="00BF69B5" w:rsidRPr="00FC2529" w:rsidRDefault="00BF69B5" w:rsidP="00BF69B5">
      <w:pPr>
        <w:autoSpaceDE w:val="0"/>
        <w:autoSpaceDN w:val="0"/>
        <w:adjustRightInd w:val="0"/>
        <w:spacing w:after="0" w:line="480" w:lineRule="auto"/>
        <w:ind w:left="567" w:hanging="567"/>
        <w:contextualSpacing/>
        <w:rPr>
          <w:rFonts w:eastAsia="AdvOT863180fb" w:cs="Arial"/>
          <w:szCs w:val="24"/>
          <w:lang w:val="en-CA"/>
        </w:rPr>
      </w:pPr>
      <w:r w:rsidRPr="00FC2529">
        <w:rPr>
          <w:rFonts w:eastAsia="AdvOT863180fb" w:cs="Arial"/>
          <w:szCs w:val="24"/>
          <w:lang w:val="en-CA"/>
        </w:rPr>
        <w:lastRenderedPageBreak/>
        <w:t>Rhodes, E.J.</w:t>
      </w:r>
      <w:r>
        <w:rPr>
          <w:rFonts w:eastAsia="AdvOT863180fb" w:cs="Arial"/>
          <w:szCs w:val="24"/>
          <w:lang w:val="en-CA"/>
        </w:rPr>
        <w:t>,</w:t>
      </w:r>
      <w:r w:rsidRPr="00FC2529">
        <w:rPr>
          <w:rFonts w:eastAsia="AdvOT863180fb" w:cs="Arial"/>
          <w:szCs w:val="24"/>
          <w:lang w:val="en-CA"/>
        </w:rPr>
        <w:t xml:space="preserve"> 2011. Optically stimulated luminescence dating of sediments over the past 200,000 years. Annual Review of Earth and Planetary Sciences 39, 461-488.</w:t>
      </w:r>
    </w:p>
    <w:p w14:paraId="7E2C1DC1" w14:textId="77777777" w:rsidR="00BF69B5" w:rsidRPr="00FC2529" w:rsidRDefault="00BF69B5" w:rsidP="00BF69B5">
      <w:pPr>
        <w:autoSpaceDE w:val="0"/>
        <w:autoSpaceDN w:val="0"/>
        <w:adjustRightInd w:val="0"/>
        <w:spacing w:after="0" w:line="480" w:lineRule="auto"/>
        <w:ind w:left="567" w:hanging="567"/>
        <w:contextualSpacing/>
        <w:rPr>
          <w:rFonts w:cs="Arial"/>
          <w:szCs w:val="24"/>
          <w:lang w:val="en-CA"/>
        </w:rPr>
      </w:pPr>
      <w:r w:rsidRPr="00FC2529">
        <w:rPr>
          <w:rFonts w:cs="Arial"/>
          <w:szCs w:val="24"/>
          <w:lang w:val="en-CA"/>
        </w:rPr>
        <w:t>Roberts, R.G.</w:t>
      </w:r>
      <w:r>
        <w:rPr>
          <w:rFonts w:cs="Arial"/>
          <w:szCs w:val="24"/>
          <w:lang w:val="en-CA"/>
        </w:rPr>
        <w:t>,</w:t>
      </w:r>
      <w:r w:rsidRPr="00FC2529">
        <w:rPr>
          <w:rFonts w:cs="Arial"/>
          <w:szCs w:val="24"/>
          <w:lang w:val="en-CA"/>
        </w:rPr>
        <w:t xml:space="preserve"> 1997. Luminescence dating in archaeology: from origins to optical. Radiation Measurements 27, 819–892.</w:t>
      </w:r>
    </w:p>
    <w:p w14:paraId="7D7E802D" w14:textId="77777777" w:rsidR="00BF69B5" w:rsidRPr="00F3322C" w:rsidRDefault="00BF69B5" w:rsidP="00BF69B5">
      <w:pPr>
        <w:autoSpaceDE w:val="0"/>
        <w:autoSpaceDN w:val="0"/>
        <w:adjustRightInd w:val="0"/>
        <w:spacing w:after="0" w:line="480" w:lineRule="auto"/>
        <w:ind w:left="567" w:hanging="567"/>
        <w:rPr>
          <w:color w:val="000000"/>
          <w:szCs w:val="24"/>
        </w:rPr>
      </w:pPr>
      <w:r>
        <w:rPr>
          <w:rFonts w:ascii="Tahoma" w:eastAsia="Times New Roman" w:hAnsi="Tahoma" w:cs="Tahoma"/>
          <w:color w:val="000000"/>
          <w:szCs w:val="24"/>
          <w:lang w:eastAsia="en-CA"/>
        </w:rPr>
        <w:t>R</w:t>
      </w:r>
      <w:r w:rsidRPr="00F3322C">
        <w:rPr>
          <w:rFonts w:ascii="Tahoma" w:eastAsia="Times New Roman" w:hAnsi="Tahoma" w:cs="Tahoma"/>
          <w:color w:val="000000"/>
          <w:szCs w:val="24"/>
          <w:lang w:eastAsia="en-CA"/>
        </w:rPr>
        <w:t xml:space="preserve">oberts, R.G., Galbraith, R.F., Yoshida, H., </w:t>
      </w:r>
      <w:proofErr w:type="spellStart"/>
      <w:r w:rsidRPr="00F3322C">
        <w:rPr>
          <w:rFonts w:ascii="Tahoma" w:eastAsia="Times New Roman" w:hAnsi="Tahoma" w:cs="Tahoma"/>
          <w:color w:val="000000"/>
          <w:szCs w:val="24"/>
          <w:lang w:eastAsia="en-CA"/>
        </w:rPr>
        <w:t>Laslett</w:t>
      </w:r>
      <w:proofErr w:type="spellEnd"/>
      <w:r w:rsidRPr="00F3322C">
        <w:rPr>
          <w:rFonts w:ascii="Tahoma" w:eastAsia="Times New Roman" w:hAnsi="Tahoma" w:cs="Tahoma"/>
          <w:color w:val="000000"/>
          <w:szCs w:val="24"/>
          <w:lang w:eastAsia="en-CA"/>
        </w:rPr>
        <w:t xml:space="preserve">, G.M., </w:t>
      </w:r>
      <w:proofErr w:type="spellStart"/>
      <w:r w:rsidRPr="00F3322C">
        <w:rPr>
          <w:rFonts w:ascii="Tahoma" w:eastAsia="Times New Roman" w:hAnsi="Tahoma" w:cs="Tahoma"/>
          <w:color w:val="000000"/>
          <w:szCs w:val="24"/>
          <w:lang w:eastAsia="en-CA"/>
        </w:rPr>
        <w:t>Olley</w:t>
      </w:r>
      <w:proofErr w:type="spellEnd"/>
      <w:r w:rsidRPr="00F3322C">
        <w:rPr>
          <w:rFonts w:ascii="Tahoma" w:eastAsia="Times New Roman" w:hAnsi="Tahoma" w:cs="Tahoma"/>
          <w:color w:val="000000"/>
          <w:szCs w:val="24"/>
          <w:lang w:eastAsia="en-CA"/>
        </w:rPr>
        <w:t>, J.M.</w:t>
      </w:r>
      <w:r>
        <w:rPr>
          <w:rFonts w:ascii="Tahoma" w:eastAsia="Times New Roman" w:hAnsi="Tahoma" w:cs="Tahoma"/>
          <w:color w:val="000000"/>
          <w:szCs w:val="24"/>
          <w:lang w:eastAsia="en-CA"/>
        </w:rPr>
        <w:t>,</w:t>
      </w:r>
      <w:r w:rsidRPr="00F3322C">
        <w:rPr>
          <w:rFonts w:ascii="Tahoma" w:eastAsia="Times New Roman" w:hAnsi="Tahoma" w:cs="Tahoma"/>
          <w:color w:val="000000"/>
          <w:szCs w:val="24"/>
          <w:lang w:eastAsia="en-CA"/>
        </w:rPr>
        <w:t xml:space="preserve"> 2000. Distinguishing does populations in sediment mixtures: a test of single-grain optical dating procedures using mixtures of laboratory dosed quartz. Radiation Measurements 32, 459–465.</w:t>
      </w:r>
    </w:p>
    <w:p w14:paraId="79084358" w14:textId="77777777" w:rsidR="00BF69B5" w:rsidRPr="00FC2529" w:rsidRDefault="00BF69B5" w:rsidP="00BF69B5">
      <w:pPr>
        <w:autoSpaceDE w:val="0"/>
        <w:autoSpaceDN w:val="0"/>
        <w:adjustRightInd w:val="0"/>
        <w:spacing w:after="0" w:line="480" w:lineRule="auto"/>
        <w:ind w:left="567" w:hanging="567"/>
        <w:rPr>
          <w:rFonts w:cs="Arial"/>
          <w:szCs w:val="24"/>
          <w:lang w:val="en-CA"/>
        </w:rPr>
      </w:pPr>
      <w:r w:rsidRPr="00FC2529">
        <w:rPr>
          <w:rFonts w:cs="Arial"/>
          <w:szCs w:val="24"/>
          <w:lang w:val="en-CA"/>
        </w:rPr>
        <w:t xml:space="preserve">Roberts, R.G., and </w:t>
      </w:r>
      <w:proofErr w:type="spellStart"/>
      <w:r w:rsidRPr="00FC2529">
        <w:rPr>
          <w:rFonts w:cs="Arial"/>
          <w:szCs w:val="24"/>
          <w:lang w:val="en-CA"/>
        </w:rPr>
        <w:t>Lian</w:t>
      </w:r>
      <w:proofErr w:type="spellEnd"/>
      <w:r w:rsidRPr="00FC2529">
        <w:rPr>
          <w:rFonts w:cs="Arial"/>
          <w:szCs w:val="24"/>
          <w:lang w:val="en-CA"/>
        </w:rPr>
        <w:t>, O.B.</w:t>
      </w:r>
      <w:r>
        <w:rPr>
          <w:rFonts w:cs="Arial"/>
          <w:szCs w:val="24"/>
          <w:lang w:val="en-CA"/>
        </w:rPr>
        <w:t>,</w:t>
      </w:r>
      <w:r w:rsidRPr="00FC2529">
        <w:rPr>
          <w:rFonts w:cs="Arial"/>
          <w:szCs w:val="24"/>
          <w:lang w:val="en-CA"/>
        </w:rPr>
        <w:t xml:space="preserve"> 2015. Illuminating the past. Nature 520, 438–439.</w:t>
      </w:r>
    </w:p>
    <w:p w14:paraId="4D0C70B1" w14:textId="77777777" w:rsidR="00BF69B5" w:rsidRPr="00FC2529" w:rsidRDefault="00BF69B5" w:rsidP="00BF69B5">
      <w:pPr>
        <w:autoSpaceDE w:val="0"/>
        <w:autoSpaceDN w:val="0"/>
        <w:spacing w:after="0" w:line="480" w:lineRule="auto"/>
        <w:ind w:left="567" w:hanging="567"/>
        <w:rPr>
          <w:rFonts w:cs="Arial"/>
          <w:szCs w:val="24"/>
        </w:rPr>
      </w:pPr>
      <w:r w:rsidRPr="00FC2529">
        <w:rPr>
          <w:rFonts w:cs="Arial"/>
          <w:szCs w:val="24"/>
        </w:rPr>
        <w:t>Robinson, P.</w:t>
      </w:r>
      <w:r>
        <w:rPr>
          <w:rFonts w:cs="Arial"/>
          <w:szCs w:val="24"/>
        </w:rPr>
        <w:t>,</w:t>
      </w:r>
      <w:r w:rsidRPr="00FC2529">
        <w:rPr>
          <w:rFonts w:cs="Arial"/>
          <w:szCs w:val="24"/>
        </w:rPr>
        <w:t xml:space="preserve"> 2003. XRF analysis of flux-fused discs. 5th International Conference on the Analysis of Geological and Environmental Materials (presented paper). Geological Survey of Finland, </w:t>
      </w:r>
      <w:proofErr w:type="spellStart"/>
      <w:r w:rsidRPr="00FC2529">
        <w:rPr>
          <w:rFonts w:cs="Arial"/>
          <w:szCs w:val="24"/>
        </w:rPr>
        <w:t>Rovaniemi</w:t>
      </w:r>
      <w:proofErr w:type="spellEnd"/>
      <w:r w:rsidRPr="00FC2529">
        <w:rPr>
          <w:rFonts w:cs="Arial"/>
          <w:szCs w:val="24"/>
        </w:rPr>
        <w:t xml:space="preserve">, Finland. </w:t>
      </w:r>
    </w:p>
    <w:p w14:paraId="714C1B87" w14:textId="77777777" w:rsidR="00BF69B5" w:rsidRPr="00FC2529" w:rsidRDefault="00BF69B5" w:rsidP="00BF69B5">
      <w:pPr>
        <w:autoSpaceDE w:val="0"/>
        <w:autoSpaceDN w:val="0"/>
        <w:adjustRightInd w:val="0"/>
        <w:spacing w:after="0" w:line="480" w:lineRule="auto"/>
        <w:ind w:left="567" w:hanging="567"/>
        <w:rPr>
          <w:rFonts w:eastAsia="AdvOT863180fb" w:cs="Arial"/>
          <w:szCs w:val="24"/>
        </w:rPr>
      </w:pPr>
      <w:r w:rsidRPr="00FC2529">
        <w:rPr>
          <w:rFonts w:eastAsia="AdvOT863180fb" w:cs="Arial"/>
          <w:szCs w:val="24"/>
        </w:rPr>
        <w:t xml:space="preserve">Shepherd, M.J. and Price, D.M., 1990. </w:t>
      </w:r>
      <w:proofErr w:type="spellStart"/>
      <w:r w:rsidRPr="00FC2529">
        <w:rPr>
          <w:rFonts w:eastAsia="AdvOT863180fb" w:cs="Arial"/>
          <w:szCs w:val="24"/>
        </w:rPr>
        <w:t>Thermoluminescence</w:t>
      </w:r>
      <w:proofErr w:type="spellEnd"/>
      <w:r w:rsidRPr="00FC2529">
        <w:rPr>
          <w:rFonts w:eastAsia="AdvOT863180fb" w:cs="Arial"/>
          <w:szCs w:val="24"/>
        </w:rPr>
        <w:t xml:space="preserve"> dating of Late Quaternary </w:t>
      </w:r>
      <w:proofErr w:type="spellStart"/>
      <w:r w:rsidRPr="00FC2529">
        <w:rPr>
          <w:rFonts w:eastAsia="AdvOT863180fb" w:cs="Arial"/>
          <w:szCs w:val="24"/>
        </w:rPr>
        <w:t>dunesand</w:t>
      </w:r>
      <w:proofErr w:type="spellEnd"/>
      <w:r w:rsidRPr="00FC2529">
        <w:rPr>
          <w:rFonts w:eastAsia="AdvOT863180fb" w:cs="Arial"/>
          <w:szCs w:val="24"/>
        </w:rPr>
        <w:t xml:space="preserve">, </w:t>
      </w:r>
      <w:proofErr w:type="spellStart"/>
      <w:r w:rsidRPr="00FC2529">
        <w:rPr>
          <w:rFonts w:eastAsia="AdvOT863180fb" w:cs="Arial"/>
          <w:szCs w:val="24"/>
        </w:rPr>
        <w:t>Manawata</w:t>
      </w:r>
      <w:proofErr w:type="spellEnd"/>
      <w:r w:rsidRPr="00FC2529">
        <w:rPr>
          <w:rFonts w:eastAsia="AdvOT863180fb" w:cs="Arial"/>
          <w:szCs w:val="24"/>
        </w:rPr>
        <w:t>/</w:t>
      </w:r>
      <w:proofErr w:type="spellStart"/>
      <w:r w:rsidRPr="00FC2529">
        <w:rPr>
          <w:rFonts w:eastAsia="AdvOT863180fb" w:cs="Arial"/>
          <w:szCs w:val="24"/>
        </w:rPr>
        <w:t>Horowhenua</w:t>
      </w:r>
      <w:proofErr w:type="spellEnd"/>
      <w:r w:rsidRPr="00FC2529">
        <w:rPr>
          <w:rFonts w:eastAsia="AdvOT863180fb" w:cs="Arial"/>
          <w:szCs w:val="24"/>
        </w:rPr>
        <w:t xml:space="preserve"> area, New Zealand, a comparison with </w:t>
      </w:r>
      <w:r w:rsidRPr="00FC2529">
        <w:rPr>
          <w:rFonts w:eastAsia="AdvOT863180fb" w:cs="Arial"/>
          <w:szCs w:val="24"/>
          <w:vertAlign w:val="superscript"/>
        </w:rPr>
        <w:t>14</w:t>
      </w:r>
      <w:r w:rsidRPr="00FC2529">
        <w:rPr>
          <w:rFonts w:eastAsia="AdvOT863180fb" w:cs="Arial"/>
          <w:szCs w:val="24"/>
        </w:rPr>
        <w:t>C age determinations. New Zealand Journal of Geology and Geophysics 33, 535–539.</w:t>
      </w:r>
    </w:p>
    <w:p w14:paraId="0FC8F319" w14:textId="77777777" w:rsidR="00BF69B5" w:rsidRPr="00FC2529" w:rsidRDefault="00BF69B5" w:rsidP="00BF69B5">
      <w:pPr>
        <w:spacing w:after="0" w:line="480" w:lineRule="auto"/>
        <w:ind w:left="567" w:hanging="567"/>
        <w:contextualSpacing/>
        <w:rPr>
          <w:rFonts w:cs="Arial"/>
          <w:szCs w:val="24"/>
          <w:lang w:val="en-CA"/>
        </w:rPr>
      </w:pPr>
      <w:r w:rsidRPr="00FC2529">
        <w:rPr>
          <w:rFonts w:cs="Arial"/>
          <w:szCs w:val="24"/>
          <w:lang w:val="en-CA"/>
        </w:rPr>
        <w:t>Shin</w:t>
      </w:r>
      <w:r>
        <w:rPr>
          <w:rFonts w:cs="Arial"/>
          <w:szCs w:val="24"/>
          <w:lang w:val="en-CA"/>
        </w:rPr>
        <w:t>, J.,</w:t>
      </w:r>
      <w:r w:rsidRPr="00FC2529">
        <w:rPr>
          <w:rFonts w:cs="Arial"/>
          <w:szCs w:val="24"/>
          <w:lang w:val="en-CA"/>
        </w:rPr>
        <w:t xml:space="preserve"> 2013</w:t>
      </w:r>
      <w:r>
        <w:rPr>
          <w:rFonts w:cs="Arial"/>
          <w:szCs w:val="24"/>
          <w:lang w:val="en-CA"/>
        </w:rPr>
        <w:t xml:space="preserve">. Stratigraphy and geochronology of Quaternary marine terraces of Tasmania, southeastern Australia: implications on </w:t>
      </w:r>
      <w:proofErr w:type="spellStart"/>
      <w:r>
        <w:rPr>
          <w:rFonts w:cs="Arial"/>
          <w:szCs w:val="24"/>
          <w:lang w:val="en-CA"/>
        </w:rPr>
        <w:t>neotectonism</w:t>
      </w:r>
      <w:proofErr w:type="spellEnd"/>
      <w:r>
        <w:rPr>
          <w:rFonts w:cs="Arial"/>
          <w:szCs w:val="24"/>
          <w:lang w:val="en-CA"/>
        </w:rPr>
        <w:t>. Geosciences Journal 17, 429–443.</w:t>
      </w:r>
    </w:p>
    <w:p w14:paraId="2B22ACAC" w14:textId="77777777" w:rsidR="00BF69B5" w:rsidRPr="00FC2529" w:rsidRDefault="00BF69B5" w:rsidP="00BF69B5">
      <w:pPr>
        <w:spacing w:after="0" w:line="480" w:lineRule="auto"/>
        <w:ind w:left="567" w:hanging="567"/>
        <w:contextualSpacing/>
        <w:rPr>
          <w:rFonts w:cs="Arial"/>
          <w:szCs w:val="24"/>
          <w:lang w:val="en-CA"/>
        </w:rPr>
      </w:pPr>
      <w:proofErr w:type="spellStart"/>
      <w:r w:rsidRPr="00FC2529">
        <w:rPr>
          <w:rFonts w:cs="Arial"/>
          <w:szCs w:val="24"/>
          <w:lang w:val="en-CA"/>
        </w:rPr>
        <w:t>Singhvi</w:t>
      </w:r>
      <w:proofErr w:type="spellEnd"/>
      <w:r w:rsidRPr="00FC2529">
        <w:rPr>
          <w:rFonts w:cs="Arial"/>
          <w:szCs w:val="24"/>
          <w:lang w:val="en-CA"/>
        </w:rPr>
        <w:t>, A.K., Sharma, Y.P. and Agrawal, D.P.</w:t>
      </w:r>
      <w:r>
        <w:rPr>
          <w:rFonts w:cs="Arial"/>
          <w:szCs w:val="24"/>
          <w:lang w:val="en-CA"/>
        </w:rPr>
        <w:t>,</w:t>
      </w:r>
      <w:r w:rsidRPr="00FC2529">
        <w:rPr>
          <w:rFonts w:cs="Arial"/>
          <w:szCs w:val="24"/>
          <w:lang w:val="en-CA"/>
        </w:rPr>
        <w:t xml:space="preserve"> 1982. </w:t>
      </w:r>
      <w:proofErr w:type="spellStart"/>
      <w:r w:rsidRPr="00FC2529">
        <w:rPr>
          <w:rFonts w:cs="Arial"/>
          <w:szCs w:val="24"/>
          <w:lang w:val="en-CA"/>
        </w:rPr>
        <w:t>Thermoluminescence</w:t>
      </w:r>
      <w:proofErr w:type="spellEnd"/>
      <w:r w:rsidRPr="00FC2529">
        <w:rPr>
          <w:rFonts w:cs="Arial"/>
          <w:szCs w:val="24"/>
          <w:lang w:val="en-CA"/>
        </w:rPr>
        <w:t xml:space="preserve"> dating of sand dunes in Rajasthan, India. Nature</w:t>
      </w:r>
      <w:r w:rsidRPr="00FC2529">
        <w:rPr>
          <w:rFonts w:cs="Arial"/>
          <w:i/>
          <w:iCs/>
          <w:szCs w:val="24"/>
          <w:lang w:val="en-CA"/>
        </w:rPr>
        <w:t xml:space="preserve"> </w:t>
      </w:r>
      <w:r w:rsidRPr="00FC2529">
        <w:rPr>
          <w:rFonts w:cs="Arial"/>
          <w:szCs w:val="24"/>
          <w:lang w:val="en-CA"/>
        </w:rPr>
        <w:t xml:space="preserve">295, 313–315. </w:t>
      </w:r>
    </w:p>
    <w:p w14:paraId="6C470ADD" w14:textId="77777777" w:rsidR="00BF69B5" w:rsidRPr="00FC2529" w:rsidRDefault="00BF69B5" w:rsidP="00BF69B5">
      <w:pPr>
        <w:autoSpaceDE w:val="0"/>
        <w:autoSpaceDN w:val="0"/>
        <w:adjustRightInd w:val="0"/>
        <w:spacing w:after="0" w:line="480" w:lineRule="auto"/>
        <w:ind w:left="567" w:hanging="567"/>
        <w:contextualSpacing/>
        <w:rPr>
          <w:rFonts w:eastAsia="AdvOT863180fb" w:cs="Arial"/>
          <w:szCs w:val="24"/>
          <w:lang w:val="en-CA"/>
        </w:rPr>
      </w:pPr>
      <w:proofErr w:type="spellStart"/>
      <w:r w:rsidRPr="00FC2529">
        <w:rPr>
          <w:rFonts w:eastAsia="AdvOT863180fb" w:cs="Arial"/>
          <w:szCs w:val="24"/>
          <w:lang w:val="en-CA"/>
        </w:rPr>
        <w:t>Singhvi</w:t>
      </w:r>
      <w:proofErr w:type="spellEnd"/>
      <w:r w:rsidRPr="00FC2529">
        <w:rPr>
          <w:rFonts w:eastAsia="AdvOT863180fb" w:cs="Arial"/>
          <w:szCs w:val="24"/>
          <w:lang w:val="en-CA"/>
        </w:rPr>
        <w:t xml:space="preserve">, A.K., and </w:t>
      </w:r>
      <w:proofErr w:type="spellStart"/>
      <w:r w:rsidRPr="00FC2529">
        <w:rPr>
          <w:rFonts w:eastAsia="AdvOT863180fb" w:cs="Arial"/>
          <w:szCs w:val="24"/>
          <w:lang w:val="en-CA"/>
        </w:rPr>
        <w:t>Porat</w:t>
      </w:r>
      <w:proofErr w:type="spellEnd"/>
      <w:r w:rsidRPr="00FC2529">
        <w:rPr>
          <w:rFonts w:eastAsia="AdvOT863180fb" w:cs="Arial"/>
          <w:szCs w:val="24"/>
          <w:lang w:val="en-CA"/>
        </w:rPr>
        <w:t>, N.</w:t>
      </w:r>
      <w:r>
        <w:rPr>
          <w:rFonts w:eastAsia="AdvOT863180fb" w:cs="Arial"/>
          <w:szCs w:val="24"/>
          <w:lang w:val="en-CA"/>
        </w:rPr>
        <w:t>,</w:t>
      </w:r>
      <w:r w:rsidRPr="00FC2529">
        <w:rPr>
          <w:rFonts w:eastAsia="AdvOT863180fb" w:cs="Arial"/>
          <w:szCs w:val="24"/>
          <w:lang w:val="en-CA"/>
        </w:rPr>
        <w:t xml:space="preserve"> 2008. Impact of luminescence dating on geomorphological and </w:t>
      </w:r>
      <w:proofErr w:type="spellStart"/>
      <w:r w:rsidRPr="00FC2529">
        <w:rPr>
          <w:rFonts w:eastAsia="AdvOT863180fb" w:cs="Arial"/>
          <w:szCs w:val="24"/>
          <w:lang w:val="en-CA"/>
        </w:rPr>
        <w:t>palaeoclimate</w:t>
      </w:r>
      <w:proofErr w:type="spellEnd"/>
      <w:r w:rsidRPr="00FC2529">
        <w:rPr>
          <w:rFonts w:eastAsia="AdvOT863180fb" w:cs="Arial"/>
          <w:szCs w:val="24"/>
          <w:lang w:val="en-CA"/>
        </w:rPr>
        <w:t xml:space="preserve"> research in drylands. Boreas 37, 536-558.</w:t>
      </w:r>
    </w:p>
    <w:p w14:paraId="7C78ABF4" w14:textId="77777777" w:rsidR="00BF69B5" w:rsidRPr="00FC2529" w:rsidRDefault="00BF69B5" w:rsidP="00BF69B5">
      <w:pPr>
        <w:autoSpaceDE w:val="0"/>
        <w:autoSpaceDN w:val="0"/>
        <w:adjustRightInd w:val="0"/>
        <w:spacing w:after="0" w:line="480" w:lineRule="auto"/>
        <w:ind w:left="567" w:hanging="567"/>
        <w:contextualSpacing/>
        <w:rPr>
          <w:rFonts w:cs="Arial"/>
          <w:szCs w:val="24"/>
          <w:lang w:val="en-CA"/>
        </w:rPr>
      </w:pPr>
      <w:r w:rsidRPr="00FC2529">
        <w:rPr>
          <w:rFonts w:cs="Arial"/>
          <w:szCs w:val="24"/>
          <w:lang w:val="en-CA"/>
        </w:rPr>
        <w:lastRenderedPageBreak/>
        <w:t>Stokes, S.</w:t>
      </w:r>
      <w:r>
        <w:rPr>
          <w:rFonts w:cs="Arial"/>
          <w:szCs w:val="24"/>
          <w:lang w:val="en-CA"/>
        </w:rPr>
        <w:t>,</w:t>
      </w:r>
      <w:r w:rsidRPr="00FC2529">
        <w:rPr>
          <w:rFonts w:cs="Arial"/>
          <w:szCs w:val="24"/>
          <w:lang w:val="en-CA"/>
        </w:rPr>
        <w:t xml:space="preserve"> 1994. The timing of OSL sensitivity changes in a natural quartz. Radiation Measurements 23, 601–605. </w:t>
      </w:r>
    </w:p>
    <w:p w14:paraId="3C69B098" w14:textId="77777777" w:rsidR="00BF69B5" w:rsidRDefault="00BF69B5" w:rsidP="00BF69B5">
      <w:pPr>
        <w:pStyle w:val="References"/>
        <w:spacing w:after="0" w:line="480" w:lineRule="auto"/>
        <w:ind w:left="567" w:hanging="567"/>
        <w:rPr>
          <w:rFonts w:ascii="Arial" w:hAnsi="Arial" w:cs="Arial"/>
        </w:rPr>
      </w:pPr>
      <w:r>
        <w:rPr>
          <w:rFonts w:ascii="Arial" w:hAnsi="Arial" w:cs="Arial"/>
        </w:rPr>
        <w:t>Slee, A.J., McIntosh, P.D., Price, D.M. and Grove, S., 2012. A reassessment of last Interglacial deposits at Mary Ann Bay, Tasmania. Quaternary Australasia 29 (2), 4–11.</w:t>
      </w:r>
    </w:p>
    <w:p w14:paraId="3DA881EC" w14:textId="77777777" w:rsidR="00BF69B5" w:rsidRPr="008D33FA" w:rsidRDefault="00BF69B5" w:rsidP="00BF69B5">
      <w:pPr>
        <w:autoSpaceDE w:val="0"/>
        <w:autoSpaceDN w:val="0"/>
        <w:adjustRightInd w:val="0"/>
        <w:spacing w:after="0" w:line="480" w:lineRule="auto"/>
        <w:ind w:left="567" w:hanging="567"/>
        <w:rPr>
          <w:rFonts w:cs="Arial"/>
          <w:szCs w:val="24"/>
          <w:lang w:val="en-CA"/>
        </w:rPr>
      </w:pPr>
      <w:r w:rsidRPr="008D33FA">
        <w:rPr>
          <w:rFonts w:cs="Arial"/>
          <w:szCs w:val="24"/>
          <w:lang w:val="en-US"/>
        </w:rPr>
        <w:t xml:space="preserve">Wang, X.L., </w:t>
      </w:r>
      <w:proofErr w:type="spellStart"/>
      <w:r w:rsidRPr="008D33FA">
        <w:rPr>
          <w:rFonts w:cs="Arial"/>
          <w:szCs w:val="24"/>
          <w:lang w:val="en-US"/>
        </w:rPr>
        <w:t>Wintle</w:t>
      </w:r>
      <w:proofErr w:type="spellEnd"/>
      <w:r w:rsidRPr="008D33FA">
        <w:rPr>
          <w:rFonts w:cs="Arial"/>
          <w:szCs w:val="24"/>
          <w:lang w:val="en-US"/>
        </w:rPr>
        <w:t>, A.G., and Lu, Y.C., 2006. Thermally transferred luminescence in fine grained quartz from Chinese loess: basic observations. Radiation Measurements 41, 649–658.</w:t>
      </w:r>
      <w:r w:rsidRPr="008D33FA">
        <w:rPr>
          <w:rFonts w:cs="Arial"/>
          <w:szCs w:val="24"/>
          <w:lang w:val="en-CA"/>
        </w:rPr>
        <w:t xml:space="preserve"> </w:t>
      </w:r>
    </w:p>
    <w:p w14:paraId="048D1840" w14:textId="77777777" w:rsidR="00BF69B5" w:rsidRDefault="00BF69B5" w:rsidP="00BF69B5">
      <w:pPr>
        <w:autoSpaceDE w:val="0"/>
        <w:autoSpaceDN w:val="0"/>
        <w:adjustRightInd w:val="0"/>
        <w:spacing w:after="0" w:line="480" w:lineRule="auto"/>
        <w:ind w:left="567" w:hanging="567"/>
        <w:rPr>
          <w:rFonts w:ascii="Tahoma" w:eastAsia="Times New Roman" w:hAnsi="Tahoma" w:cs="Tahoma"/>
          <w:color w:val="231F20"/>
          <w:szCs w:val="24"/>
          <w:lang w:eastAsia="en-CA"/>
        </w:rPr>
      </w:pPr>
      <w:proofErr w:type="spellStart"/>
      <w:r w:rsidRPr="00F3322C">
        <w:rPr>
          <w:rFonts w:ascii="Tahoma" w:eastAsia="Times New Roman" w:hAnsi="Tahoma" w:cs="Tahoma"/>
          <w:color w:val="231F20"/>
          <w:szCs w:val="24"/>
          <w:lang w:eastAsia="en-CA"/>
        </w:rPr>
        <w:t>Wintle</w:t>
      </w:r>
      <w:proofErr w:type="spellEnd"/>
      <w:r w:rsidRPr="00F3322C">
        <w:rPr>
          <w:rFonts w:ascii="Tahoma" w:eastAsia="Times New Roman" w:hAnsi="Tahoma" w:cs="Tahoma"/>
          <w:color w:val="231F20"/>
          <w:szCs w:val="24"/>
          <w:lang w:eastAsia="en-CA"/>
        </w:rPr>
        <w:t>, A.G., 2008. Luminescence dating: where it has been and where it is going. Boreas 37, 471–482.</w:t>
      </w:r>
    </w:p>
    <w:p w14:paraId="33E7F6BD" w14:textId="77777777" w:rsidR="00BF69B5" w:rsidRPr="00FC2529" w:rsidRDefault="00BF69B5" w:rsidP="00BF69B5">
      <w:pPr>
        <w:autoSpaceDE w:val="0"/>
        <w:autoSpaceDN w:val="0"/>
        <w:adjustRightInd w:val="0"/>
        <w:spacing w:after="0" w:line="480" w:lineRule="auto"/>
        <w:ind w:left="567" w:hanging="567"/>
        <w:rPr>
          <w:rFonts w:cs="Arial"/>
          <w:szCs w:val="24"/>
          <w:lang w:val="en-CA"/>
        </w:rPr>
      </w:pPr>
      <w:proofErr w:type="spellStart"/>
      <w:r w:rsidRPr="00FC2529">
        <w:rPr>
          <w:rFonts w:cs="Arial"/>
          <w:szCs w:val="24"/>
          <w:lang w:val="en-CA"/>
        </w:rPr>
        <w:t>Wintle</w:t>
      </w:r>
      <w:proofErr w:type="spellEnd"/>
      <w:r w:rsidRPr="00FC2529">
        <w:rPr>
          <w:rFonts w:cs="Arial"/>
          <w:szCs w:val="24"/>
          <w:lang w:val="en-CA"/>
        </w:rPr>
        <w:t xml:space="preserve">, A.G., Huntley, D.J. 1979a. </w:t>
      </w:r>
      <w:proofErr w:type="spellStart"/>
      <w:r w:rsidRPr="00FC2529">
        <w:rPr>
          <w:rFonts w:cs="Arial"/>
          <w:szCs w:val="24"/>
          <w:lang w:val="en-CA"/>
        </w:rPr>
        <w:t>Thermoluminescence</w:t>
      </w:r>
      <w:proofErr w:type="spellEnd"/>
      <w:r w:rsidRPr="00FC2529">
        <w:rPr>
          <w:rFonts w:cs="Arial"/>
          <w:szCs w:val="24"/>
          <w:lang w:val="en-CA"/>
        </w:rPr>
        <w:t xml:space="preserve"> dating of a deep-sea sediment core. Nature 289, 479–480.</w:t>
      </w:r>
    </w:p>
    <w:p w14:paraId="64F17FEF" w14:textId="77777777" w:rsidR="00BF69B5" w:rsidRPr="00FC2529" w:rsidRDefault="00BF69B5" w:rsidP="00BF69B5">
      <w:pPr>
        <w:autoSpaceDE w:val="0"/>
        <w:autoSpaceDN w:val="0"/>
        <w:adjustRightInd w:val="0"/>
        <w:spacing w:after="0" w:line="480" w:lineRule="auto"/>
        <w:ind w:left="567" w:hanging="567"/>
        <w:rPr>
          <w:rFonts w:cs="Arial"/>
          <w:szCs w:val="24"/>
          <w:lang w:val="en-CA"/>
        </w:rPr>
      </w:pPr>
      <w:proofErr w:type="spellStart"/>
      <w:r w:rsidRPr="00FC2529">
        <w:rPr>
          <w:rFonts w:cs="Arial"/>
          <w:szCs w:val="24"/>
          <w:lang w:val="en-CA"/>
        </w:rPr>
        <w:t>Wintle</w:t>
      </w:r>
      <w:proofErr w:type="spellEnd"/>
      <w:r w:rsidRPr="00FC2529">
        <w:rPr>
          <w:rFonts w:cs="Arial"/>
          <w:szCs w:val="24"/>
          <w:lang w:val="en-CA"/>
        </w:rPr>
        <w:t>, A.G., and Huntley, D.J.</w:t>
      </w:r>
      <w:r>
        <w:rPr>
          <w:rFonts w:cs="Arial"/>
          <w:szCs w:val="24"/>
          <w:lang w:val="en-CA"/>
        </w:rPr>
        <w:t>,</w:t>
      </w:r>
      <w:r w:rsidRPr="00FC2529">
        <w:rPr>
          <w:rFonts w:cs="Arial"/>
          <w:szCs w:val="24"/>
          <w:lang w:val="en-CA"/>
        </w:rPr>
        <w:t xml:space="preserve"> 1979b. </w:t>
      </w:r>
      <w:proofErr w:type="spellStart"/>
      <w:r w:rsidRPr="00FC2529">
        <w:rPr>
          <w:rFonts w:cs="Arial"/>
          <w:szCs w:val="24"/>
          <w:lang w:val="en-CA"/>
        </w:rPr>
        <w:t>Thermoluminescence</w:t>
      </w:r>
      <w:proofErr w:type="spellEnd"/>
      <w:r w:rsidRPr="00FC2529">
        <w:rPr>
          <w:rFonts w:cs="Arial"/>
          <w:szCs w:val="24"/>
          <w:lang w:val="en-CA"/>
        </w:rPr>
        <w:t xml:space="preserve"> dating of sediments. PACT 3, 374–380.</w:t>
      </w:r>
    </w:p>
    <w:p w14:paraId="1FC5D469" w14:textId="77777777" w:rsidR="00BF69B5" w:rsidRPr="00FC2529" w:rsidRDefault="00BF69B5" w:rsidP="00BF69B5">
      <w:pPr>
        <w:autoSpaceDE w:val="0"/>
        <w:autoSpaceDN w:val="0"/>
        <w:adjustRightInd w:val="0"/>
        <w:spacing w:after="0" w:line="480" w:lineRule="auto"/>
        <w:ind w:left="567" w:hanging="567"/>
        <w:rPr>
          <w:rFonts w:cs="Arial"/>
          <w:szCs w:val="24"/>
          <w:lang w:val="en-CA"/>
        </w:rPr>
      </w:pPr>
      <w:proofErr w:type="spellStart"/>
      <w:r w:rsidRPr="00FC2529">
        <w:rPr>
          <w:rFonts w:cs="Arial"/>
          <w:szCs w:val="24"/>
          <w:lang w:val="en-CA"/>
        </w:rPr>
        <w:t>Wintle</w:t>
      </w:r>
      <w:proofErr w:type="spellEnd"/>
      <w:r w:rsidRPr="00FC2529">
        <w:rPr>
          <w:rFonts w:cs="Arial"/>
          <w:szCs w:val="24"/>
          <w:lang w:val="en-CA"/>
        </w:rPr>
        <w:t>, A.G., and Huntley, D.J.</w:t>
      </w:r>
      <w:r>
        <w:rPr>
          <w:rFonts w:cs="Arial"/>
          <w:szCs w:val="24"/>
          <w:lang w:val="en-CA"/>
        </w:rPr>
        <w:t>,</w:t>
      </w:r>
      <w:r w:rsidRPr="00FC2529">
        <w:rPr>
          <w:rFonts w:cs="Arial"/>
          <w:szCs w:val="24"/>
          <w:lang w:val="en-CA"/>
        </w:rPr>
        <w:t xml:space="preserve"> 1980. </w:t>
      </w:r>
      <w:proofErr w:type="spellStart"/>
      <w:r w:rsidRPr="00FC2529">
        <w:rPr>
          <w:rFonts w:cs="Arial"/>
          <w:szCs w:val="24"/>
          <w:lang w:val="en-CA"/>
        </w:rPr>
        <w:t>Thermoluminescence</w:t>
      </w:r>
      <w:proofErr w:type="spellEnd"/>
      <w:r w:rsidRPr="00FC2529">
        <w:rPr>
          <w:rFonts w:cs="Arial"/>
          <w:szCs w:val="24"/>
          <w:lang w:val="en-CA"/>
        </w:rPr>
        <w:t xml:space="preserve"> dating of ocean sediments. Canadian Journal of Earth Sciences 17, 348–360.</w:t>
      </w:r>
    </w:p>
    <w:p w14:paraId="037278CB" w14:textId="77777777" w:rsidR="00BF69B5" w:rsidRPr="008D33FA" w:rsidRDefault="00BF69B5" w:rsidP="00BF69B5">
      <w:pPr>
        <w:autoSpaceDE w:val="0"/>
        <w:autoSpaceDN w:val="0"/>
        <w:adjustRightInd w:val="0"/>
        <w:spacing w:after="0" w:line="480" w:lineRule="auto"/>
        <w:ind w:left="567" w:hanging="567"/>
        <w:rPr>
          <w:rFonts w:cs="Arial"/>
          <w:szCs w:val="24"/>
          <w:lang w:val="en-CA"/>
        </w:rPr>
      </w:pPr>
      <w:proofErr w:type="spellStart"/>
      <w:r w:rsidRPr="00FC2529">
        <w:rPr>
          <w:rFonts w:cs="Arial"/>
          <w:szCs w:val="24"/>
          <w:lang w:val="en-CA"/>
        </w:rPr>
        <w:t>Wintle</w:t>
      </w:r>
      <w:proofErr w:type="spellEnd"/>
      <w:r w:rsidRPr="00FC2529">
        <w:rPr>
          <w:rFonts w:cs="Arial"/>
          <w:szCs w:val="24"/>
          <w:lang w:val="en-CA"/>
        </w:rPr>
        <w:t>, A.G., and Huntley, D.J.</w:t>
      </w:r>
      <w:r>
        <w:rPr>
          <w:rFonts w:cs="Arial"/>
          <w:szCs w:val="24"/>
          <w:lang w:val="en-CA"/>
        </w:rPr>
        <w:t>,</w:t>
      </w:r>
      <w:r w:rsidRPr="00FC2529">
        <w:rPr>
          <w:rFonts w:cs="Arial"/>
          <w:szCs w:val="24"/>
          <w:lang w:val="en-CA"/>
        </w:rPr>
        <w:t xml:space="preserve"> 1982. </w:t>
      </w:r>
      <w:proofErr w:type="spellStart"/>
      <w:r w:rsidRPr="00FC2529">
        <w:rPr>
          <w:rFonts w:cs="Arial"/>
          <w:szCs w:val="24"/>
          <w:lang w:val="en-CA"/>
        </w:rPr>
        <w:t>Thermoluminescence</w:t>
      </w:r>
      <w:proofErr w:type="spellEnd"/>
      <w:r w:rsidRPr="00FC2529">
        <w:rPr>
          <w:rFonts w:cs="Arial"/>
          <w:szCs w:val="24"/>
          <w:lang w:val="en-CA"/>
        </w:rPr>
        <w:t xml:space="preserve"> dating of sediments. Quaternary Science Reviews 1, 31–53.</w:t>
      </w:r>
    </w:p>
    <w:p w14:paraId="5990C382" w14:textId="77777777" w:rsidR="00BF69B5" w:rsidRPr="00B667F8" w:rsidRDefault="00BF69B5" w:rsidP="00BF69B5">
      <w:pPr>
        <w:autoSpaceDE w:val="0"/>
        <w:autoSpaceDN w:val="0"/>
        <w:adjustRightInd w:val="0"/>
        <w:spacing w:after="0" w:line="480" w:lineRule="auto"/>
        <w:ind w:left="567" w:hanging="567"/>
        <w:rPr>
          <w:rFonts w:cs="Arial"/>
          <w:szCs w:val="24"/>
          <w:lang w:val="en-CA"/>
        </w:rPr>
      </w:pPr>
      <w:proofErr w:type="spellStart"/>
      <w:r w:rsidRPr="00FC2529">
        <w:rPr>
          <w:rFonts w:cs="Arial"/>
          <w:szCs w:val="24"/>
          <w:lang w:val="en-CA"/>
        </w:rPr>
        <w:t>Wintle</w:t>
      </w:r>
      <w:proofErr w:type="spellEnd"/>
      <w:r w:rsidRPr="00FC2529">
        <w:rPr>
          <w:rFonts w:cs="Arial"/>
          <w:szCs w:val="24"/>
          <w:lang w:val="en-CA"/>
        </w:rPr>
        <w:t>, A. G., and Murray, A. S.</w:t>
      </w:r>
      <w:r>
        <w:rPr>
          <w:rFonts w:cs="Arial"/>
          <w:szCs w:val="24"/>
          <w:lang w:val="en-CA"/>
        </w:rPr>
        <w:t>,</w:t>
      </w:r>
      <w:r w:rsidRPr="00FC2529">
        <w:rPr>
          <w:rFonts w:cs="Arial"/>
          <w:szCs w:val="24"/>
          <w:lang w:val="en-CA"/>
        </w:rPr>
        <w:t xml:space="preserve"> 2006. A review of quartz optically stimulated luminescence characteristics and their relevance in single-aliquot regeneration dating protocols. Radiation Measurements 41, 369–391.</w:t>
      </w:r>
    </w:p>
    <w:p w14:paraId="21A9422C" w14:textId="77777777" w:rsidR="00987625" w:rsidRDefault="00987625"/>
    <w:sectPr w:rsidR="0098762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AdvOT863180fb">
    <w:altName w:val="MS Mincho"/>
    <w:panose1 w:val="00000000000000000000"/>
    <w:charset w:val="80"/>
    <w:family w:val="auto"/>
    <w:notTrueType/>
    <w:pitch w:val="default"/>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9B5"/>
    <w:rsid w:val="00036922"/>
    <w:rsid w:val="00106BB2"/>
    <w:rsid w:val="0020682F"/>
    <w:rsid w:val="00226BE0"/>
    <w:rsid w:val="00291C92"/>
    <w:rsid w:val="00401E18"/>
    <w:rsid w:val="004E0E5F"/>
    <w:rsid w:val="008E25DF"/>
    <w:rsid w:val="00981394"/>
    <w:rsid w:val="00987625"/>
    <w:rsid w:val="00B4168D"/>
    <w:rsid w:val="00BF69B5"/>
    <w:rsid w:val="00D46BC5"/>
    <w:rsid w:val="00D645F2"/>
    <w:rsid w:val="00EC5B8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E51B3"/>
  <w15:chartTrackingRefBased/>
  <w15:docId w15:val="{0ED9842A-E71E-49E5-99B2-0282B7464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69B5"/>
    <w:pPr>
      <w:spacing w:after="200" w:line="360" w:lineRule="auto"/>
    </w:pPr>
    <w:rPr>
      <w:rFonts w:ascii="Arial" w:hAnsi="Arial"/>
      <w:sz w:val="24"/>
    </w:rPr>
  </w:style>
  <w:style w:type="paragraph" w:styleId="Heading2">
    <w:name w:val="heading 2"/>
    <w:basedOn w:val="Normal"/>
    <w:next w:val="Normal"/>
    <w:link w:val="Heading2Char"/>
    <w:uiPriority w:val="9"/>
    <w:unhideWhenUsed/>
    <w:qFormat/>
    <w:rsid w:val="00BF69B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F69B5"/>
    <w:rPr>
      <w:rFonts w:asciiTheme="majorHAnsi" w:eastAsiaTheme="majorEastAsia" w:hAnsiTheme="majorHAnsi" w:cstheme="majorBidi"/>
      <w:color w:val="2E74B5" w:themeColor="accent1" w:themeShade="BF"/>
      <w:sz w:val="26"/>
      <w:szCs w:val="26"/>
    </w:rPr>
  </w:style>
  <w:style w:type="paragraph" w:styleId="CommentText">
    <w:name w:val="annotation text"/>
    <w:basedOn w:val="Normal"/>
    <w:link w:val="CommentTextChar"/>
    <w:uiPriority w:val="99"/>
    <w:unhideWhenUsed/>
    <w:rsid w:val="00BF69B5"/>
    <w:pPr>
      <w:spacing w:after="0" w:line="240" w:lineRule="auto"/>
      <w:ind w:firstLine="720"/>
    </w:pPr>
    <w:rPr>
      <w:rFonts w:ascii="Times New Roman" w:hAnsi="Times New Roman"/>
      <w:sz w:val="20"/>
      <w:szCs w:val="20"/>
      <w:lang w:val="en-CA"/>
    </w:rPr>
  </w:style>
  <w:style w:type="character" w:customStyle="1" w:styleId="CommentTextChar">
    <w:name w:val="Comment Text Char"/>
    <w:basedOn w:val="DefaultParagraphFont"/>
    <w:link w:val="CommentText"/>
    <w:uiPriority w:val="99"/>
    <w:rsid w:val="00BF69B5"/>
    <w:rPr>
      <w:rFonts w:ascii="Times New Roman" w:hAnsi="Times New Roman"/>
      <w:sz w:val="20"/>
      <w:szCs w:val="20"/>
      <w:lang w:val="en-CA"/>
    </w:rPr>
  </w:style>
  <w:style w:type="character" w:styleId="CommentReference">
    <w:name w:val="annotation reference"/>
    <w:basedOn w:val="DefaultParagraphFont"/>
    <w:uiPriority w:val="99"/>
    <w:semiHidden/>
    <w:unhideWhenUsed/>
    <w:rsid w:val="00BF69B5"/>
    <w:rPr>
      <w:sz w:val="16"/>
      <w:szCs w:val="16"/>
    </w:rPr>
  </w:style>
  <w:style w:type="table" w:styleId="TableGrid">
    <w:name w:val="Table Grid"/>
    <w:basedOn w:val="TableNormal"/>
    <w:uiPriority w:val="39"/>
    <w:rsid w:val="00BF69B5"/>
    <w:pPr>
      <w:spacing w:after="0" w:line="240" w:lineRule="auto"/>
    </w:pPr>
    <w:rPr>
      <w:lang w:val="en-C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F69B5"/>
    <w:rPr>
      <w:color w:val="0563C1" w:themeColor="hyperlink"/>
      <w:u w:val="single"/>
    </w:rPr>
  </w:style>
  <w:style w:type="paragraph" w:customStyle="1" w:styleId="References">
    <w:name w:val="References"/>
    <w:basedOn w:val="Normal"/>
    <w:qFormat/>
    <w:rsid w:val="00BF69B5"/>
    <w:pPr>
      <w:spacing w:after="120" w:line="240" w:lineRule="auto"/>
      <w:ind w:left="720" w:hanging="720"/>
    </w:pPr>
    <w:rPr>
      <w:rFonts w:ascii="Times New Roman" w:hAnsi="Times New Roman"/>
      <w:noProof/>
      <w:szCs w:val="24"/>
      <w:lang w:val="en-CA"/>
    </w:rPr>
  </w:style>
  <w:style w:type="paragraph" w:styleId="BalloonText">
    <w:name w:val="Balloon Text"/>
    <w:basedOn w:val="Normal"/>
    <w:link w:val="BalloonTextChar"/>
    <w:uiPriority w:val="99"/>
    <w:semiHidden/>
    <w:unhideWhenUsed/>
    <w:rsid w:val="00BF69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69B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2966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file:///C:\Users\p-mcintosh\AppData\Local\Microsoft\Windows\INetCache\Content.Outlook\T9P06MZ1\Bernard%20Walker%20Thesis%20Final.docx" TargetMode="External"/><Relationship Id="rId4" Type="http://schemas.openxmlformats.org/officeDocument/2006/relationships/hyperlink" Target="file:///C:\Users\p-mcintosh\AppData\Local\Microsoft\Windows\INetCache\Content.Outlook\T9P06MZ1\Bernard%20Walker%20Thesis%20Final.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5684</Words>
  <Characters>32402</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Department of State Growth</Company>
  <LinksUpToDate>false</LinksUpToDate>
  <CharactersWithSpaces>38010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McIntosh, Peter</dc:creator>
  <cp:keywords/>
  <dc:description/>
  <cp:lastModifiedBy>McIntosh, Peter</cp:lastModifiedBy>
  <cp:revision>3</cp:revision>
  <dcterms:created xsi:type="dcterms:W3CDTF">2020-09-17T05:59:00Z</dcterms:created>
  <dcterms:modified xsi:type="dcterms:W3CDTF">2020-09-17T06:00:00Z</dcterms:modified>
</cp:coreProperties>
</file>