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04" w:rsidRDefault="00E65B04" w:rsidP="00E65B04">
      <w:pPr>
        <w:rPr>
          <w:rFonts w:ascii="Times" w:hAnsi="Times"/>
        </w:rPr>
      </w:pPr>
      <w:r>
        <w:rPr>
          <w:rFonts w:ascii="Times New Roman" w:eastAsia="Times New Roman" w:hAnsi="Times New Roman" w:cs="Times New Roman"/>
          <w:lang w:eastAsia="es-ES_tradnl"/>
        </w:rPr>
        <w:t xml:space="preserve">Supplementary Table 2. </w:t>
      </w:r>
      <w:r>
        <w:rPr>
          <w:rFonts w:ascii="Times" w:hAnsi="Times"/>
        </w:rPr>
        <w:t xml:space="preserve">Analyses </w:t>
      </w:r>
      <w:r w:rsidRPr="0051252A">
        <w:rPr>
          <w:rFonts w:ascii="Times" w:hAnsi="Times"/>
        </w:rPr>
        <w:t>of salts in sediments</w:t>
      </w:r>
      <w:r>
        <w:rPr>
          <w:rFonts w:ascii="Times" w:hAnsi="Times"/>
        </w:rPr>
        <w:t xml:space="preserve"> (</w:t>
      </w:r>
      <w:r>
        <w:rPr>
          <w:rFonts w:ascii="Times" w:hAnsi="Times"/>
        </w:rPr>
        <w:sym w:font="Symbol" w:char="F03C"/>
      </w:r>
      <w:r>
        <w:rPr>
          <w:rFonts w:ascii="Times" w:hAnsi="Times"/>
        </w:rPr>
        <w:t>2 mm fraction), performed by the Arizona Laboratory for Emerging Contaminants (ALEC) at the University of Arizona, Tucson, AZ. Sulfate, nitrate and chloride concentrations in aqueous solutions were determined with ion chromatography (IC), whereas Na, and Ca cations were determined with Inductively Coupled Plasma Mass Spectrometry (ICP-MS). All results are expressed in µmol g.</w:t>
      </w:r>
    </w:p>
    <w:p w:rsidR="00E65B04" w:rsidRDefault="00E65B04" w:rsidP="00E65B04">
      <w:pPr>
        <w:rPr>
          <w:rFonts w:ascii="Times" w:hAnsi="Times"/>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045"/>
        <w:gridCol w:w="1300"/>
        <w:gridCol w:w="1300"/>
        <w:gridCol w:w="1300"/>
        <w:gridCol w:w="1300"/>
      </w:tblGrid>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rPr>
                <w:rFonts w:ascii="Times" w:eastAsia="Times New Roman" w:hAnsi="Times" w:cs="Times New Roman"/>
                <w:sz w:val="22"/>
                <w:szCs w:val="22"/>
                <w:lang w:eastAsia="es-ES_tradnl"/>
              </w:rPr>
            </w:pP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Na</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Cl</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NO</w:t>
            </w:r>
            <w:r w:rsidRPr="001C5069">
              <w:rPr>
                <w:rFonts w:ascii="Times" w:eastAsia="Times New Roman" w:hAnsi="Times" w:cs="Arial"/>
                <w:b/>
                <w:bCs/>
                <w:sz w:val="22"/>
                <w:szCs w:val="22"/>
                <w:vertAlign w:val="subscript"/>
                <w:lang w:val="es-CL" w:eastAsia="es-ES_tradnl"/>
              </w:rPr>
              <w:t>3</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Ca</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SO</w:t>
            </w:r>
            <w:r w:rsidRPr="001C5069">
              <w:rPr>
                <w:rFonts w:ascii="Times" w:eastAsia="Times New Roman" w:hAnsi="Times" w:cs="Arial"/>
                <w:b/>
                <w:bCs/>
                <w:sz w:val="22"/>
                <w:szCs w:val="22"/>
                <w:vertAlign w:val="subscript"/>
                <w:lang w:val="es-CL" w:eastAsia="es-ES_tradnl"/>
              </w:rPr>
              <w:t>4</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Depth cm</w:t>
            </w:r>
            <w:r>
              <w:rPr>
                <w:rFonts w:ascii="Times" w:eastAsia="Times New Roman" w:hAnsi="Times" w:cs="Arial"/>
                <w:b/>
                <w:bCs/>
                <w:sz w:val="22"/>
                <w:szCs w:val="22"/>
                <w:lang w:val="es-CL" w:eastAsia="es-ES_tradnl"/>
              </w:rPr>
              <w:t>/Site</w:t>
            </w:r>
          </w:p>
        </w:tc>
        <w:tc>
          <w:tcPr>
            <w:tcW w:w="1045" w:type="dxa"/>
            <w:tcBorders>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T3</w:t>
            </w: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0,0209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0,0001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0,0153</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0,0339</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0,0209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0,0001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0,0153</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0,0339</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0,0133</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0,0014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0,0393</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0,0565</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0,0368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0,0033</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0,0025</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0,0414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0,0492</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20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0,0300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0,0019</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0,0008</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0,0388</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0,0281</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25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0,0216</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0,0079</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0,0219</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0,0312</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0,0253</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0,0075</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0,0221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0,0325</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0,0359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0,0027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0,0017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0,0578</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0,0954</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40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0,0261</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0,0044</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0,0054</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0,0537</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0,0671</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p>
        </w:tc>
        <w:tc>
          <w:tcPr>
            <w:tcW w:w="1045" w:type="dxa"/>
            <w:tcBorders>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T2</w:t>
            </w: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0,0220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0,0031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0,0096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0,1589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0,1754</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0,0220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0,0031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0,0096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0,1589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0,1754</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0,1796</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0,0555</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0,0068</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0,0539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0,0978</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0,1796</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0,0555</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0,0068</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0,0539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0,0978</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20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0,1796</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0,0555</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0,0068</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0,0539</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0,0978</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p>
        </w:tc>
        <w:tc>
          <w:tcPr>
            <w:tcW w:w="1045" w:type="dxa"/>
            <w:tcBorders>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T3</w:t>
            </w: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0,1681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0,0076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0,0127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0,1598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0,2180</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0,1681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0,0076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0,0127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0,1598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0,2180</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0,0228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0,0035</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0,0094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0,1591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0,1789</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0,0518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0,0070</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0,0117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0,1525</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0,1793</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20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7,8670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0,0597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0,0214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0,1468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3,3911</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25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1,0411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0,2170</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0,0205</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0,1332</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0,5021</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3,6375</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0,1310</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0,0224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0,1201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1,5797</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9,0272</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0,0781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0,0338</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0,1197</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7,6201</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40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3,5155</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0,1512</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0,0145</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0,1266</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1,4624</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p>
        </w:tc>
        <w:tc>
          <w:tcPr>
            <w:tcW w:w="1045" w:type="dxa"/>
            <w:tcBorders>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QM12c</w:t>
            </w: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r>
      <w:tr w:rsidR="00E65B04" w:rsidRPr="001C5069" w:rsidTr="001C2000">
        <w:trPr>
          <w:trHeight w:val="28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0,0984</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0,0174</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0,0111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0,1367</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0,1661</w:t>
            </w:r>
          </w:p>
        </w:tc>
      </w:tr>
      <w:tr w:rsidR="00E65B04" w:rsidRPr="001C5069" w:rsidTr="001C2000">
        <w:trPr>
          <w:trHeight w:val="28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0,0984</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0,0174</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0,0111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0,1367</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0,1661</w:t>
            </w:r>
          </w:p>
        </w:tc>
      </w:tr>
      <w:tr w:rsidR="00E65B04" w:rsidRPr="001C5069" w:rsidTr="001C2000">
        <w:trPr>
          <w:trHeight w:val="280"/>
          <w:jc w:val="center"/>
        </w:trPr>
        <w:tc>
          <w:tcPr>
            <w:tcW w:w="1555"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7</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0,1132</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0,0243</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0,0041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0,0982</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0,1700</w:t>
            </w:r>
          </w:p>
        </w:tc>
      </w:tr>
      <w:tr w:rsidR="00E65B04" w:rsidRPr="001C5069" w:rsidTr="001C2000">
        <w:trPr>
          <w:trHeight w:val="280"/>
          <w:jc w:val="center"/>
        </w:trPr>
        <w:tc>
          <w:tcPr>
            <w:tcW w:w="1555"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30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0,0885</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0,0250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0,0072</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0,1420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0,1688</w:t>
            </w:r>
          </w:p>
        </w:tc>
      </w:tr>
      <w:tr w:rsidR="00E65B04" w:rsidRPr="001C5069" w:rsidTr="001C2000">
        <w:trPr>
          <w:trHeight w:val="280"/>
          <w:jc w:val="center"/>
        </w:trPr>
        <w:tc>
          <w:tcPr>
            <w:tcW w:w="1555"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40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4,8012</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0,0972</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0,0223</w:t>
            </w:r>
          </w:p>
        </w:tc>
        <w:tc>
          <w:tcPr>
            <w:tcW w:w="1300" w:type="dxa"/>
            <w:tcBorders>
              <w:bottom w:val="single" w:sz="4" w:space="0" w:color="auto"/>
            </w:tcBorders>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0,1956</w:t>
            </w:r>
          </w:p>
        </w:tc>
        <w:tc>
          <w:tcPr>
            <w:tcW w:w="1300" w:type="dxa"/>
            <w:tcBorders>
              <w:bottom w:val="single" w:sz="4" w:space="0" w:color="auto"/>
            </w:tcBorders>
            <w:shd w:val="clear" w:color="auto" w:fill="auto"/>
            <w:noWrap/>
            <w:vAlign w:val="center"/>
            <w:hideMark/>
          </w:tcPr>
          <w:p w:rsidR="00E65B04" w:rsidRPr="001C5069" w:rsidRDefault="00E65B04" w:rsidP="001C2000">
            <w:pPr>
              <w:jc w:val="center"/>
              <w:rPr>
                <w:rFonts w:ascii="Times" w:eastAsia="Times New Roman" w:hAnsi="Times" w:cs="Calibri"/>
                <w:sz w:val="22"/>
                <w:szCs w:val="22"/>
                <w:lang w:val="es-CL" w:eastAsia="es-ES_tradnl"/>
              </w:rPr>
            </w:pPr>
            <w:r w:rsidRPr="001C5069">
              <w:rPr>
                <w:rFonts w:ascii="Times" w:eastAsia="Times New Roman" w:hAnsi="Times" w:cs="Calibri"/>
                <w:sz w:val="22"/>
                <w:szCs w:val="22"/>
                <w:lang w:val="es-CL" w:eastAsia="es-ES_tradnl"/>
              </w:rPr>
              <w:t>2,0754</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Calibri"/>
                <w:sz w:val="22"/>
                <w:szCs w:val="22"/>
                <w:lang w:val="es-CL" w:eastAsia="es-ES_tradnl"/>
              </w:rPr>
            </w:pPr>
          </w:p>
        </w:tc>
        <w:tc>
          <w:tcPr>
            <w:tcW w:w="1045" w:type="dxa"/>
            <w:tcBorders>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r w:rsidRPr="001C5069">
              <w:rPr>
                <w:rFonts w:ascii="Times" w:eastAsia="Times New Roman" w:hAnsi="Times" w:cs="Arial"/>
                <w:b/>
                <w:bCs/>
                <w:sz w:val="22"/>
                <w:szCs w:val="22"/>
                <w:lang w:val="es-CL" w:eastAsia="es-ES_tradnl"/>
              </w:rPr>
              <w:t>QM12d</w:t>
            </w: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Arial"/>
                <w:b/>
                <w:bCs/>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righ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c>
          <w:tcPr>
            <w:tcW w:w="1300" w:type="dxa"/>
            <w:tcBorders>
              <w:left w:val="nil"/>
            </w:tcBorders>
            <w:shd w:val="clear" w:color="auto" w:fill="auto"/>
            <w:noWrap/>
            <w:vAlign w:val="bottom"/>
            <w:hideMark/>
          </w:tcPr>
          <w:p w:rsidR="00E65B04" w:rsidRPr="001C5069" w:rsidRDefault="00E65B04" w:rsidP="001C2000">
            <w:pPr>
              <w:jc w:val="center"/>
              <w:rPr>
                <w:rFonts w:ascii="Times" w:eastAsia="Times New Roman" w:hAnsi="Times" w:cs="Times New Roman"/>
                <w:sz w:val="22"/>
                <w:szCs w:val="22"/>
                <w:lang w:val="es-CL" w:eastAsia="es-ES_tradnl"/>
              </w:rPr>
            </w:pP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0,1261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0,0180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0,0115</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0,0937</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0,1401</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5</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0,1469</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0,0453</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0,0086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0,0841</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0,1262</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14</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0,1820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0,0700</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0,0121</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0,1998</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0,1845</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17</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1,1100</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0,1857</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0,0135</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0,1914</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0,5187</w:t>
            </w:r>
          </w:p>
        </w:tc>
      </w:tr>
      <w:tr w:rsidR="00E65B04" w:rsidRPr="001C5069" w:rsidTr="001C2000">
        <w:trPr>
          <w:trHeight w:val="260"/>
          <w:jc w:val="center"/>
        </w:trPr>
        <w:tc>
          <w:tcPr>
            <w:tcW w:w="155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23</w:t>
            </w:r>
          </w:p>
        </w:tc>
        <w:tc>
          <w:tcPr>
            <w:tcW w:w="1045"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4,5374</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0,0196</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0,0136</w:t>
            </w:r>
          </w:p>
        </w:tc>
        <w:tc>
          <w:tcPr>
            <w:tcW w:w="1300" w:type="dxa"/>
            <w:shd w:val="clear" w:color="auto" w:fill="auto"/>
            <w:noWrap/>
            <w:vAlign w:val="bottom"/>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0,1544</w:t>
            </w:r>
          </w:p>
        </w:tc>
        <w:tc>
          <w:tcPr>
            <w:tcW w:w="1300" w:type="dxa"/>
            <w:shd w:val="clear" w:color="auto" w:fill="auto"/>
            <w:noWrap/>
            <w:vAlign w:val="center"/>
            <w:hideMark/>
          </w:tcPr>
          <w:p w:rsidR="00E65B04" w:rsidRPr="001C5069" w:rsidRDefault="00E65B04" w:rsidP="001C2000">
            <w:pPr>
              <w:jc w:val="center"/>
              <w:rPr>
                <w:rFonts w:ascii="Times" w:eastAsia="Times New Roman" w:hAnsi="Times" w:cs="Arial"/>
                <w:sz w:val="22"/>
                <w:szCs w:val="22"/>
                <w:lang w:val="es-CL" w:eastAsia="es-ES_tradnl"/>
              </w:rPr>
            </w:pPr>
            <w:r w:rsidRPr="001C5069">
              <w:rPr>
                <w:rFonts w:ascii="Times" w:eastAsia="Times New Roman" w:hAnsi="Times" w:cs="Arial"/>
                <w:sz w:val="22"/>
                <w:szCs w:val="22"/>
                <w:lang w:val="es-CL" w:eastAsia="es-ES_tradnl"/>
              </w:rPr>
              <w:t>1,9181</w:t>
            </w:r>
          </w:p>
        </w:tc>
      </w:tr>
    </w:tbl>
    <w:p w:rsidR="00386BFB" w:rsidRDefault="00386BFB">
      <w:bookmarkStart w:id="0" w:name="_GoBack"/>
      <w:bookmarkEnd w:id="0"/>
    </w:p>
    <w:sectPr w:rsidR="00386BFB" w:rsidSect="008E49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04"/>
    <w:rsid w:val="00386BFB"/>
    <w:rsid w:val="00DF6B56"/>
    <w:rsid w:val="00E65B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F66C780"/>
  <w15:chartTrackingRefBased/>
  <w15:docId w15:val="{B9E1BBE3-42CC-C546-BDDA-12DD14DA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B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Ugalde, Paula Carolina - (paulaugalde)</dc:creator>
  <cp:keywords/>
  <dc:description/>
  <cp:lastModifiedBy>Ugalde, Paula Carolina - (paulaugalde)</cp:lastModifiedBy>
  <cp:revision>1</cp:revision>
  <dcterms:created xsi:type="dcterms:W3CDTF">2019-07-14T00:37:00Z</dcterms:created>
  <dcterms:modified xsi:type="dcterms:W3CDTF">2019-07-14T00:37:00Z</dcterms:modified>
</cp:coreProperties>
</file>