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C697" w14:textId="275DAB5B" w:rsidR="00B77B94" w:rsidRPr="00233E35" w:rsidRDefault="00B77B94" w:rsidP="00B77B94">
      <w:pPr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233E35">
        <w:rPr>
          <w:rFonts w:ascii="Times New Roman" w:hAnsi="Times New Roman" w:cs="Times New Roman"/>
          <w:b/>
          <w:szCs w:val="24"/>
          <w:lang w:val="en-US"/>
        </w:rPr>
        <w:t>Supporting Online Material</w:t>
      </w:r>
    </w:p>
    <w:p w14:paraId="6B841FAC" w14:textId="4F1B6288" w:rsidR="00151C97" w:rsidRPr="00233E35" w:rsidRDefault="009F5CF7" w:rsidP="00B77B94">
      <w:pPr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233E35">
        <w:rPr>
          <w:rFonts w:ascii="Times New Roman" w:hAnsi="Times New Roman" w:cs="Times New Roman"/>
          <w:b/>
          <w:szCs w:val="24"/>
          <w:lang w:val="en-US"/>
        </w:rPr>
        <w:t xml:space="preserve">Portable </w:t>
      </w:r>
      <w:r w:rsidR="00151C97" w:rsidRPr="00233E35">
        <w:rPr>
          <w:rFonts w:ascii="Times New Roman" w:hAnsi="Times New Roman" w:cs="Times New Roman"/>
          <w:b/>
          <w:szCs w:val="24"/>
          <w:lang w:val="en-US"/>
        </w:rPr>
        <w:t xml:space="preserve">X-Ray Fluorescence Analysis </w:t>
      </w:r>
      <w:r w:rsidRPr="00233E35">
        <w:rPr>
          <w:rFonts w:ascii="Times New Roman" w:hAnsi="Times New Roman" w:cs="Times New Roman"/>
          <w:b/>
          <w:szCs w:val="24"/>
          <w:lang w:val="en-US"/>
        </w:rPr>
        <w:t>Calibration</w:t>
      </w:r>
      <w:r w:rsidR="00B77B94" w:rsidRPr="00233E35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14:paraId="09F0BB7C" w14:textId="0368926E" w:rsidR="00B77B94" w:rsidRPr="00233E35" w:rsidRDefault="00B77B94" w:rsidP="00B77B94">
      <w:pPr>
        <w:rPr>
          <w:rFonts w:ascii="Times New Roman" w:hAnsi="Times New Roman" w:cs="Times New Roman"/>
          <w:szCs w:val="24"/>
          <w:lang w:val="en-US"/>
        </w:rPr>
      </w:pPr>
      <w:r w:rsidRPr="00233E35">
        <w:rPr>
          <w:rFonts w:ascii="Times New Roman" w:hAnsi="Times New Roman" w:cs="Times New Roman"/>
          <w:szCs w:val="24"/>
          <w:lang w:val="en-US"/>
        </w:rPr>
        <w:t>Geochemical analys</w:t>
      </w:r>
      <w:r w:rsidR="000E6C66" w:rsidRPr="00233E35">
        <w:rPr>
          <w:rFonts w:ascii="Times New Roman" w:hAnsi="Times New Roman" w:cs="Times New Roman"/>
          <w:szCs w:val="24"/>
          <w:lang w:val="en-US"/>
        </w:rPr>
        <w:t>e</w:t>
      </w:r>
      <w:r w:rsidRPr="00233E35">
        <w:rPr>
          <w:rFonts w:ascii="Times New Roman" w:hAnsi="Times New Roman" w:cs="Times New Roman"/>
          <w:szCs w:val="24"/>
          <w:lang w:val="en-US"/>
        </w:rPr>
        <w:t>s of the obsidian specimens w</w:t>
      </w:r>
      <w:r w:rsidR="000E6C66" w:rsidRPr="00233E35">
        <w:rPr>
          <w:rFonts w:ascii="Times New Roman" w:hAnsi="Times New Roman" w:cs="Times New Roman"/>
          <w:szCs w:val="24"/>
          <w:lang w:val="en-US"/>
        </w:rPr>
        <w:t>ere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carried out at </w:t>
      </w:r>
      <w:r w:rsidR="00B01EBB" w:rsidRPr="00233E35">
        <w:rPr>
          <w:rFonts w:ascii="Times New Roman" w:hAnsi="Times New Roman" w:cs="Times New Roman"/>
          <w:lang w:val="en-US"/>
        </w:rPr>
        <w:t>Bishop Museum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using a Bruker Tracer III SD portable X-ray Fluorescence analy</w:t>
      </w:r>
      <w:r w:rsidR="00233E35">
        <w:rPr>
          <w:rFonts w:ascii="Times New Roman" w:hAnsi="Times New Roman" w:cs="Times New Roman"/>
          <w:szCs w:val="24"/>
          <w:lang w:val="en-US"/>
        </w:rPr>
        <w:t>z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er (pXRF). The instrument employs an </w:t>
      </w:r>
      <w:r w:rsidR="00067563" w:rsidRPr="00233E35">
        <w:rPr>
          <w:rFonts w:ascii="Times New Roman" w:hAnsi="Times New Roman" w:cs="Times New Roman"/>
          <w:szCs w:val="24"/>
          <w:lang w:val="en-US"/>
        </w:rPr>
        <w:t>x</w:t>
      </w:r>
      <w:r w:rsidRPr="00233E35">
        <w:rPr>
          <w:rFonts w:ascii="Times New Roman" w:hAnsi="Times New Roman" w:cs="Times New Roman"/>
          <w:szCs w:val="24"/>
          <w:lang w:val="en-US"/>
        </w:rPr>
        <w:t>-ray tube with a Rh target and a 10 mm</w:t>
      </w:r>
      <w:r w:rsidRPr="00233E35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silicon drift detector (SDD) with a typical resolution of 145 eV at 100,000 cps. Samples were analy</w:t>
      </w:r>
      <w:r w:rsidR="00233E35">
        <w:rPr>
          <w:rFonts w:ascii="Times New Roman" w:hAnsi="Times New Roman" w:cs="Times New Roman"/>
          <w:szCs w:val="24"/>
          <w:lang w:val="en-US"/>
        </w:rPr>
        <w:t>z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ed in an air path through </w:t>
      </w:r>
      <w:r w:rsidR="00067563" w:rsidRPr="00233E35">
        <w:rPr>
          <w:rFonts w:ascii="Times New Roman" w:hAnsi="Times New Roman" w:cs="Times New Roman"/>
          <w:szCs w:val="24"/>
          <w:lang w:val="en-US"/>
        </w:rPr>
        <w:t xml:space="preserve">Bruker's "green" filter, which is </w:t>
      </w:r>
      <w:r w:rsidRPr="00233E35">
        <w:rPr>
          <w:rFonts w:ascii="Times New Roman" w:hAnsi="Times New Roman" w:cs="Times New Roman"/>
          <w:szCs w:val="24"/>
          <w:lang w:val="en-US"/>
        </w:rPr>
        <w:t>composed of a 304.8</w:t>
      </w:r>
      <w:r w:rsidR="00B01EBB" w:rsidRPr="00233E35">
        <w:rPr>
          <w:rFonts w:ascii="Times New Roman" w:hAnsi="Times New Roman" w:cs="Times New Roman"/>
          <w:szCs w:val="24"/>
          <w:lang w:val="en-US"/>
        </w:rPr>
        <w:t xml:space="preserve"> 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µm </w:t>
      </w:r>
      <w:r w:rsidR="00B01EBB" w:rsidRPr="00233E35">
        <w:rPr>
          <w:rFonts w:ascii="Times New Roman" w:hAnsi="Times New Roman" w:cs="Times New Roman"/>
          <w:szCs w:val="24"/>
          <w:lang w:val="en-US"/>
        </w:rPr>
        <w:t xml:space="preserve">(12 mil) </w:t>
      </w:r>
      <w:r w:rsidRPr="00233E35">
        <w:rPr>
          <w:rFonts w:ascii="Times New Roman" w:hAnsi="Times New Roman" w:cs="Times New Roman"/>
          <w:szCs w:val="24"/>
          <w:lang w:val="en-US"/>
        </w:rPr>
        <w:t>layer of Al</w:t>
      </w:r>
      <w:r w:rsidR="00B01EBB" w:rsidRPr="00233E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233E35">
        <w:rPr>
          <w:rFonts w:ascii="Times New Roman" w:hAnsi="Times New Roman" w:cs="Times New Roman"/>
          <w:szCs w:val="24"/>
          <w:lang w:val="en-US"/>
        </w:rPr>
        <w:t>a 25.4</w:t>
      </w:r>
      <w:r w:rsidR="00B01EBB" w:rsidRPr="00233E35">
        <w:rPr>
          <w:rFonts w:ascii="Times New Roman" w:hAnsi="Times New Roman" w:cs="Times New Roman"/>
          <w:szCs w:val="24"/>
          <w:lang w:val="en-US"/>
        </w:rPr>
        <w:t xml:space="preserve"> </w:t>
      </w:r>
      <w:r w:rsidRPr="00233E35">
        <w:rPr>
          <w:rFonts w:ascii="Times New Roman" w:hAnsi="Times New Roman" w:cs="Times New Roman"/>
          <w:szCs w:val="24"/>
          <w:lang w:val="en-US"/>
        </w:rPr>
        <w:t>µm</w:t>
      </w:r>
      <w:r w:rsidR="00067563" w:rsidRPr="00233E35">
        <w:rPr>
          <w:rFonts w:ascii="Times New Roman" w:hAnsi="Times New Roman" w:cs="Times New Roman"/>
          <w:szCs w:val="24"/>
          <w:lang w:val="en-US"/>
        </w:rPr>
        <w:t xml:space="preserve"> (1 mil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) layer of Ti </w:t>
      </w:r>
      <w:r w:rsidR="00B01EBB" w:rsidRPr="00233E35">
        <w:rPr>
          <w:rFonts w:ascii="Times New Roman" w:hAnsi="Times New Roman" w:cs="Times New Roman"/>
          <w:szCs w:val="24"/>
          <w:lang w:val="en-US"/>
        </w:rPr>
        <w:t>and a 152.4 µm</w:t>
      </w:r>
      <w:r w:rsidR="00067563" w:rsidRPr="00233E35">
        <w:rPr>
          <w:rFonts w:ascii="Times New Roman" w:hAnsi="Times New Roman" w:cs="Times New Roman"/>
          <w:szCs w:val="24"/>
          <w:lang w:val="en-US"/>
        </w:rPr>
        <w:t xml:space="preserve"> (6 mil)</w:t>
      </w:r>
      <w:r w:rsidR="00B01EBB" w:rsidRPr="00233E35">
        <w:rPr>
          <w:rFonts w:ascii="Times New Roman" w:hAnsi="Times New Roman" w:cs="Times New Roman"/>
          <w:szCs w:val="24"/>
          <w:lang w:val="en-US"/>
        </w:rPr>
        <w:t xml:space="preserve"> layer of Cu</w:t>
      </w:r>
      <w:r w:rsidR="00067563" w:rsidRPr="00233E35">
        <w:rPr>
          <w:rFonts w:ascii="Times New Roman" w:hAnsi="Times New Roman" w:cs="Times New Roman"/>
          <w:szCs w:val="24"/>
          <w:lang w:val="en-US"/>
        </w:rPr>
        <w:t>. All samples were analy</w:t>
      </w:r>
      <w:r w:rsidR="00233E35">
        <w:rPr>
          <w:rFonts w:ascii="Times New Roman" w:hAnsi="Times New Roman" w:cs="Times New Roman"/>
          <w:szCs w:val="24"/>
          <w:lang w:val="en-US"/>
        </w:rPr>
        <w:t>z</w:t>
      </w:r>
      <w:r w:rsidR="00067563" w:rsidRPr="00233E35">
        <w:rPr>
          <w:rFonts w:ascii="Times New Roman" w:hAnsi="Times New Roman" w:cs="Times New Roman"/>
          <w:szCs w:val="24"/>
          <w:lang w:val="en-US"/>
        </w:rPr>
        <w:t>ed for 300 seconds, with a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n </w:t>
      </w:r>
      <w:r w:rsidR="00067563" w:rsidRPr="00233E35">
        <w:rPr>
          <w:rFonts w:ascii="Times New Roman" w:hAnsi="Times New Roman" w:cs="Times New Roman"/>
          <w:szCs w:val="24"/>
          <w:lang w:val="en-US"/>
        </w:rPr>
        <w:t>x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-ray tube setting of 40 keV at </w:t>
      </w:r>
      <w:r w:rsidR="00B01EBB" w:rsidRPr="00233E35">
        <w:rPr>
          <w:rFonts w:ascii="Times New Roman" w:hAnsi="Times New Roman" w:cs="Times New Roman"/>
          <w:szCs w:val="24"/>
          <w:lang w:val="en-US"/>
        </w:rPr>
        <w:t xml:space="preserve">26 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µA. </w:t>
      </w:r>
    </w:p>
    <w:p w14:paraId="19136407" w14:textId="08CDF412" w:rsidR="00B01EBB" w:rsidRPr="00233E35" w:rsidRDefault="00BE3647" w:rsidP="001835D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 calibrate the data, n</w:t>
      </w:r>
      <w:r w:rsidR="00A263CC" w:rsidRPr="00233E35">
        <w:rPr>
          <w:rFonts w:ascii="Times New Roman" w:hAnsi="Times New Roman" w:cs="Times New Roman"/>
          <w:szCs w:val="24"/>
          <w:lang w:val="en-US"/>
        </w:rPr>
        <w:t xml:space="preserve">et peaks were stripped from spectra backgrounds using the </w:t>
      </w:r>
      <w:r w:rsidR="00A263CC" w:rsidRPr="00233E35">
        <w:rPr>
          <w:rFonts w:ascii="Times New Roman" w:hAnsi="Times New Roman" w:cs="Times New Roman"/>
          <w:lang w:val="en-US"/>
        </w:rPr>
        <w:t>Statistic-sensitive Non-linear Iterative Peak clipping (SNIP) algorithm described by Van Espen (2002) and these were normalized to the Compton scatter of Rh (18.5 – 19.5 keV).</w:t>
      </w:r>
      <w:r w:rsidR="00F2003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Elemental concentrations were calculated </w:t>
      </w:r>
      <w:r w:rsidR="00F2003C">
        <w:rPr>
          <w:rFonts w:ascii="Times New Roman" w:hAnsi="Times New Roman" w:cs="Times New Roman"/>
          <w:szCs w:val="24"/>
          <w:lang w:val="en-US"/>
        </w:rPr>
        <w:t xml:space="preserve">from the </w:t>
      </w:r>
      <w:r w:rsidR="00F2003C" w:rsidRPr="00233E35">
        <w:rPr>
          <w:rFonts w:ascii="Times New Roman" w:hAnsi="Times New Roman" w:cs="Times New Roman"/>
          <w:szCs w:val="24"/>
          <w:lang w:val="en-US"/>
        </w:rPr>
        <w:t>characteristic normalized net peak areas</w:t>
      </w:r>
      <w:r w:rsidR="00F2003C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using</w:t>
      </w:r>
      <w:r w:rsidR="00EF1BEC" w:rsidRPr="00233E35">
        <w:rPr>
          <w:rFonts w:ascii="Times New Roman" w:hAnsi="Times New Roman" w:cs="Times New Roman"/>
          <w:szCs w:val="24"/>
          <w:lang w:val="en-US"/>
        </w:rPr>
        <w:t xml:space="preserve"> </w:t>
      </w:r>
      <w:r w:rsidR="00A263CC" w:rsidRPr="00233E35">
        <w:rPr>
          <w:rFonts w:ascii="Times New Roman" w:hAnsi="Times New Roman" w:cs="Times New Roman"/>
          <w:szCs w:val="24"/>
          <w:lang w:val="en-US"/>
        </w:rPr>
        <w:t xml:space="preserve">a form of </w:t>
      </w:r>
      <w:r w:rsidR="00EF1BEC" w:rsidRPr="00233E35">
        <w:rPr>
          <w:rFonts w:ascii="Times New Roman" w:hAnsi="Times New Roman" w:cs="Times New Roman"/>
          <w:szCs w:val="24"/>
          <w:lang w:val="en-US"/>
        </w:rPr>
        <w:t xml:space="preserve">regression </w:t>
      </w:r>
      <w:r w:rsidR="00F2003C">
        <w:rPr>
          <w:rFonts w:ascii="Times New Roman" w:hAnsi="Times New Roman" w:cs="Times New Roman"/>
          <w:szCs w:val="24"/>
          <w:lang w:val="en-US"/>
        </w:rPr>
        <w:t>that includes factors</w:t>
      </w:r>
      <w:r w:rsidR="00F2003C" w:rsidRPr="00233E35">
        <w:rPr>
          <w:rFonts w:ascii="Times New Roman" w:hAnsi="Times New Roman" w:cs="Times New Roman"/>
          <w:szCs w:val="24"/>
          <w:lang w:val="en-US"/>
        </w:rPr>
        <w:t xml:space="preserve"> </w:t>
      </w:r>
      <w:r w:rsidR="001835D0" w:rsidRPr="00233E35">
        <w:rPr>
          <w:rFonts w:ascii="Times New Roman" w:hAnsi="Times New Roman" w:cs="Times New Roman"/>
          <w:szCs w:val="24"/>
          <w:lang w:val="en-US"/>
        </w:rPr>
        <w:t>to</w:t>
      </w:r>
      <w:r w:rsidR="00EF1BEC" w:rsidRPr="00233E35">
        <w:rPr>
          <w:rFonts w:ascii="Times New Roman" w:hAnsi="Times New Roman" w:cs="Times New Roman"/>
          <w:szCs w:val="24"/>
          <w:lang w:val="en-US"/>
        </w:rPr>
        <w:t xml:space="preserve"> </w:t>
      </w:r>
      <w:r w:rsidR="00F2003C" w:rsidRPr="00233E35">
        <w:rPr>
          <w:rFonts w:ascii="Times New Roman" w:hAnsi="Times New Roman" w:cs="Times New Roman"/>
          <w:szCs w:val="24"/>
          <w:lang w:val="en-US"/>
        </w:rPr>
        <w:t xml:space="preserve">correct for interference peaks </w:t>
      </w:r>
      <w:r>
        <w:rPr>
          <w:rFonts w:ascii="Times New Roman" w:hAnsi="Times New Roman" w:cs="Times New Roman"/>
          <w:szCs w:val="24"/>
          <w:lang w:val="en-US"/>
        </w:rPr>
        <w:t xml:space="preserve">(Lucas-Tooth and Price 1961; see also 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Conrey </w:t>
      </w:r>
      <w:r w:rsidRPr="00233E35">
        <w:rPr>
          <w:rFonts w:ascii="Times New Roman" w:hAnsi="Times New Roman" w:cs="Times New Roman"/>
          <w:i/>
          <w:szCs w:val="24"/>
          <w:lang w:val="en-US"/>
        </w:rPr>
        <w:t>et al.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Cs w:val="24"/>
          <w:lang w:val="en-US"/>
        </w:rPr>
        <w:t xml:space="preserve">; 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Steiner </w:t>
      </w:r>
      <w:r w:rsidRPr="00233E35">
        <w:rPr>
          <w:rFonts w:ascii="Times New Roman" w:hAnsi="Times New Roman" w:cs="Times New Roman"/>
          <w:i/>
          <w:szCs w:val="24"/>
          <w:lang w:val="en-US"/>
        </w:rPr>
        <w:t>et al.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2017)</w:t>
      </w:r>
      <w:r w:rsidR="00F2003C">
        <w:rPr>
          <w:rFonts w:ascii="Times New Roman" w:hAnsi="Times New Roman" w:cs="Times New Roman"/>
          <w:szCs w:val="24"/>
          <w:lang w:val="en-US"/>
        </w:rPr>
        <w:t>:</w:t>
      </w:r>
    </w:p>
    <w:p w14:paraId="14AE16DF" w14:textId="77777777" w:rsidR="00BE3647" w:rsidRPr="00233E35" w:rsidRDefault="00BE3647" w:rsidP="00BE3647">
      <w:pPr>
        <w:rPr>
          <w:rFonts w:ascii="Times New Roman" w:hAnsi="Times New Roman" w:cs="Times New Roman"/>
          <w:szCs w:val="24"/>
          <w:lang w:val="en-US"/>
        </w:rPr>
      </w:pPr>
      <w:r w:rsidRPr="00233E35">
        <w:rPr>
          <w:rFonts w:ascii="Times New Roman" w:hAnsi="Times New Roman" w:cs="Times New Roman"/>
          <w:i/>
          <w:szCs w:val="24"/>
          <w:lang w:val="en-US"/>
        </w:rPr>
        <w:t>C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= </w:t>
      </w:r>
      <w:r w:rsidRPr="00233E35">
        <w:rPr>
          <w:rFonts w:ascii="Times New Roman" w:hAnsi="Times New Roman" w:cs="Times New Roman"/>
          <w:i/>
          <w:szCs w:val="24"/>
          <w:lang w:val="en-US"/>
        </w:rPr>
        <w:t>I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(</w:t>
      </w:r>
      <w:r w:rsidRPr="00233E35">
        <w:rPr>
          <w:rFonts w:ascii="Times New Roman" w:hAnsi="Times New Roman" w:cs="Times New Roman"/>
          <w:i/>
          <w:szCs w:val="24"/>
          <w:lang w:val="en-US"/>
        </w:rPr>
        <w:t>a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+ Σ </w:t>
      </w:r>
      <w:r w:rsidRPr="00233E35">
        <w:rPr>
          <w:rFonts w:ascii="Times New Roman" w:hAnsi="Times New Roman" w:cs="Times New Roman"/>
          <w:i/>
          <w:szCs w:val="24"/>
          <w:lang w:val="en-US"/>
        </w:rPr>
        <w:t>a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ij</w:t>
      </w:r>
      <w:r w:rsidRPr="00233E35">
        <w:rPr>
          <w:rFonts w:ascii="Times New Roman" w:hAnsi="Times New Roman" w:cs="Times New Roman"/>
          <w:i/>
          <w:szCs w:val="24"/>
          <w:lang w:val="en-US"/>
        </w:rPr>
        <w:t>I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ij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) + </w:t>
      </w:r>
      <w:r w:rsidRPr="00233E35">
        <w:rPr>
          <w:rFonts w:ascii="Times New Roman" w:hAnsi="Times New Roman" w:cs="Times New Roman"/>
          <w:i/>
          <w:szCs w:val="24"/>
          <w:lang w:val="en-US"/>
        </w:rPr>
        <w:t>b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</w:t>
      </w:r>
    </w:p>
    <w:p w14:paraId="01A3492E" w14:textId="77777777" w:rsidR="00BE3647" w:rsidRPr="00233E35" w:rsidRDefault="00BE3647" w:rsidP="00BE3647">
      <w:pPr>
        <w:rPr>
          <w:rFonts w:ascii="Times New Roman" w:hAnsi="Times New Roman" w:cs="Times New Roman"/>
          <w:szCs w:val="24"/>
          <w:lang w:val="en-US"/>
        </w:rPr>
      </w:pPr>
      <w:r w:rsidRPr="00233E35">
        <w:rPr>
          <w:rFonts w:ascii="Times New Roman" w:hAnsi="Times New Roman" w:cs="Times New Roman"/>
          <w:szCs w:val="24"/>
          <w:lang w:val="en-US"/>
        </w:rPr>
        <w:t xml:space="preserve">where </w:t>
      </w:r>
      <w:r w:rsidRPr="00233E35">
        <w:rPr>
          <w:rFonts w:ascii="Times New Roman" w:hAnsi="Times New Roman" w:cs="Times New Roman"/>
          <w:i/>
          <w:szCs w:val="24"/>
          <w:lang w:val="en-US"/>
        </w:rPr>
        <w:t>C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is the concentration of element </w:t>
      </w:r>
      <w:r w:rsidRPr="00233E35">
        <w:rPr>
          <w:rFonts w:ascii="Times New Roman" w:hAnsi="Times New Roman" w:cs="Times New Roman"/>
          <w:i/>
          <w:szCs w:val="24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233E35">
        <w:rPr>
          <w:rFonts w:ascii="Times New Roman" w:hAnsi="Times New Roman" w:cs="Times New Roman"/>
          <w:i/>
          <w:szCs w:val="24"/>
          <w:lang w:val="en-US"/>
        </w:rPr>
        <w:t>I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is the net intensity of element </w:t>
      </w:r>
      <w:r w:rsidRPr="00233E35">
        <w:rPr>
          <w:rFonts w:ascii="Times New Roman" w:hAnsi="Times New Roman" w:cs="Times New Roman"/>
          <w:i/>
          <w:szCs w:val="24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, </w:t>
      </w:r>
      <w:r w:rsidRPr="00233E35">
        <w:rPr>
          <w:rFonts w:ascii="Times New Roman" w:hAnsi="Times New Roman" w:cs="Times New Roman"/>
          <w:i/>
          <w:szCs w:val="24"/>
          <w:lang w:val="en-US"/>
        </w:rPr>
        <w:t>I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ij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is the net intensity of interference elements, and </w:t>
      </w:r>
      <w:r w:rsidRPr="00233E35">
        <w:rPr>
          <w:rFonts w:ascii="Times New Roman" w:hAnsi="Times New Roman" w:cs="Times New Roman"/>
          <w:i/>
          <w:szCs w:val="24"/>
          <w:lang w:val="en-US"/>
        </w:rPr>
        <w:t>a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>i</w:t>
      </w:r>
      <w:r w:rsidRPr="00233E35">
        <w:rPr>
          <w:rFonts w:ascii="Times New Roman" w:hAnsi="Times New Roman" w:cs="Times New Roman"/>
          <w:szCs w:val="24"/>
          <w:lang w:val="en-US"/>
        </w:rPr>
        <w:t>,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 xml:space="preserve"> </w:t>
      </w:r>
      <w:r w:rsidRPr="00233E35">
        <w:rPr>
          <w:rFonts w:ascii="Times New Roman" w:hAnsi="Times New Roman" w:cs="Times New Roman"/>
          <w:i/>
          <w:szCs w:val="24"/>
          <w:lang w:val="en-US"/>
        </w:rPr>
        <w:t>a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 xml:space="preserve">ij </w:t>
      </w:r>
      <w:r w:rsidRPr="00233E35">
        <w:rPr>
          <w:rFonts w:ascii="Times New Roman" w:hAnsi="Times New Roman" w:cs="Times New Roman"/>
          <w:szCs w:val="24"/>
          <w:lang w:val="en-US"/>
        </w:rPr>
        <w:t>and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 xml:space="preserve"> </w:t>
      </w:r>
      <w:r w:rsidRPr="00233E35">
        <w:rPr>
          <w:rFonts w:ascii="Times New Roman" w:hAnsi="Times New Roman" w:cs="Times New Roman"/>
          <w:i/>
          <w:szCs w:val="24"/>
          <w:lang w:val="en-US"/>
        </w:rPr>
        <w:t>b</w:t>
      </w:r>
      <w:r w:rsidRPr="00233E35">
        <w:rPr>
          <w:rFonts w:ascii="Times New Roman" w:hAnsi="Times New Roman" w:cs="Times New Roman"/>
          <w:i/>
          <w:szCs w:val="24"/>
          <w:vertAlign w:val="subscript"/>
          <w:lang w:val="en-US"/>
        </w:rPr>
        <w:t xml:space="preserve">i </w:t>
      </w:r>
      <w:r w:rsidRPr="00233E35">
        <w:rPr>
          <w:rFonts w:ascii="Times New Roman" w:hAnsi="Times New Roman" w:cs="Times New Roman"/>
          <w:szCs w:val="24"/>
          <w:lang w:val="en-US"/>
        </w:rPr>
        <w:t>are empirically derived coefficients.</w:t>
      </w:r>
    </w:p>
    <w:p w14:paraId="72BB0D70" w14:textId="7F79D091" w:rsidR="001835D0" w:rsidRPr="00233E35" w:rsidRDefault="00BE3647" w:rsidP="00B77B94">
      <w:pPr>
        <w:rPr>
          <w:rFonts w:ascii="Times New Roman" w:hAnsi="Times New Roman" w:cs="Times New Roman"/>
          <w:szCs w:val="24"/>
          <w:lang w:val="en-US"/>
        </w:rPr>
      </w:pPr>
      <w:r w:rsidRPr="00233E35">
        <w:rPr>
          <w:rFonts w:ascii="Times New Roman" w:hAnsi="Times New Roman" w:cs="Times New Roman"/>
          <w:szCs w:val="24"/>
          <w:lang w:val="en-US"/>
        </w:rPr>
        <w:t xml:space="preserve">A set of ten international reference standards were used for calibration (AGV-2, BCR-2, BHVO-2, BIR-1a, DNC-1a, GSP-2, QLO-1, NIST SRM-278, NIST SRM-688 &amp; W-2a) and eight elements were calculated as parts-per-million (ppm) concentrations - manganese (Mn), iron (Fe), zinc (Zn), rubidium (Rb), strontium (Sr), yttrium (Y), zirconium (Zr) and niobium (Nb). </w:t>
      </w:r>
      <w:r>
        <w:rPr>
          <w:rFonts w:ascii="Times New Roman" w:hAnsi="Times New Roman" w:cs="Times New Roman"/>
          <w:szCs w:val="24"/>
          <w:lang w:val="en-US"/>
        </w:rPr>
        <w:t xml:space="preserve">The </w:t>
      </w:r>
      <w:r w:rsidRPr="00233E35">
        <w:rPr>
          <w:rFonts w:ascii="Times New Roman" w:hAnsi="Times New Roman" w:cs="Times New Roman"/>
          <w:szCs w:val="24"/>
          <w:lang w:val="en-US"/>
        </w:rPr>
        <w:t>reference standards</w:t>
      </w:r>
      <w:r>
        <w:rPr>
          <w:rFonts w:ascii="Times New Roman" w:hAnsi="Times New Roman" w:cs="Times New Roman"/>
          <w:szCs w:val="24"/>
          <w:lang w:val="en-US"/>
        </w:rPr>
        <w:t xml:space="preserve"> were analyzed three times each, using the same settings as the artifacts, and the results averaged. </w:t>
      </w:r>
      <w:r w:rsidR="00F70F71" w:rsidRPr="00233E35">
        <w:rPr>
          <w:rFonts w:ascii="Times New Roman" w:hAnsi="Times New Roman" w:cs="Times New Roman"/>
          <w:szCs w:val="24"/>
          <w:lang w:val="en-US"/>
        </w:rPr>
        <w:t>Because a</w:t>
      </w:r>
      <w:r w:rsidR="00062C9F" w:rsidRPr="00233E35">
        <w:rPr>
          <w:rFonts w:ascii="Times New Roman" w:hAnsi="Times New Roman" w:cs="Times New Roman"/>
          <w:szCs w:val="24"/>
          <w:lang w:val="en-US"/>
        </w:rPr>
        <w:t xml:space="preserve"> relatively small number of reference standards </w:t>
      </w:r>
      <w:r w:rsidR="00F70F71" w:rsidRPr="00233E35">
        <w:rPr>
          <w:rFonts w:ascii="Times New Roman" w:hAnsi="Times New Roman" w:cs="Times New Roman"/>
          <w:szCs w:val="24"/>
          <w:lang w:val="en-US"/>
        </w:rPr>
        <w:t xml:space="preserve">were </w:t>
      </w:r>
      <w:r w:rsidR="00062C9F" w:rsidRPr="00233E35">
        <w:rPr>
          <w:rFonts w:ascii="Times New Roman" w:hAnsi="Times New Roman" w:cs="Times New Roman"/>
          <w:szCs w:val="24"/>
          <w:lang w:val="en-US"/>
        </w:rPr>
        <w:t>available</w:t>
      </w:r>
      <w:r w:rsidR="00D215BC" w:rsidRPr="00233E35">
        <w:rPr>
          <w:rFonts w:ascii="Times New Roman" w:hAnsi="Times New Roman" w:cs="Times New Roman"/>
          <w:szCs w:val="24"/>
          <w:lang w:val="en-US"/>
        </w:rPr>
        <w:t xml:space="preserve"> at the time of the analyses</w:t>
      </w:r>
      <w:r w:rsidR="00062C9F" w:rsidRPr="00233E35">
        <w:rPr>
          <w:rFonts w:ascii="Times New Roman" w:hAnsi="Times New Roman" w:cs="Times New Roman"/>
          <w:szCs w:val="24"/>
          <w:lang w:val="en-US"/>
        </w:rPr>
        <w:t xml:space="preserve">, </w:t>
      </w:r>
      <w:r w:rsidR="00CD09B8" w:rsidRPr="00233E35">
        <w:rPr>
          <w:rFonts w:ascii="Times New Roman" w:hAnsi="Times New Roman" w:cs="Times New Roman"/>
          <w:szCs w:val="24"/>
          <w:lang w:val="en-US"/>
        </w:rPr>
        <w:t>corrections were kept to a minimum to avoid overfitting</w:t>
      </w:r>
      <w:r>
        <w:rPr>
          <w:rFonts w:ascii="Times New Roman" w:hAnsi="Times New Roman" w:cs="Times New Roman"/>
          <w:szCs w:val="24"/>
          <w:lang w:val="en-US"/>
        </w:rPr>
        <w:t xml:space="preserve"> (Table S1, Figure S1).</w:t>
      </w:r>
    </w:p>
    <w:p w14:paraId="3B5190BF" w14:textId="77777777" w:rsidR="00F2003C" w:rsidRDefault="00F2003C" w:rsidP="00B77B94">
      <w:pPr>
        <w:rPr>
          <w:rFonts w:ascii="Times New Roman" w:hAnsi="Times New Roman" w:cs="Times New Roman"/>
          <w:b/>
          <w:szCs w:val="24"/>
          <w:lang w:val="en-US"/>
        </w:rPr>
      </w:pPr>
    </w:p>
    <w:p w14:paraId="0BAF04B7" w14:textId="601907EA" w:rsidR="000F2558" w:rsidRPr="00233E35" w:rsidRDefault="001835D0" w:rsidP="00B77B94">
      <w:pPr>
        <w:rPr>
          <w:rFonts w:ascii="Times New Roman" w:hAnsi="Times New Roman" w:cs="Times New Roman"/>
          <w:szCs w:val="24"/>
          <w:lang w:val="en-US"/>
        </w:rPr>
      </w:pPr>
      <w:r w:rsidRPr="00233E35">
        <w:rPr>
          <w:rFonts w:ascii="Times New Roman" w:hAnsi="Times New Roman" w:cs="Times New Roman"/>
          <w:b/>
          <w:szCs w:val="24"/>
          <w:lang w:val="en-US"/>
        </w:rPr>
        <w:t xml:space="preserve">Table </w:t>
      </w:r>
      <w:r w:rsidR="00BE3647">
        <w:rPr>
          <w:rFonts w:ascii="Times New Roman" w:hAnsi="Times New Roman" w:cs="Times New Roman"/>
          <w:b/>
          <w:szCs w:val="24"/>
          <w:lang w:val="en-US"/>
        </w:rPr>
        <w:t>S</w:t>
      </w:r>
      <w:r w:rsidRPr="00233E35">
        <w:rPr>
          <w:rFonts w:ascii="Times New Roman" w:hAnsi="Times New Roman" w:cs="Times New Roman"/>
          <w:b/>
          <w:szCs w:val="24"/>
          <w:lang w:val="en-US"/>
        </w:rPr>
        <w:t>1.</w:t>
      </w:r>
      <w:r w:rsidRPr="00233E35">
        <w:rPr>
          <w:rFonts w:ascii="Times New Roman" w:hAnsi="Times New Roman" w:cs="Times New Roman"/>
          <w:szCs w:val="24"/>
          <w:lang w:val="en-US"/>
        </w:rPr>
        <w:t xml:space="preserve"> Calibration details. All concentration values are in parts-per-million (ppm).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1500"/>
        <w:gridCol w:w="1145"/>
        <w:gridCol w:w="962"/>
        <w:gridCol w:w="1134"/>
        <w:gridCol w:w="2835"/>
      </w:tblGrid>
      <w:tr w:rsidR="00062C9F" w:rsidRPr="00233E35" w14:paraId="6D7A3CAE" w14:textId="77777777" w:rsidTr="00D215B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2E97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1CC3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Conc.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B13FA" w14:textId="77777777" w:rsidR="00062C9F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Mean</w:t>
            </w:r>
          </w:p>
          <w:p w14:paraId="549050BC" w14:textId="729734A2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abs. error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D283E" w14:textId="77777777" w:rsidR="00062C9F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RMS</w:t>
            </w:r>
          </w:p>
          <w:p w14:paraId="3F762BB7" w14:textId="332D8828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error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E924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R</w:t>
            </w: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vertAlign w:val="superscript"/>
                <w:lang w:val="en-US" w:eastAsia="en-N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E5DE" w14:textId="50C40BA4" w:rsidR="001835D0" w:rsidRPr="00233E35" w:rsidRDefault="00062C9F" w:rsidP="00D215B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Interference</w:t>
            </w:r>
            <w:r w:rsidR="00D215BC"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 xml:space="preserve"> </w:t>
            </w:r>
            <w:r w:rsidRPr="00233E3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 w:eastAsia="en-NZ"/>
              </w:rPr>
              <w:t>peaks</w:t>
            </w:r>
          </w:p>
        </w:tc>
      </w:tr>
      <w:tr w:rsidR="00062C9F" w:rsidRPr="00233E35" w14:paraId="0707FCDF" w14:textId="77777777" w:rsidTr="00D215B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C08C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C8A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310 - 1549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AE05" w14:textId="6035B1EB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3</w:t>
            </w:r>
            <w:r w:rsidR="00290378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BF06" w14:textId="26507A5F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4</w:t>
            </w:r>
            <w:r w:rsidR="00290378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0E6A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CC0D" w14:textId="15F78381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Fe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K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α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(Compton tail)</w:t>
            </w:r>
          </w:p>
        </w:tc>
      </w:tr>
      <w:tr w:rsidR="00062C9F" w:rsidRPr="00233E35" w14:paraId="221F1F90" w14:textId="77777777" w:rsidTr="00D215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AB16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4E0C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14269 - 96524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124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1294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B9A9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84B4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AE0E" w14:textId="0844EB82" w:rsidR="001835D0" w:rsidRPr="00233E35" w:rsidRDefault="00890395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none</w:t>
            </w:r>
          </w:p>
        </w:tc>
      </w:tr>
      <w:tr w:rsidR="00062C9F" w:rsidRPr="00233E35" w14:paraId="29734C5C" w14:textId="77777777" w:rsidTr="00D215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A4F1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6BEB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54 - 127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0351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1877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3F21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D425" w14:textId="69A0A6EE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Cu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K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α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(Compton tail)</w:t>
            </w:r>
          </w:p>
        </w:tc>
      </w:tr>
      <w:tr w:rsidR="00062C9F" w:rsidRPr="00233E35" w14:paraId="4A8B95C1" w14:textId="77777777" w:rsidTr="00D215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32BF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B49C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0 - 245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9BBC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7E0B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6ADA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F499" w14:textId="777F4C5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Fe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K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α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(sum peak)</w:t>
            </w:r>
          </w:p>
        </w:tc>
      </w:tr>
      <w:tr w:rsidR="00062C9F" w:rsidRPr="00233E35" w14:paraId="2C6B4719" w14:textId="77777777" w:rsidTr="00D215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F6D6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54E5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64 - 658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B746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6.9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C96D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41FF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C6F4" w14:textId="53402394" w:rsidR="001835D0" w:rsidRPr="00233E35" w:rsidRDefault="00D215BC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none</w:t>
            </w:r>
          </w:p>
        </w:tc>
      </w:tr>
      <w:tr w:rsidR="00062C9F" w:rsidRPr="00233E35" w14:paraId="0957AE57" w14:textId="77777777" w:rsidTr="00D215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565C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DDD0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16 - 39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5EF6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DA82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9096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786D" w14:textId="4512A636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Rb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K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α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(Kβ overlap)</w:t>
            </w:r>
          </w:p>
        </w:tc>
      </w:tr>
      <w:tr w:rsidR="00062C9F" w:rsidRPr="00233E35" w14:paraId="232BD05B" w14:textId="77777777" w:rsidTr="00D215BC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F0B0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Zr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4271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15 - 550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CDC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5C86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4A09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0.999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0E71" w14:textId="782F2E5D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Sr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K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α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(Kβ overlap)</w:t>
            </w:r>
          </w:p>
        </w:tc>
      </w:tr>
      <w:tr w:rsidR="00062C9F" w:rsidRPr="00233E35" w14:paraId="5A70C707" w14:textId="77777777" w:rsidTr="00D215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FB96" w14:textId="77777777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A31B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1 - 27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EEB8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CD41" w14:textId="77777777" w:rsidR="001835D0" w:rsidRPr="00233E35" w:rsidRDefault="001835D0" w:rsidP="00D215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0A3C" w14:textId="77777777" w:rsidR="001835D0" w:rsidRPr="00233E35" w:rsidRDefault="001835D0" w:rsidP="00D2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0.972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6E8B" w14:textId="36D3D8C1" w:rsidR="001835D0" w:rsidRPr="00233E35" w:rsidRDefault="001835D0" w:rsidP="00D2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Y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K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α</w:t>
            </w:r>
            <w:r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1</w:t>
            </w:r>
            <w:r w:rsidR="00062C9F" w:rsidRPr="00233E35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 xml:space="preserve"> (Kβ overlap)</w:t>
            </w:r>
          </w:p>
        </w:tc>
      </w:tr>
    </w:tbl>
    <w:p w14:paraId="2351D2DF" w14:textId="7B98F408" w:rsidR="001835D0" w:rsidRPr="00233E35" w:rsidRDefault="00D215BC" w:rsidP="00D215BC">
      <w:pPr>
        <w:jc w:val="center"/>
        <w:rPr>
          <w:rFonts w:ascii="Times New Roman" w:hAnsi="Times New Roman" w:cs="Times New Roman"/>
          <w:lang w:val="en-US"/>
        </w:rPr>
      </w:pPr>
      <w:r w:rsidRPr="00233E35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B95E1B0" wp14:editId="0FFFC148">
            <wp:extent cx="4141137" cy="7648444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474" cy="765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FD92" w14:textId="5355F03A" w:rsidR="00EF1BEC" w:rsidRPr="00233E35" w:rsidRDefault="00B77B94" w:rsidP="00F67C24">
      <w:pPr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33E35">
        <w:rPr>
          <w:rFonts w:ascii="Times New Roman" w:hAnsi="Times New Roman" w:cs="Times New Roman"/>
          <w:lang w:val="en-US"/>
        </w:rPr>
        <w:t xml:space="preserve"> </w:t>
      </w:r>
      <w:r w:rsidR="00EF1BEC" w:rsidRPr="00233E35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BE3647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F1BEC" w:rsidRPr="00233E35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F1BEC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C24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G</w:t>
      </w:r>
      <w:r w:rsidR="00EF1BEC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iven values v</w:t>
      </w:r>
      <w:r w:rsidR="00F67C24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ersus c</w:t>
      </w:r>
      <w:r w:rsidR="00EF1BEC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</w:t>
      </w:r>
      <w:r w:rsidR="001835D0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lculated</w:t>
      </w:r>
      <w:r w:rsidR="00EF1BEC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pXRF concentrations</w:t>
      </w:r>
      <w:r w:rsidR="00290378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for the calibration</w:t>
      </w:r>
      <w:r w:rsidR="00F67C24" w:rsidRPr="00233E35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</w:t>
      </w:r>
    </w:p>
    <w:p w14:paraId="6477B05A" w14:textId="778E7812" w:rsidR="00EB74E6" w:rsidRPr="00233E35" w:rsidRDefault="00EB74E6" w:rsidP="00EB74E6">
      <w:pPr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233E35">
        <w:rPr>
          <w:rFonts w:ascii="Times New Roman" w:hAnsi="Times New Roman" w:cs="Times New Roman"/>
          <w:b/>
          <w:szCs w:val="24"/>
          <w:lang w:val="en-US"/>
        </w:rPr>
        <w:lastRenderedPageBreak/>
        <w:t>References</w:t>
      </w:r>
    </w:p>
    <w:p w14:paraId="6C8F6CBC" w14:textId="77777777" w:rsidR="00890395" w:rsidRPr="00233E35" w:rsidRDefault="00EB74E6" w:rsidP="00F85CDC">
      <w:pPr>
        <w:suppressAutoHyphens/>
        <w:ind w:left="720" w:hanging="720"/>
        <w:rPr>
          <w:rFonts w:ascii="Times New Roman" w:hAnsi="Times New Roman" w:cs="Times New Roman"/>
          <w:lang w:val="en-US"/>
        </w:rPr>
      </w:pPr>
      <w:r w:rsidRPr="00233E35">
        <w:rPr>
          <w:rFonts w:ascii="Times New Roman" w:hAnsi="Times New Roman" w:cs="Times New Roman"/>
          <w:lang w:val="en-US"/>
        </w:rPr>
        <w:t xml:space="preserve">Conrey, R.M., Goodman-Elgar, M., Bettencourt, N., Seyfarth, A., Van Hoose, A. and Wolff, J.A., 2014. Calibration of a portable X-ray fluorescence spectrometer in the analysis of archaeological samples using influence coefficients. </w:t>
      </w:r>
      <w:r w:rsidRPr="00233E35">
        <w:rPr>
          <w:rFonts w:ascii="Times New Roman" w:hAnsi="Times New Roman" w:cs="Times New Roman"/>
          <w:i/>
          <w:iCs/>
          <w:lang w:val="en-US"/>
        </w:rPr>
        <w:t>Geochemistry: Exploration, Environment, Analysis</w:t>
      </w:r>
      <w:r w:rsidRPr="00233E35">
        <w:rPr>
          <w:rFonts w:ascii="Times New Roman" w:hAnsi="Times New Roman" w:cs="Times New Roman"/>
          <w:lang w:val="en-US"/>
        </w:rPr>
        <w:t xml:space="preserve">, </w:t>
      </w:r>
      <w:r w:rsidRPr="00233E35">
        <w:rPr>
          <w:rFonts w:ascii="Times New Roman" w:hAnsi="Times New Roman" w:cs="Times New Roman"/>
          <w:iCs/>
          <w:lang w:val="en-US"/>
        </w:rPr>
        <w:t>14</w:t>
      </w:r>
      <w:r w:rsidRPr="00233E35">
        <w:rPr>
          <w:rFonts w:ascii="Times New Roman" w:hAnsi="Times New Roman" w:cs="Times New Roman"/>
          <w:lang w:val="en-US"/>
        </w:rPr>
        <w:t>(3): 291-301.</w:t>
      </w:r>
      <w:r w:rsidR="00890395" w:rsidRPr="00233E35">
        <w:rPr>
          <w:rFonts w:ascii="Times New Roman" w:hAnsi="Times New Roman" w:cs="Times New Roman"/>
          <w:lang w:val="en-US"/>
        </w:rPr>
        <w:t xml:space="preserve"> </w:t>
      </w:r>
    </w:p>
    <w:p w14:paraId="4F32C096" w14:textId="1502CCAB" w:rsidR="00F85CDC" w:rsidRPr="00233E35" w:rsidRDefault="00890395" w:rsidP="00F85CDC">
      <w:pPr>
        <w:suppressAutoHyphens/>
        <w:ind w:left="720" w:hanging="720"/>
        <w:rPr>
          <w:rFonts w:ascii="Times New Roman" w:hAnsi="Times New Roman" w:cs="Times New Roman"/>
          <w:lang w:val="en-US"/>
        </w:rPr>
      </w:pPr>
      <w:r w:rsidRPr="00233E35">
        <w:rPr>
          <w:rFonts w:ascii="Times New Roman" w:hAnsi="Times New Roman" w:cs="Times New Roman"/>
          <w:lang w:val="en-US"/>
        </w:rPr>
        <w:t xml:space="preserve">Lucas-Tooth, H.J. and Price, B.J., 1961. A mathematical method for the investigation of interelement effects in x-ray fluorescence analysis. </w:t>
      </w:r>
      <w:r w:rsidRPr="00233E35">
        <w:rPr>
          <w:rFonts w:ascii="Times New Roman" w:hAnsi="Times New Roman" w:cs="Times New Roman"/>
          <w:i/>
          <w:lang w:val="en-US"/>
        </w:rPr>
        <w:t>Metallurgia</w:t>
      </w:r>
      <w:r w:rsidRPr="00233E35">
        <w:rPr>
          <w:rFonts w:ascii="Times New Roman" w:hAnsi="Times New Roman" w:cs="Times New Roman"/>
          <w:lang w:val="en-US"/>
        </w:rPr>
        <w:t xml:space="preserve"> 64(2):149-152.</w:t>
      </w:r>
    </w:p>
    <w:p w14:paraId="5EF9192F" w14:textId="654D221F" w:rsidR="00F85CDC" w:rsidRPr="00233E35" w:rsidRDefault="00F70F71" w:rsidP="00F85CDC">
      <w:pPr>
        <w:suppressAutoHyphens/>
        <w:ind w:left="720" w:hanging="720"/>
        <w:rPr>
          <w:rFonts w:ascii="Times New Roman" w:hAnsi="Times New Roman" w:cs="Times New Roman"/>
          <w:szCs w:val="24"/>
          <w:lang w:val="en-US"/>
        </w:rPr>
      </w:pPr>
      <w:r w:rsidRPr="00233E35">
        <w:rPr>
          <w:rFonts w:ascii="Times New Roman" w:hAnsi="Times New Roman" w:cs="Times New Roman"/>
          <w:szCs w:val="24"/>
          <w:lang w:val="en-US"/>
        </w:rPr>
        <w:t xml:space="preserve">Steiner, A.E., Conrey, R.M. and Wolff, J.A., 2017. PXRF calibrations for volcanic rocks and the application of in-field analysis to the geosciences. </w:t>
      </w:r>
      <w:r w:rsidRPr="00233E35">
        <w:rPr>
          <w:rFonts w:ascii="Times New Roman" w:hAnsi="Times New Roman" w:cs="Times New Roman"/>
          <w:i/>
          <w:szCs w:val="24"/>
          <w:lang w:val="en-US"/>
        </w:rPr>
        <w:t>Chemical Geology</w:t>
      </w:r>
      <w:r w:rsidRPr="00233E35">
        <w:rPr>
          <w:rFonts w:ascii="Times New Roman" w:hAnsi="Times New Roman" w:cs="Times New Roman"/>
          <w:szCs w:val="24"/>
          <w:lang w:val="en-US"/>
        </w:rPr>
        <w:t>, 453:35-54.</w:t>
      </w:r>
    </w:p>
    <w:p w14:paraId="0D5552C4" w14:textId="2352C912" w:rsidR="00EB74E6" w:rsidRPr="00233E35" w:rsidRDefault="00EB74E6" w:rsidP="00EB74E6">
      <w:pPr>
        <w:ind w:left="720" w:hanging="720"/>
        <w:rPr>
          <w:rFonts w:ascii="Times New Roman" w:hAnsi="Times New Roman" w:cs="Times New Roman"/>
          <w:szCs w:val="24"/>
          <w:lang w:val="en-US"/>
        </w:rPr>
      </w:pPr>
      <w:r w:rsidRPr="00233E35">
        <w:rPr>
          <w:rFonts w:ascii="Times New Roman" w:hAnsi="Times New Roman" w:cs="Times New Roman"/>
          <w:color w:val="000000"/>
          <w:lang w:val="en-US"/>
        </w:rPr>
        <w:t xml:space="preserve">Van Espen, P., 2002. Spectrum evaluation. In R.V. Grieken and A. Markowicz (eds), </w:t>
      </w:r>
      <w:r w:rsidRPr="00233E35">
        <w:rPr>
          <w:rFonts w:ascii="Times New Roman" w:hAnsi="Times New Roman" w:cs="Times New Roman"/>
          <w:i/>
          <w:color w:val="000000"/>
          <w:lang w:val="en-US"/>
        </w:rPr>
        <w:t>Handbook of X-ray Spectrometry</w:t>
      </w:r>
      <w:r w:rsidRPr="00233E35">
        <w:rPr>
          <w:rFonts w:ascii="Times New Roman" w:hAnsi="Times New Roman" w:cs="Times New Roman"/>
          <w:color w:val="000000"/>
          <w:lang w:val="en-US"/>
        </w:rPr>
        <w:t>. (2nd ed.). New York: Marcel Dekker. pp. 239-340.</w:t>
      </w:r>
    </w:p>
    <w:p w14:paraId="2D265AC3" w14:textId="77777777" w:rsidR="001C67EE" w:rsidRPr="00233E35" w:rsidRDefault="001C67EE" w:rsidP="00E41043">
      <w:pPr>
        <w:rPr>
          <w:rFonts w:ascii="Times New Roman" w:hAnsi="Times New Roman" w:cs="Times New Roman"/>
          <w:szCs w:val="24"/>
          <w:lang w:val="en-US"/>
        </w:rPr>
        <w:sectPr w:rsidR="001C67EE" w:rsidRPr="00233E35" w:rsidSect="00705DE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5D1822BC" w14:textId="39C95864" w:rsidR="00765F27" w:rsidRPr="00233E35" w:rsidRDefault="00765F27" w:rsidP="00E41043">
      <w:pPr>
        <w:rPr>
          <w:rFonts w:ascii="Times New Roman" w:hAnsi="Times New Roman" w:cs="Times New Roman"/>
          <w:szCs w:val="24"/>
          <w:lang w:val="en-US"/>
        </w:rPr>
      </w:pPr>
    </w:p>
    <w:sectPr w:rsidR="00765F27" w:rsidRPr="00233E35" w:rsidSect="004C7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351A" w14:textId="77777777" w:rsidR="009F5E90" w:rsidRDefault="009F5E90" w:rsidP="0090351F">
      <w:pPr>
        <w:spacing w:after="0"/>
      </w:pPr>
      <w:r>
        <w:separator/>
      </w:r>
    </w:p>
  </w:endnote>
  <w:endnote w:type="continuationSeparator" w:id="0">
    <w:p w14:paraId="2D7AC02E" w14:textId="77777777" w:rsidR="009F5E90" w:rsidRDefault="009F5E90" w:rsidP="00903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786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2CE3D" w14:textId="77777777" w:rsidR="00C2786F" w:rsidRDefault="00C27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FDEC5D6" w14:textId="77777777" w:rsidR="00C2786F" w:rsidRDefault="00C27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A21A" w14:textId="77777777" w:rsidR="00C2786F" w:rsidRDefault="00C27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6F19" w14:textId="77777777" w:rsidR="00C2786F" w:rsidRDefault="00C278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E8A0" w14:textId="77777777" w:rsidR="00C2786F" w:rsidRDefault="00C2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97C3" w14:textId="77777777" w:rsidR="009F5E90" w:rsidRDefault="009F5E90" w:rsidP="0090351F">
      <w:pPr>
        <w:spacing w:after="0"/>
      </w:pPr>
      <w:r>
        <w:separator/>
      </w:r>
    </w:p>
  </w:footnote>
  <w:footnote w:type="continuationSeparator" w:id="0">
    <w:p w14:paraId="2ECDF679" w14:textId="77777777" w:rsidR="009F5E90" w:rsidRDefault="009F5E90" w:rsidP="00903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C10D" w14:textId="5C8FE7B3" w:rsidR="00C2786F" w:rsidRDefault="00C27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E6B8" w14:textId="17B8A68E" w:rsidR="00C2786F" w:rsidRDefault="00C27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60F5" w14:textId="76635A66" w:rsidR="00C2786F" w:rsidRDefault="00C27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3B"/>
    <w:rsid w:val="00001649"/>
    <w:rsid w:val="00015583"/>
    <w:rsid w:val="00062C9F"/>
    <w:rsid w:val="00067563"/>
    <w:rsid w:val="000C1A88"/>
    <w:rsid w:val="000E6C66"/>
    <w:rsid w:val="000F2558"/>
    <w:rsid w:val="00115B57"/>
    <w:rsid w:val="00124862"/>
    <w:rsid w:val="001316FA"/>
    <w:rsid w:val="0015002D"/>
    <w:rsid w:val="00151C97"/>
    <w:rsid w:val="0016398F"/>
    <w:rsid w:val="00167D3B"/>
    <w:rsid w:val="00170972"/>
    <w:rsid w:val="0017681D"/>
    <w:rsid w:val="00181780"/>
    <w:rsid w:val="001835D0"/>
    <w:rsid w:val="001B294B"/>
    <w:rsid w:val="001C31B4"/>
    <w:rsid w:val="001C67EE"/>
    <w:rsid w:val="00227147"/>
    <w:rsid w:val="00233E35"/>
    <w:rsid w:val="00267C1C"/>
    <w:rsid w:val="00290378"/>
    <w:rsid w:val="002D5373"/>
    <w:rsid w:val="00367245"/>
    <w:rsid w:val="00376B79"/>
    <w:rsid w:val="00391A18"/>
    <w:rsid w:val="00401143"/>
    <w:rsid w:val="00404C76"/>
    <w:rsid w:val="004456A7"/>
    <w:rsid w:val="004544A0"/>
    <w:rsid w:val="0046693A"/>
    <w:rsid w:val="004744C2"/>
    <w:rsid w:val="00484468"/>
    <w:rsid w:val="004953AC"/>
    <w:rsid w:val="0049766F"/>
    <w:rsid w:val="004A522F"/>
    <w:rsid w:val="004C0882"/>
    <w:rsid w:val="004C78C7"/>
    <w:rsid w:val="004D680E"/>
    <w:rsid w:val="00533ED2"/>
    <w:rsid w:val="00612477"/>
    <w:rsid w:val="00636AC7"/>
    <w:rsid w:val="00650CE3"/>
    <w:rsid w:val="00655308"/>
    <w:rsid w:val="00664F00"/>
    <w:rsid w:val="00705DEE"/>
    <w:rsid w:val="007213B0"/>
    <w:rsid w:val="00765F27"/>
    <w:rsid w:val="0078097A"/>
    <w:rsid w:val="007A25B1"/>
    <w:rsid w:val="007C1B0B"/>
    <w:rsid w:val="007D5140"/>
    <w:rsid w:val="007F67B8"/>
    <w:rsid w:val="00804E7D"/>
    <w:rsid w:val="00833A15"/>
    <w:rsid w:val="0084176A"/>
    <w:rsid w:val="0087152D"/>
    <w:rsid w:val="00890395"/>
    <w:rsid w:val="00890A8A"/>
    <w:rsid w:val="008A2D20"/>
    <w:rsid w:val="008B4AE3"/>
    <w:rsid w:val="0090351F"/>
    <w:rsid w:val="009269C5"/>
    <w:rsid w:val="00940F59"/>
    <w:rsid w:val="009504D3"/>
    <w:rsid w:val="0096681A"/>
    <w:rsid w:val="00973074"/>
    <w:rsid w:val="009F5CF7"/>
    <w:rsid w:val="009F5E90"/>
    <w:rsid w:val="00A062DC"/>
    <w:rsid w:val="00A142D9"/>
    <w:rsid w:val="00A263CC"/>
    <w:rsid w:val="00A52691"/>
    <w:rsid w:val="00A942AD"/>
    <w:rsid w:val="00AB789D"/>
    <w:rsid w:val="00AF0498"/>
    <w:rsid w:val="00B01EBB"/>
    <w:rsid w:val="00B27B6D"/>
    <w:rsid w:val="00B31F91"/>
    <w:rsid w:val="00B53979"/>
    <w:rsid w:val="00B71E45"/>
    <w:rsid w:val="00B77B94"/>
    <w:rsid w:val="00BC3451"/>
    <w:rsid w:val="00BE3647"/>
    <w:rsid w:val="00C2786F"/>
    <w:rsid w:val="00CC0A63"/>
    <w:rsid w:val="00CD09B8"/>
    <w:rsid w:val="00CF3CC6"/>
    <w:rsid w:val="00D215BC"/>
    <w:rsid w:val="00D2664F"/>
    <w:rsid w:val="00D51397"/>
    <w:rsid w:val="00D719DA"/>
    <w:rsid w:val="00D8449D"/>
    <w:rsid w:val="00DC690C"/>
    <w:rsid w:val="00DE0ED7"/>
    <w:rsid w:val="00E12744"/>
    <w:rsid w:val="00E13158"/>
    <w:rsid w:val="00E41043"/>
    <w:rsid w:val="00E44CC3"/>
    <w:rsid w:val="00EB74E6"/>
    <w:rsid w:val="00EB7A4E"/>
    <w:rsid w:val="00EC4CB6"/>
    <w:rsid w:val="00EC5A2F"/>
    <w:rsid w:val="00EF1BEC"/>
    <w:rsid w:val="00F01752"/>
    <w:rsid w:val="00F2003C"/>
    <w:rsid w:val="00F61B75"/>
    <w:rsid w:val="00F67C24"/>
    <w:rsid w:val="00F70F71"/>
    <w:rsid w:val="00F85CDC"/>
    <w:rsid w:val="00FB1C9C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28FA"/>
  <w15:chartTrackingRefBased/>
  <w15:docId w15:val="{D3A6FEC2-A039-4181-8CB3-7379DCA8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3B"/>
    <w:pPr>
      <w:spacing w:after="240" w:line="240" w:lineRule="auto"/>
    </w:pPr>
    <w:rPr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1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51F"/>
    <w:rPr>
      <w:sz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351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51F"/>
    <w:rPr>
      <w:sz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650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CE3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E3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E3"/>
    <w:rPr>
      <w:rFonts w:ascii="Segoe UI" w:hAnsi="Segoe UI" w:cs="Segoe UI"/>
      <w:sz w:val="18"/>
      <w:szCs w:val="18"/>
      <w:lang w:val="en-NZ"/>
    </w:rPr>
  </w:style>
  <w:style w:type="character" w:customStyle="1" w:styleId="fontstyle01">
    <w:name w:val="fontstyle01"/>
    <w:basedOn w:val="DefaultParagraphFont"/>
    <w:rsid w:val="00EF1BEC"/>
    <w:rPr>
      <w:rFonts w:ascii="Garamond" w:hAnsi="Garamond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0461-0B9F-4034-920F-F127896F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mcalister</dc:creator>
  <cp:keywords/>
  <dc:description/>
  <cp:lastModifiedBy>McCoy, Mark</cp:lastModifiedBy>
  <cp:revision>3</cp:revision>
  <dcterms:created xsi:type="dcterms:W3CDTF">2019-11-30T19:17:00Z</dcterms:created>
  <dcterms:modified xsi:type="dcterms:W3CDTF">2019-11-30T22:08:00Z</dcterms:modified>
</cp:coreProperties>
</file>