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40B" w:rsidRPr="00253BA3" w:rsidRDefault="0041740B" w:rsidP="0041740B">
      <w:pPr>
        <w:jc w:val="both"/>
        <w:rPr>
          <w:b/>
          <w:noProof w:val="0"/>
          <w:sz w:val="32"/>
          <w:szCs w:val="32"/>
          <w:lang w:val="en-AU"/>
        </w:rPr>
      </w:pPr>
      <w:r w:rsidRPr="00253BA3">
        <w:rPr>
          <w:b/>
          <w:sz w:val="32"/>
          <w:szCs w:val="32"/>
          <w:lang w:val="en-AU"/>
        </w:rPr>
        <w:t>Supplementary Information – ROCA DELS BOUS SITE</w:t>
      </w:r>
    </w:p>
    <w:p w:rsidR="007C0F0C" w:rsidRPr="00253BA3" w:rsidRDefault="007C0F0C" w:rsidP="007C0F0C">
      <w:pPr>
        <w:autoSpaceDE w:val="0"/>
        <w:autoSpaceDN w:val="0"/>
        <w:adjustRightInd w:val="0"/>
        <w:spacing w:after="0" w:line="240" w:lineRule="auto"/>
        <w:rPr>
          <w:rFonts w:cs="Arial-BoldMT"/>
          <w:b/>
          <w:bCs/>
          <w:noProof w:val="0"/>
          <w:sz w:val="24"/>
          <w:szCs w:val="24"/>
          <w:lang w:val="ca-ES"/>
        </w:rPr>
      </w:pPr>
    </w:p>
    <w:p w:rsidR="007C0F0C" w:rsidRPr="00253BA3" w:rsidRDefault="007C0F0C" w:rsidP="007C0F0C">
      <w:pPr>
        <w:autoSpaceDE w:val="0"/>
        <w:autoSpaceDN w:val="0"/>
        <w:adjustRightInd w:val="0"/>
        <w:spacing w:after="0" w:line="240" w:lineRule="auto"/>
        <w:rPr>
          <w:rFonts w:eastAsia="ArialUnicodeMS" w:cs="ArialUnicodeMS"/>
          <w:noProof w:val="0"/>
          <w:sz w:val="24"/>
          <w:szCs w:val="24"/>
          <w:lang w:val="ca-ES"/>
        </w:rPr>
      </w:pPr>
      <w:r w:rsidRPr="00253BA3">
        <w:rPr>
          <w:rFonts w:cs="Calibri,Bold"/>
          <w:b/>
          <w:bCs/>
          <w:noProof w:val="0"/>
          <w:sz w:val="24"/>
          <w:szCs w:val="24"/>
          <w:lang w:val="ca-ES"/>
        </w:rPr>
        <w:t>Reconstructing Mousterian Landscapes in the South-Eastern</w:t>
      </w:r>
      <w:r w:rsidRPr="00253BA3">
        <w:rPr>
          <w:rFonts w:cs="Times New Roman"/>
          <w:noProof w:val="0"/>
          <w:sz w:val="24"/>
          <w:szCs w:val="24"/>
          <w:lang w:val="ca-ES"/>
        </w:rPr>
        <w:t xml:space="preserve"> </w:t>
      </w:r>
      <w:r w:rsidRPr="00253BA3">
        <w:rPr>
          <w:rFonts w:cs="Calibri,Bold"/>
          <w:b/>
          <w:bCs/>
          <w:noProof w:val="0"/>
          <w:sz w:val="24"/>
          <w:szCs w:val="24"/>
          <w:lang w:val="ca-ES"/>
        </w:rPr>
        <w:t>Pyrenees (Roca dels Bous site, Pre-Pyrenees Ranges, Spain).</w:t>
      </w:r>
    </w:p>
    <w:p w:rsidR="007C0F0C" w:rsidRPr="00253BA3" w:rsidRDefault="007C0F0C" w:rsidP="007C0F0C">
      <w:pPr>
        <w:spacing w:line="240" w:lineRule="auto"/>
        <w:rPr>
          <w:rFonts w:eastAsia="ArialUnicodeMS" w:cs="ArialUnicodeMS"/>
          <w:noProof w:val="0"/>
          <w:sz w:val="24"/>
          <w:szCs w:val="24"/>
          <w:lang w:val="ca-ES"/>
        </w:rPr>
      </w:pPr>
      <w:r w:rsidRPr="00253BA3">
        <w:rPr>
          <w:rFonts w:cs="Calibri,Bold"/>
          <w:bCs/>
          <w:noProof w:val="0"/>
          <w:sz w:val="24"/>
          <w:szCs w:val="24"/>
          <w:lang w:val="ca-ES"/>
        </w:rPr>
        <w:t>Benito-Calvo, A*; . Arnold, L.J.; Mora, R.; Martínez-Moreno, J.; Demuro, M.</w:t>
      </w:r>
    </w:p>
    <w:p w:rsidR="007C0F0C" w:rsidRPr="00253BA3" w:rsidRDefault="007C0F0C" w:rsidP="007C0F0C">
      <w:pPr>
        <w:autoSpaceDE w:val="0"/>
        <w:autoSpaceDN w:val="0"/>
        <w:adjustRightInd w:val="0"/>
        <w:spacing w:after="0" w:line="240" w:lineRule="auto"/>
        <w:rPr>
          <w:rFonts w:cs="ArialMT"/>
          <w:noProof w:val="0"/>
          <w:sz w:val="24"/>
          <w:szCs w:val="24"/>
          <w:lang w:val="ca-ES"/>
        </w:rPr>
      </w:pPr>
      <w:r w:rsidRPr="00253BA3">
        <w:rPr>
          <w:rFonts w:cs="ArialMT"/>
          <w:noProof w:val="0"/>
          <w:sz w:val="24"/>
          <w:szCs w:val="24"/>
          <w:lang w:val="ca-ES"/>
        </w:rPr>
        <w:t xml:space="preserve">*Corresponding author: Alfonso Benito-Calvo </w:t>
      </w:r>
    </w:p>
    <w:p w:rsidR="007C0F0C" w:rsidRPr="00253BA3" w:rsidRDefault="007C0F0C" w:rsidP="007C0F0C">
      <w:pPr>
        <w:autoSpaceDE w:val="0"/>
        <w:autoSpaceDN w:val="0"/>
        <w:adjustRightInd w:val="0"/>
        <w:spacing w:after="0" w:line="240" w:lineRule="auto"/>
        <w:rPr>
          <w:rFonts w:cs="ArialMT"/>
          <w:noProof w:val="0"/>
          <w:sz w:val="24"/>
          <w:szCs w:val="24"/>
          <w:lang w:val="ca-ES"/>
        </w:rPr>
      </w:pPr>
      <w:r w:rsidRPr="00253BA3">
        <w:rPr>
          <w:rFonts w:cs="ArialMT"/>
          <w:noProof w:val="0"/>
          <w:sz w:val="24"/>
          <w:szCs w:val="24"/>
          <w:lang w:val="ca-ES"/>
        </w:rPr>
        <w:t>Email:</w:t>
      </w:r>
      <w:r w:rsidRPr="00253BA3">
        <w:rPr>
          <w:sz w:val="24"/>
          <w:szCs w:val="24"/>
          <w:lang w:val="en-US"/>
        </w:rPr>
        <w:t xml:space="preserve"> </w:t>
      </w:r>
      <w:r w:rsidRPr="00253BA3">
        <w:rPr>
          <w:rFonts w:cs="ArialMT"/>
          <w:noProof w:val="0"/>
          <w:sz w:val="24"/>
          <w:szCs w:val="24"/>
          <w:lang w:val="ca-ES"/>
        </w:rPr>
        <w:t xml:space="preserve">alfonso.benito@cenieh.es </w:t>
      </w:r>
    </w:p>
    <w:p w:rsidR="007C0F0C" w:rsidRPr="00253BA3" w:rsidRDefault="007C0F0C" w:rsidP="007C0F0C">
      <w:pPr>
        <w:autoSpaceDE w:val="0"/>
        <w:autoSpaceDN w:val="0"/>
        <w:adjustRightInd w:val="0"/>
        <w:spacing w:after="0" w:line="240" w:lineRule="auto"/>
        <w:rPr>
          <w:rFonts w:cs="Arial-BoldMT"/>
          <w:b/>
          <w:bCs/>
          <w:noProof w:val="0"/>
          <w:sz w:val="24"/>
          <w:szCs w:val="24"/>
          <w:lang w:val="ca-ES"/>
        </w:rPr>
      </w:pPr>
    </w:p>
    <w:p w:rsidR="007C0F0C" w:rsidRPr="00253BA3" w:rsidRDefault="007C0F0C" w:rsidP="007C0F0C">
      <w:pPr>
        <w:autoSpaceDE w:val="0"/>
        <w:autoSpaceDN w:val="0"/>
        <w:adjustRightInd w:val="0"/>
        <w:spacing w:after="0" w:line="240" w:lineRule="auto"/>
        <w:rPr>
          <w:rFonts w:cs="Arial-BoldMT"/>
          <w:b/>
          <w:bCs/>
          <w:noProof w:val="0"/>
          <w:sz w:val="24"/>
          <w:szCs w:val="24"/>
          <w:lang w:val="ca-ES"/>
        </w:rPr>
      </w:pPr>
      <w:r w:rsidRPr="00253BA3">
        <w:rPr>
          <w:rFonts w:cs="Arial-BoldMT"/>
          <w:b/>
          <w:bCs/>
          <w:noProof w:val="0"/>
          <w:sz w:val="24"/>
          <w:szCs w:val="24"/>
          <w:lang w:val="ca-ES"/>
        </w:rPr>
        <w:t>This PDF file includes:</w:t>
      </w:r>
    </w:p>
    <w:p w:rsidR="007C0F0C" w:rsidRPr="00253BA3" w:rsidRDefault="007C0F0C" w:rsidP="007C0F0C">
      <w:pPr>
        <w:autoSpaceDE w:val="0"/>
        <w:autoSpaceDN w:val="0"/>
        <w:adjustRightInd w:val="0"/>
        <w:spacing w:after="0" w:line="240" w:lineRule="auto"/>
        <w:rPr>
          <w:rFonts w:cs="ArialMT"/>
          <w:noProof w:val="0"/>
          <w:sz w:val="24"/>
          <w:szCs w:val="24"/>
          <w:lang w:val="ca-ES"/>
        </w:rPr>
      </w:pPr>
      <w:r w:rsidRPr="00253BA3">
        <w:rPr>
          <w:rFonts w:cs="ArialMT"/>
          <w:noProof w:val="0"/>
          <w:sz w:val="24"/>
          <w:szCs w:val="24"/>
          <w:lang w:val="ca-ES"/>
        </w:rPr>
        <w:t>Supplementary Text</w:t>
      </w:r>
    </w:p>
    <w:p w:rsidR="007C0F0C" w:rsidRPr="00253BA3" w:rsidRDefault="007C0F0C" w:rsidP="007C0F0C">
      <w:pPr>
        <w:autoSpaceDE w:val="0"/>
        <w:autoSpaceDN w:val="0"/>
        <w:adjustRightInd w:val="0"/>
        <w:spacing w:after="0" w:line="240" w:lineRule="auto"/>
        <w:rPr>
          <w:rFonts w:cs="ArialMT"/>
          <w:noProof w:val="0"/>
          <w:sz w:val="24"/>
          <w:szCs w:val="24"/>
          <w:lang w:val="ca-ES"/>
        </w:rPr>
      </w:pPr>
      <w:r w:rsidRPr="00253BA3">
        <w:rPr>
          <w:rFonts w:cs="ArialMT"/>
          <w:noProof w:val="0"/>
          <w:sz w:val="24"/>
          <w:szCs w:val="24"/>
          <w:lang w:val="ca-ES"/>
        </w:rPr>
        <w:t>Figures S1–S3</w:t>
      </w:r>
    </w:p>
    <w:p w:rsidR="007C0F0C" w:rsidRPr="00253BA3" w:rsidRDefault="007C0F0C" w:rsidP="007C0F0C">
      <w:pPr>
        <w:spacing w:line="240" w:lineRule="auto"/>
        <w:rPr>
          <w:rFonts w:cs="ArialMT"/>
          <w:noProof w:val="0"/>
          <w:sz w:val="24"/>
          <w:szCs w:val="24"/>
          <w:lang w:val="ca-ES"/>
        </w:rPr>
      </w:pPr>
      <w:r w:rsidRPr="00253BA3">
        <w:rPr>
          <w:rFonts w:cs="ArialMT"/>
          <w:noProof w:val="0"/>
          <w:sz w:val="24"/>
          <w:szCs w:val="24"/>
          <w:lang w:val="ca-ES"/>
        </w:rPr>
        <w:t>SI References</w:t>
      </w:r>
    </w:p>
    <w:p w:rsidR="007C0F0C" w:rsidRPr="00253BA3" w:rsidRDefault="007C0F0C">
      <w:pPr>
        <w:rPr>
          <w:sz w:val="24"/>
          <w:szCs w:val="24"/>
          <w:u w:val="single"/>
          <w:lang w:val="ca-ES"/>
        </w:rPr>
      </w:pPr>
      <w:r w:rsidRPr="00253BA3">
        <w:rPr>
          <w:sz w:val="24"/>
          <w:szCs w:val="24"/>
          <w:u w:val="single"/>
          <w:lang w:val="ca-ES"/>
        </w:rPr>
        <w:br w:type="page"/>
      </w:r>
    </w:p>
    <w:p w:rsidR="00822F9C" w:rsidRPr="00253BA3" w:rsidRDefault="00822F9C" w:rsidP="00D658A3">
      <w:pPr>
        <w:spacing w:line="240" w:lineRule="auto"/>
        <w:jc w:val="both"/>
        <w:rPr>
          <w:sz w:val="24"/>
          <w:szCs w:val="24"/>
          <w:u w:val="single"/>
          <w:lang w:val="en-US"/>
        </w:rPr>
      </w:pPr>
      <w:r w:rsidRPr="00253BA3">
        <w:rPr>
          <w:sz w:val="24"/>
          <w:szCs w:val="24"/>
          <w:u w:val="single"/>
          <w:lang w:val="en-US"/>
        </w:rPr>
        <w:lastRenderedPageBreak/>
        <w:t xml:space="preserve">1.1- An </w:t>
      </w:r>
      <w:r w:rsidR="003D360F" w:rsidRPr="00253BA3">
        <w:rPr>
          <w:sz w:val="24"/>
          <w:szCs w:val="24"/>
          <w:u w:val="single"/>
          <w:lang w:val="en-US"/>
        </w:rPr>
        <w:t xml:space="preserve">archaeostratigraphical </w:t>
      </w:r>
      <w:r w:rsidRPr="00253BA3">
        <w:rPr>
          <w:sz w:val="24"/>
          <w:szCs w:val="24"/>
          <w:u w:val="single"/>
          <w:lang w:val="en-US"/>
        </w:rPr>
        <w:t xml:space="preserve">approach to analyze the Mousterian site of Roca dels </w:t>
      </w:r>
      <w:r w:rsidR="00E661A6" w:rsidRPr="00253BA3">
        <w:rPr>
          <w:sz w:val="24"/>
          <w:szCs w:val="24"/>
          <w:u w:val="single"/>
          <w:lang w:val="en-US"/>
        </w:rPr>
        <w:t>B</w:t>
      </w:r>
      <w:r w:rsidRPr="00253BA3">
        <w:rPr>
          <w:sz w:val="24"/>
          <w:szCs w:val="24"/>
          <w:u w:val="single"/>
          <w:lang w:val="en-US"/>
        </w:rPr>
        <w:t>ous (Iberian south</w:t>
      </w:r>
      <w:r w:rsidR="0011101D" w:rsidRPr="00253BA3">
        <w:rPr>
          <w:sz w:val="24"/>
          <w:szCs w:val="24"/>
          <w:u w:val="single"/>
          <w:lang w:val="en-US"/>
        </w:rPr>
        <w:t>-</w:t>
      </w:r>
      <w:r w:rsidRPr="00253BA3">
        <w:rPr>
          <w:sz w:val="24"/>
          <w:szCs w:val="24"/>
          <w:u w:val="single"/>
          <w:lang w:val="en-US"/>
        </w:rPr>
        <w:t>eastern Pre</w:t>
      </w:r>
      <w:r w:rsidR="0011101D" w:rsidRPr="00253BA3">
        <w:rPr>
          <w:sz w:val="24"/>
          <w:szCs w:val="24"/>
          <w:u w:val="single"/>
          <w:lang w:val="en-US"/>
        </w:rPr>
        <w:t>-</w:t>
      </w:r>
      <w:r w:rsidRPr="00253BA3">
        <w:rPr>
          <w:sz w:val="24"/>
          <w:szCs w:val="24"/>
          <w:u w:val="single"/>
          <w:lang w:val="en-US"/>
        </w:rPr>
        <w:t>pyrenees)</w:t>
      </w:r>
    </w:p>
    <w:p w:rsidR="00207CE6" w:rsidRPr="00253BA3" w:rsidRDefault="00207CE6" w:rsidP="00D658A3">
      <w:pPr>
        <w:spacing w:line="240" w:lineRule="auto"/>
        <w:jc w:val="both"/>
        <w:rPr>
          <w:sz w:val="24"/>
          <w:szCs w:val="24"/>
          <w:u w:val="single"/>
          <w:lang w:val="en-US"/>
        </w:rPr>
      </w:pPr>
    </w:p>
    <w:p w:rsidR="00822F9C" w:rsidRPr="00253BA3" w:rsidRDefault="00822F9C" w:rsidP="00D658A3">
      <w:pPr>
        <w:spacing w:line="312" w:lineRule="auto"/>
        <w:jc w:val="both"/>
        <w:rPr>
          <w:sz w:val="24"/>
          <w:szCs w:val="24"/>
          <w:lang w:val="en-US"/>
        </w:rPr>
      </w:pPr>
      <w:r w:rsidRPr="00253BA3">
        <w:rPr>
          <w:sz w:val="24"/>
          <w:szCs w:val="24"/>
          <w:lang w:val="en-US"/>
        </w:rPr>
        <w:t xml:space="preserve">Neanderthal occupations in Roca dels Bous are </w:t>
      </w:r>
      <w:r w:rsidR="003D360F" w:rsidRPr="00253BA3">
        <w:rPr>
          <w:sz w:val="24"/>
          <w:szCs w:val="24"/>
          <w:lang w:val="en-US"/>
        </w:rPr>
        <w:t xml:space="preserve">situated </w:t>
      </w:r>
      <w:r w:rsidR="004F4B7F" w:rsidRPr="00253BA3">
        <w:rPr>
          <w:sz w:val="24"/>
          <w:szCs w:val="24"/>
          <w:lang w:val="en-US"/>
        </w:rPr>
        <w:t>at the foot</w:t>
      </w:r>
      <w:r w:rsidRPr="00253BA3">
        <w:rPr>
          <w:sz w:val="24"/>
          <w:szCs w:val="24"/>
          <w:lang w:val="en-US"/>
        </w:rPr>
        <w:t xml:space="preserve"> of the Paret de</w:t>
      </w:r>
      <w:r w:rsidR="004F4B7F" w:rsidRPr="00253BA3">
        <w:rPr>
          <w:sz w:val="24"/>
          <w:szCs w:val="24"/>
          <w:lang w:val="en-US"/>
        </w:rPr>
        <w:t xml:space="preserve"> </w:t>
      </w:r>
      <w:r w:rsidRPr="00253BA3">
        <w:rPr>
          <w:sz w:val="24"/>
          <w:szCs w:val="24"/>
          <w:lang w:val="en-US"/>
        </w:rPr>
        <w:t>l</w:t>
      </w:r>
      <w:r w:rsidR="004F4B7F" w:rsidRPr="00253BA3">
        <w:rPr>
          <w:sz w:val="24"/>
          <w:szCs w:val="24"/>
          <w:lang w:val="en-US"/>
        </w:rPr>
        <w:t>´</w:t>
      </w:r>
      <w:r w:rsidR="00D04D04" w:rsidRPr="00253BA3">
        <w:rPr>
          <w:sz w:val="24"/>
          <w:szCs w:val="24"/>
          <w:lang w:val="en-US"/>
        </w:rPr>
        <w:t>Ó</w:t>
      </w:r>
      <w:r w:rsidRPr="00253BA3">
        <w:rPr>
          <w:sz w:val="24"/>
          <w:szCs w:val="24"/>
          <w:lang w:val="en-US"/>
        </w:rPr>
        <w:t xml:space="preserve">s, </w:t>
      </w:r>
      <w:r w:rsidR="00D04D04" w:rsidRPr="00253BA3">
        <w:rPr>
          <w:sz w:val="24"/>
          <w:szCs w:val="24"/>
          <w:lang w:val="en-US"/>
        </w:rPr>
        <w:t xml:space="preserve">in </w:t>
      </w:r>
      <w:r w:rsidRPr="00253BA3">
        <w:rPr>
          <w:sz w:val="24"/>
          <w:szCs w:val="24"/>
          <w:lang w:val="en-US"/>
        </w:rPr>
        <w:t xml:space="preserve">a slope </w:t>
      </w:r>
      <w:r w:rsidR="003D360F" w:rsidRPr="00253BA3">
        <w:rPr>
          <w:sz w:val="24"/>
          <w:szCs w:val="24"/>
          <w:lang w:val="en-US"/>
        </w:rPr>
        <w:t xml:space="preserve">deposit </w:t>
      </w:r>
      <w:r w:rsidR="00D04D04" w:rsidRPr="00253BA3">
        <w:rPr>
          <w:sz w:val="24"/>
          <w:szCs w:val="24"/>
          <w:lang w:val="en-US"/>
        </w:rPr>
        <w:t xml:space="preserve">lying on the right margin of the </w:t>
      </w:r>
      <w:r w:rsidRPr="00253BA3">
        <w:rPr>
          <w:sz w:val="24"/>
          <w:szCs w:val="24"/>
          <w:lang w:val="en-US"/>
        </w:rPr>
        <w:t xml:space="preserve">Segre river. The sedimentary sequence </w:t>
      </w:r>
      <w:r w:rsidR="003D360F" w:rsidRPr="00253BA3">
        <w:rPr>
          <w:sz w:val="24"/>
          <w:szCs w:val="24"/>
          <w:lang w:val="en-US"/>
        </w:rPr>
        <w:t xml:space="preserve">is </w:t>
      </w:r>
      <w:r w:rsidRPr="00253BA3">
        <w:rPr>
          <w:sz w:val="24"/>
          <w:szCs w:val="24"/>
          <w:lang w:val="en-US"/>
        </w:rPr>
        <w:t xml:space="preserve">at least 6 m thick (see Benito-Calvo et al. </w:t>
      </w:r>
      <w:r w:rsidR="003D360F" w:rsidRPr="00253BA3">
        <w:rPr>
          <w:sz w:val="24"/>
          <w:szCs w:val="24"/>
          <w:lang w:val="en-US"/>
        </w:rPr>
        <w:t xml:space="preserve">in </w:t>
      </w:r>
      <w:r w:rsidRPr="00253BA3">
        <w:rPr>
          <w:sz w:val="24"/>
          <w:szCs w:val="24"/>
          <w:lang w:val="en-US"/>
        </w:rPr>
        <w:t xml:space="preserve">the text), </w:t>
      </w:r>
      <w:r w:rsidR="00D04D04" w:rsidRPr="00253BA3">
        <w:rPr>
          <w:sz w:val="24"/>
          <w:szCs w:val="24"/>
          <w:lang w:val="en-US"/>
        </w:rPr>
        <w:t>containing the archaeological site</w:t>
      </w:r>
      <w:r w:rsidRPr="00253BA3">
        <w:rPr>
          <w:sz w:val="24"/>
          <w:szCs w:val="24"/>
          <w:lang w:val="en-US"/>
        </w:rPr>
        <w:t xml:space="preserve"> </w:t>
      </w:r>
      <w:r w:rsidR="003C773A" w:rsidRPr="00253BA3">
        <w:rPr>
          <w:sz w:val="24"/>
          <w:szCs w:val="24"/>
          <w:lang w:val="en-US"/>
        </w:rPr>
        <w:t>at</w:t>
      </w:r>
      <w:r w:rsidRPr="00253BA3">
        <w:rPr>
          <w:sz w:val="24"/>
          <w:szCs w:val="24"/>
          <w:lang w:val="en-US"/>
        </w:rPr>
        <w:t xml:space="preserve"> </w:t>
      </w:r>
      <w:r w:rsidR="001A62D1" w:rsidRPr="00253BA3">
        <w:rPr>
          <w:sz w:val="24"/>
          <w:szCs w:val="24"/>
          <w:lang w:val="en-US"/>
        </w:rPr>
        <w:t>its</w:t>
      </w:r>
      <w:r w:rsidRPr="00253BA3">
        <w:rPr>
          <w:sz w:val="24"/>
          <w:szCs w:val="24"/>
          <w:lang w:val="en-US"/>
        </w:rPr>
        <w:t xml:space="preserve"> upper part. Site formation processes are essentially related </w:t>
      </w:r>
      <w:r w:rsidR="00D04D04" w:rsidRPr="00253BA3">
        <w:rPr>
          <w:sz w:val="24"/>
          <w:szCs w:val="24"/>
          <w:lang w:val="en-US"/>
        </w:rPr>
        <w:t>to</w:t>
      </w:r>
      <w:r w:rsidRPr="00253BA3">
        <w:rPr>
          <w:sz w:val="24"/>
          <w:szCs w:val="24"/>
          <w:lang w:val="en-US"/>
        </w:rPr>
        <w:t xml:space="preserve"> weathering and gravitational fall of the shelter wall</w:t>
      </w:r>
      <w:r w:rsidR="00F779C4" w:rsidRPr="00253BA3">
        <w:rPr>
          <w:sz w:val="24"/>
          <w:szCs w:val="24"/>
          <w:lang w:val="en-US"/>
        </w:rPr>
        <w:t>.</w:t>
      </w:r>
      <w:r w:rsidRPr="00253BA3">
        <w:rPr>
          <w:sz w:val="24"/>
          <w:szCs w:val="24"/>
          <w:lang w:val="en-US"/>
        </w:rPr>
        <w:t xml:space="preserve"> </w:t>
      </w:r>
      <w:r w:rsidR="00F779C4" w:rsidRPr="00253BA3">
        <w:rPr>
          <w:sz w:val="24"/>
          <w:szCs w:val="24"/>
          <w:lang w:val="en-US"/>
        </w:rPr>
        <w:t>Sediment</w:t>
      </w:r>
      <w:r w:rsidR="00D04D04" w:rsidRPr="00253BA3">
        <w:rPr>
          <w:sz w:val="24"/>
          <w:szCs w:val="24"/>
          <w:lang w:val="en-US"/>
        </w:rPr>
        <w:t xml:space="preserve"> size </w:t>
      </w:r>
      <w:r w:rsidR="00F779C4" w:rsidRPr="00253BA3">
        <w:rPr>
          <w:sz w:val="24"/>
          <w:szCs w:val="24"/>
          <w:lang w:val="en-US"/>
        </w:rPr>
        <w:t>range</w:t>
      </w:r>
      <w:r w:rsidR="003C773A" w:rsidRPr="00253BA3">
        <w:rPr>
          <w:sz w:val="24"/>
          <w:szCs w:val="24"/>
          <w:lang w:val="en-US"/>
        </w:rPr>
        <w:t>s</w:t>
      </w:r>
      <w:r w:rsidRPr="00253BA3">
        <w:rPr>
          <w:sz w:val="24"/>
          <w:szCs w:val="24"/>
          <w:lang w:val="en-US"/>
        </w:rPr>
        <w:t xml:space="preserve"> from fine sands to angular blocks, some of metric size (Benito-Calvo et al. 2009; Benito-Calvo </w:t>
      </w:r>
      <w:r w:rsidR="00E661A6" w:rsidRPr="00253BA3">
        <w:rPr>
          <w:sz w:val="24"/>
          <w:szCs w:val="24"/>
          <w:lang w:val="en-US"/>
        </w:rPr>
        <w:t xml:space="preserve">et al. </w:t>
      </w:r>
      <w:r w:rsidRPr="00253BA3">
        <w:rPr>
          <w:sz w:val="24"/>
          <w:szCs w:val="24"/>
          <w:lang w:val="en-US"/>
        </w:rPr>
        <w:t>in the text)</w:t>
      </w:r>
      <w:r w:rsidR="00D04D04" w:rsidRPr="00253BA3">
        <w:rPr>
          <w:sz w:val="24"/>
          <w:szCs w:val="24"/>
          <w:lang w:val="en-US"/>
        </w:rPr>
        <w:t xml:space="preserve"> (F</w:t>
      </w:r>
      <w:r w:rsidRPr="00253BA3">
        <w:rPr>
          <w:sz w:val="24"/>
          <w:szCs w:val="24"/>
          <w:lang w:val="en-US"/>
        </w:rPr>
        <w:t>ig. 1).</w:t>
      </w:r>
    </w:p>
    <w:p w:rsidR="00212122" w:rsidRPr="00253BA3" w:rsidRDefault="00212122" w:rsidP="00D658A3">
      <w:pPr>
        <w:spacing w:line="312" w:lineRule="auto"/>
        <w:jc w:val="both"/>
        <w:rPr>
          <w:sz w:val="24"/>
          <w:szCs w:val="24"/>
          <w:lang w:val="en-US"/>
        </w:rPr>
      </w:pPr>
      <w:r w:rsidRPr="00253BA3">
        <w:rPr>
          <w:rFonts w:cs="Times New Roman"/>
          <w:sz w:val="24"/>
          <w:szCs w:val="24"/>
          <w:lang w:val="es-ES" w:eastAsia="es-ES"/>
        </w:rPr>
        <w:drawing>
          <wp:inline distT="0" distB="0" distL="0" distR="0" wp14:anchorId="6C6E1D42" wp14:editId="57655DE4">
            <wp:extent cx="5400040" cy="3065780"/>
            <wp:effectExtent l="0" t="0" r="0" b="127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65780"/>
                    </a:xfrm>
                    <a:prstGeom prst="rect">
                      <a:avLst/>
                    </a:prstGeom>
                  </pic:spPr>
                </pic:pic>
              </a:graphicData>
            </a:graphic>
          </wp:inline>
        </w:drawing>
      </w:r>
    </w:p>
    <w:p w:rsidR="00E661A6" w:rsidRPr="00253BA3" w:rsidRDefault="00212122" w:rsidP="00D658A3">
      <w:pPr>
        <w:spacing w:line="240" w:lineRule="auto"/>
        <w:jc w:val="both"/>
        <w:rPr>
          <w:lang w:val="en-US"/>
        </w:rPr>
      </w:pPr>
      <w:r w:rsidRPr="00253BA3">
        <w:rPr>
          <w:lang w:val="en-US"/>
        </w:rPr>
        <w:t>Fi</w:t>
      </w:r>
      <w:r w:rsidR="001A62D1" w:rsidRPr="00253BA3">
        <w:rPr>
          <w:lang w:val="en-US"/>
        </w:rPr>
        <w:t>g. 1- General view of Level N12, where t</w:t>
      </w:r>
      <w:r w:rsidRPr="00253BA3">
        <w:rPr>
          <w:lang w:val="en-US"/>
        </w:rPr>
        <w:t>wo</w:t>
      </w:r>
      <w:r w:rsidR="001A62D1" w:rsidRPr="00253BA3">
        <w:rPr>
          <w:lang w:val="en-US"/>
        </w:rPr>
        <w:t xml:space="preserve"> opposite main slopes converge on a central depression</w:t>
      </w:r>
      <w:r w:rsidRPr="00253BA3">
        <w:rPr>
          <w:lang w:val="en-US"/>
        </w:rPr>
        <w:t>.  The sterile layer with several hearths at the bottom (a, b, c) define</w:t>
      </w:r>
      <w:r w:rsidR="00CC1DCB" w:rsidRPr="00253BA3">
        <w:rPr>
          <w:lang w:val="en-US"/>
        </w:rPr>
        <w:t>s</w:t>
      </w:r>
      <w:r w:rsidRPr="00253BA3">
        <w:rPr>
          <w:lang w:val="en-US"/>
        </w:rPr>
        <w:t xml:space="preserve"> the</w:t>
      </w:r>
      <w:r w:rsidR="00E661A6" w:rsidRPr="00253BA3">
        <w:rPr>
          <w:lang w:val="en-US"/>
        </w:rPr>
        <w:t xml:space="preserve"> position of the</w:t>
      </w:r>
      <w:r w:rsidRPr="00253BA3">
        <w:rPr>
          <w:lang w:val="en-US"/>
        </w:rPr>
        <w:t xml:space="preserve"> underlying level N14 (</w:t>
      </w:r>
      <w:r w:rsidR="00CC1DCB" w:rsidRPr="00253BA3">
        <w:rPr>
          <w:lang w:val="en-US"/>
        </w:rPr>
        <w:t>on the right</w:t>
      </w:r>
      <w:r w:rsidRPr="00253BA3">
        <w:rPr>
          <w:lang w:val="en-US"/>
        </w:rPr>
        <w:t xml:space="preserve"> of the image)</w:t>
      </w:r>
      <w:r w:rsidR="00E661A6" w:rsidRPr="00253BA3">
        <w:rPr>
          <w:lang w:val="en-US"/>
        </w:rPr>
        <w:t>.</w:t>
      </w:r>
    </w:p>
    <w:p w:rsidR="00C674B3" w:rsidRPr="00253BA3" w:rsidRDefault="00C674B3" w:rsidP="00D658A3">
      <w:pPr>
        <w:spacing w:after="0" w:line="312" w:lineRule="auto"/>
        <w:jc w:val="both"/>
        <w:rPr>
          <w:sz w:val="24"/>
          <w:szCs w:val="24"/>
          <w:lang w:val="en-US"/>
        </w:rPr>
      </w:pPr>
    </w:p>
    <w:p w:rsidR="001509E8" w:rsidRPr="00253BA3" w:rsidRDefault="00C674B3" w:rsidP="00D658A3">
      <w:pPr>
        <w:spacing w:after="0" w:line="312" w:lineRule="auto"/>
        <w:jc w:val="both"/>
        <w:rPr>
          <w:lang w:val="en-US"/>
        </w:rPr>
      </w:pPr>
      <w:r w:rsidRPr="00253BA3">
        <w:rPr>
          <w:sz w:val="24"/>
          <w:szCs w:val="24"/>
          <w:lang w:val="en-US"/>
        </w:rPr>
        <w:t xml:space="preserve">A structured excavation protocol was adopted to analyze the contextual resolution of the archaeological levels, based on the systematic coordination of lithic and bone </w:t>
      </w:r>
      <w:r w:rsidR="0041740B" w:rsidRPr="00253BA3">
        <w:rPr>
          <w:sz w:val="24"/>
          <w:szCs w:val="24"/>
          <w:lang w:val="en-US"/>
        </w:rPr>
        <w:t>remains</w:t>
      </w:r>
      <w:r w:rsidR="001A62D1" w:rsidRPr="00253BA3">
        <w:rPr>
          <w:sz w:val="24"/>
          <w:szCs w:val="24"/>
          <w:lang w:val="en-US"/>
        </w:rPr>
        <w:t>,</w:t>
      </w:r>
      <w:r w:rsidR="00D04D04" w:rsidRPr="00253BA3">
        <w:rPr>
          <w:sz w:val="24"/>
          <w:szCs w:val="24"/>
          <w:lang w:val="en-US"/>
        </w:rPr>
        <w:t xml:space="preserve"> </w:t>
      </w:r>
      <w:r w:rsidRPr="00253BA3">
        <w:rPr>
          <w:sz w:val="24"/>
          <w:szCs w:val="24"/>
          <w:lang w:val="en-US"/>
        </w:rPr>
        <w:t xml:space="preserve">and </w:t>
      </w:r>
      <w:r w:rsidR="00474348" w:rsidRPr="00253BA3">
        <w:rPr>
          <w:sz w:val="24"/>
          <w:szCs w:val="24"/>
          <w:lang w:val="en-US"/>
        </w:rPr>
        <w:t xml:space="preserve">their </w:t>
      </w:r>
      <w:r w:rsidRPr="00253BA3">
        <w:rPr>
          <w:sz w:val="24"/>
          <w:szCs w:val="24"/>
          <w:lang w:val="en-US"/>
        </w:rPr>
        <w:t xml:space="preserve">association with </w:t>
      </w:r>
      <w:r w:rsidR="00D04D04" w:rsidRPr="00253BA3">
        <w:rPr>
          <w:sz w:val="24"/>
          <w:szCs w:val="24"/>
          <w:lang w:val="en-US"/>
        </w:rPr>
        <w:t xml:space="preserve">other </w:t>
      </w:r>
      <w:r w:rsidRPr="00253BA3">
        <w:rPr>
          <w:sz w:val="24"/>
          <w:szCs w:val="24"/>
          <w:lang w:val="en-US"/>
        </w:rPr>
        <w:t>human and natural elements</w:t>
      </w:r>
      <w:r w:rsidR="001A62D1" w:rsidRPr="00253BA3">
        <w:rPr>
          <w:sz w:val="24"/>
          <w:szCs w:val="24"/>
          <w:lang w:val="en-US"/>
        </w:rPr>
        <w:t>. This method provides</w:t>
      </w:r>
      <w:r w:rsidRPr="00253BA3">
        <w:rPr>
          <w:sz w:val="24"/>
          <w:szCs w:val="24"/>
          <w:lang w:val="en-US"/>
        </w:rPr>
        <w:t xml:space="preserve"> indirect elements </w:t>
      </w:r>
      <w:r w:rsidR="00474348" w:rsidRPr="00253BA3">
        <w:rPr>
          <w:sz w:val="24"/>
          <w:szCs w:val="24"/>
          <w:lang w:val="en-US"/>
        </w:rPr>
        <w:t xml:space="preserve">which </w:t>
      </w:r>
      <w:r w:rsidRPr="00253BA3">
        <w:rPr>
          <w:sz w:val="24"/>
          <w:szCs w:val="24"/>
          <w:lang w:val="en-US"/>
        </w:rPr>
        <w:t xml:space="preserve">allow </w:t>
      </w:r>
      <w:r w:rsidR="00474348" w:rsidRPr="00253BA3">
        <w:rPr>
          <w:sz w:val="24"/>
          <w:szCs w:val="24"/>
          <w:lang w:val="en-US"/>
        </w:rPr>
        <w:t xml:space="preserve">us </w:t>
      </w:r>
      <w:r w:rsidRPr="00253BA3">
        <w:rPr>
          <w:sz w:val="24"/>
          <w:szCs w:val="24"/>
          <w:lang w:val="en-US"/>
        </w:rPr>
        <w:t>to evaluate the timespan</w:t>
      </w:r>
      <w:r w:rsidR="00D04D04" w:rsidRPr="00253BA3">
        <w:rPr>
          <w:sz w:val="24"/>
          <w:szCs w:val="24"/>
          <w:lang w:val="en-US"/>
        </w:rPr>
        <w:t xml:space="preserve"> </w:t>
      </w:r>
      <w:r w:rsidR="0051181D" w:rsidRPr="00253BA3">
        <w:rPr>
          <w:sz w:val="24"/>
          <w:szCs w:val="24"/>
          <w:lang w:val="en-US"/>
        </w:rPr>
        <w:t xml:space="preserve">within </w:t>
      </w:r>
      <w:r w:rsidRPr="00253BA3">
        <w:rPr>
          <w:sz w:val="24"/>
          <w:szCs w:val="24"/>
          <w:lang w:val="en-US"/>
        </w:rPr>
        <w:t>an ac</w:t>
      </w:r>
      <w:r w:rsidR="00A56A04" w:rsidRPr="00253BA3">
        <w:rPr>
          <w:sz w:val="24"/>
          <w:szCs w:val="24"/>
          <w:lang w:val="en-US"/>
        </w:rPr>
        <w:t>c</w:t>
      </w:r>
      <w:r w:rsidRPr="00253BA3">
        <w:rPr>
          <w:sz w:val="24"/>
          <w:szCs w:val="24"/>
          <w:lang w:val="en-US"/>
        </w:rPr>
        <w:t xml:space="preserve">umulation. The </w:t>
      </w:r>
      <w:r w:rsidR="00A62AFD" w:rsidRPr="00253BA3">
        <w:rPr>
          <w:sz w:val="24"/>
          <w:szCs w:val="24"/>
          <w:lang w:val="en-US"/>
        </w:rPr>
        <w:t xml:space="preserve">application </w:t>
      </w:r>
      <w:r w:rsidRPr="00253BA3">
        <w:rPr>
          <w:sz w:val="24"/>
          <w:szCs w:val="24"/>
          <w:lang w:val="en-US"/>
        </w:rPr>
        <w:t>of diverse visualscape techniques allow</w:t>
      </w:r>
      <w:r w:rsidR="00A56A04" w:rsidRPr="00253BA3">
        <w:rPr>
          <w:sz w:val="24"/>
          <w:szCs w:val="24"/>
          <w:lang w:val="en-US"/>
        </w:rPr>
        <w:t>s</w:t>
      </w:r>
      <w:r w:rsidRPr="00253BA3">
        <w:rPr>
          <w:sz w:val="24"/>
          <w:szCs w:val="24"/>
          <w:lang w:val="en-US"/>
        </w:rPr>
        <w:t xml:space="preserve"> </w:t>
      </w:r>
      <w:r w:rsidR="00A62AFD" w:rsidRPr="00253BA3">
        <w:rPr>
          <w:sz w:val="24"/>
          <w:szCs w:val="24"/>
          <w:lang w:val="en-US"/>
        </w:rPr>
        <w:t xml:space="preserve">us to </w:t>
      </w:r>
      <w:r w:rsidRPr="00253BA3">
        <w:rPr>
          <w:sz w:val="24"/>
          <w:szCs w:val="24"/>
          <w:lang w:val="en-US"/>
        </w:rPr>
        <w:t>defin</w:t>
      </w:r>
      <w:r w:rsidR="00A62AFD" w:rsidRPr="00253BA3">
        <w:rPr>
          <w:sz w:val="24"/>
          <w:szCs w:val="24"/>
          <w:lang w:val="en-US"/>
        </w:rPr>
        <w:t>e</w:t>
      </w:r>
      <w:r w:rsidRPr="00253BA3">
        <w:rPr>
          <w:sz w:val="24"/>
          <w:szCs w:val="24"/>
          <w:lang w:val="en-US"/>
        </w:rPr>
        <w:t xml:space="preserve"> </w:t>
      </w:r>
      <w:r w:rsidR="001A62D1" w:rsidRPr="00253BA3">
        <w:rPr>
          <w:sz w:val="24"/>
          <w:szCs w:val="24"/>
          <w:lang w:val="en-US"/>
        </w:rPr>
        <w:t xml:space="preserve">3D and </w:t>
      </w:r>
      <w:r w:rsidRPr="00253BA3">
        <w:rPr>
          <w:sz w:val="24"/>
          <w:szCs w:val="24"/>
          <w:lang w:val="en-US"/>
        </w:rPr>
        <w:t>2D geometries of the artifact accumulations, separated by sterile layers correspond</w:t>
      </w:r>
      <w:r w:rsidR="00A62AFD" w:rsidRPr="00253BA3">
        <w:rPr>
          <w:sz w:val="24"/>
          <w:szCs w:val="24"/>
          <w:lang w:val="en-US"/>
        </w:rPr>
        <w:t>ing</w:t>
      </w:r>
      <w:r w:rsidRPr="00253BA3">
        <w:rPr>
          <w:sz w:val="24"/>
          <w:szCs w:val="24"/>
          <w:lang w:val="en-US"/>
        </w:rPr>
        <w:t xml:space="preserve"> to discr</w:t>
      </w:r>
      <w:r w:rsidR="0041740B" w:rsidRPr="00253BA3">
        <w:rPr>
          <w:sz w:val="24"/>
          <w:szCs w:val="24"/>
          <w:lang w:val="en-US"/>
        </w:rPr>
        <w:t>ete archaeological levels (Martí</w:t>
      </w:r>
      <w:r w:rsidRPr="00253BA3">
        <w:rPr>
          <w:sz w:val="24"/>
          <w:szCs w:val="24"/>
          <w:lang w:val="en-US"/>
        </w:rPr>
        <w:t>nez-Moreno et al., 2004</w:t>
      </w:r>
      <w:r w:rsidR="00A62AFD" w:rsidRPr="00253BA3">
        <w:rPr>
          <w:sz w:val="24"/>
          <w:szCs w:val="24"/>
          <w:lang w:val="en-US"/>
        </w:rPr>
        <w:t xml:space="preserve">, </w:t>
      </w:r>
      <w:r w:rsidR="00AA4107" w:rsidRPr="00253BA3">
        <w:rPr>
          <w:sz w:val="24"/>
          <w:szCs w:val="24"/>
          <w:lang w:val="en-US"/>
        </w:rPr>
        <w:t>2016; Roy 2016a) (F</w:t>
      </w:r>
      <w:r w:rsidRPr="00253BA3">
        <w:rPr>
          <w:sz w:val="24"/>
          <w:szCs w:val="24"/>
          <w:lang w:val="en-US"/>
        </w:rPr>
        <w:t>ig. 2).</w:t>
      </w:r>
      <w:r w:rsidR="001509E8" w:rsidRPr="00253BA3">
        <w:rPr>
          <w:lang w:val="en-US"/>
        </w:rPr>
        <w:t xml:space="preserve"> </w:t>
      </w:r>
    </w:p>
    <w:p w:rsidR="001509E8" w:rsidRPr="00253BA3" w:rsidRDefault="001509E8" w:rsidP="00D658A3">
      <w:pPr>
        <w:spacing w:after="0" w:line="312" w:lineRule="auto"/>
        <w:jc w:val="both"/>
        <w:rPr>
          <w:lang w:val="en-US"/>
        </w:rPr>
      </w:pPr>
    </w:p>
    <w:p w:rsidR="001509E8" w:rsidRPr="00253BA3" w:rsidRDefault="001509E8" w:rsidP="00D658A3">
      <w:pPr>
        <w:spacing w:after="0" w:line="312" w:lineRule="auto"/>
        <w:jc w:val="both"/>
        <w:rPr>
          <w:sz w:val="24"/>
          <w:szCs w:val="24"/>
          <w:lang w:val="en-US"/>
        </w:rPr>
      </w:pPr>
      <w:r w:rsidRPr="00253BA3">
        <w:rPr>
          <w:sz w:val="24"/>
          <w:szCs w:val="24"/>
          <w:lang w:val="en-US"/>
        </w:rPr>
        <w:t xml:space="preserve">These </w:t>
      </w:r>
      <w:r w:rsidR="001A62D1" w:rsidRPr="00253BA3">
        <w:rPr>
          <w:sz w:val="24"/>
          <w:szCs w:val="24"/>
          <w:lang w:val="en-US"/>
        </w:rPr>
        <w:t>archaeological</w:t>
      </w:r>
      <w:r w:rsidRPr="00253BA3">
        <w:rPr>
          <w:sz w:val="24"/>
          <w:szCs w:val="24"/>
          <w:lang w:val="en-US"/>
        </w:rPr>
        <w:t xml:space="preserve"> associations have been excavated over </w:t>
      </w:r>
      <w:r w:rsidR="00A62AFD" w:rsidRPr="00253BA3">
        <w:rPr>
          <w:sz w:val="24"/>
          <w:szCs w:val="24"/>
          <w:lang w:val="en-US"/>
        </w:rPr>
        <w:t xml:space="preserve">areas of </w:t>
      </w:r>
      <w:r w:rsidRPr="00253BA3">
        <w:rPr>
          <w:sz w:val="24"/>
          <w:szCs w:val="24"/>
          <w:lang w:val="en-US"/>
        </w:rPr>
        <w:t xml:space="preserve">60 and 100 m2. These differences in the recovered surfaces result </w:t>
      </w:r>
      <w:r w:rsidR="00A62AFD" w:rsidRPr="00253BA3">
        <w:rPr>
          <w:sz w:val="24"/>
          <w:szCs w:val="24"/>
          <w:lang w:val="en-US"/>
        </w:rPr>
        <w:t xml:space="preserve">from </w:t>
      </w:r>
      <w:r w:rsidRPr="00253BA3">
        <w:rPr>
          <w:sz w:val="24"/>
          <w:szCs w:val="24"/>
          <w:lang w:val="en-US"/>
        </w:rPr>
        <w:t>recent destruction</w:t>
      </w:r>
      <w:r w:rsidR="00250C8C" w:rsidRPr="00253BA3">
        <w:rPr>
          <w:sz w:val="24"/>
          <w:szCs w:val="24"/>
          <w:lang w:val="en-US"/>
        </w:rPr>
        <w:t xml:space="preserve"> of the site</w:t>
      </w:r>
      <w:r w:rsidRPr="00253BA3">
        <w:rPr>
          <w:sz w:val="24"/>
          <w:szCs w:val="24"/>
          <w:lang w:val="en-US"/>
        </w:rPr>
        <w:t xml:space="preserve"> </w:t>
      </w:r>
      <w:r w:rsidR="001A62D1" w:rsidRPr="00253BA3">
        <w:rPr>
          <w:sz w:val="24"/>
          <w:szCs w:val="24"/>
          <w:lang w:val="en-US"/>
        </w:rPr>
        <w:t>due to</w:t>
      </w:r>
      <w:r w:rsidR="00A62AFD" w:rsidRPr="00253BA3">
        <w:rPr>
          <w:sz w:val="24"/>
          <w:szCs w:val="24"/>
          <w:lang w:val="en-US"/>
        </w:rPr>
        <w:t xml:space="preserve"> </w:t>
      </w:r>
      <w:r w:rsidRPr="00253BA3">
        <w:rPr>
          <w:sz w:val="24"/>
          <w:szCs w:val="24"/>
          <w:lang w:val="en-US"/>
        </w:rPr>
        <w:t>the use of the rock</w:t>
      </w:r>
      <w:r w:rsidR="00A62AFD" w:rsidRPr="00253BA3">
        <w:rPr>
          <w:sz w:val="24"/>
          <w:szCs w:val="24"/>
          <w:lang w:val="en-US"/>
        </w:rPr>
        <w:t>-</w:t>
      </w:r>
      <w:r w:rsidRPr="00253BA3">
        <w:rPr>
          <w:sz w:val="24"/>
          <w:szCs w:val="24"/>
          <w:lang w:val="en-US"/>
        </w:rPr>
        <w:t>shelter as a pen-site</w:t>
      </w:r>
      <w:r w:rsidR="00250C8C" w:rsidRPr="00253BA3">
        <w:rPr>
          <w:sz w:val="24"/>
          <w:szCs w:val="24"/>
          <w:lang w:val="en-US"/>
        </w:rPr>
        <w:t xml:space="preserve"> in recent time</w:t>
      </w:r>
      <w:r w:rsidR="00A56A04" w:rsidRPr="00253BA3">
        <w:rPr>
          <w:sz w:val="24"/>
          <w:szCs w:val="24"/>
          <w:lang w:val="en-US"/>
        </w:rPr>
        <w:t>s</w:t>
      </w:r>
      <w:r w:rsidRPr="00253BA3">
        <w:rPr>
          <w:sz w:val="24"/>
          <w:szCs w:val="24"/>
          <w:lang w:val="en-US"/>
        </w:rPr>
        <w:t xml:space="preserve">, </w:t>
      </w:r>
      <w:r w:rsidR="00A62AFD" w:rsidRPr="00253BA3">
        <w:rPr>
          <w:sz w:val="24"/>
          <w:szCs w:val="24"/>
          <w:lang w:val="en-US"/>
        </w:rPr>
        <w:t xml:space="preserve">which </w:t>
      </w:r>
      <w:r w:rsidRPr="00253BA3">
        <w:rPr>
          <w:sz w:val="24"/>
          <w:szCs w:val="24"/>
          <w:lang w:val="en-US"/>
        </w:rPr>
        <w:t xml:space="preserve">affected the </w:t>
      </w:r>
      <w:r w:rsidR="004A0052">
        <w:rPr>
          <w:sz w:val="24"/>
          <w:szCs w:val="24"/>
          <w:lang w:val="en-US"/>
        </w:rPr>
        <w:t xml:space="preserve">horizontal continuity and </w:t>
      </w:r>
      <w:r w:rsidRPr="00253BA3">
        <w:rPr>
          <w:sz w:val="24"/>
          <w:szCs w:val="24"/>
          <w:lang w:val="en-US"/>
        </w:rPr>
        <w:t>integrity of the archaeological levels. Excavation of these large surfaces aims to define settlement patterns by identifying ta</w:t>
      </w:r>
      <w:r w:rsidR="00A62AFD" w:rsidRPr="00253BA3">
        <w:rPr>
          <w:sz w:val="24"/>
          <w:szCs w:val="24"/>
          <w:lang w:val="en-US"/>
        </w:rPr>
        <w:t>s</w:t>
      </w:r>
      <w:r w:rsidR="001A62D1" w:rsidRPr="00253BA3">
        <w:rPr>
          <w:sz w:val="24"/>
          <w:szCs w:val="24"/>
          <w:lang w:val="en-US"/>
        </w:rPr>
        <w:t>ks</w:t>
      </w:r>
      <w:r w:rsidRPr="00253BA3">
        <w:rPr>
          <w:sz w:val="24"/>
          <w:szCs w:val="24"/>
          <w:lang w:val="en-US"/>
        </w:rPr>
        <w:t xml:space="preserve">/activity areas. </w:t>
      </w:r>
      <w:r w:rsidR="00A62AFD" w:rsidRPr="00253BA3">
        <w:rPr>
          <w:sz w:val="24"/>
          <w:szCs w:val="24"/>
          <w:lang w:val="en-US"/>
        </w:rPr>
        <w:t>Lithic</w:t>
      </w:r>
      <w:r w:rsidRPr="00253BA3">
        <w:rPr>
          <w:sz w:val="24"/>
          <w:szCs w:val="24"/>
          <w:lang w:val="en-US"/>
        </w:rPr>
        <w:t xml:space="preserve"> tools attributes (raw material, reduction system, analysis of blank and retouched tools)</w:t>
      </w:r>
      <w:r w:rsidR="00A62AFD" w:rsidRPr="00253BA3">
        <w:rPr>
          <w:sz w:val="24"/>
          <w:szCs w:val="24"/>
          <w:lang w:val="en-US"/>
        </w:rPr>
        <w:t xml:space="preserve"> and</w:t>
      </w:r>
      <w:r w:rsidRPr="00253BA3">
        <w:rPr>
          <w:sz w:val="24"/>
          <w:szCs w:val="24"/>
          <w:lang w:val="en-US"/>
        </w:rPr>
        <w:t xml:space="preserve"> fauna (species, NISP/NMI index and bone modifications) </w:t>
      </w:r>
      <w:r w:rsidR="00A62AFD" w:rsidRPr="00253BA3">
        <w:rPr>
          <w:sz w:val="24"/>
          <w:szCs w:val="24"/>
          <w:lang w:val="en-US"/>
        </w:rPr>
        <w:t xml:space="preserve">are </w:t>
      </w:r>
      <w:r w:rsidRPr="00253BA3">
        <w:rPr>
          <w:sz w:val="24"/>
          <w:szCs w:val="24"/>
          <w:lang w:val="en-US"/>
        </w:rPr>
        <w:t xml:space="preserve">combined with the position of hearths and rocks </w:t>
      </w:r>
      <w:r w:rsidR="00A62AFD" w:rsidRPr="00253BA3">
        <w:rPr>
          <w:sz w:val="24"/>
          <w:szCs w:val="24"/>
          <w:lang w:val="en-US"/>
        </w:rPr>
        <w:t xml:space="preserve">larger </w:t>
      </w:r>
      <w:r w:rsidRPr="00253BA3">
        <w:rPr>
          <w:sz w:val="24"/>
          <w:szCs w:val="24"/>
          <w:lang w:val="en-US"/>
        </w:rPr>
        <w:t xml:space="preserve">than 15 cm </w:t>
      </w:r>
      <w:r w:rsidR="00A62AFD" w:rsidRPr="00253BA3">
        <w:rPr>
          <w:sz w:val="24"/>
          <w:szCs w:val="24"/>
          <w:lang w:val="en-US"/>
        </w:rPr>
        <w:t xml:space="preserve">in </w:t>
      </w:r>
      <w:r w:rsidRPr="00253BA3">
        <w:rPr>
          <w:sz w:val="24"/>
          <w:szCs w:val="24"/>
          <w:lang w:val="en-US"/>
        </w:rPr>
        <w:t>length. These spatial and contextual indicators allow analyzing intra</w:t>
      </w:r>
      <w:r w:rsidR="00A62AFD" w:rsidRPr="00253BA3">
        <w:rPr>
          <w:sz w:val="24"/>
          <w:szCs w:val="24"/>
          <w:lang w:val="en-US"/>
        </w:rPr>
        <w:t>-</w:t>
      </w:r>
      <w:r w:rsidRPr="00253BA3">
        <w:rPr>
          <w:sz w:val="24"/>
          <w:szCs w:val="24"/>
          <w:lang w:val="en-US"/>
        </w:rPr>
        <w:t xml:space="preserve">site patterns </w:t>
      </w:r>
      <w:r w:rsidR="00A62AFD" w:rsidRPr="00253BA3">
        <w:rPr>
          <w:sz w:val="24"/>
          <w:szCs w:val="24"/>
          <w:lang w:val="en-US"/>
        </w:rPr>
        <w:t xml:space="preserve">at </w:t>
      </w:r>
      <w:r w:rsidR="007840CD" w:rsidRPr="00253BA3">
        <w:rPr>
          <w:sz w:val="24"/>
          <w:szCs w:val="24"/>
          <w:lang w:val="en-US"/>
        </w:rPr>
        <w:t xml:space="preserve">archaeological </w:t>
      </w:r>
      <w:r w:rsidRPr="00253BA3">
        <w:rPr>
          <w:sz w:val="24"/>
          <w:szCs w:val="24"/>
          <w:lang w:val="en-US"/>
        </w:rPr>
        <w:t>levels</w:t>
      </w:r>
      <w:r w:rsidR="007840CD" w:rsidRPr="00253BA3">
        <w:rPr>
          <w:sz w:val="24"/>
          <w:szCs w:val="24"/>
          <w:lang w:val="en-US"/>
        </w:rPr>
        <w:t>,</w:t>
      </w:r>
      <w:r w:rsidRPr="00253BA3">
        <w:rPr>
          <w:sz w:val="24"/>
          <w:szCs w:val="24"/>
          <w:lang w:val="en-US"/>
        </w:rPr>
        <w:t xml:space="preserve"> </w:t>
      </w:r>
      <w:r w:rsidR="00A62AFD" w:rsidRPr="00253BA3">
        <w:rPr>
          <w:sz w:val="24"/>
          <w:szCs w:val="24"/>
          <w:lang w:val="en-US"/>
        </w:rPr>
        <w:t xml:space="preserve">which </w:t>
      </w:r>
      <w:r w:rsidRPr="00253BA3">
        <w:rPr>
          <w:sz w:val="24"/>
          <w:szCs w:val="24"/>
          <w:lang w:val="en-US"/>
        </w:rPr>
        <w:t>are not flat or sub</w:t>
      </w:r>
      <w:r w:rsidR="00A56A04" w:rsidRPr="00253BA3">
        <w:rPr>
          <w:sz w:val="24"/>
          <w:szCs w:val="24"/>
          <w:lang w:val="en-US"/>
        </w:rPr>
        <w:t>-</w:t>
      </w:r>
      <w:r w:rsidRPr="00253BA3">
        <w:rPr>
          <w:sz w:val="24"/>
          <w:szCs w:val="24"/>
          <w:lang w:val="en-US"/>
        </w:rPr>
        <w:t>horizontal surfaces</w:t>
      </w:r>
      <w:r w:rsidR="00A62AFD" w:rsidRPr="00253BA3">
        <w:rPr>
          <w:sz w:val="24"/>
          <w:szCs w:val="24"/>
          <w:lang w:val="en-US"/>
        </w:rPr>
        <w:t xml:space="preserve">.  </w:t>
      </w:r>
      <w:r w:rsidR="00A56A04" w:rsidRPr="00253BA3">
        <w:rPr>
          <w:sz w:val="24"/>
          <w:szCs w:val="24"/>
          <w:lang w:val="en-US"/>
        </w:rPr>
        <w:t>Such surfaces</w:t>
      </w:r>
      <w:r w:rsidR="007840CD" w:rsidRPr="00253BA3">
        <w:rPr>
          <w:sz w:val="24"/>
          <w:szCs w:val="24"/>
          <w:lang w:val="en-US"/>
        </w:rPr>
        <w:t xml:space="preserve"> </w:t>
      </w:r>
      <w:r w:rsidR="00253BA3" w:rsidRPr="00253BA3">
        <w:rPr>
          <w:sz w:val="24"/>
          <w:szCs w:val="24"/>
          <w:lang w:val="en-US"/>
        </w:rPr>
        <w:t>form</w:t>
      </w:r>
      <w:r w:rsidRPr="00253BA3">
        <w:rPr>
          <w:sz w:val="24"/>
          <w:szCs w:val="24"/>
          <w:lang w:val="en-US"/>
        </w:rPr>
        <w:t xml:space="preserve"> a concave structure in which fireplaces were installed and lithic and bone</w:t>
      </w:r>
      <w:r w:rsidR="00A62AFD" w:rsidRPr="00253BA3">
        <w:rPr>
          <w:sz w:val="24"/>
          <w:szCs w:val="24"/>
          <w:lang w:val="en-US"/>
        </w:rPr>
        <w:t xml:space="preserve"> artifacts</w:t>
      </w:r>
      <w:r w:rsidRPr="00253BA3">
        <w:rPr>
          <w:sz w:val="24"/>
          <w:szCs w:val="24"/>
          <w:lang w:val="en-US"/>
        </w:rPr>
        <w:t xml:space="preserve"> abandoned (Martínez-Moreno et al. 2004) (Fig. 1).   </w:t>
      </w:r>
    </w:p>
    <w:p w:rsidR="001509E8" w:rsidRPr="00253BA3" w:rsidRDefault="001509E8" w:rsidP="00D658A3">
      <w:pPr>
        <w:spacing w:after="0" w:line="312" w:lineRule="auto"/>
        <w:jc w:val="both"/>
        <w:rPr>
          <w:sz w:val="24"/>
          <w:szCs w:val="24"/>
          <w:lang w:val="en-US"/>
        </w:rPr>
      </w:pPr>
    </w:p>
    <w:p w:rsidR="00CB0720" w:rsidRPr="00253BA3" w:rsidRDefault="00250C8C" w:rsidP="00D658A3">
      <w:pPr>
        <w:spacing w:after="0" w:line="312" w:lineRule="auto"/>
        <w:jc w:val="both"/>
        <w:rPr>
          <w:lang w:val="en-US"/>
        </w:rPr>
      </w:pPr>
      <w:r w:rsidRPr="00253BA3">
        <w:rPr>
          <w:sz w:val="24"/>
          <w:szCs w:val="24"/>
          <w:lang w:val="en-US"/>
        </w:rPr>
        <w:t>Gravity-induced clast</w:t>
      </w:r>
      <w:r w:rsidR="006246E5" w:rsidRPr="00253BA3">
        <w:rPr>
          <w:sz w:val="24"/>
          <w:szCs w:val="24"/>
          <w:lang w:val="en-US"/>
        </w:rPr>
        <w:t xml:space="preserve"> slopes</w:t>
      </w:r>
      <w:r w:rsidR="001509E8" w:rsidRPr="00253BA3">
        <w:rPr>
          <w:sz w:val="24"/>
          <w:szCs w:val="24"/>
          <w:lang w:val="en-US"/>
        </w:rPr>
        <w:t xml:space="preserve"> indicate changes in orientations between the </w:t>
      </w:r>
      <w:r w:rsidR="006246E5" w:rsidRPr="00253BA3">
        <w:rPr>
          <w:sz w:val="24"/>
          <w:szCs w:val="24"/>
          <w:lang w:val="en-US"/>
        </w:rPr>
        <w:t>eastern</w:t>
      </w:r>
      <w:r w:rsidR="001509E8" w:rsidRPr="00253BA3">
        <w:rPr>
          <w:sz w:val="24"/>
          <w:szCs w:val="24"/>
          <w:lang w:val="en-US"/>
        </w:rPr>
        <w:t xml:space="preserve"> and </w:t>
      </w:r>
      <w:r w:rsidR="006246E5" w:rsidRPr="00253BA3">
        <w:rPr>
          <w:sz w:val="24"/>
          <w:szCs w:val="24"/>
          <w:lang w:val="en-US"/>
        </w:rPr>
        <w:t>western</w:t>
      </w:r>
      <w:r w:rsidR="001509E8" w:rsidRPr="00253BA3">
        <w:rPr>
          <w:sz w:val="24"/>
          <w:szCs w:val="24"/>
          <w:lang w:val="en-US"/>
        </w:rPr>
        <w:t xml:space="preserve"> ends of the rock-shelter (Benito-Calvo et al. 2009), an observation consistent with the delineation obtained from the coordinated art</w:t>
      </w:r>
      <w:r w:rsidR="003950BE" w:rsidRPr="00253BA3">
        <w:rPr>
          <w:sz w:val="24"/>
          <w:szCs w:val="24"/>
          <w:lang w:val="en-US"/>
        </w:rPr>
        <w:t>i</w:t>
      </w:r>
      <w:r w:rsidR="001509E8" w:rsidRPr="00253BA3">
        <w:rPr>
          <w:sz w:val="24"/>
          <w:szCs w:val="24"/>
          <w:lang w:val="en-US"/>
        </w:rPr>
        <w:t xml:space="preserve">facts. Likewise, </w:t>
      </w:r>
      <w:r w:rsidR="003950BE" w:rsidRPr="00253BA3">
        <w:rPr>
          <w:sz w:val="24"/>
          <w:szCs w:val="24"/>
          <w:lang w:val="en-US"/>
        </w:rPr>
        <w:t xml:space="preserve">the </w:t>
      </w:r>
      <w:r w:rsidR="001509E8" w:rsidRPr="00253BA3">
        <w:rPr>
          <w:sz w:val="24"/>
          <w:szCs w:val="24"/>
          <w:lang w:val="en-US"/>
        </w:rPr>
        <w:t>shape of the fireplaces confirm</w:t>
      </w:r>
      <w:r w:rsidR="003950BE" w:rsidRPr="00253BA3">
        <w:rPr>
          <w:sz w:val="24"/>
          <w:szCs w:val="24"/>
          <w:lang w:val="en-US"/>
        </w:rPr>
        <w:t>s that</w:t>
      </w:r>
      <w:r w:rsidR="001509E8" w:rsidRPr="00253BA3">
        <w:rPr>
          <w:sz w:val="24"/>
          <w:szCs w:val="24"/>
          <w:lang w:val="en-US"/>
        </w:rPr>
        <w:t xml:space="preserve"> they were installed on slopes. These occupations conform to a topography made up of two opposite sedimentary  cones </w:t>
      </w:r>
      <w:r w:rsidR="003950BE" w:rsidRPr="00253BA3">
        <w:rPr>
          <w:sz w:val="24"/>
          <w:szCs w:val="24"/>
          <w:lang w:val="en-US"/>
        </w:rPr>
        <w:t>which produce</w:t>
      </w:r>
      <w:r w:rsidR="001509E8" w:rsidRPr="00253BA3">
        <w:rPr>
          <w:sz w:val="24"/>
          <w:szCs w:val="24"/>
          <w:lang w:val="en-US"/>
        </w:rPr>
        <w:t xml:space="preserve"> main slopes of 5º-15º, converging in the central </w:t>
      </w:r>
      <w:r w:rsidR="003950BE" w:rsidRPr="00253BA3">
        <w:rPr>
          <w:sz w:val="24"/>
          <w:szCs w:val="24"/>
          <w:lang w:val="en-US"/>
        </w:rPr>
        <w:t xml:space="preserve">zone </w:t>
      </w:r>
      <w:r w:rsidR="001509E8" w:rsidRPr="00253BA3">
        <w:rPr>
          <w:sz w:val="24"/>
          <w:szCs w:val="24"/>
          <w:lang w:val="en-US"/>
        </w:rPr>
        <w:t>of the excavated area (</w:t>
      </w:r>
      <w:r w:rsidR="007840CD" w:rsidRPr="00253BA3">
        <w:rPr>
          <w:sz w:val="24"/>
          <w:szCs w:val="24"/>
          <w:lang w:val="en-US"/>
        </w:rPr>
        <w:t>F</w:t>
      </w:r>
      <w:r w:rsidR="001509E8" w:rsidRPr="00253BA3">
        <w:rPr>
          <w:sz w:val="24"/>
          <w:szCs w:val="24"/>
          <w:lang w:val="en-US"/>
        </w:rPr>
        <w:t>ig. 2).</w:t>
      </w:r>
      <w:r w:rsidR="0002157C" w:rsidRPr="00253BA3">
        <w:rPr>
          <w:lang w:val="en-US"/>
        </w:rPr>
        <w:t xml:space="preserve"> </w:t>
      </w:r>
      <w:r w:rsidR="003950BE" w:rsidRPr="00253BA3">
        <w:rPr>
          <w:sz w:val="24"/>
          <w:szCs w:val="24"/>
          <w:lang w:val="en-US"/>
        </w:rPr>
        <w:t>The</w:t>
      </w:r>
      <w:r w:rsidR="0002157C" w:rsidRPr="00253BA3">
        <w:rPr>
          <w:sz w:val="24"/>
          <w:szCs w:val="24"/>
          <w:lang w:val="en-US"/>
        </w:rPr>
        <w:t xml:space="preserve"> analysis of vertical dispersion of coordinates  and its relationship with the volumetric position occupied by hearths and fallen blocks</w:t>
      </w:r>
      <w:r w:rsidR="003950BE" w:rsidRPr="00253BA3">
        <w:rPr>
          <w:sz w:val="24"/>
          <w:szCs w:val="24"/>
          <w:lang w:val="en-US"/>
        </w:rPr>
        <w:t xml:space="preserve"> has been carried out to establish spatio-temporal associations</w:t>
      </w:r>
      <w:r w:rsidR="0002157C" w:rsidRPr="00253BA3">
        <w:rPr>
          <w:sz w:val="24"/>
          <w:szCs w:val="24"/>
          <w:lang w:val="en-US"/>
        </w:rPr>
        <w:t xml:space="preserve">. 2D orthogonal and oblique vertical plots allow </w:t>
      </w:r>
      <w:r w:rsidR="003950BE" w:rsidRPr="00253BA3">
        <w:rPr>
          <w:sz w:val="24"/>
          <w:szCs w:val="24"/>
          <w:lang w:val="en-US"/>
        </w:rPr>
        <w:t xml:space="preserve">us </w:t>
      </w:r>
      <w:r w:rsidR="0002157C" w:rsidRPr="00253BA3">
        <w:rPr>
          <w:sz w:val="24"/>
          <w:szCs w:val="24"/>
          <w:lang w:val="en-US"/>
        </w:rPr>
        <w:t>to establish precise stratigraphic positions between these components to determine whether these accumulations are contemporary</w:t>
      </w:r>
      <w:r w:rsidR="00CB0720" w:rsidRPr="00253BA3">
        <w:rPr>
          <w:sz w:val="24"/>
          <w:szCs w:val="24"/>
          <w:lang w:val="en-US"/>
        </w:rPr>
        <w:t>,</w:t>
      </w:r>
      <w:r w:rsidR="0002157C" w:rsidRPr="00253BA3">
        <w:rPr>
          <w:sz w:val="24"/>
          <w:szCs w:val="24"/>
          <w:lang w:val="en-US"/>
        </w:rPr>
        <w:t xml:space="preserve"> or alternatively diachronic (Martínez-Moreno et al., 2016).</w:t>
      </w:r>
      <w:r w:rsidR="0002157C" w:rsidRPr="00253BA3">
        <w:rPr>
          <w:lang w:val="en-US"/>
        </w:rPr>
        <w:t xml:space="preserve"> </w:t>
      </w:r>
    </w:p>
    <w:p w:rsidR="00CB0720" w:rsidRPr="00253BA3" w:rsidRDefault="00CB0720" w:rsidP="00D658A3">
      <w:pPr>
        <w:spacing w:after="0" w:line="312" w:lineRule="auto"/>
        <w:jc w:val="both"/>
        <w:rPr>
          <w:lang w:val="en-US"/>
        </w:rPr>
      </w:pPr>
    </w:p>
    <w:p w:rsidR="000922E7" w:rsidRPr="00253BA3" w:rsidRDefault="003E02D2" w:rsidP="00D658A3">
      <w:pPr>
        <w:spacing w:after="0" w:line="312" w:lineRule="auto"/>
        <w:jc w:val="both"/>
        <w:rPr>
          <w:sz w:val="24"/>
          <w:szCs w:val="24"/>
          <w:lang w:val="en-US"/>
        </w:rPr>
      </w:pPr>
      <w:r w:rsidRPr="00253BA3">
        <w:rPr>
          <w:sz w:val="24"/>
          <w:szCs w:val="24"/>
          <w:lang w:val="en-US"/>
        </w:rPr>
        <w:t>Through this</w:t>
      </w:r>
      <w:r w:rsidR="0002157C" w:rsidRPr="00253BA3">
        <w:rPr>
          <w:sz w:val="24"/>
          <w:szCs w:val="24"/>
          <w:lang w:val="en-US"/>
        </w:rPr>
        <w:t xml:space="preserve"> analysis </w:t>
      </w:r>
      <w:r w:rsidRPr="00253BA3">
        <w:rPr>
          <w:sz w:val="24"/>
          <w:szCs w:val="24"/>
          <w:lang w:val="en-US"/>
        </w:rPr>
        <w:t xml:space="preserve">it was possible </w:t>
      </w:r>
      <w:r w:rsidR="0002157C" w:rsidRPr="00253BA3">
        <w:rPr>
          <w:sz w:val="24"/>
          <w:szCs w:val="24"/>
          <w:lang w:val="en-US"/>
        </w:rPr>
        <w:t xml:space="preserve">to identify fusion/fission processes in the inner </w:t>
      </w:r>
      <w:r w:rsidRPr="00253BA3">
        <w:rPr>
          <w:sz w:val="24"/>
          <w:szCs w:val="24"/>
          <w:lang w:val="en-US"/>
        </w:rPr>
        <w:t xml:space="preserve">part </w:t>
      </w:r>
      <w:r w:rsidR="0002157C" w:rsidRPr="00253BA3">
        <w:rPr>
          <w:sz w:val="24"/>
          <w:szCs w:val="24"/>
          <w:lang w:val="en-US"/>
        </w:rPr>
        <w:t>of an archaeological level</w:t>
      </w:r>
      <w:r w:rsidRPr="00253BA3">
        <w:rPr>
          <w:sz w:val="24"/>
          <w:szCs w:val="24"/>
          <w:lang w:val="en-US"/>
        </w:rPr>
        <w:t xml:space="preserve"> in some excavated areas</w:t>
      </w:r>
      <w:r w:rsidR="0002157C" w:rsidRPr="00253BA3">
        <w:rPr>
          <w:sz w:val="24"/>
          <w:szCs w:val="24"/>
          <w:lang w:val="en-US"/>
        </w:rPr>
        <w:t xml:space="preserve">. These archaeological levels </w:t>
      </w:r>
      <w:r w:rsidRPr="00253BA3">
        <w:rPr>
          <w:sz w:val="24"/>
          <w:szCs w:val="24"/>
          <w:lang w:val="en-US"/>
        </w:rPr>
        <w:t xml:space="preserve">are </w:t>
      </w:r>
      <w:r w:rsidR="0002157C" w:rsidRPr="00253BA3">
        <w:rPr>
          <w:sz w:val="24"/>
          <w:szCs w:val="24"/>
          <w:lang w:val="en-US"/>
        </w:rPr>
        <w:t>not very thick and could be interpreted as unique occupation events</w:t>
      </w:r>
      <w:r w:rsidR="0097687B" w:rsidRPr="00253BA3">
        <w:rPr>
          <w:sz w:val="24"/>
          <w:szCs w:val="24"/>
          <w:lang w:val="en-US"/>
        </w:rPr>
        <w:t>. A</w:t>
      </w:r>
      <w:r w:rsidR="0002157C" w:rsidRPr="00253BA3">
        <w:rPr>
          <w:sz w:val="24"/>
          <w:szCs w:val="24"/>
          <w:lang w:val="en-US"/>
        </w:rPr>
        <w:t xml:space="preserve">lternatively the infographic visualization of the development of vertical dispersion over 8-10 m </w:t>
      </w:r>
      <w:r w:rsidR="0097687B" w:rsidRPr="00253BA3">
        <w:rPr>
          <w:sz w:val="24"/>
          <w:szCs w:val="24"/>
          <w:lang w:val="en-US"/>
        </w:rPr>
        <w:t xml:space="preserve">identified </w:t>
      </w:r>
      <w:r w:rsidR="0002157C" w:rsidRPr="00253BA3">
        <w:rPr>
          <w:sz w:val="24"/>
          <w:szCs w:val="24"/>
          <w:lang w:val="en-US"/>
        </w:rPr>
        <w:t>various dif</w:t>
      </w:r>
      <w:r w:rsidR="003E1AD7" w:rsidRPr="00253BA3">
        <w:rPr>
          <w:sz w:val="24"/>
          <w:szCs w:val="24"/>
          <w:lang w:val="en-US"/>
        </w:rPr>
        <w:t>f</w:t>
      </w:r>
      <w:r w:rsidR="0002157C" w:rsidRPr="00253BA3">
        <w:rPr>
          <w:sz w:val="24"/>
          <w:szCs w:val="24"/>
          <w:lang w:val="en-US"/>
        </w:rPr>
        <w:t xml:space="preserve">erent processes affecting their contextual resolution. </w:t>
      </w:r>
    </w:p>
    <w:p w:rsidR="000922E7" w:rsidRPr="00253BA3" w:rsidRDefault="000922E7" w:rsidP="00D658A3">
      <w:pPr>
        <w:spacing w:after="0" w:line="26" w:lineRule="atLeast"/>
        <w:jc w:val="both"/>
        <w:rPr>
          <w:sz w:val="24"/>
          <w:szCs w:val="24"/>
          <w:lang w:val="en-US"/>
        </w:rPr>
      </w:pPr>
    </w:p>
    <w:p w:rsidR="001509E8" w:rsidRPr="00253BA3" w:rsidRDefault="004A0052" w:rsidP="00D658A3">
      <w:pPr>
        <w:spacing w:after="0" w:line="312" w:lineRule="auto"/>
        <w:jc w:val="both"/>
        <w:rPr>
          <w:sz w:val="24"/>
          <w:szCs w:val="24"/>
          <w:lang w:val="en-US"/>
        </w:rPr>
      </w:pPr>
      <w:r>
        <w:rPr>
          <w:color w:val="000000" w:themeColor="text1"/>
          <w:szCs w:val="24"/>
          <w:lang w:val="es-ES" w:eastAsia="es-ES"/>
        </w:rPr>
        <w:drawing>
          <wp:inline distT="0" distB="0" distL="0" distR="0" wp14:anchorId="1A316FC2" wp14:editId="7599125B">
            <wp:extent cx="5400040" cy="6298933"/>
            <wp:effectExtent l="0" t="0" r="0" b="6985"/>
            <wp:docPr id="2" name="Imagen 2" descr="C:\Users\win7\Desktop\fig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fig2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6298933"/>
                    </a:xfrm>
                    <a:prstGeom prst="rect">
                      <a:avLst/>
                    </a:prstGeom>
                    <a:noFill/>
                    <a:ln>
                      <a:noFill/>
                    </a:ln>
                  </pic:spPr>
                </pic:pic>
              </a:graphicData>
            </a:graphic>
          </wp:inline>
        </w:drawing>
      </w:r>
    </w:p>
    <w:p w:rsidR="00222A28" w:rsidRPr="00253BA3" w:rsidRDefault="00222A28" w:rsidP="00D658A3">
      <w:pPr>
        <w:spacing w:after="0" w:line="312" w:lineRule="auto"/>
        <w:jc w:val="both"/>
        <w:rPr>
          <w:sz w:val="24"/>
          <w:szCs w:val="24"/>
          <w:lang w:val="en-US"/>
        </w:rPr>
      </w:pPr>
    </w:p>
    <w:p w:rsidR="00222A28" w:rsidRPr="00253BA3" w:rsidRDefault="00222A28" w:rsidP="00D658A3">
      <w:pPr>
        <w:spacing w:after="0" w:line="240" w:lineRule="auto"/>
        <w:jc w:val="both"/>
        <w:rPr>
          <w:szCs w:val="24"/>
          <w:lang w:val="en-US"/>
        </w:rPr>
      </w:pPr>
      <w:r w:rsidRPr="00253BA3">
        <w:rPr>
          <w:szCs w:val="24"/>
          <w:lang w:val="en-US"/>
        </w:rPr>
        <w:t xml:space="preserve">Fig. 2- Horizontal distribution of levels N10 and N12 with the location of  the orthogonal and oblique vertical plots (A, B, C, D) used to analyze relationships between </w:t>
      </w:r>
      <w:r w:rsidR="0097687B" w:rsidRPr="00253BA3">
        <w:rPr>
          <w:szCs w:val="24"/>
          <w:lang w:val="en-US"/>
        </w:rPr>
        <w:t>artifacts</w:t>
      </w:r>
      <w:r w:rsidRPr="00253BA3">
        <w:rPr>
          <w:szCs w:val="24"/>
          <w:lang w:val="en-US"/>
        </w:rPr>
        <w:t xml:space="preserve">, hearths and blocks. Visualscapes represent the geometries of levels N10 and N12 with a thickness of 20 cm. These graphics indicate </w:t>
      </w:r>
      <w:r w:rsidR="0097687B" w:rsidRPr="00253BA3">
        <w:rPr>
          <w:szCs w:val="24"/>
          <w:lang w:val="en-US"/>
        </w:rPr>
        <w:t xml:space="preserve">that </w:t>
      </w:r>
      <w:r w:rsidRPr="00253BA3">
        <w:rPr>
          <w:szCs w:val="24"/>
          <w:lang w:val="en-US"/>
        </w:rPr>
        <w:t xml:space="preserve">artifacts and hearths are depositated on a concave sedimentary structure centered around the X axis = 30,000-35,000. Relationships between coordinates and fireplaces </w:t>
      </w:r>
      <w:r w:rsidR="0097687B" w:rsidRPr="00253BA3">
        <w:rPr>
          <w:szCs w:val="24"/>
          <w:lang w:val="en-US"/>
        </w:rPr>
        <w:t>suggest</w:t>
      </w:r>
      <w:r w:rsidRPr="00253BA3">
        <w:rPr>
          <w:szCs w:val="24"/>
          <w:lang w:val="en-US"/>
        </w:rPr>
        <w:t xml:space="preserve"> processes of fusion/fission, interpreted as stratigraphically overlapping events </w:t>
      </w:r>
      <w:r w:rsidR="0097687B" w:rsidRPr="00253BA3">
        <w:rPr>
          <w:szCs w:val="24"/>
          <w:lang w:val="en-US"/>
        </w:rPr>
        <w:t xml:space="preserve">which </w:t>
      </w:r>
      <w:r w:rsidRPr="00253BA3">
        <w:rPr>
          <w:szCs w:val="24"/>
          <w:lang w:val="en-US"/>
        </w:rPr>
        <w:t xml:space="preserve">correspond  </w:t>
      </w:r>
      <w:r w:rsidR="00E752AA" w:rsidRPr="00253BA3">
        <w:rPr>
          <w:szCs w:val="24"/>
          <w:lang w:val="en-US"/>
        </w:rPr>
        <w:t>to</w:t>
      </w:r>
      <w:r w:rsidRPr="00253BA3">
        <w:rPr>
          <w:szCs w:val="24"/>
          <w:lang w:val="en-US"/>
        </w:rPr>
        <w:t xml:space="preserve"> different temporal phases of occupation in each level (see Martínez-Moreno et al. 2016).</w:t>
      </w:r>
      <w:r w:rsidR="00250C8C" w:rsidRPr="00253BA3">
        <w:rPr>
          <w:szCs w:val="24"/>
          <w:lang w:val="en-US"/>
        </w:rPr>
        <w:t xml:space="preserve"> Excavation coordinate grid in mm.</w:t>
      </w:r>
    </w:p>
    <w:p w:rsidR="00250C8C" w:rsidRPr="00253BA3" w:rsidRDefault="00250C8C" w:rsidP="00D658A3">
      <w:pPr>
        <w:spacing w:after="0" w:line="240" w:lineRule="auto"/>
        <w:jc w:val="both"/>
        <w:rPr>
          <w:szCs w:val="24"/>
          <w:lang w:val="en-US"/>
        </w:rPr>
      </w:pPr>
    </w:p>
    <w:p w:rsidR="00250C8C" w:rsidRPr="00253BA3" w:rsidRDefault="00250C8C" w:rsidP="00D658A3">
      <w:pPr>
        <w:spacing w:after="0" w:line="240" w:lineRule="auto"/>
        <w:jc w:val="both"/>
        <w:rPr>
          <w:szCs w:val="24"/>
          <w:lang w:val="en-US"/>
        </w:rPr>
      </w:pPr>
    </w:p>
    <w:p w:rsidR="00250C8C" w:rsidRPr="00253BA3" w:rsidRDefault="00250C8C" w:rsidP="00D658A3">
      <w:pPr>
        <w:spacing w:after="0" w:line="240" w:lineRule="auto"/>
        <w:jc w:val="both"/>
        <w:rPr>
          <w:szCs w:val="24"/>
          <w:lang w:val="en-US"/>
        </w:rPr>
      </w:pPr>
    </w:p>
    <w:p w:rsidR="00CB0720" w:rsidRPr="00253BA3" w:rsidRDefault="00CB0720" w:rsidP="00D658A3">
      <w:pPr>
        <w:spacing w:after="0" w:line="240" w:lineRule="auto"/>
        <w:jc w:val="both"/>
        <w:rPr>
          <w:sz w:val="24"/>
          <w:szCs w:val="24"/>
          <w:lang w:val="en-US"/>
        </w:rPr>
      </w:pPr>
    </w:p>
    <w:p w:rsidR="000922E7" w:rsidRPr="00253BA3" w:rsidRDefault="00CB0720" w:rsidP="00D658A3">
      <w:pPr>
        <w:spacing w:after="0" w:line="312" w:lineRule="auto"/>
        <w:jc w:val="both"/>
        <w:rPr>
          <w:szCs w:val="24"/>
          <w:lang w:val="en-US"/>
        </w:rPr>
      </w:pPr>
      <w:r w:rsidRPr="00253BA3">
        <w:rPr>
          <w:sz w:val="24"/>
          <w:szCs w:val="24"/>
          <w:lang w:val="en-US"/>
        </w:rPr>
        <w:t>On one hand, sometimes the splitting in the delineation of the artifacts is identified, associated with areas where the hearths appear stratigraphically overlapping. Likewise, the position of the fallen blocks with artifacts and hearths allows</w:t>
      </w:r>
      <w:r w:rsidR="00B66741" w:rsidRPr="00253BA3">
        <w:rPr>
          <w:sz w:val="24"/>
          <w:szCs w:val="24"/>
          <w:lang w:val="en-US"/>
        </w:rPr>
        <w:t xml:space="preserve"> us</w:t>
      </w:r>
      <w:r w:rsidRPr="00253BA3">
        <w:rPr>
          <w:sz w:val="24"/>
          <w:szCs w:val="24"/>
          <w:lang w:val="en-US"/>
        </w:rPr>
        <w:t xml:space="preserve"> to establish relationships on the internal temporal order within the archaeological level. These indicators suggest these accumulations were generated by a succession of events </w:t>
      </w:r>
      <w:r w:rsidR="00B66741" w:rsidRPr="00253BA3">
        <w:rPr>
          <w:sz w:val="24"/>
          <w:szCs w:val="24"/>
          <w:lang w:val="en-US"/>
        </w:rPr>
        <w:t xml:space="preserve">across </w:t>
      </w:r>
      <w:r w:rsidRPr="00253BA3">
        <w:rPr>
          <w:sz w:val="24"/>
          <w:szCs w:val="24"/>
          <w:lang w:val="en-US"/>
        </w:rPr>
        <w:t>a timescale</w:t>
      </w:r>
      <w:r w:rsidR="00B66741" w:rsidRPr="00253BA3">
        <w:rPr>
          <w:sz w:val="24"/>
          <w:szCs w:val="24"/>
          <w:lang w:val="en-US"/>
        </w:rPr>
        <w:t xml:space="preserve"> which is</w:t>
      </w:r>
      <w:r w:rsidRPr="00253BA3">
        <w:rPr>
          <w:sz w:val="24"/>
          <w:szCs w:val="24"/>
          <w:lang w:val="en-US"/>
        </w:rPr>
        <w:t xml:space="preserve"> difficult to determine, possibly along a multi</w:t>
      </w:r>
      <w:r w:rsidR="00B66741" w:rsidRPr="00253BA3">
        <w:rPr>
          <w:sz w:val="24"/>
          <w:szCs w:val="24"/>
          <w:lang w:val="en-US"/>
        </w:rPr>
        <w:t>-</w:t>
      </w:r>
      <w:r w:rsidRPr="00253BA3">
        <w:rPr>
          <w:sz w:val="24"/>
          <w:szCs w:val="24"/>
          <w:lang w:val="en-US"/>
        </w:rPr>
        <w:t>decadal or sub-centennial timespan.</w:t>
      </w:r>
    </w:p>
    <w:p w:rsidR="00CB0720" w:rsidRPr="00253BA3" w:rsidRDefault="00CB0720" w:rsidP="00D658A3">
      <w:pPr>
        <w:spacing w:after="0" w:line="312" w:lineRule="auto"/>
        <w:jc w:val="both"/>
        <w:rPr>
          <w:rFonts w:cs="Times New Roman"/>
          <w:sz w:val="24"/>
          <w:szCs w:val="24"/>
          <w:u w:val="single"/>
          <w:lang w:val="en-US"/>
        </w:rPr>
      </w:pPr>
    </w:p>
    <w:p w:rsidR="000922E7" w:rsidRPr="00253BA3" w:rsidRDefault="000922E7" w:rsidP="00D658A3">
      <w:pPr>
        <w:spacing w:after="0" w:line="312" w:lineRule="auto"/>
        <w:jc w:val="both"/>
        <w:rPr>
          <w:rFonts w:cs="Times New Roman"/>
          <w:sz w:val="24"/>
          <w:szCs w:val="24"/>
          <w:u w:val="single"/>
          <w:lang w:val="en-US"/>
        </w:rPr>
      </w:pPr>
      <w:r w:rsidRPr="00253BA3">
        <w:rPr>
          <w:rFonts w:cs="Times New Roman"/>
          <w:sz w:val="24"/>
          <w:szCs w:val="24"/>
          <w:u w:val="single"/>
          <w:lang w:val="en-US"/>
        </w:rPr>
        <w:t xml:space="preserve">1-2. </w:t>
      </w:r>
      <w:r w:rsidR="006F4215" w:rsidRPr="00253BA3">
        <w:rPr>
          <w:rFonts w:cs="Times New Roman"/>
          <w:sz w:val="24"/>
          <w:szCs w:val="24"/>
          <w:u w:val="single"/>
          <w:lang w:val="en-US"/>
        </w:rPr>
        <w:t>C</w:t>
      </w:r>
      <w:r w:rsidRPr="00253BA3">
        <w:rPr>
          <w:rFonts w:cs="Times New Roman"/>
          <w:sz w:val="24"/>
          <w:szCs w:val="24"/>
          <w:u w:val="single"/>
          <w:lang w:val="en-US"/>
        </w:rPr>
        <w:t xml:space="preserve">hanges in </w:t>
      </w:r>
      <w:r w:rsidR="006F4215" w:rsidRPr="00253BA3">
        <w:rPr>
          <w:rFonts w:cs="Times New Roman"/>
          <w:sz w:val="24"/>
          <w:szCs w:val="24"/>
          <w:u w:val="single"/>
          <w:lang w:val="en-US"/>
        </w:rPr>
        <w:t xml:space="preserve">N10 and N12 levels raw material patterns </w:t>
      </w:r>
    </w:p>
    <w:p w:rsidR="000922E7" w:rsidRPr="00253BA3" w:rsidRDefault="000922E7" w:rsidP="00D658A3">
      <w:pPr>
        <w:spacing w:after="0" w:line="240" w:lineRule="auto"/>
        <w:jc w:val="both"/>
        <w:rPr>
          <w:szCs w:val="24"/>
          <w:lang w:val="en-US"/>
        </w:rPr>
      </w:pPr>
    </w:p>
    <w:p w:rsidR="00DE608D" w:rsidRPr="00253BA3" w:rsidRDefault="000922E7" w:rsidP="00D658A3">
      <w:pPr>
        <w:spacing w:after="0" w:line="312" w:lineRule="auto"/>
        <w:jc w:val="both"/>
        <w:rPr>
          <w:lang w:val="en-US"/>
        </w:rPr>
      </w:pPr>
      <w:r w:rsidRPr="00253BA3">
        <w:rPr>
          <w:sz w:val="24"/>
          <w:szCs w:val="24"/>
          <w:lang w:val="en-US"/>
        </w:rPr>
        <w:t xml:space="preserve">The rock-shelter was a place recurrently occupied at least </w:t>
      </w:r>
      <w:r w:rsidR="00B84A57" w:rsidRPr="00253BA3">
        <w:rPr>
          <w:sz w:val="24"/>
          <w:szCs w:val="24"/>
          <w:lang w:val="en-US"/>
        </w:rPr>
        <w:t xml:space="preserve">in </w:t>
      </w:r>
      <w:r w:rsidRPr="00253BA3">
        <w:rPr>
          <w:sz w:val="24"/>
          <w:szCs w:val="24"/>
          <w:lang w:val="en-US"/>
        </w:rPr>
        <w:t xml:space="preserve">the N10 and N12 levels, </w:t>
      </w:r>
      <w:r w:rsidR="00B84A57" w:rsidRPr="00253BA3">
        <w:rPr>
          <w:sz w:val="24"/>
          <w:szCs w:val="24"/>
          <w:lang w:val="en-US"/>
        </w:rPr>
        <w:t xml:space="preserve">corresponding to </w:t>
      </w:r>
      <w:r w:rsidRPr="00253BA3">
        <w:rPr>
          <w:sz w:val="24"/>
          <w:szCs w:val="24"/>
          <w:lang w:val="en-US"/>
        </w:rPr>
        <w:t xml:space="preserve">two different archaeological units. </w:t>
      </w:r>
      <w:r w:rsidR="001A62D1" w:rsidRPr="00253BA3">
        <w:rPr>
          <w:sz w:val="24"/>
          <w:szCs w:val="24"/>
          <w:lang w:val="en-US"/>
        </w:rPr>
        <w:t>T</w:t>
      </w:r>
      <w:r w:rsidRPr="00253BA3">
        <w:rPr>
          <w:sz w:val="24"/>
          <w:szCs w:val="24"/>
          <w:lang w:val="en-US"/>
        </w:rPr>
        <w:t xml:space="preserve">hese assemblages were accumulated over an imprecise time range, </w:t>
      </w:r>
      <w:r w:rsidR="00A5361C" w:rsidRPr="00253BA3">
        <w:rPr>
          <w:sz w:val="24"/>
          <w:szCs w:val="24"/>
          <w:lang w:val="en-US"/>
        </w:rPr>
        <w:t>which</w:t>
      </w:r>
      <w:r w:rsidRPr="00253BA3">
        <w:rPr>
          <w:sz w:val="24"/>
          <w:szCs w:val="24"/>
          <w:lang w:val="en-US"/>
        </w:rPr>
        <w:t xml:space="preserve"> could correspond to different settlement patterns. </w:t>
      </w:r>
      <w:r w:rsidR="009B0C12" w:rsidRPr="00253BA3">
        <w:rPr>
          <w:sz w:val="24"/>
          <w:szCs w:val="24"/>
          <w:lang w:val="en-US"/>
        </w:rPr>
        <w:t>The</w:t>
      </w:r>
      <w:r w:rsidRPr="00253BA3">
        <w:rPr>
          <w:sz w:val="24"/>
          <w:szCs w:val="24"/>
          <w:lang w:val="en-US"/>
        </w:rPr>
        <w:t xml:space="preserve"> general characteristics of N10 show occupational dynamics</w:t>
      </w:r>
      <w:r w:rsidR="00B84A57" w:rsidRPr="00253BA3">
        <w:rPr>
          <w:sz w:val="24"/>
          <w:szCs w:val="24"/>
          <w:lang w:val="en-US"/>
        </w:rPr>
        <w:t>,</w:t>
      </w:r>
      <w:r w:rsidRPr="00253BA3">
        <w:rPr>
          <w:sz w:val="24"/>
          <w:szCs w:val="24"/>
          <w:lang w:val="en-US"/>
        </w:rPr>
        <w:t xml:space="preserve"> </w:t>
      </w:r>
      <w:r w:rsidR="003F7FBC" w:rsidRPr="00253BA3">
        <w:rPr>
          <w:sz w:val="24"/>
          <w:szCs w:val="24"/>
          <w:lang w:val="en-US"/>
        </w:rPr>
        <w:t>where</w:t>
      </w:r>
      <w:r w:rsidR="009B0C12" w:rsidRPr="00253BA3">
        <w:rPr>
          <w:sz w:val="24"/>
          <w:szCs w:val="24"/>
          <w:lang w:val="en-US"/>
        </w:rPr>
        <w:t xml:space="preserve"> the </w:t>
      </w:r>
      <w:r w:rsidRPr="00253BA3">
        <w:rPr>
          <w:sz w:val="24"/>
          <w:szCs w:val="24"/>
          <w:lang w:val="en-US"/>
        </w:rPr>
        <w:t xml:space="preserve">presence of a dense cluster </w:t>
      </w:r>
      <w:r w:rsidR="003F7FBC" w:rsidRPr="00253BA3">
        <w:rPr>
          <w:sz w:val="24"/>
          <w:szCs w:val="24"/>
          <w:lang w:val="en-US"/>
        </w:rPr>
        <w:t xml:space="preserve">with </w:t>
      </w:r>
      <w:r w:rsidRPr="00253BA3">
        <w:rPr>
          <w:sz w:val="24"/>
          <w:szCs w:val="24"/>
          <w:lang w:val="en-US"/>
        </w:rPr>
        <w:t xml:space="preserve">overlaped hearths seems to define many but </w:t>
      </w:r>
      <w:r w:rsidR="009B0C12" w:rsidRPr="00253BA3">
        <w:rPr>
          <w:sz w:val="24"/>
          <w:szCs w:val="24"/>
          <w:lang w:val="en-US"/>
        </w:rPr>
        <w:t xml:space="preserve">an </w:t>
      </w:r>
      <w:r w:rsidRPr="00253BA3">
        <w:rPr>
          <w:sz w:val="24"/>
          <w:szCs w:val="24"/>
          <w:lang w:val="en-US"/>
        </w:rPr>
        <w:t>in</w:t>
      </w:r>
      <w:r w:rsidR="003F7FBC" w:rsidRPr="00253BA3">
        <w:rPr>
          <w:sz w:val="24"/>
          <w:szCs w:val="24"/>
          <w:lang w:val="en-US"/>
        </w:rPr>
        <w:t>determinate number of spatial/</w:t>
      </w:r>
      <w:r w:rsidRPr="00253BA3">
        <w:rPr>
          <w:sz w:val="24"/>
          <w:szCs w:val="24"/>
          <w:lang w:val="en-US"/>
        </w:rPr>
        <w:t xml:space="preserve">temporal events. </w:t>
      </w:r>
      <w:r w:rsidR="00B84A57" w:rsidRPr="00253BA3">
        <w:rPr>
          <w:sz w:val="24"/>
          <w:szCs w:val="24"/>
          <w:lang w:val="en-US"/>
        </w:rPr>
        <w:t>Level</w:t>
      </w:r>
      <w:r w:rsidRPr="00253BA3">
        <w:rPr>
          <w:sz w:val="24"/>
          <w:szCs w:val="24"/>
          <w:lang w:val="en-US"/>
        </w:rPr>
        <w:t xml:space="preserve"> N12 represents a continuous spatial patch of </w:t>
      </w:r>
      <w:r w:rsidR="00B84A57" w:rsidRPr="00253BA3">
        <w:rPr>
          <w:sz w:val="24"/>
          <w:szCs w:val="24"/>
          <w:lang w:val="en-US"/>
        </w:rPr>
        <w:t>artifacts</w:t>
      </w:r>
      <w:r w:rsidRPr="00253BA3">
        <w:rPr>
          <w:sz w:val="24"/>
          <w:szCs w:val="24"/>
          <w:lang w:val="en-US"/>
        </w:rPr>
        <w:t>, sug</w:t>
      </w:r>
      <w:r w:rsidR="00B84A57" w:rsidRPr="00253BA3">
        <w:rPr>
          <w:sz w:val="24"/>
          <w:szCs w:val="24"/>
          <w:lang w:val="en-US"/>
        </w:rPr>
        <w:t>g</w:t>
      </w:r>
      <w:r w:rsidRPr="00253BA3">
        <w:rPr>
          <w:sz w:val="24"/>
          <w:szCs w:val="24"/>
          <w:lang w:val="en-US"/>
        </w:rPr>
        <w:t xml:space="preserve">esting a contemporary unit </w:t>
      </w:r>
      <w:r w:rsidR="00EC3442" w:rsidRPr="00253BA3">
        <w:rPr>
          <w:sz w:val="24"/>
          <w:szCs w:val="24"/>
          <w:lang w:val="en-US"/>
        </w:rPr>
        <w:t xml:space="preserve">which </w:t>
      </w:r>
      <w:r w:rsidRPr="00253BA3">
        <w:rPr>
          <w:sz w:val="24"/>
          <w:szCs w:val="24"/>
          <w:lang w:val="en-US"/>
        </w:rPr>
        <w:t>could be interpreted as a single occupation</w:t>
      </w:r>
      <w:r w:rsidR="00EC3442" w:rsidRPr="00253BA3">
        <w:rPr>
          <w:sz w:val="24"/>
          <w:szCs w:val="24"/>
          <w:lang w:val="en-US"/>
        </w:rPr>
        <w:t>.</w:t>
      </w:r>
      <w:r w:rsidRPr="00253BA3">
        <w:rPr>
          <w:sz w:val="24"/>
          <w:szCs w:val="24"/>
          <w:lang w:val="en-US"/>
        </w:rPr>
        <w:t xml:space="preserve"> </w:t>
      </w:r>
      <w:r w:rsidR="00EC3442" w:rsidRPr="00253BA3">
        <w:rPr>
          <w:sz w:val="24"/>
          <w:szCs w:val="24"/>
          <w:lang w:val="en-US"/>
        </w:rPr>
        <w:t xml:space="preserve">Overlapping </w:t>
      </w:r>
      <w:r w:rsidRPr="00253BA3">
        <w:rPr>
          <w:sz w:val="24"/>
          <w:szCs w:val="24"/>
          <w:lang w:val="en-US"/>
        </w:rPr>
        <w:t>processes indicat</w:t>
      </w:r>
      <w:r w:rsidR="003F7FBC" w:rsidRPr="00253BA3">
        <w:rPr>
          <w:sz w:val="24"/>
          <w:szCs w:val="24"/>
          <w:lang w:val="en-US"/>
        </w:rPr>
        <w:t>ing</w:t>
      </w:r>
      <w:r w:rsidRPr="00253BA3">
        <w:rPr>
          <w:sz w:val="24"/>
          <w:szCs w:val="24"/>
          <w:lang w:val="en-US"/>
        </w:rPr>
        <w:t xml:space="preserve"> various occupational events </w:t>
      </w:r>
      <w:r w:rsidR="00EC3442" w:rsidRPr="00253BA3">
        <w:rPr>
          <w:sz w:val="24"/>
          <w:szCs w:val="24"/>
          <w:lang w:val="en-US"/>
        </w:rPr>
        <w:t xml:space="preserve">have also been identified </w:t>
      </w:r>
      <w:r w:rsidRPr="00253BA3">
        <w:rPr>
          <w:sz w:val="24"/>
          <w:szCs w:val="24"/>
          <w:lang w:val="en-US"/>
        </w:rPr>
        <w:t>(Martínez-Moreno et al., 2010</w:t>
      </w:r>
      <w:r w:rsidR="00EC3442" w:rsidRPr="00253BA3">
        <w:rPr>
          <w:sz w:val="24"/>
          <w:szCs w:val="24"/>
          <w:lang w:val="en-US"/>
        </w:rPr>
        <w:t xml:space="preserve">, </w:t>
      </w:r>
      <w:r w:rsidRPr="00253BA3">
        <w:rPr>
          <w:sz w:val="24"/>
          <w:szCs w:val="24"/>
          <w:lang w:val="en-US"/>
        </w:rPr>
        <w:t>2016) (</w:t>
      </w:r>
      <w:r w:rsidR="00AA4107" w:rsidRPr="00253BA3">
        <w:rPr>
          <w:sz w:val="24"/>
          <w:szCs w:val="24"/>
          <w:lang w:val="en-US"/>
        </w:rPr>
        <w:t>F</w:t>
      </w:r>
      <w:r w:rsidRPr="00253BA3">
        <w:rPr>
          <w:sz w:val="24"/>
          <w:szCs w:val="24"/>
          <w:lang w:val="en-US"/>
        </w:rPr>
        <w:t>ig. 2).</w:t>
      </w:r>
      <w:r w:rsidR="00DE608D" w:rsidRPr="00253BA3">
        <w:rPr>
          <w:lang w:val="en-US"/>
        </w:rPr>
        <w:t xml:space="preserve"> </w:t>
      </w:r>
    </w:p>
    <w:p w:rsidR="00DE608D" w:rsidRPr="00253BA3" w:rsidRDefault="00DE608D" w:rsidP="00D658A3">
      <w:pPr>
        <w:spacing w:after="0" w:line="312" w:lineRule="auto"/>
        <w:jc w:val="both"/>
        <w:rPr>
          <w:lang w:val="en-US"/>
        </w:rPr>
      </w:pPr>
    </w:p>
    <w:p w:rsidR="00783D77" w:rsidRPr="00253BA3" w:rsidRDefault="00DE608D" w:rsidP="00D658A3">
      <w:pPr>
        <w:spacing w:after="0" w:line="312" w:lineRule="auto"/>
        <w:jc w:val="both"/>
        <w:rPr>
          <w:lang w:val="en-US"/>
        </w:rPr>
      </w:pPr>
      <w:r w:rsidRPr="00253BA3">
        <w:rPr>
          <w:sz w:val="24"/>
          <w:szCs w:val="24"/>
          <w:lang w:val="en-US"/>
        </w:rPr>
        <w:t xml:space="preserve">These observations </w:t>
      </w:r>
      <w:r w:rsidR="009C70EB" w:rsidRPr="00253BA3">
        <w:rPr>
          <w:sz w:val="24"/>
          <w:szCs w:val="24"/>
          <w:lang w:val="en-US"/>
        </w:rPr>
        <w:t xml:space="preserve">covary </w:t>
      </w:r>
      <w:r w:rsidRPr="00253BA3">
        <w:rPr>
          <w:sz w:val="24"/>
          <w:szCs w:val="24"/>
          <w:lang w:val="en-US"/>
        </w:rPr>
        <w:t xml:space="preserve">with important changes in the quantity and density of </w:t>
      </w:r>
      <w:r w:rsidR="003F7FBC" w:rsidRPr="00253BA3">
        <w:rPr>
          <w:sz w:val="24"/>
          <w:szCs w:val="24"/>
          <w:lang w:val="en-US"/>
        </w:rPr>
        <w:t>remains</w:t>
      </w:r>
      <w:r w:rsidRPr="00253BA3">
        <w:rPr>
          <w:sz w:val="24"/>
          <w:szCs w:val="24"/>
          <w:lang w:val="en-US"/>
        </w:rPr>
        <w:t xml:space="preserve"> projected in the plots, and </w:t>
      </w:r>
      <w:r w:rsidR="009C70EB" w:rsidRPr="00253BA3">
        <w:rPr>
          <w:sz w:val="24"/>
          <w:szCs w:val="24"/>
          <w:lang w:val="en-US"/>
        </w:rPr>
        <w:t>which show</w:t>
      </w:r>
      <w:r w:rsidRPr="00253BA3">
        <w:rPr>
          <w:sz w:val="24"/>
          <w:szCs w:val="24"/>
          <w:lang w:val="en-US"/>
        </w:rPr>
        <w:t xml:space="preserve"> </w:t>
      </w:r>
      <w:r w:rsidR="009C70EB" w:rsidRPr="00253BA3">
        <w:rPr>
          <w:sz w:val="24"/>
          <w:szCs w:val="24"/>
          <w:lang w:val="en-US"/>
        </w:rPr>
        <w:t xml:space="preserve">possible </w:t>
      </w:r>
      <w:r w:rsidRPr="00253BA3">
        <w:rPr>
          <w:sz w:val="24"/>
          <w:szCs w:val="24"/>
          <w:lang w:val="en-US"/>
        </w:rPr>
        <w:t>variations in the settlement patterns. An at</w:t>
      </w:r>
      <w:r w:rsidR="009C70EB" w:rsidRPr="00253BA3">
        <w:rPr>
          <w:sz w:val="24"/>
          <w:szCs w:val="24"/>
          <w:lang w:val="en-US"/>
        </w:rPr>
        <w:t>t</w:t>
      </w:r>
      <w:r w:rsidRPr="00253BA3">
        <w:rPr>
          <w:sz w:val="24"/>
          <w:szCs w:val="24"/>
          <w:lang w:val="en-US"/>
        </w:rPr>
        <w:t xml:space="preserve">ribute </w:t>
      </w:r>
      <w:r w:rsidR="009C70EB" w:rsidRPr="00253BA3">
        <w:rPr>
          <w:sz w:val="24"/>
          <w:szCs w:val="24"/>
          <w:lang w:val="en-US"/>
        </w:rPr>
        <w:t xml:space="preserve">which </w:t>
      </w:r>
      <w:r w:rsidRPr="00253BA3">
        <w:rPr>
          <w:sz w:val="24"/>
          <w:szCs w:val="24"/>
          <w:lang w:val="en-US"/>
        </w:rPr>
        <w:t xml:space="preserve">can help to explore this possibility </w:t>
      </w:r>
      <w:r w:rsidR="009C70EB" w:rsidRPr="00253BA3">
        <w:rPr>
          <w:sz w:val="24"/>
          <w:szCs w:val="24"/>
          <w:lang w:val="en-US"/>
        </w:rPr>
        <w:t xml:space="preserve">includes </w:t>
      </w:r>
      <w:r w:rsidRPr="00253BA3">
        <w:rPr>
          <w:sz w:val="24"/>
          <w:szCs w:val="24"/>
          <w:lang w:val="en-US"/>
        </w:rPr>
        <w:t xml:space="preserve">the differences in the number of lithic </w:t>
      </w:r>
      <w:r w:rsidR="009C70EB" w:rsidRPr="00253BA3">
        <w:rPr>
          <w:sz w:val="24"/>
          <w:szCs w:val="24"/>
          <w:lang w:val="en-US"/>
        </w:rPr>
        <w:t>artifacts</w:t>
      </w:r>
      <w:r w:rsidRPr="00253BA3">
        <w:rPr>
          <w:sz w:val="24"/>
          <w:szCs w:val="24"/>
          <w:lang w:val="en-US"/>
        </w:rPr>
        <w:t xml:space="preserve">, </w:t>
      </w:r>
      <w:r w:rsidR="009C70EB" w:rsidRPr="00253BA3">
        <w:rPr>
          <w:sz w:val="24"/>
          <w:szCs w:val="24"/>
          <w:lang w:val="en-US"/>
        </w:rPr>
        <w:t xml:space="preserve">which </w:t>
      </w:r>
      <w:r w:rsidRPr="00253BA3">
        <w:rPr>
          <w:sz w:val="24"/>
          <w:szCs w:val="24"/>
          <w:lang w:val="en-US"/>
        </w:rPr>
        <w:t xml:space="preserve">at level N12 amount to 21,800, compared to 2,035 coordinated in N10. These differences are not exclusively </w:t>
      </w:r>
      <w:r w:rsidR="009C70EB" w:rsidRPr="00253BA3">
        <w:rPr>
          <w:sz w:val="24"/>
          <w:szCs w:val="24"/>
          <w:lang w:val="en-US"/>
        </w:rPr>
        <w:t xml:space="preserve">the </w:t>
      </w:r>
      <w:r w:rsidRPr="00253BA3">
        <w:rPr>
          <w:sz w:val="24"/>
          <w:szCs w:val="24"/>
          <w:lang w:val="en-US"/>
        </w:rPr>
        <w:t xml:space="preserve">result of </w:t>
      </w:r>
      <w:r w:rsidR="009C70EB" w:rsidRPr="00253BA3">
        <w:rPr>
          <w:sz w:val="24"/>
          <w:szCs w:val="24"/>
          <w:lang w:val="en-US"/>
        </w:rPr>
        <w:t xml:space="preserve">spatial </w:t>
      </w:r>
      <w:r w:rsidRPr="00253BA3">
        <w:rPr>
          <w:sz w:val="24"/>
          <w:szCs w:val="24"/>
          <w:lang w:val="en-US"/>
        </w:rPr>
        <w:t>differences in the excavated surfaces (86 m</w:t>
      </w:r>
      <w:r w:rsidRPr="00253BA3">
        <w:rPr>
          <w:sz w:val="24"/>
          <w:szCs w:val="24"/>
          <w:vertAlign w:val="superscript"/>
          <w:lang w:val="en-US"/>
        </w:rPr>
        <w:t>2</w:t>
      </w:r>
      <w:r w:rsidRPr="00253BA3">
        <w:rPr>
          <w:sz w:val="24"/>
          <w:szCs w:val="24"/>
          <w:lang w:val="en-US"/>
        </w:rPr>
        <w:t xml:space="preserve"> in N12 and 56m</w:t>
      </w:r>
      <w:r w:rsidRPr="00253BA3">
        <w:rPr>
          <w:sz w:val="24"/>
          <w:szCs w:val="24"/>
          <w:vertAlign w:val="superscript"/>
          <w:lang w:val="en-US"/>
        </w:rPr>
        <w:t>2</w:t>
      </w:r>
      <w:r w:rsidRPr="00253BA3">
        <w:rPr>
          <w:sz w:val="24"/>
          <w:szCs w:val="24"/>
          <w:lang w:val="en-US"/>
        </w:rPr>
        <w:t xml:space="preserve"> in N10)</w:t>
      </w:r>
      <w:r w:rsidR="00394062" w:rsidRPr="00253BA3">
        <w:rPr>
          <w:sz w:val="24"/>
          <w:szCs w:val="24"/>
          <w:lang w:val="en-US"/>
        </w:rPr>
        <w:t>; n</w:t>
      </w:r>
      <w:r w:rsidRPr="00253BA3">
        <w:rPr>
          <w:sz w:val="24"/>
          <w:szCs w:val="24"/>
          <w:lang w:val="en-US"/>
        </w:rPr>
        <w:t>either the number of  fireplaces identified (22 in N12 and 19 in N10)</w:t>
      </w:r>
      <w:r w:rsidR="00394062" w:rsidRPr="00253BA3">
        <w:rPr>
          <w:sz w:val="24"/>
          <w:szCs w:val="24"/>
          <w:lang w:val="en-US"/>
        </w:rPr>
        <w:t xml:space="preserve">. </w:t>
      </w:r>
      <w:r w:rsidR="009C70EB" w:rsidRPr="00253BA3">
        <w:rPr>
          <w:sz w:val="24"/>
          <w:szCs w:val="24"/>
          <w:lang w:val="en-US"/>
        </w:rPr>
        <w:t>Alternatively</w:t>
      </w:r>
      <w:r w:rsidR="00394062" w:rsidRPr="00253BA3">
        <w:rPr>
          <w:sz w:val="24"/>
          <w:szCs w:val="24"/>
          <w:lang w:val="en-US"/>
        </w:rPr>
        <w:t xml:space="preserve">, </w:t>
      </w:r>
      <w:r w:rsidRPr="00253BA3">
        <w:rPr>
          <w:sz w:val="24"/>
          <w:szCs w:val="24"/>
          <w:lang w:val="en-US"/>
        </w:rPr>
        <w:t xml:space="preserve">the abundance of hearths in Roca dels Bous confirms fire was a central component in </w:t>
      </w:r>
      <w:r w:rsidR="009B0C12" w:rsidRPr="00253BA3">
        <w:rPr>
          <w:sz w:val="24"/>
          <w:szCs w:val="24"/>
          <w:lang w:val="en-US"/>
        </w:rPr>
        <w:t>N</w:t>
      </w:r>
      <w:r w:rsidRPr="00253BA3">
        <w:rPr>
          <w:sz w:val="24"/>
          <w:szCs w:val="24"/>
          <w:lang w:val="en-US"/>
        </w:rPr>
        <w:t xml:space="preserve">eanderthal lifestyle, </w:t>
      </w:r>
      <w:r w:rsidR="009C70EB" w:rsidRPr="00253BA3">
        <w:rPr>
          <w:sz w:val="24"/>
          <w:szCs w:val="24"/>
          <w:lang w:val="en-US"/>
        </w:rPr>
        <w:t xml:space="preserve">distinguishing </w:t>
      </w:r>
      <w:r w:rsidRPr="00253BA3">
        <w:rPr>
          <w:sz w:val="24"/>
          <w:szCs w:val="24"/>
          <w:lang w:val="en-US"/>
        </w:rPr>
        <w:t>the activities carried</w:t>
      </w:r>
      <w:r w:rsidR="009C70EB" w:rsidRPr="00253BA3">
        <w:rPr>
          <w:sz w:val="24"/>
          <w:szCs w:val="24"/>
          <w:lang w:val="en-US"/>
        </w:rPr>
        <w:t xml:space="preserve"> out</w:t>
      </w:r>
      <w:r w:rsidRPr="00253BA3">
        <w:rPr>
          <w:sz w:val="24"/>
          <w:szCs w:val="24"/>
          <w:lang w:val="en-US"/>
        </w:rPr>
        <w:t xml:space="preserve"> in the rock-shelter.</w:t>
      </w:r>
      <w:r w:rsidR="00783D77" w:rsidRPr="00253BA3">
        <w:rPr>
          <w:lang w:val="en-US"/>
        </w:rPr>
        <w:t xml:space="preserve"> </w:t>
      </w:r>
    </w:p>
    <w:p w:rsidR="00783D77" w:rsidRPr="00253BA3" w:rsidRDefault="00783D77" w:rsidP="00D658A3">
      <w:pPr>
        <w:spacing w:after="0" w:line="312" w:lineRule="auto"/>
        <w:jc w:val="both"/>
        <w:rPr>
          <w:lang w:val="en-US"/>
        </w:rPr>
      </w:pPr>
    </w:p>
    <w:p w:rsidR="000922E7" w:rsidRPr="00253BA3" w:rsidRDefault="00783D77" w:rsidP="00D658A3">
      <w:pPr>
        <w:spacing w:after="0" w:line="312" w:lineRule="auto"/>
        <w:jc w:val="both"/>
        <w:rPr>
          <w:sz w:val="24"/>
          <w:szCs w:val="24"/>
          <w:lang w:val="en-US"/>
        </w:rPr>
      </w:pPr>
      <w:r w:rsidRPr="00253BA3">
        <w:rPr>
          <w:sz w:val="24"/>
          <w:szCs w:val="24"/>
          <w:lang w:val="en-US"/>
        </w:rPr>
        <w:t xml:space="preserve">The raw material supply </w:t>
      </w:r>
      <w:r w:rsidR="00417A08" w:rsidRPr="00253BA3">
        <w:rPr>
          <w:sz w:val="24"/>
          <w:szCs w:val="24"/>
          <w:lang w:val="en-US"/>
        </w:rPr>
        <w:t>comprises</w:t>
      </w:r>
      <w:r w:rsidRPr="00253BA3">
        <w:rPr>
          <w:sz w:val="24"/>
          <w:szCs w:val="24"/>
          <w:lang w:val="en-US"/>
        </w:rPr>
        <w:t xml:space="preserve"> one of the most important element</w:t>
      </w:r>
      <w:r w:rsidR="00417A08" w:rsidRPr="00253BA3">
        <w:rPr>
          <w:sz w:val="24"/>
          <w:szCs w:val="24"/>
          <w:lang w:val="en-US"/>
        </w:rPr>
        <w:t>s</w:t>
      </w:r>
      <w:r w:rsidRPr="00253BA3">
        <w:rPr>
          <w:sz w:val="24"/>
          <w:szCs w:val="24"/>
          <w:lang w:val="en-US"/>
        </w:rPr>
        <w:t xml:space="preserve"> to differentiate between levels N12 and N10 (Martínez-Moreno et al. 2010). The analysis of changes in discard lithic </w:t>
      </w:r>
      <w:r w:rsidR="00417A08" w:rsidRPr="00253BA3">
        <w:rPr>
          <w:sz w:val="24"/>
          <w:szCs w:val="24"/>
          <w:lang w:val="en-US"/>
        </w:rPr>
        <w:t xml:space="preserve">artifacts </w:t>
      </w:r>
      <w:r w:rsidRPr="00253BA3">
        <w:rPr>
          <w:sz w:val="24"/>
          <w:szCs w:val="24"/>
          <w:lang w:val="en-US"/>
        </w:rPr>
        <w:t>covarie</w:t>
      </w:r>
      <w:r w:rsidR="00417A08" w:rsidRPr="00253BA3">
        <w:rPr>
          <w:sz w:val="24"/>
          <w:szCs w:val="24"/>
          <w:lang w:val="en-US"/>
        </w:rPr>
        <w:t>s</w:t>
      </w:r>
      <w:r w:rsidRPr="00253BA3">
        <w:rPr>
          <w:sz w:val="24"/>
          <w:szCs w:val="24"/>
          <w:lang w:val="en-US"/>
        </w:rPr>
        <w:t xml:space="preserve"> with differences in the choice of raw materials</w:t>
      </w:r>
      <w:r w:rsidR="000817CC" w:rsidRPr="00253BA3">
        <w:rPr>
          <w:sz w:val="24"/>
          <w:szCs w:val="24"/>
          <w:lang w:val="en-US"/>
        </w:rPr>
        <w:t>.  This</w:t>
      </w:r>
      <w:r w:rsidRPr="00253BA3">
        <w:rPr>
          <w:sz w:val="24"/>
          <w:szCs w:val="24"/>
          <w:lang w:val="en-US"/>
        </w:rPr>
        <w:t xml:space="preserve"> can be evaluated from the distribution on a regional scale of the </w:t>
      </w:r>
      <w:r w:rsidR="000817CC" w:rsidRPr="00253BA3">
        <w:rPr>
          <w:sz w:val="24"/>
          <w:szCs w:val="24"/>
          <w:lang w:val="en-US"/>
        </w:rPr>
        <w:t xml:space="preserve">quarries </w:t>
      </w:r>
      <w:r w:rsidRPr="00253BA3">
        <w:rPr>
          <w:sz w:val="24"/>
          <w:szCs w:val="24"/>
          <w:lang w:val="en-US"/>
        </w:rPr>
        <w:t xml:space="preserve">and the  transport distance to the site. The distribution of the main outcrops in the </w:t>
      </w:r>
      <w:r w:rsidR="000817CC" w:rsidRPr="00253BA3">
        <w:rPr>
          <w:sz w:val="24"/>
          <w:szCs w:val="24"/>
          <w:lang w:val="en-US"/>
        </w:rPr>
        <w:t>south-</w:t>
      </w:r>
      <w:r w:rsidRPr="00253BA3">
        <w:rPr>
          <w:sz w:val="24"/>
          <w:szCs w:val="24"/>
          <w:lang w:val="en-US"/>
        </w:rPr>
        <w:t>eastern Pre</w:t>
      </w:r>
      <w:r w:rsidR="000817CC" w:rsidRPr="00253BA3">
        <w:rPr>
          <w:sz w:val="24"/>
          <w:szCs w:val="24"/>
          <w:lang w:val="en-US"/>
        </w:rPr>
        <w:t>-</w:t>
      </w:r>
      <w:r w:rsidR="00AA4107" w:rsidRPr="00253BA3">
        <w:rPr>
          <w:sz w:val="24"/>
          <w:szCs w:val="24"/>
          <w:lang w:val="en-US"/>
        </w:rPr>
        <w:t>P</w:t>
      </w:r>
      <w:r w:rsidRPr="00253BA3">
        <w:rPr>
          <w:sz w:val="24"/>
          <w:szCs w:val="24"/>
          <w:lang w:val="en-US"/>
        </w:rPr>
        <w:t xml:space="preserve">yrenees </w:t>
      </w:r>
      <w:r w:rsidR="000817CC" w:rsidRPr="00253BA3">
        <w:rPr>
          <w:sz w:val="24"/>
          <w:szCs w:val="24"/>
          <w:lang w:val="en-US"/>
        </w:rPr>
        <w:t>implies</w:t>
      </w:r>
      <w:r w:rsidRPr="00253BA3">
        <w:rPr>
          <w:sz w:val="24"/>
          <w:szCs w:val="24"/>
          <w:lang w:val="en-US"/>
        </w:rPr>
        <w:t xml:space="preserve"> possible changes </w:t>
      </w:r>
      <w:r w:rsidR="000817CC" w:rsidRPr="00253BA3">
        <w:rPr>
          <w:sz w:val="24"/>
          <w:szCs w:val="24"/>
          <w:lang w:val="en-US"/>
        </w:rPr>
        <w:t xml:space="preserve">on the </w:t>
      </w:r>
      <w:r w:rsidRPr="00253BA3">
        <w:rPr>
          <w:sz w:val="24"/>
          <w:szCs w:val="24"/>
          <w:lang w:val="en-US"/>
        </w:rPr>
        <w:t xml:space="preserve">settlement pattern in Roca dels Bous (de la </w:t>
      </w:r>
      <w:r w:rsidR="00AA4107" w:rsidRPr="00253BA3">
        <w:rPr>
          <w:sz w:val="24"/>
          <w:szCs w:val="24"/>
          <w:lang w:val="en-US"/>
        </w:rPr>
        <w:t>Torre et al. 2013; Roy 2016b) (F</w:t>
      </w:r>
      <w:r w:rsidRPr="00253BA3">
        <w:rPr>
          <w:sz w:val="24"/>
          <w:szCs w:val="24"/>
          <w:lang w:val="en-US"/>
        </w:rPr>
        <w:t>ig. 3).</w:t>
      </w:r>
      <w:r w:rsidR="004C05A4" w:rsidRPr="00253BA3">
        <w:rPr>
          <w:lang w:val="en-US"/>
        </w:rPr>
        <w:t xml:space="preserve"> </w:t>
      </w:r>
      <w:r w:rsidR="004C05A4" w:rsidRPr="00253BA3">
        <w:rPr>
          <w:sz w:val="24"/>
          <w:szCs w:val="24"/>
          <w:lang w:val="en-US"/>
        </w:rPr>
        <w:t>To evaluate this aspect we will follow the proposal commonly used in raw material studies patterns proposed for Middle Paleolithic sites by Geneste (1985)</w:t>
      </w:r>
      <w:r w:rsidR="000817CC" w:rsidRPr="00253BA3">
        <w:rPr>
          <w:sz w:val="24"/>
          <w:szCs w:val="24"/>
          <w:lang w:val="en-US"/>
        </w:rPr>
        <w:t xml:space="preserve">.  This proposal differenciates between three </w:t>
      </w:r>
      <w:r w:rsidR="004C05A4" w:rsidRPr="00253BA3">
        <w:rPr>
          <w:sz w:val="24"/>
          <w:szCs w:val="24"/>
          <w:lang w:val="en-US"/>
        </w:rPr>
        <w:t xml:space="preserve">types of resources in </w:t>
      </w:r>
      <w:r w:rsidR="000817CC" w:rsidRPr="00253BA3">
        <w:rPr>
          <w:sz w:val="24"/>
          <w:szCs w:val="24"/>
          <w:lang w:val="en-US"/>
        </w:rPr>
        <w:t xml:space="preserve">function </w:t>
      </w:r>
      <w:r w:rsidR="004C05A4" w:rsidRPr="00253BA3">
        <w:rPr>
          <w:sz w:val="24"/>
          <w:szCs w:val="24"/>
          <w:lang w:val="en-US"/>
        </w:rPr>
        <w:t>of the transport distance between local materials (0-5 km), materials from the intermediate zone (5-20 km) and remote zone (&lt;25 km).</w:t>
      </w:r>
    </w:p>
    <w:p w:rsidR="004C05A4" w:rsidRPr="00253BA3" w:rsidRDefault="004C05A4" w:rsidP="00D658A3">
      <w:pPr>
        <w:spacing w:after="0" w:line="312" w:lineRule="auto"/>
        <w:jc w:val="both"/>
        <w:rPr>
          <w:sz w:val="24"/>
          <w:szCs w:val="24"/>
          <w:lang w:val="en-US"/>
        </w:rPr>
      </w:pPr>
    </w:p>
    <w:p w:rsidR="004C05A4" w:rsidRPr="00253BA3" w:rsidRDefault="008F491E" w:rsidP="00D658A3">
      <w:pPr>
        <w:spacing w:after="0" w:line="312" w:lineRule="auto"/>
        <w:jc w:val="both"/>
        <w:rPr>
          <w:sz w:val="24"/>
          <w:szCs w:val="24"/>
          <w:lang w:val="en-US"/>
        </w:rPr>
      </w:pPr>
      <w:r>
        <w:rPr>
          <w:rFonts w:cs="Times New Roman"/>
          <w:color w:val="000000" w:themeColor="text1"/>
          <w:sz w:val="24"/>
          <w:szCs w:val="24"/>
          <w:lang w:val="es-ES" w:eastAsia="es-ES"/>
        </w:rPr>
        <w:drawing>
          <wp:anchor distT="0" distB="0" distL="114300" distR="114300" simplePos="0" relativeHeight="251659264" behindDoc="0" locked="0" layoutInCell="1" allowOverlap="1" wp14:anchorId="0F9B9A01" wp14:editId="5F6FD7FA">
            <wp:simplePos x="0" y="0"/>
            <wp:positionH relativeFrom="column">
              <wp:posOffset>0</wp:posOffset>
            </wp:positionH>
            <wp:positionV relativeFrom="paragraph">
              <wp:posOffset>239395</wp:posOffset>
            </wp:positionV>
            <wp:extent cx="5207000" cy="6071870"/>
            <wp:effectExtent l="0" t="0" r="0" b="5080"/>
            <wp:wrapSquare wrapText="bothSides"/>
            <wp:docPr id="3" name="Imagen 3" descr="C:\Users\win7\Desktop\fig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fig3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00" cy="607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5A4" w:rsidRPr="00253BA3" w:rsidRDefault="00D83385" w:rsidP="00D658A3">
      <w:pPr>
        <w:spacing w:after="0" w:line="240" w:lineRule="auto"/>
        <w:jc w:val="both"/>
        <w:rPr>
          <w:lang w:val="en-US"/>
        </w:rPr>
      </w:pPr>
      <w:r w:rsidRPr="00253BA3">
        <w:rPr>
          <w:lang w:val="en-US"/>
        </w:rPr>
        <w:t xml:space="preserve">Fig. 3- Regional map </w:t>
      </w:r>
      <w:r w:rsidR="000817CC" w:rsidRPr="00253BA3">
        <w:rPr>
          <w:lang w:val="en-US"/>
        </w:rPr>
        <w:t xml:space="preserve">showing </w:t>
      </w:r>
      <w:r w:rsidRPr="00253BA3">
        <w:rPr>
          <w:lang w:val="en-US"/>
        </w:rPr>
        <w:t>the geographical location</w:t>
      </w:r>
      <w:r w:rsidR="00537A6C" w:rsidRPr="00253BA3">
        <w:rPr>
          <w:lang w:val="en-US"/>
        </w:rPr>
        <w:t xml:space="preserve"> of main raw materials and the M</w:t>
      </w:r>
      <w:r w:rsidRPr="00253BA3">
        <w:rPr>
          <w:lang w:val="en-US"/>
        </w:rPr>
        <w:t xml:space="preserve">ousterian sites of the area. The absence of metamorphic rocks in Roca dels Bous </w:t>
      </w:r>
      <w:r w:rsidR="000817CC" w:rsidRPr="00253BA3">
        <w:rPr>
          <w:lang w:val="en-US"/>
        </w:rPr>
        <w:t xml:space="preserve">is due </w:t>
      </w:r>
      <w:r w:rsidRPr="00253BA3">
        <w:rPr>
          <w:lang w:val="en-US"/>
        </w:rPr>
        <w:t xml:space="preserve">to the scale of the map, </w:t>
      </w:r>
      <w:r w:rsidR="00601160" w:rsidRPr="00253BA3">
        <w:rPr>
          <w:lang w:val="en-US"/>
        </w:rPr>
        <w:t>since</w:t>
      </w:r>
      <w:r w:rsidRPr="00253BA3">
        <w:rPr>
          <w:lang w:val="en-US"/>
        </w:rPr>
        <w:t xml:space="preserve"> around the site several </w:t>
      </w:r>
      <w:r w:rsidR="00601160" w:rsidRPr="00253BA3">
        <w:rPr>
          <w:lang w:val="en-US"/>
        </w:rPr>
        <w:t>fluvial deposit outcrops</w:t>
      </w:r>
      <w:r w:rsidRPr="00253BA3">
        <w:rPr>
          <w:lang w:val="en-US"/>
        </w:rPr>
        <w:t xml:space="preserve"> contain this type of rock (see Roy et al. 2017).</w:t>
      </w:r>
    </w:p>
    <w:p w:rsidR="00250C8C" w:rsidRPr="00253BA3" w:rsidRDefault="00250C8C" w:rsidP="00D658A3">
      <w:pPr>
        <w:spacing w:after="0" w:line="240" w:lineRule="auto"/>
        <w:jc w:val="both"/>
        <w:rPr>
          <w:lang w:val="en-US"/>
        </w:rPr>
      </w:pPr>
    </w:p>
    <w:p w:rsidR="00D83385" w:rsidRPr="00253BA3" w:rsidRDefault="00D83385" w:rsidP="00D658A3">
      <w:pPr>
        <w:spacing w:after="0" w:line="240" w:lineRule="auto"/>
        <w:jc w:val="both"/>
        <w:rPr>
          <w:lang w:val="en-US"/>
        </w:rPr>
      </w:pPr>
    </w:p>
    <w:p w:rsidR="00783D77" w:rsidRPr="00253BA3" w:rsidRDefault="000817CC" w:rsidP="00D658A3">
      <w:pPr>
        <w:spacing w:after="0" w:line="312" w:lineRule="auto"/>
        <w:jc w:val="both"/>
        <w:rPr>
          <w:sz w:val="24"/>
          <w:szCs w:val="24"/>
          <w:lang w:val="en-US"/>
        </w:rPr>
      </w:pPr>
      <w:r w:rsidRPr="00253BA3">
        <w:rPr>
          <w:sz w:val="24"/>
          <w:szCs w:val="24"/>
          <w:lang w:val="en-US"/>
        </w:rPr>
        <w:t xml:space="preserve">The total </w:t>
      </w:r>
      <w:r w:rsidR="001F15CB" w:rsidRPr="00253BA3">
        <w:rPr>
          <w:sz w:val="24"/>
          <w:szCs w:val="24"/>
          <w:lang w:val="en-US"/>
        </w:rPr>
        <w:t xml:space="preserve">number of lithic artifacts among the main raw material groups in levels N12 and N10 </w:t>
      </w:r>
      <w:r w:rsidR="003F7FBC" w:rsidRPr="00253BA3">
        <w:rPr>
          <w:sz w:val="24"/>
          <w:szCs w:val="24"/>
          <w:lang w:val="en-US"/>
        </w:rPr>
        <w:t>reveals</w:t>
      </w:r>
      <w:r w:rsidRPr="00253BA3">
        <w:rPr>
          <w:sz w:val="24"/>
          <w:szCs w:val="24"/>
          <w:lang w:val="en-US"/>
        </w:rPr>
        <w:t xml:space="preserve"> </w:t>
      </w:r>
      <w:r w:rsidR="001F15CB" w:rsidRPr="00253BA3">
        <w:rPr>
          <w:sz w:val="24"/>
          <w:szCs w:val="24"/>
          <w:lang w:val="en-US"/>
        </w:rPr>
        <w:t xml:space="preserve">some general but interesting trends (table 1). </w:t>
      </w:r>
      <w:r w:rsidR="00424B2D" w:rsidRPr="00253BA3">
        <w:rPr>
          <w:sz w:val="24"/>
          <w:szCs w:val="24"/>
          <w:lang w:val="en-US"/>
        </w:rPr>
        <w:t>I</w:t>
      </w:r>
      <w:r w:rsidR="00D83385" w:rsidRPr="00253BA3">
        <w:rPr>
          <w:sz w:val="24"/>
          <w:szCs w:val="24"/>
          <w:lang w:val="en-US"/>
        </w:rPr>
        <w:t>n level N12</w:t>
      </w:r>
      <w:r w:rsidR="003F7FBC" w:rsidRPr="00253BA3">
        <w:rPr>
          <w:sz w:val="24"/>
          <w:szCs w:val="24"/>
          <w:lang w:val="en-US"/>
        </w:rPr>
        <w:t>,</w:t>
      </w:r>
      <w:r w:rsidR="00D83385" w:rsidRPr="00253BA3">
        <w:rPr>
          <w:sz w:val="24"/>
          <w:szCs w:val="24"/>
          <w:lang w:val="en-US"/>
        </w:rPr>
        <w:t xml:space="preserve"> various types of metamorphic rocks from the </w:t>
      </w:r>
      <w:r w:rsidR="003F7FBC" w:rsidRPr="00253BA3">
        <w:rPr>
          <w:sz w:val="24"/>
          <w:szCs w:val="24"/>
          <w:lang w:val="en-US"/>
        </w:rPr>
        <w:t>fluvial</w:t>
      </w:r>
      <w:r w:rsidR="00D83385" w:rsidRPr="00253BA3">
        <w:rPr>
          <w:sz w:val="24"/>
          <w:szCs w:val="24"/>
          <w:lang w:val="en-US"/>
        </w:rPr>
        <w:t xml:space="preserve"> environment adjacent to the site</w:t>
      </w:r>
      <w:r w:rsidRPr="00253BA3">
        <w:rPr>
          <w:sz w:val="24"/>
          <w:szCs w:val="24"/>
          <w:lang w:val="en-US"/>
        </w:rPr>
        <w:t xml:space="preserve"> predominate</w:t>
      </w:r>
      <w:r w:rsidR="00D83385" w:rsidRPr="00253BA3">
        <w:rPr>
          <w:sz w:val="24"/>
          <w:szCs w:val="24"/>
          <w:lang w:val="en-US"/>
        </w:rPr>
        <w:t>, w</w:t>
      </w:r>
      <w:r w:rsidRPr="00253BA3">
        <w:rPr>
          <w:sz w:val="24"/>
          <w:szCs w:val="24"/>
          <w:lang w:val="en-US"/>
        </w:rPr>
        <w:t>h</w:t>
      </w:r>
      <w:r w:rsidR="00D83385" w:rsidRPr="00253BA3">
        <w:rPr>
          <w:sz w:val="24"/>
          <w:szCs w:val="24"/>
          <w:lang w:val="en-US"/>
        </w:rPr>
        <w:t xml:space="preserve">ere quartzite represents 83.5% of the assemblage. To a lesser extent, two types of silicean rocks </w:t>
      </w:r>
      <w:r w:rsidRPr="00253BA3">
        <w:rPr>
          <w:sz w:val="24"/>
          <w:szCs w:val="24"/>
          <w:lang w:val="en-US"/>
        </w:rPr>
        <w:t>can be recognised</w:t>
      </w:r>
      <w:r w:rsidR="00D83385" w:rsidRPr="00253BA3">
        <w:rPr>
          <w:sz w:val="24"/>
          <w:szCs w:val="24"/>
          <w:lang w:val="en-US"/>
        </w:rPr>
        <w:t xml:space="preserve">, </w:t>
      </w:r>
      <w:r w:rsidRPr="00253BA3">
        <w:rPr>
          <w:sz w:val="24"/>
          <w:szCs w:val="24"/>
          <w:lang w:val="en-US"/>
        </w:rPr>
        <w:t xml:space="preserve">which </w:t>
      </w:r>
      <w:r w:rsidR="004002E2" w:rsidRPr="00253BA3">
        <w:rPr>
          <w:sz w:val="24"/>
          <w:szCs w:val="24"/>
          <w:lang w:val="en-US"/>
        </w:rPr>
        <w:t>indicate a</w:t>
      </w:r>
      <w:r w:rsidR="00D83385" w:rsidRPr="00253BA3">
        <w:rPr>
          <w:sz w:val="24"/>
          <w:szCs w:val="24"/>
          <w:lang w:val="en-US"/>
        </w:rPr>
        <w:t xml:space="preserve"> diverse landscape </w:t>
      </w:r>
      <w:r w:rsidR="004002E2" w:rsidRPr="00253BA3">
        <w:rPr>
          <w:sz w:val="24"/>
          <w:szCs w:val="24"/>
          <w:lang w:val="en-US"/>
        </w:rPr>
        <w:t xml:space="preserve">at </w:t>
      </w:r>
      <w:r w:rsidR="00D83385" w:rsidRPr="00253BA3">
        <w:rPr>
          <w:sz w:val="24"/>
          <w:szCs w:val="24"/>
          <w:lang w:val="en-US"/>
        </w:rPr>
        <w:t xml:space="preserve">the regional </w:t>
      </w:r>
      <w:r w:rsidR="00CD48C6" w:rsidRPr="00253BA3">
        <w:rPr>
          <w:sz w:val="24"/>
          <w:szCs w:val="24"/>
          <w:lang w:val="en-US"/>
        </w:rPr>
        <w:t xml:space="preserve">scale </w:t>
      </w:r>
      <w:r w:rsidR="00AA4107" w:rsidRPr="00253BA3">
        <w:rPr>
          <w:sz w:val="24"/>
          <w:szCs w:val="24"/>
          <w:lang w:val="en-US"/>
        </w:rPr>
        <w:t>(F</w:t>
      </w:r>
      <w:r w:rsidR="00A323E1" w:rsidRPr="00253BA3">
        <w:rPr>
          <w:sz w:val="24"/>
          <w:szCs w:val="24"/>
          <w:lang w:val="en-US"/>
        </w:rPr>
        <w:t>ig. 3)</w:t>
      </w:r>
      <w:r w:rsidR="00D83385" w:rsidRPr="00253BA3">
        <w:rPr>
          <w:sz w:val="24"/>
          <w:szCs w:val="24"/>
          <w:lang w:val="en-US"/>
        </w:rPr>
        <w:t xml:space="preserve">. </w:t>
      </w:r>
      <w:r w:rsidR="00A323E1" w:rsidRPr="00253BA3">
        <w:rPr>
          <w:sz w:val="24"/>
          <w:szCs w:val="24"/>
          <w:lang w:val="en-US"/>
        </w:rPr>
        <w:t xml:space="preserve">A </w:t>
      </w:r>
      <w:r w:rsidR="00D83385" w:rsidRPr="00253BA3">
        <w:rPr>
          <w:sz w:val="24"/>
          <w:szCs w:val="24"/>
          <w:lang w:val="en-US"/>
        </w:rPr>
        <w:t xml:space="preserve">first group of </w:t>
      </w:r>
      <w:r w:rsidR="00A323E1" w:rsidRPr="00253BA3">
        <w:rPr>
          <w:sz w:val="24"/>
          <w:szCs w:val="24"/>
          <w:lang w:val="en-US"/>
        </w:rPr>
        <w:t xml:space="preserve">silicean </w:t>
      </w:r>
      <w:r w:rsidR="00D83385" w:rsidRPr="00253BA3">
        <w:rPr>
          <w:sz w:val="24"/>
          <w:szCs w:val="24"/>
          <w:lang w:val="en-US"/>
        </w:rPr>
        <w:t xml:space="preserve">rocks </w:t>
      </w:r>
      <w:r w:rsidR="00A323E1" w:rsidRPr="00253BA3">
        <w:rPr>
          <w:sz w:val="24"/>
          <w:szCs w:val="24"/>
          <w:lang w:val="en-US"/>
        </w:rPr>
        <w:t>(</w:t>
      </w:r>
      <w:r w:rsidR="00D83385" w:rsidRPr="00253BA3">
        <w:rPr>
          <w:sz w:val="24"/>
          <w:szCs w:val="24"/>
          <w:lang w:val="en-US"/>
        </w:rPr>
        <w:t>classified as chalcedony</w:t>
      </w:r>
      <w:r w:rsidR="00A323E1" w:rsidRPr="00253BA3">
        <w:rPr>
          <w:sz w:val="24"/>
          <w:szCs w:val="24"/>
          <w:lang w:val="en-US"/>
        </w:rPr>
        <w:t>)</w:t>
      </w:r>
      <w:r w:rsidR="00D83385" w:rsidRPr="00253BA3">
        <w:rPr>
          <w:sz w:val="24"/>
          <w:szCs w:val="24"/>
          <w:lang w:val="en-US"/>
        </w:rPr>
        <w:t xml:space="preserve"> representing 10% of the artifacts, appears in the Garumian F</w:t>
      </w:r>
      <w:r w:rsidR="003F7FBC" w:rsidRPr="00253BA3">
        <w:rPr>
          <w:sz w:val="24"/>
          <w:szCs w:val="24"/>
          <w:lang w:val="en-US"/>
        </w:rPr>
        <w:t>ormation</w:t>
      </w:r>
      <w:r w:rsidR="00D83385" w:rsidRPr="00253BA3">
        <w:rPr>
          <w:sz w:val="24"/>
          <w:szCs w:val="24"/>
          <w:lang w:val="en-US"/>
        </w:rPr>
        <w:t xml:space="preserve"> outcrops located in the mountains north of the site (Sierra de Montclus)</w:t>
      </w:r>
      <w:r w:rsidR="003F7FBC" w:rsidRPr="00253BA3">
        <w:rPr>
          <w:sz w:val="24"/>
          <w:szCs w:val="24"/>
          <w:lang w:val="en-US"/>
        </w:rPr>
        <w:t xml:space="preserve">, implying a minimum </w:t>
      </w:r>
      <w:r w:rsidR="00D83385" w:rsidRPr="00253BA3">
        <w:rPr>
          <w:sz w:val="24"/>
          <w:szCs w:val="24"/>
          <w:lang w:val="en-US"/>
        </w:rPr>
        <w:t>transport distance of 10 km. A second type is the Serra Llarga</w:t>
      </w:r>
      <w:r w:rsidR="003F7FBC" w:rsidRPr="00253BA3">
        <w:rPr>
          <w:sz w:val="24"/>
          <w:szCs w:val="24"/>
          <w:lang w:val="en-US"/>
        </w:rPr>
        <w:t xml:space="preserve"> flint</w:t>
      </w:r>
      <w:r w:rsidR="00D83385" w:rsidRPr="00253BA3">
        <w:rPr>
          <w:sz w:val="24"/>
          <w:szCs w:val="24"/>
          <w:lang w:val="en-US"/>
        </w:rPr>
        <w:t xml:space="preserve">, </w:t>
      </w:r>
      <w:r w:rsidR="003F7FBC" w:rsidRPr="00253BA3">
        <w:rPr>
          <w:sz w:val="24"/>
          <w:szCs w:val="24"/>
          <w:lang w:val="en-US"/>
        </w:rPr>
        <w:t xml:space="preserve">which </w:t>
      </w:r>
      <w:r w:rsidR="00CD48C6" w:rsidRPr="00253BA3">
        <w:rPr>
          <w:sz w:val="24"/>
          <w:szCs w:val="24"/>
          <w:lang w:val="en-US"/>
        </w:rPr>
        <w:t>represent</w:t>
      </w:r>
      <w:r w:rsidR="003F7FBC" w:rsidRPr="00253BA3">
        <w:rPr>
          <w:sz w:val="24"/>
          <w:szCs w:val="24"/>
          <w:lang w:val="en-US"/>
        </w:rPr>
        <w:t>s</w:t>
      </w:r>
      <w:r w:rsidR="00CD48C6" w:rsidRPr="00253BA3">
        <w:rPr>
          <w:sz w:val="24"/>
          <w:szCs w:val="24"/>
          <w:lang w:val="en-US"/>
        </w:rPr>
        <w:t xml:space="preserve"> </w:t>
      </w:r>
      <w:r w:rsidR="00D83385" w:rsidRPr="00253BA3">
        <w:rPr>
          <w:sz w:val="24"/>
          <w:szCs w:val="24"/>
          <w:lang w:val="en-US"/>
        </w:rPr>
        <w:t>2.3% of the total, ap</w:t>
      </w:r>
      <w:r w:rsidR="00CD48C6" w:rsidRPr="00253BA3">
        <w:rPr>
          <w:sz w:val="24"/>
          <w:szCs w:val="24"/>
          <w:lang w:val="en-US"/>
        </w:rPr>
        <w:t>p</w:t>
      </w:r>
      <w:r w:rsidR="00D83385" w:rsidRPr="00253BA3">
        <w:rPr>
          <w:sz w:val="24"/>
          <w:szCs w:val="24"/>
          <w:lang w:val="en-US"/>
        </w:rPr>
        <w:t>ears 25 km south of the site. However, significant changes in the percentages</w:t>
      </w:r>
      <w:r w:rsidR="00CD48C6" w:rsidRPr="00253BA3">
        <w:rPr>
          <w:sz w:val="24"/>
          <w:szCs w:val="24"/>
          <w:lang w:val="en-US"/>
        </w:rPr>
        <w:t xml:space="preserve"> can be detected</w:t>
      </w:r>
      <w:r w:rsidR="003F7FBC" w:rsidRPr="00253BA3">
        <w:rPr>
          <w:sz w:val="24"/>
          <w:szCs w:val="24"/>
          <w:lang w:val="en-US"/>
        </w:rPr>
        <w:t xml:space="preserve"> in level N10</w:t>
      </w:r>
      <w:r w:rsidR="00D83385" w:rsidRPr="00253BA3">
        <w:rPr>
          <w:sz w:val="24"/>
          <w:szCs w:val="24"/>
          <w:lang w:val="en-US"/>
        </w:rPr>
        <w:t xml:space="preserve">, </w:t>
      </w:r>
      <w:r w:rsidR="003F7FBC" w:rsidRPr="00253BA3">
        <w:rPr>
          <w:sz w:val="24"/>
          <w:szCs w:val="24"/>
          <w:lang w:val="en-US"/>
        </w:rPr>
        <w:t>where</w:t>
      </w:r>
      <w:r w:rsidR="00D83385" w:rsidRPr="00253BA3">
        <w:rPr>
          <w:sz w:val="24"/>
          <w:szCs w:val="24"/>
          <w:lang w:val="en-US"/>
        </w:rPr>
        <w:t xml:space="preserve"> the local metamorphic rocks </w:t>
      </w:r>
      <w:r w:rsidR="00CD48C6" w:rsidRPr="00253BA3">
        <w:rPr>
          <w:sz w:val="24"/>
          <w:szCs w:val="24"/>
          <w:lang w:val="en-US"/>
        </w:rPr>
        <w:t xml:space="preserve">decrease </w:t>
      </w:r>
      <w:r w:rsidR="00D83385" w:rsidRPr="00253BA3">
        <w:rPr>
          <w:sz w:val="24"/>
          <w:szCs w:val="24"/>
          <w:lang w:val="en-US"/>
        </w:rPr>
        <w:t>to 28.6%, while chalcedony and Serra Llarga</w:t>
      </w:r>
      <w:r w:rsidR="003F7FBC" w:rsidRPr="00253BA3">
        <w:rPr>
          <w:sz w:val="24"/>
          <w:szCs w:val="24"/>
          <w:lang w:val="en-US"/>
        </w:rPr>
        <w:t xml:space="preserve"> flint</w:t>
      </w:r>
      <w:r w:rsidR="00D83385" w:rsidRPr="00253BA3">
        <w:rPr>
          <w:sz w:val="24"/>
          <w:szCs w:val="24"/>
          <w:lang w:val="en-US"/>
        </w:rPr>
        <w:t xml:space="preserve"> </w:t>
      </w:r>
      <w:r w:rsidR="003F7FBC" w:rsidRPr="00253BA3">
        <w:rPr>
          <w:sz w:val="24"/>
          <w:szCs w:val="24"/>
          <w:lang w:val="en-US"/>
        </w:rPr>
        <w:t>rise</w:t>
      </w:r>
      <w:r w:rsidR="00D83385" w:rsidRPr="00253BA3">
        <w:rPr>
          <w:sz w:val="24"/>
          <w:szCs w:val="24"/>
          <w:lang w:val="en-US"/>
        </w:rPr>
        <w:t xml:space="preserve"> respectively </w:t>
      </w:r>
      <w:r w:rsidR="003F7FBC" w:rsidRPr="00253BA3">
        <w:rPr>
          <w:sz w:val="24"/>
          <w:szCs w:val="24"/>
          <w:lang w:val="en-US"/>
        </w:rPr>
        <w:t xml:space="preserve">to </w:t>
      </w:r>
      <w:r w:rsidR="00D83385" w:rsidRPr="00253BA3">
        <w:rPr>
          <w:sz w:val="24"/>
          <w:szCs w:val="24"/>
          <w:lang w:val="en-US"/>
        </w:rPr>
        <w:t xml:space="preserve">32.7% and 29.7% of the total of </w:t>
      </w:r>
      <w:r w:rsidR="00CD48C6" w:rsidRPr="00253BA3">
        <w:rPr>
          <w:sz w:val="24"/>
          <w:szCs w:val="24"/>
          <w:lang w:val="en-US"/>
        </w:rPr>
        <w:t>artifacts</w:t>
      </w:r>
      <w:r w:rsidR="00D83385" w:rsidRPr="00253BA3">
        <w:rPr>
          <w:sz w:val="24"/>
          <w:szCs w:val="24"/>
          <w:lang w:val="en-US"/>
        </w:rPr>
        <w:t>.</w:t>
      </w:r>
    </w:p>
    <w:p w:rsidR="00424B2D" w:rsidRPr="00253BA3" w:rsidRDefault="00424B2D" w:rsidP="00D658A3">
      <w:pPr>
        <w:spacing w:after="0" w:line="312" w:lineRule="auto"/>
        <w:jc w:val="both"/>
        <w:rPr>
          <w:sz w:val="24"/>
          <w:szCs w:val="24"/>
          <w:lang w:val="en-US"/>
        </w:rPr>
      </w:pPr>
    </w:p>
    <w:tbl>
      <w:tblPr>
        <w:tblW w:w="8839" w:type="dxa"/>
        <w:tblInd w:w="93" w:type="dxa"/>
        <w:tblLook w:val="04A0" w:firstRow="1" w:lastRow="0" w:firstColumn="1" w:lastColumn="0" w:noHBand="0" w:noVBand="1"/>
      </w:tblPr>
      <w:tblGrid>
        <w:gridCol w:w="1200"/>
        <w:gridCol w:w="1242"/>
        <w:gridCol w:w="236"/>
        <w:gridCol w:w="922"/>
        <w:gridCol w:w="78"/>
        <w:gridCol w:w="1151"/>
        <w:gridCol w:w="236"/>
        <w:gridCol w:w="935"/>
        <w:gridCol w:w="189"/>
        <w:gridCol w:w="47"/>
        <w:gridCol w:w="189"/>
        <w:gridCol w:w="1080"/>
        <w:gridCol w:w="236"/>
        <w:gridCol w:w="831"/>
        <w:gridCol w:w="267"/>
      </w:tblGrid>
      <w:tr w:rsidR="00253BA3" w:rsidRPr="00253BA3" w:rsidTr="00A31112">
        <w:trPr>
          <w:gridAfter w:val="1"/>
          <w:wAfter w:w="267" w:type="dxa"/>
          <w:trHeight w:val="300"/>
        </w:trPr>
        <w:tc>
          <w:tcPr>
            <w:tcW w:w="1200" w:type="dxa"/>
            <w:tcBorders>
              <w:top w:val="nil"/>
              <w:left w:val="nil"/>
              <w:bottom w:val="nil"/>
              <w:right w:val="single" w:sz="8" w:space="0" w:color="FFFFFF" w:themeColor="background1"/>
            </w:tcBorders>
            <w:shd w:val="clear" w:color="auto" w:fill="auto"/>
            <w:noWrap/>
            <w:vAlign w:val="bottom"/>
            <w:hideMark/>
          </w:tcPr>
          <w:p w:rsidR="00424B2D" w:rsidRPr="00253BA3" w:rsidRDefault="00424B2D" w:rsidP="00D658A3">
            <w:pPr>
              <w:spacing w:after="0" w:line="240" w:lineRule="auto"/>
              <w:jc w:val="both"/>
              <w:rPr>
                <w:rFonts w:eastAsia="Times New Roman" w:cs="Times New Roman"/>
                <w:i/>
                <w:lang w:val="en-US"/>
              </w:rPr>
            </w:pPr>
          </w:p>
        </w:tc>
        <w:tc>
          <w:tcPr>
            <w:tcW w:w="2400" w:type="dxa"/>
            <w:gridSpan w:val="3"/>
            <w:tcBorders>
              <w:top w:val="nil"/>
              <w:left w:val="single" w:sz="8" w:space="0" w:color="FFFFFF" w:themeColor="background1"/>
              <w:bottom w:val="nil"/>
              <w:right w:val="single" w:sz="8" w:space="0" w:color="FFFFFF" w:themeColor="background1"/>
            </w:tcBorders>
            <w:shd w:val="clear" w:color="auto" w:fill="auto"/>
            <w:noWrap/>
            <w:vAlign w:val="bottom"/>
            <w:hideMark/>
          </w:tcPr>
          <w:p w:rsidR="00424B2D" w:rsidRPr="00253BA3" w:rsidRDefault="00424B2D" w:rsidP="00D658A3">
            <w:pPr>
              <w:spacing w:after="0" w:line="240" w:lineRule="auto"/>
              <w:jc w:val="both"/>
              <w:rPr>
                <w:rFonts w:eastAsia="Times New Roman" w:cs="Times New Roman"/>
                <w:i/>
                <w:sz w:val="24"/>
                <w:szCs w:val="24"/>
                <w:lang w:val="en-US"/>
              </w:rPr>
            </w:pPr>
            <w:r w:rsidRPr="00253BA3">
              <w:rPr>
                <w:rFonts w:eastAsia="Times New Roman" w:cs="Times New Roman"/>
                <w:i/>
                <w:sz w:val="24"/>
                <w:szCs w:val="24"/>
                <w:lang w:val="en-US"/>
              </w:rPr>
              <w:t>Quartzite</w:t>
            </w:r>
          </w:p>
        </w:tc>
        <w:tc>
          <w:tcPr>
            <w:tcW w:w="2400" w:type="dxa"/>
            <w:gridSpan w:val="4"/>
            <w:tcBorders>
              <w:top w:val="nil"/>
              <w:left w:val="single" w:sz="8" w:space="0" w:color="FFFFFF" w:themeColor="background1"/>
              <w:bottom w:val="nil"/>
              <w:right w:val="single" w:sz="8" w:space="0" w:color="FFFFFF" w:themeColor="background1"/>
            </w:tcBorders>
            <w:shd w:val="clear" w:color="auto" w:fill="auto"/>
            <w:noWrap/>
            <w:vAlign w:val="bottom"/>
            <w:hideMark/>
          </w:tcPr>
          <w:p w:rsidR="00424B2D" w:rsidRPr="00253BA3" w:rsidRDefault="00424B2D" w:rsidP="00D658A3">
            <w:pPr>
              <w:spacing w:after="0" w:line="240" w:lineRule="auto"/>
              <w:jc w:val="both"/>
              <w:rPr>
                <w:rFonts w:eastAsia="Times New Roman" w:cs="Times New Roman"/>
                <w:i/>
                <w:sz w:val="24"/>
                <w:szCs w:val="24"/>
                <w:lang w:val="en-US"/>
              </w:rPr>
            </w:pPr>
            <w:r w:rsidRPr="00253BA3">
              <w:rPr>
                <w:rFonts w:eastAsia="Times New Roman" w:cs="Times New Roman"/>
                <w:i/>
                <w:sz w:val="24"/>
                <w:szCs w:val="24"/>
                <w:lang w:val="en-US"/>
              </w:rPr>
              <w:t>Chalcedony</w:t>
            </w:r>
          </w:p>
        </w:tc>
        <w:tc>
          <w:tcPr>
            <w:tcW w:w="236" w:type="dxa"/>
            <w:gridSpan w:val="2"/>
            <w:tcBorders>
              <w:top w:val="nil"/>
              <w:left w:val="single" w:sz="8" w:space="0" w:color="FFFFFF" w:themeColor="background1"/>
              <w:bottom w:val="nil"/>
              <w:right w:val="single" w:sz="8" w:space="0" w:color="FFFFFF" w:themeColor="background1"/>
            </w:tcBorders>
            <w:shd w:val="clear" w:color="auto" w:fill="auto"/>
            <w:noWrap/>
            <w:vAlign w:val="bottom"/>
            <w:hideMark/>
          </w:tcPr>
          <w:p w:rsidR="00424B2D" w:rsidRPr="00253BA3" w:rsidRDefault="00424B2D" w:rsidP="00D658A3">
            <w:pPr>
              <w:spacing w:after="0" w:line="240" w:lineRule="auto"/>
              <w:jc w:val="both"/>
              <w:rPr>
                <w:rFonts w:eastAsia="Times New Roman" w:cs="Times New Roman"/>
                <w:i/>
                <w:sz w:val="24"/>
                <w:szCs w:val="24"/>
                <w:lang w:val="en-US"/>
              </w:rPr>
            </w:pPr>
          </w:p>
        </w:tc>
        <w:tc>
          <w:tcPr>
            <w:tcW w:w="2336" w:type="dxa"/>
            <w:gridSpan w:val="4"/>
            <w:tcBorders>
              <w:top w:val="nil"/>
              <w:left w:val="single" w:sz="8" w:space="0" w:color="FFFFFF" w:themeColor="background1"/>
              <w:bottom w:val="nil"/>
              <w:right w:val="nil"/>
            </w:tcBorders>
            <w:shd w:val="clear" w:color="auto" w:fill="auto"/>
            <w:vAlign w:val="bottom"/>
          </w:tcPr>
          <w:p w:rsidR="00424B2D" w:rsidRPr="00253BA3" w:rsidRDefault="00424B2D" w:rsidP="00D658A3">
            <w:pPr>
              <w:spacing w:after="0" w:line="240" w:lineRule="auto"/>
              <w:jc w:val="both"/>
              <w:rPr>
                <w:rFonts w:eastAsia="Times New Roman" w:cs="Times New Roman"/>
                <w:i/>
                <w:sz w:val="24"/>
                <w:szCs w:val="24"/>
                <w:lang w:val="en-US"/>
              </w:rPr>
            </w:pPr>
            <w:r w:rsidRPr="00253BA3">
              <w:rPr>
                <w:rFonts w:eastAsia="Times New Roman" w:cs="Times New Roman"/>
                <w:i/>
                <w:sz w:val="24"/>
                <w:szCs w:val="24"/>
                <w:lang w:val="en-US"/>
              </w:rPr>
              <w:t>Serra Llarga</w:t>
            </w:r>
          </w:p>
        </w:tc>
      </w:tr>
      <w:tr w:rsidR="00253BA3" w:rsidRPr="00253BA3" w:rsidTr="00A31112">
        <w:trPr>
          <w:trHeight w:val="300"/>
        </w:trPr>
        <w:tc>
          <w:tcPr>
            <w:tcW w:w="1200" w:type="dxa"/>
            <w:tcBorders>
              <w:top w:val="nil"/>
              <w:left w:val="nil"/>
              <w:bottom w:val="single" w:sz="8" w:space="0" w:color="auto"/>
              <w:right w:val="single" w:sz="8"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i/>
                <w:lang w:val="en-US"/>
              </w:rPr>
            </w:pPr>
          </w:p>
        </w:tc>
        <w:tc>
          <w:tcPr>
            <w:tcW w:w="124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NR</w:t>
            </w:r>
          </w:p>
        </w:tc>
        <w:tc>
          <w:tcPr>
            <w:tcW w:w="236" w:type="dxa"/>
            <w:tcBorders>
              <w:top w:val="single" w:sz="4" w:space="0" w:color="auto"/>
              <w:left w:val="single" w:sz="4" w:space="0" w:color="auto"/>
              <w:bottom w:val="single" w:sz="8" w:space="0" w:color="auto"/>
              <w:right w:val="nil"/>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p>
        </w:tc>
        <w:tc>
          <w:tcPr>
            <w:tcW w:w="1000" w:type="dxa"/>
            <w:gridSpan w:val="2"/>
            <w:tcBorders>
              <w:top w:val="single" w:sz="4" w:space="0" w:color="auto"/>
              <w:left w:val="nil"/>
              <w:bottom w:val="single" w:sz="8" w:space="0" w:color="auto"/>
              <w:right w:val="single" w:sz="8"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w:t>
            </w:r>
          </w:p>
        </w:tc>
        <w:tc>
          <w:tcPr>
            <w:tcW w:w="115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NR</w:t>
            </w:r>
          </w:p>
        </w:tc>
        <w:tc>
          <w:tcPr>
            <w:tcW w:w="236" w:type="dxa"/>
            <w:tcBorders>
              <w:top w:val="single" w:sz="4" w:space="0" w:color="auto"/>
              <w:left w:val="single" w:sz="4" w:space="0" w:color="auto"/>
              <w:bottom w:val="single" w:sz="8" w:space="0" w:color="auto"/>
              <w:right w:val="nil"/>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p>
        </w:tc>
        <w:tc>
          <w:tcPr>
            <w:tcW w:w="1124" w:type="dxa"/>
            <w:gridSpan w:val="2"/>
            <w:tcBorders>
              <w:top w:val="single" w:sz="4" w:space="0" w:color="auto"/>
              <w:left w:val="nil"/>
              <w:bottom w:val="single" w:sz="8" w:space="0" w:color="auto"/>
              <w:right w:val="nil"/>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w:t>
            </w:r>
          </w:p>
        </w:tc>
        <w:tc>
          <w:tcPr>
            <w:tcW w:w="236" w:type="dxa"/>
            <w:gridSpan w:val="2"/>
            <w:tcBorders>
              <w:top w:val="single" w:sz="4" w:space="0" w:color="auto"/>
              <w:left w:val="nil"/>
              <w:bottom w:val="single" w:sz="8" w:space="0" w:color="auto"/>
              <w:right w:val="single" w:sz="8"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p>
        </w:tc>
        <w:tc>
          <w:tcPr>
            <w:tcW w:w="1080" w:type="dxa"/>
            <w:tcBorders>
              <w:top w:val="single" w:sz="4" w:space="0" w:color="auto"/>
              <w:left w:val="single" w:sz="8" w:space="0" w:color="auto"/>
              <w:bottom w:val="single" w:sz="8" w:space="0" w:color="auto"/>
              <w:right w:val="single" w:sz="4" w:space="0" w:color="auto"/>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NR</w:t>
            </w:r>
          </w:p>
        </w:tc>
        <w:tc>
          <w:tcPr>
            <w:tcW w:w="236" w:type="dxa"/>
            <w:tcBorders>
              <w:top w:val="single" w:sz="4" w:space="0" w:color="auto"/>
              <w:left w:val="single" w:sz="4" w:space="0" w:color="auto"/>
              <w:bottom w:val="single" w:sz="8" w:space="0" w:color="auto"/>
              <w:right w:val="nil"/>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p>
        </w:tc>
        <w:tc>
          <w:tcPr>
            <w:tcW w:w="1098" w:type="dxa"/>
            <w:gridSpan w:val="2"/>
            <w:tcBorders>
              <w:top w:val="single" w:sz="4" w:space="0" w:color="auto"/>
              <w:left w:val="nil"/>
              <w:bottom w:val="single" w:sz="8" w:space="0" w:color="auto"/>
              <w:right w:val="single" w:sz="8" w:space="0" w:color="000000" w:themeColor="text1"/>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w:t>
            </w:r>
          </w:p>
        </w:tc>
      </w:tr>
      <w:tr w:rsidR="00253BA3" w:rsidRPr="00253BA3" w:rsidTr="00A31112">
        <w:trPr>
          <w:trHeight w:val="300"/>
        </w:trPr>
        <w:tc>
          <w:tcPr>
            <w:tcW w:w="1200" w:type="dxa"/>
            <w:tcBorders>
              <w:top w:val="single" w:sz="8" w:space="0" w:color="FFFFFF" w:themeColor="background1"/>
              <w:left w:val="single" w:sz="8" w:space="0" w:color="FFFFFF" w:themeColor="background1"/>
              <w:bottom w:val="single" w:sz="8" w:space="0" w:color="auto"/>
              <w:right w:val="single" w:sz="8"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i/>
                <w:sz w:val="24"/>
                <w:szCs w:val="24"/>
                <w:lang w:val="en-US"/>
              </w:rPr>
            </w:pPr>
            <w:r w:rsidRPr="00253BA3">
              <w:rPr>
                <w:rFonts w:eastAsia="Times New Roman" w:cs="Times New Roman"/>
                <w:i/>
                <w:sz w:val="24"/>
                <w:szCs w:val="24"/>
                <w:lang w:val="en-US"/>
              </w:rPr>
              <w:t>N10</w:t>
            </w:r>
          </w:p>
        </w:tc>
        <w:tc>
          <w:tcPr>
            <w:tcW w:w="124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584</w:t>
            </w:r>
          </w:p>
        </w:tc>
        <w:tc>
          <w:tcPr>
            <w:tcW w:w="236" w:type="dxa"/>
            <w:tcBorders>
              <w:top w:val="single" w:sz="8" w:space="0" w:color="auto"/>
              <w:left w:val="single" w:sz="4" w:space="0" w:color="auto"/>
              <w:bottom w:val="single" w:sz="8" w:space="0" w:color="auto"/>
              <w:right w:val="nil"/>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p>
        </w:tc>
        <w:tc>
          <w:tcPr>
            <w:tcW w:w="1000" w:type="dxa"/>
            <w:gridSpan w:val="2"/>
            <w:tcBorders>
              <w:top w:val="single" w:sz="8" w:space="0" w:color="auto"/>
              <w:left w:val="nil"/>
              <w:bottom w:val="single" w:sz="8" w:space="0" w:color="auto"/>
              <w:right w:val="single" w:sz="8" w:space="0" w:color="auto"/>
            </w:tcBorders>
            <w:shd w:val="clear" w:color="auto" w:fill="auto"/>
            <w:noWrap/>
            <w:vAlign w:val="bottom"/>
            <w:hideMark/>
          </w:tcPr>
          <w:p w:rsidR="00424B2D" w:rsidRPr="00253BA3" w:rsidRDefault="00424B2D" w:rsidP="00CD48C6">
            <w:pPr>
              <w:spacing w:after="0" w:line="240" w:lineRule="auto"/>
              <w:jc w:val="both"/>
              <w:rPr>
                <w:rFonts w:eastAsia="Times New Roman" w:cs="Times New Roman"/>
                <w:lang w:val="en-US"/>
              </w:rPr>
            </w:pPr>
            <w:r w:rsidRPr="00253BA3">
              <w:rPr>
                <w:rFonts w:eastAsia="Times New Roman" w:cs="Times New Roman"/>
                <w:lang w:val="en-US"/>
              </w:rPr>
              <w:t>28</w:t>
            </w:r>
            <w:r w:rsidR="00CD48C6" w:rsidRPr="00253BA3">
              <w:rPr>
                <w:rFonts w:eastAsia="Times New Roman" w:cs="Times New Roman"/>
                <w:lang w:val="en-US"/>
              </w:rPr>
              <w:t>.</w:t>
            </w:r>
            <w:r w:rsidRPr="00253BA3">
              <w:rPr>
                <w:rFonts w:eastAsia="Times New Roman" w:cs="Times New Roman"/>
                <w:lang w:val="en-US"/>
              </w:rPr>
              <w:t>6</w:t>
            </w:r>
          </w:p>
        </w:tc>
        <w:tc>
          <w:tcPr>
            <w:tcW w:w="11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666</w:t>
            </w:r>
          </w:p>
        </w:tc>
        <w:tc>
          <w:tcPr>
            <w:tcW w:w="236" w:type="dxa"/>
            <w:tcBorders>
              <w:top w:val="single" w:sz="8" w:space="0" w:color="auto"/>
              <w:left w:val="single" w:sz="4" w:space="0" w:color="auto"/>
              <w:bottom w:val="single" w:sz="8" w:space="0" w:color="auto"/>
              <w:right w:val="nil"/>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p>
        </w:tc>
        <w:tc>
          <w:tcPr>
            <w:tcW w:w="1124" w:type="dxa"/>
            <w:gridSpan w:val="2"/>
            <w:tcBorders>
              <w:top w:val="single" w:sz="8" w:space="0" w:color="auto"/>
              <w:left w:val="nil"/>
              <w:bottom w:val="single" w:sz="8" w:space="0" w:color="auto"/>
              <w:right w:val="nil"/>
            </w:tcBorders>
            <w:shd w:val="clear" w:color="auto" w:fill="auto"/>
            <w:noWrap/>
            <w:vAlign w:val="bottom"/>
            <w:hideMark/>
          </w:tcPr>
          <w:p w:rsidR="00424B2D" w:rsidRPr="00253BA3" w:rsidRDefault="00424B2D" w:rsidP="00CD48C6">
            <w:pPr>
              <w:spacing w:after="0" w:line="240" w:lineRule="auto"/>
              <w:jc w:val="both"/>
              <w:rPr>
                <w:rFonts w:eastAsia="Times New Roman" w:cs="Times New Roman"/>
                <w:lang w:val="en-US"/>
              </w:rPr>
            </w:pPr>
            <w:r w:rsidRPr="00253BA3">
              <w:rPr>
                <w:rFonts w:eastAsia="Times New Roman" w:cs="Times New Roman"/>
                <w:lang w:val="en-US"/>
              </w:rPr>
              <w:t>32</w:t>
            </w:r>
            <w:r w:rsidR="00CD48C6" w:rsidRPr="00253BA3">
              <w:rPr>
                <w:rFonts w:eastAsia="Times New Roman" w:cs="Times New Roman"/>
                <w:lang w:val="en-US"/>
              </w:rPr>
              <w:t>.</w:t>
            </w:r>
            <w:r w:rsidRPr="00253BA3">
              <w:rPr>
                <w:rFonts w:eastAsia="Times New Roman" w:cs="Times New Roman"/>
                <w:lang w:val="en-US"/>
              </w:rPr>
              <w:t>7</w:t>
            </w:r>
          </w:p>
        </w:tc>
        <w:tc>
          <w:tcPr>
            <w:tcW w:w="236" w:type="dxa"/>
            <w:gridSpan w:val="2"/>
            <w:tcBorders>
              <w:top w:val="single" w:sz="8" w:space="0" w:color="auto"/>
              <w:left w:val="nil"/>
              <w:bottom w:val="single" w:sz="8" w:space="0" w:color="auto"/>
              <w:right w:val="single" w:sz="8"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p>
        </w:tc>
        <w:tc>
          <w:tcPr>
            <w:tcW w:w="1080" w:type="dxa"/>
            <w:tcBorders>
              <w:top w:val="single" w:sz="8" w:space="0" w:color="auto"/>
              <w:left w:val="single" w:sz="8" w:space="0" w:color="auto"/>
              <w:bottom w:val="single" w:sz="8" w:space="0" w:color="auto"/>
              <w:right w:val="single" w:sz="4" w:space="0" w:color="auto"/>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605</w:t>
            </w:r>
          </w:p>
        </w:tc>
        <w:tc>
          <w:tcPr>
            <w:tcW w:w="236" w:type="dxa"/>
            <w:tcBorders>
              <w:top w:val="single" w:sz="8" w:space="0" w:color="auto"/>
              <w:left w:val="single" w:sz="4" w:space="0" w:color="auto"/>
              <w:bottom w:val="single" w:sz="8" w:space="0" w:color="auto"/>
              <w:right w:val="nil"/>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p>
        </w:tc>
        <w:tc>
          <w:tcPr>
            <w:tcW w:w="1098" w:type="dxa"/>
            <w:gridSpan w:val="2"/>
            <w:tcBorders>
              <w:top w:val="single" w:sz="8" w:space="0" w:color="auto"/>
              <w:left w:val="nil"/>
              <w:bottom w:val="single" w:sz="8" w:space="0" w:color="auto"/>
              <w:right w:val="single" w:sz="8" w:space="0" w:color="000000" w:themeColor="text1"/>
            </w:tcBorders>
            <w:shd w:val="clear" w:color="auto" w:fill="auto"/>
            <w:noWrap/>
            <w:vAlign w:val="bottom"/>
            <w:hideMark/>
          </w:tcPr>
          <w:p w:rsidR="00424B2D" w:rsidRPr="00253BA3" w:rsidRDefault="00C34310" w:rsidP="00CD48C6">
            <w:pPr>
              <w:spacing w:after="0" w:line="240" w:lineRule="auto"/>
              <w:jc w:val="both"/>
              <w:rPr>
                <w:rFonts w:eastAsia="Times New Roman" w:cs="Times New Roman"/>
                <w:lang w:val="en-US"/>
              </w:rPr>
            </w:pPr>
            <w:r w:rsidRPr="00253BA3">
              <w:rPr>
                <w:rFonts w:eastAsia="Times New Roman" w:cs="Times New Roman"/>
                <w:lang w:val="en-US"/>
              </w:rPr>
              <w:t>29</w:t>
            </w:r>
            <w:r w:rsidR="00CD48C6" w:rsidRPr="00253BA3">
              <w:rPr>
                <w:rFonts w:eastAsia="Times New Roman" w:cs="Times New Roman"/>
                <w:lang w:val="en-US"/>
              </w:rPr>
              <w:t>.</w:t>
            </w:r>
            <w:r w:rsidRPr="00253BA3">
              <w:rPr>
                <w:rFonts w:eastAsia="Times New Roman" w:cs="Times New Roman"/>
                <w:lang w:val="en-US"/>
              </w:rPr>
              <w:t>7</w:t>
            </w:r>
          </w:p>
        </w:tc>
      </w:tr>
      <w:tr w:rsidR="00253BA3" w:rsidRPr="00253BA3" w:rsidTr="00A31112">
        <w:trPr>
          <w:trHeight w:val="300"/>
        </w:trPr>
        <w:tc>
          <w:tcPr>
            <w:tcW w:w="1200" w:type="dxa"/>
            <w:tcBorders>
              <w:top w:val="single" w:sz="8" w:space="0" w:color="auto"/>
              <w:left w:val="single" w:sz="8" w:space="0" w:color="FFFFFF" w:themeColor="background1"/>
              <w:bottom w:val="single" w:sz="8" w:space="0" w:color="auto"/>
              <w:right w:val="single" w:sz="8"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i/>
                <w:sz w:val="24"/>
                <w:szCs w:val="24"/>
                <w:lang w:val="en-US"/>
              </w:rPr>
            </w:pPr>
            <w:r w:rsidRPr="00253BA3">
              <w:rPr>
                <w:rFonts w:eastAsia="Times New Roman" w:cs="Times New Roman"/>
                <w:i/>
                <w:sz w:val="24"/>
                <w:szCs w:val="24"/>
                <w:lang w:val="en-US"/>
              </w:rPr>
              <w:t>N12</w:t>
            </w:r>
          </w:p>
        </w:tc>
        <w:tc>
          <w:tcPr>
            <w:tcW w:w="124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18217</w:t>
            </w:r>
          </w:p>
        </w:tc>
        <w:tc>
          <w:tcPr>
            <w:tcW w:w="236" w:type="dxa"/>
            <w:tcBorders>
              <w:top w:val="single" w:sz="8" w:space="0" w:color="auto"/>
              <w:left w:val="single" w:sz="4" w:space="0" w:color="auto"/>
              <w:bottom w:val="single" w:sz="8" w:space="0" w:color="auto"/>
              <w:right w:val="nil"/>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p>
        </w:tc>
        <w:tc>
          <w:tcPr>
            <w:tcW w:w="1000" w:type="dxa"/>
            <w:gridSpan w:val="2"/>
            <w:tcBorders>
              <w:top w:val="single" w:sz="8" w:space="0" w:color="auto"/>
              <w:left w:val="nil"/>
              <w:bottom w:val="single" w:sz="8" w:space="0" w:color="auto"/>
              <w:right w:val="single" w:sz="8" w:space="0" w:color="auto"/>
            </w:tcBorders>
            <w:shd w:val="clear" w:color="auto" w:fill="auto"/>
            <w:noWrap/>
            <w:vAlign w:val="bottom"/>
            <w:hideMark/>
          </w:tcPr>
          <w:p w:rsidR="00424B2D" w:rsidRPr="00253BA3" w:rsidRDefault="00424B2D" w:rsidP="00CD48C6">
            <w:pPr>
              <w:spacing w:after="0" w:line="240" w:lineRule="auto"/>
              <w:jc w:val="both"/>
              <w:rPr>
                <w:rFonts w:eastAsia="Times New Roman" w:cs="Times New Roman"/>
                <w:lang w:val="en-US"/>
              </w:rPr>
            </w:pPr>
            <w:r w:rsidRPr="00253BA3">
              <w:rPr>
                <w:rFonts w:eastAsia="Times New Roman" w:cs="Times New Roman"/>
                <w:lang w:val="en-US"/>
              </w:rPr>
              <w:t>83</w:t>
            </w:r>
            <w:r w:rsidR="00CD48C6" w:rsidRPr="00253BA3">
              <w:rPr>
                <w:rFonts w:eastAsia="Times New Roman" w:cs="Times New Roman"/>
                <w:lang w:val="en-US"/>
              </w:rPr>
              <w:t>.</w:t>
            </w:r>
            <w:r w:rsidRPr="00253BA3">
              <w:rPr>
                <w:rFonts w:eastAsia="Times New Roman" w:cs="Times New Roman"/>
                <w:lang w:val="en-US"/>
              </w:rPr>
              <w:t>5</w:t>
            </w:r>
          </w:p>
        </w:tc>
        <w:tc>
          <w:tcPr>
            <w:tcW w:w="11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2212</w:t>
            </w:r>
          </w:p>
        </w:tc>
        <w:tc>
          <w:tcPr>
            <w:tcW w:w="236" w:type="dxa"/>
            <w:tcBorders>
              <w:top w:val="single" w:sz="8" w:space="0" w:color="auto"/>
              <w:left w:val="single" w:sz="4" w:space="0" w:color="auto"/>
              <w:bottom w:val="single" w:sz="8" w:space="0" w:color="auto"/>
              <w:right w:val="nil"/>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p>
        </w:tc>
        <w:tc>
          <w:tcPr>
            <w:tcW w:w="1124" w:type="dxa"/>
            <w:gridSpan w:val="2"/>
            <w:tcBorders>
              <w:top w:val="single" w:sz="8" w:space="0" w:color="auto"/>
              <w:left w:val="nil"/>
              <w:bottom w:val="single" w:sz="8" w:space="0" w:color="auto"/>
              <w:right w:val="nil"/>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10</w:t>
            </w:r>
            <w:r w:rsidR="00601160" w:rsidRPr="00253BA3">
              <w:rPr>
                <w:rFonts w:eastAsia="Times New Roman" w:cs="Times New Roman"/>
                <w:lang w:val="en-US"/>
              </w:rPr>
              <w:t>.0</w:t>
            </w:r>
          </w:p>
        </w:tc>
        <w:tc>
          <w:tcPr>
            <w:tcW w:w="236" w:type="dxa"/>
            <w:gridSpan w:val="2"/>
            <w:tcBorders>
              <w:top w:val="single" w:sz="8" w:space="0" w:color="auto"/>
              <w:left w:val="nil"/>
              <w:bottom w:val="single" w:sz="8" w:space="0" w:color="auto"/>
              <w:right w:val="single" w:sz="8" w:space="0" w:color="auto"/>
            </w:tcBorders>
            <w:shd w:val="clear" w:color="auto" w:fill="auto"/>
            <w:noWrap/>
            <w:vAlign w:val="bottom"/>
            <w:hideMark/>
          </w:tcPr>
          <w:p w:rsidR="00424B2D" w:rsidRPr="00253BA3" w:rsidRDefault="00424B2D" w:rsidP="00D658A3">
            <w:pPr>
              <w:spacing w:after="0" w:line="240" w:lineRule="auto"/>
              <w:jc w:val="both"/>
              <w:rPr>
                <w:rFonts w:eastAsia="Times New Roman" w:cs="Times New Roman"/>
                <w:lang w:val="en-US"/>
              </w:rPr>
            </w:pPr>
          </w:p>
        </w:tc>
        <w:tc>
          <w:tcPr>
            <w:tcW w:w="1080" w:type="dxa"/>
            <w:tcBorders>
              <w:top w:val="single" w:sz="8" w:space="0" w:color="auto"/>
              <w:left w:val="single" w:sz="8" w:space="0" w:color="auto"/>
              <w:bottom w:val="single" w:sz="8" w:space="0" w:color="auto"/>
              <w:right w:val="single" w:sz="4" w:space="0" w:color="auto"/>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r w:rsidRPr="00253BA3">
              <w:rPr>
                <w:rFonts w:eastAsia="Times New Roman" w:cs="Times New Roman"/>
                <w:lang w:val="en-US"/>
              </w:rPr>
              <w:t>449</w:t>
            </w:r>
          </w:p>
        </w:tc>
        <w:tc>
          <w:tcPr>
            <w:tcW w:w="236" w:type="dxa"/>
            <w:tcBorders>
              <w:top w:val="single" w:sz="8" w:space="0" w:color="auto"/>
              <w:left w:val="single" w:sz="4" w:space="0" w:color="auto"/>
              <w:bottom w:val="single" w:sz="8" w:space="0" w:color="auto"/>
              <w:right w:val="nil"/>
            </w:tcBorders>
            <w:shd w:val="clear" w:color="auto" w:fill="auto"/>
            <w:vAlign w:val="bottom"/>
          </w:tcPr>
          <w:p w:rsidR="00424B2D" w:rsidRPr="00253BA3" w:rsidRDefault="00424B2D" w:rsidP="00D658A3">
            <w:pPr>
              <w:spacing w:after="0" w:line="240" w:lineRule="auto"/>
              <w:jc w:val="both"/>
              <w:rPr>
                <w:rFonts w:eastAsia="Times New Roman" w:cs="Times New Roman"/>
                <w:lang w:val="en-US"/>
              </w:rPr>
            </w:pPr>
          </w:p>
        </w:tc>
        <w:tc>
          <w:tcPr>
            <w:tcW w:w="1098" w:type="dxa"/>
            <w:gridSpan w:val="2"/>
            <w:tcBorders>
              <w:top w:val="single" w:sz="8" w:space="0" w:color="auto"/>
              <w:left w:val="nil"/>
              <w:bottom w:val="single" w:sz="8" w:space="0" w:color="auto"/>
              <w:right w:val="single" w:sz="8" w:space="0" w:color="000000" w:themeColor="text1"/>
            </w:tcBorders>
            <w:shd w:val="clear" w:color="auto" w:fill="auto"/>
            <w:noWrap/>
            <w:vAlign w:val="bottom"/>
            <w:hideMark/>
          </w:tcPr>
          <w:p w:rsidR="00424B2D" w:rsidRPr="00253BA3" w:rsidRDefault="00424B2D" w:rsidP="00CD48C6">
            <w:pPr>
              <w:spacing w:after="0" w:line="240" w:lineRule="auto"/>
              <w:jc w:val="both"/>
              <w:rPr>
                <w:rFonts w:eastAsia="Times New Roman" w:cs="Times New Roman"/>
                <w:lang w:val="en-US"/>
              </w:rPr>
            </w:pPr>
            <w:r w:rsidRPr="00253BA3">
              <w:rPr>
                <w:rFonts w:eastAsia="Times New Roman" w:cs="Times New Roman"/>
                <w:lang w:val="en-US"/>
              </w:rPr>
              <w:t>2</w:t>
            </w:r>
            <w:r w:rsidR="00CD48C6" w:rsidRPr="00253BA3">
              <w:rPr>
                <w:rFonts w:eastAsia="Times New Roman" w:cs="Times New Roman"/>
                <w:lang w:val="en-US"/>
              </w:rPr>
              <w:t>.</w:t>
            </w:r>
            <w:r w:rsidRPr="00253BA3">
              <w:rPr>
                <w:rFonts w:eastAsia="Times New Roman" w:cs="Times New Roman"/>
                <w:lang w:val="en-US"/>
              </w:rPr>
              <w:t>2</w:t>
            </w:r>
          </w:p>
        </w:tc>
      </w:tr>
      <w:tr w:rsidR="00253BA3" w:rsidRPr="00253BA3" w:rsidTr="00A31112">
        <w:tblPrEx>
          <w:tblBorders>
            <w:top w:val="single" w:sz="8" w:space="0" w:color="auto"/>
          </w:tblBorders>
          <w:tblLook w:val="0000" w:firstRow="0" w:lastRow="0" w:firstColumn="0" w:lastColumn="0" w:noHBand="0" w:noVBand="0"/>
        </w:tblPrEx>
        <w:trPr>
          <w:gridAfter w:val="1"/>
          <w:wAfter w:w="267" w:type="dxa"/>
          <w:trHeight w:val="100"/>
        </w:trPr>
        <w:tc>
          <w:tcPr>
            <w:tcW w:w="8572" w:type="dxa"/>
            <w:gridSpan w:val="14"/>
            <w:tcBorders>
              <w:top w:val="single" w:sz="8" w:space="0" w:color="auto"/>
            </w:tcBorders>
          </w:tcPr>
          <w:p w:rsidR="00424B2D" w:rsidRPr="00253BA3" w:rsidRDefault="00424B2D" w:rsidP="00D658A3">
            <w:pPr>
              <w:jc w:val="both"/>
              <w:rPr>
                <w:i/>
                <w:lang w:val="en-US"/>
              </w:rPr>
            </w:pPr>
          </w:p>
        </w:tc>
      </w:tr>
    </w:tbl>
    <w:p w:rsidR="00C34310" w:rsidRPr="00253BA3" w:rsidRDefault="001F15CB" w:rsidP="00D658A3">
      <w:pPr>
        <w:spacing w:after="0" w:line="240" w:lineRule="auto"/>
        <w:jc w:val="both"/>
        <w:rPr>
          <w:rFonts w:cs="Times New Roman"/>
          <w:lang w:val="en-US"/>
        </w:rPr>
      </w:pPr>
      <w:r w:rsidRPr="00253BA3">
        <w:rPr>
          <w:rStyle w:val="tlid-translation"/>
          <w:lang w:val="en"/>
        </w:rPr>
        <w:t xml:space="preserve">Table 1- </w:t>
      </w:r>
      <w:r w:rsidR="00886119" w:rsidRPr="00253BA3">
        <w:rPr>
          <w:rStyle w:val="tlid-translation"/>
          <w:lang w:val="en"/>
        </w:rPr>
        <w:t xml:space="preserve">Lithic </w:t>
      </w:r>
      <w:r w:rsidRPr="00253BA3">
        <w:rPr>
          <w:rStyle w:val="tlid-translation"/>
          <w:lang w:val="en"/>
        </w:rPr>
        <w:t>and percentage of all categories of coordinate artifacts of quartzite, chalcedony and Serra Llarga</w:t>
      </w:r>
      <w:r w:rsidR="00537A6C" w:rsidRPr="00253BA3">
        <w:rPr>
          <w:rStyle w:val="tlid-translation"/>
          <w:lang w:val="en"/>
        </w:rPr>
        <w:t xml:space="preserve"> flint</w:t>
      </w:r>
      <w:r w:rsidRPr="00253BA3">
        <w:rPr>
          <w:rStyle w:val="tlid-translation"/>
          <w:lang w:val="en"/>
        </w:rPr>
        <w:t xml:space="preserve"> in levels N12 and N10.</w:t>
      </w:r>
      <w:bookmarkStart w:id="0" w:name="_GoBack"/>
      <w:bookmarkEnd w:id="0"/>
    </w:p>
    <w:p w:rsidR="00C81753" w:rsidRPr="00253BA3" w:rsidRDefault="00C81753" w:rsidP="00D658A3">
      <w:pPr>
        <w:spacing w:after="0" w:line="240" w:lineRule="auto"/>
        <w:jc w:val="both"/>
        <w:rPr>
          <w:rFonts w:cs="Times New Roman"/>
          <w:sz w:val="24"/>
          <w:szCs w:val="24"/>
          <w:lang w:val="en-US"/>
        </w:rPr>
      </w:pPr>
    </w:p>
    <w:p w:rsidR="003932A1" w:rsidRPr="00253BA3" w:rsidRDefault="00F71B49" w:rsidP="00D658A3">
      <w:pPr>
        <w:spacing w:after="0" w:line="312" w:lineRule="auto"/>
        <w:jc w:val="both"/>
        <w:rPr>
          <w:lang w:val="en-US"/>
        </w:rPr>
      </w:pPr>
      <w:r w:rsidRPr="00253BA3">
        <w:rPr>
          <w:rFonts w:cs="Times New Roman"/>
          <w:sz w:val="24"/>
          <w:szCs w:val="24"/>
          <w:lang w:val="en-US"/>
        </w:rPr>
        <w:t xml:space="preserve">These general </w:t>
      </w:r>
      <w:r w:rsidR="00CD48C6" w:rsidRPr="00253BA3">
        <w:rPr>
          <w:rFonts w:cs="Times New Roman"/>
          <w:sz w:val="24"/>
          <w:szCs w:val="24"/>
          <w:lang w:val="en-US"/>
        </w:rPr>
        <w:t xml:space="preserve">indices </w:t>
      </w:r>
      <w:r w:rsidRPr="00253BA3">
        <w:rPr>
          <w:rFonts w:cs="Times New Roman"/>
          <w:sz w:val="24"/>
          <w:szCs w:val="24"/>
          <w:lang w:val="en-US"/>
        </w:rPr>
        <w:t>infer several notions related to transport decisions, informing about the circulation through different landscapes related to the site. The presence of metamorphic rocks indicates the availability of a material that is located in easily accessible river deposits adjacent to the site (Roy 2016b; Roy et al. 2017). This consumption of materials located in the immediate local area of the site is vey usual in most Mousterian sites (Geneste</w:t>
      </w:r>
      <w:r w:rsidR="00537A6C" w:rsidRPr="00253BA3">
        <w:rPr>
          <w:rFonts w:cs="Times New Roman"/>
          <w:sz w:val="24"/>
          <w:szCs w:val="24"/>
          <w:lang w:val="en-US"/>
        </w:rPr>
        <w:t>,</w:t>
      </w:r>
      <w:r w:rsidRPr="00253BA3">
        <w:rPr>
          <w:rFonts w:cs="Times New Roman"/>
          <w:sz w:val="24"/>
          <w:szCs w:val="24"/>
          <w:lang w:val="en-US"/>
        </w:rPr>
        <w:t xml:space="preserve"> 1985).</w:t>
      </w:r>
      <w:r w:rsidR="003932A1" w:rsidRPr="00253BA3">
        <w:rPr>
          <w:lang w:val="en-US"/>
        </w:rPr>
        <w:t xml:space="preserve"> </w:t>
      </w:r>
    </w:p>
    <w:p w:rsidR="003932A1" w:rsidRPr="00253BA3" w:rsidRDefault="003932A1" w:rsidP="00D658A3">
      <w:pPr>
        <w:spacing w:after="0" w:line="312" w:lineRule="auto"/>
        <w:jc w:val="both"/>
        <w:rPr>
          <w:lang w:val="en-US"/>
        </w:rPr>
      </w:pPr>
    </w:p>
    <w:p w:rsidR="003932A1" w:rsidRPr="00253BA3" w:rsidRDefault="003932A1" w:rsidP="00D658A3">
      <w:pPr>
        <w:spacing w:after="0" w:line="312" w:lineRule="auto"/>
        <w:jc w:val="both"/>
        <w:rPr>
          <w:lang w:val="en-US"/>
        </w:rPr>
      </w:pPr>
      <w:r w:rsidRPr="00253BA3">
        <w:rPr>
          <w:sz w:val="24"/>
          <w:szCs w:val="24"/>
          <w:lang w:val="en-US"/>
        </w:rPr>
        <w:t xml:space="preserve">However, transport of siliceous rocks </w:t>
      </w:r>
      <w:r w:rsidR="00F91C1A" w:rsidRPr="00253BA3">
        <w:rPr>
          <w:sz w:val="24"/>
          <w:szCs w:val="24"/>
          <w:lang w:val="en-US"/>
        </w:rPr>
        <w:t>suggest</w:t>
      </w:r>
      <w:r w:rsidR="00B70A3E" w:rsidRPr="00253BA3">
        <w:rPr>
          <w:sz w:val="24"/>
          <w:szCs w:val="24"/>
          <w:lang w:val="en-US"/>
        </w:rPr>
        <w:t>s</w:t>
      </w:r>
      <w:r w:rsidRPr="00253BA3">
        <w:rPr>
          <w:sz w:val="24"/>
          <w:szCs w:val="24"/>
          <w:lang w:val="en-US"/>
        </w:rPr>
        <w:t xml:space="preserve"> movements through geographic locations other than the rock-shelter area</w:t>
      </w:r>
      <w:r w:rsidR="00F91C1A" w:rsidRPr="00253BA3">
        <w:rPr>
          <w:sz w:val="24"/>
          <w:szCs w:val="24"/>
          <w:lang w:val="en-US"/>
        </w:rPr>
        <w:t>.  Consequently</w:t>
      </w:r>
      <w:r w:rsidRPr="00253BA3">
        <w:rPr>
          <w:sz w:val="24"/>
          <w:szCs w:val="24"/>
          <w:lang w:val="en-US"/>
        </w:rPr>
        <w:t xml:space="preserve">, its acquisition is associated with different transport options. Both the Garumnian chalcedony and the Serra Llarga </w:t>
      </w:r>
      <w:r w:rsidR="00537A6C" w:rsidRPr="00253BA3">
        <w:rPr>
          <w:sz w:val="24"/>
          <w:szCs w:val="24"/>
          <w:lang w:val="en-US"/>
        </w:rPr>
        <w:t>flint</w:t>
      </w:r>
      <w:r w:rsidRPr="00253BA3">
        <w:rPr>
          <w:sz w:val="24"/>
          <w:szCs w:val="24"/>
          <w:lang w:val="en-US"/>
        </w:rPr>
        <w:t xml:space="preserve"> </w:t>
      </w:r>
      <w:r w:rsidR="00F91C1A" w:rsidRPr="00253BA3">
        <w:rPr>
          <w:sz w:val="24"/>
          <w:szCs w:val="24"/>
          <w:lang w:val="en-US"/>
        </w:rPr>
        <w:t>are extensive</w:t>
      </w:r>
      <w:r w:rsidRPr="00253BA3">
        <w:rPr>
          <w:sz w:val="24"/>
          <w:szCs w:val="24"/>
          <w:lang w:val="en-US"/>
        </w:rPr>
        <w:t xml:space="preserve"> and </w:t>
      </w:r>
      <w:r w:rsidR="00B70A3E" w:rsidRPr="00253BA3">
        <w:rPr>
          <w:sz w:val="24"/>
          <w:szCs w:val="24"/>
          <w:lang w:val="en-US"/>
        </w:rPr>
        <w:t>evidently</w:t>
      </w:r>
      <w:r w:rsidRPr="00253BA3">
        <w:rPr>
          <w:sz w:val="24"/>
          <w:szCs w:val="24"/>
          <w:lang w:val="en-US"/>
        </w:rPr>
        <w:t xml:space="preserve"> no elements are identified affecting their visibility and accessibility. Apparently, the only determining factor is the distance between </w:t>
      </w:r>
      <w:r w:rsidR="00F91C1A" w:rsidRPr="00253BA3">
        <w:rPr>
          <w:sz w:val="24"/>
          <w:szCs w:val="24"/>
          <w:lang w:val="en-US"/>
        </w:rPr>
        <w:t xml:space="preserve">the </w:t>
      </w:r>
      <w:r w:rsidR="00601160" w:rsidRPr="00253BA3">
        <w:rPr>
          <w:sz w:val="24"/>
          <w:szCs w:val="24"/>
          <w:lang w:val="en-US"/>
        </w:rPr>
        <w:t>quarries to the site</w:t>
      </w:r>
      <w:r w:rsidR="00537A6C" w:rsidRPr="00253BA3">
        <w:rPr>
          <w:sz w:val="24"/>
          <w:szCs w:val="24"/>
          <w:lang w:val="en-US"/>
        </w:rPr>
        <w:t>.</w:t>
      </w:r>
      <w:r w:rsidR="00601160" w:rsidRPr="00253BA3">
        <w:rPr>
          <w:sz w:val="24"/>
          <w:szCs w:val="24"/>
          <w:lang w:val="en-US"/>
        </w:rPr>
        <w:t xml:space="preserve"> </w:t>
      </w:r>
      <w:r w:rsidR="00537A6C" w:rsidRPr="00253BA3">
        <w:rPr>
          <w:sz w:val="24"/>
          <w:szCs w:val="24"/>
          <w:lang w:val="en-US"/>
        </w:rPr>
        <w:t>A</w:t>
      </w:r>
      <w:r w:rsidRPr="00253BA3">
        <w:rPr>
          <w:sz w:val="24"/>
          <w:szCs w:val="24"/>
          <w:lang w:val="en-US"/>
        </w:rPr>
        <w:t>mong</w:t>
      </w:r>
      <w:r w:rsidR="00EF2794" w:rsidRPr="00253BA3">
        <w:rPr>
          <w:sz w:val="24"/>
          <w:szCs w:val="24"/>
          <w:lang w:val="en-US"/>
        </w:rPr>
        <w:t>st</w:t>
      </w:r>
      <w:r w:rsidRPr="00253BA3">
        <w:rPr>
          <w:sz w:val="24"/>
          <w:szCs w:val="24"/>
          <w:lang w:val="en-US"/>
        </w:rPr>
        <w:t xml:space="preserve"> them, there are important differences in quality and aptitude for knapping. Serra Llarga type is a good quality </w:t>
      </w:r>
      <w:r w:rsidR="00537A6C" w:rsidRPr="00253BA3">
        <w:rPr>
          <w:sz w:val="24"/>
          <w:szCs w:val="24"/>
          <w:lang w:val="en-US"/>
        </w:rPr>
        <w:t>flint</w:t>
      </w:r>
      <w:r w:rsidRPr="00253BA3">
        <w:rPr>
          <w:sz w:val="24"/>
          <w:szCs w:val="24"/>
          <w:lang w:val="en-US"/>
        </w:rPr>
        <w:t xml:space="preserve"> although it appears in small nodules; while the chalcedony is very abundant but of lower quality.</w:t>
      </w:r>
      <w:r w:rsidRPr="00253BA3">
        <w:rPr>
          <w:lang w:val="en-US"/>
        </w:rPr>
        <w:t xml:space="preserve"> </w:t>
      </w:r>
    </w:p>
    <w:p w:rsidR="00455862" w:rsidRPr="00253BA3" w:rsidRDefault="00455862" w:rsidP="00D658A3">
      <w:pPr>
        <w:spacing w:after="0" w:line="312" w:lineRule="auto"/>
        <w:jc w:val="both"/>
        <w:rPr>
          <w:sz w:val="24"/>
          <w:szCs w:val="24"/>
          <w:lang w:val="en-US"/>
        </w:rPr>
      </w:pPr>
    </w:p>
    <w:p w:rsidR="003932A1" w:rsidRPr="00253BA3" w:rsidRDefault="00455862" w:rsidP="00D658A3">
      <w:pPr>
        <w:spacing w:after="0" w:line="312" w:lineRule="auto"/>
        <w:jc w:val="both"/>
        <w:rPr>
          <w:sz w:val="24"/>
          <w:szCs w:val="24"/>
          <w:lang w:val="en-US"/>
        </w:rPr>
      </w:pPr>
      <w:r w:rsidRPr="00253BA3">
        <w:rPr>
          <w:sz w:val="24"/>
          <w:szCs w:val="24"/>
          <w:lang w:val="en-US"/>
        </w:rPr>
        <w:t>The acquisition of chalcedonic rocks is related to displacements within a geographic</w:t>
      </w:r>
      <w:r w:rsidR="00D141C6" w:rsidRPr="00253BA3">
        <w:rPr>
          <w:sz w:val="24"/>
          <w:szCs w:val="24"/>
          <w:lang w:val="en-US"/>
        </w:rPr>
        <w:t>al</w:t>
      </w:r>
      <w:r w:rsidRPr="00253BA3">
        <w:rPr>
          <w:sz w:val="24"/>
          <w:szCs w:val="24"/>
          <w:lang w:val="en-US"/>
        </w:rPr>
        <w:t xml:space="preserve"> </w:t>
      </w:r>
      <w:r w:rsidR="00D141C6" w:rsidRPr="00253BA3">
        <w:rPr>
          <w:sz w:val="24"/>
          <w:szCs w:val="24"/>
          <w:lang w:val="en-US"/>
        </w:rPr>
        <w:t xml:space="preserve">space </w:t>
      </w:r>
      <w:r w:rsidR="00287A60" w:rsidRPr="00253BA3">
        <w:rPr>
          <w:sz w:val="24"/>
          <w:szCs w:val="24"/>
          <w:lang w:val="en-US"/>
        </w:rPr>
        <w:t>corresponding to</w:t>
      </w:r>
      <w:r w:rsidRPr="00253BA3">
        <w:rPr>
          <w:sz w:val="24"/>
          <w:szCs w:val="24"/>
          <w:lang w:val="en-US"/>
        </w:rPr>
        <w:t xml:space="preserve"> landscapes where these groups </w:t>
      </w:r>
      <w:r w:rsidR="00287A60" w:rsidRPr="00253BA3">
        <w:rPr>
          <w:sz w:val="24"/>
          <w:szCs w:val="24"/>
          <w:lang w:val="en-US"/>
        </w:rPr>
        <w:t>usually move</w:t>
      </w:r>
      <w:r w:rsidRPr="00253BA3">
        <w:rPr>
          <w:sz w:val="24"/>
          <w:szCs w:val="24"/>
          <w:lang w:val="en-US"/>
        </w:rPr>
        <w:t>, carrying out subsistence activities with the regular return to the site. However, the position and distance of the Serra Llarga outcrops refer to an external</w:t>
      </w:r>
      <w:r w:rsidR="00287A60" w:rsidRPr="00253BA3">
        <w:rPr>
          <w:sz w:val="24"/>
          <w:szCs w:val="24"/>
          <w:lang w:val="en-US"/>
        </w:rPr>
        <w:t xml:space="preserve"> area from</w:t>
      </w:r>
      <w:r w:rsidRPr="00253BA3">
        <w:rPr>
          <w:sz w:val="24"/>
          <w:szCs w:val="24"/>
          <w:lang w:val="en-US"/>
        </w:rPr>
        <w:t xml:space="preserve"> the site</w:t>
      </w:r>
      <w:r w:rsidR="00287A60" w:rsidRPr="00253BA3">
        <w:rPr>
          <w:sz w:val="24"/>
          <w:szCs w:val="24"/>
          <w:lang w:val="en-US"/>
        </w:rPr>
        <w:t xml:space="preserve"> where activities were carried out</w:t>
      </w:r>
      <w:r w:rsidRPr="00253BA3">
        <w:rPr>
          <w:sz w:val="24"/>
          <w:szCs w:val="24"/>
          <w:lang w:val="en-US"/>
        </w:rPr>
        <w:t xml:space="preserve">, suggesting entry movements from the south, </w:t>
      </w:r>
      <w:r w:rsidR="00287A60" w:rsidRPr="00253BA3">
        <w:rPr>
          <w:sz w:val="24"/>
          <w:szCs w:val="24"/>
          <w:lang w:val="en-US"/>
        </w:rPr>
        <w:t xml:space="preserve">that is the </w:t>
      </w:r>
      <w:r w:rsidRPr="00253BA3">
        <w:rPr>
          <w:sz w:val="24"/>
          <w:szCs w:val="24"/>
          <w:lang w:val="en-US"/>
        </w:rPr>
        <w:t>area of the Ebro basin. The passage through this outcrop is aimed to supply and select</w:t>
      </w:r>
      <w:r w:rsidR="00537A6C" w:rsidRPr="00253BA3">
        <w:rPr>
          <w:sz w:val="24"/>
          <w:szCs w:val="24"/>
          <w:lang w:val="en-US"/>
        </w:rPr>
        <w:t xml:space="preserve"> </w:t>
      </w:r>
      <w:r w:rsidRPr="00253BA3">
        <w:rPr>
          <w:sz w:val="24"/>
          <w:szCs w:val="24"/>
          <w:lang w:val="en-US"/>
        </w:rPr>
        <w:t>artifacts configured for transporting, at least some towards the site (Mora et al. 2004).</w:t>
      </w:r>
    </w:p>
    <w:p w:rsidR="003932A1" w:rsidRPr="00253BA3" w:rsidRDefault="003932A1" w:rsidP="00D658A3">
      <w:pPr>
        <w:spacing w:after="0" w:line="312" w:lineRule="auto"/>
        <w:jc w:val="both"/>
        <w:rPr>
          <w:rFonts w:cs="Times New Roman"/>
          <w:sz w:val="24"/>
          <w:szCs w:val="24"/>
          <w:lang w:val="en-US"/>
        </w:rPr>
      </w:pPr>
    </w:p>
    <w:p w:rsidR="00C34310" w:rsidRPr="00253BA3" w:rsidRDefault="00C34310" w:rsidP="00D658A3">
      <w:pPr>
        <w:spacing w:after="0" w:line="312" w:lineRule="auto"/>
        <w:jc w:val="both"/>
        <w:rPr>
          <w:rFonts w:cs="Times New Roman"/>
          <w:sz w:val="24"/>
          <w:szCs w:val="24"/>
          <w:lang w:val="en-US"/>
        </w:rPr>
      </w:pPr>
      <w:r w:rsidRPr="00253BA3">
        <w:rPr>
          <w:rFonts w:cs="Times New Roman"/>
          <w:sz w:val="24"/>
          <w:szCs w:val="24"/>
          <w:u w:val="single"/>
          <w:lang w:val="en-US"/>
        </w:rPr>
        <w:t xml:space="preserve">3- Only </w:t>
      </w:r>
      <w:r w:rsidR="00455862" w:rsidRPr="00253BA3">
        <w:rPr>
          <w:rFonts w:cs="Times New Roman"/>
          <w:sz w:val="24"/>
          <w:szCs w:val="24"/>
          <w:u w:val="single"/>
          <w:lang w:val="en-US"/>
        </w:rPr>
        <w:t>the rocks</w:t>
      </w:r>
      <w:r w:rsidRPr="00253BA3">
        <w:rPr>
          <w:rFonts w:cs="Times New Roman"/>
          <w:sz w:val="24"/>
          <w:szCs w:val="24"/>
          <w:u w:val="single"/>
          <w:lang w:val="en-US"/>
        </w:rPr>
        <w:t xml:space="preserve"> changed? </w:t>
      </w:r>
      <w:r w:rsidR="00326B62" w:rsidRPr="00253BA3">
        <w:rPr>
          <w:rFonts w:cs="Times New Roman"/>
          <w:sz w:val="24"/>
          <w:szCs w:val="24"/>
          <w:u w:val="single"/>
          <w:lang w:val="en-US"/>
        </w:rPr>
        <w:t>M</w:t>
      </w:r>
      <w:r w:rsidRPr="00253BA3">
        <w:rPr>
          <w:rFonts w:cs="Times New Roman"/>
          <w:sz w:val="24"/>
          <w:szCs w:val="24"/>
          <w:u w:val="single"/>
          <w:lang w:val="en-US"/>
        </w:rPr>
        <w:t>obility and  settlement  patterns</w:t>
      </w:r>
      <w:r w:rsidR="00326B62" w:rsidRPr="00253BA3">
        <w:rPr>
          <w:rFonts w:cs="Times New Roman"/>
          <w:sz w:val="24"/>
          <w:szCs w:val="24"/>
          <w:u w:val="single"/>
          <w:lang w:val="en-US"/>
        </w:rPr>
        <w:t xml:space="preserve"> implications</w:t>
      </w:r>
    </w:p>
    <w:p w:rsidR="00455862" w:rsidRPr="00253BA3" w:rsidRDefault="00455862" w:rsidP="00D658A3">
      <w:pPr>
        <w:spacing w:after="0" w:line="312" w:lineRule="auto"/>
        <w:jc w:val="both"/>
        <w:rPr>
          <w:rFonts w:cs="Times New Roman"/>
          <w:sz w:val="24"/>
          <w:szCs w:val="24"/>
          <w:lang w:val="en-US"/>
        </w:rPr>
      </w:pPr>
    </w:p>
    <w:p w:rsidR="00C34310" w:rsidRPr="00253BA3" w:rsidRDefault="00326B62" w:rsidP="00D658A3">
      <w:pPr>
        <w:spacing w:after="0" w:line="312" w:lineRule="auto"/>
        <w:jc w:val="both"/>
        <w:rPr>
          <w:rFonts w:cs="Times New Roman"/>
          <w:sz w:val="24"/>
          <w:szCs w:val="24"/>
          <w:lang w:val="en-US"/>
        </w:rPr>
      </w:pPr>
      <w:r w:rsidRPr="00253BA3">
        <w:rPr>
          <w:rFonts w:cs="Times New Roman"/>
          <w:sz w:val="24"/>
          <w:szCs w:val="24"/>
          <w:lang w:val="en-US"/>
        </w:rPr>
        <w:t>The geographic</w:t>
      </w:r>
      <w:r w:rsidR="00996CD3" w:rsidRPr="00253BA3">
        <w:rPr>
          <w:rFonts w:cs="Times New Roman"/>
          <w:sz w:val="24"/>
          <w:szCs w:val="24"/>
          <w:lang w:val="en-US"/>
        </w:rPr>
        <w:t>al location</w:t>
      </w:r>
      <w:r w:rsidRPr="00253BA3">
        <w:rPr>
          <w:rFonts w:cs="Times New Roman"/>
          <w:sz w:val="24"/>
          <w:szCs w:val="24"/>
          <w:lang w:val="en-US"/>
        </w:rPr>
        <w:t xml:space="preserve">, variety and differences among these outcrops indicate </w:t>
      </w:r>
      <w:r w:rsidR="00996CD3" w:rsidRPr="00253BA3">
        <w:rPr>
          <w:rFonts w:cs="Times New Roman"/>
          <w:sz w:val="24"/>
          <w:szCs w:val="24"/>
          <w:lang w:val="en-US"/>
        </w:rPr>
        <w:t xml:space="preserve">that </w:t>
      </w:r>
      <w:r w:rsidRPr="00253BA3">
        <w:rPr>
          <w:rFonts w:cs="Times New Roman"/>
          <w:sz w:val="24"/>
          <w:szCs w:val="24"/>
          <w:lang w:val="en-US"/>
        </w:rPr>
        <w:t xml:space="preserve">the selection and transport decisions are not conditioned by the scarcity of raw material in the environment. </w:t>
      </w:r>
      <w:r w:rsidR="008F2564" w:rsidRPr="00253BA3">
        <w:rPr>
          <w:rFonts w:cs="Times New Roman"/>
          <w:sz w:val="24"/>
          <w:szCs w:val="24"/>
          <w:lang w:val="en-US"/>
        </w:rPr>
        <w:t xml:space="preserve"> Rock</w:t>
      </w:r>
      <w:r w:rsidRPr="00253BA3">
        <w:rPr>
          <w:rFonts w:cs="Times New Roman"/>
          <w:sz w:val="24"/>
          <w:szCs w:val="24"/>
          <w:lang w:val="en-US"/>
        </w:rPr>
        <w:t xml:space="preserve"> </w:t>
      </w:r>
      <w:r w:rsidR="008F2564" w:rsidRPr="00253BA3">
        <w:rPr>
          <w:rFonts w:cs="Times New Roman"/>
          <w:sz w:val="24"/>
          <w:szCs w:val="24"/>
          <w:lang w:val="en-US"/>
        </w:rPr>
        <w:t>exploitation</w:t>
      </w:r>
      <w:r w:rsidRPr="00253BA3">
        <w:rPr>
          <w:rFonts w:cs="Times New Roman"/>
          <w:sz w:val="24"/>
          <w:szCs w:val="24"/>
          <w:lang w:val="en-US"/>
        </w:rPr>
        <w:t xml:space="preserve"> was deeply related to the activities carried out in the settlement. This inference permits </w:t>
      </w:r>
      <w:r w:rsidR="00996CD3" w:rsidRPr="00253BA3">
        <w:rPr>
          <w:rFonts w:cs="Times New Roman"/>
          <w:sz w:val="24"/>
          <w:szCs w:val="24"/>
          <w:lang w:val="en-US"/>
        </w:rPr>
        <w:t xml:space="preserve">us </w:t>
      </w:r>
      <w:r w:rsidRPr="00253BA3">
        <w:rPr>
          <w:rFonts w:cs="Times New Roman"/>
          <w:sz w:val="24"/>
          <w:szCs w:val="24"/>
          <w:lang w:val="en-US"/>
        </w:rPr>
        <w:t xml:space="preserve">to propose different scenarios that affect the use of the site and </w:t>
      </w:r>
      <w:r w:rsidR="00996CD3" w:rsidRPr="00253BA3">
        <w:rPr>
          <w:rFonts w:cs="Times New Roman"/>
          <w:sz w:val="24"/>
          <w:szCs w:val="24"/>
          <w:lang w:val="en-US"/>
        </w:rPr>
        <w:t xml:space="preserve">defines </w:t>
      </w:r>
      <w:r w:rsidRPr="00253BA3">
        <w:rPr>
          <w:rFonts w:cs="Times New Roman"/>
          <w:sz w:val="24"/>
          <w:szCs w:val="24"/>
          <w:lang w:val="en-US"/>
        </w:rPr>
        <w:t>changes in the settlement pattern.</w:t>
      </w:r>
    </w:p>
    <w:p w:rsidR="00137211" w:rsidRPr="00253BA3" w:rsidRDefault="00137211" w:rsidP="00D658A3">
      <w:pPr>
        <w:spacing w:after="0" w:line="312" w:lineRule="auto"/>
        <w:jc w:val="both"/>
        <w:rPr>
          <w:rFonts w:cs="Times New Roman"/>
          <w:sz w:val="24"/>
          <w:szCs w:val="24"/>
          <w:lang w:val="en-US"/>
        </w:rPr>
      </w:pPr>
    </w:p>
    <w:p w:rsidR="00FB5043" w:rsidRPr="00253BA3" w:rsidRDefault="00137211" w:rsidP="00D658A3">
      <w:pPr>
        <w:spacing w:after="0" w:line="312" w:lineRule="auto"/>
        <w:jc w:val="both"/>
        <w:rPr>
          <w:lang w:val="en-US"/>
        </w:rPr>
      </w:pPr>
      <w:r w:rsidRPr="00253BA3">
        <w:rPr>
          <w:rFonts w:cs="Times New Roman"/>
          <w:sz w:val="24"/>
          <w:szCs w:val="24"/>
          <w:lang w:val="en-US"/>
        </w:rPr>
        <w:t>The</w:t>
      </w:r>
      <w:r w:rsidR="00601160" w:rsidRPr="00253BA3">
        <w:rPr>
          <w:rFonts w:cs="Times New Roman"/>
          <w:sz w:val="24"/>
          <w:szCs w:val="24"/>
          <w:lang w:val="en-US"/>
        </w:rPr>
        <w:t xml:space="preserve"> </w:t>
      </w:r>
      <w:r w:rsidR="001D1898" w:rsidRPr="00253BA3">
        <w:rPr>
          <w:rFonts w:cs="Times New Roman"/>
          <w:sz w:val="24"/>
          <w:szCs w:val="24"/>
          <w:lang w:val="en-US"/>
        </w:rPr>
        <w:t>presence</w:t>
      </w:r>
      <w:r w:rsidRPr="00253BA3">
        <w:rPr>
          <w:rFonts w:cs="Times New Roman"/>
          <w:sz w:val="24"/>
          <w:szCs w:val="24"/>
          <w:lang w:val="en-US"/>
        </w:rPr>
        <w:t xml:space="preserve"> of metamorphic rocks </w:t>
      </w:r>
      <w:r w:rsidR="001D1898" w:rsidRPr="00253BA3">
        <w:rPr>
          <w:rFonts w:cs="Times New Roman"/>
          <w:sz w:val="24"/>
          <w:szCs w:val="24"/>
          <w:lang w:val="en-US"/>
        </w:rPr>
        <w:t xml:space="preserve">suggests </w:t>
      </w:r>
      <w:r w:rsidRPr="00253BA3">
        <w:rPr>
          <w:rFonts w:cs="Times New Roman"/>
          <w:sz w:val="24"/>
          <w:szCs w:val="24"/>
          <w:lang w:val="en-US"/>
        </w:rPr>
        <w:t>that in N12</w:t>
      </w:r>
      <w:r w:rsidR="001D1898" w:rsidRPr="00253BA3">
        <w:rPr>
          <w:rFonts w:cs="Times New Roman"/>
          <w:sz w:val="24"/>
          <w:szCs w:val="24"/>
          <w:lang w:val="en-US"/>
        </w:rPr>
        <w:t>,</w:t>
      </w:r>
      <w:r w:rsidRPr="00253BA3">
        <w:rPr>
          <w:rFonts w:cs="Times New Roman"/>
          <w:sz w:val="24"/>
          <w:szCs w:val="24"/>
          <w:lang w:val="en-US"/>
        </w:rPr>
        <w:t xml:space="preserve"> subsistence activities are essentially focused on the immediate landscape of the settlement</w:t>
      </w:r>
      <w:r w:rsidR="001D1898" w:rsidRPr="00253BA3">
        <w:rPr>
          <w:rFonts w:cs="Times New Roman"/>
          <w:sz w:val="24"/>
          <w:szCs w:val="24"/>
          <w:lang w:val="en-US"/>
        </w:rPr>
        <w:t>.</w:t>
      </w:r>
      <w:r w:rsidRPr="00253BA3">
        <w:rPr>
          <w:rFonts w:cs="Times New Roman"/>
          <w:sz w:val="24"/>
          <w:szCs w:val="24"/>
          <w:lang w:val="en-US"/>
        </w:rPr>
        <w:t xml:space="preserve"> </w:t>
      </w:r>
      <w:r w:rsidR="001D1898" w:rsidRPr="00253BA3">
        <w:rPr>
          <w:rFonts w:cs="Times New Roman"/>
          <w:sz w:val="24"/>
          <w:szCs w:val="24"/>
          <w:lang w:val="en-US"/>
        </w:rPr>
        <w:t xml:space="preserve">This is </w:t>
      </w:r>
      <w:r w:rsidRPr="00253BA3">
        <w:rPr>
          <w:rFonts w:cs="Times New Roman"/>
          <w:sz w:val="24"/>
          <w:szCs w:val="24"/>
          <w:lang w:val="en-US"/>
        </w:rPr>
        <w:t xml:space="preserve">complemented by chalcedony inputs </w:t>
      </w:r>
      <w:r w:rsidR="001D1898" w:rsidRPr="00253BA3">
        <w:rPr>
          <w:rFonts w:cs="Times New Roman"/>
          <w:sz w:val="24"/>
          <w:szCs w:val="24"/>
          <w:lang w:val="en-US"/>
        </w:rPr>
        <w:t xml:space="preserve">which </w:t>
      </w:r>
      <w:r w:rsidRPr="00253BA3">
        <w:rPr>
          <w:rFonts w:cs="Times New Roman"/>
          <w:sz w:val="24"/>
          <w:szCs w:val="24"/>
          <w:lang w:val="en-US"/>
        </w:rPr>
        <w:t xml:space="preserve">indicate returns related to the introduction of subsistence resources, including this raw material, into the site. </w:t>
      </w:r>
      <w:r w:rsidR="001D1898" w:rsidRPr="00253BA3">
        <w:rPr>
          <w:rFonts w:cs="Times New Roman"/>
          <w:sz w:val="24"/>
          <w:szCs w:val="24"/>
          <w:lang w:val="en-US"/>
        </w:rPr>
        <w:t xml:space="preserve">The </w:t>
      </w:r>
      <w:r w:rsidRPr="00253BA3">
        <w:rPr>
          <w:rFonts w:cs="Times New Roman"/>
          <w:sz w:val="24"/>
          <w:szCs w:val="24"/>
          <w:lang w:val="en-US"/>
        </w:rPr>
        <w:t xml:space="preserve">marginal presence of Serra Llarga </w:t>
      </w:r>
      <w:r w:rsidR="008F2564" w:rsidRPr="00253BA3">
        <w:rPr>
          <w:rFonts w:cs="Times New Roman"/>
          <w:sz w:val="24"/>
          <w:szCs w:val="24"/>
          <w:lang w:val="en-US"/>
        </w:rPr>
        <w:t>flint</w:t>
      </w:r>
      <w:r w:rsidRPr="00253BA3">
        <w:rPr>
          <w:rFonts w:cs="Times New Roman"/>
          <w:sz w:val="24"/>
          <w:szCs w:val="24"/>
          <w:lang w:val="en-US"/>
        </w:rPr>
        <w:t>, indicates that this landscape was little transited</w:t>
      </w:r>
      <w:r w:rsidR="00B32D78" w:rsidRPr="00253BA3">
        <w:rPr>
          <w:rFonts w:cs="Times New Roman"/>
          <w:sz w:val="24"/>
          <w:szCs w:val="24"/>
          <w:lang w:val="en-US"/>
        </w:rPr>
        <w:t>, rather than a scant interest to obtain rock of good quality</w:t>
      </w:r>
      <w:r w:rsidRPr="00253BA3">
        <w:rPr>
          <w:rFonts w:cs="Times New Roman"/>
          <w:sz w:val="24"/>
          <w:szCs w:val="24"/>
          <w:lang w:val="en-US"/>
        </w:rPr>
        <w:t>.</w:t>
      </w:r>
      <w:r w:rsidR="00FB5043" w:rsidRPr="00253BA3">
        <w:rPr>
          <w:lang w:val="en-US"/>
        </w:rPr>
        <w:t xml:space="preserve"> </w:t>
      </w:r>
    </w:p>
    <w:p w:rsidR="00FB5043" w:rsidRPr="00253BA3" w:rsidRDefault="00FB5043" w:rsidP="00D658A3">
      <w:pPr>
        <w:spacing w:after="0" w:line="312" w:lineRule="auto"/>
        <w:jc w:val="both"/>
        <w:rPr>
          <w:lang w:val="en-US"/>
        </w:rPr>
      </w:pPr>
    </w:p>
    <w:p w:rsidR="00FB5043" w:rsidRPr="00253BA3" w:rsidRDefault="00BE14EA" w:rsidP="00D658A3">
      <w:pPr>
        <w:spacing w:after="0" w:line="312" w:lineRule="auto"/>
        <w:jc w:val="both"/>
        <w:rPr>
          <w:rFonts w:cs="Times New Roman"/>
          <w:sz w:val="24"/>
          <w:szCs w:val="24"/>
          <w:lang w:val="en-US"/>
        </w:rPr>
      </w:pPr>
      <w:r w:rsidRPr="00253BA3">
        <w:rPr>
          <w:rFonts w:cs="Times New Roman"/>
          <w:sz w:val="24"/>
          <w:szCs w:val="24"/>
          <w:lang w:val="en-US"/>
        </w:rPr>
        <w:t xml:space="preserve">The </w:t>
      </w:r>
      <w:r w:rsidR="00FB5043" w:rsidRPr="00253BA3">
        <w:rPr>
          <w:rFonts w:cs="Times New Roman"/>
          <w:sz w:val="24"/>
          <w:szCs w:val="24"/>
          <w:lang w:val="en-US"/>
        </w:rPr>
        <w:t xml:space="preserve"> increase of siliceous rocks, especially the Serra Llarga </w:t>
      </w:r>
      <w:r w:rsidR="00947E9F" w:rsidRPr="00253BA3">
        <w:rPr>
          <w:rFonts w:cs="Times New Roman"/>
          <w:sz w:val="24"/>
          <w:szCs w:val="24"/>
          <w:lang w:val="en-US"/>
        </w:rPr>
        <w:t>flint</w:t>
      </w:r>
      <w:r w:rsidR="00FB5043" w:rsidRPr="00253BA3">
        <w:rPr>
          <w:rFonts w:cs="Times New Roman"/>
          <w:sz w:val="24"/>
          <w:szCs w:val="24"/>
          <w:lang w:val="en-US"/>
        </w:rPr>
        <w:t xml:space="preserve"> in N10 indicates a greater number of entrances to the landscape of Roca dels Bous. This interest is compatible with greater dispersion of activities in the area of chalcedony outcrops. Equally, the </w:t>
      </w:r>
      <w:r w:rsidRPr="00253BA3">
        <w:rPr>
          <w:rFonts w:cs="Times New Roman"/>
          <w:sz w:val="24"/>
          <w:szCs w:val="24"/>
          <w:lang w:val="en-US"/>
        </w:rPr>
        <w:t xml:space="preserve">exploitation of </w:t>
      </w:r>
      <w:r w:rsidR="00FB5043" w:rsidRPr="00253BA3">
        <w:rPr>
          <w:rFonts w:cs="Times New Roman"/>
          <w:sz w:val="24"/>
          <w:szCs w:val="24"/>
          <w:lang w:val="en-US"/>
        </w:rPr>
        <w:t>metamorphic rocks indicate a</w:t>
      </w:r>
      <w:r w:rsidRPr="00253BA3">
        <w:rPr>
          <w:rFonts w:cs="Times New Roman"/>
          <w:sz w:val="24"/>
          <w:szCs w:val="24"/>
          <w:lang w:val="en-US"/>
        </w:rPr>
        <w:t>n</w:t>
      </w:r>
      <w:r w:rsidR="00FB5043" w:rsidRPr="00253BA3">
        <w:rPr>
          <w:rFonts w:cs="Times New Roman"/>
          <w:sz w:val="24"/>
          <w:szCs w:val="24"/>
          <w:lang w:val="en-US"/>
        </w:rPr>
        <w:t xml:space="preserve"> available </w:t>
      </w:r>
      <w:r w:rsidRPr="00253BA3">
        <w:rPr>
          <w:rFonts w:cs="Times New Roman"/>
          <w:sz w:val="24"/>
          <w:szCs w:val="24"/>
          <w:lang w:val="en-US"/>
        </w:rPr>
        <w:t xml:space="preserve">resource with </w:t>
      </w:r>
      <w:r w:rsidR="00FB5043" w:rsidRPr="00253BA3">
        <w:rPr>
          <w:rFonts w:cs="Times New Roman"/>
          <w:sz w:val="24"/>
          <w:szCs w:val="24"/>
          <w:lang w:val="en-US"/>
        </w:rPr>
        <w:t>direct access</w:t>
      </w:r>
      <w:r w:rsidRPr="00253BA3">
        <w:rPr>
          <w:rFonts w:cs="Times New Roman"/>
          <w:sz w:val="24"/>
          <w:szCs w:val="24"/>
          <w:lang w:val="en-US"/>
        </w:rPr>
        <w:t xml:space="preserve"> and</w:t>
      </w:r>
      <w:r w:rsidR="00FB5043" w:rsidRPr="00253BA3">
        <w:rPr>
          <w:rFonts w:cs="Times New Roman"/>
          <w:sz w:val="24"/>
          <w:szCs w:val="24"/>
          <w:lang w:val="en-US"/>
        </w:rPr>
        <w:t xml:space="preserve"> without the importance indicated in N12. These </w:t>
      </w:r>
      <w:r w:rsidR="00560111" w:rsidRPr="00253BA3">
        <w:rPr>
          <w:rFonts w:cs="Times New Roman"/>
          <w:sz w:val="24"/>
          <w:szCs w:val="24"/>
          <w:lang w:val="en-US"/>
        </w:rPr>
        <w:t xml:space="preserve">assumptions are consistent </w:t>
      </w:r>
      <w:r w:rsidR="00FB5043" w:rsidRPr="00253BA3">
        <w:rPr>
          <w:rFonts w:cs="Times New Roman"/>
          <w:sz w:val="24"/>
          <w:szCs w:val="24"/>
          <w:lang w:val="en-US"/>
        </w:rPr>
        <w:t>with brief occupations in the rock-shelter, corresponding to the hearth superposi</w:t>
      </w:r>
      <w:r w:rsidR="00AA4107" w:rsidRPr="00253BA3">
        <w:rPr>
          <w:rFonts w:cs="Times New Roman"/>
          <w:sz w:val="24"/>
          <w:szCs w:val="24"/>
          <w:lang w:val="en-US"/>
        </w:rPr>
        <w:t>tion detected by visualscapes (F</w:t>
      </w:r>
      <w:r w:rsidR="00FB5043" w:rsidRPr="00253BA3">
        <w:rPr>
          <w:rFonts w:cs="Times New Roman"/>
          <w:sz w:val="24"/>
          <w:szCs w:val="24"/>
          <w:lang w:val="en-US"/>
        </w:rPr>
        <w:t xml:space="preserve">ig. 1).  </w:t>
      </w:r>
    </w:p>
    <w:p w:rsidR="00FB5043" w:rsidRPr="00253BA3" w:rsidRDefault="00FB5043" w:rsidP="00D658A3">
      <w:pPr>
        <w:spacing w:after="0" w:line="312" w:lineRule="auto"/>
        <w:jc w:val="both"/>
        <w:rPr>
          <w:rFonts w:cs="Times New Roman"/>
          <w:sz w:val="24"/>
          <w:szCs w:val="24"/>
          <w:lang w:val="en-US"/>
        </w:rPr>
      </w:pPr>
    </w:p>
    <w:p w:rsidR="00326B62" w:rsidRPr="00253BA3" w:rsidRDefault="00FB5043" w:rsidP="00D658A3">
      <w:pPr>
        <w:spacing w:after="0" w:line="312" w:lineRule="auto"/>
        <w:jc w:val="both"/>
        <w:rPr>
          <w:rFonts w:cs="Times New Roman"/>
          <w:sz w:val="24"/>
          <w:szCs w:val="24"/>
          <w:lang w:val="en-US"/>
        </w:rPr>
      </w:pPr>
      <w:r w:rsidRPr="00253BA3">
        <w:rPr>
          <w:rFonts w:cs="Times New Roman"/>
          <w:sz w:val="24"/>
          <w:szCs w:val="24"/>
          <w:lang w:val="en-US"/>
        </w:rPr>
        <w:t>The OSL chronometric data proposed in this article placed tentatively level N12 within the range of the GI13. Despite not having precise data for level N10, its stratigraphic position suggests that it could be contemporary or posterior to the He5 event (Rasmussen et al.</w:t>
      </w:r>
      <w:r w:rsidR="00537A6C" w:rsidRPr="00253BA3">
        <w:rPr>
          <w:rFonts w:cs="Times New Roman"/>
          <w:sz w:val="24"/>
          <w:szCs w:val="24"/>
          <w:lang w:val="en-US"/>
        </w:rPr>
        <w:t>,</w:t>
      </w:r>
      <w:r w:rsidRPr="00253BA3">
        <w:rPr>
          <w:rFonts w:cs="Times New Roman"/>
          <w:sz w:val="24"/>
          <w:szCs w:val="24"/>
          <w:lang w:val="en-US"/>
        </w:rPr>
        <w:t xml:space="preserve"> 2014). It has been proposed</w:t>
      </w:r>
      <w:r w:rsidR="00E65FBC" w:rsidRPr="00253BA3">
        <w:rPr>
          <w:rFonts w:cs="Times New Roman"/>
          <w:sz w:val="24"/>
          <w:szCs w:val="24"/>
          <w:lang w:val="en-US"/>
        </w:rPr>
        <w:t xml:space="preserve"> that</w:t>
      </w:r>
      <w:r w:rsidRPr="00253BA3">
        <w:rPr>
          <w:rFonts w:cs="Times New Roman"/>
          <w:sz w:val="24"/>
          <w:szCs w:val="24"/>
          <w:lang w:val="en-US"/>
        </w:rPr>
        <w:t xml:space="preserve"> these climatic crises are related to important environmental changes </w:t>
      </w:r>
      <w:r w:rsidR="00E65FBC" w:rsidRPr="00253BA3">
        <w:rPr>
          <w:rFonts w:cs="Times New Roman"/>
          <w:sz w:val="24"/>
          <w:szCs w:val="24"/>
          <w:lang w:val="en-US"/>
        </w:rPr>
        <w:t xml:space="preserve">which </w:t>
      </w:r>
      <w:r w:rsidRPr="00253BA3">
        <w:rPr>
          <w:rFonts w:cs="Times New Roman"/>
          <w:sz w:val="24"/>
          <w:szCs w:val="24"/>
          <w:lang w:val="en-US"/>
        </w:rPr>
        <w:t xml:space="preserve">affect the paleobiological communities associated with these ecosystems, </w:t>
      </w:r>
      <w:r w:rsidR="00E65FBC" w:rsidRPr="00253BA3">
        <w:rPr>
          <w:rFonts w:cs="Times New Roman"/>
          <w:sz w:val="24"/>
          <w:szCs w:val="24"/>
          <w:lang w:val="en-US"/>
        </w:rPr>
        <w:t xml:space="preserve">and are </w:t>
      </w:r>
      <w:r w:rsidRPr="00253BA3">
        <w:rPr>
          <w:rFonts w:cs="Times New Roman"/>
          <w:sz w:val="24"/>
          <w:szCs w:val="24"/>
          <w:lang w:val="en-US"/>
        </w:rPr>
        <w:t>a critical factor modulating Neanderthal presence in the Pre</w:t>
      </w:r>
      <w:r w:rsidR="00E65FBC" w:rsidRPr="00253BA3">
        <w:rPr>
          <w:rFonts w:cs="Times New Roman"/>
          <w:sz w:val="24"/>
          <w:szCs w:val="24"/>
          <w:lang w:val="en-US"/>
        </w:rPr>
        <w:t>-</w:t>
      </w:r>
      <w:r w:rsidR="00537A6C" w:rsidRPr="00253BA3">
        <w:rPr>
          <w:rFonts w:cs="Times New Roman"/>
          <w:sz w:val="24"/>
          <w:szCs w:val="24"/>
          <w:lang w:val="en-US"/>
        </w:rPr>
        <w:t>P</w:t>
      </w:r>
      <w:r w:rsidRPr="00253BA3">
        <w:rPr>
          <w:rFonts w:cs="Times New Roman"/>
          <w:sz w:val="24"/>
          <w:szCs w:val="24"/>
          <w:lang w:val="en-US"/>
        </w:rPr>
        <w:t>yrenees and Ebro basin (d'Errico and Sánchez Goñi</w:t>
      </w:r>
      <w:r w:rsidR="00537A6C" w:rsidRPr="00253BA3">
        <w:rPr>
          <w:rFonts w:cs="Times New Roman"/>
          <w:sz w:val="24"/>
          <w:szCs w:val="24"/>
          <w:lang w:val="en-US"/>
        </w:rPr>
        <w:t>,</w:t>
      </w:r>
      <w:r w:rsidRPr="00253BA3">
        <w:rPr>
          <w:rFonts w:cs="Times New Roman"/>
          <w:sz w:val="24"/>
          <w:szCs w:val="24"/>
          <w:lang w:val="en-US"/>
        </w:rPr>
        <w:t xml:space="preserve"> 2003). </w:t>
      </w:r>
      <w:r w:rsidR="00E65FBC" w:rsidRPr="00253BA3">
        <w:rPr>
          <w:rFonts w:cs="Times New Roman"/>
          <w:sz w:val="24"/>
          <w:szCs w:val="24"/>
          <w:lang w:val="en-US"/>
        </w:rPr>
        <w:t>Consequently</w:t>
      </w:r>
      <w:r w:rsidR="00537A6C" w:rsidRPr="00253BA3">
        <w:rPr>
          <w:rFonts w:cs="Times New Roman"/>
          <w:sz w:val="24"/>
          <w:szCs w:val="24"/>
          <w:lang w:val="en-US"/>
        </w:rPr>
        <w:t>,</w:t>
      </w:r>
      <w:r w:rsidR="00E65FBC" w:rsidRPr="00253BA3">
        <w:rPr>
          <w:rFonts w:cs="Times New Roman"/>
          <w:sz w:val="24"/>
          <w:szCs w:val="24"/>
          <w:lang w:val="en-US"/>
        </w:rPr>
        <w:t xml:space="preserve"> this </w:t>
      </w:r>
      <w:r w:rsidRPr="00253BA3">
        <w:rPr>
          <w:rFonts w:cs="Times New Roman"/>
          <w:sz w:val="24"/>
          <w:szCs w:val="24"/>
          <w:lang w:val="en-US"/>
        </w:rPr>
        <w:t>could alter the availability of prey, converting Roca dels Bous in an unattractive site.</w:t>
      </w:r>
    </w:p>
    <w:p w:rsidR="00FB5043" w:rsidRPr="00253BA3" w:rsidRDefault="00FB5043" w:rsidP="00D658A3">
      <w:pPr>
        <w:spacing w:after="0" w:line="312" w:lineRule="auto"/>
        <w:jc w:val="both"/>
        <w:rPr>
          <w:rFonts w:cs="Times New Roman"/>
          <w:sz w:val="24"/>
          <w:szCs w:val="24"/>
          <w:lang w:val="en-US"/>
        </w:rPr>
      </w:pPr>
    </w:p>
    <w:p w:rsidR="00C34310" w:rsidRPr="00253BA3" w:rsidRDefault="00AB5343" w:rsidP="00D658A3">
      <w:pPr>
        <w:spacing w:after="0" w:line="312" w:lineRule="auto"/>
        <w:jc w:val="both"/>
        <w:rPr>
          <w:rFonts w:cs="Times New Roman"/>
          <w:sz w:val="24"/>
          <w:szCs w:val="24"/>
          <w:lang w:val="en-US"/>
        </w:rPr>
      </w:pPr>
      <w:r w:rsidRPr="00253BA3">
        <w:rPr>
          <w:rFonts w:cs="Times New Roman"/>
          <w:sz w:val="24"/>
          <w:szCs w:val="24"/>
          <w:lang w:val="en-US"/>
        </w:rPr>
        <w:t xml:space="preserve">Raw material changes could </w:t>
      </w:r>
      <w:r w:rsidR="00EE389A" w:rsidRPr="00253BA3">
        <w:rPr>
          <w:rFonts w:cs="Times New Roman"/>
          <w:sz w:val="24"/>
          <w:szCs w:val="24"/>
          <w:lang w:val="en-US"/>
        </w:rPr>
        <w:t xml:space="preserve">be </w:t>
      </w:r>
      <w:r w:rsidRPr="00253BA3">
        <w:rPr>
          <w:rFonts w:cs="Times New Roman"/>
          <w:sz w:val="24"/>
          <w:szCs w:val="24"/>
          <w:lang w:val="en-US"/>
        </w:rPr>
        <w:t>use</w:t>
      </w:r>
      <w:r w:rsidR="00EE389A" w:rsidRPr="00253BA3">
        <w:rPr>
          <w:rFonts w:cs="Times New Roman"/>
          <w:sz w:val="24"/>
          <w:szCs w:val="24"/>
          <w:lang w:val="en-US"/>
        </w:rPr>
        <w:t>d</w:t>
      </w:r>
      <w:r w:rsidRPr="00253BA3">
        <w:rPr>
          <w:rFonts w:cs="Times New Roman"/>
          <w:sz w:val="24"/>
          <w:szCs w:val="24"/>
          <w:lang w:val="en-US"/>
        </w:rPr>
        <w:t xml:space="preserve"> as proxies </w:t>
      </w:r>
      <w:r w:rsidR="00981A87" w:rsidRPr="00253BA3">
        <w:rPr>
          <w:rFonts w:cs="Times New Roman"/>
          <w:sz w:val="24"/>
          <w:szCs w:val="24"/>
          <w:lang w:val="en-US"/>
        </w:rPr>
        <w:t xml:space="preserve">regarding </w:t>
      </w:r>
      <w:r w:rsidRPr="00253BA3">
        <w:rPr>
          <w:rFonts w:cs="Times New Roman"/>
          <w:sz w:val="24"/>
          <w:szCs w:val="24"/>
          <w:lang w:val="en-US"/>
        </w:rPr>
        <w:t>the duration and intensity of the settlement. In this sense, the occupations in N12 would have a residential character and the activities focus on obtaining resources located in the near</w:t>
      </w:r>
      <w:r w:rsidR="009C714B" w:rsidRPr="00253BA3">
        <w:rPr>
          <w:rFonts w:cs="Times New Roman"/>
          <w:sz w:val="24"/>
          <w:szCs w:val="24"/>
          <w:lang w:val="en-US"/>
        </w:rPr>
        <w:t>by</w:t>
      </w:r>
      <w:r w:rsidRPr="00253BA3">
        <w:rPr>
          <w:rFonts w:cs="Times New Roman"/>
          <w:sz w:val="24"/>
          <w:szCs w:val="24"/>
          <w:lang w:val="en-US"/>
        </w:rPr>
        <w:t xml:space="preserve"> environment of the rock-shelter, with the high presence of metamorphic rocks being a good indicator. </w:t>
      </w:r>
      <w:r w:rsidR="009C714B" w:rsidRPr="00253BA3">
        <w:rPr>
          <w:rFonts w:cs="Times New Roman"/>
          <w:sz w:val="24"/>
          <w:szCs w:val="24"/>
          <w:lang w:val="en-US"/>
        </w:rPr>
        <w:t xml:space="preserve">In </w:t>
      </w:r>
      <w:r w:rsidRPr="00253BA3">
        <w:rPr>
          <w:rFonts w:cs="Times New Roman"/>
          <w:sz w:val="24"/>
          <w:szCs w:val="24"/>
          <w:lang w:val="en-US"/>
        </w:rPr>
        <w:t xml:space="preserve">N10 the displacements indicated by the transport of </w:t>
      </w:r>
      <w:r w:rsidR="00294780" w:rsidRPr="00253BA3">
        <w:rPr>
          <w:rFonts w:cs="Times New Roman"/>
          <w:sz w:val="24"/>
          <w:szCs w:val="24"/>
          <w:lang w:val="en-US"/>
        </w:rPr>
        <w:t>flint</w:t>
      </w:r>
      <w:r w:rsidRPr="00253BA3">
        <w:rPr>
          <w:rFonts w:cs="Times New Roman"/>
          <w:sz w:val="24"/>
          <w:szCs w:val="24"/>
          <w:lang w:val="en-US"/>
        </w:rPr>
        <w:t xml:space="preserve"> and chalcedonies </w:t>
      </w:r>
      <w:r w:rsidR="009C714B" w:rsidRPr="00253BA3">
        <w:rPr>
          <w:rFonts w:cs="Times New Roman"/>
          <w:sz w:val="24"/>
          <w:szCs w:val="24"/>
          <w:lang w:val="en-US"/>
        </w:rPr>
        <w:t>suggest more extensive</w:t>
      </w:r>
      <w:r w:rsidRPr="00253BA3">
        <w:rPr>
          <w:rFonts w:cs="Times New Roman"/>
          <w:sz w:val="24"/>
          <w:szCs w:val="24"/>
          <w:lang w:val="en-US"/>
        </w:rPr>
        <w:t xml:space="preserve"> movements and short-term occupations</w:t>
      </w:r>
      <w:r w:rsidR="009C714B" w:rsidRPr="00253BA3">
        <w:rPr>
          <w:rFonts w:cs="Times New Roman"/>
          <w:sz w:val="24"/>
          <w:szCs w:val="24"/>
          <w:lang w:val="en-US"/>
        </w:rPr>
        <w:t xml:space="preserve"> of the site</w:t>
      </w:r>
      <w:r w:rsidRPr="00253BA3">
        <w:rPr>
          <w:rFonts w:cs="Times New Roman"/>
          <w:sz w:val="24"/>
          <w:szCs w:val="24"/>
          <w:lang w:val="en-US"/>
        </w:rPr>
        <w:t>.</w:t>
      </w:r>
    </w:p>
    <w:p w:rsidR="00EE389A" w:rsidRPr="00253BA3" w:rsidRDefault="00EE389A" w:rsidP="00D658A3">
      <w:pPr>
        <w:spacing w:after="0" w:line="312" w:lineRule="auto"/>
        <w:jc w:val="both"/>
        <w:rPr>
          <w:rFonts w:cs="Times New Roman"/>
          <w:sz w:val="24"/>
          <w:szCs w:val="24"/>
          <w:lang w:val="en-US"/>
        </w:rPr>
      </w:pPr>
    </w:p>
    <w:p w:rsidR="00AB5343" w:rsidRPr="00253BA3" w:rsidRDefault="00EE389A" w:rsidP="00D658A3">
      <w:pPr>
        <w:spacing w:after="0" w:line="312" w:lineRule="auto"/>
        <w:jc w:val="both"/>
        <w:rPr>
          <w:rFonts w:cs="Times New Roman"/>
          <w:sz w:val="24"/>
          <w:szCs w:val="24"/>
          <w:lang w:val="en-US"/>
        </w:rPr>
      </w:pPr>
      <w:r w:rsidRPr="00253BA3">
        <w:rPr>
          <w:rFonts w:cs="Times New Roman"/>
          <w:sz w:val="24"/>
          <w:szCs w:val="24"/>
          <w:lang w:val="en-US"/>
        </w:rPr>
        <w:t xml:space="preserve">These scenarios deserve being the object of future reflections and other attributes should be introduced to analyze how the choice of raw material affects the lithic tool-kit composition, especially in the incipient miniaturization observed on the </w:t>
      </w:r>
      <w:r w:rsidR="00537A6C" w:rsidRPr="00253BA3">
        <w:rPr>
          <w:rFonts w:cs="Times New Roman"/>
          <w:sz w:val="24"/>
          <w:szCs w:val="24"/>
          <w:lang w:val="en-US"/>
        </w:rPr>
        <w:t>flint</w:t>
      </w:r>
      <w:r w:rsidRPr="00253BA3">
        <w:rPr>
          <w:rFonts w:cs="Times New Roman"/>
          <w:sz w:val="24"/>
          <w:szCs w:val="24"/>
          <w:lang w:val="en-US"/>
        </w:rPr>
        <w:t xml:space="preserve"> </w:t>
      </w:r>
      <w:r w:rsidR="000545D5" w:rsidRPr="00253BA3">
        <w:rPr>
          <w:rFonts w:cs="Times New Roman"/>
          <w:sz w:val="24"/>
          <w:szCs w:val="24"/>
          <w:lang w:val="en-US"/>
        </w:rPr>
        <w:t>artifacts</w:t>
      </w:r>
      <w:r w:rsidRPr="00253BA3">
        <w:rPr>
          <w:rFonts w:cs="Times New Roman"/>
          <w:sz w:val="24"/>
          <w:szCs w:val="24"/>
          <w:lang w:val="en-US"/>
        </w:rPr>
        <w:t xml:space="preserve">. This indicator could report a profound reorganization of activities and the Neanderthal settlement pattern in Roca dels Bous (Mora et al. 2004; 2007).     </w:t>
      </w:r>
    </w:p>
    <w:p w:rsidR="00EE389A" w:rsidRPr="00253BA3" w:rsidRDefault="00EE389A" w:rsidP="00C34310">
      <w:pPr>
        <w:jc w:val="both"/>
        <w:rPr>
          <w:rFonts w:cs="Times New Roman"/>
          <w:u w:val="single"/>
          <w:lang w:val="es-ES"/>
        </w:rPr>
      </w:pPr>
    </w:p>
    <w:p w:rsidR="009165AE" w:rsidRPr="00253BA3" w:rsidRDefault="009165AE" w:rsidP="00C34310">
      <w:pPr>
        <w:jc w:val="both"/>
        <w:rPr>
          <w:rFonts w:cs="Times New Roman"/>
          <w:u w:val="single"/>
          <w:lang w:val="es-ES"/>
        </w:rPr>
      </w:pPr>
      <w:r w:rsidRPr="00253BA3">
        <w:rPr>
          <w:rFonts w:cs="Times New Roman"/>
          <w:u w:val="single"/>
          <w:lang w:val="es-ES"/>
        </w:rPr>
        <w:t xml:space="preserve">References </w:t>
      </w:r>
    </w:p>
    <w:p w:rsidR="009165AE" w:rsidRPr="00253BA3" w:rsidRDefault="009165AE" w:rsidP="006F4215">
      <w:pPr>
        <w:spacing w:after="0" w:line="240" w:lineRule="auto"/>
        <w:jc w:val="both"/>
        <w:rPr>
          <w:rFonts w:cs="Times New Roman"/>
          <w:lang w:val="en-US"/>
        </w:rPr>
      </w:pPr>
      <w:r w:rsidRPr="00253BA3">
        <w:rPr>
          <w:rFonts w:cs="Times New Roman"/>
          <w:lang w:val="es-ES"/>
        </w:rPr>
        <w:t xml:space="preserve">Benito-Calvo, A.; Martínez-Moreno, J.;  Jordá Pardo, J.; de la Torre, I.; Mora Torcal, R. (2009). </w:t>
      </w:r>
      <w:r w:rsidRPr="00253BA3">
        <w:rPr>
          <w:rFonts w:cs="Times New Roman"/>
          <w:lang w:val="en-US"/>
        </w:rPr>
        <w:t>Sedimentological and archaeological fabrics in Palaeolithic levels of the South-Eastern Pyrenees: Cova Gran and Roca dels Bous Sites (Lleida, Spain). Journal of Archaeological Science 36: 2566-2577.</w:t>
      </w:r>
    </w:p>
    <w:p w:rsidR="009165AE" w:rsidRPr="00253BA3" w:rsidRDefault="009165AE" w:rsidP="006F4215">
      <w:pPr>
        <w:spacing w:after="0" w:line="240" w:lineRule="auto"/>
        <w:jc w:val="both"/>
        <w:rPr>
          <w:rFonts w:cs="Times New Roman"/>
          <w:lang w:val="en-US"/>
        </w:rPr>
      </w:pPr>
    </w:p>
    <w:p w:rsidR="009165AE" w:rsidRPr="00253BA3" w:rsidRDefault="009165AE" w:rsidP="006F4215">
      <w:pPr>
        <w:spacing w:line="240" w:lineRule="auto"/>
        <w:jc w:val="both"/>
        <w:rPr>
          <w:rFonts w:eastAsia="ArialUnicodeMS" w:cs="Times New Roman"/>
          <w:noProof w:val="0"/>
          <w:lang w:val="fr-FR"/>
        </w:rPr>
      </w:pPr>
      <w:r w:rsidRPr="00253BA3">
        <w:rPr>
          <w:rFonts w:cs="Times New Roman"/>
          <w:bCs/>
          <w:noProof w:val="0"/>
          <w:lang w:val="es-ES"/>
        </w:rPr>
        <w:t>Benito-Calvo, A; Arnold, L.J.; Mora, R.; Martínez-Moreno, J.;</w:t>
      </w:r>
      <w:r w:rsidR="00AB5343" w:rsidRPr="00253BA3">
        <w:rPr>
          <w:rFonts w:cs="Times New Roman"/>
          <w:bCs/>
          <w:noProof w:val="0"/>
          <w:lang w:val="es-ES"/>
        </w:rPr>
        <w:t xml:space="preserve"> </w:t>
      </w:r>
      <w:r w:rsidRPr="00253BA3">
        <w:rPr>
          <w:rFonts w:cs="Times New Roman"/>
          <w:bCs/>
          <w:noProof w:val="0"/>
          <w:lang w:val="es-ES"/>
        </w:rPr>
        <w:t xml:space="preserve">Demuro, M. (in press). </w:t>
      </w:r>
      <w:r w:rsidRPr="00253BA3">
        <w:rPr>
          <w:rFonts w:cs="Times New Roman"/>
          <w:bCs/>
          <w:noProof w:val="0"/>
          <w:lang w:val="en-US"/>
        </w:rPr>
        <w:t>Reconstructing Mousterian Landscapes in the South-Eastern</w:t>
      </w:r>
      <w:r w:rsidRPr="00253BA3">
        <w:rPr>
          <w:rFonts w:cs="Times New Roman"/>
          <w:noProof w:val="0"/>
          <w:lang w:val="en-US"/>
        </w:rPr>
        <w:t xml:space="preserve"> </w:t>
      </w:r>
      <w:r w:rsidRPr="00253BA3">
        <w:rPr>
          <w:rFonts w:cs="Times New Roman"/>
          <w:bCs/>
          <w:noProof w:val="0"/>
          <w:lang w:val="en-US"/>
        </w:rPr>
        <w:t xml:space="preserve">Pyrenees (Roca dels Bous site, Pre-Pyrenees Ranges, Spain). </w:t>
      </w:r>
      <w:r w:rsidRPr="00253BA3">
        <w:rPr>
          <w:rFonts w:cs="Times New Roman"/>
          <w:bCs/>
          <w:noProof w:val="0"/>
          <w:lang w:val="fr-FR"/>
        </w:rPr>
        <w:t>Quaternary Research</w:t>
      </w:r>
    </w:p>
    <w:p w:rsidR="009165AE" w:rsidRPr="00253BA3" w:rsidRDefault="00FB5043" w:rsidP="00FB5043">
      <w:pPr>
        <w:autoSpaceDE w:val="0"/>
        <w:autoSpaceDN w:val="0"/>
        <w:adjustRightInd w:val="0"/>
        <w:spacing w:after="0" w:line="240" w:lineRule="auto"/>
        <w:rPr>
          <w:rFonts w:cs="TimesNewRoman"/>
          <w:noProof w:val="0"/>
          <w:lang w:val="en-US"/>
        </w:rPr>
      </w:pPr>
      <w:r w:rsidRPr="00253BA3">
        <w:rPr>
          <w:rFonts w:cs="TimesNewRoman"/>
          <w:noProof w:val="0"/>
          <w:lang w:val="fr-FR"/>
        </w:rPr>
        <w:t>D’Errico, F.</w:t>
      </w:r>
      <w:r w:rsidR="00AB5343" w:rsidRPr="00253BA3">
        <w:rPr>
          <w:rFonts w:cs="TimesNewRoman"/>
          <w:noProof w:val="0"/>
          <w:lang w:val="fr-FR"/>
        </w:rPr>
        <w:t>,</w:t>
      </w:r>
      <w:r w:rsidRPr="00253BA3">
        <w:rPr>
          <w:rFonts w:cs="TimesNewRoman"/>
          <w:noProof w:val="0"/>
          <w:lang w:val="fr-FR"/>
        </w:rPr>
        <w:t xml:space="preserve"> Sánchez Goñi, M.F.</w:t>
      </w:r>
      <w:r w:rsidR="00AB5343" w:rsidRPr="00253BA3">
        <w:rPr>
          <w:rFonts w:cs="TimesNewRoman"/>
          <w:noProof w:val="0"/>
          <w:lang w:val="fr-FR"/>
        </w:rPr>
        <w:t xml:space="preserve"> </w:t>
      </w:r>
      <w:r w:rsidRPr="00253BA3">
        <w:rPr>
          <w:rFonts w:cs="TimesNewRoman"/>
          <w:noProof w:val="0"/>
          <w:lang w:val="fr-FR"/>
        </w:rPr>
        <w:t xml:space="preserve">(2003). </w:t>
      </w:r>
      <w:r w:rsidRPr="00253BA3">
        <w:rPr>
          <w:rFonts w:cs="TimesNewRoman"/>
          <w:noProof w:val="0"/>
          <w:lang w:val="en-US"/>
        </w:rPr>
        <w:t xml:space="preserve">Neandertal </w:t>
      </w:r>
      <w:r w:rsidR="00EE389A" w:rsidRPr="00253BA3">
        <w:rPr>
          <w:rFonts w:cs="TimesNewRoman"/>
          <w:noProof w:val="0"/>
          <w:lang w:val="en-US"/>
        </w:rPr>
        <w:t xml:space="preserve"> </w:t>
      </w:r>
      <w:r w:rsidRPr="00253BA3">
        <w:rPr>
          <w:rFonts w:cs="TimesNewRoman"/>
          <w:noProof w:val="0"/>
          <w:lang w:val="en-US"/>
        </w:rPr>
        <w:t xml:space="preserve">extinction and the millennial scale climatic variability of OIS 3”. </w:t>
      </w:r>
      <w:r w:rsidRPr="00253BA3">
        <w:rPr>
          <w:rFonts w:cs="TimesNewRoman-NormalItalic"/>
          <w:iCs/>
          <w:noProof w:val="0"/>
          <w:lang w:val="en-US"/>
        </w:rPr>
        <w:t xml:space="preserve">Quaternary Science Reviews </w:t>
      </w:r>
      <w:r w:rsidRPr="00253BA3">
        <w:rPr>
          <w:rFonts w:cs="TimesNewRoman"/>
          <w:noProof w:val="0"/>
          <w:lang w:val="en-US"/>
        </w:rPr>
        <w:t>22:769-788.</w:t>
      </w:r>
    </w:p>
    <w:p w:rsidR="00AB5343" w:rsidRPr="00253BA3" w:rsidRDefault="00AB5343" w:rsidP="00AB5343">
      <w:pPr>
        <w:autoSpaceDE w:val="0"/>
        <w:autoSpaceDN w:val="0"/>
        <w:adjustRightInd w:val="0"/>
        <w:spacing w:after="0" w:line="240" w:lineRule="auto"/>
        <w:jc w:val="both"/>
        <w:rPr>
          <w:rFonts w:cs="Times New Roman"/>
          <w:noProof w:val="0"/>
          <w:lang w:val="en-US"/>
        </w:rPr>
      </w:pPr>
    </w:p>
    <w:p w:rsidR="00AB5343" w:rsidRPr="00253BA3" w:rsidRDefault="00AB5343" w:rsidP="00AB5343">
      <w:pPr>
        <w:autoSpaceDE w:val="0"/>
        <w:autoSpaceDN w:val="0"/>
        <w:adjustRightInd w:val="0"/>
        <w:spacing w:after="0" w:line="240" w:lineRule="auto"/>
        <w:jc w:val="both"/>
        <w:rPr>
          <w:rFonts w:cs="Times New Roman"/>
          <w:noProof w:val="0"/>
          <w:lang w:val="en-US"/>
        </w:rPr>
      </w:pPr>
      <w:r w:rsidRPr="00253BA3">
        <w:rPr>
          <w:rFonts w:cs="Times New Roman"/>
          <w:noProof w:val="0"/>
          <w:lang w:val="es-ES"/>
        </w:rPr>
        <w:t xml:space="preserve">de la Torre, I.; Martínez-Moreno, J.; Mora, R. (2013). </w:t>
      </w:r>
      <w:r w:rsidRPr="00253BA3">
        <w:rPr>
          <w:rFonts w:cs="Times New Roman"/>
          <w:noProof w:val="0"/>
          <w:lang w:val="en-US"/>
        </w:rPr>
        <w:t>Change and stasis in the Iberian Middle Paleolithic: Considerations on the significance of Mousterian technological variability source. Current Anthropology, Vol. 54, No. S8, Alternative Pathways to Complexity: Evolutionary Trajectories in the Middle Paleolithic and Middle Stone Age: S320-S336</w:t>
      </w:r>
    </w:p>
    <w:p w:rsidR="00FB5043" w:rsidRPr="00253BA3" w:rsidRDefault="00FB5043" w:rsidP="00FB5043">
      <w:pPr>
        <w:autoSpaceDE w:val="0"/>
        <w:autoSpaceDN w:val="0"/>
        <w:adjustRightInd w:val="0"/>
        <w:spacing w:after="0" w:line="240" w:lineRule="auto"/>
        <w:rPr>
          <w:rFonts w:cs="Times New Roman"/>
          <w:noProof w:val="0"/>
          <w:sz w:val="24"/>
          <w:szCs w:val="24"/>
          <w:lang w:val="en-US"/>
        </w:rPr>
      </w:pPr>
    </w:p>
    <w:p w:rsidR="009165AE" w:rsidRPr="00253BA3" w:rsidRDefault="009165AE" w:rsidP="006F4215">
      <w:pPr>
        <w:autoSpaceDE w:val="0"/>
        <w:autoSpaceDN w:val="0"/>
        <w:adjustRightInd w:val="0"/>
        <w:spacing w:after="0" w:line="240" w:lineRule="auto"/>
        <w:jc w:val="both"/>
        <w:rPr>
          <w:rFonts w:cs="Times New Roman"/>
          <w:noProof w:val="0"/>
          <w:lang w:val="fr-FR"/>
        </w:rPr>
      </w:pPr>
      <w:r w:rsidRPr="00253BA3">
        <w:rPr>
          <w:rFonts w:cs="Times New Roman"/>
          <w:noProof w:val="0"/>
          <w:lang w:val="fr-FR"/>
        </w:rPr>
        <w:t>Geneste, J.M. (1985). Analyse lithique d’industries moustériennes du Périgord: un approche</w:t>
      </w:r>
    </w:p>
    <w:p w:rsidR="009165AE" w:rsidRPr="00253BA3" w:rsidRDefault="009165AE" w:rsidP="006F4215">
      <w:pPr>
        <w:autoSpaceDE w:val="0"/>
        <w:autoSpaceDN w:val="0"/>
        <w:adjustRightInd w:val="0"/>
        <w:spacing w:after="0" w:line="240" w:lineRule="auto"/>
        <w:jc w:val="both"/>
        <w:rPr>
          <w:rFonts w:cs="Times New Roman"/>
          <w:noProof w:val="0"/>
          <w:lang w:val="en-US"/>
        </w:rPr>
      </w:pPr>
      <w:r w:rsidRPr="00253BA3">
        <w:rPr>
          <w:rFonts w:cs="Times New Roman"/>
          <w:noProof w:val="0"/>
          <w:lang w:val="fr-FR"/>
        </w:rPr>
        <w:t xml:space="preserve">technologique de comportement des groupes humains au Paléolithique moyen. </w:t>
      </w:r>
      <w:r w:rsidRPr="00253BA3">
        <w:rPr>
          <w:rFonts w:cs="Times New Roman"/>
          <w:noProof w:val="0"/>
          <w:lang w:val="en-US"/>
        </w:rPr>
        <w:t>PhD Université Bordeaux I.</w:t>
      </w:r>
    </w:p>
    <w:p w:rsidR="009165AE" w:rsidRPr="00253BA3" w:rsidRDefault="009165AE" w:rsidP="006F4215">
      <w:pPr>
        <w:autoSpaceDE w:val="0"/>
        <w:autoSpaceDN w:val="0"/>
        <w:adjustRightInd w:val="0"/>
        <w:spacing w:after="0" w:line="240" w:lineRule="auto"/>
        <w:jc w:val="both"/>
        <w:rPr>
          <w:rFonts w:cs="Times New Roman"/>
          <w:noProof w:val="0"/>
          <w:lang w:val="en-US"/>
        </w:rPr>
      </w:pPr>
    </w:p>
    <w:p w:rsidR="009165AE" w:rsidRPr="00253BA3" w:rsidRDefault="009165AE" w:rsidP="006F4215">
      <w:pPr>
        <w:autoSpaceDE w:val="0"/>
        <w:autoSpaceDN w:val="0"/>
        <w:adjustRightInd w:val="0"/>
        <w:spacing w:after="0" w:line="240" w:lineRule="auto"/>
        <w:jc w:val="both"/>
        <w:rPr>
          <w:rFonts w:cs="Times New Roman"/>
          <w:noProof w:val="0"/>
          <w:lang w:val="es-ES"/>
        </w:rPr>
      </w:pPr>
      <w:r w:rsidRPr="00253BA3">
        <w:rPr>
          <w:rFonts w:cs="Times New Roman"/>
          <w:noProof w:val="0"/>
          <w:lang w:val="en-US"/>
        </w:rPr>
        <w:t xml:space="preserve">Martínez-Moreno, J.; Mora, R.; de la Torre, I. (2004). Methodological approach for understanding Middle Palaeolithic settlement Dynamics at La Roca dels Bous (Noguera, Catalunya, Northeast Spain). In </w:t>
      </w:r>
      <w:r w:rsidRPr="00253BA3">
        <w:rPr>
          <w:rFonts w:cs="Times New Roman"/>
          <w:i/>
          <w:iCs/>
          <w:noProof w:val="0"/>
          <w:lang w:val="en-US"/>
        </w:rPr>
        <w:t>Settlement dynamics of the Middle Paleolithic and Middle Stone Age</w:t>
      </w:r>
      <w:r w:rsidRPr="00253BA3">
        <w:rPr>
          <w:rFonts w:cs="Times New Roman"/>
          <w:noProof w:val="0"/>
          <w:lang w:val="en-US"/>
        </w:rPr>
        <w:t xml:space="preserve">, vol. 2. </w:t>
      </w:r>
      <w:r w:rsidRPr="00253BA3">
        <w:rPr>
          <w:rFonts w:cs="Times New Roman"/>
          <w:noProof w:val="0"/>
          <w:lang w:val="es-ES"/>
        </w:rPr>
        <w:t>Nicholas J. Conard, ed.:  393–413. Tübingen: Kerns.</w:t>
      </w:r>
    </w:p>
    <w:p w:rsidR="009165AE" w:rsidRPr="00253BA3" w:rsidRDefault="009165AE" w:rsidP="006F4215">
      <w:pPr>
        <w:autoSpaceDE w:val="0"/>
        <w:autoSpaceDN w:val="0"/>
        <w:adjustRightInd w:val="0"/>
        <w:spacing w:after="0" w:line="240" w:lineRule="auto"/>
        <w:jc w:val="both"/>
        <w:rPr>
          <w:rFonts w:cs="Times New Roman"/>
          <w:noProof w:val="0"/>
          <w:lang w:val="es-ES"/>
        </w:rPr>
      </w:pPr>
    </w:p>
    <w:p w:rsidR="009165AE" w:rsidRPr="00253BA3" w:rsidRDefault="009165AE" w:rsidP="006F4215">
      <w:pPr>
        <w:autoSpaceDE w:val="0"/>
        <w:autoSpaceDN w:val="0"/>
        <w:adjustRightInd w:val="0"/>
        <w:spacing w:after="0" w:line="240" w:lineRule="auto"/>
        <w:jc w:val="both"/>
        <w:rPr>
          <w:rFonts w:cs="Times New Roman"/>
          <w:noProof w:val="0"/>
          <w:lang w:val="es-ES"/>
        </w:rPr>
      </w:pPr>
      <w:r w:rsidRPr="00253BA3">
        <w:rPr>
          <w:rFonts w:cs="Times New Roman"/>
          <w:noProof w:val="0"/>
          <w:lang w:val="es-ES"/>
        </w:rPr>
        <w:t xml:space="preserve">Martínez-Moreno, J.; de la Torre, I.; Mora, R.; Joel Casanova (2010). </w:t>
      </w:r>
      <w:r w:rsidRPr="00253BA3">
        <w:rPr>
          <w:rFonts w:cs="Times New Roman"/>
          <w:noProof w:val="0"/>
          <w:lang w:val="en-US"/>
        </w:rPr>
        <w:t xml:space="preserve">Technical variability and changes in the pattern of settlement at Roca dels Bous (southeastern Pre-Pyrenees, Spain). In </w:t>
      </w:r>
      <w:r w:rsidRPr="00253BA3">
        <w:rPr>
          <w:rFonts w:cs="Times New Roman"/>
          <w:i/>
          <w:iCs/>
          <w:noProof w:val="0"/>
          <w:lang w:val="en-US"/>
        </w:rPr>
        <w:t>Settlement dynamics of the Middle Paleolithic and Middle Stone Age</w:t>
      </w:r>
      <w:r w:rsidRPr="00253BA3">
        <w:rPr>
          <w:rFonts w:cs="Times New Roman"/>
          <w:noProof w:val="0"/>
          <w:lang w:val="en-US"/>
        </w:rPr>
        <w:t xml:space="preserve">, vol. 3. </w:t>
      </w:r>
      <w:r w:rsidRPr="00253BA3">
        <w:rPr>
          <w:rFonts w:cs="Times New Roman"/>
          <w:noProof w:val="0"/>
          <w:lang w:val="es-ES"/>
        </w:rPr>
        <w:t>Nicholas J. Conard and Anne Delagnes, eds.: 485–507. Tübingen: Kerns.</w:t>
      </w:r>
    </w:p>
    <w:p w:rsidR="008C5053" w:rsidRPr="00253BA3" w:rsidRDefault="008C5053" w:rsidP="006F4215">
      <w:pPr>
        <w:autoSpaceDE w:val="0"/>
        <w:autoSpaceDN w:val="0"/>
        <w:adjustRightInd w:val="0"/>
        <w:spacing w:after="0" w:line="240" w:lineRule="auto"/>
        <w:jc w:val="both"/>
        <w:rPr>
          <w:rFonts w:cs="Times New Roman"/>
          <w:noProof w:val="0"/>
          <w:lang w:val="es-ES"/>
        </w:rPr>
      </w:pPr>
    </w:p>
    <w:p w:rsidR="009165AE" w:rsidRPr="00253BA3" w:rsidRDefault="009165AE" w:rsidP="006F4215">
      <w:pPr>
        <w:autoSpaceDE w:val="0"/>
        <w:autoSpaceDN w:val="0"/>
        <w:adjustRightInd w:val="0"/>
        <w:spacing w:after="0" w:line="240" w:lineRule="auto"/>
        <w:jc w:val="both"/>
        <w:rPr>
          <w:rFonts w:cs="Times New Roman"/>
          <w:noProof w:val="0"/>
          <w:lang w:val="es-ES"/>
        </w:rPr>
      </w:pPr>
      <w:r w:rsidRPr="00253BA3">
        <w:rPr>
          <w:rFonts w:cs="Times New Roman"/>
          <w:noProof w:val="0"/>
          <w:lang w:val="es-ES"/>
        </w:rPr>
        <w:t xml:space="preserve">Mora, R.; de la Torre, I.; Martínez-Moreno, J. (2004). </w:t>
      </w:r>
      <w:r w:rsidRPr="00253BA3">
        <w:rPr>
          <w:rFonts w:cs="Times New Roman"/>
          <w:noProof w:val="0"/>
          <w:lang w:val="en-US"/>
        </w:rPr>
        <w:t xml:space="preserve">Middle Palaeolithic mobility and land use in the southwestern Pyrenees: the exemple of level 10 in La Roca dels Bous (Noguera, Catalunya, northeast Spain). In </w:t>
      </w:r>
      <w:r w:rsidRPr="00253BA3">
        <w:rPr>
          <w:rFonts w:cs="Times New Roman"/>
          <w:i/>
          <w:iCs/>
          <w:noProof w:val="0"/>
          <w:lang w:val="en-US"/>
        </w:rPr>
        <w:t>Settlement dynamics of the Middle Paleolithic and Middle Stone Age</w:t>
      </w:r>
      <w:r w:rsidRPr="00253BA3">
        <w:rPr>
          <w:rFonts w:cs="Times New Roman"/>
          <w:noProof w:val="0"/>
          <w:lang w:val="en-US"/>
        </w:rPr>
        <w:t xml:space="preserve">, vol. 2. </w:t>
      </w:r>
      <w:r w:rsidRPr="00253BA3">
        <w:rPr>
          <w:rFonts w:cs="Times New Roman"/>
          <w:noProof w:val="0"/>
          <w:lang w:val="es-ES"/>
        </w:rPr>
        <w:t>Nicholas J. Conard, ed.: 415–435. Tübingen: Kerns.</w:t>
      </w:r>
    </w:p>
    <w:p w:rsidR="009165AE" w:rsidRPr="00253BA3" w:rsidRDefault="009165AE" w:rsidP="006F4215">
      <w:pPr>
        <w:autoSpaceDE w:val="0"/>
        <w:autoSpaceDN w:val="0"/>
        <w:adjustRightInd w:val="0"/>
        <w:spacing w:after="0" w:line="240" w:lineRule="auto"/>
        <w:jc w:val="both"/>
        <w:rPr>
          <w:rFonts w:cs="Times New Roman"/>
          <w:noProof w:val="0"/>
          <w:lang w:val="es-ES"/>
        </w:rPr>
      </w:pPr>
    </w:p>
    <w:p w:rsidR="009165AE" w:rsidRPr="00253BA3" w:rsidRDefault="009165AE" w:rsidP="006F4215">
      <w:pPr>
        <w:spacing w:after="0" w:line="240" w:lineRule="auto"/>
        <w:jc w:val="both"/>
        <w:rPr>
          <w:rFonts w:eastAsia="Times New Roman" w:cs="Times New Roman"/>
          <w:noProof w:val="0"/>
          <w:lang w:val="es-ES" w:eastAsia="ca-ES"/>
        </w:rPr>
      </w:pPr>
      <w:r w:rsidRPr="00253BA3">
        <w:rPr>
          <w:rFonts w:eastAsia="Times New Roman" w:cs="Times New Roman"/>
          <w:noProof w:val="0"/>
          <w:lang w:val="es-ES" w:eastAsia="ca-ES"/>
        </w:rPr>
        <w:t xml:space="preserve">Mora, R.; Martínez-Moreno, J.; Casanova, J. (2008).  Abordando la noción de “variabilidad musteriense” en Roca dels Bous (Prepirineo suroriental). Trabajos de Prehistoria 65: 13-28. </w:t>
      </w:r>
    </w:p>
    <w:p w:rsidR="009165AE" w:rsidRPr="00253BA3" w:rsidRDefault="009165AE" w:rsidP="006F4215">
      <w:pPr>
        <w:autoSpaceDE w:val="0"/>
        <w:autoSpaceDN w:val="0"/>
        <w:adjustRightInd w:val="0"/>
        <w:spacing w:after="0" w:line="240" w:lineRule="auto"/>
        <w:jc w:val="both"/>
        <w:rPr>
          <w:rFonts w:cs="Times New Roman"/>
          <w:noProof w:val="0"/>
          <w:lang w:val="es-ES"/>
        </w:rPr>
      </w:pPr>
    </w:p>
    <w:p w:rsidR="009165AE" w:rsidRPr="00253BA3" w:rsidRDefault="009165AE" w:rsidP="006F4215">
      <w:pPr>
        <w:autoSpaceDE w:val="0"/>
        <w:autoSpaceDN w:val="0"/>
        <w:adjustRightInd w:val="0"/>
        <w:spacing w:after="0" w:line="240" w:lineRule="auto"/>
        <w:jc w:val="both"/>
        <w:rPr>
          <w:rFonts w:cs="Times New Roman"/>
          <w:noProof w:val="0"/>
          <w:lang w:val="en-US"/>
        </w:rPr>
      </w:pPr>
      <w:r w:rsidRPr="00253BA3">
        <w:rPr>
          <w:rFonts w:cs="Times New Roman"/>
          <w:noProof w:val="0"/>
          <w:lang w:val="es-ES"/>
        </w:rPr>
        <w:t xml:space="preserve">Roy, M. (2016a). </w:t>
      </w:r>
      <w:r w:rsidRPr="00253BA3">
        <w:rPr>
          <w:rFonts w:cs="Times New Roman"/>
          <w:bCs/>
          <w:noProof w:val="0"/>
          <w:lang w:val="es-ES"/>
        </w:rPr>
        <w:t xml:space="preserve">Materias primas líticas y su explotación durante la Prehistoria en el Prepirineo Oriental (NE de Iberia). </w:t>
      </w:r>
      <w:r w:rsidRPr="00253BA3">
        <w:rPr>
          <w:rFonts w:cs="Times New Roman"/>
          <w:bCs/>
          <w:noProof w:val="0"/>
          <w:lang w:val="en-US"/>
        </w:rPr>
        <w:t xml:space="preserve">PhD Universitat Autònoma Barcelona. </w:t>
      </w:r>
    </w:p>
    <w:p w:rsidR="009165AE" w:rsidRPr="00253BA3" w:rsidRDefault="009165AE" w:rsidP="006F4215">
      <w:pPr>
        <w:autoSpaceDE w:val="0"/>
        <w:autoSpaceDN w:val="0"/>
        <w:adjustRightInd w:val="0"/>
        <w:spacing w:after="0" w:line="240" w:lineRule="auto"/>
        <w:jc w:val="both"/>
        <w:rPr>
          <w:rFonts w:cs="Times New Roman"/>
          <w:noProof w:val="0"/>
          <w:lang w:val="en-US"/>
        </w:rPr>
      </w:pPr>
    </w:p>
    <w:p w:rsidR="009165AE" w:rsidRPr="00253BA3" w:rsidRDefault="009165AE" w:rsidP="006F4215">
      <w:pPr>
        <w:autoSpaceDE w:val="0"/>
        <w:autoSpaceDN w:val="0"/>
        <w:adjustRightInd w:val="0"/>
        <w:spacing w:after="0" w:line="240" w:lineRule="auto"/>
        <w:jc w:val="both"/>
        <w:rPr>
          <w:rFonts w:cs="Arial"/>
          <w:b/>
          <w:bCs/>
          <w:noProof w:val="0"/>
          <w:sz w:val="32"/>
          <w:szCs w:val="32"/>
          <w:lang w:val="es-ES"/>
        </w:rPr>
      </w:pPr>
      <w:r w:rsidRPr="00253BA3">
        <w:rPr>
          <w:rFonts w:cs="Times New Roman"/>
          <w:noProof w:val="0"/>
          <w:lang w:val="en-US"/>
        </w:rPr>
        <w:t xml:space="preserve">Roy, M. (2016b). Deconstructing Archaeological Palimpsests: Applicability of GIS algorithms for the automated generation of cross sections”. En: Campana, S., Scopigno, R., Carpentiero, G., Cirillo, M. (Eds) </w:t>
      </w:r>
      <w:r w:rsidRPr="00253BA3">
        <w:rPr>
          <w:rFonts w:cs="Times New Roman"/>
          <w:i/>
          <w:noProof w:val="0"/>
          <w:lang w:val="en-US"/>
        </w:rPr>
        <w:t>Proceedings of the 43rd annual conference on computer applications and quantitative methods in archaeology</w:t>
      </w:r>
      <w:r w:rsidRPr="00253BA3">
        <w:rPr>
          <w:rFonts w:cs="Times New Roman"/>
          <w:noProof w:val="0"/>
          <w:lang w:val="en-US"/>
        </w:rPr>
        <w:t xml:space="preserve">. </w:t>
      </w:r>
      <w:r w:rsidRPr="00253BA3">
        <w:rPr>
          <w:rFonts w:cs="Times New Roman"/>
          <w:noProof w:val="0"/>
          <w:lang w:val="es-ES"/>
        </w:rPr>
        <w:t>Oxford, Archaeopress.</w:t>
      </w:r>
      <w:r w:rsidRPr="00253BA3">
        <w:rPr>
          <w:rFonts w:cs="Arial"/>
          <w:b/>
          <w:bCs/>
          <w:noProof w:val="0"/>
          <w:sz w:val="32"/>
          <w:szCs w:val="32"/>
          <w:lang w:val="es-ES"/>
        </w:rPr>
        <w:t xml:space="preserve"> </w:t>
      </w:r>
    </w:p>
    <w:p w:rsidR="00EE389A" w:rsidRPr="00253BA3" w:rsidRDefault="00EE389A" w:rsidP="006F4215">
      <w:pPr>
        <w:autoSpaceDE w:val="0"/>
        <w:autoSpaceDN w:val="0"/>
        <w:adjustRightInd w:val="0"/>
        <w:spacing w:after="0" w:line="240" w:lineRule="auto"/>
        <w:jc w:val="both"/>
        <w:rPr>
          <w:rFonts w:cs="Times New Roman"/>
          <w:noProof w:val="0"/>
          <w:lang w:val="es-ES"/>
        </w:rPr>
      </w:pPr>
    </w:p>
    <w:p w:rsidR="009165AE" w:rsidRPr="00253BA3" w:rsidRDefault="009165AE" w:rsidP="006F4215">
      <w:pPr>
        <w:autoSpaceDE w:val="0"/>
        <w:autoSpaceDN w:val="0"/>
        <w:adjustRightInd w:val="0"/>
        <w:spacing w:after="0" w:line="240" w:lineRule="auto"/>
        <w:jc w:val="both"/>
        <w:rPr>
          <w:rFonts w:cs="Times New Roman"/>
          <w:noProof w:val="0"/>
          <w:lang w:val="en-US"/>
        </w:rPr>
      </w:pPr>
      <w:r w:rsidRPr="00253BA3">
        <w:rPr>
          <w:rFonts w:cs="Times New Roman"/>
          <w:noProof w:val="0"/>
          <w:lang w:val="es-ES"/>
        </w:rPr>
        <w:t xml:space="preserve">Roy, M.; Mora Torcal, R.; Plasencia Figueroa, F.; Martínez-Moreno,  J.; Benito-Calvo, A. (2017). </w:t>
      </w:r>
      <w:r w:rsidRPr="00253BA3">
        <w:rPr>
          <w:rFonts w:cs="Times New Roman"/>
          <w:noProof w:val="0"/>
          <w:lang w:val="en-US"/>
        </w:rPr>
        <w:t>Quartzite selection in fluvial deposits: The N12 level of Roca dels Bous (Middle Palaeolithic, southeastern Pyrenees), Quaternary International 435: 49-60.</w:t>
      </w:r>
    </w:p>
    <w:p w:rsidR="009165AE" w:rsidRPr="00253BA3" w:rsidRDefault="009165AE" w:rsidP="006F4215">
      <w:pPr>
        <w:autoSpaceDE w:val="0"/>
        <w:autoSpaceDN w:val="0"/>
        <w:adjustRightInd w:val="0"/>
        <w:spacing w:after="0" w:line="240" w:lineRule="auto"/>
        <w:jc w:val="both"/>
        <w:rPr>
          <w:rFonts w:cs="Times New Roman"/>
          <w:noProof w:val="0"/>
          <w:lang w:val="en-US"/>
        </w:rPr>
      </w:pPr>
    </w:p>
    <w:p w:rsidR="009165AE" w:rsidRPr="00253BA3" w:rsidRDefault="009165AE" w:rsidP="006F4215">
      <w:pPr>
        <w:autoSpaceDE w:val="0"/>
        <w:autoSpaceDN w:val="0"/>
        <w:adjustRightInd w:val="0"/>
        <w:spacing w:after="0" w:line="240" w:lineRule="auto"/>
        <w:jc w:val="both"/>
        <w:rPr>
          <w:rFonts w:cs="Times New Roman"/>
          <w:noProof w:val="0"/>
          <w:lang w:val="en-US"/>
        </w:rPr>
      </w:pPr>
      <w:r w:rsidRPr="00253BA3">
        <w:rPr>
          <w:rFonts w:cs="Times New Roman"/>
          <w:noProof w:val="0"/>
          <w:lang w:val="en-US"/>
        </w:rPr>
        <w:t xml:space="preserve">Rasmussen, S.; Bigler, M.; Blockley, S.; Blunier, T.; Buchardt, S; Clausen, H.; Cvijanovic, I. et al. (2014) A stratigraphic framework for abrupt climatic changes during the Last Glacial period based on three synchronized Greenland ice-core records: refining and extending the INTIMATE event stratigraphy, Quaternary Science Reviews 106: 14-28.  </w:t>
      </w:r>
    </w:p>
    <w:p w:rsidR="00AB5343" w:rsidRPr="00253BA3" w:rsidRDefault="00AB5343" w:rsidP="006F4215">
      <w:pPr>
        <w:autoSpaceDE w:val="0"/>
        <w:autoSpaceDN w:val="0"/>
        <w:adjustRightInd w:val="0"/>
        <w:spacing w:after="0" w:line="240" w:lineRule="auto"/>
        <w:jc w:val="both"/>
        <w:rPr>
          <w:rFonts w:cs="Times New Roman"/>
          <w:noProof w:val="0"/>
          <w:lang w:val="en-US"/>
        </w:rPr>
      </w:pPr>
    </w:p>
    <w:p w:rsidR="00424B2D" w:rsidRPr="00253BA3" w:rsidRDefault="00424B2D" w:rsidP="006F4215">
      <w:pPr>
        <w:spacing w:after="0" w:line="312" w:lineRule="auto"/>
        <w:jc w:val="both"/>
        <w:rPr>
          <w:sz w:val="24"/>
          <w:szCs w:val="24"/>
          <w:lang w:val="en-US"/>
        </w:rPr>
      </w:pPr>
    </w:p>
    <w:sectPr w:rsidR="00424B2D" w:rsidRPr="00253BA3">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F10" w:rsidRDefault="00BC5F10" w:rsidP="009165AE">
      <w:pPr>
        <w:spacing w:after="0" w:line="240" w:lineRule="auto"/>
      </w:pPr>
      <w:r>
        <w:separator/>
      </w:r>
    </w:p>
  </w:endnote>
  <w:endnote w:type="continuationSeparator" w:id="0">
    <w:p w:rsidR="00BC5F10" w:rsidRDefault="00BC5F10" w:rsidP="0091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Arial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Normal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13373"/>
      <w:docPartObj>
        <w:docPartGallery w:val="Page Numbers (Bottom of Page)"/>
        <w:docPartUnique/>
      </w:docPartObj>
    </w:sdtPr>
    <w:sdtEndPr>
      <w:rPr>
        <w:sz w:val="24"/>
        <w:szCs w:val="24"/>
      </w:rPr>
    </w:sdtEndPr>
    <w:sdtContent>
      <w:p w:rsidR="009165AE" w:rsidRPr="009165AE" w:rsidRDefault="009165AE">
        <w:pPr>
          <w:pStyle w:val="Piedepgina"/>
          <w:jc w:val="center"/>
          <w:rPr>
            <w:sz w:val="24"/>
            <w:szCs w:val="24"/>
          </w:rPr>
        </w:pPr>
        <w:r w:rsidRPr="009165AE">
          <w:rPr>
            <w:sz w:val="24"/>
            <w:szCs w:val="24"/>
          </w:rPr>
          <w:fldChar w:fldCharType="begin"/>
        </w:r>
        <w:r w:rsidRPr="009165AE">
          <w:rPr>
            <w:sz w:val="24"/>
            <w:szCs w:val="24"/>
          </w:rPr>
          <w:instrText>PAGE   \* MERGEFORMAT</w:instrText>
        </w:r>
        <w:r w:rsidRPr="009165AE">
          <w:rPr>
            <w:sz w:val="24"/>
            <w:szCs w:val="24"/>
          </w:rPr>
          <w:fldChar w:fldCharType="separate"/>
        </w:r>
        <w:r w:rsidR="00BC5F10" w:rsidRPr="00BC5F10">
          <w:rPr>
            <w:sz w:val="24"/>
            <w:szCs w:val="24"/>
            <w:lang w:val="es-ES"/>
          </w:rPr>
          <w:t>1</w:t>
        </w:r>
        <w:r w:rsidRPr="009165AE">
          <w:rPr>
            <w:sz w:val="24"/>
            <w:szCs w:val="24"/>
          </w:rPr>
          <w:fldChar w:fldCharType="end"/>
        </w:r>
      </w:p>
    </w:sdtContent>
  </w:sdt>
  <w:p w:rsidR="009165AE" w:rsidRDefault="009165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F10" w:rsidRDefault="00BC5F10" w:rsidP="009165AE">
      <w:pPr>
        <w:spacing w:after="0" w:line="240" w:lineRule="auto"/>
      </w:pPr>
      <w:r>
        <w:separator/>
      </w:r>
    </w:p>
  </w:footnote>
  <w:footnote w:type="continuationSeparator" w:id="0">
    <w:p w:rsidR="00BC5F10" w:rsidRDefault="00BC5F10" w:rsidP="009165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F9C"/>
    <w:rsid w:val="0002157C"/>
    <w:rsid w:val="000545D5"/>
    <w:rsid w:val="000817CC"/>
    <w:rsid w:val="000922E7"/>
    <w:rsid w:val="000C6F7D"/>
    <w:rsid w:val="0011101D"/>
    <w:rsid w:val="00137211"/>
    <w:rsid w:val="001509E8"/>
    <w:rsid w:val="00164BBC"/>
    <w:rsid w:val="001A3E2C"/>
    <w:rsid w:val="001A62D1"/>
    <w:rsid w:val="001D1898"/>
    <w:rsid w:val="001E274F"/>
    <w:rsid w:val="001F15CB"/>
    <w:rsid w:val="00207CE6"/>
    <w:rsid w:val="00212122"/>
    <w:rsid w:val="00213645"/>
    <w:rsid w:val="00222A28"/>
    <w:rsid w:val="00232700"/>
    <w:rsid w:val="00250C8C"/>
    <w:rsid w:val="00253BA3"/>
    <w:rsid w:val="00287A60"/>
    <w:rsid w:val="00294780"/>
    <w:rsid w:val="00326B62"/>
    <w:rsid w:val="00380FDA"/>
    <w:rsid w:val="003932A1"/>
    <w:rsid w:val="00394062"/>
    <w:rsid w:val="003950BE"/>
    <w:rsid w:val="003C773A"/>
    <w:rsid w:val="003D360F"/>
    <w:rsid w:val="003E02D2"/>
    <w:rsid w:val="003E1AD7"/>
    <w:rsid w:val="003F7FBC"/>
    <w:rsid w:val="004002E2"/>
    <w:rsid w:val="0041740B"/>
    <w:rsid w:val="00417A08"/>
    <w:rsid w:val="00424B2D"/>
    <w:rsid w:val="00455862"/>
    <w:rsid w:val="004573C9"/>
    <w:rsid w:val="00474348"/>
    <w:rsid w:val="004A0052"/>
    <w:rsid w:val="004C05A4"/>
    <w:rsid w:val="004F4B7F"/>
    <w:rsid w:val="0051181D"/>
    <w:rsid w:val="00537A6C"/>
    <w:rsid w:val="00560111"/>
    <w:rsid w:val="00575576"/>
    <w:rsid w:val="005C02DD"/>
    <w:rsid w:val="005D187A"/>
    <w:rsid w:val="00601160"/>
    <w:rsid w:val="00617AD3"/>
    <w:rsid w:val="006246E5"/>
    <w:rsid w:val="006F4215"/>
    <w:rsid w:val="00783D77"/>
    <w:rsid w:val="007840CD"/>
    <w:rsid w:val="007C0F0C"/>
    <w:rsid w:val="007C234B"/>
    <w:rsid w:val="00822F9C"/>
    <w:rsid w:val="008714F9"/>
    <w:rsid w:val="00886119"/>
    <w:rsid w:val="008C5053"/>
    <w:rsid w:val="008F2564"/>
    <w:rsid w:val="008F491E"/>
    <w:rsid w:val="00914DEC"/>
    <w:rsid w:val="009165AE"/>
    <w:rsid w:val="00947E9F"/>
    <w:rsid w:val="0097687B"/>
    <w:rsid w:val="00981A87"/>
    <w:rsid w:val="00996CD3"/>
    <w:rsid w:val="009B0C12"/>
    <w:rsid w:val="009C70EB"/>
    <w:rsid w:val="009C714B"/>
    <w:rsid w:val="00A323E1"/>
    <w:rsid w:val="00A5361C"/>
    <w:rsid w:val="00A56A04"/>
    <w:rsid w:val="00A62AFD"/>
    <w:rsid w:val="00AA4107"/>
    <w:rsid w:val="00AB5343"/>
    <w:rsid w:val="00B32D78"/>
    <w:rsid w:val="00B66741"/>
    <w:rsid w:val="00B70A3E"/>
    <w:rsid w:val="00B84A57"/>
    <w:rsid w:val="00BC5F10"/>
    <w:rsid w:val="00BC674F"/>
    <w:rsid w:val="00BE14EA"/>
    <w:rsid w:val="00C34310"/>
    <w:rsid w:val="00C674B3"/>
    <w:rsid w:val="00C81753"/>
    <w:rsid w:val="00CB0720"/>
    <w:rsid w:val="00CC1DCB"/>
    <w:rsid w:val="00CD48C6"/>
    <w:rsid w:val="00CE2E87"/>
    <w:rsid w:val="00D039EE"/>
    <w:rsid w:val="00D04D04"/>
    <w:rsid w:val="00D141C6"/>
    <w:rsid w:val="00D658A3"/>
    <w:rsid w:val="00D83385"/>
    <w:rsid w:val="00DC62AA"/>
    <w:rsid w:val="00DE608D"/>
    <w:rsid w:val="00E42C0C"/>
    <w:rsid w:val="00E65FBC"/>
    <w:rsid w:val="00E661A6"/>
    <w:rsid w:val="00E752AA"/>
    <w:rsid w:val="00EC3442"/>
    <w:rsid w:val="00EE389A"/>
    <w:rsid w:val="00EF2794"/>
    <w:rsid w:val="00F71B49"/>
    <w:rsid w:val="00F779C4"/>
    <w:rsid w:val="00F91C1A"/>
    <w:rsid w:val="00FB50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559669-9900-462F-BBF4-2F824F0B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4B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B2D"/>
    <w:rPr>
      <w:rFonts w:ascii="Tahoma" w:hAnsi="Tahoma" w:cs="Tahoma"/>
      <w:noProof/>
      <w:sz w:val="16"/>
      <w:szCs w:val="16"/>
      <w:lang w:val="es-ES_tradnl"/>
    </w:rPr>
  </w:style>
  <w:style w:type="paragraph" w:styleId="Encabezado">
    <w:name w:val="header"/>
    <w:basedOn w:val="Normal"/>
    <w:link w:val="EncabezadoCar"/>
    <w:uiPriority w:val="99"/>
    <w:unhideWhenUsed/>
    <w:rsid w:val="009165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65AE"/>
    <w:rPr>
      <w:noProof/>
      <w:lang w:val="es-ES_tradnl"/>
    </w:rPr>
  </w:style>
  <w:style w:type="paragraph" w:styleId="Piedepgina">
    <w:name w:val="footer"/>
    <w:basedOn w:val="Normal"/>
    <w:link w:val="PiedepginaCar"/>
    <w:uiPriority w:val="99"/>
    <w:unhideWhenUsed/>
    <w:rsid w:val="009165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65AE"/>
    <w:rPr>
      <w:noProof/>
      <w:lang w:val="es-ES_tradnl"/>
    </w:rPr>
  </w:style>
  <w:style w:type="character" w:customStyle="1" w:styleId="tlid-translation">
    <w:name w:val="tlid-translation"/>
    <w:basedOn w:val="Fuentedeprrafopredeter"/>
    <w:rsid w:val="001F1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23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D3716-32EF-4B1F-BA5F-F8C95F414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2774</Words>
  <Characters>15260</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17999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 d'Estudis del Patrimoni Arqueològic de la Prehistòria</dc:creator>
  <cp:lastModifiedBy>ALFONSO</cp:lastModifiedBy>
  <cp:revision>3</cp:revision>
  <dcterms:created xsi:type="dcterms:W3CDTF">2020-03-17T11:07:00Z</dcterms:created>
  <dcterms:modified xsi:type="dcterms:W3CDTF">2020-03-17T11:16:00Z</dcterms:modified>
</cp:coreProperties>
</file>