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78036E" w14:textId="77777777" w:rsidR="00267B1E" w:rsidRPr="009B35C8" w:rsidRDefault="001B181A" w:rsidP="001B181A">
      <w:pPr>
        <w:spacing w:line="360" w:lineRule="auto"/>
        <w:rPr>
          <w:rFonts w:ascii="Times" w:hAnsi="Times"/>
        </w:rPr>
      </w:pPr>
      <w:r w:rsidRPr="009B35C8">
        <w:rPr>
          <w:rFonts w:ascii="Times" w:hAnsi="Times"/>
        </w:rPr>
        <w:t xml:space="preserve">Supplementary material for </w:t>
      </w:r>
    </w:p>
    <w:p w14:paraId="2E2E12DD" w14:textId="77777777" w:rsidR="0071575A" w:rsidRPr="008D041F" w:rsidRDefault="0071575A" w:rsidP="0071575A">
      <w:pPr>
        <w:spacing w:line="360" w:lineRule="auto"/>
        <w:jc w:val="both"/>
        <w:rPr>
          <w:rFonts w:ascii="Times" w:hAnsi="Times"/>
        </w:rPr>
      </w:pPr>
      <w:r w:rsidRPr="008D041F">
        <w:rPr>
          <w:rFonts w:ascii="Times" w:hAnsi="Times"/>
        </w:rPr>
        <w:t xml:space="preserve">Climatic and in-cave influences on </w:t>
      </w:r>
      <w:r w:rsidRPr="008D041F">
        <w:rPr>
          <w:rFonts w:ascii="Symbol" w:hAnsi="Symbol"/>
        </w:rPr>
        <w:t></w:t>
      </w:r>
      <w:r w:rsidRPr="008D041F">
        <w:rPr>
          <w:rFonts w:ascii="Times" w:hAnsi="Times"/>
          <w:vertAlign w:val="superscript"/>
        </w:rPr>
        <w:t>18</w:t>
      </w:r>
      <w:r w:rsidRPr="008D041F">
        <w:rPr>
          <w:rFonts w:ascii="Times" w:hAnsi="Times"/>
        </w:rPr>
        <w:t xml:space="preserve">O and </w:t>
      </w:r>
      <w:r w:rsidRPr="008D041F">
        <w:rPr>
          <w:rFonts w:ascii="Symbol" w:hAnsi="Symbol"/>
        </w:rPr>
        <w:t></w:t>
      </w:r>
      <w:r w:rsidRPr="008D041F">
        <w:rPr>
          <w:rFonts w:ascii="Times" w:hAnsi="Times"/>
          <w:vertAlign w:val="superscript"/>
        </w:rPr>
        <w:t>13</w:t>
      </w:r>
      <w:r w:rsidRPr="008D041F">
        <w:rPr>
          <w:rFonts w:ascii="Times" w:hAnsi="Times"/>
        </w:rPr>
        <w:t>C in a stalagmite from northeastern India through the last deglaciation</w:t>
      </w:r>
    </w:p>
    <w:p w14:paraId="3896863F" w14:textId="77777777" w:rsidR="0071575A" w:rsidRPr="008D041F" w:rsidRDefault="0071575A" w:rsidP="0071575A">
      <w:pPr>
        <w:spacing w:line="360" w:lineRule="auto"/>
        <w:jc w:val="both"/>
        <w:rPr>
          <w:rFonts w:ascii="Times" w:hAnsi="Times"/>
        </w:rPr>
      </w:pPr>
    </w:p>
    <w:p w14:paraId="01A8F030" w14:textId="77777777" w:rsidR="0071575A" w:rsidRPr="008D041F" w:rsidRDefault="0071575A" w:rsidP="0071575A">
      <w:pPr>
        <w:spacing w:line="360" w:lineRule="auto"/>
        <w:jc w:val="both"/>
        <w:rPr>
          <w:rFonts w:ascii="Times" w:hAnsi="Times"/>
          <w:sz w:val="20"/>
          <w:szCs w:val="20"/>
          <w:vertAlign w:val="superscript"/>
        </w:rPr>
      </w:pPr>
      <w:r w:rsidRPr="008D041F">
        <w:rPr>
          <w:rFonts w:ascii="Times" w:hAnsi="Times"/>
          <w:sz w:val="20"/>
          <w:szCs w:val="20"/>
        </w:rPr>
        <w:t xml:space="preserve">Franziska A. </w:t>
      </w:r>
      <w:proofErr w:type="spellStart"/>
      <w:r w:rsidRPr="008D041F">
        <w:rPr>
          <w:rFonts w:ascii="Times" w:hAnsi="Times"/>
          <w:sz w:val="20"/>
          <w:szCs w:val="20"/>
        </w:rPr>
        <w:t>Lechleitner</w:t>
      </w:r>
      <w:r>
        <w:rPr>
          <w:rFonts w:ascii="Times" w:hAnsi="Times"/>
          <w:sz w:val="20"/>
          <w:szCs w:val="20"/>
          <w:vertAlign w:val="superscript"/>
        </w:rPr>
        <w:t>a</w:t>
      </w:r>
      <w:proofErr w:type="spellEnd"/>
      <w:r w:rsidRPr="008D041F">
        <w:rPr>
          <w:rFonts w:ascii="Times" w:hAnsi="Times"/>
          <w:sz w:val="20"/>
          <w:szCs w:val="20"/>
        </w:rPr>
        <w:t xml:space="preserve">*, Sebastian F.M. </w:t>
      </w:r>
      <w:proofErr w:type="spellStart"/>
      <w:r w:rsidRPr="008D041F">
        <w:rPr>
          <w:rFonts w:ascii="Times" w:hAnsi="Times"/>
          <w:sz w:val="20"/>
          <w:szCs w:val="20"/>
        </w:rPr>
        <w:t>Breitenbach</w:t>
      </w:r>
      <w:r>
        <w:rPr>
          <w:rFonts w:ascii="Times" w:hAnsi="Times"/>
          <w:sz w:val="20"/>
          <w:szCs w:val="20"/>
          <w:vertAlign w:val="superscript"/>
        </w:rPr>
        <w:t>a</w:t>
      </w:r>
      <w:proofErr w:type="gramStart"/>
      <w:r w:rsidRPr="008D041F">
        <w:rPr>
          <w:rFonts w:ascii="Times" w:hAnsi="Times"/>
          <w:sz w:val="20"/>
          <w:szCs w:val="20"/>
          <w:vertAlign w:val="superscript"/>
        </w:rPr>
        <w:t>,</w:t>
      </w:r>
      <w:r>
        <w:rPr>
          <w:rFonts w:ascii="Times" w:hAnsi="Times"/>
          <w:sz w:val="20"/>
          <w:szCs w:val="20"/>
          <w:vertAlign w:val="superscript"/>
        </w:rPr>
        <w:t>b</w:t>
      </w:r>
      <w:proofErr w:type="spellEnd"/>
      <w:proofErr w:type="gramEnd"/>
      <w:r w:rsidRPr="008D041F">
        <w:rPr>
          <w:rFonts w:ascii="Times" w:hAnsi="Times"/>
          <w:sz w:val="20"/>
          <w:szCs w:val="20"/>
        </w:rPr>
        <w:t xml:space="preserve">, </w:t>
      </w:r>
      <w:proofErr w:type="spellStart"/>
      <w:r w:rsidRPr="008D041F">
        <w:rPr>
          <w:rFonts w:ascii="Times" w:hAnsi="Times"/>
          <w:sz w:val="20"/>
          <w:szCs w:val="20"/>
        </w:rPr>
        <w:t>Hai</w:t>
      </w:r>
      <w:proofErr w:type="spellEnd"/>
      <w:r w:rsidRPr="008D041F">
        <w:rPr>
          <w:rFonts w:ascii="Times" w:hAnsi="Times"/>
          <w:sz w:val="20"/>
          <w:szCs w:val="20"/>
        </w:rPr>
        <w:t xml:space="preserve"> </w:t>
      </w:r>
      <w:proofErr w:type="spellStart"/>
      <w:r w:rsidRPr="008D041F">
        <w:rPr>
          <w:rFonts w:ascii="Times" w:hAnsi="Times"/>
          <w:sz w:val="20"/>
          <w:szCs w:val="20"/>
        </w:rPr>
        <w:t>Cheng</w:t>
      </w:r>
      <w:r>
        <w:rPr>
          <w:rFonts w:ascii="Times" w:hAnsi="Times"/>
          <w:sz w:val="20"/>
          <w:szCs w:val="20"/>
          <w:vertAlign w:val="superscript"/>
        </w:rPr>
        <w:t>c</w:t>
      </w:r>
      <w:r w:rsidRPr="008D041F">
        <w:rPr>
          <w:rFonts w:ascii="Times" w:hAnsi="Times"/>
          <w:sz w:val="20"/>
          <w:szCs w:val="20"/>
          <w:vertAlign w:val="superscript"/>
        </w:rPr>
        <w:t>,</w:t>
      </w:r>
      <w:r>
        <w:rPr>
          <w:rFonts w:ascii="Times" w:hAnsi="Times"/>
          <w:sz w:val="20"/>
          <w:szCs w:val="20"/>
          <w:vertAlign w:val="superscript"/>
        </w:rPr>
        <w:t>d</w:t>
      </w:r>
      <w:proofErr w:type="spellEnd"/>
      <w:r w:rsidRPr="008D041F">
        <w:rPr>
          <w:rFonts w:ascii="Times" w:hAnsi="Times"/>
          <w:sz w:val="20"/>
          <w:szCs w:val="20"/>
        </w:rPr>
        <w:t xml:space="preserve">, Birgit </w:t>
      </w:r>
      <w:proofErr w:type="spellStart"/>
      <w:r w:rsidRPr="008D041F">
        <w:rPr>
          <w:rFonts w:ascii="Times" w:hAnsi="Times"/>
          <w:sz w:val="20"/>
          <w:szCs w:val="20"/>
        </w:rPr>
        <w:t>Plessen</w:t>
      </w:r>
      <w:r>
        <w:rPr>
          <w:rFonts w:ascii="Times" w:hAnsi="Times"/>
          <w:sz w:val="20"/>
          <w:szCs w:val="20"/>
          <w:vertAlign w:val="superscript"/>
        </w:rPr>
        <w:t>e</w:t>
      </w:r>
      <w:proofErr w:type="spellEnd"/>
      <w:r w:rsidRPr="008D041F">
        <w:rPr>
          <w:rFonts w:ascii="Times" w:hAnsi="Times"/>
          <w:sz w:val="20"/>
          <w:szCs w:val="20"/>
        </w:rPr>
        <w:t xml:space="preserve">, </w:t>
      </w:r>
      <w:proofErr w:type="spellStart"/>
      <w:r w:rsidRPr="008D041F">
        <w:rPr>
          <w:rFonts w:ascii="Times" w:hAnsi="Times"/>
          <w:sz w:val="20"/>
          <w:szCs w:val="20"/>
        </w:rPr>
        <w:t>Kira</w:t>
      </w:r>
      <w:proofErr w:type="spellEnd"/>
      <w:r w:rsidRPr="008D041F">
        <w:rPr>
          <w:rFonts w:ascii="Times" w:hAnsi="Times"/>
          <w:sz w:val="20"/>
          <w:szCs w:val="20"/>
        </w:rPr>
        <w:t xml:space="preserve"> </w:t>
      </w:r>
      <w:proofErr w:type="spellStart"/>
      <w:r w:rsidRPr="008D041F">
        <w:rPr>
          <w:rFonts w:ascii="Times" w:hAnsi="Times"/>
          <w:sz w:val="20"/>
          <w:szCs w:val="20"/>
        </w:rPr>
        <w:t>Rehfeld</w:t>
      </w:r>
      <w:r>
        <w:rPr>
          <w:rFonts w:ascii="Times" w:hAnsi="Times"/>
          <w:sz w:val="20"/>
          <w:szCs w:val="20"/>
          <w:vertAlign w:val="superscript"/>
        </w:rPr>
        <w:t>f</w:t>
      </w:r>
      <w:proofErr w:type="spellEnd"/>
      <w:r w:rsidRPr="008D041F">
        <w:rPr>
          <w:rFonts w:ascii="Times" w:hAnsi="Times"/>
          <w:sz w:val="20"/>
          <w:szCs w:val="20"/>
        </w:rPr>
        <w:t xml:space="preserve">, </w:t>
      </w:r>
      <w:proofErr w:type="spellStart"/>
      <w:r w:rsidRPr="008D041F">
        <w:rPr>
          <w:rFonts w:ascii="Times" w:hAnsi="Times"/>
          <w:sz w:val="20"/>
          <w:szCs w:val="20"/>
        </w:rPr>
        <w:t>Bedartha</w:t>
      </w:r>
      <w:proofErr w:type="spellEnd"/>
      <w:r w:rsidRPr="008D041F">
        <w:rPr>
          <w:rFonts w:ascii="Times" w:hAnsi="Times"/>
          <w:sz w:val="20"/>
          <w:szCs w:val="20"/>
        </w:rPr>
        <w:t xml:space="preserve"> </w:t>
      </w:r>
      <w:proofErr w:type="spellStart"/>
      <w:r w:rsidRPr="008D041F">
        <w:rPr>
          <w:rFonts w:ascii="Times" w:hAnsi="Times"/>
          <w:sz w:val="20"/>
          <w:szCs w:val="20"/>
        </w:rPr>
        <w:t>Goswami</w:t>
      </w:r>
      <w:r>
        <w:rPr>
          <w:rFonts w:ascii="Times" w:hAnsi="Times"/>
          <w:sz w:val="20"/>
          <w:szCs w:val="20"/>
          <w:vertAlign w:val="superscript"/>
        </w:rPr>
        <w:t>g</w:t>
      </w:r>
      <w:r w:rsidRPr="008D041F">
        <w:rPr>
          <w:rFonts w:ascii="Times" w:hAnsi="Times"/>
          <w:sz w:val="20"/>
          <w:szCs w:val="20"/>
          <w:vertAlign w:val="superscript"/>
        </w:rPr>
        <w:t>,</w:t>
      </w:r>
      <w:r>
        <w:rPr>
          <w:rFonts w:ascii="Times" w:hAnsi="Times"/>
          <w:sz w:val="20"/>
          <w:szCs w:val="20"/>
          <w:vertAlign w:val="superscript"/>
        </w:rPr>
        <w:t>h</w:t>
      </w:r>
      <w:proofErr w:type="spellEnd"/>
      <w:r w:rsidRPr="008D041F">
        <w:rPr>
          <w:rFonts w:ascii="Times" w:hAnsi="Times"/>
          <w:sz w:val="20"/>
          <w:szCs w:val="20"/>
        </w:rPr>
        <w:t xml:space="preserve">, Norbert </w:t>
      </w:r>
      <w:proofErr w:type="spellStart"/>
      <w:r w:rsidRPr="008D041F">
        <w:rPr>
          <w:rFonts w:ascii="Times" w:hAnsi="Times"/>
          <w:sz w:val="20"/>
          <w:szCs w:val="20"/>
        </w:rPr>
        <w:t>Marwan</w:t>
      </w:r>
      <w:r>
        <w:rPr>
          <w:rFonts w:ascii="Times" w:hAnsi="Times"/>
          <w:sz w:val="20"/>
          <w:szCs w:val="20"/>
          <w:vertAlign w:val="superscript"/>
        </w:rPr>
        <w:t>g</w:t>
      </w:r>
      <w:proofErr w:type="spellEnd"/>
      <w:r w:rsidRPr="008D041F">
        <w:rPr>
          <w:rFonts w:ascii="Times" w:hAnsi="Times"/>
          <w:sz w:val="20"/>
          <w:szCs w:val="20"/>
        </w:rPr>
        <w:t xml:space="preserve">, </w:t>
      </w:r>
      <w:proofErr w:type="spellStart"/>
      <w:r w:rsidRPr="008D041F">
        <w:rPr>
          <w:rFonts w:ascii="Times" w:hAnsi="Times"/>
          <w:sz w:val="20"/>
          <w:szCs w:val="20"/>
        </w:rPr>
        <w:t>Deniz</w:t>
      </w:r>
      <w:proofErr w:type="spellEnd"/>
      <w:r w:rsidRPr="008D041F">
        <w:rPr>
          <w:rFonts w:ascii="Times" w:hAnsi="Times"/>
          <w:sz w:val="20"/>
          <w:szCs w:val="20"/>
        </w:rPr>
        <w:t xml:space="preserve"> </w:t>
      </w:r>
      <w:proofErr w:type="spellStart"/>
      <w:r w:rsidRPr="008D041F">
        <w:rPr>
          <w:rFonts w:ascii="Times" w:hAnsi="Times"/>
          <w:sz w:val="20"/>
          <w:szCs w:val="20"/>
        </w:rPr>
        <w:t>Eroglu</w:t>
      </w:r>
      <w:r>
        <w:rPr>
          <w:rFonts w:ascii="Times" w:hAnsi="Times"/>
          <w:sz w:val="20"/>
          <w:szCs w:val="20"/>
          <w:vertAlign w:val="superscript"/>
        </w:rPr>
        <w:t>g</w:t>
      </w:r>
      <w:r w:rsidRPr="008D041F">
        <w:rPr>
          <w:rFonts w:ascii="Times" w:hAnsi="Times"/>
          <w:sz w:val="20"/>
          <w:szCs w:val="20"/>
          <w:vertAlign w:val="superscript"/>
        </w:rPr>
        <w:t>,</w:t>
      </w:r>
      <w:r>
        <w:rPr>
          <w:rFonts w:ascii="Times" w:hAnsi="Times"/>
          <w:sz w:val="20"/>
          <w:szCs w:val="20"/>
          <w:vertAlign w:val="superscript"/>
        </w:rPr>
        <w:t>i</w:t>
      </w:r>
      <w:proofErr w:type="spellEnd"/>
      <w:r w:rsidRPr="008D041F">
        <w:rPr>
          <w:rFonts w:ascii="Times" w:hAnsi="Times"/>
          <w:sz w:val="20"/>
          <w:szCs w:val="20"/>
        </w:rPr>
        <w:t xml:space="preserve">, Jess </w:t>
      </w:r>
      <w:proofErr w:type="spellStart"/>
      <w:r w:rsidRPr="008D041F">
        <w:rPr>
          <w:rFonts w:ascii="Times" w:hAnsi="Times"/>
          <w:sz w:val="20"/>
          <w:szCs w:val="20"/>
        </w:rPr>
        <w:t>Adkins</w:t>
      </w:r>
      <w:r>
        <w:rPr>
          <w:rFonts w:ascii="Times" w:hAnsi="Times"/>
          <w:sz w:val="20"/>
          <w:szCs w:val="20"/>
          <w:vertAlign w:val="superscript"/>
        </w:rPr>
        <w:t>j</w:t>
      </w:r>
      <w:proofErr w:type="spellEnd"/>
      <w:r w:rsidRPr="008D041F">
        <w:rPr>
          <w:rFonts w:ascii="Times" w:hAnsi="Times"/>
          <w:sz w:val="20"/>
          <w:szCs w:val="20"/>
        </w:rPr>
        <w:t xml:space="preserve">, Gerald </w:t>
      </w:r>
      <w:proofErr w:type="spellStart"/>
      <w:r w:rsidRPr="008D041F">
        <w:rPr>
          <w:rFonts w:ascii="Times" w:hAnsi="Times"/>
          <w:sz w:val="20"/>
          <w:szCs w:val="20"/>
        </w:rPr>
        <w:t>Haug</w:t>
      </w:r>
      <w:r>
        <w:rPr>
          <w:rFonts w:ascii="Times" w:hAnsi="Times"/>
          <w:sz w:val="20"/>
          <w:szCs w:val="20"/>
          <w:vertAlign w:val="superscript"/>
        </w:rPr>
        <w:t>a,k</w:t>
      </w:r>
      <w:proofErr w:type="spellEnd"/>
    </w:p>
    <w:p w14:paraId="491317FC" w14:textId="77777777" w:rsidR="0071575A" w:rsidRPr="008D041F" w:rsidRDefault="0071575A" w:rsidP="0071575A">
      <w:pPr>
        <w:spacing w:line="360" w:lineRule="auto"/>
        <w:jc w:val="both"/>
        <w:rPr>
          <w:rFonts w:ascii="Times" w:hAnsi="Times"/>
        </w:rPr>
      </w:pPr>
    </w:p>
    <w:p w14:paraId="7C8C0160"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a</w:t>
      </w:r>
      <w:proofErr w:type="gramEnd"/>
      <w:r>
        <w:rPr>
          <w:rFonts w:ascii="Times" w:hAnsi="Times"/>
          <w:sz w:val="20"/>
          <w:szCs w:val="20"/>
          <w:vertAlign w:val="superscript"/>
        </w:rPr>
        <w:t xml:space="preserve"> </w:t>
      </w:r>
      <w:r w:rsidRPr="008D041F">
        <w:rPr>
          <w:rFonts w:ascii="Times" w:hAnsi="Times"/>
          <w:sz w:val="20"/>
          <w:szCs w:val="20"/>
        </w:rPr>
        <w:t xml:space="preserve">Department of Earth Sciences, ETH Zurich, </w:t>
      </w:r>
      <w:proofErr w:type="spellStart"/>
      <w:r w:rsidRPr="008D041F">
        <w:rPr>
          <w:rFonts w:ascii="Times" w:hAnsi="Times"/>
          <w:sz w:val="20"/>
          <w:szCs w:val="20"/>
        </w:rPr>
        <w:t>Sonneggstrasse</w:t>
      </w:r>
      <w:proofErr w:type="spellEnd"/>
      <w:r w:rsidRPr="008D041F">
        <w:rPr>
          <w:rFonts w:ascii="Times" w:hAnsi="Times"/>
          <w:sz w:val="20"/>
          <w:szCs w:val="20"/>
        </w:rPr>
        <w:t xml:space="preserve"> 5, 8092 Zürich, Switzerland</w:t>
      </w:r>
    </w:p>
    <w:p w14:paraId="221DBB95"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b</w:t>
      </w:r>
      <w:proofErr w:type="gramEnd"/>
      <w:r w:rsidRPr="008D041F">
        <w:rPr>
          <w:rFonts w:ascii="Times" w:hAnsi="Times"/>
          <w:sz w:val="20"/>
          <w:szCs w:val="20"/>
        </w:rPr>
        <w:t xml:space="preserve"> Sediment- and Isotope Geology, Institute for Geology, Mineralogy &amp; Geophysics, Ruhr-</w:t>
      </w:r>
      <w:proofErr w:type="spellStart"/>
      <w:r w:rsidRPr="008D041F">
        <w:rPr>
          <w:rFonts w:ascii="Times" w:hAnsi="Times"/>
          <w:sz w:val="20"/>
          <w:szCs w:val="20"/>
        </w:rPr>
        <w:t>Universität</w:t>
      </w:r>
      <w:proofErr w:type="spellEnd"/>
      <w:r w:rsidRPr="008D041F">
        <w:rPr>
          <w:rFonts w:ascii="Times" w:hAnsi="Times"/>
          <w:sz w:val="20"/>
          <w:szCs w:val="20"/>
        </w:rPr>
        <w:t xml:space="preserve"> Bochum, </w:t>
      </w:r>
      <w:proofErr w:type="spellStart"/>
      <w:r w:rsidRPr="008D041F">
        <w:rPr>
          <w:rFonts w:ascii="Times" w:hAnsi="Times"/>
          <w:sz w:val="20"/>
          <w:szCs w:val="20"/>
        </w:rPr>
        <w:t>Universitätsstr</w:t>
      </w:r>
      <w:proofErr w:type="spellEnd"/>
      <w:r w:rsidRPr="008D041F">
        <w:rPr>
          <w:rFonts w:ascii="Times" w:hAnsi="Times"/>
          <w:sz w:val="20"/>
          <w:szCs w:val="20"/>
        </w:rPr>
        <w:t>. 150, 44801 Bochum, Germany (formerly at (1))</w:t>
      </w:r>
    </w:p>
    <w:p w14:paraId="69B218C5"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c</w:t>
      </w:r>
      <w:proofErr w:type="gramEnd"/>
      <w:r w:rsidRPr="008D041F">
        <w:rPr>
          <w:rFonts w:ascii="Times" w:hAnsi="Times"/>
          <w:sz w:val="20"/>
          <w:szCs w:val="20"/>
        </w:rPr>
        <w:t xml:space="preserve"> Institute of Global Environmental Change, Xi’an </w:t>
      </w:r>
      <w:proofErr w:type="spellStart"/>
      <w:r w:rsidRPr="008D041F">
        <w:rPr>
          <w:rFonts w:ascii="Times" w:hAnsi="Times"/>
          <w:sz w:val="20"/>
          <w:szCs w:val="20"/>
        </w:rPr>
        <w:t>Jiaotong</w:t>
      </w:r>
      <w:proofErr w:type="spellEnd"/>
      <w:r w:rsidRPr="008D041F">
        <w:rPr>
          <w:rFonts w:ascii="Times" w:hAnsi="Times"/>
          <w:sz w:val="20"/>
          <w:szCs w:val="20"/>
        </w:rPr>
        <w:t xml:space="preserve"> University, Xi’an, China</w:t>
      </w:r>
    </w:p>
    <w:p w14:paraId="706D2F01"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d</w:t>
      </w:r>
      <w:proofErr w:type="gramEnd"/>
      <w:r w:rsidRPr="008D041F">
        <w:rPr>
          <w:rFonts w:ascii="Times" w:hAnsi="Times"/>
          <w:sz w:val="20"/>
          <w:szCs w:val="20"/>
        </w:rPr>
        <w:t xml:space="preserve"> Department of Earth Sciences, University of Minnesota, Minneapolis, USA</w:t>
      </w:r>
    </w:p>
    <w:p w14:paraId="27B139B8"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e</w:t>
      </w:r>
      <w:proofErr w:type="gramEnd"/>
      <w:r w:rsidRPr="008D041F">
        <w:rPr>
          <w:rFonts w:ascii="Times" w:hAnsi="Times"/>
          <w:sz w:val="20"/>
          <w:szCs w:val="20"/>
        </w:rPr>
        <w:t xml:space="preserve"> GFZ German Research Centre for Geosciences, 14473 Potsdam, Germany</w:t>
      </w:r>
    </w:p>
    <w:p w14:paraId="5500012A"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f</w:t>
      </w:r>
      <w:proofErr w:type="gramEnd"/>
      <w:r w:rsidRPr="008D041F">
        <w:rPr>
          <w:rFonts w:ascii="Times" w:hAnsi="Times"/>
          <w:sz w:val="20"/>
          <w:szCs w:val="20"/>
        </w:rPr>
        <w:t xml:space="preserve"> British Antarctic Survey, High Cross, </w:t>
      </w:r>
      <w:proofErr w:type="spellStart"/>
      <w:r w:rsidRPr="008D041F">
        <w:rPr>
          <w:rFonts w:ascii="Times" w:hAnsi="Times"/>
          <w:sz w:val="20"/>
          <w:szCs w:val="20"/>
        </w:rPr>
        <w:t>Madingley</w:t>
      </w:r>
      <w:proofErr w:type="spellEnd"/>
      <w:r w:rsidRPr="008D041F">
        <w:rPr>
          <w:rFonts w:ascii="Times" w:hAnsi="Times"/>
          <w:sz w:val="20"/>
          <w:szCs w:val="20"/>
        </w:rPr>
        <w:t xml:space="preserve"> Road, Cambridge CB3 0ET, UK</w:t>
      </w:r>
    </w:p>
    <w:p w14:paraId="7C39805F"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g</w:t>
      </w:r>
      <w:proofErr w:type="gramEnd"/>
      <w:r w:rsidRPr="008D041F">
        <w:rPr>
          <w:rFonts w:ascii="Times" w:hAnsi="Times"/>
          <w:sz w:val="20"/>
          <w:szCs w:val="20"/>
        </w:rPr>
        <w:t xml:space="preserve"> Potsdam Institute for Climate Impact Research (PIK), 14412 Potsdam, Germany</w:t>
      </w:r>
    </w:p>
    <w:p w14:paraId="44FEADBA"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h</w:t>
      </w:r>
      <w:proofErr w:type="gramEnd"/>
      <w:r>
        <w:rPr>
          <w:rFonts w:ascii="Times" w:hAnsi="Times"/>
          <w:sz w:val="20"/>
          <w:szCs w:val="20"/>
          <w:vertAlign w:val="superscript"/>
        </w:rPr>
        <w:t xml:space="preserve"> </w:t>
      </w:r>
      <w:r w:rsidRPr="008D041F">
        <w:rPr>
          <w:rFonts w:ascii="Times" w:hAnsi="Times"/>
          <w:sz w:val="20"/>
          <w:szCs w:val="20"/>
        </w:rPr>
        <w:t>Institute for Earth and Environmental Science, University of Potsdam, Karl-Liebknecht-Str. 24-25, 14476 Potsdam, Germany</w:t>
      </w:r>
    </w:p>
    <w:p w14:paraId="795BA417" w14:textId="77777777" w:rsidR="0071575A" w:rsidRPr="008D041F" w:rsidRDefault="0071575A" w:rsidP="0071575A">
      <w:pPr>
        <w:spacing w:line="276" w:lineRule="auto"/>
        <w:jc w:val="both"/>
        <w:rPr>
          <w:rFonts w:ascii="Times" w:hAnsi="Times"/>
          <w:sz w:val="20"/>
          <w:szCs w:val="20"/>
        </w:rPr>
      </w:pPr>
      <w:proofErr w:type="spellStart"/>
      <w:proofErr w:type="gramStart"/>
      <w:r>
        <w:rPr>
          <w:rFonts w:ascii="Times" w:hAnsi="Times"/>
          <w:sz w:val="20"/>
          <w:szCs w:val="20"/>
          <w:vertAlign w:val="superscript"/>
        </w:rPr>
        <w:t>i</w:t>
      </w:r>
      <w:proofErr w:type="spellEnd"/>
      <w:proofErr w:type="gramEnd"/>
      <w:r w:rsidRPr="008D041F">
        <w:rPr>
          <w:rFonts w:ascii="Times" w:hAnsi="Times"/>
          <w:sz w:val="20"/>
          <w:szCs w:val="20"/>
        </w:rPr>
        <w:t xml:space="preserve"> Department of Physics, Humboldt-</w:t>
      </w:r>
      <w:proofErr w:type="spellStart"/>
      <w:r w:rsidRPr="008D041F">
        <w:rPr>
          <w:rFonts w:ascii="Times" w:hAnsi="Times"/>
          <w:sz w:val="20"/>
          <w:szCs w:val="20"/>
        </w:rPr>
        <w:t>Universität</w:t>
      </w:r>
      <w:proofErr w:type="spellEnd"/>
      <w:r w:rsidRPr="008D041F">
        <w:rPr>
          <w:rFonts w:ascii="Times" w:hAnsi="Times"/>
          <w:sz w:val="20"/>
          <w:szCs w:val="20"/>
        </w:rPr>
        <w:t xml:space="preserve"> </w:t>
      </w:r>
      <w:proofErr w:type="spellStart"/>
      <w:r w:rsidRPr="008D041F">
        <w:rPr>
          <w:rFonts w:ascii="Times" w:hAnsi="Times"/>
          <w:sz w:val="20"/>
          <w:szCs w:val="20"/>
        </w:rPr>
        <w:t>zu</w:t>
      </w:r>
      <w:proofErr w:type="spellEnd"/>
      <w:r w:rsidRPr="008D041F">
        <w:rPr>
          <w:rFonts w:ascii="Times" w:hAnsi="Times"/>
          <w:sz w:val="20"/>
          <w:szCs w:val="20"/>
        </w:rPr>
        <w:t xml:space="preserve"> Berlin, </w:t>
      </w:r>
      <w:proofErr w:type="spellStart"/>
      <w:r w:rsidRPr="008D041F">
        <w:rPr>
          <w:rFonts w:ascii="Times" w:hAnsi="Times"/>
          <w:sz w:val="20"/>
          <w:szCs w:val="20"/>
        </w:rPr>
        <w:t>Newtonstr</w:t>
      </w:r>
      <w:proofErr w:type="spellEnd"/>
      <w:r w:rsidRPr="008D041F">
        <w:rPr>
          <w:rFonts w:ascii="Times" w:hAnsi="Times"/>
          <w:sz w:val="20"/>
          <w:szCs w:val="20"/>
        </w:rPr>
        <w:t>. 15, 12489 Berlin, Germany</w:t>
      </w:r>
    </w:p>
    <w:p w14:paraId="4BB2F94C"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j</w:t>
      </w:r>
      <w:proofErr w:type="gramEnd"/>
      <w:r w:rsidRPr="008D041F">
        <w:rPr>
          <w:rFonts w:ascii="Times" w:hAnsi="Times"/>
          <w:sz w:val="20"/>
          <w:szCs w:val="20"/>
        </w:rPr>
        <w:t xml:space="preserve"> California Institute of Technology, Pasadena, USA</w:t>
      </w:r>
    </w:p>
    <w:p w14:paraId="2C12A4AA" w14:textId="77777777" w:rsidR="0071575A" w:rsidRPr="008D041F" w:rsidRDefault="0071575A" w:rsidP="0071575A">
      <w:pPr>
        <w:spacing w:line="276" w:lineRule="auto"/>
        <w:jc w:val="both"/>
        <w:rPr>
          <w:rFonts w:ascii="Times" w:hAnsi="Times"/>
          <w:sz w:val="20"/>
          <w:szCs w:val="20"/>
        </w:rPr>
      </w:pPr>
      <w:proofErr w:type="gramStart"/>
      <w:r>
        <w:rPr>
          <w:rFonts w:ascii="Times" w:hAnsi="Times"/>
          <w:sz w:val="20"/>
          <w:szCs w:val="20"/>
          <w:vertAlign w:val="superscript"/>
        </w:rPr>
        <w:t>k</w:t>
      </w:r>
      <w:proofErr w:type="gramEnd"/>
      <w:r w:rsidRPr="008D041F">
        <w:rPr>
          <w:rFonts w:ascii="Times" w:hAnsi="Times"/>
          <w:sz w:val="20"/>
          <w:szCs w:val="20"/>
        </w:rPr>
        <w:t xml:space="preserve"> Department of Climate Geochemistry, Max Planck Institute for Chemistry, 55128 Mainz, Germany</w:t>
      </w:r>
    </w:p>
    <w:p w14:paraId="6243CF3E" w14:textId="77777777" w:rsidR="0071575A" w:rsidRPr="008D041F" w:rsidRDefault="0071575A" w:rsidP="0071575A">
      <w:pPr>
        <w:spacing w:line="276" w:lineRule="auto"/>
        <w:jc w:val="both"/>
        <w:rPr>
          <w:rFonts w:ascii="Times" w:hAnsi="Times"/>
          <w:sz w:val="20"/>
          <w:szCs w:val="20"/>
        </w:rPr>
      </w:pPr>
    </w:p>
    <w:p w14:paraId="5E727449" w14:textId="77777777" w:rsidR="0071575A" w:rsidRPr="008D041F" w:rsidRDefault="0071575A" w:rsidP="0071575A">
      <w:pPr>
        <w:spacing w:line="276" w:lineRule="auto"/>
        <w:jc w:val="both"/>
        <w:rPr>
          <w:rFonts w:ascii="Times" w:hAnsi="Times"/>
          <w:sz w:val="20"/>
          <w:szCs w:val="20"/>
        </w:rPr>
      </w:pPr>
      <w:r w:rsidRPr="008D041F">
        <w:rPr>
          <w:rFonts w:ascii="Times" w:hAnsi="Times"/>
          <w:sz w:val="20"/>
          <w:szCs w:val="20"/>
        </w:rPr>
        <w:t>*</w:t>
      </w:r>
      <w:proofErr w:type="gramStart"/>
      <w:r w:rsidRPr="008D041F">
        <w:rPr>
          <w:rFonts w:ascii="Times" w:hAnsi="Times"/>
          <w:sz w:val="20"/>
          <w:szCs w:val="20"/>
        </w:rPr>
        <w:t>corresponding</w:t>
      </w:r>
      <w:proofErr w:type="gramEnd"/>
      <w:r w:rsidRPr="008D041F">
        <w:rPr>
          <w:rFonts w:ascii="Times" w:hAnsi="Times"/>
          <w:sz w:val="20"/>
          <w:szCs w:val="20"/>
        </w:rPr>
        <w:t xml:space="preserve"> author (now at University of Oxford): </w:t>
      </w:r>
      <w:hyperlink r:id="rId5" w:history="1">
        <w:r w:rsidRPr="008D041F">
          <w:rPr>
            <w:rStyle w:val="Hyperlink"/>
            <w:rFonts w:ascii="Times" w:hAnsi="Times"/>
            <w:sz w:val="20"/>
            <w:szCs w:val="20"/>
          </w:rPr>
          <w:t>franziska.lechleitner@earth.ox.ac.uk</w:t>
        </w:r>
      </w:hyperlink>
    </w:p>
    <w:p w14:paraId="095BFC87" w14:textId="77777777" w:rsidR="001B181A" w:rsidRPr="009B35C8" w:rsidRDefault="001B181A">
      <w:pPr>
        <w:rPr>
          <w:rFonts w:ascii="Times" w:hAnsi="Times"/>
        </w:rPr>
      </w:pPr>
    </w:p>
    <w:p w14:paraId="28F36C22" w14:textId="77777777" w:rsidR="001B181A" w:rsidRPr="009B35C8" w:rsidRDefault="001B181A">
      <w:pPr>
        <w:rPr>
          <w:rFonts w:ascii="Times" w:hAnsi="Times"/>
        </w:rPr>
      </w:pPr>
    </w:p>
    <w:p w14:paraId="1D882AD2" w14:textId="77777777" w:rsidR="001B181A" w:rsidRPr="009B35C8" w:rsidRDefault="001B181A" w:rsidP="001B181A">
      <w:pPr>
        <w:spacing w:line="360" w:lineRule="auto"/>
        <w:jc w:val="both"/>
        <w:rPr>
          <w:rFonts w:ascii="Times" w:hAnsi="Times"/>
          <w:b/>
        </w:rPr>
      </w:pPr>
      <w:r w:rsidRPr="009B35C8">
        <w:rPr>
          <w:rFonts w:ascii="Times" w:hAnsi="Times"/>
          <w:b/>
        </w:rPr>
        <w:t>Recurrence quantification analysis</w:t>
      </w:r>
    </w:p>
    <w:p w14:paraId="0BDF854C" w14:textId="437A2D77" w:rsidR="001B181A" w:rsidRPr="009B35C8" w:rsidRDefault="001B181A" w:rsidP="001B181A">
      <w:pPr>
        <w:spacing w:line="360" w:lineRule="auto"/>
        <w:rPr>
          <w:rFonts w:ascii="Times" w:hAnsi="Times"/>
        </w:rPr>
      </w:pPr>
      <w:r w:rsidRPr="009B35C8">
        <w:rPr>
          <w:rFonts w:ascii="Times" w:hAnsi="Times"/>
        </w:rPr>
        <w:t>Changes in the dynamical climate regime (encoded in the δ</w:t>
      </w:r>
      <w:r w:rsidRPr="009B35C8">
        <w:rPr>
          <w:rFonts w:ascii="Times" w:hAnsi="Times"/>
          <w:vertAlign w:val="superscript"/>
        </w:rPr>
        <w:t>18</w:t>
      </w:r>
      <w:r w:rsidRPr="009B35C8">
        <w:rPr>
          <w:rFonts w:ascii="Times" w:hAnsi="Times"/>
        </w:rPr>
        <w:t>O</w:t>
      </w:r>
      <w:r w:rsidR="006F79A8">
        <w:rPr>
          <w:rFonts w:ascii="Times" w:hAnsi="Times"/>
          <w:vertAlign w:val="subscript"/>
        </w:rPr>
        <w:t>IVC</w:t>
      </w:r>
      <w:r w:rsidRPr="009B35C8">
        <w:rPr>
          <w:rFonts w:ascii="Times" w:hAnsi="Times"/>
        </w:rPr>
        <w:t xml:space="preserve"> signal) can be measured using recurrence properties, e.g., by recurrence determinism (DET). This measure is derived from a recurrence plot and part of the recurrence quantification analysis framework (</w:t>
      </w:r>
      <w:proofErr w:type="spellStart"/>
      <w:r w:rsidRPr="009B35C8">
        <w:rPr>
          <w:rFonts w:ascii="Times" w:hAnsi="Times"/>
        </w:rPr>
        <w:t>Eroglu</w:t>
      </w:r>
      <w:proofErr w:type="spellEnd"/>
      <w:r w:rsidRPr="009B35C8">
        <w:rPr>
          <w:rFonts w:ascii="Times" w:hAnsi="Times"/>
        </w:rPr>
        <w:t xml:space="preserve"> et al., 2016; Marwan et al., 2007; </w:t>
      </w:r>
      <w:proofErr w:type="spellStart"/>
      <w:r w:rsidRPr="009B35C8">
        <w:rPr>
          <w:rFonts w:ascii="Times" w:hAnsi="Times"/>
        </w:rPr>
        <w:t>Ozken</w:t>
      </w:r>
      <w:proofErr w:type="spellEnd"/>
      <w:r w:rsidRPr="009B35C8">
        <w:rPr>
          <w:rFonts w:ascii="Times" w:hAnsi="Times"/>
        </w:rPr>
        <w:t xml:space="preserve"> et al., 2015). A recurrence plot is a graphical, binary representation of pairs of times of similar values (actually states) of the time series. In systems with deterministic dynamics a similar temporal evolution of states can usually be found at different time points; the longer such similar evolution is, the longer are diagonal lines that can be found in the corresponding recurrence plot. The fraction of points that lie on diagonal lines in the recurrence plot (relative to all recurrence states) forms the DET measure (Marwan et al., 2007). </w:t>
      </w:r>
    </w:p>
    <w:p w14:paraId="19096145" w14:textId="40FCB96B" w:rsidR="001B181A" w:rsidRPr="009B35C8" w:rsidRDefault="001B181A" w:rsidP="001B181A">
      <w:pPr>
        <w:spacing w:line="360" w:lineRule="auto"/>
        <w:rPr>
          <w:rFonts w:ascii="Times" w:hAnsi="Times"/>
        </w:rPr>
      </w:pPr>
      <w:r w:rsidRPr="009B35C8">
        <w:rPr>
          <w:rFonts w:ascii="Times" w:hAnsi="Times"/>
        </w:rPr>
        <w:t>Recurrence quantification analysis requires equidistantly sampled time series. Therefore, the MAW-6 δ</w:t>
      </w:r>
      <w:r w:rsidRPr="009B35C8">
        <w:rPr>
          <w:rFonts w:ascii="Times" w:hAnsi="Times"/>
          <w:vertAlign w:val="superscript"/>
        </w:rPr>
        <w:t>18</w:t>
      </w:r>
      <w:r w:rsidRPr="009B35C8">
        <w:rPr>
          <w:rFonts w:ascii="Times" w:hAnsi="Times"/>
        </w:rPr>
        <w:t>O</w:t>
      </w:r>
      <w:r w:rsidR="006F79A8">
        <w:rPr>
          <w:rFonts w:ascii="Times" w:hAnsi="Times"/>
          <w:vertAlign w:val="subscript"/>
        </w:rPr>
        <w:t>IVC</w:t>
      </w:r>
      <w:r w:rsidRPr="009B35C8">
        <w:rPr>
          <w:rFonts w:ascii="Times" w:hAnsi="Times"/>
        </w:rPr>
        <w:t xml:space="preserve"> time series was first treated using the Transformation Cost Time Series (TACTS) method, a pre-processing technique that allows </w:t>
      </w:r>
      <w:proofErr w:type="spellStart"/>
      <w:r w:rsidRPr="009B35C8">
        <w:rPr>
          <w:rFonts w:ascii="Times" w:hAnsi="Times"/>
        </w:rPr>
        <w:t>detrending</w:t>
      </w:r>
      <w:proofErr w:type="spellEnd"/>
      <w:r w:rsidRPr="009B35C8">
        <w:rPr>
          <w:rFonts w:ascii="Times" w:hAnsi="Times"/>
        </w:rPr>
        <w:t xml:space="preserve"> regularization of irregularly sampled time series (</w:t>
      </w:r>
      <w:proofErr w:type="spellStart"/>
      <w:r w:rsidRPr="009B35C8">
        <w:rPr>
          <w:rFonts w:ascii="Times" w:hAnsi="Times"/>
        </w:rPr>
        <w:t>Ozken</w:t>
      </w:r>
      <w:proofErr w:type="spellEnd"/>
      <w:r w:rsidRPr="009B35C8">
        <w:rPr>
          <w:rFonts w:ascii="Times" w:hAnsi="Times"/>
        </w:rPr>
        <w:t xml:space="preserve"> et al., 2015). The basic idea </w:t>
      </w:r>
      <w:r w:rsidRPr="009B35C8">
        <w:rPr>
          <w:rFonts w:ascii="Times" w:hAnsi="Times"/>
        </w:rPr>
        <w:lastRenderedPageBreak/>
        <w:t xml:space="preserve">of TACTS is to measure the similarity of subsequent small segments of a time series. These difference values represent a high-pass filtered signal on </w:t>
      </w:r>
      <w:proofErr w:type="gramStart"/>
      <w:r w:rsidRPr="009B35C8">
        <w:rPr>
          <w:rFonts w:ascii="Times" w:hAnsi="Times"/>
        </w:rPr>
        <w:t>a</w:t>
      </w:r>
      <w:proofErr w:type="gramEnd"/>
      <w:r w:rsidRPr="009B35C8">
        <w:rPr>
          <w:rFonts w:ascii="Times" w:hAnsi="Times"/>
        </w:rPr>
        <w:t xml:space="preserve"> equidistant time axis. For the δ</w:t>
      </w:r>
      <w:r w:rsidRPr="009B35C8">
        <w:rPr>
          <w:rFonts w:ascii="Times" w:hAnsi="Times"/>
          <w:vertAlign w:val="superscript"/>
        </w:rPr>
        <w:t>18</w:t>
      </w:r>
      <w:r w:rsidRPr="009B35C8">
        <w:rPr>
          <w:rFonts w:ascii="Times" w:hAnsi="Times"/>
        </w:rPr>
        <w:t>O</w:t>
      </w:r>
      <w:r w:rsidR="006F79A8">
        <w:rPr>
          <w:rFonts w:ascii="Times" w:hAnsi="Times"/>
          <w:vertAlign w:val="subscript"/>
        </w:rPr>
        <w:t>IVC</w:t>
      </w:r>
      <w:r w:rsidRPr="009B35C8">
        <w:rPr>
          <w:rFonts w:ascii="Times" w:hAnsi="Times"/>
        </w:rPr>
        <w:t xml:space="preserve"> record we consider segment sizes of ~28 years containing, on average, 3 to 4 points; the final results (as shown in Fig. 8) are relatively robust to the choice of segment size. For performing the TACTS approach, the necessary parameters are determined from the proxy record itself and are related to the average amplitude and sampling time (</w:t>
      </w:r>
      <w:proofErr w:type="spellStart"/>
      <w:r w:rsidRPr="009B35C8">
        <w:rPr>
          <w:rFonts w:ascii="Times" w:hAnsi="Times"/>
        </w:rPr>
        <w:t>Ozken</w:t>
      </w:r>
      <w:proofErr w:type="spellEnd"/>
      <w:r w:rsidRPr="009B35C8">
        <w:rPr>
          <w:rFonts w:ascii="Times" w:hAnsi="Times"/>
        </w:rPr>
        <w:t xml:space="preserve"> et al., 2015). </w:t>
      </w:r>
    </w:p>
    <w:p w14:paraId="17E5516F" w14:textId="77777777" w:rsidR="001B181A" w:rsidRPr="009B35C8" w:rsidRDefault="001B181A" w:rsidP="001B181A">
      <w:pPr>
        <w:spacing w:line="360" w:lineRule="auto"/>
        <w:rPr>
          <w:rFonts w:ascii="Times" w:hAnsi="Times"/>
        </w:rPr>
      </w:pPr>
      <w:r w:rsidRPr="009B35C8">
        <w:rPr>
          <w:rFonts w:ascii="Times" w:hAnsi="Times"/>
        </w:rPr>
        <w:t xml:space="preserve">In this analysis, the recurrence plot is derived using the Euclidean distance norm and the threshold distance is chosen adaptively to ensure a sensible density recurrence rate, fixed at 7%. We use a time delay embedding with dimension </w:t>
      </w:r>
      <w:r w:rsidRPr="009B35C8">
        <w:rPr>
          <w:rFonts w:ascii="Times" w:hAnsi="Times"/>
          <w:i/>
        </w:rPr>
        <w:t>m</w:t>
      </w:r>
      <w:r w:rsidRPr="009B35C8">
        <w:rPr>
          <w:rFonts w:ascii="Times" w:hAnsi="Times"/>
        </w:rPr>
        <w:t xml:space="preserve">=3 and delay </w:t>
      </w:r>
      <w:r w:rsidRPr="009B35C8">
        <w:rPr>
          <w:rFonts w:ascii="Times" w:hAnsi="Times"/>
          <w:i/>
        </w:rPr>
        <w:t>τ</w:t>
      </w:r>
      <w:r w:rsidRPr="009B35C8">
        <w:rPr>
          <w:rFonts w:ascii="Times" w:hAnsi="Times"/>
        </w:rPr>
        <w:t>=1 – these parameters have been computed by a standard procedure using false nearest neighbors and mutual information (</w:t>
      </w:r>
      <w:proofErr w:type="spellStart"/>
      <w:r w:rsidRPr="009B35C8">
        <w:rPr>
          <w:rFonts w:ascii="Times" w:hAnsi="Times"/>
        </w:rPr>
        <w:t>Kantz</w:t>
      </w:r>
      <w:proofErr w:type="spellEnd"/>
      <w:r w:rsidRPr="009B35C8">
        <w:rPr>
          <w:rFonts w:ascii="Times" w:hAnsi="Times"/>
        </w:rPr>
        <w:t xml:space="preserve"> and Schreiber, 2004; Packard et al., 1980) – for reconstructing the phase space. In the determinism calculation, we consider all diagonal lines of at least length 2 as lines (</w:t>
      </w:r>
      <w:proofErr w:type="spellStart"/>
      <w:r w:rsidRPr="009B35C8">
        <w:rPr>
          <w:rFonts w:ascii="Times" w:hAnsi="Times"/>
          <w:i/>
        </w:rPr>
        <w:t>l</w:t>
      </w:r>
      <w:r w:rsidRPr="009B35C8">
        <w:rPr>
          <w:rFonts w:ascii="Times" w:hAnsi="Times"/>
          <w:vertAlign w:val="subscript"/>
        </w:rPr>
        <w:t>min</w:t>
      </w:r>
      <w:proofErr w:type="spellEnd"/>
      <w:r w:rsidRPr="009B35C8">
        <w:rPr>
          <w:rFonts w:ascii="Times" w:hAnsi="Times"/>
        </w:rPr>
        <w:t xml:space="preserve"> = 2; Marwan et al., 2007).</w:t>
      </w:r>
    </w:p>
    <w:p w14:paraId="5371E019" w14:textId="77777777" w:rsidR="001B181A" w:rsidRPr="009B35C8" w:rsidRDefault="001B181A" w:rsidP="001B181A">
      <w:pPr>
        <w:spacing w:line="360" w:lineRule="auto"/>
        <w:rPr>
          <w:rFonts w:ascii="Times" w:hAnsi="Times"/>
        </w:rPr>
      </w:pPr>
      <w:r w:rsidRPr="009B35C8">
        <w:rPr>
          <w:rFonts w:ascii="Times" w:hAnsi="Times"/>
        </w:rPr>
        <w:t xml:space="preserve">A statistical test has been performed to evaluate the significance of the variations in the DET measure. For this test, 5000 realizations from </w:t>
      </w:r>
      <w:r w:rsidRPr="009B35C8">
        <w:rPr>
          <w:rFonts w:ascii="Times" w:hAnsi="Times"/>
          <w:i/>
        </w:rPr>
        <w:t>N</w:t>
      </w:r>
      <w:r w:rsidRPr="009B35C8">
        <w:rPr>
          <w:rFonts w:ascii="Times" w:hAnsi="Times"/>
        </w:rPr>
        <w:t xml:space="preserve"> randomly selected diagonal lines from the recurrence plot of the complete time series (bootstrap approach) provide the cumulative probability distribution of DET measures corresponding to the null-hypothesis that there is no change in the dynamics of the underlying climate process. From this test distribution the 95th </w:t>
      </w:r>
      <w:proofErr w:type="spellStart"/>
      <w:r w:rsidRPr="009B35C8">
        <w:rPr>
          <w:rFonts w:ascii="Times" w:hAnsi="Times"/>
        </w:rPr>
        <w:t>quantile</w:t>
      </w:r>
      <w:proofErr w:type="spellEnd"/>
      <w:r w:rsidRPr="009B35C8">
        <w:rPr>
          <w:rFonts w:ascii="Times" w:hAnsi="Times"/>
        </w:rPr>
        <w:t xml:space="preserve"> is used as the upper 95% confidence limit.</w:t>
      </w:r>
    </w:p>
    <w:p w14:paraId="52AEF194" w14:textId="77777777" w:rsidR="001B181A" w:rsidRDefault="001B181A" w:rsidP="001B181A">
      <w:pPr>
        <w:spacing w:line="360" w:lineRule="auto"/>
        <w:jc w:val="both"/>
        <w:rPr>
          <w:rFonts w:ascii="Times" w:hAnsi="Times"/>
          <w:b/>
        </w:rPr>
      </w:pPr>
    </w:p>
    <w:p w14:paraId="1C769415" w14:textId="77777777" w:rsidR="009B35C8" w:rsidRPr="009B35C8" w:rsidRDefault="009B35C8" w:rsidP="001B181A">
      <w:pPr>
        <w:spacing w:line="360" w:lineRule="auto"/>
        <w:jc w:val="both"/>
        <w:rPr>
          <w:rFonts w:ascii="Times" w:hAnsi="Times"/>
          <w:b/>
        </w:rPr>
      </w:pPr>
      <w:r>
        <w:rPr>
          <w:rFonts w:ascii="Times" w:hAnsi="Times"/>
          <w:b/>
          <w:noProof/>
        </w:rPr>
        <w:drawing>
          <wp:inline distT="0" distB="0" distL="0" distR="0" wp14:anchorId="0EF5F05F" wp14:editId="0C132589">
            <wp:extent cx="3936275" cy="72000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_fig_1.pdf"/>
                    <pic:cNvPicPr/>
                  </pic:nvPicPr>
                  <pic:blipFill>
                    <a:blip r:embed="rId6">
                      <a:extLst>
                        <a:ext uri="{28A0092B-C50C-407E-A947-70E740481C1C}">
                          <a14:useLocalDpi xmlns:a14="http://schemas.microsoft.com/office/drawing/2010/main" val="0"/>
                        </a:ext>
                      </a:extLst>
                    </a:blip>
                    <a:stretch>
                      <a:fillRect/>
                    </a:stretch>
                  </pic:blipFill>
                  <pic:spPr>
                    <a:xfrm>
                      <a:off x="0" y="0"/>
                      <a:ext cx="3936275" cy="7200000"/>
                    </a:xfrm>
                    <a:prstGeom prst="rect">
                      <a:avLst/>
                    </a:prstGeom>
                  </pic:spPr>
                </pic:pic>
              </a:graphicData>
            </a:graphic>
          </wp:inline>
        </w:drawing>
      </w:r>
    </w:p>
    <w:p w14:paraId="0C1BB0E4" w14:textId="77777777" w:rsidR="001B181A" w:rsidRPr="009B35C8" w:rsidRDefault="001B181A" w:rsidP="001B181A">
      <w:pPr>
        <w:spacing w:line="360" w:lineRule="auto"/>
        <w:jc w:val="both"/>
        <w:rPr>
          <w:rFonts w:ascii="Times" w:hAnsi="Times"/>
        </w:rPr>
      </w:pPr>
      <w:r w:rsidRPr="009B35C8">
        <w:rPr>
          <w:rFonts w:ascii="Times" w:hAnsi="Times"/>
          <w:b/>
        </w:rPr>
        <w:t xml:space="preserve">Supplementary Figure 1: </w:t>
      </w:r>
      <w:r w:rsidRPr="009B35C8">
        <w:rPr>
          <w:rFonts w:ascii="Times" w:hAnsi="Times"/>
        </w:rPr>
        <w:t>Summary of Hendy tests performed on stalagmite MAW-6. Hendy tests underlain by grey squares indicate strong correlation between δ</w:t>
      </w:r>
      <w:r w:rsidRPr="009B35C8">
        <w:rPr>
          <w:rFonts w:ascii="Times" w:hAnsi="Times"/>
          <w:vertAlign w:val="superscript"/>
        </w:rPr>
        <w:t>18</w:t>
      </w:r>
      <w:r w:rsidRPr="009B35C8">
        <w:rPr>
          <w:rFonts w:ascii="Times" w:hAnsi="Times"/>
        </w:rPr>
        <w:t>O and δ</w:t>
      </w:r>
      <w:r w:rsidRPr="009B35C8">
        <w:rPr>
          <w:rFonts w:ascii="Times" w:hAnsi="Times"/>
          <w:vertAlign w:val="superscript"/>
        </w:rPr>
        <w:t>13</w:t>
      </w:r>
      <w:r w:rsidRPr="009B35C8">
        <w:rPr>
          <w:rFonts w:ascii="Times" w:hAnsi="Times"/>
        </w:rPr>
        <w:t xml:space="preserve">C, and might be affected by isotopic disequilibrium. All Hendy tests suggesting disequilibrium conditions during stalagmite growth are related to periods of drier conditions and increased kinetic fractionation in </w:t>
      </w:r>
      <w:proofErr w:type="spellStart"/>
      <w:r w:rsidRPr="009B35C8">
        <w:rPr>
          <w:rFonts w:ascii="Times" w:hAnsi="Times"/>
        </w:rPr>
        <w:t>Mawmluh</w:t>
      </w:r>
      <w:proofErr w:type="spellEnd"/>
      <w:r w:rsidRPr="009B35C8">
        <w:rPr>
          <w:rFonts w:ascii="Times" w:hAnsi="Times"/>
        </w:rPr>
        <w:t xml:space="preserve"> Cave during the deglaciation (late glacial, YD). </w:t>
      </w:r>
      <w:proofErr w:type="gramStart"/>
      <w:r w:rsidRPr="009B35C8">
        <w:rPr>
          <w:rFonts w:ascii="Times" w:hAnsi="Times"/>
        </w:rPr>
        <w:t>A scan of the stalagmite after sampling is also shown, with indication of the depths where Hendy tests were taken.</w:t>
      </w:r>
      <w:proofErr w:type="gramEnd"/>
    </w:p>
    <w:p w14:paraId="1D5DC457" w14:textId="77777777" w:rsidR="001B181A" w:rsidRPr="009B35C8" w:rsidRDefault="001B181A" w:rsidP="001B181A">
      <w:pPr>
        <w:spacing w:line="360" w:lineRule="auto"/>
        <w:jc w:val="both"/>
        <w:rPr>
          <w:rFonts w:ascii="Times" w:hAnsi="Times"/>
        </w:rPr>
      </w:pPr>
    </w:p>
    <w:p w14:paraId="31420936" w14:textId="5A402BA1" w:rsidR="001B181A" w:rsidRPr="009B35C8" w:rsidRDefault="00DD0BD0" w:rsidP="001B181A">
      <w:pPr>
        <w:spacing w:line="360" w:lineRule="auto"/>
        <w:jc w:val="both"/>
        <w:rPr>
          <w:rFonts w:ascii="Times" w:hAnsi="Times"/>
        </w:rPr>
      </w:pPr>
      <w:r>
        <w:rPr>
          <w:rFonts w:ascii="Times" w:hAnsi="Times"/>
          <w:noProof/>
        </w:rPr>
        <w:drawing>
          <wp:inline distT="0" distB="0" distL="0" distR="0" wp14:anchorId="6AD6AAA2" wp14:editId="32BB80A5">
            <wp:extent cx="4568952" cy="3258312"/>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_fig_2_rev.jpg"/>
                    <pic:cNvPicPr/>
                  </pic:nvPicPr>
                  <pic:blipFill>
                    <a:blip r:embed="rId7">
                      <a:extLst>
                        <a:ext uri="{28A0092B-C50C-407E-A947-70E740481C1C}">
                          <a14:useLocalDpi xmlns:a14="http://schemas.microsoft.com/office/drawing/2010/main" val="0"/>
                        </a:ext>
                      </a:extLst>
                    </a:blip>
                    <a:stretch>
                      <a:fillRect/>
                    </a:stretch>
                  </pic:blipFill>
                  <pic:spPr>
                    <a:xfrm>
                      <a:off x="0" y="0"/>
                      <a:ext cx="4568952" cy="3258312"/>
                    </a:xfrm>
                    <a:prstGeom prst="rect">
                      <a:avLst/>
                    </a:prstGeom>
                  </pic:spPr>
                </pic:pic>
              </a:graphicData>
            </a:graphic>
          </wp:inline>
        </w:drawing>
      </w:r>
      <w:bookmarkStart w:id="0" w:name="_GoBack"/>
      <w:bookmarkEnd w:id="0"/>
    </w:p>
    <w:p w14:paraId="4D681AA8" w14:textId="70899727" w:rsidR="001B181A" w:rsidRPr="009B35C8" w:rsidRDefault="001B181A" w:rsidP="001B181A">
      <w:pPr>
        <w:spacing w:line="360" w:lineRule="auto"/>
        <w:jc w:val="both"/>
        <w:rPr>
          <w:rFonts w:ascii="Times" w:hAnsi="Times"/>
        </w:rPr>
      </w:pPr>
      <w:r w:rsidRPr="009B35C8">
        <w:rPr>
          <w:rFonts w:ascii="Times" w:hAnsi="Times"/>
          <w:b/>
        </w:rPr>
        <w:t xml:space="preserve">Supplementary Figure 2: </w:t>
      </w:r>
      <w:r w:rsidRPr="009B35C8">
        <w:rPr>
          <w:rFonts w:ascii="Times" w:hAnsi="Times"/>
        </w:rPr>
        <w:t>Correction of the δ</w:t>
      </w:r>
      <w:r w:rsidRPr="009B35C8">
        <w:rPr>
          <w:rFonts w:ascii="Times" w:hAnsi="Times"/>
          <w:vertAlign w:val="superscript"/>
        </w:rPr>
        <w:t>18</w:t>
      </w:r>
      <w:r w:rsidRPr="009B35C8">
        <w:rPr>
          <w:rFonts w:ascii="Times" w:hAnsi="Times"/>
        </w:rPr>
        <w:t xml:space="preserve">O record for the effects of changes in SST and sea level during the deglaciation. The SST reconstruction from </w:t>
      </w:r>
      <w:r w:rsidRPr="009B35C8">
        <w:rPr>
          <w:rFonts w:ascii="Times" w:hAnsi="Times"/>
        </w:rPr>
        <w:fldChar w:fldCharType="begin" w:fldLock="1"/>
      </w:r>
      <w:r w:rsidRPr="009B35C8">
        <w:rPr>
          <w:rFonts w:ascii="Times" w:hAnsi="Times"/>
        </w:rPr>
        <w:instrText>ADDIN CSL_CITATION { "citationItems" : [ { "id" : "ITEM-1", "itemData" : { "DOI" : "10.3319/TAO.2010.09.17.02(TibXS)1.", "ISBN" : "10170839 (ISSN)", "ISSN" : "10170839", "author" : [ { "dropping-particle" : "", "family" : "Rashid", "given" : "H", "non-dropping-particle" : "", "parse-names" : false, "suffix" : "" }, { "dropping-particle" : "", "family" : "England", "given" : "E", "non-dropping-particle" : "", "parse-names" : false, "suffix" : "" }, { "dropping-particle" : "", "family" : "Thompson", "given" : "L", "non-dropping-particle" : "", "parse-names" : false, "suffix" : "" }, { "dropping-particle" : "", "family" : "Polyak", "given" : "L", "non-dropping-particle" : "", "parse-names" : false, "suffix" : "" } ], "id" : "ITEM-1", "issue" : "2", "issued" : { "date-parts" : [ [ "2011" ] ] }, "page" : "215-228", "title" : "Late glacial to Holocene Indian summer monsoon variability based upon sediment", "type" : "article-journal", "volume" : "22" }, "uris" : [ "http://www.mendeley.com/documents/?uuid=137e0528-5b40-4517-9721-2fa545965b99" ] } ], "mendeley" : { "formattedCitation" : "(Rashid et al., 2011)", "manualFormatting" : "Rashid et al., (2011)", "plainTextFormattedCitation" : "(Rashid et al., 2011)", "previouslyFormattedCitation" : "(Rashid et al., 2011)" }, "properties" : { "noteIndex" : 0 }, "schema" : "https://github.com/citation-style-language/schema/raw/master/csl-citation.json" }</w:instrText>
      </w:r>
      <w:r w:rsidRPr="009B35C8">
        <w:rPr>
          <w:rFonts w:ascii="Times" w:hAnsi="Times"/>
        </w:rPr>
        <w:fldChar w:fldCharType="separate"/>
      </w:r>
      <w:r w:rsidRPr="009B35C8">
        <w:rPr>
          <w:rFonts w:ascii="Times" w:hAnsi="Times"/>
          <w:noProof/>
        </w:rPr>
        <w:t>Rashid et al., (2011)</w:t>
      </w:r>
      <w:r w:rsidRPr="009B35C8">
        <w:rPr>
          <w:rFonts w:ascii="Times" w:hAnsi="Times"/>
        </w:rPr>
        <w:fldChar w:fldCharType="end"/>
      </w:r>
      <w:r w:rsidRPr="009B35C8">
        <w:rPr>
          <w:rFonts w:ascii="Times" w:hAnsi="Times"/>
        </w:rPr>
        <w:t xml:space="preserve"> was used to assess changes in the source region. The original MAW-6 record is shown in light grey, the corrected MAW-6 record in blue.</w:t>
      </w:r>
      <w:r w:rsidRPr="009B35C8">
        <w:rPr>
          <w:rFonts w:ascii="Times" w:hAnsi="Times" w:cs="Times New Roman"/>
        </w:rPr>
        <w:t xml:space="preserve"> Cross-correlation between </w:t>
      </w:r>
      <w:r w:rsidRPr="009B35C8">
        <w:rPr>
          <w:rFonts w:ascii="Times" w:hAnsi="Times"/>
        </w:rPr>
        <w:t>δ</w:t>
      </w:r>
      <w:r w:rsidRPr="009B35C8">
        <w:rPr>
          <w:rFonts w:ascii="Times" w:hAnsi="Times"/>
          <w:vertAlign w:val="superscript"/>
        </w:rPr>
        <w:t>18</w:t>
      </w:r>
      <w:r w:rsidRPr="009B35C8">
        <w:rPr>
          <w:rFonts w:ascii="Times" w:hAnsi="Times"/>
        </w:rPr>
        <w:t>O and δ</w:t>
      </w:r>
      <w:r w:rsidRPr="009B35C8">
        <w:rPr>
          <w:rFonts w:ascii="Times" w:hAnsi="Times"/>
          <w:vertAlign w:val="superscript"/>
        </w:rPr>
        <w:t>18</w:t>
      </w:r>
      <w:r w:rsidRPr="009B35C8">
        <w:rPr>
          <w:rFonts w:ascii="Times" w:hAnsi="Times"/>
        </w:rPr>
        <w:t>O</w:t>
      </w:r>
      <w:r w:rsidR="006F79A8">
        <w:rPr>
          <w:rFonts w:ascii="Times" w:hAnsi="Times"/>
          <w:vertAlign w:val="subscript"/>
        </w:rPr>
        <w:t>IVC</w:t>
      </w:r>
      <w:r w:rsidRPr="009B35C8">
        <w:rPr>
          <w:rFonts w:ascii="Times" w:hAnsi="Times"/>
        </w:rPr>
        <w:t xml:space="preserve"> was estimated using kernel-based cross correlation analysis </w:t>
      </w:r>
      <w:r w:rsidRPr="009B35C8">
        <w:rPr>
          <w:rFonts w:ascii="Times" w:hAnsi="Times"/>
        </w:rPr>
        <w:fldChar w:fldCharType="begin" w:fldLock="1"/>
      </w:r>
      <w:r w:rsidRPr="009B35C8">
        <w:rPr>
          <w:rFonts w:ascii="Times" w:hAnsi="Times"/>
        </w:rPr>
        <w:instrText>ADDIN CSL_CITATION { "citationItems" : [ { "id" : "ITEM-1", "itemData" : { "DOI" : "10.5194/cp-10-107-2014", "author" : [ { "dropping-particle" : "", "family" : "Rehfeld", "given" : "K", "non-dropping-particle" : "", "parse-names" : false, "suffix" : "" }, { "dropping-particle" : "", "family" : "Kurths", "given" : "J", "non-dropping-particle" : "", "parse-names" : false, "suffix" : "" } ], "container-title" : "Climate of the Past", "id" : "ITEM-1", "issued" : { "date-parts" : [ [ "2014" ] ] }, "page" : "107-122", "title" : "Similarity estimators for irregular and age-uncertain time series", "type" : "article-journal", "volume" : "10" }, "uris" : [ "http://www.mendeley.com/documents/?uuid=a944efd3-34a0-4cb2-9c96-ec6e2aec4f58" ] } ], "mendeley" : { "formattedCitation" : "(Rehfeld and Kurths, 2014)", "plainTextFormattedCitation" : "(Rehfeld and Kurths, 2014)", "previouslyFormattedCitation" : "(Rehfeld and Kurths, 2014)" }, "properties" : { "noteIndex" : 0 }, "schema" : "https://github.com/citation-style-language/schema/raw/master/csl-citation.json" }</w:instrText>
      </w:r>
      <w:r w:rsidRPr="009B35C8">
        <w:rPr>
          <w:rFonts w:ascii="Times" w:hAnsi="Times"/>
        </w:rPr>
        <w:fldChar w:fldCharType="separate"/>
      </w:r>
      <w:r w:rsidRPr="009B35C8">
        <w:rPr>
          <w:rFonts w:ascii="Times" w:hAnsi="Times"/>
          <w:noProof/>
        </w:rPr>
        <w:t>(Rehfeld and Kurths, 2014)</w:t>
      </w:r>
      <w:r w:rsidRPr="009B35C8">
        <w:rPr>
          <w:rFonts w:ascii="Times" w:hAnsi="Times"/>
        </w:rPr>
        <w:fldChar w:fldCharType="end"/>
      </w:r>
      <w:r w:rsidRPr="009B35C8">
        <w:rPr>
          <w:rFonts w:ascii="Times" w:hAnsi="Times"/>
        </w:rPr>
        <w:t xml:space="preserve"> with the toolbox </w:t>
      </w:r>
      <w:proofErr w:type="spellStart"/>
      <w:r w:rsidRPr="009B35C8">
        <w:rPr>
          <w:rFonts w:ascii="Times" w:hAnsi="Times"/>
        </w:rPr>
        <w:t>NESTool</w:t>
      </w:r>
      <w:proofErr w:type="spellEnd"/>
      <w:r w:rsidRPr="009B35C8">
        <w:rPr>
          <w:rFonts w:ascii="Times" w:hAnsi="Times"/>
        </w:rPr>
        <w:t>. The correlation between δ</w:t>
      </w:r>
      <w:r w:rsidRPr="009B35C8">
        <w:rPr>
          <w:rFonts w:ascii="Times" w:hAnsi="Times"/>
          <w:vertAlign w:val="superscript"/>
        </w:rPr>
        <w:t>18</w:t>
      </w:r>
      <w:r w:rsidRPr="009B35C8">
        <w:rPr>
          <w:rFonts w:ascii="Times" w:hAnsi="Times"/>
        </w:rPr>
        <w:t>O and δ</w:t>
      </w:r>
      <w:r w:rsidRPr="009B35C8">
        <w:rPr>
          <w:rFonts w:ascii="Times" w:hAnsi="Times"/>
          <w:vertAlign w:val="superscript"/>
        </w:rPr>
        <w:t>18</w:t>
      </w:r>
      <w:r w:rsidRPr="009B35C8">
        <w:rPr>
          <w:rFonts w:ascii="Times" w:hAnsi="Times"/>
        </w:rPr>
        <w:t>O</w:t>
      </w:r>
      <w:r w:rsidR="006F79A8">
        <w:rPr>
          <w:rFonts w:ascii="Times" w:hAnsi="Times"/>
          <w:vertAlign w:val="subscript"/>
        </w:rPr>
        <w:t>IVC</w:t>
      </w:r>
      <w:r w:rsidR="006F79A8">
        <w:rPr>
          <w:rFonts w:ascii="Times" w:hAnsi="Times"/>
        </w:rPr>
        <w:t xml:space="preserve"> </w:t>
      </w:r>
      <w:r w:rsidRPr="009B35C8">
        <w:rPr>
          <w:rFonts w:ascii="Times" w:hAnsi="Times"/>
        </w:rPr>
        <w:t xml:space="preserve">is not 1; this is partly due to the changing influence of SST and sea level over the deglaciation, but also related to the linear interpolation </w:t>
      </w:r>
      <w:proofErr w:type="gramStart"/>
      <w:r w:rsidRPr="009B35C8">
        <w:rPr>
          <w:rFonts w:ascii="Times" w:hAnsi="Times"/>
        </w:rPr>
        <w:t>approach which</w:t>
      </w:r>
      <w:proofErr w:type="gramEnd"/>
      <w:r w:rsidRPr="009B35C8">
        <w:rPr>
          <w:rFonts w:ascii="Times" w:hAnsi="Times"/>
        </w:rPr>
        <w:t xml:space="preserve"> had to be adopted as a consequence of limited data available in the sea level record. </w:t>
      </w:r>
    </w:p>
    <w:p w14:paraId="2DD38828" w14:textId="77777777" w:rsidR="001B181A" w:rsidRPr="009B35C8" w:rsidRDefault="001B181A" w:rsidP="001B181A">
      <w:pPr>
        <w:spacing w:line="360" w:lineRule="auto"/>
        <w:jc w:val="both"/>
        <w:rPr>
          <w:rFonts w:ascii="Times" w:hAnsi="Times"/>
        </w:rPr>
      </w:pPr>
    </w:p>
    <w:p w14:paraId="271B3A4E" w14:textId="77777777" w:rsidR="001B181A" w:rsidRPr="009B35C8" w:rsidRDefault="009B35C8" w:rsidP="001B181A">
      <w:pPr>
        <w:spacing w:line="360" w:lineRule="auto"/>
        <w:jc w:val="both"/>
        <w:rPr>
          <w:rFonts w:ascii="Times" w:hAnsi="Times"/>
          <w:b/>
        </w:rPr>
      </w:pPr>
      <w:r>
        <w:rPr>
          <w:rFonts w:ascii="Times" w:hAnsi="Times"/>
          <w:b/>
          <w:noProof/>
        </w:rPr>
        <w:drawing>
          <wp:inline distT="0" distB="0" distL="0" distR="0" wp14:anchorId="3120B28C" wp14:editId="4E6E788E">
            <wp:extent cx="5270500" cy="3952875"/>
            <wp:effectExtent l="0" t="0" r="1270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_fig_3.jpg"/>
                    <pic:cNvPicPr/>
                  </pic:nvPicPr>
                  <pic:blipFill>
                    <a:blip r:embed="rId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A9878A8" w14:textId="77777777" w:rsidR="001B181A" w:rsidRPr="009B35C8" w:rsidRDefault="001B181A" w:rsidP="001B181A">
      <w:pPr>
        <w:spacing w:line="360" w:lineRule="auto"/>
        <w:jc w:val="both"/>
        <w:rPr>
          <w:rFonts w:ascii="Times" w:hAnsi="Times"/>
        </w:rPr>
      </w:pPr>
      <w:r w:rsidRPr="009B35C8">
        <w:rPr>
          <w:rFonts w:ascii="Times" w:hAnsi="Times"/>
          <w:b/>
        </w:rPr>
        <w:t>Supplementary Figure 3:</w:t>
      </w:r>
      <w:r w:rsidRPr="009B35C8">
        <w:rPr>
          <w:rFonts w:ascii="Times" w:hAnsi="Times"/>
        </w:rPr>
        <w:t xml:space="preserve"> Picture of a stalagmite found partially buried in sand in </w:t>
      </w:r>
      <w:proofErr w:type="spellStart"/>
      <w:r w:rsidRPr="009B35C8">
        <w:rPr>
          <w:rFonts w:ascii="Times" w:hAnsi="Times"/>
        </w:rPr>
        <w:t>Mawmluh</w:t>
      </w:r>
      <w:proofErr w:type="spellEnd"/>
      <w:r w:rsidRPr="009B35C8">
        <w:rPr>
          <w:rFonts w:ascii="Times" w:hAnsi="Times"/>
        </w:rPr>
        <w:t xml:space="preserve"> Cave. It is likely that burial of stalagmite MAW-6 resulted in growth cessation and the observed hiatuses. </w:t>
      </w:r>
    </w:p>
    <w:p w14:paraId="2659B952" w14:textId="77777777" w:rsidR="001B181A" w:rsidRPr="009B35C8" w:rsidRDefault="001B181A" w:rsidP="001B181A">
      <w:pPr>
        <w:spacing w:line="360" w:lineRule="auto"/>
        <w:jc w:val="both"/>
        <w:rPr>
          <w:rFonts w:ascii="Times" w:hAnsi="Times"/>
        </w:rPr>
      </w:pPr>
    </w:p>
    <w:p w14:paraId="5B275508" w14:textId="77777777" w:rsidR="001B181A" w:rsidRPr="009B35C8" w:rsidRDefault="001B181A">
      <w:pPr>
        <w:rPr>
          <w:rFonts w:ascii="Times" w:hAnsi="Times"/>
        </w:rPr>
      </w:pPr>
    </w:p>
    <w:sectPr w:rsidR="001B181A" w:rsidRPr="009B35C8" w:rsidSect="00CD7691">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81A"/>
    <w:rsid w:val="001B181A"/>
    <w:rsid w:val="00267B1E"/>
    <w:rsid w:val="006F79A8"/>
    <w:rsid w:val="0071575A"/>
    <w:rsid w:val="00804CEF"/>
    <w:rsid w:val="009B35C8"/>
    <w:rsid w:val="00CD7691"/>
    <w:rsid w:val="00DD0B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21F436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181A"/>
    <w:rPr>
      <w:color w:val="0000FF" w:themeColor="hyperlink"/>
      <w:u w:val="single"/>
    </w:rPr>
  </w:style>
  <w:style w:type="paragraph" w:styleId="BalloonText">
    <w:name w:val="Balloon Text"/>
    <w:basedOn w:val="Normal"/>
    <w:link w:val="BalloonTextChar"/>
    <w:uiPriority w:val="99"/>
    <w:semiHidden/>
    <w:unhideWhenUsed/>
    <w:rsid w:val="009B35C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35C8"/>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181A"/>
    <w:rPr>
      <w:color w:val="0000FF" w:themeColor="hyperlink"/>
      <w:u w:val="single"/>
    </w:rPr>
  </w:style>
  <w:style w:type="paragraph" w:styleId="BalloonText">
    <w:name w:val="Balloon Text"/>
    <w:basedOn w:val="Normal"/>
    <w:link w:val="BalloonTextChar"/>
    <w:uiPriority w:val="99"/>
    <w:semiHidden/>
    <w:unhideWhenUsed/>
    <w:rsid w:val="009B35C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35C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franziska.lechleitner@earth.ox.ac.uk" TargetMode="External"/><Relationship Id="rId6" Type="http://schemas.openxmlformats.org/officeDocument/2006/relationships/image" Target="media/image1.emf"/><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5</Pages>
  <Words>1248</Words>
  <Characters>7120</Characters>
  <Application>Microsoft Macintosh Word</Application>
  <DocSecurity>0</DocSecurity>
  <Lines>59</Lines>
  <Paragraphs>16</Paragraphs>
  <ScaleCrop>false</ScaleCrop>
  <Company>ETH Zurich</Company>
  <LinksUpToDate>false</LinksUpToDate>
  <CharactersWithSpaces>8352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Lechleitner Franziska</dc:creator>
  <cp:keywords/>
  <dc:description/>
  <cp:lastModifiedBy>Lechleitner Franziska</cp:lastModifiedBy>
  <cp:revision>6</cp:revision>
  <dcterms:created xsi:type="dcterms:W3CDTF">2017-07-10T15:14:00Z</dcterms:created>
  <dcterms:modified xsi:type="dcterms:W3CDTF">2017-08-02T10:15:00Z</dcterms:modified>
</cp:coreProperties>
</file>