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AF84" w14:textId="77777777" w:rsidR="00891A41" w:rsidRPr="0040424F" w:rsidRDefault="00891A41" w:rsidP="00C131CF">
      <w:pPr>
        <w:pStyle w:val="EndNoteBibliography"/>
        <w:spacing w:line="360" w:lineRule="auto"/>
        <w:rPr>
          <w:rFonts w:asciiTheme="minorHAnsi" w:hAnsiTheme="minorHAnsi" w:cstheme="minorHAnsi"/>
          <w:b/>
          <w:noProof w:val="0"/>
          <w:sz w:val="22"/>
          <w:szCs w:val="22"/>
          <w:lang w:val="en-GB"/>
        </w:rPr>
      </w:pPr>
      <w:r w:rsidRPr="0040424F">
        <w:rPr>
          <w:rFonts w:asciiTheme="minorHAnsi" w:hAnsiTheme="minorHAnsi" w:cstheme="minorHAnsi"/>
          <w:b/>
          <w:noProof w:val="0"/>
          <w:sz w:val="22"/>
          <w:szCs w:val="22"/>
          <w:lang w:val="en-GB"/>
        </w:rPr>
        <w:t xml:space="preserve">Appendix </w:t>
      </w:r>
    </w:p>
    <w:p w14:paraId="58282EA6" w14:textId="77777777" w:rsidR="00891A41" w:rsidRPr="0040424F" w:rsidRDefault="00891A41" w:rsidP="00C131CF">
      <w:pPr>
        <w:pStyle w:val="EndNoteBibliography"/>
        <w:spacing w:line="360" w:lineRule="auto"/>
        <w:ind w:left="720" w:hanging="720"/>
        <w:rPr>
          <w:rFonts w:asciiTheme="minorHAnsi" w:hAnsiTheme="minorHAnsi" w:cstheme="minorHAnsi"/>
          <w:b/>
          <w:noProof w:val="0"/>
          <w:sz w:val="22"/>
          <w:szCs w:val="22"/>
          <w:lang w:val="en-GB"/>
        </w:rPr>
      </w:pPr>
    </w:p>
    <w:p w14:paraId="18926C06" w14:textId="77777777" w:rsidR="00891A41" w:rsidRPr="0040424F" w:rsidRDefault="00891A41" w:rsidP="00C131CF">
      <w:pPr>
        <w:spacing w:line="360" w:lineRule="auto"/>
        <w:rPr>
          <w:rFonts w:cstheme="minorHAnsi"/>
          <w:b/>
          <w:bCs/>
          <w:color w:val="000000"/>
          <w:sz w:val="22"/>
          <w:szCs w:val="22"/>
        </w:rPr>
      </w:pPr>
      <w:r w:rsidRPr="0040424F">
        <w:rPr>
          <w:rFonts w:cstheme="minorHAnsi"/>
          <w:b/>
          <w:sz w:val="22"/>
          <w:szCs w:val="22"/>
        </w:rPr>
        <w:t xml:space="preserve">Does the effect of </w:t>
      </w:r>
      <w:r w:rsidRPr="0040424F">
        <w:rPr>
          <w:rFonts w:cstheme="minorHAnsi"/>
          <w:b/>
          <w:bCs/>
          <w:color w:val="000000"/>
          <w:sz w:val="22"/>
          <w:szCs w:val="22"/>
        </w:rPr>
        <w:t>cognitive behaviour therapy for chronic fatigue syndrome (ME/CFS) vary by patient characteristics</w:t>
      </w:r>
      <w:proofErr w:type="gramStart"/>
      <w:r w:rsidRPr="0040424F">
        <w:rPr>
          <w:rFonts w:cstheme="minorHAnsi"/>
          <w:b/>
          <w:bCs/>
          <w:color w:val="000000"/>
          <w:sz w:val="22"/>
          <w:szCs w:val="22"/>
        </w:rPr>
        <w:t>?:</w:t>
      </w:r>
      <w:proofErr w:type="gramEnd"/>
      <w:r w:rsidRPr="0040424F">
        <w:rPr>
          <w:rFonts w:cstheme="minorHAnsi"/>
          <w:b/>
          <w:bCs/>
          <w:color w:val="000000"/>
          <w:sz w:val="22"/>
          <w:szCs w:val="22"/>
        </w:rPr>
        <w:t xml:space="preserve"> a systematic review and individual patient data meta-analysis.</w:t>
      </w:r>
    </w:p>
    <w:p w14:paraId="4446F43A" w14:textId="77777777" w:rsidR="00891A41" w:rsidRPr="0040424F" w:rsidRDefault="00891A41" w:rsidP="00C131CF">
      <w:pPr>
        <w:spacing w:line="360" w:lineRule="auto"/>
        <w:rPr>
          <w:rFonts w:cstheme="minorHAnsi"/>
          <w:b/>
          <w:bCs/>
          <w:color w:val="000000"/>
          <w:sz w:val="22"/>
          <w:szCs w:val="22"/>
        </w:rPr>
      </w:pPr>
    </w:p>
    <w:p w14:paraId="71142AEF" w14:textId="77777777" w:rsidR="00891A41" w:rsidRPr="0040424F" w:rsidRDefault="00891A41" w:rsidP="00C131CF">
      <w:pPr>
        <w:tabs>
          <w:tab w:val="left" w:pos="7371"/>
        </w:tabs>
        <w:spacing w:after="120" w:line="360" w:lineRule="auto"/>
        <w:rPr>
          <w:rFonts w:cstheme="minorHAnsi"/>
          <w:b/>
          <w:sz w:val="22"/>
          <w:szCs w:val="22"/>
        </w:rPr>
      </w:pPr>
      <w:r w:rsidRPr="0040424F">
        <w:rPr>
          <w:rFonts w:cstheme="minorHAnsi"/>
          <w:b/>
          <w:sz w:val="22"/>
          <w:szCs w:val="22"/>
        </w:rPr>
        <w:t>Table of contents</w:t>
      </w:r>
    </w:p>
    <w:p w14:paraId="2DC0192C" w14:textId="77777777" w:rsidR="00891A41" w:rsidRPr="0040424F" w:rsidRDefault="00891A41" w:rsidP="00C131CF">
      <w:pPr>
        <w:tabs>
          <w:tab w:val="left" w:leader="dot" w:pos="7371"/>
        </w:tabs>
        <w:spacing w:line="360" w:lineRule="auto"/>
        <w:rPr>
          <w:rFonts w:cstheme="minorHAnsi"/>
          <w:sz w:val="22"/>
          <w:szCs w:val="22"/>
        </w:rPr>
      </w:pPr>
      <w:r w:rsidRPr="0040424F">
        <w:rPr>
          <w:rFonts w:cstheme="minorHAnsi"/>
          <w:sz w:val="22"/>
          <w:szCs w:val="22"/>
        </w:rPr>
        <w:t>Description of intervention…………………………………………………………………………………….2</w:t>
      </w:r>
    </w:p>
    <w:p w14:paraId="3D927AAF" w14:textId="77777777" w:rsidR="00891A41" w:rsidRPr="0040424F" w:rsidRDefault="00891A41" w:rsidP="00C131CF">
      <w:pPr>
        <w:tabs>
          <w:tab w:val="left" w:leader="dot" w:pos="7371"/>
        </w:tabs>
        <w:spacing w:line="360" w:lineRule="auto"/>
        <w:rPr>
          <w:rFonts w:cstheme="minorHAnsi"/>
          <w:bCs/>
          <w:sz w:val="22"/>
          <w:szCs w:val="22"/>
        </w:rPr>
      </w:pPr>
      <w:r w:rsidRPr="0040424F">
        <w:rPr>
          <w:rFonts w:cstheme="minorHAnsi"/>
          <w:bCs/>
          <w:sz w:val="22"/>
          <w:szCs w:val="22"/>
        </w:rPr>
        <w:t>Method of identifying studies</w:t>
      </w:r>
      <w:r w:rsidRPr="0040424F">
        <w:rPr>
          <w:rFonts w:cstheme="minorHAnsi"/>
          <w:bCs/>
          <w:sz w:val="22"/>
          <w:szCs w:val="22"/>
        </w:rPr>
        <w:tab/>
      </w:r>
      <w:proofErr w:type="gramStart"/>
      <w:r w:rsidRPr="0040424F">
        <w:rPr>
          <w:rFonts w:cstheme="minorHAnsi"/>
          <w:bCs/>
          <w:sz w:val="22"/>
          <w:szCs w:val="22"/>
        </w:rPr>
        <w:t>3</w:t>
      </w:r>
      <w:proofErr w:type="gramEnd"/>
    </w:p>
    <w:p w14:paraId="37797347" w14:textId="77777777" w:rsidR="00891A41" w:rsidRPr="0040424F" w:rsidRDefault="00891A41" w:rsidP="00C131CF">
      <w:pPr>
        <w:tabs>
          <w:tab w:val="left" w:leader="dot" w:pos="7371"/>
        </w:tabs>
        <w:spacing w:line="360" w:lineRule="auto"/>
        <w:rPr>
          <w:rFonts w:cstheme="minorHAnsi"/>
          <w:bCs/>
          <w:sz w:val="22"/>
          <w:szCs w:val="22"/>
        </w:rPr>
      </w:pPr>
      <w:r w:rsidRPr="0040424F">
        <w:rPr>
          <w:rFonts w:cstheme="minorHAnsi"/>
          <w:sz w:val="22"/>
          <w:szCs w:val="22"/>
        </w:rPr>
        <w:t>Full electronic search strategy, exemplary for one database</w:t>
      </w:r>
      <w:r w:rsidRPr="0040424F">
        <w:rPr>
          <w:rFonts w:cstheme="minorHAnsi"/>
          <w:sz w:val="22"/>
          <w:szCs w:val="22"/>
        </w:rPr>
        <w:tab/>
        <w:t>3</w:t>
      </w:r>
    </w:p>
    <w:p w14:paraId="49482D41" w14:textId="77777777" w:rsidR="00891A41" w:rsidRPr="0040424F" w:rsidRDefault="00891A41" w:rsidP="00C131CF">
      <w:pPr>
        <w:tabs>
          <w:tab w:val="left" w:leader="dot" w:pos="7371"/>
        </w:tabs>
        <w:spacing w:line="360" w:lineRule="auto"/>
        <w:rPr>
          <w:rFonts w:cstheme="minorHAnsi"/>
          <w:bCs/>
          <w:sz w:val="22"/>
          <w:szCs w:val="22"/>
        </w:rPr>
      </w:pPr>
      <w:r w:rsidRPr="0040424F">
        <w:rPr>
          <w:rFonts w:cstheme="minorHAnsi"/>
          <w:sz w:val="22"/>
          <w:szCs w:val="22"/>
        </w:rPr>
        <w:t>D</w:t>
      </w:r>
      <w:r w:rsidRPr="0040424F">
        <w:rPr>
          <w:rFonts w:cstheme="minorHAnsi"/>
          <w:bCs/>
          <w:sz w:val="22"/>
          <w:szCs w:val="22"/>
        </w:rPr>
        <w:t xml:space="preserve">etails of the study selection process </w:t>
      </w:r>
      <w:r w:rsidRPr="0040424F">
        <w:rPr>
          <w:rFonts w:cstheme="minorHAnsi"/>
          <w:bCs/>
          <w:sz w:val="22"/>
          <w:szCs w:val="22"/>
        </w:rPr>
        <w:tab/>
      </w:r>
      <w:proofErr w:type="gramStart"/>
      <w:r w:rsidRPr="0040424F">
        <w:rPr>
          <w:rFonts w:cstheme="minorHAnsi"/>
          <w:bCs/>
          <w:sz w:val="22"/>
          <w:szCs w:val="22"/>
        </w:rPr>
        <w:t>4</w:t>
      </w:r>
      <w:proofErr w:type="gramEnd"/>
    </w:p>
    <w:p w14:paraId="70FCF4DF" w14:textId="77777777" w:rsidR="00891A41" w:rsidRPr="0040424F" w:rsidRDefault="00891A41" w:rsidP="00C131CF">
      <w:pPr>
        <w:tabs>
          <w:tab w:val="left" w:leader="dot" w:pos="7371"/>
        </w:tabs>
        <w:spacing w:line="360" w:lineRule="auto"/>
        <w:rPr>
          <w:rFonts w:cstheme="minorHAnsi"/>
          <w:sz w:val="22"/>
          <w:szCs w:val="22"/>
        </w:rPr>
      </w:pPr>
      <w:r w:rsidRPr="0040424F">
        <w:rPr>
          <w:rFonts w:cstheme="minorHAnsi"/>
          <w:sz w:val="22"/>
          <w:szCs w:val="22"/>
        </w:rPr>
        <w:t>Study selection and IPD obtained</w:t>
      </w:r>
      <w:r w:rsidRPr="0040424F">
        <w:rPr>
          <w:rFonts w:cstheme="minorHAnsi"/>
          <w:sz w:val="22"/>
          <w:szCs w:val="22"/>
        </w:rPr>
        <w:tab/>
      </w:r>
      <w:proofErr w:type="gramStart"/>
      <w:r w:rsidRPr="0040424F">
        <w:rPr>
          <w:rFonts w:cstheme="minorHAnsi"/>
          <w:sz w:val="22"/>
          <w:szCs w:val="22"/>
        </w:rPr>
        <w:t>5</w:t>
      </w:r>
      <w:proofErr w:type="gramEnd"/>
    </w:p>
    <w:p w14:paraId="334AFC2F" w14:textId="77777777" w:rsidR="00891A41" w:rsidRPr="0040424F" w:rsidRDefault="00891A41" w:rsidP="00C131CF">
      <w:pPr>
        <w:pStyle w:val="EndNoteBibliography"/>
        <w:tabs>
          <w:tab w:val="left" w:leader="dot" w:pos="7371"/>
        </w:tabs>
        <w:spacing w:line="360" w:lineRule="auto"/>
        <w:ind w:left="720" w:hanging="720"/>
        <w:rPr>
          <w:rFonts w:asciiTheme="minorHAnsi" w:hAnsiTheme="minorHAnsi" w:cstheme="minorHAnsi"/>
          <w:noProof w:val="0"/>
          <w:sz w:val="22"/>
          <w:szCs w:val="22"/>
          <w:lang w:val="en-GB"/>
        </w:rPr>
      </w:pPr>
      <w:r w:rsidRPr="0040424F">
        <w:rPr>
          <w:rFonts w:asciiTheme="minorHAnsi" w:hAnsiTheme="minorHAnsi" w:cstheme="minorHAnsi"/>
          <w:noProof w:val="0"/>
          <w:sz w:val="22"/>
          <w:szCs w:val="22"/>
          <w:lang w:val="en-GB"/>
        </w:rPr>
        <w:t>Process of requesting, collecting and managing IPD</w:t>
      </w:r>
      <w:r w:rsidRPr="0040424F">
        <w:rPr>
          <w:rFonts w:asciiTheme="minorHAnsi" w:hAnsiTheme="minorHAnsi" w:cstheme="minorHAnsi"/>
          <w:noProof w:val="0"/>
          <w:sz w:val="22"/>
          <w:szCs w:val="22"/>
          <w:lang w:val="en-GB"/>
        </w:rPr>
        <w:tab/>
        <w:t>6</w:t>
      </w:r>
    </w:p>
    <w:p w14:paraId="5EB96393" w14:textId="31020F4D" w:rsidR="00891A41" w:rsidRPr="0040424F" w:rsidRDefault="00891A41" w:rsidP="00C131CF">
      <w:pPr>
        <w:tabs>
          <w:tab w:val="left" w:leader="dot" w:pos="7371"/>
        </w:tabs>
        <w:spacing w:line="360" w:lineRule="auto"/>
        <w:rPr>
          <w:rFonts w:cstheme="minorHAnsi"/>
          <w:sz w:val="22"/>
          <w:szCs w:val="22"/>
        </w:rPr>
      </w:pPr>
      <w:r w:rsidRPr="0040424F">
        <w:rPr>
          <w:rFonts w:cstheme="minorHAnsi"/>
          <w:sz w:val="22"/>
          <w:szCs w:val="22"/>
        </w:rPr>
        <w:t>Outcomes and putative moderators</w:t>
      </w:r>
      <w:r w:rsidRPr="0040424F">
        <w:rPr>
          <w:rFonts w:cstheme="minorHAnsi"/>
          <w:sz w:val="22"/>
          <w:szCs w:val="22"/>
        </w:rPr>
        <w:tab/>
      </w:r>
      <w:r>
        <w:rPr>
          <w:rFonts w:cstheme="minorHAnsi"/>
          <w:sz w:val="22"/>
          <w:szCs w:val="22"/>
        </w:rPr>
        <w:t>6</w:t>
      </w:r>
    </w:p>
    <w:p w14:paraId="092DE9B4" w14:textId="17D43A65" w:rsidR="00891A41" w:rsidRPr="0040424F" w:rsidRDefault="00891A41" w:rsidP="00C131CF">
      <w:pPr>
        <w:tabs>
          <w:tab w:val="left" w:leader="dot" w:pos="7371"/>
        </w:tabs>
        <w:spacing w:line="360" w:lineRule="auto"/>
        <w:ind w:right="12"/>
        <w:rPr>
          <w:rFonts w:cstheme="minorHAnsi"/>
          <w:sz w:val="22"/>
          <w:szCs w:val="22"/>
        </w:rPr>
      </w:pPr>
      <w:r w:rsidRPr="0040424F">
        <w:rPr>
          <w:rFonts w:cstheme="minorHAnsi"/>
          <w:sz w:val="22"/>
          <w:szCs w:val="22"/>
        </w:rPr>
        <w:t xml:space="preserve">Description of all data that was sought </w:t>
      </w:r>
      <w:r w:rsidRPr="0040424F">
        <w:rPr>
          <w:rFonts w:cstheme="minorHAnsi"/>
          <w:sz w:val="22"/>
          <w:szCs w:val="22"/>
        </w:rPr>
        <w:tab/>
      </w:r>
      <w:r>
        <w:rPr>
          <w:rFonts w:cstheme="minorHAnsi"/>
          <w:sz w:val="22"/>
          <w:szCs w:val="22"/>
        </w:rPr>
        <w:t>10</w:t>
      </w:r>
    </w:p>
    <w:p w14:paraId="416B5610" w14:textId="77777777" w:rsidR="00891A41" w:rsidRPr="0040424F" w:rsidRDefault="00891A41" w:rsidP="00C131CF">
      <w:pPr>
        <w:pStyle w:val="Default"/>
        <w:tabs>
          <w:tab w:val="left" w:leader="dot" w:pos="7371"/>
        </w:tabs>
        <w:spacing w:line="360" w:lineRule="auto"/>
        <w:rPr>
          <w:rFonts w:asciiTheme="minorHAnsi" w:hAnsiTheme="minorHAnsi" w:cstheme="minorHAnsi"/>
          <w:color w:val="auto"/>
          <w:sz w:val="22"/>
          <w:szCs w:val="22"/>
          <w:lang w:val="en-GB"/>
        </w:rPr>
      </w:pPr>
      <w:r w:rsidRPr="0040424F">
        <w:rPr>
          <w:rFonts w:asciiTheme="minorHAnsi" w:hAnsiTheme="minorHAnsi" w:cstheme="minorHAnsi"/>
          <w:color w:val="auto"/>
          <w:sz w:val="22"/>
          <w:szCs w:val="22"/>
          <w:lang w:val="en-GB"/>
        </w:rPr>
        <w:t>Process of data checking</w:t>
      </w:r>
      <w:r w:rsidRPr="0040424F">
        <w:rPr>
          <w:rFonts w:asciiTheme="minorHAnsi" w:hAnsiTheme="minorHAnsi" w:cstheme="minorHAnsi"/>
          <w:color w:val="auto"/>
          <w:sz w:val="22"/>
          <w:szCs w:val="22"/>
          <w:lang w:val="en-GB"/>
        </w:rPr>
        <w:tab/>
        <w:t>10</w:t>
      </w:r>
    </w:p>
    <w:p w14:paraId="4DD17C14" w14:textId="77777777" w:rsidR="00891A41" w:rsidRPr="0040424F" w:rsidRDefault="00891A41" w:rsidP="00C131CF">
      <w:pPr>
        <w:tabs>
          <w:tab w:val="left" w:leader="dot" w:pos="7371"/>
          <w:tab w:val="left" w:pos="7938"/>
        </w:tabs>
        <w:spacing w:line="360" w:lineRule="auto"/>
        <w:rPr>
          <w:rFonts w:cstheme="minorHAnsi"/>
          <w:bCs/>
          <w:sz w:val="22"/>
          <w:szCs w:val="22"/>
        </w:rPr>
      </w:pPr>
      <w:r w:rsidRPr="0040424F">
        <w:rPr>
          <w:rFonts w:cstheme="minorHAnsi"/>
          <w:bCs/>
          <w:sz w:val="22"/>
          <w:szCs w:val="22"/>
        </w:rPr>
        <w:t>Study characteristics</w:t>
      </w:r>
      <w:r w:rsidRPr="0040424F">
        <w:rPr>
          <w:rFonts w:cstheme="minorHAnsi"/>
          <w:bCs/>
          <w:sz w:val="22"/>
          <w:szCs w:val="22"/>
        </w:rPr>
        <w:tab/>
        <w:t>10</w:t>
      </w:r>
    </w:p>
    <w:p w14:paraId="7891E40D" w14:textId="77777777" w:rsidR="00891A41" w:rsidRPr="0040424F" w:rsidRDefault="00891A41" w:rsidP="00C131CF">
      <w:pPr>
        <w:tabs>
          <w:tab w:val="left" w:leader="dot" w:pos="7371"/>
        </w:tabs>
        <w:spacing w:line="360" w:lineRule="auto"/>
        <w:rPr>
          <w:rFonts w:cstheme="minorHAnsi"/>
          <w:bCs/>
          <w:sz w:val="22"/>
          <w:szCs w:val="22"/>
        </w:rPr>
      </w:pPr>
      <w:r w:rsidRPr="0040424F">
        <w:rPr>
          <w:rFonts w:cstheme="minorHAnsi"/>
          <w:sz w:val="22"/>
          <w:szCs w:val="22"/>
        </w:rPr>
        <w:t>IPD integrity</w:t>
      </w:r>
      <w:r w:rsidRPr="0040424F">
        <w:rPr>
          <w:rFonts w:cstheme="minorHAnsi"/>
          <w:sz w:val="22"/>
          <w:szCs w:val="22"/>
        </w:rPr>
        <w:tab/>
        <w:t>11</w:t>
      </w:r>
    </w:p>
    <w:p w14:paraId="0FE6D04B" w14:textId="77777777" w:rsidR="00891A41" w:rsidRPr="0040424F" w:rsidRDefault="00891A41" w:rsidP="00C131CF">
      <w:pPr>
        <w:tabs>
          <w:tab w:val="left" w:leader="dot" w:pos="7371"/>
        </w:tabs>
        <w:spacing w:line="360" w:lineRule="auto"/>
        <w:rPr>
          <w:rFonts w:cstheme="minorHAnsi"/>
          <w:sz w:val="22"/>
          <w:szCs w:val="22"/>
        </w:rPr>
      </w:pPr>
      <w:r w:rsidRPr="0040424F">
        <w:rPr>
          <w:rFonts w:cstheme="minorHAnsi"/>
          <w:sz w:val="22"/>
          <w:szCs w:val="22"/>
        </w:rPr>
        <w:t>Risk of bias</w:t>
      </w:r>
      <w:r w:rsidRPr="0040424F">
        <w:rPr>
          <w:rFonts w:cstheme="minorHAnsi"/>
          <w:sz w:val="22"/>
          <w:szCs w:val="22"/>
        </w:rPr>
        <w:tab/>
        <w:t>11</w:t>
      </w:r>
    </w:p>
    <w:p w14:paraId="24D1939B" w14:textId="77777777" w:rsidR="00891A41" w:rsidRPr="0040424F" w:rsidRDefault="00891A41" w:rsidP="00C131CF">
      <w:pPr>
        <w:tabs>
          <w:tab w:val="left" w:leader="dot" w:pos="7371"/>
        </w:tabs>
        <w:spacing w:line="360" w:lineRule="auto"/>
        <w:rPr>
          <w:rFonts w:cstheme="minorHAnsi"/>
          <w:sz w:val="22"/>
          <w:szCs w:val="22"/>
          <w:shd w:val="clear" w:color="auto" w:fill="FFFFFF"/>
        </w:rPr>
      </w:pPr>
      <w:r w:rsidRPr="0040424F">
        <w:rPr>
          <w:rFonts w:cstheme="minorHAnsi"/>
          <w:sz w:val="22"/>
          <w:szCs w:val="22"/>
          <w:shd w:val="clear" w:color="auto" w:fill="FFFFFF"/>
        </w:rPr>
        <w:t>Sensitivity analyses</w:t>
      </w:r>
      <w:r w:rsidRPr="0040424F">
        <w:rPr>
          <w:rFonts w:cstheme="minorHAnsi"/>
          <w:sz w:val="22"/>
          <w:szCs w:val="22"/>
          <w:shd w:val="clear" w:color="auto" w:fill="FFFFFF"/>
        </w:rPr>
        <w:tab/>
        <w:t>14</w:t>
      </w:r>
    </w:p>
    <w:p w14:paraId="17186A4B" w14:textId="77777777" w:rsidR="00891A41" w:rsidRPr="0040424F" w:rsidRDefault="00891A41" w:rsidP="00C131CF">
      <w:pPr>
        <w:tabs>
          <w:tab w:val="left" w:leader="dot" w:pos="7371"/>
        </w:tabs>
        <w:spacing w:line="360" w:lineRule="auto"/>
        <w:rPr>
          <w:rFonts w:cstheme="minorHAnsi"/>
          <w:sz w:val="22"/>
          <w:szCs w:val="22"/>
        </w:rPr>
      </w:pPr>
      <w:r w:rsidRPr="0040424F">
        <w:rPr>
          <w:rFonts w:cstheme="minorHAnsi"/>
          <w:sz w:val="22"/>
          <w:szCs w:val="22"/>
        </w:rPr>
        <w:t>Two-way meta-analysis</w:t>
      </w:r>
      <w:r w:rsidRPr="0040424F">
        <w:rPr>
          <w:rFonts w:cstheme="minorHAnsi"/>
          <w:sz w:val="22"/>
          <w:szCs w:val="22"/>
        </w:rPr>
        <w:tab/>
        <w:t>14</w:t>
      </w:r>
    </w:p>
    <w:p w14:paraId="1EB26F94" w14:textId="77777777" w:rsidR="00891A41" w:rsidRPr="0040424F" w:rsidRDefault="00891A41" w:rsidP="00C131CF">
      <w:pPr>
        <w:pStyle w:val="EndNoteBibliography"/>
        <w:tabs>
          <w:tab w:val="left" w:leader="dot" w:pos="7371"/>
        </w:tabs>
        <w:spacing w:line="360" w:lineRule="auto"/>
        <w:ind w:left="720" w:hanging="720"/>
        <w:rPr>
          <w:rFonts w:asciiTheme="minorHAnsi" w:hAnsiTheme="minorHAnsi" w:cstheme="minorHAnsi"/>
          <w:noProof w:val="0"/>
          <w:sz w:val="22"/>
          <w:szCs w:val="22"/>
          <w:lang w:val="en-GB"/>
        </w:rPr>
      </w:pPr>
      <w:r w:rsidRPr="0040424F">
        <w:rPr>
          <w:rFonts w:asciiTheme="minorHAnsi" w:hAnsiTheme="minorHAnsi" w:cstheme="minorHAnsi"/>
          <w:noProof w:val="0"/>
          <w:sz w:val="22"/>
          <w:szCs w:val="22"/>
          <w:lang w:val="en-GB"/>
        </w:rPr>
        <w:t xml:space="preserve">R code </w:t>
      </w:r>
      <w:r w:rsidRPr="0040424F">
        <w:rPr>
          <w:rFonts w:asciiTheme="minorHAnsi" w:hAnsiTheme="minorHAnsi" w:cstheme="minorHAnsi"/>
          <w:noProof w:val="0"/>
          <w:sz w:val="22"/>
          <w:szCs w:val="22"/>
          <w:lang w:val="en-GB"/>
        </w:rPr>
        <w:tab/>
      </w:r>
      <w:r w:rsidRPr="0040424F">
        <w:rPr>
          <w:rFonts w:asciiTheme="minorHAnsi" w:hAnsiTheme="minorHAnsi" w:cstheme="minorHAnsi"/>
          <w:noProof w:val="0"/>
          <w:sz w:val="22"/>
          <w:szCs w:val="22"/>
          <w:lang w:val="en-GB"/>
        </w:rPr>
        <w:tab/>
        <w:t>1</w:t>
      </w:r>
      <w:r>
        <w:rPr>
          <w:rFonts w:asciiTheme="minorHAnsi" w:hAnsiTheme="minorHAnsi" w:cstheme="minorHAnsi"/>
          <w:noProof w:val="0"/>
          <w:sz w:val="22"/>
          <w:szCs w:val="22"/>
          <w:lang w:val="en-GB"/>
        </w:rPr>
        <w:t>7</w:t>
      </w:r>
    </w:p>
    <w:p w14:paraId="3E6F3A50" w14:textId="77777777" w:rsidR="00891A41" w:rsidRPr="0040424F" w:rsidRDefault="00891A41" w:rsidP="00C131CF">
      <w:pPr>
        <w:pStyle w:val="EndNoteBibliography"/>
        <w:tabs>
          <w:tab w:val="left" w:leader="dot" w:pos="7371"/>
        </w:tabs>
        <w:spacing w:line="360" w:lineRule="auto"/>
        <w:ind w:left="720" w:hanging="720"/>
        <w:rPr>
          <w:rFonts w:asciiTheme="minorHAnsi" w:hAnsiTheme="minorHAnsi" w:cstheme="minorHAnsi"/>
          <w:noProof w:val="0"/>
          <w:sz w:val="22"/>
          <w:szCs w:val="22"/>
          <w:lang w:val="en-GB"/>
        </w:rPr>
      </w:pPr>
      <w:r w:rsidRPr="0040424F">
        <w:rPr>
          <w:rFonts w:asciiTheme="minorHAnsi" w:hAnsiTheme="minorHAnsi" w:cstheme="minorHAnsi"/>
          <w:noProof w:val="0"/>
          <w:sz w:val="22"/>
          <w:szCs w:val="22"/>
          <w:lang w:val="en-GB"/>
        </w:rPr>
        <w:t>References</w:t>
      </w:r>
      <w:r w:rsidRPr="0040424F">
        <w:rPr>
          <w:rFonts w:asciiTheme="minorHAnsi" w:hAnsiTheme="minorHAnsi" w:cstheme="minorHAnsi"/>
          <w:noProof w:val="0"/>
          <w:sz w:val="22"/>
          <w:szCs w:val="22"/>
          <w:lang w:val="en-GB"/>
        </w:rPr>
        <w:tab/>
        <w:t>1</w:t>
      </w:r>
      <w:r>
        <w:rPr>
          <w:rFonts w:asciiTheme="minorHAnsi" w:hAnsiTheme="minorHAnsi" w:cstheme="minorHAnsi"/>
          <w:noProof w:val="0"/>
          <w:sz w:val="22"/>
          <w:szCs w:val="22"/>
          <w:lang w:val="en-GB"/>
        </w:rPr>
        <w:t>8</w:t>
      </w:r>
    </w:p>
    <w:p w14:paraId="4C1CD5B8" w14:textId="77777777" w:rsidR="00891A41" w:rsidRPr="0040424F" w:rsidRDefault="00891A41" w:rsidP="00C131CF">
      <w:pPr>
        <w:tabs>
          <w:tab w:val="left" w:pos="7371"/>
        </w:tabs>
        <w:spacing w:after="120" w:line="360" w:lineRule="auto"/>
        <w:rPr>
          <w:rFonts w:cstheme="minorHAnsi"/>
        </w:rPr>
      </w:pPr>
      <w:r w:rsidRPr="0040424F">
        <w:rPr>
          <w:rFonts w:cstheme="minorHAnsi"/>
        </w:rPr>
        <w:tab/>
      </w:r>
      <w:r w:rsidRPr="0040424F">
        <w:rPr>
          <w:rFonts w:cstheme="minorHAnsi"/>
        </w:rPr>
        <w:tab/>
      </w:r>
      <w:r w:rsidRPr="0040424F">
        <w:rPr>
          <w:rFonts w:cstheme="minorHAnsi"/>
        </w:rPr>
        <w:tab/>
      </w:r>
      <w:r w:rsidRPr="0040424F">
        <w:rPr>
          <w:rFonts w:cstheme="minorHAnsi"/>
        </w:rPr>
        <w:tab/>
      </w:r>
      <w:r w:rsidRPr="0040424F">
        <w:rPr>
          <w:rFonts w:cstheme="minorHAnsi"/>
        </w:rPr>
        <w:tab/>
      </w:r>
      <w:r w:rsidRPr="0040424F">
        <w:rPr>
          <w:rFonts w:cstheme="minorHAnsi"/>
        </w:rPr>
        <w:tab/>
      </w:r>
    </w:p>
    <w:p w14:paraId="093FD8B3" w14:textId="77777777" w:rsidR="00891A41" w:rsidRPr="0040424F" w:rsidRDefault="00891A41">
      <w:pPr>
        <w:spacing w:after="160" w:line="259" w:lineRule="auto"/>
        <w:rPr>
          <w:rFonts w:cstheme="minorHAnsi"/>
          <w:b/>
        </w:rPr>
      </w:pPr>
      <w:r w:rsidRPr="0040424F">
        <w:rPr>
          <w:rFonts w:cstheme="minorHAnsi"/>
          <w:b/>
        </w:rPr>
        <w:br w:type="page"/>
      </w:r>
    </w:p>
    <w:p w14:paraId="7169113C" w14:textId="77777777" w:rsidR="00891A41" w:rsidRPr="0040424F" w:rsidRDefault="00891A41" w:rsidP="00C131CF">
      <w:pPr>
        <w:spacing w:after="120" w:line="360" w:lineRule="auto"/>
        <w:rPr>
          <w:rFonts w:cstheme="minorHAnsi"/>
          <w:b/>
          <w:sz w:val="22"/>
          <w:szCs w:val="22"/>
        </w:rPr>
      </w:pPr>
      <w:r w:rsidRPr="0040424F">
        <w:rPr>
          <w:rFonts w:cstheme="minorHAnsi"/>
          <w:b/>
          <w:sz w:val="22"/>
          <w:szCs w:val="22"/>
        </w:rPr>
        <w:lastRenderedPageBreak/>
        <w:t>Description of intervention</w:t>
      </w:r>
    </w:p>
    <w:p w14:paraId="66C70C34" w14:textId="4EDBD1A5" w:rsidR="00891A41" w:rsidRPr="0040424F" w:rsidRDefault="00891A41" w:rsidP="00C131CF">
      <w:pPr>
        <w:spacing w:after="120" w:line="360" w:lineRule="auto"/>
        <w:rPr>
          <w:rFonts w:cstheme="minorHAnsi"/>
          <w:sz w:val="22"/>
          <w:szCs w:val="22"/>
        </w:rPr>
      </w:pPr>
      <w:r w:rsidRPr="0040424F">
        <w:rPr>
          <w:rFonts w:cstheme="minorHAnsi"/>
          <w:sz w:val="22"/>
          <w:szCs w:val="22"/>
        </w:rPr>
        <w:t xml:space="preserve">Cognitive behaviour therapy (CBT) for chronic fatigue syndrome (ME/CFS) </w:t>
      </w:r>
      <w:r>
        <w:rPr>
          <w:rFonts w:cstheme="minorHAnsi"/>
          <w:noProof/>
          <w:sz w:val="22"/>
          <w:szCs w:val="22"/>
        </w:rPr>
        <w:t>(Knoop &amp; Bleijenberg, 2010)</w:t>
      </w:r>
      <w:r w:rsidRPr="0040424F">
        <w:rPr>
          <w:rFonts w:cstheme="minorHAnsi"/>
          <w:sz w:val="22"/>
          <w:szCs w:val="22"/>
        </w:rPr>
        <w:t xml:space="preserve"> is based on the cognitive-behavioural model of fatigue in ME/CFS </w:t>
      </w:r>
      <w:r>
        <w:rPr>
          <w:rFonts w:cstheme="minorHAnsi"/>
          <w:noProof/>
          <w:sz w:val="22"/>
          <w:szCs w:val="22"/>
        </w:rPr>
        <w:t>(Vercoulen et al., 1998)</w:t>
      </w:r>
      <w:r w:rsidRPr="0040424F">
        <w:rPr>
          <w:rFonts w:cstheme="minorHAnsi"/>
          <w:sz w:val="22"/>
          <w:szCs w:val="22"/>
        </w:rPr>
        <w:t xml:space="preserve"> which discerns between factors that trigger fatigue and cognitive-behavioural factors assumed to perpetuate the symptom and associated disability. According to the CBT protocol used by the studies included in this individual patient data (IPD) meta-analysis the maximum attainable goal of CBT is </w:t>
      </w:r>
      <w:r w:rsidRPr="00C131CF">
        <w:rPr>
          <w:rFonts w:cstheme="minorHAnsi"/>
          <w:sz w:val="22"/>
          <w:szCs w:val="22"/>
        </w:rPr>
        <w:t xml:space="preserve">recovery </w:t>
      </w:r>
      <w:r w:rsidR="00C131CF" w:rsidRPr="00C131CF">
        <w:rPr>
          <w:rFonts w:cstheme="minorHAnsi"/>
          <w:noProof/>
          <w:sz w:val="22"/>
          <w:szCs w:val="22"/>
        </w:rPr>
        <w:t>(</w:t>
      </w:r>
      <w:r w:rsidRPr="00C131CF">
        <w:rPr>
          <w:rFonts w:cstheme="minorHAnsi"/>
          <w:noProof/>
          <w:sz w:val="22"/>
          <w:szCs w:val="22"/>
        </w:rPr>
        <w:t>Knoop, Bleijenberg</w:t>
      </w:r>
      <w:r>
        <w:rPr>
          <w:rFonts w:cstheme="minorHAnsi"/>
          <w:noProof/>
          <w:sz w:val="22"/>
          <w:szCs w:val="22"/>
        </w:rPr>
        <w:t>, Gielissen, van der Meer, &amp; White, 2007)</w:t>
      </w:r>
      <w:r w:rsidRPr="0040424F">
        <w:rPr>
          <w:rFonts w:cstheme="minorHAnsi"/>
          <w:sz w:val="22"/>
          <w:szCs w:val="22"/>
        </w:rPr>
        <w:t xml:space="preserve">, operationalized as no longer being severely fatigued and no longer being limited in functioning by fatigue. CBT is a collaborative </w:t>
      </w:r>
      <w:proofErr w:type="gramStart"/>
      <w:r w:rsidRPr="0040424F">
        <w:rPr>
          <w:rFonts w:cstheme="minorHAnsi"/>
          <w:sz w:val="22"/>
          <w:szCs w:val="22"/>
        </w:rPr>
        <w:t>process which</w:t>
      </w:r>
      <w:proofErr w:type="gramEnd"/>
      <w:r w:rsidRPr="0040424F">
        <w:rPr>
          <w:rFonts w:cstheme="minorHAnsi"/>
          <w:sz w:val="22"/>
          <w:szCs w:val="22"/>
        </w:rPr>
        <w:t xml:space="preserve"> starts with presenting the rationale of the intervention. The interplay between behaviour, beliefs and physiological mechanisms </w:t>
      </w:r>
      <w:proofErr w:type="gramStart"/>
      <w:r w:rsidRPr="0040424F">
        <w:rPr>
          <w:rFonts w:cstheme="minorHAnsi"/>
          <w:sz w:val="22"/>
          <w:szCs w:val="22"/>
        </w:rPr>
        <w:t>is discussed</w:t>
      </w:r>
      <w:proofErr w:type="gramEnd"/>
      <w:r w:rsidRPr="0040424F">
        <w:rPr>
          <w:rFonts w:cstheme="minorHAnsi"/>
          <w:sz w:val="22"/>
          <w:szCs w:val="22"/>
        </w:rPr>
        <w:t xml:space="preserve">. How changing one’s behaviour and beliefs can therefore help reduce fatigue and functional impairments </w:t>
      </w:r>
      <w:proofErr w:type="gramStart"/>
      <w:r w:rsidRPr="0040424F">
        <w:rPr>
          <w:rFonts w:cstheme="minorHAnsi"/>
          <w:sz w:val="22"/>
          <w:szCs w:val="22"/>
        </w:rPr>
        <w:t>is explained</w:t>
      </w:r>
      <w:proofErr w:type="gramEnd"/>
      <w:r w:rsidRPr="0040424F">
        <w:rPr>
          <w:rFonts w:cstheme="minorHAnsi"/>
          <w:sz w:val="22"/>
          <w:szCs w:val="22"/>
        </w:rPr>
        <w:t xml:space="preserve">. Patients </w:t>
      </w:r>
      <w:proofErr w:type="gramStart"/>
      <w:r w:rsidRPr="0040424F">
        <w:rPr>
          <w:rFonts w:cstheme="minorHAnsi"/>
          <w:sz w:val="22"/>
          <w:szCs w:val="22"/>
        </w:rPr>
        <w:t>are invited</w:t>
      </w:r>
      <w:proofErr w:type="gramEnd"/>
      <w:r w:rsidRPr="0040424F">
        <w:rPr>
          <w:rFonts w:cstheme="minorHAnsi"/>
          <w:sz w:val="22"/>
          <w:szCs w:val="22"/>
        </w:rPr>
        <w:t xml:space="preserve"> to formulate treatment goals, i.e. activities they want to resume when less fatigued. Patients </w:t>
      </w:r>
      <w:proofErr w:type="gramStart"/>
      <w:r w:rsidRPr="0040424F">
        <w:rPr>
          <w:rFonts w:cstheme="minorHAnsi"/>
          <w:sz w:val="22"/>
          <w:szCs w:val="22"/>
        </w:rPr>
        <w:t>are helped</w:t>
      </w:r>
      <w:proofErr w:type="gramEnd"/>
      <w:r w:rsidRPr="0040424F">
        <w:rPr>
          <w:rFonts w:cstheme="minorHAnsi"/>
          <w:sz w:val="22"/>
          <w:szCs w:val="22"/>
        </w:rPr>
        <w:t xml:space="preserve"> to regulate their sleep-wake pattern, i.e. stick to fixed bedtimes and no longer lying down or sleeping during the day. Patients are encouraged to explore their thinking patterns and practice with formulating helpful beliefs with respect to fatigue. Interventions </w:t>
      </w:r>
      <w:proofErr w:type="gramStart"/>
      <w:r w:rsidRPr="0040424F">
        <w:rPr>
          <w:rFonts w:cstheme="minorHAnsi"/>
          <w:sz w:val="22"/>
          <w:szCs w:val="22"/>
        </w:rPr>
        <w:t>are applied</w:t>
      </w:r>
      <w:proofErr w:type="gramEnd"/>
      <w:r w:rsidRPr="0040424F">
        <w:rPr>
          <w:rFonts w:cstheme="minorHAnsi"/>
          <w:sz w:val="22"/>
          <w:szCs w:val="22"/>
        </w:rPr>
        <w:t xml:space="preserve"> to redirect attention away from symptoms. Activity </w:t>
      </w:r>
      <w:proofErr w:type="gramStart"/>
      <w:r w:rsidRPr="0040424F">
        <w:rPr>
          <w:rFonts w:cstheme="minorHAnsi"/>
          <w:sz w:val="22"/>
          <w:szCs w:val="22"/>
        </w:rPr>
        <w:t>is targeted</w:t>
      </w:r>
      <w:proofErr w:type="gramEnd"/>
      <w:r w:rsidRPr="0040424F">
        <w:rPr>
          <w:rFonts w:cstheme="minorHAnsi"/>
          <w:sz w:val="22"/>
          <w:szCs w:val="22"/>
        </w:rPr>
        <w:t xml:space="preserve"> in a </w:t>
      </w:r>
      <w:r w:rsidRPr="0040424F">
        <w:rPr>
          <w:rFonts w:cstheme="minorHAnsi"/>
          <w:sz w:val="22"/>
          <w:szCs w:val="22"/>
          <w:shd w:val="clear" w:color="auto" w:fill="FFFFFF"/>
        </w:rPr>
        <w:t>time contingent graded activity program, which also targets beliefs about the ability to become more active.</w:t>
      </w:r>
      <w:r w:rsidRPr="0040424F">
        <w:rPr>
          <w:rFonts w:cstheme="minorHAnsi"/>
          <w:sz w:val="22"/>
          <w:szCs w:val="22"/>
        </w:rPr>
        <w:t xml:space="preserve"> As the first </w:t>
      </w:r>
      <w:r w:rsidR="00C131CF">
        <w:rPr>
          <w:rFonts w:cstheme="minorHAnsi"/>
          <w:sz w:val="22"/>
          <w:szCs w:val="22"/>
        </w:rPr>
        <w:t>randomized controlled trial (</w:t>
      </w:r>
      <w:r w:rsidRPr="0040424F">
        <w:rPr>
          <w:rFonts w:cstheme="minorHAnsi"/>
          <w:sz w:val="22"/>
          <w:szCs w:val="22"/>
        </w:rPr>
        <w:t>RCT</w:t>
      </w:r>
      <w:r w:rsidR="00C131CF">
        <w:rPr>
          <w:rFonts w:cstheme="minorHAnsi"/>
          <w:sz w:val="22"/>
          <w:szCs w:val="22"/>
        </w:rPr>
        <w:t>)</w:t>
      </w:r>
      <w:r w:rsidRPr="0040424F">
        <w:rPr>
          <w:rFonts w:cstheme="minorHAnsi"/>
          <w:sz w:val="22"/>
          <w:szCs w:val="22"/>
        </w:rPr>
        <w:t xml:space="preserve"> </w:t>
      </w:r>
      <w:proofErr w:type="gramStart"/>
      <w:r w:rsidRPr="0040424F">
        <w:rPr>
          <w:rFonts w:cstheme="minorHAnsi"/>
          <w:sz w:val="22"/>
          <w:szCs w:val="22"/>
        </w:rPr>
        <w:t>testing</w:t>
      </w:r>
      <w:proofErr w:type="gramEnd"/>
      <w:r w:rsidRPr="0040424F">
        <w:rPr>
          <w:rFonts w:cstheme="minorHAnsi"/>
          <w:sz w:val="22"/>
          <w:szCs w:val="22"/>
        </w:rPr>
        <w:t xml:space="preserve"> the efficacy of this protocol </w:t>
      </w:r>
      <w:r>
        <w:rPr>
          <w:rFonts w:cstheme="minorHAnsi"/>
          <w:noProof/>
          <w:sz w:val="22"/>
          <w:szCs w:val="22"/>
        </w:rPr>
        <w:t>(Prins et al., 2001)</w:t>
      </w:r>
      <w:r w:rsidRPr="0040424F">
        <w:rPr>
          <w:rFonts w:cstheme="minorHAnsi"/>
          <w:sz w:val="22"/>
          <w:szCs w:val="22"/>
        </w:rPr>
        <w:t xml:space="preserve"> found that patients with a </w:t>
      </w:r>
      <w:r w:rsidRPr="0040424F">
        <w:rPr>
          <w:rFonts w:cstheme="minorHAnsi"/>
          <w:sz w:val="22"/>
          <w:szCs w:val="22"/>
          <w:shd w:val="clear" w:color="auto" w:fill="FFFFFF"/>
        </w:rPr>
        <w:t xml:space="preserve">low physical activity pattern improved less, the protocol was adapted. The revised protocol </w:t>
      </w:r>
      <w:r w:rsidRPr="0040424F">
        <w:rPr>
          <w:rFonts w:cstheme="minorHAnsi"/>
          <w:sz w:val="22"/>
          <w:szCs w:val="22"/>
        </w:rPr>
        <w:t xml:space="preserve">distinguishes between patients with a low physical activity level and those with a fluctuating activity pattern, </w:t>
      </w:r>
      <w:r>
        <w:rPr>
          <w:rFonts w:cstheme="minorHAnsi"/>
          <w:sz w:val="22"/>
          <w:szCs w:val="22"/>
        </w:rPr>
        <w:t xml:space="preserve">assessed with </w:t>
      </w:r>
      <w:proofErr w:type="spellStart"/>
      <w:r>
        <w:rPr>
          <w:rFonts w:cstheme="minorHAnsi"/>
          <w:sz w:val="22"/>
          <w:szCs w:val="22"/>
        </w:rPr>
        <w:t>actigraphy</w:t>
      </w:r>
      <w:proofErr w:type="spellEnd"/>
      <w:r>
        <w:rPr>
          <w:rFonts w:cstheme="minorHAnsi"/>
          <w:sz w:val="22"/>
          <w:szCs w:val="22"/>
        </w:rPr>
        <w:t xml:space="preserve"> or </w:t>
      </w:r>
      <w:r w:rsidRPr="0040424F">
        <w:rPr>
          <w:rFonts w:cstheme="minorHAnsi"/>
          <w:sz w:val="22"/>
          <w:szCs w:val="22"/>
        </w:rPr>
        <w:t xml:space="preserve">a structured interview </w:t>
      </w:r>
      <w:r>
        <w:rPr>
          <w:rFonts w:cstheme="minorHAnsi"/>
          <w:noProof/>
          <w:sz w:val="22"/>
          <w:szCs w:val="22"/>
        </w:rPr>
        <w:t>(Knoop &amp; Bleijenberg, 2010)</w:t>
      </w:r>
      <w:r w:rsidRPr="0040424F">
        <w:rPr>
          <w:rFonts w:cstheme="minorHAnsi"/>
          <w:sz w:val="22"/>
          <w:szCs w:val="22"/>
        </w:rPr>
        <w:t xml:space="preserve">. Patients with a low level of physical activity </w:t>
      </w:r>
      <w:proofErr w:type="gramStart"/>
      <w:r w:rsidRPr="0040424F">
        <w:rPr>
          <w:rFonts w:cstheme="minorHAnsi"/>
          <w:sz w:val="22"/>
          <w:szCs w:val="22"/>
        </w:rPr>
        <w:t>are provided</w:t>
      </w:r>
      <w:proofErr w:type="gramEnd"/>
      <w:r w:rsidRPr="0040424F">
        <w:rPr>
          <w:rFonts w:cstheme="minorHAnsi"/>
          <w:sz w:val="22"/>
          <w:szCs w:val="22"/>
        </w:rPr>
        <w:t xml:space="preserve"> guidance on how to immediately start gradually increasing physical activity. Patients with a fluctuating or “boom or bust” pattern of activity are encouraged to spread their activities more evenly before they start </w:t>
      </w:r>
      <w:proofErr w:type="gramStart"/>
      <w:r w:rsidRPr="0040424F">
        <w:rPr>
          <w:rFonts w:cstheme="minorHAnsi"/>
          <w:sz w:val="22"/>
          <w:szCs w:val="22"/>
        </w:rPr>
        <w:t>to gradually increase</w:t>
      </w:r>
      <w:proofErr w:type="gramEnd"/>
      <w:r w:rsidRPr="0040424F">
        <w:rPr>
          <w:rFonts w:cstheme="minorHAnsi"/>
          <w:sz w:val="22"/>
          <w:szCs w:val="22"/>
        </w:rPr>
        <w:t xml:space="preserve"> their level of physical activity. </w:t>
      </w:r>
      <w:r w:rsidRPr="0040424F">
        <w:rPr>
          <w:rFonts w:cstheme="minorHAnsi"/>
          <w:sz w:val="22"/>
          <w:szCs w:val="22"/>
          <w:shd w:val="clear" w:color="auto" w:fill="FFFFFF"/>
        </w:rPr>
        <w:t xml:space="preserve">Further, </w:t>
      </w:r>
      <w:r w:rsidRPr="0040424F">
        <w:rPr>
          <w:rFonts w:cstheme="minorHAnsi"/>
          <w:sz w:val="22"/>
          <w:szCs w:val="22"/>
        </w:rPr>
        <w:t>t</w:t>
      </w:r>
      <w:r w:rsidRPr="0040424F">
        <w:rPr>
          <w:rFonts w:cstheme="minorHAnsi"/>
          <w:sz w:val="22"/>
          <w:szCs w:val="22"/>
          <w:shd w:val="clear" w:color="auto" w:fill="FFFFFF"/>
        </w:rPr>
        <w:t xml:space="preserve">he patient </w:t>
      </w:r>
      <w:proofErr w:type="gramStart"/>
      <w:r w:rsidRPr="0040424F">
        <w:rPr>
          <w:rFonts w:cstheme="minorHAnsi"/>
          <w:sz w:val="22"/>
          <w:szCs w:val="22"/>
          <w:shd w:val="clear" w:color="auto" w:fill="FFFFFF"/>
        </w:rPr>
        <w:t>is helped</w:t>
      </w:r>
      <w:proofErr w:type="gramEnd"/>
      <w:r w:rsidRPr="0040424F">
        <w:rPr>
          <w:rFonts w:cstheme="minorHAnsi"/>
          <w:sz w:val="22"/>
          <w:szCs w:val="22"/>
          <w:shd w:val="clear" w:color="auto" w:fill="FFFFFF"/>
        </w:rPr>
        <w:t xml:space="preserve"> to also increase mental and social activity gradually and systematically. Patients with </w:t>
      </w:r>
      <w:r>
        <w:rPr>
          <w:rFonts w:cstheme="minorHAnsi"/>
          <w:sz w:val="22"/>
          <w:szCs w:val="22"/>
          <w:shd w:val="clear" w:color="auto" w:fill="FFFFFF"/>
        </w:rPr>
        <w:t xml:space="preserve">more </w:t>
      </w:r>
      <w:r w:rsidRPr="0040424F">
        <w:rPr>
          <w:rFonts w:cstheme="minorHAnsi"/>
          <w:sz w:val="22"/>
          <w:szCs w:val="22"/>
          <w:shd w:val="clear" w:color="auto" w:fill="FFFFFF"/>
        </w:rPr>
        <w:t xml:space="preserve">severe pain (i.e. &lt;40 on the </w:t>
      </w:r>
      <w:r w:rsidRPr="0040424F">
        <w:rPr>
          <w:rFonts w:cstheme="minorHAnsi"/>
          <w:color w:val="202124"/>
          <w:sz w:val="22"/>
          <w:szCs w:val="22"/>
          <w:shd w:val="clear" w:color="auto" w:fill="FFFFFF"/>
        </w:rPr>
        <w:t>Short Form 36 Health Survey (</w:t>
      </w:r>
      <w:r w:rsidRPr="0040424F">
        <w:rPr>
          <w:rFonts w:cstheme="minorHAnsi"/>
          <w:sz w:val="22"/>
          <w:szCs w:val="22"/>
          <w:shd w:val="clear" w:color="auto" w:fill="FFFFFF"/>
        </w:rPr>
        <w:t xml:space="preserve">SF-36) </w:t>
      </w:r>
      <w:r>
        <w:rPr>
          <w:rFonts w:cstheme="minorHAnsi"/>
          <w:noProof/>
          <w:sz w:val="22"/>
          <w:szCs w:val="22"/>
          <w:shd w:val="clear" w:color="auto" w:fill="FFFFFF"/>
        </w:rPr>
        <w:t>(Stewart, Hays, &amp; Ware, 1988)</w:t>
      </w:r>
      <w:r w:rsidRPr="0040424F">
        <w:rPr>
          <w:rFonts w:cstheme="minorHAnsi"/>
          <w:sz w:val="22"/>
          <w:szCs w:val="22"/>
          <w:shd w:val="clear" w:color="auto" w:fill="FFFFFF"/>
        </w:rPr>
        <w:t xml:space="preserve"> subscale </w:t>
      </w:r>
      <w:r>
        <w:rPr>
          <w:rFonts w:cstheme="minorHAnsi"/>
          <w:sz w:val="22"/>
          <w:szCs w:val="22"/>
          <w:shd w:val="clear" w:color="auto" w:fill="FFFFFF"/>
        </w:rPr>
        <w:t xml:space="preserve">bodily </w:t>
      </w:r>
      <w:r w:rsidRPr="0040424F">
        <w:rPr>
          <w:rFonts w:cstheme="minorHAnsi"/>
          <w:sz w:val="22"/>
          <w:szCs w:val="22"/>
          <w:shd w:val="clear" w:color="auto" w:fill="FFFFFF"/>
        </w:rPr>
        <w:t xml:space="preserve">pain) are encouraged to </w:t>
      </w:r>
      <w:r w:rsidRPr="0040424F">
        <w:rPr>
          <w:rFonts w:cstheme="minorHAnsi"/>
          <w:sz w:val="22"/>
          <w:szCs w:val="22"/>
        </w:rPr>
        <w:t xml:space="preserve">formulate helpful beliefs with respect to pain while increasing their activity level. If patients report an increased ability to become active, they start to attain </w:t>
      </w:r>
      <w:proofErr w:type="gramStart"/>
      <w:r w:rsidRPr="0040424F">
        <w:rPr>
          <w:rFonts w:cstheme="minorHAnsi"/>
          <w:sz w:val="22"/>
          <w:szCs w:val="22"/>
        </w:rPr>
        <w:t>step by step</w:t>
      </w:r>
      <w:proofErr w:type="gramEnd"/>
      <w:r w:rsidRPr="0040424F">
        <w:rPr>
          <w:rFonts w:cstheme="minorHAnsi"/>
          <w:sz w:val="22"/>
          <w:szCs w:val="22"/>
        </w:rPr>
        <w:t xml:space="preserve"> their personal goals </w:t>
      </w:r>
      <w:r>
        <w:rPr>
          <w:rFonts w:cstheme="minorHAnsi"/>
          <w:noProof/>
          <w:sz w:val="22"/>
          <w:szCs w:val="22"/>
        </w:rPr>
        <w:t>(Worm-Smeitink et al., 2016)</w:t>
      </w:r>
      <w:r w:rsidRPr="0040424F">
        <w:rPr>
          <w:rFonts w:cstheme="minorHAnsi"/>
          <w:sz w:val="22"/>
          <w:szCs w:val="22"/>
        </w:rPr>
        <w:t xml:space="preserve">. The treatment ends by helping the patient with normalization of the experience of fatigue and </w:t>
      </w:r>
      <w:r>
        <w:rPr>
          <w:rFonts w:cstheme="minorHAnsi"/>
          <w:sz w:val="22"/>
          <w:szCs w:val="22"/>
        </w:rPr>
        <w:t xml:space="preserve">it </w:t>
      </w:r>
      <w:r w:rsidRPr="0040424F">
        <w:rPr>
          <w:rFonts w:cstheme="minorHAnsi"/>
          <w:sz w:val="22"/>
          <w:szCs w:val="22"/>
        </w:rPr>
        <w:t xml:space="preserve">addresses relapse prevention. CBT is available in different formats. </w:t>
      </w:r>
    </w:p>
    <w:p w14:paraId="7D2C05D2" w14:textId="77777777" w:rsidR="00891A41" w:rsidRPr="0040424F" w:rsidRDefault="00891A41" w:rsidP="00C131CF">
      <w:pPr>
        <w:spacing w:after="120" w:line="360" w:lineRule="auto"/>
        <w:rPr>
          <w:rFonts w:cstheme="minorHAnsi"/>
        </w:rPr>
      </w:pPr>
      <w:r w:rsidRPr="0040424F">
        <w:rPr>
          <w:rFonts w:cstheme="minorHAnsi"/>
          <w:sz w:val="22"/>
          <w:szCs w:val="22"/>
        </w:rPr>
        <w:t xml:space="preserve">For adolescents, an adapted version of the protocol </w:t>
      </w:r>
      <w:proofErr w:type="gramStart"/>
      <w:r w:rsidRPr="0040424F">
        <w:rPr>
          <w:rFonts w:cstheme="minorHAnsi"/>
          <w:sz w:val="22"/>
          <w:szCs w:val="22"/>
        </w:rPr>
        <w:t>was developed</w:t>
      </w:r>
      <w:proofErr w:type="gramEnd"/>
      <w:r w:rsidRPr="0040424F">
        <w:rPr>
          <w:rFonts w:cstheme="minorHAnsi"/>
          <w:sz w:val="22"/>
          <w:szCs w:val="22"/>
        </w:rPr>
        <w:t xml:space="preserve">, in which parents are actively involved </w:t>
      </w:r>
      <w:r>
        <w:rPr>
          <w:rFonts w:cstheme="minorHAnsi"/>
          <w:noProof/>
          <w:sz w:val="22"/>
          <w:szCs w:val="22"/>
        </w:rPr>
        <w:t>(Nijhof, Bleijenberg, Uiterwaal, Kimpen, &amp; Putte, 2012)</w:t>
      </w:r>
      <w:r w:rsidRPr="0040424F">
        <w:rPr>
          <w:rFonts w:cstheme="minorHAnsi"/>
          <w:sz w:val="22"/>
          <w:szCs w:val="22"/>
        </w:rPr>
        <w:t xml:space="preserve">. The aims of the therapy take the </w:t>
      </w:r>
      <w:r w:rsidRPr="0040424F">
        <w:rPr>
          <w:rFonts w:cstheme="minorHAnsi"/>
          <w:sz w:val="22"/>
          <w:szCs w:val="22"/>
        </w:rPr>
        <w:lastRenderedPageBreak/>
        <w:t>specific developmental tasks of adolescents into account and return to full-time education is one of the treatment goals</w:t>
      </w:r>
      <w:r w:rsidRPr="0040424F">
        <w:rPr>
          <w:rFonts w:cstheme="minorHAnsi"/>
        </w:rPr>
        <w:t xml:space="preserve">. </w:t>
      </w:r>
    </w:p>
    <w:p w14:paraId="1CE84ED0" w14:textId="77777777" w:rsidR="00891A41" w:rsidRPr="0040424F" w:rsidRDefault="00891A41" w:rsidP="00C131CF">
      <w:pPr>
        <w:spacing w:line="360" w:lineRule="auto"/>
        <w:rPr>
          <w:rFonts w:cstheme="minorHAnsi"/>
          <w:b/>
          <w:bCs/>
          <w:color w:val="000000"/>
          <w:sz w:val="22"/>
          <w:szCs w:val="22"/>
        </w:rPr>
      </w:pPr>
    </w:p>
    <w:p w14:paraId="17244F6A" w14:textId="77777777" w:rsidR="00891A41" w:rsidRPr="0040424F" w:rsidRDefault="00891A41" w:rsidP="00C131CF">
      <w:pPr>
        <w:spacing w:line="360" w:lineRule="auto"/>
        <w:rPr>
          <w:rFonts w:cstheme="minorHAnsi"/>
          <w:b/>
          <w:bCs/>
          <w:color w:val="000000"/>
          <w:sz w:val="22"/>
          <w:szCs w:val="22"/>
        </w:rPr>
      </w:pPr>
      <w:r w:rsidRPr="0040424F">
        <w:rPr>
          <w:rFonts w:cstheme="minorHAnsi"/>
          <w:b/>
          <w:bCs/>
          <w:color w:val="000000"/>
          <w:sz w:val="22"/>
          <w:szCs w:val="22"/>
        </w:rPr>
        <w:t>Method of identifying studies</w:t>
      </w:r>
    </w:p>
    <w:p w14:paraId="670764C8" w14:textId="4F591732" w:rsidR="00891A41" w:rsidRPr="0040424F" w:rsidRDefault="00891A41" w:rsidP="00C131CF">
      <w:pPr>
        <w:spacing w:line="360" w:lineRule="auto"/>
        <w:rPr>
          <w:rFonts w:cstheme="minorHAnsi"/>
          <w:sz w:val="22"/>
          <w:szCs w:val="22"/>
        </w:rPr>
      </w:pPr>
      <w:r w:rsidRPr="0040424F">
        <w:rPr>
          <w:rFonts w:cstheme="minorHAnsi"/>
          <w:sz w:val="22"/>
          <w:szCs w:val="22"/>
        </w:rPr>
        <w:t>On October 10</w:t>
      </w:r>
      <w:r w:rsidRPr="0040424F">
        <w:rPr>
          <w:rFonts w:cstheme="minorHAnsi"/>
          <w:sz w:val="22"/>
          <w:szCs w:val="22"/>
          <w:vertAlign w:val="superscript"/>
        </w:rPr>
        <w:t>th</w:t>
      </w:r>
      <w:r w:rsidRPr="0040424F">
        <w:rPr>
          <w:rFonts w:cstheme="minorHAnsi"/>
          <w:sz w:val="22"/>
          <w:szCs w:val="22"/>
        </w:rPr>
        <w:t xml:space="preserve"> 2022, TK and FM systematically searched the literature using MEDLINE, EMBASE, </w:t>
      </w:r>
      <w:proofErr w:type="spellStart"/>
      <w:r w:rsidRPr="0040424F">
        <w:rPr>
          <w:rFonts w:cstheme="minorHAnsi"/>
          <w:sz w:val="22"/>
          <w:szCs w:val="22"/>
        </w:rPr>
        <w:t>PsycINFO</w:t>
      </w:r>
      <w:proofErr w:type="spellEnd"/>
      <w:r w:rsidRPr="0040424F">
        <w:rPr>
          <w:rFonts w:cstheme="minorHAnsi"/>
          <w:sz w:val="22"/>
          <w:szCs w:val="22"/>
        </w:rPr>
        <w:t xml:space="preserve">, and Web of Science, for studies satisfying our eligibility criteria. The search was updated on </w:t>
      </w:r>
      <w:proofErr w:type="gramStart"/>
      <w:r w:rsidRPr="0040424F">
        <w:rPr>
          <w:rFonts w:cstheme="minorHAnsi"/>
          <w:sz w:val="22"/>
          <w:szCs w:val="22"/>
        </w:rPr>
        <w:t>May,</w:t>
      </w:r>
      <w:proofErr w:type="gramEnd"/>
      <w:r w:rsidRPr="0040424F">
        <w:rPr>
          <w:rFonts w:cstheme="minorHAnsi"/>
          <w:sz w:val="22"/>
          <w:szCs w:val="22"/>
        </w:rPr>
        <w:t xml:space="preserve"> 29</w:t>
      </w:r>
      <w:r w:rsidRPr="0040424F">
        <w:rPr>
          <w:rFonts w:cstheme="minorHAnsi"/>
          <w:sz w:val="22"/>
          <w:szCs w:val="22"/>
          <w:vertAlign w:val="superscript"/>
        </w:rPr>
        <w:t>th</w:t>
      </w:r>
      <w:r w:rsidRPr="0040424F">
        <w:rPr>
          <w:rFonts w:cstheme="minorHAnsi"/>
          <w:sz w:val="22"/>
          <w:szCs w:val="22"/>
        </w:rPr>
        <w:t xml:space="preserve"> 2023. We searched between January 1 1999, the year in which the first study using the Dutch protocol </w:t>
      </w:r>
      <w:r>
        <w:rPr>
          <w:rFonts w:cstheme="minorHAnsi"/>
          <w:noProof/>
          <w:sz w:val="22"/>
          <w:szCs w:val="22"/>
        </w:rPr>
        <w:t>(Prins &amp; Bleijenberg, 1999)</w:t>
      </w:r>
      <w:r w:rsidRPr="0040424F">
        <w:rPr>
          <w:rFonts w:cstheme="minorHAnsi"/>
          <w:sz w:val="22"/>
          <w:szCs w:val="22"/>
        </w:rPr>
        <w:t xml:space="preserve"> </w:t>
      </w:r>
      <w:proofErr w:type="gramStart"/>
      <w:r w:rsidRPr="0040424F">
        <w:rPr>
          <w:rFonts w:cstheme="minorHAnsi"/>
          <w:sz w:val="22"/>
          <w:szCs w:val="22"/>
        </w:rPr>
        <w:t>was published</w:t>
      </w:r>
      <w:proofErr w:type="gramEnd"/>
      <w:r w:rsidRPr="0040424F">
        <w:rPr>
          <w:rFonts w:cstheme="minorHAnsi"/>
          <w:sz w:val="22"/>
          <w:szCs w:val="22"/>
        </w:rPr>
        <w:t>, and the date of the search or update. Used keywords included terms for chronic fatigue syndrome, cognitive behaviour therapy and randomized controlled trial. We did not include grey literature.</w:t>
      </w:r>
    </w:p>
    <w:p w14:paraId="21B22D3E" w14:textId="77777777" w:rsidR="00891A41" w:rsidRPr="0040424F" w:rsidRDefault="00891A41" w:rsidP="00C131CF">
      <w:pPr>
        <w:spacing w:line="360" w:lineRule="auto"/>
        <w:rPr>
          <w:rFonts w:cstheme="minorHAnsi"/>
          <w:sz w:val="22"/>
          <w:szCs w:val="22"/>
        </w:rPr>
      </w:pPr>
    </w:p>
    <w:p w14:paraId="4B7E5C2B" w14:textId="77777777" w:rsidR="00891A41" w:rsidRPr="0040424F" w:rsidRDefault="00891A41" w:rsidP="00C131CF">
      <w:pPr>
        <w:spacing w:line="360" w:lineRule="auto"/>
        <w:rPr>
          <w:rFonts w:cstheme="minorHAnsi"/>
          <w:b/>
          <w:bCs/>
          <w:color w:val="000000" w:themeColor="text1"/>
          <w:sz w:val="22"/>
          <w:szCs w:val="22"/>
        </w:rPr>
      </w:pPr>
      <w:r w:rsidRPr="0040424F">
        <w:rPr>
          <w:rFonts w:cstheme="minorHAnsi"/>
          <w:b/>
          <w:sz w:val="22"/>
          <w:szCs w:val="22"/>
        </w:rPr>
        <w:t>Full electronic search strategy, exemplary for one database</w:t>
      </w:r>
    </w:p>
    <w:p w14:paraId="49A2C3C0" w14:textId="77777777" w:rsidR="00891A41" w:rsidRPr="0040424F" w:rsidRDefault="00891A41" w:rsidP="00C131CF">
      <w:pPr>
        <w:spacing w:line="360" w:lineRule="auto"/>
        <w:rPr>
          <w:rFonts w:cstheme="minorHAnsi"/>
          <w:b/>
          <w:bCs/>
          <w:color w:val="000000" w:themeColor="text1"/>
          <w:sz w:val="22"/>
          <w:szCs w:val="22"/>
        </w:rPr>
      </w:pPr>
      <w:r w:rsidRPr="0040424F">
        <w:rPr>
          <w:rFonts w:eastAsia="Times New Roman" w:cstheme="minorHAnsi"/>
          <w:sz w:val="22"/>
          <w:szCs w:val="22"/>
          <w:lang w:eastAsia="nl-NL"/>
        </w:rPr>
        <w:t xml:space="preserve"> (chronic fatigue syndrome or chronic fatigue or </w:t>
      </w:r>
      <w:proofErr w:type="spellStart"/>
      <w:r w:rsidRPr="0040424F">
        <w:rPr>
          <w:rFonts w:eastAsia="Times New Roman" w:cstheme="minorHAnsi"/>
          <w:sz w:val="22"/>
          <w:szCs w:val="22"/>
          <w:lang w:eastAsia="nl-NL"/>
        </w:rPr>
        <w:t>myalg</w:t>
      </w:r>
      <w:proofErr w:type="spellEnd"/>
      <w:r w:rsidRPr="0040424F">
        <w:rPr>
          <w:rFonts w:eastAsia="Times New Roman" w:cstheme="minorHAnsi"/>
          <w:sz w:val="22"/>
          <w:szCs w:val="22"/>
          <w:lang w:eastAsia="nl-NL"/>
        </w:rPr>
        <w:t xml:space="preserve">* </w:t>
      </w:r>
      <w:proofErr w:type="spellStart"/>
      <w:r w:rsidRPr="0040424F">
        <w:rPr>
          <w:rFonts w:eastAsia="Times New Roman" w:cstheme="minorHAnsi"/>
          <w:sz w:val="22"/>
          <w:szCs w:val="22"/>
          <w:lang w:eastAsia="nl-NL"/>
        </w:rPr>
        <w:t>encephal</w:t>
      </w:r>
      <w:proofErr w:type="spellEnd"/>
      <w:r w:rsidRPr="0040424F">
        <w:rPr>
          <w:rFonts w:eastAsia="Times New Roman" w:cstheme="minorHAnsi"/>
          <w:sz w:val="22"/>
          <w:szCs w:val="22"/>
          <w:lang w:eastAsia="nl-NL"/>
        </w:rPr>
        <w:t xml:space="preserve">* or asthenia or neurasthenia or </w:t>
      </w:r>
      <w:proofErr w:type="spellStart"/>
      <w:r w:rsidRPr="0040424F">
        <w:rPr>
          <w:rFonts w:eastAsia="Times New Roman" w:cstheme="minorHAnsi"/>
          <w:sz w:val="22"/>
          <w:szCs w:val="22"/>
          <w:lang w:eastAsia="nl-NL"/>
        </w:rPr>
        <w:t>post?viral</w:t>
      </w:r>
      <w:proofErr w:type="spellEnd"/>
      <w:r w:rsidRPr="0040424F">
        <w:rPr>
          <w:rFonts w:eastAsia="Times New Roman" w:cstheme="minorHAnsi"/>
          <w:sz w:val="22"/>
          <w:szCs w:val="22"/>
          <w:lang w:eastAsia="nl-NL"/>
        </w:rPr>
        <w:t xml:space="preserve"> fatigue* or ME?CFS or systematic exertion intolerance disease).</w:t>
      </w:r>
      <w:proofErr w:type="spellStart"/>
      <w:r w:rsidRPr="0040424F">
        <w:rPr>
          <w:rFonts w:eastAsia="Times New Roman" w:cstheme="minorHAnsi"/>
          <w:sz w:val="22"/>
          <w:szCs w:val="22"/>
          <w:lang w:eastAsia="nl-NL"/>
        </w:rPr>
        <w:t>ti,ab</w:t>
      </w:r>
      <w:proofErr w:type="spellEnd"/>
      <w:r w:rsidRPr="0040424F">
        <w:rPr>
          <w:rFonts w:eastAsia="Times New Roman" w:cstheme="minorHAnsi"/>
          <w:sz w:val="22"/>
          <w:szCs w:val="22"/>
          <w:lang w:eastAsia="nl-NL"/>
        </w:rPr>
        <w:t>.</w:t>
      </w:r>
      <w:r w:rsidRPr="0040424F">
        <w:rPr>
          <w:rFonts w:eastAsia="Times New Roman" w:cstheme="minorHAnsi"/>
          <w:sz w:val="22"/>
          <w:szCs w:val="22"/>
          <w:lang w:eastAsia="nl-NL"/>
        </w:rPr>
        <w:br/>
        <w:t xml:space="preserve">(cognitive </w:t>
      </w:r>
      <w:proofErr w:type="spellStart"/>
      <w:r w:rsidRPr="0040424F">
        <w:rPr>
          <w:rFonts w:eastAsia="Times New Roman" w:cstheme="minorHAnsi"/>
          <w:sz w:val="22"/>
          <w:szCs w:val="22"/>
          <w:lang w:eastAsia="nl-NL"/>
        </w:rPr>
        <w:t>behavio?ral</w:t>
      </w:r>
      <w:proofErr w:type="spellEnd"/>
      <w:r w:rsidRPr="0040424F">
        <w:rPr>
          <w:rFonts w:eastAsia="Times New Roman" w:cstheme="minorHAnsi"/>
          <w:sz w:val="22"/>
          <w:szCs w:val="22"/>
          <w:lang w:eastAsia="nl-NL"/>
        </w:rPr>
        <w:t xml:space="preserve"> therapy or CBT or cognitive therapy or </w:t>
      </w:r>
      <w:proofErr w:type="spellStart"/>
      <w:r w:rsidRPr="0040424F">
        <w:rPr>
          <w:rFonts w:eastAsia="Times New Roman" w:cstheme="minorHAnsi"/>
          <w:sz w:val="22"/>
          <w:szCs w:val="22"/>
          <w:lang w:eastAsia="nl-NL"/>
        </w:rPr>
        <w:t>behavio</w:t>
      </w:r>
      <w:proofErr w:type="spellEnd"/>
      <w:r w:rsidRPr="0040424F">
        <w:rPr>
          <w:rFonts w:eastAsia="Times New Roman" w:cstheme="minorHAnsi"/>
          <w:sz w:val="22"/>
          <w:szCs w:val="22"/>
          <w:lang w:eastAsia="nl-NL"/>
        </w:rPr>
        <w:t xml:space="preserve">* or </w:t>
      </w:r>
      <w:proofErr w:type="spellStart"/>
      <w:r w:rsidRPr="0040424F">
        <w:rPr>
          <w:rFonts w:eastAsia="Times New Roman" w:cstheme="minorHAnsi"/>
          <w:sz w:val="22"/>
          <w:szCs w:val="22"/>
          <w:lang w:eastAsia="nl-NL"/>
        </w:rPr>
        <w:t>behavio?ral</w:t>
      </w:r>
      <w:proofErr w:type="spellEnd"/>
      <w:r w:rsidRPr="0040424F">
        <w:rPr>
          <w:rFonts w:eastAsia="Times New Roman" w:cstheme="minorHAnsi"/>
          <w:sz w:val="22"/>
          <w:szCs w:val="22"/>
          <w:lang w:eastAsia="nl-NL"/>
        </w:rPr>
        <w:t>).</w:t>
      </w:r>
      <w:proofErr w:type="spellStart"/>
      <w:r w:rsidRPr="0040424F">
        <w:rPr>
          <w:rFonts w:eastAsia="Times New Roman" w:cstheme="minorHAnsi"/>
          <w:sz w:val="22"/>
          <w:szCs w:val="22"/>
          <w:lang w:eastAsia="nl-NL"/>
        </w:rPr>
        <w:t>ti,ab</w:t>
      </w:r>
      <w:proofErr w:type="spellEnd"/>
      <w:r w:rsidRPr="0040424F">
        <w:rPr>
          <w:rFonts w:eastAsia="Times New Roman" w:cstheme="minorHAnsi"/>
          <w:sz w:val="22"/>
          <w:szCs w:val="22"/>
          <w:lang w:eastAsia="nl-NL"/>
        </w:rPr>
        <w:t>.</w:t>
      </w:r>
      <w:r w:rsidRPr="0040424F">
        <w:rPr>
          <w:rFonts w:eastAsia="Times New Roman" w:cstheme="minorHAnsi"/>
          <w:sz w:val="22"/>
          <w:szCs w:val="22"/>
          <w:lang w:eastAsia="nl-NL"/>
        </w:rPr>
        <w:br/>
        <w:t>randomized controlled trial.pt.</w:t>
      </w:r>
      <w:r w:rsidRPr="0040424F">
        <w:rPr>
          <w:rFonts w:eastAsia="Times New Roman" w:cstheme="minorHAnsi"/>
          <w:sz w:val="22"/>
          <w:szCs w:val="22"/>
          <w:lang w:eastAsia="nl-NL"/>
        </w:rPr>
        <w:br/>
      </w:r>
      <w:proofErr w:type="spellStart"/>
      <w:proofErr w:type="gramStart"/>
      <w:r w:rsidRPr="0040424F">
        <w:rPr>
          <w:rFonts w:eastAsia="Times New Roman" w:cstheme="minorHAnsi"/>
          <w:sz w:val="22"/>
          <w:szCs w:val="22"/>
          <w:lang w:eastAsia="nl-NL"/>
        </w:rPr>
        <w:t>randomi?</w:t>
      </w:r>
      <w:proofErr w:type="gramEnd"/>
      <w:r w:rsidRPr="0040424F">
        <w:rPr>
          <w:rFonts w:eastAsia="Times New Roman" w:cstheme="minorHAnsi"/>
          <w:sz w:val="22"/>
          <w:szCs w:val="22"/>
          <w:lang w:eastAsia="nl-NL"/>
        </w:rPr>
        <w:t>ed.ab</w:t>
      </w:r>
      <w:proofErr w:type="spellEnd"/>
      <w:r w:rsidRPr="0040424F">
        <w:rPr>
          <w:rFonts w:eastAsia="Times New Roman" w:cstheme="minorHAnsi"/>
          <w:sz w:val="22"/>
          <w:szCs w:val="22"/>
          <w:lang w:eastAsia="nl-NL"/>
        </w:rPr>
        <w:t>.</w:t>
      </w:r>
      <w:r w:rsidRPr="0040424F">
        <w:rPr>
          <w:rFonts w:eastAsia="Times New Roman" w:cstheme="minorHAnsi"/>
          <w:sz w:val="22"/>
          <w:szCs w:val="22"/>
          <w:lang w:eastAsia="nl-NL"/>
        </w:rPr>
        <w:br/>
      </w:r>
      <w:proofErr w:type="gramStart"/>
      <w:r w:rsidRPr="0040424F">
        <w:rPr>
          <w:rFonts w:eastAsia="Times New Roman" w:cstheme="minorHAnsi"/>
          <w:sz w:val="22"/>
          <w:szCs w:val="22"/>
          <w:lang w:eastAsia="nl-NL"/>
        </w:rPr>
        <w:t>controlled</w:t>
      </w:r>
      <w:proofErr w:type="gramEnd"/>
      <w:r w:rsidRPr="0040424F">
        <w:rPr>
          <w:rFonts w:eastAsia="Times New Roman" w:cstheme="minorHAnsi"/>
          <w:sz w:val="22"/>
          <w:szCs w:val="22"/>
          <w:lang w:eastAsia="nl-NL"/>
        </w:rPr>
        <w:t xml:space="preserve"> clinical </w:t>
      </w:r>
      <w:proofErr w:type="spellStart"/>
      <w:r w:rsidRPr="0040424F">
        <w:rPr>
          <w:rFonts w:eastAsia="Times New Roman" w:cstheme="minorHAnsi"/>
          <w:sz w:val="22"/>
          <w:szCs w:val="22"/>
          <w:lang w:eastAsia="nl-NL"/>
        </w:rPr>
        <w:t>trial.ab</w:t>
      </w:r>
      <w:proofErr w:type="spellEnd"/>
      <w:r w:rsidRPr="0040424F">
        <w:rPr>
          <w:rFonts w:eastAsia="Times New Roman" w:cstheme="minorHAnsi"/>
          <w:sz w:val="22"/>
          <w:szCs w:val="22"/>
          <w:lang w:eastAsia="nl-NL"/>
        </w:rPr>
        <w:t>.</w:t>
      </w:r>
      <w:r w:rsidRPr="0040424F">
        <w:rPr>
          <w:rFonts w:eastAsia="Times New Roman" w:cstheme="minorHAnsi"/>
          <w:sz w:val="22"/>
          <w:szCs w:val="22"/>
          <w:lang w:eastAsia="nl-NL"/>
        </w:rPr>
        <w:br/>
      </w:r>
      <w:proofErr w:type="spellStart"/>
      <w:r w:rsidRPr="0040424F">
        <w:rPr>
          <w:rFonts w:eastAsia="Times New Roman" w:cstheme="minorHAnsi"/>
          <w:sz w:val="22"/>
          <w:szCs w:val="22"/>
          <w:lang w:eastAsia="nl-NL"/>
        </w:rPr>
        <w:t>placebo.ab</w:t>
      </w:r>
      <w:proofErr w:type="spellEnd"/>
      <w:proofErr w:type="gramStart"/>
      <w:r w:rsidRPr="0040424F">
        <w:rPr>
          <w:rFonts w:eastAsia="Times New Roman" w:cstheme="minorHAnsi"/>
          <w:sz w:val="22"/>
          <w:szCs w:val="22"/>
          <w:lang w:eastAsia="nl-NL"/>
        </w:rPr>
        <w:t>.</w:t>
      </w:r>
      <w:proofErr w:type="gramEnd"/>
      <w:r w:rsidRPr="0040424F">
        <w:rPr>
          <w:rFonts w:eastAsia="Times New Roman" w:cstheme="minorHAnsi"/>
          <w:sz w:val="22"/>
          <w:szCs w:val="22"/>
          <w:lang w:eastAsia="nl-NL"/>
        </w:rPr>
        <w:br/>
        <w:t>random*.ab.</w:t>
      </w:r>
      <w:r w:rsidRPr="0040424F">
        <w:rPr>
          <w:rFonts w:eastAsia="Times New Roman" w:cstheme="minorHAnsi"/>
          <w:sz w:val="22"/>
          <w:szCs w:val="22"/>
          <w:lang w:eastAsia="nl-NL"/>
        </w:rPr>
        <w:br/>
      </w:r>
      <w:proofErr w:type="spellStart"/>
      <w:r w:rsidRPr="0040424F">
        <w:rPr>
          <w:rFonts w:eastAsia="Times New Roman" w:cstheme="minorHAnsi"/>
          <w:sz w:val="22"/>
          <w:szCs w:val="22"/>
          <w:lang w:eastAsia="nl-NL"/>
        </w:rPr>
        <w:t>trial.ab</w:t>
      </w:r>
      <w:proofErr w:type="spellEnd"/>
      <w:r w:rsidRPr="0040424F">
        <w:rPr>
          <w:rFonts w:eastAsia="Times New Roman" w:cstheme="minorHAnsi"/>
          <w:sz w:val="22"/>
          <w:szCs w:val="22"/>
          <w:lang w:eastAsia="nl-NL"/>
        </w:rPr>
        <w:t>.</w:t>
      </w:r>
      <w:r w:rsidRPr="0040424F">
        <w:rPr>
          <w:rFonts w:eastAsia="Times New Roman" w:cstheme="minorHAnsi"/>
          <w:sz w:val="22"/>
          <w:szCs w:val="22"/>
          <w:lang w:eastAsia="nl-NL"/>
        </w:rPr>
        <w:br/>
      </w:r>
      <w:proofErr w:type="spellStart"/>
      <w:r w:rsidRPr="0040424F">
        <w:rPr>
          <w:rFonts w:eastAsia="Times New Roman" w:cstheme="minorHAnsi"/>
          <w:sz w:val="22"/>
          <w:szCs w:val="22"/>
          <w:lang w:eastAsia="nl-NL"/>
        </w:rPr>
        <w:t>groups.ab</w:t>
      </w:r>
      <w:proofErr w:type="spellEnd"/>
      <w:proofErr w:type="gramStart"/>
      <w:r w:rsidRPr="0040424F">
        <w:rPr>
          <w:rFonts w:eastAsia="Times New Roman" w:cstheme="minorHAnsi"/>
          <w:sz w:val="22"/>
          <w:szCs w:val="22"/>
          <w:lang w:eastAsia="nl-NL"/>
        </w:rPr>
        <w:t>.</w:t>
      </w:r>
      <w:proofErr w:type="gramEnd"/>
      <w:r w:rsidRPr="0040424F">
        <w:rPr>
          <w:rFonts w:eastAsia="Times New Roman" w:cstheme="minorHAnsi"/>
          <w:sz w:val="22"/>
          <w:szCs w:val="22"/>
          <w:lang w:eastAsia="nl-NL"/>
        </w:rPr>
        <w:br/>
        <w:t>3 or 4 or 5 or 6 or 7 or 8 or 9</w:t>
      </w:r>
      <w:r w:rsidRPr="0040424F">
        <w:rPr>
          <w:rFonts w:eastAsia="Times New Roman" w:cstheme="minorHAnsi"/>
          <w:sz w:val="22"/>
          <w:szCs w:val="22"/>
          <w:lang w:eastAsia="nl-NL"/>
        </w:rPr>
        <w:br/>
        <w:t>1 and 2 and 10</w:t>
      </w:r>
      <w:r w:rsidRPr="0040424F">
        <w:rPr>
          <w:rFonts w:eastAsia="Times New Roman" w:cstheme="minorHAnsi"/>
          <w:sz w:val="22"/>
          <w:szCs w:val="22"/>
          <w:lang w:eastAsia="nl-NL"/>
        </w:rPr>
        <w:br/>
        <w:t>limit 11 to human</w:t>
      </w:r>
      <w:r w:rsidRPr="0040424F">
        <w:rPr>
          <w:rFonts w:eastAsia="Times New Roman" w:cstheme="minorHAnsi"/>
          <w:sz w:val="22"/>
          <w:szCs w:val="22"/>
          <w:lang w:eastAsia="nl-NL"/>
        </w:rPr>
        <w:br/>
        <w:t xml:space="preserve">limit 12 to </w:t>
      </w:r>
      <w:proofErr w:type="spellStart"/>
      <w:r w:rsidRPr="0040424F">
        <w:rPr>
          <w:rFonts w:eastAsia="Times New Roman" w:cstheme="minorHAnsi"/>
          <w:sz w:val="22"/>
          <w:szCs w:val="22"/>
          <w:lang w:eastAsia="nl-NL"/>
        </w:rPr>
        <w:t>yr</w:t>
      </w:r>
      <w:proofErr w:type="spellEnd"/>
      <w:r w:rsidRPr="0040424F">
        <w:rPr>
          <w:rFonts w:eastAsia="Times New Roman" w:cstheme="minorHAnsi"/>
          <w:sz w:val="22"/>
          <w:szCs w:val="22"/>
          <w:lang w:eastAsia="nl-NL"/>
        </w:rPr>
        <w:t>="1999 -Current"</w:t>
      </w:r>
      <w:r w:rsidRPr="0040424F">
        <w:rPr>
          <w:rFonts w:eastAsia="Times New Roman" w:cstheme="minorHAnsi"/>
          <w:sz w:val="22"/>
          <w:szCs w:val="22"/>
          <w:lang w:eastAsia="nl-NL"/>
        </w:rPr>
        <w:br/>
      </w:r>
    </w:p>
    <w:p w14:paraId="043C6655" w14:textId="77777777" w:rsidR="00891A41" w:rsidRPr="0040424F" w:rsidRDefault="00891A41">
      <w:pPr>
        <w:spacing w:after="160" w:line="259" w:lineRule="auto"/>
        <w:rPr>
          <w:rFonts w:cstheme="minorHAnsi"/>
          <w:b/>
          <w:sz w:val="22"/>
          <w:szCs w:val="22"/>
        </w:rPr>
      </w:pPr>
      <w:r w:rsidRPr="0040424F">
        <w:rPr>
          <w:rFonts w:cstheme="minorHAnsi"/>
          <w:b/>
          <w:sz w:val="22"/>
          <w:szCs w:val="22"/>
        </w:rPr>
        <w:br w:type="page"/>
      </w:r>
    </w:p>
    <w:p w14:paraId="1C2E8C98" w14:textId="77777777" w:rsidR="00891A41" w:rsidRPr="0040424F" w:rsidRDefault="00891A41" w:rsidP="00C131CF">
      <w:pPr>
        <w:spacing w:line="360" w:lineRule="auto"/>
        <w:rPr>
          <w:rFonts w:cstheme="minorHAnsi"/>
          <w:b/>
          <w:bCs/>
          <w:color w:val="000000" w:themeColor="text1"/>
          <w:sz w:val="22"/>
          <w:szCs w:val="22"/>
        </w:rPr>
      </w:pPr>
      <w:r w:rsidRPr="0040424F">
        <w:rPr>
          <w:rFonts w:cstheme="minorHAnsi"/>
          <w:b/>
          <w:sz w:val="22"/>
          <w:szCs w:val="22"/>
        </w:rPr>
        <w:lastRenderedPageBreak/>
        <w:t>D</w:t>
      </w:r>
      <w:r w:rsidRPr="0040424F">
        <w:rPr>
          <w:rFonts w:cstheme="minorHAnsi"/>
          <w:b/>
          <w:bCs/>
          <w:color w:val="000000" w:themeColor="text1"/>
          <w:sz w:val="22"/>
          <w:szCs w:val="22"/>
        </w:rPr>
        <w:t xml:space="preserve">etails of the study selection process </w:t>
      </w:r>
    </w:p>
    <w:p w14:paraId="40D46229" w14:textId="77777777" w:rsidR="00891A41" w:rsidRPr="0040424F" w:rsidRDefault="00891A41" w:rsidP="00C131CF">
      <w:pPr>
        <w:spacing w:line="360" w:lineRule="auto"/>
        <w:rPr>
          <w:rFonts w:cstheme="minorHAnsi"/>
          <w:color w:val="000000" w:themeColor="text1"/>
          <w:sz w:val="22"/>
          <w:szCs w:val="22"/>
        </w:rPr>
      </w:pPr>
      <w:r w:rsidRPr="0040424F">
        <w:rPr>
          <w:rFonts w:cstheme="minorHAnsi"/>
          <w:color w:val="000000" w:themeColor="text1"/>
          <w:sz w:val="22"/>
          <w:szCs w:val="22"/>
        </w:rPr>
        <w:t xml:space="preserve">Authors TK and IC independently screened all titles and abstracts for eligibility. </w:t>
      </w:r>
      <w:proofErr w:type="gramStart"/>
      <w:r w:rsidRPr="0040424F">
        <w:rPr>
          <w:rFonts w:cstheme="minorHAnsi"/>
          <w:color w:val="000000" w:themeColor="text1"/>
          <w:sz w:val="22"/>
          <w:szCs w:val="22"/>
        </w:rPr>
        <w:t>Next, full texts papers were screened by the same authors for studies that met all inclusion criteria</w:t>
      </w:r>
      <w:proofErr w:type="gramEnd"/>
      <w:r w:rsidRPr="0040424F">
        <w:rPr>
          <w:rFonts w:cstheme="minorHAnsi"/>
          <w:color w:val="000000" w:themeColor="text1"/>
          <w:sz w:val="22"/>
          <w:szCs w:val="22"/>
        </w:rPr>
        <w:t xml:space="preserve">. </w:t>
      </w:r>
    </w:p>
    <w:p w14:paraId="2EC6888D" w14:textId="77777777" w:rsidR="00891A41" w:rsidRPr="0040424F" w:rsidRDefault="00891A41" w:rsidP="00C131CF">
      <w:pPr>
        <w:spacing w:line="360" w:lineRule="auto"/>
        <w:rPr>
          <w:rFonts w:cstheme="minorHAnsi"/>
          <w:color w:val="000000" w:themeColor="text1"/>
          <w:sz w:val="22"/>
          <w:szCs w:val="22"/>
        </w:rPr>
      </w:pPr>
      <w:r w:rsidRPr="0040424F">
        <w:rPr>
          <w:rFonts w:cstheme="minorHAnsi"/>
          <w:bCs/>
          <w:color w:val="000000" w:themeColor="text1"/>
          <w:sz w:val="22"/>
          <w:szCs w:val="22"/>
        </w:rPr>
        <w:t xml:space="preserve">After removing duplicates, 2386 records </w:t>
      </w:r>
      <w:proofErr w:type="gramStart"/>
      <w:r w:rsidRPr="0040424F">
        <w:rPr>
          <w:rFonts w:cstheme="minorHAnsi"/>
          <w:bCs/>
          <w:color w:val="000000" w:themeColor="text1"/>
          <w:sz w:val="22"/>
          <w:szCs w:val="22"/>
        </w:rPr>
        <w:t>were identified</w:t>
      </w:r>
      <w:proofErr w:type="gramEnd"/>
      <w:r w:rsidRPr="0040424F">
        <w:rPr>
          <w:rFonts w:cstheme="minorHAnsi"/>
          <w:bCs/>
          <w:color w:val="000000" w:themeColor="text1"/>
          <w:sz w:val="22"/>
          <w:szCs w:val="22"/>
        </w:rPr>
        <w:t xml:space="preserve">. After screening titles and abstracts </w:t>
      </w:r>
      <w:proofErr w:type="gramStart"/>
      <w:r w:rsidRPr="0040424F">
        <w:rPr>
          <w:rFonts w:cstheme="minorHAnsi"/>
          <w:bCs/>
          <w:color w:val="000000" w:themeColor="text1"/>
          <w:sz w:val="22"/>
          <w:szCs w:val="22"/>
        </w:rPr>
        <w:t>1586</w:t>
      </w:r>
      <w:proofErr w:type="gramEnd"/>
      <w:r w:rsidRPr="0040424F">
        <w:rPr>
          <w:rFonts w:cstheme="minorHAnsi"/>
          <w:bCs/>
          <w:color w:val="000000" w:themeColor="text1"/>
          <w:sz w:val="22"/>
          <w:szCs w:val="22"/>
        </w:rPr>
        <w:t xml:space="preserve"> records were excluded. </w:t>
      </w:r>
      <w:proofErr w:type="gramStart"/>
      <w:r w:rsidRPr="0040424F">
        <w:rPr>
          <w:rFonts w:cstheme="minorHAnsi"/>
          <w:sz w:val="22"/>
          <w:szCs w:val="22"/>
        </w:rPr>
        <w:t>A total of 1141</w:t>
      </w:r>
      <w:proofErr w:type="gramEnd"/>
      <w:r w:rsidRPr="0040424F">
        <w:rPr>
          <w:rFonts w:cstheme="minorHAnsi"/>
          <w:sz w:val="22"/>
          <w:szCs w:val="22"/>
        </w:rPr>
        <w:t xml:space="preserve"> records were excluded because the subject was not (chronic) fatigue. </w:t>
      </w:r>
      <w:proofErr w:type="gramStart"/>
      <w:r w:rsidRPr="0040424F">
        <w:rPr>
          <w:rFonts w:cstheme="minorHAnsi"/>
          <w:sz w:val="22"/>
          <w:szCs w:val="22"/>
        </w:rPr>
        <w:t>A total of 445</w:t>
      </w:r>
      <w:proofErr w:type="gramEnd"/>
      <w:r w:rsidRPr="0040424F">
        <w:rPr>
          <w:rFonts w:cstheme="minorHAnsi"/>
          <w:sz w:val="22"/>
          <w:szCs w:val="22"/>
        </w:rPr>
        <w:t xml:space="preserve"> records </w:t>
      </w:r>
      <w:r>
        <w:rPr>
          <w:rFonts w:cstheme="minorHAnsi"/>
          <w:sz w:val="22"/>
          <w:szCs w:val="22"/>
        </w:rPr>
        <w:t>in which the</w:t>
      </w:r>
      <w:r w:rsidRPr="0040424F">
        <w:rPr>
          <w:rFonts w:cstheme="minorHAnsi"/>
          <w:sz w:val="22"/>
          <w:szCs w:val="22"/>
        </w:rPr>
        <w:t xml:space="preserve"> subject</w:t>
      </w:r>
      <w:r>
        <w:rPr>
          <w:rFonts w:cstheme="minorHAnsi"/>
          <w:sz w:val="22"/>
          <w:szCs w:val="22"/>
        </w:rPr>
        <w:t xml:space="preserve"> was</w:t>
      </w:r>
      <w:r w:rsidRPr="0040424F">
        <w:rPr>
          <w:rFonts w:cstheme="minorHAnsi"/>
          <w:sz w:val="22"/>
          <w:szCs w:val="22"/>
        </w:rPr>
        <w:t xml:space="preserve"> (chronic) fatigue were excluded, because they did not investigate CBT. This resulted in 61 full texts. </w:t>
      </w:r>
      <w:r w:rsidRPr="0040424F">
        <w:rPr>
          <w:rFonts w:cstheme="minorHAnsi"/>
          <w:bCs/>
          <w:color w:val="000000" w:themeColor="text1"/>
          <w:sz w:val="22"/>
          <w:szCs w:val="22"/>
        </w:rPr>
        <w:t xml:space="preserve">Review of these texts led to further exclusion of 53 records. The reasons for excluding the 53 studies </w:t>
      </w:r>
      <w:proofErr w:type="gramStart"/>
      <w:r w:rsidRPr="0040424F">
        <w:rPr>
          <w:rFonts w:cstheme="minorHAnsi"/>
          <w:bCs/>
          <w:color w:val="000000" w:themeColor="text1"/>
          <w:sz w:val="22"/>
          <w:szCs w:val="22"/>
        </w:rPr>
        <w:t>are listed</w:t>
      </w:r>
      <w:proofErr w:type="gramEnd"/>
      <w:r w:rsidRPr="0040424F">
        <w:rPr>
          <w:rFonts w:cstheme="minorHAnsi"/>
          <w:bCs/>
          <w:color w:val="000000" w:themeColor="text1"/>
          <w:sz w:val="22"/>
          <w:szCs w:val="22"/>
        </w:rPr>
        <w:t xml:space="preserve"> below. </w:t>
      </w:r>
    </w:p>
    <w:p w14:paraId="117151E8" w14:textId="77777777" w:rsidR="00891A41" w:rsidRPr="0040424F" w:rsidRDefault="00891A41" w:rsidP="00C131CF">
      <w:pPr>
        <w:spacing w:line="360" w:lineRule="auto"/>
        <w:rPr>
          <w:rFonts w:cstheme="minorHAnsi"/>
          <w:b/>
          <w:bCs/>
          <w:color w:val="000000" w:themeColor="text1"/>
          <w:sz w:val="22"/>
          <w:szCs w:val="22"/>
        </w:rPr>
      </w:pPr>
    </w:p>
    <w:p w14:paraId="435FEC1A" w14:textId="1F53AB80"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2</w:t>
      </w:r>
      <w:proofErr w:type="gramEnd"/>
      <w:r w:rsidRPr="0040424F">
        <w:rPr>
          <w:rFonts w:cstheme="minorHAnsi"/>
          <w:color w:val="000000" w:themeColor="text1"/>
          <w:sz w:val="22"/>
          <w:szCs w:val="22"/>
        </w:rPr>
        <w:t xml:space="preserve"> studies were excluded because it was a </w:t>
      </w:r>
      <w:r w:rsidRPr="00B536EA">
        <w:rPr>
          <w:rFonts w:cstheme="minorHAnsi"/>
          <w:color w:val="000000" w:themeColor="text1"/>
          <w:sz w:val="22"/>
          <w:szCs w:val="22"/>
        </w:rPr>
        <w:t xml:space="preserve">translation of another record </w:t>
      </w:r>
      <w:r w:rsidR="00B536EA" w:rsidRPr="00B536EA">
        <w:rPr>
          <w:rFonts w:cstheme="minorHAnsi"/>
          <w:noProof/>
          <w:color w:val="000000" w:themeColor="text1"/>
          <w:sz w:val="22"/>
          <w:szCs w:val="22"/>
        </w:rPr>
        <w:t>(</w:t>
      </w:r>
      <w:r w:rsidRPr="00B536EA">
        <w:rPr>
          <w:rFonts w:cstheme="minorHAnsi"/>
          <w:noProof/>
          <w:color w:val="000000" w:themeColor="text1"/>
          <w:sz w:val="22"/>
          <w:szCs w:val="22"/>
        </w:rPr>
        <w:t>Prins et al., 2002;</w:t>
      </w:r>
      <w:r>
        <w:rPr>
          <w:rFonts w:cstheme="minorHAnsi"/>
          <w:noProof/>
          <w:color w:val="000000" w:themeColor="text1"/>
          <w:sz w:val="22"/>
          <w:szCs w:val="22"/>
        </w:rPr>
        <w:t xml:space="preserve"> Tummers et al., 2011)</w:t>
      </w:r>
      <w:r w:rsidRPr="0040424F">
        <w:rPr>
          <w:rFonts w:cstheme="minorHAnsi"/>
          <w:color w:val="000000" w:themeColor="text1"/>
          <w:sz w:val="22"/>
          <w:szCs w:val="22"/>
        </w:rPr>
        <w:t>.</w:t>
      </w:r>
    </w:p>
    <w:p w14:paraId="51F16B79" w14:textId="77777777"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4</w:t>
      </w:r>
      <w:proofErr w:type="gramEnd"/>
      <w:r w:rsidRPr="0040424F">
        <w:rPr>
          <w:rFonts w:cstheme="minorHAnsi"/>
          <w:color w:val="000000" w:themeColor="text1"/>
          <w:sz w:val="22"/>
          <w:szCs w:val="22"/>
        </w:rPr>
        <w:t xml:space="preserve"> studies were excluded because the study population was not ME/CFS </w:t>
      </w:r>
      <w:r>
        <w:rPr>
          <w:rFonts w:cstheme="minorHAnsi"/>
          <w:noProof/>
          <w:color w:val="000000" w:themeColor="text1"/>
          <w:sz w:val="22"/>
          <w:szCs w:val="22"/>
        </w:rPr>
        <w:t>(Breukers et al., 2019; Chisholm et al., 2001; Janse, Wiborg, Bleijenberg, Tummers, &amp; Knoop, 2016; McCrone, Ridsdale, Darbishire, &amp; Seed, 2004)</w:t>
      </w:r>
      <w:r w:rsidRPr="0040424F">
        <w:rPr>
          <w:rFonts w:cstheme="minorHAnsi"/>
          <w:color w:val="000000" w:themeColor="text1"/>
          <w:sz w:val="22"/>
          <w:szCs w:val="22"/>
        </w:rPr>
        <w:t>.</w:t>
      </w:r>
    </w:p>
    <w:p w14:paraId="35B4EC7B" w14:textId="5C99C20D"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 xml:space="preserve">15 studies were excluded because the investigated intervention was not CBT targeting fatigue </w:t>
      </w:r>
      <w:r>
        <w:rPr>
          <w:rFonts w:cstheme="minorHAnsi"/>
          <w:noProof/>
          <w:color w:val="000000" w:themeColor="text1"/>
          <w:sz w:val="22"/>
          <w:szCs w:val="22"/>
        </w:rPr>
        <w:t>(Antoni et al., 2014; Antoni et al., 2013; Cox, 2002; Lopez et al., 2011; May et al., 2022; Pinxsterhuis, Sandvik, Strand, Bautz-Holter, &amp; Sveen, 2017; Powell, Bentall, Nye, &amp; Edwards, 2001; Ridsdale, Hurley, King, McCrone, &amp; Donaldson, 2012; Rimes &amp; Wingrove, 2013; Taylor, 2004; Thomas, Sadlier, &amp; Smith, 2006; Thomas, Sadlier, &amp; Smith, 2008; Trondalen et al., 2020; Viner et al., 2004; Wearden et al., 2010)</w:t>
      </w:r>
      <w:r w:rsidRPr="0040424F">
        <w:rPr>
          <w:rFonts w:cstheme="minorHAnsi"/>
          <w:color w:val="000000" w:themeColor="text1"/>
          <w:sz w:val="22"/>
          <w:szCs w:val="22"/>
        </w:rPr>
        <w:t>.</w:t>
      </w:r>
      <w:proofErr w:type="gramEnd"/>
    </w:p>
    <w:p w14:paraId="78E0F742" w14:textId="24844BE8"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 xml:space="preserve">14 studies were excluded because they did not investigate the efficacy of CBT </w:t>
      </w:r>
      <w:r>
        <w:rPr>
          <w:rFonts w:cstheme="minorHAnsi"/>
          <w:noProof/>
          <w:color w:val="000000" w:themeColor="text1"/>
          <w:sz w:val="22"/>
          <w:szCs w:val="22"/>
        </w:rPr>
        <w:t>(Adamson, Ali, Santhouse, Wessely, &amp; Chalder, 2020; Albers et al., 2021; Courtney, 2014; Deale, Husain, Chalder, &amp; Wessely, 2001; Meng &amp; Friedberg, 2015, 2017; Quarmby, Rimes, Deale, Wessely, &amp; Chalder, 2007; Severens, Prins, van der Wilt, van der Meer, &amp; Bleijenberg, 2004; Tummers, Knoop, &amp; Bleijenberg, 2010; Tummers, Knoop, van Dam, &amp; Bleijenberg, 2013; van Geelen, Bakker, Kuis, &amp; van de Putte, 2010; Whitehead &amp; Campion, 2002; Wilshire et al., 2018; Worm-Smeitink et al., 2019)</w:t>
      </w:r>
      <w:r w:rsidRPr="0040424F">
        <w:rPr>
          <w:rFonts w:cstheme="minorHAnsi"/>
          <w:color w:val="000000" w:themeColor="text1"/>
          <w:sz w:val="22"/>
          <w:szCs w:val="22"/>
        </w:rPr>
        <w:t>.</w:t>
      </w:r>
      <w:proofErr w:type="gramEnd"/>
    </w:p>
    <w:p w14:paraId="697A913D" w14:textId="77777777"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5</w:t>
      </w:r>
      <w:proofErr w:type="gramEnd"/>
      <w:r w:rsidRPr="0040424F">
        <w:rPr>
          <w:rFonts w:cstheme="minorHAnsi"/>
          <w:color w:val="000000" w:themeColor="text1"/>
          <w:sz w:val="22"/>
          <w:szCs w:val="22"/>
        </w:rPr>
        <w:t xml:space="preserve"> studies were excluded because they investigated CBT as part of a multidisciplinary treatment or combined with other treatments </w:t>
      </w:r>
      <w:r>
        <w:rPr>
          <w:rFonts w:cstheme="minorHAnsi"/>
          <w:noProof/>
          <w:color w:val="000000" w:themeColor="text1"/>
          <w:sz w:val="22"/>
          <w:szCs w:val="22"/>
        </w:rPr>
        <w:t>(Al-Haggar, Al-Naggar, &amp; Abdel-Salam, 2006; Malik et al., 2020; Nunez et al., 2011; Sandler et al., 2015; Stevens, 1999)</w:t>
      </w:r>
      <w:r w:rsidRPr="0040424F">
        <w:rPr>
          <w:rFonts w:cstheme="minorHAnsi"/>
          <w:color w:val="000000" w:themeColor="text1"/>
          <w:sz w:val="22"/>
          <w:szCs w:val="22"/>
        </w:rPr>
        <w:t>.</w:t>
      </w:r>
    </w:p>
    <w:p w14:paraId="1E22D184" w14:textId="77777777" w:rsidR="00891A41" w:rsidRPr="0040424F" w:rsidRDefault="00891A41" w:rsidP="00C131CF">
      <w:pPr>
        <w:pStyle w:val="Lijstalinea"/>
        <w:numPr>
          <w:ilvl w:val="0"/>
          <w:numId w:val="1"/>
        </w:numPr>
        <w:spacing w:line="360" w:lineRule="auto"/>
        <w:rPr>
          <w:rFonts w:cstheme="minorHAnsi"/>
          <w:color w:val="000000" w:themeColor="text1"/>
          <w:sz w:val="22"/>
          <w:szCs w:val="22"/>
        </w:rPr>
      </w:pPr>
      <w:proofErr w:type="gramStart"/>
      <w:r w:rsidRPr="0040424F">
        <w:rPr>
          <w:rFonts w:cstheme="minorHAnsi"/>
          <w:color w:val="000000" w:themeColor="text1"/>
          <w:sz w:val="22"/>
          <w:szCs w:val="22"/>
        </w:rPr>
        <w:t>3</w:t>
      </w:r>
      <w:proofErr w:type="gramEnd"/>
      <w:r w:rsidRPr="0040424F">
        <w:rPr>
          <w:rFonts w:cstheme="minorHAnsi"/>
          <w:color w:val="000000" w:themeColor="text1"/>
          <w:sz w:val="22"/>
          <w:szCs w:val="22"/>
        </w:rPr>
        <w:t xml:space="preserve"> studies were excluded as they were not randomized or controlled </w:t>
      </w:r>
      <w:r>
        <w:rPr>
          <w:rFonts w:cstheme="minorHAnsi"/>
          <w:noProof/>
          <w:color w:val="000000" w:themeColor="text1"/>
          <w:sz w:val="22"/>
          <w:szCs w:val="22"/>
        </w:rPr>
        <w:t>(Akagi, Klimes, &amp; Bass, 2001; Bazelmans, Prins, Lulofs, van der Meer, &amp; Bleijenberg, 2005; Burgess &amp; Chalder, 2001)</w:t>
      </w:r>
      <w:r w:rsidRPr="0040424F">
        <w:rPr>
          <w:rFonts w:cstheme="minorHAnsi"/>
          <w:color w:val="000000" w:themeColor="text1"/>
          <w:sz w:val="22"/>
          <w:szCs w:val="22"/>
        </w:rPr>
        <w:t>.</w:t>
      </w:r>
    </w:p>
    <w:p w14:paraId="38CC6E33" w14:textId="77777777" w:rsidR="00891A41" w:rsidRPr="0040424F" w:rsidRDefault="00891A41" w:rsidP="00C131CF">
      <w:pPr>
        <w:pStyle w:val="Lijstalinea"/>
        <w:numPr>
          <w:ilvl w:val="0"/>
          <w:numId w:val="1"/>
        </w:numPr>
        <w:spacing w:line="360" w:lineRule="auto"/>
        <w:rPr>
          <w:rFonts w:cstheme="minorHAnsi"/>
          <w:color w:val="000000" w:themeColor="text1"/>
          <w:sz w:val="22"/>
          <w:szCs w:val="22"/>
        </w:rPr>
      </w:pPr>
      <w:r w:rsidRPr="0040424F">
        <w:rPr>
          <w:rFonts w:cstheme="minorHAnsi"/>
          <w:sz w:val="22"/>
          <w:szCs w:val="22"/>
        </w:rPr>
        <w:t xml:space="preserve">7 studies were excluded because the comparison condition was not a waiting list or care as usual </w:t>
      </w:r>
      <w:r>
        <w:rPr>
          <w:rFonts w:cstheme="minorHAnsi"/>
          <w:noProof/>
          <w:sz w:val="22"/>
          <w:szCs w:val="22"/>
        </w:rPr>
        <w:t xml:space="preserve">(Baos et al., 2018; Chalder, Deary, Husain, &amp; Walwyn, 2010; Jason et al., 2007; Leone </w:t>
      </w:r>
      <w:r>
        <w:rPr>
          <w:rFonts w:cstheme="minorHAnsi"/>
          <w:noProof/>
          <w:sz w:val="22"/>
          <w:szCs w:val="22"/>
        </w:rPr>
        <w:lastRenderedPageBreak/>
        <w:t>Ridsdale et al., 2001; Stubhaug, Lie, Ursin, &amp; Eriksen, 2008; Vos-Vromans et al., 2016; White et al., 2011)</w:t>
      </w:r>
      <w:r w:rsidRPr="0040424F">
        <w:rPr>
          <w:rFonts w:cstheme="minorHAnsi"/>
          <w:sz w:val="22"/>
          <w:szCs w:val="22"/>
        </w:rPr>
        <w:t>.</w:t>
      </w:r>
    </w:p>
    <w:p w14:paraId="15AC6BAD" w14:textId="77777777" w:rsidR="00891A41" w:rsidRPr="0040424F" w:rsidRDefault="00891A41" w:rsidP="00C131CF">
      <w:pPr>
        <w:pStyle w:val="Lijstalinea"/>
        <w:numPr>
          <w:ilvl w:val="0"/>
          <w:numId w:val="1"/>
        </w:numPr>
        <w:spacing w:line="360" w:lineRule="auto"/>
        <w:rPr>
          <w:rFonts w:cstheme="minorHAnsi"/>
          <w:color w:val="000000" w:themeColor="text1"/>
          <w:sz w:val="22"/>
          <w:szCs w:val="22"/>
        </w:rPr>
      </w:pPr>
      <w:r w:rsidRPr="0040424F">
        <w:rPr>
          <w:rFonts w:cstheme="minorHAnsi"/>
          <w:color w:val="000000" w:themeColor="text1"/>
          <w:sz w:val="22"/>
          <w:szCs w:val="22"/>
        </w:rPr>
        <w:t xml:space="preserve">3 studies were identified as an RCT investigating the efficacy of CBT compared to a waiting list or care as usual, but were excluded because they did not use the CIS-fatigue as outcome </w:t>
      </w:r>
      <w:r>
        <w:rPr>
          <w:rFonts w:cstheme="minorHAnsi"/>
          <w:color w:val="000000" w:themeColor="text1"/>
          <w:sz w:val="22"/>
          <w:szCs w:val="22"/>
        </w:rPr>
        <w:t xml:space="preserve">measure </w:t>
      </w:r>
      <w:r>
        <w:rPr>
          <w:rFonts w:cstheme="minorHAnsi"/>
          <w:noProof/>
          <w:color w:val="000000" w:themeColor="text1"/>
          <w:sz w:val="22"/>
          <w:szCs w:val="22"/>
        </w:rPr>
        <w:t>(Gotaas, Stiles, Bjorngaard, Borchgrevink, &amp; Fors, 2021; O'Dowd, Gladwell, Rogers, Hollinghurst, &amp; Gregory, 2006; Strang, 2002)</w:t>
      </w:r>
      <w:r w:rsidRPr="0040424F">
        <w:rPr>
          <w:rFonts w:cstheme="minorHAnsi"/>
          <w:color w:val="000000" w:themeColor="text1"/>
          <w:sz w:val="22"/>
          <w:szCs w:val="22"/>
        </w:rPr>
        <w:t>.</w:t>
      </w:r>
    </w:p>
    <w:p w14:paraId="395091E5" w14:textId="77777777" w:rsidR="004045B7" w:rsidRDefault="004045B7" w:rsidP="00C131CF">
      <w:pPr>
        <w:spacing w:after="120" w:line="360" w:lineRule="auto"/>
        <w:ind w:left="360"/>
        <w:rPr>
          <w:rFonts w:cstheme="minorHAnsi"/>
          <w:b/>
        </w:rPr>
      </w:pPr>
    </w:p>
    <w:p w14:paraId="12AB9AD3" w14:textId="571C388D" w:rsidR="00891A41" w:rsidRPr="0040424F" w:rsidRDefault="00891A41" w:rsidP="00C131CF">
      <w:pPr>
        <w:spacing w:after="120" w:line="360" w:lineRule="auto"/>
        <w:ind w:left="360"/>
        <w:rPr>
          <w:rFonts w:cstheme="minorHAnsi"/>
          <w:b/>
          <w:shd w:val="clear" w:color="auto" w:fill="FFFFFF"/>
        </w:rPr>
      </w:pPr>
      <w:r w:rsidRPr="0040424F">
        <w:rPr>
          <w:rFonts w:cstheme="minorHAnsi"/>
          <w:b/>
        </w:rPr>
        <w:t xml:space="preserve">Figure A1. </w:t>
      </w:r>
      <w:r w:rsidRPr="0040424F">
        <w:rPr>
          <w:rFonts w:cstheme="minorHAnsi"/>
          <w:b/>
          <w:shd w:val="clear" w:color="auto" w:fill="FFFFFF"/>
        </w:rPr>
        <w:t>Flow diagram of the selection process</w:t>
      </w:r>
    </w:p>
    <w:p w14:paraId="5C5F555C" w14:textId="77777777" w:rsidR="00891A41" w:rsidRPr="0040424F" w:rsidRDefault="00891A41" w:rsidP="00C131CF">
      <w:pPr>
        <w:spacing w:line="360" w:lineRule="auto"/>
        <w:rPr>
          <w:rFonts w:cstheme="minorHAnsi"/>
          <w:b/>
          <w:sz w:val="22"/>
          <w:szCs w:val="22"/>
        </w:rPr>
      </w:pPr>
      <w:r w:rsidRPr="005E748B">
        <w:rPr>
          <w:noProof/>
          <w:lang w:val="nl-NL" w:eastAsia="nl-NL"/>
        </w:rPr>
        <w:drawing>
          <wp:inline distT="0" distB="0" distL="0" distR="0" wp14:anchorId="337A8B59" wp14:editId="7F40AB0C">
            <wp:extent cx="5760720" cy="545543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455432"/>
                    </a:xfrm>
                    <a:prstGeom prst="rect">
                      <a:avLst/>
                    </a:prstGeom>
                    <a:noFill/>
                    <a:ln>
                      <a:noFill/>
                    </a:ln>
                  </pic:spPr>
                </pic:pic>
              </a:graphicData>
            </a:graphic>
          </wp:inline>
        </w:drawing>
      </w:r>
    </w:p>
    <w:p w14:paraId="505A99EA" w14:textId="77777777" w:rsidR="00891A41" w:rsidRPr="0040424F" w:rsidRDefault="00891A41" w:rsidP="00C131CF">
      <w:pPr>
        <w:spacing w:line="360" w:lineRule="auto"/>
        <w:rPr>
          <w:rFonts w:cstheme="minorHAnsi"/>
          <w:b/>
          <w:sz w:val="22"/>
          <w:szCs w:val="22"/>
        </w:rPr>
      </w:pPr>
    </w:p>
    <w:p w14:paraId="3ECF8AA3" w14:textId="77777777" w:rsidR="00891A41" w:rsidRPr="003E48E3" w:rsidRDefault="00891A41" w:rsidP="00C131CF">
      <w:pPr>
        <w:spacing w:line="360" w:lineRule="auto"/>
        <w:rPr>
          <w:rFonts w:cstheme="minorHAnsi"/>
          <w:b/>
          <w:sz w:val="22"/>
          <w:szCs w:val="22"/>
        </w:rPr>
      </w:pPr>
      <w:r w:rsidRPr="003E48E3">
        <w:rPr>
          <w:rFonts w:cstheme="minorHAnsi"/>
          <w:b/>
          <w:sz w:val="22"/>
          <w:szCs w:val="22"/>
        </w:rPr>
        <w:t>Study selection and IPD obtained</w:t>
      </w:r>
    </w:p>
    <w:p w14:paraId="3B0666E2" w14:textId="2666B966" w:rsidR="00891A41" w:rsidRPr="0040424F" w:rsidRDefault="00891A41" w:rsidP="00C131CF">
      <w:pPr>
        <w:spacing w:line="360" w:lineRule="auto"/>
        <w:rPr>
          <w:rFonts w:cstheme="minorHAnsi"/>
          <w:bCs/>
          <w:color w:val="000000" w:themeColor="text1"/>
          <w:sz w:val="22"/>
          <w:szCs w:val="22"/>
        </w:rPr>
      </w:pPr>
      <w:r w:rsidRPr="003E48E3">
        <w:rPr>
          <w:rFonts w:cstheme="minorHAnsi"/>
          <w:bCs/>
          <w:color w:val="000000" w:themeColor="text1"/>
          <w:sz w:val="22"/>
          <w:szCs w:val="22"/>
        </w:rPr>
        <w:t xml:space="preserve">Eight studies </w:t>
      </w:r>
      <w:r w:rsidRPr="003E48E3">
        <w:rPr>
          <w:rFonts w:cstheme="minorHAnsi"/>
          <w:noProof/>
          <w:color w:val="000000" w:themeColor="text1"/>
          <w:sz w:val="22"/>
          <w:szCs w:val="22"/>
        </w:rPr>
        <w:t xml:space="preserve">(Janse, Worm-Smeitink, Bleijenberg, </w:t>
      </w:r>
      <w:r w:rsidR="00E15176">
        <w:rPr>
          <w:rFonts w:cstheme="minorHAnsi"/>
          <w:noProof/>
          <w:color w:val="000000" w:themeColor="text1"/>
          <w:sz w:val="22"/>
          <w:szCs w:val="22"/>
        </w:rPr>
        <w:t>Donders, &amp; Knoop, 2018; Knoop, v</w:t>
      </w:r>
      <w:r w:rsidR="002E57C6">
        <w:rPr>
          <w:rFonts w:cstheme="minorHAnsi"/>
          <w:noProof/>
          <w:color w:val="000000" w:themeColor="text1"/>
          <w:sz w:val="22"/>
          <w:szCs w:val="22"/>
        </w:rPr>
        <w:t>an d</w:t>
      </w:r>
      <w:r w:rsidRPr="003E48E3">
        <w:rPr>
          <w:rFonts w:cstheme="minorHAnsi"/>
          <w:noProof/>
          <w:color w:val="000000" w:themeColor="text1"/>
          <w:sz w:val="22"/>
          <w:szCs w:val="22"/>
        </w:rPr>
        <w:t>er Meer, &amp; Bleijenberg, 2008; Nijhof et al., 2012; Pr</w:t>
      </w:r>
      <w:r w:rsidR="002E57C6">
        <w:rPr>
          <w:rFonts w:cstheme="minorHAnsi"/>
          <w:noProof/>
          <w:color w:val="000000" w:themeColor="text1"/>
          <w:sz w:val="22"/>
          <w:szCs w:val="22"/>
        </w:rPr>
        <w:t>ins et al., 2001; Stulemeijer, d</w:t>
      </w:r>
      <w:r w:rsidRPr="003E48E3">
        <w:rPr>
          <w:rFonts w:cstheme="minorHAnsi"/>
          <w:noProof/>
          <w:color w:val="000000" w:themeColor="text1"/>
          <w:sz w:val="22"/>
          <w:szCs w:val="22"/>
        </w:rPr>
        <w:t xml:space="preserve">e Jong, Fiselier, Hoogveld, &amp; </w:t>
      </w:r>
      <w:r w:rsidRPr="003E48E3">
        <w:rPr>
          <w:rFonts w:cstheme="minorHAnsi"/>
          <w:noProof/>
          <w:color w:val="000000" w:themeColor="text1"/>
          <w:sz w:val="22"/>
          <w:szCs w:val="22"/>
        </w:rPr>
        <w:lastRenderedPageBreak/>
        <w:t>Bleijenberg,</w:t>
      </w:r>
      <w:r w:rsidR="00E15176">
        <w:rPr>
          <w:rFonts w:cstheme="minorHAnsi"/>
          <w:noProof/>
          <w:color w:val="000000" w:themeColor="text1"/>
          <w:sz w:val="22"/>
          <w:szCs w:val="22"/>
        </w:rPr>
        <w:t xml:space="preserve"> 2005; Tummers, Knoop, v</w:t>
      </w:r>
      <w:r w:rsidRPr="003E48E3">
        <w:rPr>
          <w:rFonts w:cstheme="minorHAnsi"/>
          <w:noProof/>
          <w:color w:val="000000" w:themeColor="text1"/>
          <w:sz w:val="22"/>
          <w:szCs w:val="22"/>
        </w:rPr>
        <w:t xml:space="preserve">an Dam, &amp; Bleijenberg, 2012; van der Schaaf et </w:t>
      </w:r>
      <w:r w:rsidR="00E15176">
        <w:rPr>
          <w:rFonts w:cstheme="minorHAnsi"/>
          <w:noProof/>
          <w:color w:val="000000" w:themeColor="text1"/>
          <w:sz w:val="22"/>
          <w:szCs w:val="22"/>
        </w:rPr>
        <w:t>al., 2015; Wiborg, Van Bussel, v</w:t>
      </w:r>
      <w:r w:rsidRPr="003E48E3">
        <w:rPr>
          <w:rFonts w:cstheme="minorHAnsi"/>
          <w:noProof/>
          <w:color w:val="000000" w:themeColor="text1"/>
          <w:sz w:val="22"/>
          <w:szCs w:val="22"/>
        </w:rPr>
        <w:t>an Dijk, Bleijenberg, &amp; Knoop, 2015)</w:t>
      </w:r>
      <w:r w:rsidRPr="003E48E3">
        <w:rPr>
          <w:rFonts w:cstheme="minorHAnsi"/>
          <w:color w:val="000000" w:themeColor="text1"/>
          <w:sz w:val="22"/>
          <w:szCs w:val="22"/>
        </w:rPr>
        <w:t xml:space="preserve"> </w:t>
      </w:r>
      <w:r w:rsidRPr="003E48E3">
        <w:rPr>
          <w:rFonts w:cstheme="minorHAnsi"/>
          <w:bCs/>
          <w:color w:val="000000" w:themeColor="text1"/>
          <w:sz w:val="22"/>
          <w:szCs w:val="22"/>
        </w:rPr>
        <w:t xml:space="preserve">fulfilled the inclusion criteria. </w:t>
      </w:r>
      <w:r w:rsidRPr="0040424F">
        <w:rPr>
          <w:rFonts w:cstheme="minorHAnsi"/>
          <w:bCs/>
          <w:color w:val="000000" w:themeColor="text1"/>
          <w:sz w:val="22"/>
          <w:szCs w:val="22"/>
        </w:rPr>
        <w:t>Seven studies were published RCTs investigating the efficacy of CBT for ME/CFS. Of one study, the</w:t>
      </w:r>
      <w:r w:rsidRPr="0040424F">
        <w:rPr>
          <w:rFonts w:cstheme="minorHAnsi"/>
          <w:sz w:val="22"/>
          <w:szCs w:val="22"/>
        </w:rPr>
        <w:t xml:space="preserve"> published study protocol </w:t>
      </w:r>
      <w:r>
        <w:rPr>
          <w:rFonts w:cstheme="minorHAnsi"/>
          <w:noProof/>
          <w:sz w:val="22"/>
          <w:szCs w:val="22"/>
        </w:rPr>
        <w:t>(van der Schaaf et al., 2015)</w:t>
      </w:r>
      <w:r w:rsidRPr="0040424F">
        <w:rPr>
          <w:rFonts w:cstheme="minorHAnsi"/>
          <w:sz w:val="22"/>
          <w:szCs w:val="22"/>
        </w:rPr>
        <w:t xml:space="preserve"> and a </w:t>
      </w:r>
      <w:proofErr w:type="gramStart"/>
      <w:r w:rsidRPr="0040424F">
        <w:rPr>
          <w:rFonts w:cstheme="minorHAnsi"/>
          <w:sz w:val="22"/>
          <w:szCs w:val="22"/>
        </w:rPr>
        <w:t>paper describing</w:t>
      </w:r>
      <w:proofErr w:type="gramEnd"/>
      <w:r w:rsidRPr="0040424F">
        <w:rPr>
          <w:rFonts w:cstheme="minorHAnsi"/>
          <w:sz w:val="22"/>
          <w:szCs w:val="22"/>
        </w:rPr>
        <w:t xml:space="preserve"> baseline characteristics of patients included in this study </w:t>
      </w:r>
      <w:r>
        <w:rPr>
          <w:rFonts w:cstheme="minorHAnsi"/>
          <w:noProof/>
          <w:sz w:val="22"/>
          <w:szCs w:val="22"/>
        </w:rPr>
        <w:t>(van der Schaaf et al., 2018)</w:t>
      </w:r>
      <w:r w:rsidRPr="0040424F">
        <w:rPr>
          <w:rFonts w:cstheme="minorHAnsi"/>
          <w:sz w:val="22"/>
          <w:szCs w:val="22"/>
        </w:rPr>
        <w:t xml:space="preserve"> were found through our systematic search. The focus of this RCT was on investigating the neurobiological correlates of ME/CFS and its response to CBT in comparison to a waiting list condition. The effects of CBT compared to a waiting list condition in this study </w:t>
      </w:r>
      <w:proofErr w:type="gramStart"/>
      <w:r w:rsidRPr="0040424F">
        <w:rPr>
          <w:rFonts w:cstheme="minorHAnsi"/>
          <w:sz w:val="22"/>
          <w:szCs w:val="22"/>
        </w:rPr>
        <w:t>have not been published</w:t>
      </w:r>
      <w:proofErr w:type="gramEnd"/>
      <w:r w:rsidRPr="0040424F">
        <w:rPr>
          <w:rFonts w:cstheme="minorHAnsi"/>
          <w:sz w:val="22"/>
          <w:szCs w:val="22"/>
        </w:rPr>
        <w:t xml:space="preserve"> yet. However, the authors provided us full access to all individual patient data of the study to allow us to include the data in our IPD meta-analysis. </w:t>
      </w:r>
      <w:r w:rsidRPr="0040424F">
        <w:rPr>
          <w:rFonts w:cstheme="minorHAnsi"/>
          <w:bCs/>
          <w:color w:val="000000" w:themeColor="text1"/>
          <w:sz w:val="22"/>
          <w:szCs w:val="22"/>
        </w:rPr>
        <w:t xml:space="preserve">For all eight studies, </w:t>
      </w:r>
      <w:r w:rsidRPr="0040424F">
        <w:rPr>
          <w:rFonts w:cstheme="minorHAnsi"/>
          <w:sz w:val="22"/>
          <w:szCs w:val="22"/>
        </w:rPr>
        <w:t xml:space="preserve">IPD </w:t>
      </w:r>
      <w:proofErr w:type="gramStart"/>
      <w:r w:rsidRPr="0040424F">
        <w:rPr>
          <w:rFonts w:cstheme="minorHAnsi"/>
          <w:sz w:val="22"/>
          <w:szCs w:val="22"/>
        </w:rPr>
        <w:t>were sought and obtained</w:t>
      </w:r>
      <w:proofErr w:type="gramEnd"/>
      <w:r w:rsidRPr="0040424F">
        <w:rPr>
          <w:rFonts w:cstheme="minorHAnsi"/>
          <w:sz w:val="22"/>
          <w:szCs w:val="22"/>
        </w:rPr>
        <w:t xml:space="preserve">. In our systematic search, we did not identify RCTs on CBT for ME/CFS applying the Dutch protocol with negative results or RCTs with unpublished data, the latter aside from the included study of van der </w:t>
      </w:r>
      <w:proofErr w:type="spellStart"/>
      <w:r w:rsidRPr="0040424F">
        <w:rPr>
          <w:rFonts w:cstheme="minorHAnsi"/>
          <w:sz w:val="22"/>
          <w:szCs w:val="22"/>
        </w:rPr>
        <w:t>Schaaf</w:t>
      </w:r>
      <w:proofErr w:type="spellEnd"/>
      <w:r w:rsidRPr="0040424F">
        <w:rPr>
          <w:rFonts w:cstheme="minorHAnsi"/>
          <w:sz w:val="22"/>
          <w:szCs w:val="22"/>
        </w:rPr>
        <w:t xml:space="preserve"> et al. (2015).</w:t>
      </w:r>
    </w:p>
    <w:p w14:paraId="7FA5B381" w14:textId="77777777" w:rsidR="00891A41" w:rsidRPr="0040424F" w:rsidRDefault="00891A41" w:rsidP="00C131CF">
      <w:pPr>
        <w:spacing w:line="360" w:lineRule="auto"/>
        <w:rPr>
          <w:rFonts w:cstheme="minorHAnsi"/>
          <w:color w:val="000000" w:themeColor="text1"/>
          <w:sz w:val="22"/>
          <w:szCs w:val="22"/>
        </w:rPr>
      </w:pPr>
    </w:p>
    <w:p w14:paraId="12E4600A" w14:textId="77777777" w:rsidR="00891A41" w:rsidRPr="0040424F" w:rsidRDefault="00891A41" w:rsidP="00C131CF">
      <w:pPr>
        <w:pStyle w:val="EndNoteBibliography"/>
        <w:spacing w:line="360" w:lineRule="auto"/>
        <w:ind w:left="720" w:hanging="720"/>
        <w:rPr>
          <w:rFonts w:asciiTheme="minorHAnsi" w:hAnsiTheme="minorHAnsi" w:cstheme="minorHAnsi"/>
          <w:b/>
          <w:noProof w:val="0"/>
          <w:sz w:val="22"/>
          <w:szCs w:val="22"/>
          <w:lang w:val="en-GB"/>
        </w:rPr>
      </w:pPr>
      <w:r w:rsidRPr="0040424F">
        <w:rPr>
          <w:rFonts w:asciiTheme="minorHAnsi" w:hAnsiTheme="minorHAnsi" w:cstheme="minorHAnsi"/>
          <w:b/>
          <w:noProof w:val="0"/>
          <w:sz w:val="22"/>
          <w:szCs w:val="22"/>
          <w:lang w:val="en-GB"/>
        </w:rPr>
        <w:t>Process of requesting, collecting and managing IPD</w:t>
      </w:r>
    </w:p>
    <w:p w14:paraId="5E4522FE" w14:textId="77777777" w:rsidR="00891A41" w:rsidRPr="0040424F" w:rsidRDefault="00891A41" w:rsidP="00C131CF">
      <w:pPr>
        <w:pStyle w:val="Default"/>
        <w:spacing w:line="360" w:lineRule="auto"/>
        <w:rPr>
          <w:rFonts w:asciiTheme="minorHAnsi" w:hAnsiTheme="minorHAnsi" w:cstheme="minorHAnsi"/>
          <w:sz w:val="22"/>
          <w:szCs w:val="22"/>
          <w:lang w:val="en-GB"/>
        </w:rPr>
      </w:pPr>
      <w:r w:rsidRPr="0040424F">
        <w:rPr>
          <w:rFonts w:asciiTheme="minorHAnsi" w:hAnsiTheme="minorHAnsi" w:cstheme="minorHAnsi"/>
          <w:sz w:val="22"/>
          <w:szCs w:val="22"/>
          <w:lang w:val="en-GB"/>
        </w:rPr>
        <w:t xml:space="preserve">For all included studies, anonymized data for each of the pre-specified measurements </w:t>
      </w:r>
      <w:proofErr w:type="gramStart"/>
      <w:r w:rsidRPr="0040424F">
        <w:rPr>
          <w:rFonts w:asciiTheme="minorHAnsi" w:hAnsiTheme="minorHAnsi" w:cstheme="minorHAnsi"/>
          <w:sz w:val="22"/>
          <w:szCs w:val="22"/>
          <w:lang w:val="en-GB"/>
        </w:rPr>
        <w:t>were requested</w:t>
      </w:r>
      <w:proofErr w:type="gramEnd"/>
      <w:r w:rsidRPr="0040424F">
        <w:rPr>
          <w:rFonts w:asciiTheme="minorHAnsi" w:hAnsiTheme="minorHAnsi" w:cstheme="minorHAnsi"/>
          <w:sz w:val="22"/>
          <w:szCs w:val="22"/>
          <w:lang w:val="en-GB"/>
        </w:rPr>
        <w:t xml:space="preserve"> for each patient randomized. Data </w:t>
      </w:r>
      <w:proofErr w:type="gramStart"/>
      <w:r w:rsidRPr="0040424F">
        <w:rPr>
          <w:rFonts w:asciiTheme="minorHAnsi" w:hAnsiTheme="minorHAnsi" w:cstheme="minorHAnsi"/>
          <w:sz w:val="22"/>
          <w:szCs w:val="22"/>
          <w:lang w:val="en-GB"/>
        </w:rPr>
        <w:t>were supplied</w:t>
      </w:r>
      <w:proofErr w:type="gramEnd"/>
      <w:r w:rsidRPr="0040424F">
        <w:rPr>
          <w:rFonts w:asciiTheme="minorHAnsi" w:hAnsiTheme="minorHAnsi" w:cstheme="minorHAnsi"/>
          <w:sz w:val="22"/>
          <w:szCs w:val="22"/>
          <w:lang w:val="en-GB"/>
        </w:rPr>
        <w:t xml:space="preserve"> in SPSS or Excel files, were recoded and merged. Missing items </w:t>
      </w:r>
      <w:proofErr w:type="gramStart"/>
      <w:r w:rsidRPr="0040424F">
        <w:rPr>
          <w:rFonts w:asciiTheme="minorHAnsi" w:hAnsiTheme="minorHAnsi" w:cstheme="minorHAnsi"/>
          <w:sz w:val="22"/>
          <w:szCs w:val="22"/>
          <w:lang w:val="en-GB"/>
        </w:rPr>
        <w:t>were checked</w:t>
      </w:r>
      <w:proofErr w:type="gramEnd"/>
      <w:r w:rsidRPr="0040424F">
        <w:rPr>
          <w:rFonts w:asciiTheme="minorHAnsi" w:hAnsiTheme="minorHAnsi" w:cstheme="minorHAnsi"/>
          <w:sz w:val="22"/>
          <w:szCs w:val="22"/>
          <w:lang w:val="en-GB"/>
        </w:rPr>
        <w:t xml:space="preserve"> and imputations deleted. Data </w:t>
      </w:r>
      <w:proofErr w:type="gramStart"/>
      <w:r w:rsidRPr="0040424F">
        <w:rPr>
          <w:rFonts w:asciiTheme="minorHAnsi" w:hAnsiTheme="minorHAnsi" w:cstheme="minorHAnsi"/>
          <w:sz w:val="22"/>
          <w:szCs w:val="22"/>
          <w:lang w:val="en-GB"/>
        </w:rPr>
        <w:t>were checked</w:t>
      </w:r>
      <w:proofErr w:type="gramEnd"/>
      <w:r w:rsidRPr="0040424F">
        <w:rPr>
          <w:rFonts w:asciiTheme="minorHAnsi" w:hAnsiTheme="minorHAnsi" w:cstheme="minorHAnsi"/>
          <w:sz w:val="22"/>
          <w:szCs w:val="22"/>
          <w:lang w:val="en-GB"/>
        </w:rPr>
        <w:t xml:space="preserve"> on consistency with published reports and trial protocols.</w:t>
      </w:r>
    </w:p>
    <w:p w14:paraId="1D5C4F6E" w14:textId="77777777" w:rsidR="00891A41" w:rsidRPr="0040424F" w:rsidRDefault="00891A41" w:rsidP="00C131CF">
      <w:pPr>
        <w:spacing w:line="360" w:lineRule="auto"/>
        <w:rPr>
          <w:rFonts w:cstheme="minorHAnsi"/>
          <w:sz w:val="22"/>
          <w:szCs w:val="22"/>
        </w:rPr>
      </w:pPr>
    </w:p>
    <w:p w14:paraId="795FEAAD" w14:textId="77777777" w:rsidR="00891A41" w:rsidRPr="0040424F" w:rsidRDefault="00891A41" w:rsidP="00C131CF">
      <w:pPr>
        <w:spacing w:line="360" w:lineRule="auto"/>
        <w:rPr>
          <w:rFonts w:cstheme="minorHAnsi"/>
          <w:b/>
          <w:sz w:val="22"/>
          <w:szCs w:val="22"/>
        </w:rPr>
      </w:pPr>
      <w:r w:rsidRPr="0040424F">
        <w:rPr>
          <w:rFonts w:cstheme="minorHAnsi"/>
          <w:b/>
          <w:sz w:val="22"/>
          <w:szCs w:val="22"/>
        </w:rPr>
        <w:t>Outcomes and putative moderators</w:t>
      </w:r>
    </w:p>
    <w:p w14:paraId="6FBAE622" w14:textId="77777777" w:rsidR="00891A41" w:rsidRPr="0040424F" w:rsidRDefault="00891A41" w:rsidP="00C131CF">
      <w:pPr>
        <w:spacing w:after="120" w:line="360" w:lineRule="auto"/>
        <w:rPr>
          <w:rFonts w:cstheme="minorHAnsi"/>
          <w:sz w:val="22"/>
          <w:szCs w:val="22"/>
        </w:rPr>
      </w:pPr>
      <w:r w:rsidRPr="0040424F">
        <w:rPr>
          <w:rFonts w:cstheme="minorHAnsi"/>
          <w:sz w:val="22"/>
          <w:szCs w:val="22"/>
        </w:rPr>
        <w:t xml:space="preserve">Primary and secondary outcomes </w:t>
      </w:r>
      <w:proofErr w:type="gramStart"/>
      <w:r w:rsidRPr="0040424F">
        <w:rPr>
          <w:rFonts w:cstheme="minorHAnsi"/>
          <w:sz w:val="22"/>
          <w:szCs w:val="22"/>
        </w:rPr>
        <w:t>were assessed</w:t>
      </w:r>
      <w:proofErr w:type="gramEnd"/>
      <w:r w:rsidRPr="0040424F">
        <w:rPr>
          <w:rFonts w:cstheme="minorHAnsi"/>
          <w:sz w:val="22"/>
          <w:szCs w:val="22"/>
        </w:rPr>
        <w:t xml:space="preserve"> before and after the intervention or control condition. </w:t>
      </w:r>
    </w:p>
    <w:p w14:paraId="701B86C8" w14:textId="77777777" w:rsidR="00891A41" w:rsidRPr="0040424F" w:rsidRDefault="00891A41" w:rsidP="00C131CF">
      <w:pPr>
        <w:spacing w:line="360" w:lineRule="auto"/>
        <w:rPr>
          <w:rFonts w:cstheme="minorHAnsi"/>
          <w:sz w:val="22"/>
          <w:szCs w:val="22"/>
        </w:rPr>
      </w:pPr>
      <w:r w:rsidRPr="0040424F">
        <w:rPr>
          <w:rFonts w:cstheme="minorHAnsi"/>
          <w:sz w:val="22"/>
          <w:szCs w:val="22"/>
          <w:u w:val="single"/>
        </w:rPr>
        <w:t>Primary outcome:</w:t>
      </w:r>
      <w:r w:rsidRPr="0040424F">
        <w:rPr>
          <w:rFonts w:cstheme="minorHAnsi"/>
          <w:sz w:val="22"/>
          <w:szCs w:val="22"/>
        </w:rPr>
        <w:t xml:space="preserve"> </w:t>
      </w:r>
    </w:p>
    <w:p w14:paraId="6B0E9E2A" w14:textId="77777777" w:rsidR="00891A41" w:rsidRPr="0040424F" w:rsidRDefault="00891A41" w:rsidP="00C131CF">
      <w:pPr>
        <w:spacing w:line="360" w:lineRule="auto"/>
        <w:rPr>
          <w:rFonts w:cstheme="minorHAnsi"/>
          <w:sz w:val="22"/>
          <w:szCs w:val="22"/>
        </w:rPr>
      </w:pPr>
      <w:r w:rsidRPr="0040424F">
        <w:rPr>
          <w:rFonts w:cstheme="minorHAnsi"/>
          <w:sz w:val="22"/>
          <w:szCs w:val="22"/>
        </w:rPr>
        <w:t xml:space="preserve">Fatigue severity </w:t>
      </w:r>
      <w:proofErr w:type="gramStart"/>
      <w:r w:rsidRPr="0040424F">
        <w:rPr>
          <w:rFonts w:cstheme="minorHAnsi"/>
          <w:sz w:val="22"/>
          <w:szCs w:val="22"/>
        </w:rPr>
        <w:t>was assessed</w:t>
      </w:r>
      <w:proofErr w:type="gramEnd"/>
      <w:r w:rsidRPr="0040424F">
        <w:rPr>
          <w:rFonts w:cstheme="minorHAnsi"/>
          <w:sz w:val="22"/>
          <w:szCs w:val="22"/>
        </w:rPr>
        <w:t xml:space="preserve"> with the subscale fatigue severity of the 20-item Checklist Individual Strength (CIS) </w:t>
      </w:r>
      <w:r>
        <w:rPr>
          <w:rFonts w:cstheme="minorHAnsi"/>
          <w:noProof/>
          <w:sz w:val="22"/>
          <w:szCs w:val="22"/>
        </w:rPr>
        <w:t>(Worm-Smeitink et al., 2017)</w:t>
      </w:r>
      <w:r w:rsidRPr="0040424F">
        <w:rPr>
          <w:rFonts w:cstheme="minorHAnsi"/>
          <w:sz w:val="22"/>
          <w:szCs w:val="22"/>
        </w:rPr>
        <w:t xml:space="preserve">. The CIS-fatigue consists of </w:t>
      </w:r>
      <w:proofErr w:type="gramStart"/>
      <w:r w:rsidRPr="0040424F">
        <w:rPr>
          <w:rFonts w:cstheme="minorHAnsi"/>
          <w:sz w:val="22"/>
          <w:szCs w:val="22"/>
        </w:rPr>
        <w:t>8</w:t>
      </w:r>
      <w:proofErr w:type="gramEnd"/>
      <w:r w:rsidRPr="0040424F">
        <w:rPr>
          <w:rFonts w:cstheme="minorHAnsi"/>
          <w:sz w:val="22"/>
          <w:szCs w:val="22"/>
        </w:rPr>
        <w:t xml:space="preserve"> items which are scored from 1 to 7. The total score ranges from </w:t>
      </w:r>
      <w:proofErr w:type="gramStart"/>
      <w:r w:rsidRPr="0040424F">
        <w:rPr>
          <w:rFonts w:cstheme="minorHAnsi"/>
          <w:sz w:val="22"/>
          <w:szCs w:val="22"/>
        </w:rPr>
        <w:t>8</w:t>
      </w:r>
      <w:proofErr w:type="gramEnd"/>
      <w:r w:rsidRPr="0040424F">
        <w:rPr>
          <w:rFonts w:cstheme="minorHAnsi"/>
          <w:sz w:val="22"/>
          <w:szCs w:val="22"/>
        </w:rPr>
        <w:t xml:space="preserve"> to 56, a higher score indicating more severe fatigue </w:t>
      </w:r>
      <w:r>
        <w:rPr>
          <w:rFonts w:cstheme="minorHAnsi"/>
          <w:noProof/>
          <w:sz w:val="22"/>
          <w:szCs w:val="22"/>
        </w:rPr>
        <w:t>(Worm-Smeitink et al., 2017)</w:t>
      </w:r>
      <w:r w:rsidRPr="0040424F">
        <w:rPr>
          <w:rFonts w:cstheme="minorHAnsi"/>
          <w:sz w:val="22"/>
          <w:szCs w:val="22"/>
        </w:rPr>
        <w:t xml:space="preserve">. The CIS is a reliable (Cronbach's α = 0.83–0.92) </w:t>
      </w:r>
      <w:r>
        <w:rPr>
          <w:rFonts w:cstheme="minorHAnsi"/>
          <w:noProof/>
          <w:sz w:val="22"/>
          <w:szCs w:val="22"/>
        </w:rPr>
        <w:t>(Vercoulen et al., 1994; Worm-Smeitink et al., 2017)</w:t>
      </w:r>
      <w:r w:rsidRPr="0040424F">
        <w:rPr>
          <w:rFonts w:cstheme="minorHAnsi"/>
          <w:sz w:val="22"/>
          <w:szCs w:val="22"/>
        </w:rPr>
        <w:t xml:space="preserve"> and valid instrument for the assessment of fatigue in </w:t>
      </w:r>
      <w:r>
        <w:rPr>
          <w:rFonts w:cstheme="minorHAnsi"/>
          <w:sz w:val="22"/>
          <w:szCs w:val="22"/>
        </w:rPr>
        <w:t>ME/</w:t>
      </w:r>
      <w:r w:rsidRPr="0040424F">
        <w:rPr>
          <w:rFonts w:cstheme="minorHAnsi"/>
          <w:sz w:val="22"/>
          <w:szCs w:val="22"/>
        </w:rPr>
        <w:t xml:space="preserve">CFS patients </w:t>
      </w:r>
      <w:r>
        <w:rPr>
          <w:rFonts w:cstheme="minorHAnsi"/>
          <w:noProof/>
          <w:sz w:val="22"/>
          <w:szCs w:val="22"/>
        </w:rPr>
        <w:t>(Dittner, Wessely, &amp; Brown, 2004; Vercoulen et al., 1994)</w:t>
      </w:r>
      <w:r w:rsidRPr="0040424F">
        <w:rPr>
          <w:rFonts w:cstheme="minorHAnsi"/>
          <w:sz w:val="22"/>
          <w:szCs w:val="22"/>
        </w:rPr>
        <w:t xml:space="preserve">. The CIS has a validated cut-off score for severe </w:t>
      </w:r>
      <w:r w:rsidRPr="00C131CF">
        <w:rPr>
          <w:rFonts w:cstheme="minorHAnsi"/>
          <w:sz w:val="22"/>
          <w:szCs w:val="22"/>
        </w:rPr>
        <w:t xml:space="preserve">fatigue of </w:t>
      </w:r>
      <w:r w:rsidRPr="00C131CF">
        <w:rPr>
          <w:rFonts w:cstheme="minorHAnsi"/>
          <w:sz w:val="22"/>
          <w:szCs w:val="22"/>
          <w:shd w:val="clear" w:color="auto" w:fill="FFFFFF"/>
        </w:rPr>
        <w:t xml:space="preserve">≥ </w:t>
      </w:r>
      <w:r w:rsidRPr="00C131CF">
        <w:rPr>
          <w:rFonts w:cstheme="minorHAnsi"/>
          <w:sz w:val="22"/>
          <w:szCs w:val="22"/>
        </w:rPr>
        <w:t xml:space="preserve">35 for adults and </w:t>
      </w:r>
      <w:r w:rsidRPr="00C131CF">
        <w:rPr>
          <w:rFonts w:cstheme="minorHAnsi"/>
          <w:sz w:val="22"/>
          <w:szCs w:val="22"/>
          <w:shd w:val="clear" w:color="auto" w:fill="FFFFFF"/>
        </w:rPr>
        <w:t xml:space="preserve">≥ </w:t>
      </w:r>
      <w:r w:rsidRPr="00C131CF">
        <w:rPr>
          <w:rFonts w:cstheme="minorHAnsi"/>
          <w:sz w:val="22"/>
          <w:szCs w:val="22"/>
        </w:rPr>
        <w:t>40 for adolescents</w:t>
      </w:r>
      <w:r w:rsidRPr="0040424F">
        <w:rPr>
          <w:rFonts w:cstheme="minorHAnsi"/>
          <w:sz w:val="22"/>
          <w:szCs w:val="22"/>
        </w:rPr>
        <w:t xml:space="preserve"> </w:t>
      </w:r>
      <w:r>
        <w:rPr>
          <w:rFonts w:cstheme="minorHAnsi"/>
          <w:noProof/>
          <w:sz w:val="22"/>
          <w:szCs w:val="22"/>
        </w:rPr>
        <w:t>(Nijhof, Bleijenberg, Uiterwaal, Kimpen, &amp; van de Putte, 2011; Vercoulen et al., 1994; Worm-Smeitink et al., 2017)</w:t>
      </w:r>
      <w:r w:rsidRPr="0040424F">
        <w:rPr>
          <w:rFonts w:cstheme="minorHAnsi"/>
          <w:sz w:val="22"/>
          <w:szCs w:val="22"/>
        </w:rPr>
        <w:t xml:space="preserve">. </w:t>
      </w:r>
    </w:p>
    <w:p w14:paraId="2AD6A6AC" w14:textId="77777777" w:rsidR="00891A41" w:rsidRPr="0040424F" w:rsidRDefault="00891A41" w:rsidP="00C131CF">
      <w:pPr>
        <w:spacing w:line="360" w:lineRule="auto"/>
        <w:rPr>
          <w:rFonts w:cstheme="minorHAnsi"/>
          <w:sz w:val="22"/>
          <w:szCs w:val="22"/>
        </w:rPr>
      </w:pPr>
    </w:p>
    <w:p w14:paraId="07C4E03E" w14:textId="77777777" w:rsidR="00891A41" w:rsidRPr="0040424F" w:rsidRDefault="00891A41" w:rsidP="00C131CF">
      <w:pPr>
        <w:spacing w:line="360" w:lineRule="auto"/>
        <w:rPr>
          <w:rFonts w:eastAsia="CharisSIL" w:cstheme="minorHAnsi"/>
          <w:sz w:val="22"/>
          <w:szCs w:val="22"/>
        </w:rPr>
      </w:pPr>
      <w:r w:rsidRPr="0040424F">
        <w:rPr>
          <w:rFonts w:eastAsia="CharisSIL" w:cstheme="minorHAnsi"/>
          <w:sz w:val="22"/>
          <w:szCs w:val="22"/>
          <w:u w:val="single"/>
        </w:rPr>
        <w:t>Secondary outcomes:</w:t>
      </w:r>
      <w:r w:rsidRPr="0040424F">
        <w:rPr>
          <w:rFonts w:eastAsia="CharisSIL" w:cstheme="minorHAnsi"/>
          <w:sz w:val="22"/>
          <w:szCs w:val="22"/>
        </w:rPr>
        <w:t xml:space="preserve"> </w:t>
      </w:r>
    </w:p>
    <w:p w14:paraId="26DB5024" w14:textId="20DB5DA7" w:rsidR="00891A41" w:rsidRPr="0040424F" w:rsidRDefault="00891A41" w:rsidP="00C131CF">
      <w:pPr>
        <w:spacing w:line="360" w:lineRule="auto"/>
        <w:rPr>
          <w:rFonts w:cs="Calibri"/>
          <w:sz w:val="22"/>
          <w:szCs w:val="22"/>
        </w:rPr>
      </w:pPr>
      <w:r w:rsidRPr="0040424F">
        <w:rPr>
          <w:rFonts w:eastAsia="CharisSIL" w:cstheme="minorHAnsi"/>
          <w:sz w:val="22"/>
          <w:szCs w:val="22"/>
        </w:rPr>
        <w:lastRenderedPageBreak/>
        <w:t xml:space="preserve">Functional impairment </w:t>
      </w:r>
      <w:proofErr w:type="gramStart"/>
      <w:r w:rsidRPr="0040424F">
        <w:rPr>
          <w:rFonts w:eastAsia="CharisSIL" w:cstheme="minorHAnsi"/>
          <w:sz w:val="22"/>
          <w:szCs w:val="22"/>
        </w:rPr>
        <w:t>was assessed</w:t>
      </w:r>
      <w:proofErr w:type="gramEnd"/>
      <w:r w:rsidRPr="0040424F">
        <w:rPr>
          <w:rFonts w:eastAsia="CharisSIL" w:cstheme="minorHAnsi"/>
          <w:sz w:val="22"/>
          <w:szCs w:val="22"/>
        </w:rPr>
        <w:t xml:space="preserve"> with the Sickness Impact Profile 8 (SIP8) </w:t>
      </w:r>
      <w:r>
        <w:rPr>
          <w:rFonts w:eastAsia="CharisSIL" w:cstheme="minorHAnsi"/>
          <w:noProof/>
          <w:sz w:val="22"/>
          <w:szCs w:val="22"/>
        </w:rPr>
        <w:t>(Bergner, Bobbitt, Carter, &amp; Gilson, 1981)</w:t>
      </w:r>
      <w:r w:rsidRPr="0040424F">
        <w:rPr>
          <w:rFonts w:eastAsia="CharisSIL" w:cstheme="minorHAnsi"/>
          <w:sz w:val="22"/>
          <w:szCs w:val="22"/>
        </w:rPr>
        <w:t xml:space="preserve">, which assesses overall impairment in eight domains. A higher weighted total score indicates more severe overall impairment. </w:t>
      </w:r>
      <w:r w:rsidRPr="0040424F">
        <w:rPr>
          <w:rFonts w:cstheme="minorHAnsi"/>
          <w:sz w:val="22"/>
          <w:szCs w:val="22"/>
        </w:rPr>
        <w:t xml:space="preserve">This SIP has good reliability (Cronbach's α = 0.94) </w:t>
      </w:r>
      <w:r>
        <w:rPr>
          <w:rFonts w:cstheme="minorHAnsi"/>
          <w:noProof/>
          <w:sz w:val="22"/>
          <w:szCs w:val="22"/>
        </w:rPr>
        <w:t>(Bergner et al., 1981)</w:t>
      </w:r>
      <w:r w:rsidRPr="0040424F">
        <w:rPr>
          <w:rFonts w:cstheme="minorHAnsi"/>
          <w:sz w:val="22"/>
          <w:szCs w:val="22"/>
        </w:rPr>
        <w:t xml:space="preserve"> and validity </w:t>
      </w:r>
      <w:r>
        <w:rPr>
          <w:rFonts w:cstheme="minorHAnsi"/>
          <w:noProof/>
          <w:sz w:val="22"/>
          <w:szCs w:val="22"/>
        </w:rPr>
        <w:t>(Knoop et al., 2007; Knoop et al., 2008)</w:t>
      </w:r>
      <w:r w:rsidRPr="0040424F">
        <w:rPr>
          <w:rFonts w:cstheme="minorHAnsi"/>
          <w:sz w:val="22"/>
          <w:szCs w:val="22"/>
        </w:rPr>
        <w:t xml:space="preserve">. The cut-off score of </w:t>
      </w:r>
      <w:r w:rsidRPr="0040424F">
        <w:rPr>
          <w:rFonts w:cs="Calibri"/>
          <w:sz w:val="22"/>
          <w:szCs w:val="22"/>
        </w:rPr>
        <w:t xml:space="preserve">&lt; 700 reflects significant functional impairment. </w:t>
      </w:r>
    </w:p>
    <w:p w14:paraId="469E2F99" w14:textId="049CD352" w:rsidR="00891A41" w:rsidRPr="0040424F" w:rsidRDefault="00891A41" w:rsidP="00C131CF">
      <w:pPr>
        <w:pStyle w:val="Tekstzonderopmaak"/>
        <w:spacing w:after="120" w:line="360" w:lineRule="auto"/>
        <w:rPr>
          <w:rFonts w:asciiTheme="minorHAnsi" w:hAnsiTheme="minorHAnsi" w:cstheme="minorHAnsi"/>
          <w:szCs w:val="22"/>
          <w:lang w:val="en-GB"/>
        </w:rPr>
      </w:pPr>
      <w:r w:rsidRPr="0040424F">
        <w:rPr>
          <w:rFonts w:asciiTheme="minorHAnsi" w:hAnsiTheme="minorHAnsi" w:cstheme="minorHAnsi"/>
          <w:szCs w:val="22"/>
          <w:lang w:val="en-GB"/>
        </w:rPr>
        <w:t xml:space="preserve">Functional impairment is both an outcome and a putative moderator, because functional impairment is an important criterion in all case definitions of ME/CFS but </w:t>
      </w:r>
      <w:proofErr w:type="gramStart"/>
      <w:r w:rsidRPr="0040424F">
        <w:rPr>
          <w:rFonts w:asciiTheme="minorHAnsi" w:hAnsiTheme="minorHAnsi" w:cstheme="minorHAnsi"/>
          <w:szCs w:val="22"/>
          <w:lang w:val="en-GB"/>
        </w:rPr>
        <w:t>was also found</w:t>
      </w:r>
      <w:proofErr w:type="gramEnd"/>
      <w:r w:rsidRPr="0040424F">
        <w:rPr>
          <w:rFonts w:asciiTheme="minorHAnsi" w:hAnsiTheme="minorHAnsi" w:cstheme="minorHAnsi"/>
          <w:szCs w:val="22"/>
          <w:lang w:val="en-GB"/>
        </w:rPr>
        <w:t xml:space="preserve"> to be a predictor of the treatment effect of CBT on fatigue severity </w:t>
      </w:r>
      <w:r>
        <w:rPr>
          <w:rFonts w:asciiTheme="minorHAnsi" w:hAnsiTheme="minorHAnsi" w:cstheme="minorHAnsi"/>
          <w:noProof/>
          <w:lang w:val="en-GB"/>
        </w:rPr>
        <w:t>(Knoop et al., 2008)</w:t>
      </w:r>
      <w:r w:rsidRPr="0040424F">
        <w:rPr>
          <w:rFonts w:asciiTheme="minorHAnsi" w:hAnsiTheme="minorHAnsi" w:cstheme="minorHAnsi"/>
          <w:lang w:val="en-GB"/>
        </w:rPr>
        <w:t>.</w:t>
      </w:r>
    </w:p>
    <w:p w14:paraId="3D94D51A" w14:textId="039C4D7D" w:rsidR="00891A41" w:rsidRPr="0040424F" w:rsidRDefault="00891A41" w:rsidP="00C131CF">
      <w:pPr>
        <w:spacing w:line="360" w:lineRule="auto"/>
        <w:rPr>
          <w:rFonts w:cs="Calibri"/>
          <w:sz w:val="22"/>
          <w:szCs w:val="22"/>
        </w:rPr>
      </w:pPr>
      <w:r w:rsidRPr="0040424F">
        <w:rPr>
          <w:rFonts w:cstheme="minorHAnsi"/>
          <w:sz w:val="22"/>
          <w:szCs w:val="22"/>
        </w:rPr>
        <w:t xml:space="preserve">Physical functioning was assessed with the subscale physical functioning of the </w:t>
      </w:r>
      <w:r w:rsidRPr="0040424F">
        <w:rPr>
          <w:rFonts w:cstheme="minorHAnsi"/>
          <w:color w:val="202124"/>
          <w:sz w:val="22"/>
          <w:szCs w:val="22"/>
          <w:shd w:val="clear" w:color="auto" w:fill="FFFFFF"/>
        </w:rPr>
        <w:t>Short Form 36 Health Survey</w:t>
      </w:r>
      <w:r w:rsidRPr="0040424F">
        <w:rPr>
          <w:rFonts w:cstheme="minorHAnsi"/>
          <w:sz w:val="22"/>
          <w:szCs w:val="22"/>
        </w:rPr>
        <w:t xml:space="preserve"> (SF-36) consisting of 10 items </w:t>
      </w:r>
      <w:r>
        <w:rPr>
          <w:rFonts w:cstheme="minorHAnsi"/>
          <w:noProof/>
          <w:sz w:val="22"/>
          <w:szCs w:val="22"/>
        </w:rPr>
        <w:t>(Stewart et al., 1988)</w:t>
      </w:r>
      <w:r w:rsidRPr="0040424F">
        <w:rPr>
          <w:rFonts w:cstheme="minorHAnsi"/>
          <w:sz w:val="22"/>
          <w:szCs w:val="22"/>
        </w:rPr>
        <w:t xml:space="preserve">. </w:t>
      </w:r>
      <w:r w:rsidRPr="0040424F">
        <w:rPr>
          <w:rFonts w:cstheme="minorHAnsi"/>
          <w:bCs/>
          <w:sz w:val="22"/>
          <w:szCs w:val="22"/>
        </w:rPr>
        <w:t xml:space="preserve">The weighted subscale score ranges from </w:t>
      </w:r>
      <w:proofErr w:type="gramStart"/>
      <w:r w:rsidRPr="0040424F">
        <w:rPr>
          <w:rFonts w:cstheme="minorHAnsi"/>
          <w:bCs/>
          <w:sz w:val="22"/>
          <w:szCs w:val="22"/>
        </w:rPr>
        <w:t>0</w:t>
      </w:r>
      <w:proofErr w:type="gramEnd"/>
      <w:r w:rsidRPr="0040424F">
        <w:rPr>
          <w:rFonts w:cstheme="minorHAnsi"/>
          <w:bCs/>
          <w:sz w:val="22"/>
          <w:szCs w:val="22"/>
        </w:rPr>
        <w:t xml:space="preserve"> </w:t>
      </w:r>
      <w:r w:rsidRPr="0040424F">
        <w:rPr>
          <w:rFonts w:cstheme="minorHAnsi"/>
          <w:sz w:val="22"/>
          <w:szCs w:val="22"/>
        </w:rPr>
        <w:t xml:space="preserve">(maximum physical limitations) to 100 (ability to do vigorous activity). The SF-36 is a reliable and valid instrument to assess self-reported health status </w:t>
      </w:r>
      <w:r>
        <w:rPr>
          <w:rFonts w:cstheme="minorHAnsi"/>
          <w:noProof/>
          <w:sz w:val="22"/>
          <w:szCs w:val="22"/>
        </w:rPr>
        <w:t>(Scheeres, Wensing, Knoop, &amp; Bleijenberg, 2008; Stewart et al., 1988)</w:t>
      </w:r>
      <w:r w:rsidRPr="0040424F">
        <w:rPr>
          <w:rFonts w:cstheme="minorHAnsi"/>
          <w:sz w:val="22"/>
          <w:szCs w:val="22"/>
        </w:rPr>
        <w:t xml:space="preserve">. The Cronbach's α of the Dutch version is 0.92 </w:t>
      </w:r>
      <w:r>
        <w:rPr>
          <w:rFonts w:cstheme="minorHAnsi"/>
          <w:noProof/>
          <w:sz w:val="22"/>
          <w:szCs w:val="22"/>
        </w:rPr>
        <w:t>(van der Zee &amp; Sanderman, 1993)</w:t>
      </w:r>
      <w:r w:rsidRPr="0040424F">
        <w:rPr>
          <w:rFonts w:cstheme="minorHAnsi"/>
          <w:sz w:val="22"/>
          <w:szCs w:val="22"/>
        </w:rPr>
        <w:t xml:space="preserve">. A cut-off score of &gt; 70 </w:t>
      </w:r>
      <w:proofErr w:type="gramStart"/>
      <w:r w:rsidRPr="0040424F">
        <w:rPr>
          <w:rFonts w:cstheme="minorHAnsi"/>
          <w:sz w:val="22"/>
          <w:szCs w:val="22"/>
        </w:rPr>
        <w:t>is used</w:t>
      </w:r>
      <w:proofErr w:type="gramEnd"/>
      <w:r w:rsidRPr="0040424F">
        <w:rPr>
          <w:rFonts w:cstheme="minorHAnsi"/>
          <w:sz w:val="22"/>
          <w:szCs w:val="22"/>
        </w:rPr>
        <w:t xml:space="preserve"> to </w:t>
      </w:r>
      <w:r w:rsidRPr="0040424F">
        <w:rPr>
          <w:rFonts w:cs="Calibri"/>
          <w:sz w:val="22"/>
          <w:szCs w:val="22"/>
        </w:rPr>
        <w:t xml:space="preserve">operationalize impaired physical functioning </w:t>
      </w:r>
      <w:r>
        <w:rPr>
          <w:rFonts w:cs="Calibri"/>
          <w:noProof/>
          <w:sz w:val="22"/>
          <w:szCs w:val="22"/>
        </w:rPr>
        <w:t>(Tummers et al., 2012)</w:t>
      </w:r>
      <w:r w:rsidRPr="0040424F">
        <w:rPr>
          <w:rFonts w:cs="Calibri"/>
          <w:sz w:val="22"/>
          <w:szCs w:val="22"/>
        </w:rPr>
        <w:t xml:space="preserve">. </w:t>
      </w:r>
    </w:p>
    <w:p w14:paraId="11C01C17" w14:textId="77777777" w:rsidR="00891A41" w:rsidRPr="0040424F" w:rsidRDefault="00891A41" w:rsidP="00C131CF">
      <w:pPr>
        <w:spacing w:line="360" w:lineRule="auto"/>
        <w:rPr>
          <w:rFonts w:cstheme="minorHAnsi"/>
          <w:b/>
          <w:sz w:val="22"/>
          <w:szCs w:val="22"/>
        </w:rPr>
      </w:pPr>
    </w:p>
    <w:p w14:paraId="12026970" w14:textId="77777777" w:rsidR="00891A41" w:rsidRPr="0040424F" w:rsidRDefault="00891A41" w:rsidP="00C131CF">
      <w:pPr>
        <w:spacing w:line="360" w:lineRule="auto"/>
        <w:rPr>
          <w:rFonts w:cstheme="minorHAnsi"/>
          <w:b/>
          <w:sz w:val="22"/>
          <w:szCs w:val="22"/>
          <w:u w:val="single"/>
        </w:rPr>
      </w:pPr>
      <w:r w:rsidRPr="0040424F">
        <w:rPr>
          <w:rFonts w:cstheme="minorHAnsi"/>
          <w:b/>
          <w:sz w:val="22"/>
          <w:szCs w:val="22"/>
        </w:rPr>
        <w:t xml:space="preserve">Assessments of putative moderators including (1) demographic factors, (2) clinical characteristics, and (3) </w:t>
      </w:r>
      <w:r w:rsidRPr="0040424F">
        <w:rPr>
          <w:rFonts w:cstheme="minorHAnsi"/>
          <w:b/>
          <w:bCs/>
          <w:sz w:val="22"/>
          <w:szCs w:val="22"/>
        </w:rPr>
        <w:t xml:space="preserve">cognitive-behavioural factors targeted in CBT. </w:t>
      </w:r>
    </w:p>
    <w:p w14:paraId="0193A151" w14:textId="77777777" w:rsidR="00891A41" w:rsidRPr="0040424F" w:rsidRDefault="00891A41" w:rsidP="00C131CF">
      <w:pPr>
        <w:pStyle w:val="Geenafstand"/>
        <w:spacing w:line="360" w:lineRule="auto"/>
        <w:rPr>
          <w:rFonts w:cstheme="minorHAnsi"/>
          <w:u w:val="single"/>
          <w:lang w:val="en-GB"/>
        </w:rPr>
      </w:pPr>
    </w:p>
    <w:p w14:paraId="17A059AC" w14:textId="77777777" w:rsidR="00891A41" w:rsidRPr="0040424F" w:rsidRDefault="00891A41" w:rsidP="00C131CF">
      <w:pPr>
        <w:pStyle w:val="Geenafstand"/>
        <w:spacing w:line="360" w:lineRule="auto"/>
        <w:rPr>
          <w:rFonts w:cstheme="minorHAnsi"/>
          <w:lang w:val="en-GB"/>
        </w:rPr>
      </w:pPr>
      <w:r w:rsidRPr="0040424F">
        <w:rPr>
          <w:rFonts w:cstheme="minorHAnsi"/>
          <w:u w:val="single"/>
          <w:lang w:val="en-GB"/>
        </w:rPr>
        <w:t>Demographic factors:</w:t>
      </w:r>
      <w:r w:rsidRPr="0040424F">
        <w:rPr>
          <w:rFonts w:cstheme="minorHAnsi"/>
          <w:lang w:val="en-GB"/>
        </w:rPr>
        <w:t xml:space="preserve"> </w:t>
      </w:r>
    </w:p>
    <w:p w14:paraId="7D9CECA1" w14:textId="77777777" w:rsidR="00891A41" w:rsidRPr="0040424F" w:rsidRDefault="00891A41" w:rsidP="00C131CF">
      <w:pPr>
        <w:pStyle w:val="Geenafstand"/>
        <w:spacing w:line="360" w:lineRule="auto"/>
        <w:rPr>
          <w:rFonts w:cstheme="minorHAnsi"/>
          <w:color w:val="000000" w:themeColor="text1"/>
          <w:lang w:val="en-GB"/>
        </w:rPr>
      </w:pPr>
      <w:r w:rsidRPr="0040424F">
        <w:rPr>
          <w:rFonts w:cstheme="minorHAnsi"/>
          <w:color w:val="000000" w:themeColor="text1"/>
          <w:lang w:val="en-GB"/>
        </w:rPr>
        <w:t xml:space="preserve">Age </w:t>
      </w:r>
      <w:proofErr w:type="gramStart"/>
      <w:r w:rsidRPr="0040424F">
        <w:rPr>
          <w:rFonts w:cstheme="minorHAnsi"/>
          <w:color w:val="000000" w:themeColor="text1"/>
          <w:lang w:val="en-GB"/>
        </w:rPr>
        <w:t>was assessed</w:t>
      </w:r>
      <w:proofErr w:type="gramEnd"/>
      <w:r w:rsidRPr="0040424F">
        <w:rPr>
          <w:rFonts w:cstheme="minorHAnsi"/>
          <w:color w:val="000000" w:themeColor="text1"/>
          <w:lang w:val="en-GB"/>
        </w:rPr>
        <w:t xml:space="preserve"> in years and sex as male vs. female, by a questionnaire.</w:t>
      </w:r>
    </w:p>
    <w:p w14:paraId="082EDD55" w14:textId="77777777" w:rsidR="00891A41" w:rsidRPr="0040424F" w:rsidRDefault="00891A41" w:rsidP="00C131CF">
      <w:pPr>
        <w:pStyle w:val="Geenafstand"/>
        <w:spacing w:line="360" w:lineRule="auto"/>
        <w:rPr>
          <w:rFonts w:cstheme="minorHAnsi"/>
          <w:color w:val="000000" w:themeColor="text1"/>
          <w:lang w:val="en-GB"/>
        </w:rPr>
      </w:pPr>
    </w:p>
    <w:p w14:paraId="08EDB2EA" w14:textId="77777777" w:rsidR="00891A41" w:rsidRPr="0040424F" w:rsidRDefault="00891A41" w:rsidP="00C131CF">
      <w:pPr>
        <w:spacing w:line="360" w:lineRule="auto"/>
        <w:rPr>
          <w:rFonts w:cstheme="minorHAnsi"/>
          <w:sz w:val="22"/>
          <w:szCs w:val="22"/>
        </w:rPr>
      </w:pPr>
      <w:r w:rsidRPr="0040424F">
        <w:rPr>
          <w:rFonts w:cstheme="minorHAnsi"/>
          <w:sz w:val="22"/>
          <w:szCs w:val="22"/>
          <w:u w:val="single"/>
        </w:rPr>
        <w:t>Clinical characteristics:</w:t>
      </w:r>
      <w:r w:rsidRPr="0040424F">
        <w:rPr>
          <w:rFonts w:cstheme="minorHAnsi"/>
          <w:sz w:val="22"/>
          <w:szCs w:val="22"/>
        </w:rPr>
        <w:t xml:space="preserve"> </w:t>
      </w:r>
    </w:p>
    <w:p w14:paraId="21F574DB" w14:textId="77777777" w:rsidR="00891A41" w:rsidRPr="0040424F" w:rsidRDefault="00891A41" w:rsidP="00C131CF">
      <w:pPr>
        <w:spacing w:line="360" w:lineRule="auto"/>
        <w:rPr>
          <w:rFonts w:cstheme="minorHAnsi"/>
          <w:sz w:val="22"/>
          <w:szCs w:val="22"/>
        </w:rPr>
      </w:pPr>
      <w:r w:rsidRPr="0040424F">
        <w:rPr>
          <w:rFonts w:cstheme="minorHAnsi"/>
          <w:sz w:val="22"/>
          <w:szCs w:val="22"/>
        </w:rPr>
        <w:t xml:space="preserve">Self-reported duration of fatigue </w:t>
      </w:r>
      <w:proofErr w:type="gramStart"/>
      <w:r w:rsidRPr="0040424F">
        <w:rPr>
          <w:rFonts w:cstheme="minorHAnsi"/>
          <w:sz w:val="22"/>
          <w:szCs w:val="22"/>
        </w:rPr>
        <w:t>was assessed</w:t>
      </w:r>
      <w:proofErr w:type="gramEnd"/>
      <w:r w:rsidRPr="0040424F">
        <w:rPr>
          <w:rFonts w:cstheme="minorHAnsi"/>
          <w:sz w:val="22"/>
          <w:szCs w:val="22"/>
        </w:rPr>
        <w:t xml:space="preserve"> in months. </w:t>
      </w:r>
    </w:p>
    <w:p w14:paraId="6090B1B9" w14:textId="77777777" w:rsidR="00891A41" w:rsidRPr="0040424F" w:rsidRDefault="00891A41" w:rsidP="00C131CF">
      <w:pPr>
        <w:spacing w:line="360" w:lineRule="auto"/>
        <w:rPr>
          <w:rFonts w:cstheme="minorHAnsi"/>
          <w:sz w:val="22"/>
          <w:szCs w:val="22"/>
        </w:rPr>
      </w:pPr>
    </w:p>
    <w:p w14:paraId="29FF00F1" w14:textId="00CFC1B0" w:rsidR="00891A41" w:rsidRPr="00E9045E" w:rsidRDefault="00891A41" w:rsidP="00C131CF">
      <w:pPr>
        <w:spacing w:line="360" w:lineRule="auto"/>
        <w:rPr>
          <w:rFonts w:cstheme="minorHAnsi"/>
          <w:sz w:val="22"/>
          <w:szCs w:val="22"/>
          <w:lang w:eastAsia="nl-NL"/>
        </w:rPr>
      </w:pPr>
      <w:r w:rsidRPr="00E9045E">
        <w:rPr>
          <w:rFonts w:cstheme="minorHAnsi"/>
          <w:sz w:val="22"/>
          <w:szCs w:val="22"/>
        </w:rPr>
        <w:t xml:space="preserve">Symptoms </w:t>
      </w:r>
      <w:proofErr w:type="gramStart"/>
      <w:r w:rsidRPr="00E9045E">
        <w:rPr>
          <w:rFonts w:cstheme="minorHAnsi"/>
          <w:iCs/>
          <w:sz w:val="22"/>
          <w:szCs w:val="22"/>
        </w:rPr>
        <w:t>were assessed</w:t>
      </w:r>
      <w:proofErr w:type="gramEnd"/>
      <w:r w:rsidRPr="00E9045E">
        <w:rPr>
          <w:rFonts w:cstheme="minorHAnsi"/>
          <w:iCs/>
          <w:sz w:val="22"/>
          <w:szCs w:val="22"/>
        </w:rPr>
        <w:t xml:space="preserve"> </w:t>
      </w:r>
      <w:r w:rsidRPr="00E9045E">
        <w:rPr>
          <w:rFonts w:cstheme="minorHAnsi"/>
          <w:sz w:val="22"/>
          <w:szCs w:val="22"/>
        </w:rPr>
        <w:t xml:space="preserve">by a questionnaire assessing nine accompanying symptoms of the </w:t>
      </w:r>
      <w:proofErr w:type="spellStart"/>
      <w:r w:rsidRPr="00E9045E">
        <w:rPr>
          <w:rFonts w:cstheme="minorHAnsi"/>
          <w:sz w:val="22"/>
          <w:szCs w:val="22"/>
        </w:rPr>
        <w:t>Centers</w:t>
      </w:r>
      <w:proofErr w:type="spellEnd"/>
      <w:r w:rsidRPr="00E9045E">
        <w:rPr>
          <w:rFonts w:cstheme="minorHAnsi"/>
          <w:sz w:val="22"/>
          <w:szCs w:val="22"/>
        </w:rPr>
        <w:t xml:space="preserve"> for Disease Control and Prevention (CDC) criteria for ME/CFS </w:t>
      </w:r>
      <w:r>
        <w:rPr>
          <w:rFonts w:cstheme="minorHAnsi"/>
          <w:noProof/>
          <w:sz w:val="22"/>
          <w:szCs w:val="22"/>
        </w:rPr>
        <w:t>(Fukuda et al., 1994; Reeves et al., 2003)</w:t>
      </w:r>
      <w:r>
        <w:rPr>
          <w:rFonts w:cstheme="minorHAnsi"/>
          <w:sz w:val="22"/>
          <w:szCs w:val="22"/>
        </w:rPr>
        <w:t xml:space="preserve">. </w:t>
      </w:r>
      <w:r w:rsidRPr="00E9045E">
        <w:rPr>
          <w:rFonts w:cstheme="minorHAnsi"/>
          <w:sz w:val="22"/>
          <w:szCs w:val="22"/>
        </w:rPr>
        <w:t xml:space="preserve">(1) </w:t>
      </w:r>
      <w:r>
        <w:rPr>
          <w:rFonts w:cstheme="minorHAnsi"/>
          <w:sz w:val="22"/>
          <w:szCs w:val="22"/>
        </w:rPr>
        <w:t>P</w:t>
      </w:r>
      <w:r w:rsidRPr="00E9045E">
        <w:rPr>
          <w:rFonts w:cstheme="minorHAnsi"/>
          <w:sz w:val="22"/>
          <w:szCs w:val="22"/>
        </w:rPr>
        <w:t>ost-exertional malaise (PEM)</w:t>
      </w:r>
      <w:r>
        <w:rPr>
          <w:rFonts w:cstheme="minorHAnsi"/>
          <w:sz w:val="22"/>
          <w:szCs w:val="22"/>
        </w:rPr>
        <w:t>:</w:t>
      </w:r>
      <w:r w:rsidRPr="00234632">
        <w:rPr>
          <w:rFonts w:cstheme="minorHAnsi"/>
          <w:sz w:val="22"/>
          <w:szCs w:val="22"/>
        </w:rPr>
        <w:t xml:space="preserve"> “</w:t>
      </w:r>
      <w:r w:rsidRPr="00234632">
        <w:rPr>
          <w:rFonts w:ascii="Calibri" w:hAnsi="Calibri" w:cs="Calibri"/>
          <w:sz w:val="22"/>
          <w:szCs w:val="22"/>
          <w:lang w:val="en-US"/>
        </w:rPr>
        <w:t>increase of symptoms following exertion”</w:t>
      </w:r>
      <w:r w:rsidRPr="00E9045E">
        <w:rPr>
          <w:rFonts w:cstheme="minorHAnsi"/>
          <w:sz w:val="22"/>
          <w:szCs w:val="22"/>
        </w:rPr>
        <w:t>; (2) unrefreshing sleep</w:t>
      </w:r>
      <w:r>
        <w:rPr>
          <w:rFonts w:cstheme="minorHAnsi"/>
          <w:sz w:val="22"/>
          <w:szCs w:val="22"/>
        </w:rPr>
        <w:t xml:space="preserve"> </w:t>
      </w:r>
      <w:r w:rsidRPr="00E9045E">
        <w:rPr>
          <w:rFonts w:cstheme="minorHAnsi"/>
          <w:sz w:val="22"/>
          <w:szCs w:val="22"/>
        </w:rPr>
        <w:t xml:space="preserve">; (3) forgetfulness; </w:t>
      </w:r>
      <w:r w:rsidRPr="00E9045E">
        <w:rPr>
          <w:rFonts w:eastAsia="Times New Roman" w:cstheme="minorHAnsi"/>
          <w:color w:val="000000"/>
          <w:sz w:val="22"/>
          <w:szCs w:val="22"/>
          <w:lang w:eastAsia="nl-NL"/>
        </w:rPr>
        <w:t xml:space="preserve">(4) problems concentrating; </w:t>
      </w:r>
      <w:r w:rsidRPr="00E9045E">
        <w:rPr>
          <w:rFonts w:cstheme="minorHAnsi"/>
          <w:sz w:val="22"/>
          <w:szCs w:val="22"/>
        </w:rPr>
        <w:t xml:space="preserve">(5) muscle pain; (6) joint pain; (7) headaches; (8) tender cervical/axillary lymph nodes, and (9) a sore throat. The frequency of each symptom </w:t>
      </w:r>
      <w:proofErr w:type="gramStart"/>
      <w:r w:rsidRPr="00E9045E">
        <w:rPr>
          <w:rFonts w:cstheme="minorHAnsi"/>
          <w:sz w:val="22"/>
          <w:szCs w:val="22"/>
        </w:rPr>
        <w:t>was assessed</w:t>
      </w:r>
      <w:proofErr w:type="gramEnd"/>
      <w:r w:rsidRPr="00E9045E">
        <w:rPr>
          <w:rFonts w:cstheme="minorHAnsi"/>
          <w:sz w:val="22"/>
          <w:szCs w:val="22"/>
        </w:rPr>
        <w:t xml:space="preserve"> using a 4-point Likert scale: (0) not at all; (1) a few times a month; (2) a few times a week; and (3) every day. Duration </w:t>
      </w:r>
      <w:proofErr w:type="gramStart"/>
      <w:r w:rsidRPr="00E9045E">
        <w:rPr>
          <w:rFonts w:cstheme="minorHAnsi"/>
          <w:sz w:val="22"/>
          <w:szCs w:val="22"/>
        </w:rPr>
        <w:t>was assessed</w:t>
      </w:r>
      <w:proofErr w:type="gramEnd"/>
      <w:r w:rsidRPr="00E9045E">
        <w:rPr>
          <w:rFonts w:cstheme="minorHAnsi"/>
          <w:sz w:val="22"/>
          <w:szCs w:val="22"/>
        </w:rPr>
        <w:t xml:space="preserve"> with a 3-point scale: (0) not; (1) less t</w:t>
      </w:r>
      <w:r w:rsidR="00540DBA">
        <w:rPr>
          <w:rFonts w:cstheme="minorHAnsi"/>
          <w:sz w:val="22"/>
          <w:szCs w:val="22"/>
        </w:rPr>
        <w:t>han six months, and (2) longer than six</w:t>
      </w:r>
      <w:r w:rsidRPr="00E9045E">
        <w:rPr>
          <w:rFonts w:cstheme="minorHAnsi"/>
          <w:sz w:val="22"/>
          <w:szCs w:val="22"/>
        </w:rPr>
        <w:t xml:space="preserve"> months.</w:t>
      </w:r>
      <w:r w:rsidRPr="00E9045E">
        <w:rPr>
          <w:rFonts w:cstheme="minorHAnsi"/>
          <w:sz w:val="22"/>
          <w:szCs w:val="22"/>
          <w:lang w:eastAsia="nl-NL"/>
        </w:rPr>
        <w:t xml:space="preserve"> </w:t>
      </w:r>
      <w:r w:rsidRPr="00E9045E">
        <w:rPr>
          <w:sz w:val="22"/>
          <w:szCs w:val="22"/>
          <w:lang w:eastAsia="nl-NL"/>
        </w:rPr>
        <w:t xml:space="preserve">A symptom </w:t>
      </w:r>
      <w:r w:rsidRPr="00E9045E">
        <w:rPr>
          <w:sz w:val="22"/>
          <w:szCs w:val="22"/>
        </w:rPr>
        <w:t xml:space="preserve">was assumed </w:t>
      </w:r>
      <w:proofErr w:type="gramStart"/>
      <w:r w:rsidRPr="00E9045E">
        <w:rPr>
          <w:sz w:val="22"/>
          <w:szCs w:val="22"/>
        </w:rPr>
        <w:t>to be present</w:t>
      </w:r>
      <w:proofErr w:type="gramEnd"/>
      <w:r w:rsidRPr="00E9045E">
        <w:rPr>
          <w:sz w:val="22"/>
          <w:szCs w:val="22"/>
        </w:rPr>
        <w:t xml:space="preserve"> if it occurred at least a few times a we</w:t>
      </w:r>
      <w:r w:rsidR="00540DBA">
        <w:rPr>
          <w:sz w:val="22"/>
          <w:szCs w:val="22"/>
        </w:rPr>
        <w:t>ek for a period of longer than six</w:t>
      </w:r>
      <w:r w:rsidRPr="00E9045E">
        <w:rPr>
          <w:sz w:val="22"/>
          <w:szCs w:val="22"/>
        </w:rPr>
        <w:t xml:space="preserve"> months.</w:t>
      </w:r>
    </w:p>
    <w:p w14:paraId="36D3E542" w14:textId="77777777" w:rsidR="00891A41" w:rsidRPr="0040424F" w:rsidRDefault="00891A41" w:rsidP="00C131CF">
      <w:pPr>
        <w:spacing w:line="360" w:lineRule="auto"/>
        <w:rPr>
          <w:rFonts w:cstheme="minorHAnsi"/>
          <w:sz w:val="22"/>
          <w:szCs w:val="22"/>
        </w:rPr>
      </w:pPr>
    </w:p>
    <w:p w14:paraId="7A0EE84B" w14:textId="27483DD5" w:rsidR="00891A41" w:rsidRPr="0040424F" w:rsidRDefault="00891A41" w:rsidP="00C131CF">
      <w:pPr>
        <w:spacing w:line="360" w:lineRule="auto"/>
        <w:rPr>
          <w:rFonts w:cstheme="minorHAnsi"/>
          <w:sz w:val="22"/>
          <w:szCs w:val="22"/>
        </w:rPr>
      </w:pPr>
      <w:proofErr w:type="gramStart"/>
      <w:r w:rsidRPr="0040424F">
        <w:rPr>
          <w:rFonts w:cstheme="minorHAnsi"/>
          <w:sz w:val="22"/>
          <w:szCs w:val="22"/>
        </w:rPr>
        <w:t xml:space="preserve">Patients met the CDC case definitions if they reported medically unexplained severe fatigue, operationalized as scoring </w:t>
      </w:r>
      <w:r>
        <w:rPr>
          <w:rFonts w:cstheme="minorHAnsi"/>
          <w:sz w:val="22"/>
          <w:szCs w:val="22"/>
          <w:shd w:val="clear" w:color="auto" w:fill="FFFFFF"/>
        </w:rPr>
        <w:t>≥</w:t>
      </w:r>
      <w:r w:rsidRPr="0040424F">
        <w:rPr>
          <w:rFonts w:cstheme="minorHAnsi"/>
          <w:sz w:val="22"/>
          <w:szCs w:val="22"/>
          <w:shd w:val="clear" w:color="auto" w:fill="FFFFFF"/>
        </w:rPr>
        <w:t xml:space="preserve"> 35 </w:t>
      </w:r>
      <w:r>
        <w:rPr>
          <w:rFonts w:cstheme="minorHAnsi"/>
          <w:noProof/>
          <w:sz w:val="22"/>
          <w:szCs w:val="22"/>
          <w:shd w:val="clear" w:color="auto" w:fill="FFFFFF"/>
        </w:rPr>
        <w:t>(Janse et al., 2018; Knoop et al., 2008; Tummers et al., 2012; Wiborg et al., 2015)</w:t>
      </w:r>
      <w:r w:rsidRPr="0040424F">
        <w:rPr>
          <w:rFonts w:cstheme="minorHAnsi"/>
          <w:sz w:val="22"/>
          <w:szCs w:val="22"/>
          <w:shd w:val="clear" w:color="auto" w:fill="FFFFFF"/>
        </w:rPr>
        <w:t xml:space="preserve"> or </w:t>
      </w:r>
      <w:r>
        <w:rPr>
          <w:rFonts w:cstheme="minorHAnsi"/>
          <w:sz w:val="22"/>
          <w:szCs w:val="22"/>
          <w:shd w:val="clear" w:color="auto" w:fill="FFFFFF"/>
        </w:rPr>
        <w:t xml:space="preserve">≥ </w:t>
      </w:r>
      <w:r w:rsidRPr="0040424F">
        <w:rPr>
          <w:rFonts w:cstheme="minorHAnsi"/>
          <w:sz w:val="22"/>
          <w:szCs w:val="22"/>
          <w:shd w:val="clear" w:color="auto" w:fill="FFFFFF"/>
        </w:rPr>
        <w:t xml:space="preserve">40 </w:t>
      </w:r>
      <w:r>
        <w:rPr>
          <w:rFonts w:cstheme="minorHAnsi"/>
          <w:noProof/>
          <w:sz w:val="22"/>
          <w:szCs w:val="22"/>
          <w:shd w:val="clear" w:color="auto" w:fill="FFFFFF"/>
        </w:rPr>
        <w:t>(Nijhof et al., 2012; Prins et al., 2001; Stulemeijer et al., 2005; van der Schaaf et al., 2015)</w:t>
      </w:r>
      <w:r w:rsidRPr="0040424F">
        <w:rPr>
          <w:rFonts w:cstheme="minorHAnsi"/>
          <w:sz w:val="22"/>
          <w:szCs w:val="22"/>
          <w:shd w:val="clear" w:color="auto" w:fill="FFFFFF"/>
        </w:rPr>
        <w:t xml:space="preserve"> on the CIS-fatigue</w:t>
      </w:r>
      <w:r w:rsidRPr="0040424F">
        <w:rPr>
          <w:rFonts w:cstheme="minorHAnsi"/>
          <w:sz w:val="22"/>
          <w:szCs w:val="22"/>
        </w:rPr>
        <w:t xml:space="preserve">, lasting for at </w:t>
      </w:r>
      <w:r w:rsidR="00540DBA">
        <w:rPr>
          <w:rFonts w:cstheme="minorHAnsi"/>
          <w:sz w:val="22"/>
          <w:szCs w:val="22"/>
        </w:rPr>
        <w:t>least six</w:t>
      </w:r>
      <w:r w:rsidRPr="0040424F">
        <w:rPr>
          <w:rFonts w:cstheme="minorHAnsi"/>
          <w:sz w:val="22"/>
          <w:szCs w:val="22"/>
        </w:rPr>
        <w:t xml:space="preserve"> months.</w:t>
      </w:r>
      <w:proofErr w:type="gramEnd"/>
      <w:r w:rsidRPr="0040424F">
        <w:rPr>
          <w:rFonts w:cstheme="minorHAnsi"/>
          <w:sz w:val="22"/>
          <w:szCs w:val="22"/>
        </w:rPr>
        <w:t xml:space="preserve"> Furthermore, patients had to report </w:t>
      </w:r>
      <w:proofErr w:type="gramStart"/>
      <w:r w:rsidRPr="0040424F">
        <w:rPr>
          <w:rFonts w:cstheme="minorHAnsi"/>
          <w:sz w:val="22"/>
          <w:szCs w:val="22"/>
        </w:rPr>
        <w:t>4</w:t>
      </w:r>
      <w:proofErr w:type="gramEnd"/>
      <w:r w:rsidRPr="0040424F">
        <w:rPr>
          <w:rFonts w:cstheme="minorHAnsi"/>
          <w:sz w:val="22"/>
          <w:szCs w:val="22"/>
        </w:rPr>
        <w:t xml:space="preserve"> or more symptoms out of eight additional symptoms (PEM, unrefreshing sleep, cognitive problems, muscle pain, joint pain, headaches</w:t>
      </w:r>
      <w:r>
        <w:rPr>
          <w:rFonts w:cstheme="minorHAnsi"/>
          <w:sz w:val="22"/>
          <w:szCs w:val="22"/>
        </w:rPr>
        <w:t>,</w:t>
      </w:r>
      <w:r w:rsidRPr="0040424F">
        <w:rPr>
          <w:rFonts w:cstheme="minorHAnsi"/>
          <w:sz w:val="22"/>
          <w:szCs w:val="22"/>
        </w:rPr>
        <w:t xml:space="preserve"> tender cervical/axillary lymph nodes, and a sore throat) and should be functionally impaired. </w:t>
      </w:r>
      <w:proofErr w:type="gramStart"/>
      <w:r w:rsidRPr="0040424F">
        <w:rPr>
          <w:rFonts w:cstheme="minorHAnsi"/>
          <w:sz w:val="22"/>
          <w:szCs w:val="22"/>
          <w:shd w:val="clear" w:color="auto" w:fill="FFFFFF"/>
        </w:rPr>
        <w:t xml:space="preserve">In the studies with adult patients, functional impairment was operationalized as scoring &gt; 700 </w:t>
      </w:r>
      <w:r>
        <w:rPr>
          <w:rFonts w:cstheme="minorHAnsi"/>
          <w:noProof/>
          <w:sz w:val="22"/>
          <w:szCs w:val="22"/>
          <w:shd w:val="clear" w:color="auto" w:fill="FFFFFF"/>
        </w:rPr>
        <w:t>(Janse et al., 2018; Knoop et al., 2008; van der Schaaf et al., 2015; Wiborg et al., 2015)</w:t>
      </w:r>
      <w:r w:rsidRPr="0040424F">
        <w:rPr>
          <w:rFonts w:cstheme="minorHAnsi"/>
          <w:sz w:val="22"/>
          <w:szCs w:val="22"/>
          <w:shd w:val="clear" w:color="auto" w:fill="FFFFFF"/>
        </w:rPr>
        <w:t xml:space="preserve"> or &gt; 800 </w:t>
      </w:r>
      <w:r>
        <w:rPr>
          <w:rFonts w:cstheme="minorHAnsi"/>
          <w:noProof/>
          <w:sz w:val="22"/>
          <w:szCs w:val="22"/>
          <w:shd w:val="clear" w:color="auto" w:fill="FFFFFF"/>
        </w:rPr>
        <w:t>(Prins et al., 2001)</w:t>
      </w:r>
      <w:r w:rsidRPr="0040424F">
        <w:rPr>
          <w:rFonts w:cstheme="minorHAnsi"/>
          <w:sz w:val="22"/>
          <w:szCs w:val="22"/>
          <w:shd w:val="clear" w:color="auto" w:fill="FFFFFF"/>
        </w:rPr>
        <w:t xml:space="preserve"> on the </w:t>
      </w:r>
      <w:r w:rsidRPr="0040424F">
        <w:rPr>
          <w:rFonts w:eastAsia="CharisSIL" w:cstheme="minorHAnsi"/>
          <w:sz w:val="22"/>
          <w:szCs w:val="22"/>
        </w:rPr>
        <w:t xml:space="preserve">SIP8 </w:t>
      </w:r>
      <w:r>
        <w:rPr>
          <w:rFonts w:eastAsia="CharisSIL" w:cstheme="minorHAnsi"/>
          <w:noProof/>
          <w:sz w:val="22"/>
          <w:szCs w:val="22"/>
        </w:rPr>
        <w:t>(Bergner et al., 1981)</w:t>
      </w:r>
      <w:r w:rsidRPr="0040424F">
        <w:rPr>
          <w:rFonts w:eastAsia="CharisSIL" w:cstheme="minorHAnsi"/>
          <w:sz w:val="22"/>
          <w:szCs w:val="22"/>
        </w:rPr>
        <w:t xml:space="preserve">, or as </w:t>
      </w:r>
      <w:r w:rsidRPr="0040424F">
        <w:rPr>
          <w:rFonts w:cstheme="minorHAnsi"/>
          <w:sz w:val="22"/>
          <w:szCs w:val="22"/>
          <w:shd w:val="clear" w:color="auto" w:fill="FFFFFF"/>
        </w:rPr>
        <w:t xml:space="preserve">scoring ≤ 70 </w:t>
      </w:r>
      <w:r>
        <w:rPr>
          <w:rFonts w:cstheme="minorHAnsi"/>
          <w:noProof/>
          <w:sz w:val="22"/>
          <w:szCs w:val="22"/>
          <w:shd w:val="clear" w:color="auto" w:fill="FFFFFF"/>
        </w:rPr>
        <w:t>(M. Tummers et al., 2012)</w:t>
      </w:r>
      <w:r w:rsidRPr="0040424F">
        <w:rPr>
          <w:rFonts w:cstheme="minorHAnsi"/>
          <w:sz w:val="22"/>
          <w:szCs w:val="22"/>
          <w:shd w:val="clear" w:color="auto" w:fill="FFFFFF"/>
        </w:rPr>
        <w:t xml:space="preserve"> on the physical and/or social functioning subscale of the </w:t>
      </w:r>
      <w:r w:rsidRPr="0040424F">
        <w:rPr>
          <w:rFonts w:cstheme="minorHAnsi"/>
          <w:bCs/>
          <w:sz w:val="22"/>
          <w:szCs w:val="22"/>
        </w:rPr>
        <w:t xml:space="preserve">SF-36 </w:t>
      </w:r>
      <w:r>
        <w:rPr>
          <w:rFonts w:cstheme="minorHAnsi"/>
          <w:bCs/>
          <w:noProof/>
          <w:sz w:val="22"/>
          <w:szCs w:val="22"/>
        </w:rPr>
        <w:t>(Stewart et al., 1988)</w:t>
      </w:r>
      <w:r w:rsidRPr="0040424F">
        <w:rPr>
          <w:rFonts w:cstheme="minorHAnsi"/>
          <w:bCs/>
          <w:sz w:val="22"/>
          <w:szCs w:val="22"/>
        </w:rPr>
        <w:t>.</w:t>
      </w:r>
      <w:proofErr w:type="gramEnd"/>
      <w:r w:rsidRPr="0040424F">
        <w:rPr>
          <w:rFonts w:cstheme="minorHAnsi"/>
          <w:bCs/>
          <w:sz w:val="22"/>
          <w:szCs w:val="22"/>
        </w:rPr>
        <w:t xml:space="preserve"> </w:t>
      </w:r>
      <w:proofErr w:type="gramStart"/>
      <w:r w:rsidRPr="0040424F">
        <w:rPr>
          <w:rFonts w:cstheme="minorHAnsi"/>
          <w:bCs/>
          <w:sz w:val="22"/>
          <w:szCs w:val="22"/>
        </w:rPr>
        <w:t xml:space="preserve">In one study with adolescent patients </w:t>
      </w:r>
      <w:r>
        <w:rPr>
          <w:rFonts w:cstheme="minorHAnsi"/>
          <w:bCs/>
          <w:noProof/>
          <w:sz w:val="22"/>
          <w:szCs w:val="22"/>
        </w:rPr>
        <w:t>(Nijhof et al., 2012)</w:t>
      </w:r>
      <w:r w:rsidRPr="0040424F">
        <w:rPr>
          <w:rFonts w:cstheme="minorHAnsi"/>
          <w:bCs/>
          <w:sz w:val="22"/>
          <w:szCs w:val="22"/>
        </w:rPr>
        <w:t xml:space="preserve"> functional impairment was </w:t>
      </w:r>
      <w:r w:rsidRPr="0040424F">
        <w:rPr>
          <w:rFonts w:cstheme="minorHAnsi"/>
          <w:sz w:val="22"/>
          <w:szCs w:val="22"/>
          <w:shd w:val="clear" w:color="auto" w:fill="FFFFFF"/>
        </w:rPr>
        <w:t xml:space="preserve">operationalized as scoring ≤ 85 on the physical functioning subscale of the child health questionnaire (CHQ-CF87) </w:t>
      </w:r>
      <w:r>
        <w:rPr>
          <w:rFonts w:cstheme="minorHAnsi"/>
          <w:noProof/>
          <w:sz w:val="22"/>
          <w:szCs w:val="22"/>
          <w:shd w:val="clear" w:color="auto" w:fill="FFFFFF"/>
        </w:rPr>
        <w:t>(Raat, Landgraf, Bonsel, Gemke, &amp; Essink-Bot, 2002)</w:t>
      </w:r>
      <w:r w:rsidRPr="0040424F">
        <w:rPr>
          <w:rFonts w:cstheme="minorHAnsi"/>
          <w:sz w:val="22"/>
          <w:szCs w:val="22"/>
          <w:shd w:val="clear" w:color="auto" w:fill="FFFFFF"/>
        </w:rPr>
        <w:t xml:space="preserve">, or with a school attendance of 85% or less; in the second study with </w:t>
      </w:r>
      <w:r w:rsidRPr="0040424F">
        <w:rPr>
          <w:rFonts w:cstheme="minorHAnsi"/>
          <w:bCs/>
          <w:sz w:val="22"/>
          <w:szCs w:val="22"/>
        </w:rPr>
        <w:t xml:space="preserve">adolescent patients </w:t>
      </w:r>
      <w:r>
        <w:rPr>
          <w:rFonts w:cstheme="minorHAnsi"/>
          <w:noProof/>
          <w:sz w:val="22"/>
          <w:szCs w:val="22"/>
          <w:shd w:val="clear" w:color="auto" w:fill="FFFFFF"/>
        </w:rPr>
        <w:t>(Stulemeijer et al., 2005)</w:t>
      </w:r>
      <w:r>
        <w:rPr>
          <w:rFonts w:cstheme="minorHAnsi"/>
          <w:sz w:val="22"/>
          <w:szCs w:val="22"/>
          <w:shd w:val="clear" w:color="auto" w:fill="FFFFFF"/>
        </w:rPr>
        <w:t>,</w:t>
      </w:r>
      <w:r w:rsidRPr="0040424F">
        <w:rPr>
          <w:rFonts w:cstheme="minorHAnsi"/>
          <w:sz w:val="22"/>
          <w:szCs w:val="22"/>
          <w:shd w:val="clear" w:color="auto" w:fill="FFFFFF"/>
        </w:rPr>
        <w:t xml:space="preserve"> functional impairment was operationalized as scoring ≤ 65 on the physical functioning subscale of the SF-36.</w:t>
      </w:r>
      <w:proofErr w:type="gramEnd"/>
      <w:r w:rsidRPr="0040424F">
        <w:rPr>
          <w:rFonts w:cstheme="minorHAnsi"/>
          <w:sz w:val="22"/>
          <w:szCs w:val="22"/>
          <w:shd w:val="clear" w:color="auto" w:fill="FFFFFF"/>
        </w:rPr>
        <w:t xml:space="preserve"> </w:t>
      </w:r>
      <w:r w:rsidRPr="0040424F">
        <w:rPr>
          <w:rFonts w:cstheme="minorHAnsi"/>
          <w:sz w:val="22"/>
          <w:szCs w:val="22"/>
        </w:rPr>
        <w:t xml:space="preserve">The medical status of the patient </w:t>
      </w:r>
      <w:proofErr w:type="gramStart"/>
      <w:r w:rsidRPr="0040424F">
        <w:rPr>
          <w:rFonts w:cstheme="minorHAnsi"/>
          <w:sz w:val="22"/>
          <w:szCs w:val="22"/>
        </w:rPr>
        <w:t>was assessed</w:t>
      </w:r>
      <w:proofErr w:type="gramEnd"/>
      <w:r w:rsidRPr="0040424F">
        <w:rPr>
          <w:rFonts w:cstheme="minorHAnsi"/>
          <w:sz w:val="22"/>
          <w:szCs w:val="22"/>
        </w:rPr>
        <w:t xml:space="preserve"> by a consultant of the department of internal medicine or general practitioner in the case of adults and by a paediatrician in case of adolescents to rule out medical conditions that could explain the presence of severe fatigue. </w:t>
      </w:r>
      <w:proofErr w:type="gramStart"/>
      <w:r w:rsidRPr="0040424F">
        <w:rPr>
          <w:rFonts w:cstheme="minorHAnsi"/>
          <w:sz w:val="22"/>
          <w:szCs w:val="22"/>
        </w:rPr>
        <w:t xml:space="preserve">Trained clinical psychologists or psychiatric nurses (the latter in the study of </w:t>
      </w:r>
      <w:proofErr w:type="spellStart"/>
      <w:r w:rsidRPr="0040424F">
        <w:rPr>
          <w:rFonts w:cstheme="minorHAnsi"/>
          <w:sz w:val="22"/>
          <w:szCs w:val="22"/>
        </w:rPr>
        <w:t>Tummers</w:t>
      </w:r>
      <w:proofErr w:type="spellEnd"/>
      <w:r w:rsidRPr="0040424F">
        <w:rPr>
          <w:rFonts w:cstheme="minorHAnsi"/>
          <w:sz w:val="22"/>
          <w:szCs w:val="22"/>
        </w:rPr>
        <w:t xml:space="preserve"> et al. (2012)</w:t>
      </w:r>
      <w:r>
        <w:rPr>
          <w:rFonts w:cstheme="minorHAnsi"/>
          <w:sz w:val="22"/>
          <w:szCs w:val="22"/>
        </w:rPr>
        <w:t>)</w:t>
      </w:r>
      <w:r w:rsidRPr="0040424F">
        <w:rPr>
          <w:rFonts w:cstheme="minorHAnsi"/>
          <w:sz w:val="22"/>
          <w:szCs w:val="22"/>
        </w:rPr>
        <w:t xml:space="preserve"> ruled out psychiatric comorbidity that could explain the presence of the symptoms in unstructured clinical interviews or with a structured interview (Clinical Interview for DSM–III–R (SCID–III–R) </w:t>
      </w:r>
      <w:r>
        <w:rPr>
          <w:rFonts w:cstheme="minorHAnsi"/>
          <w:noProof/>
          <w:sz w:val="22"/>
          <w:szCs w:val="22"/>
        </w:rPr>
        <w:t>(Spitzer, Williams, Gibbon, &amp; First, 1992)</w:t>
      </w:r>
      <w:r w:rsidRPr="0040424F">
        <w:rPr>
          <w:rFonts w:cstheme="minorHAnsi"/>
          <w:sz w:val="22"/>
          <w:szCs w:val="22"/>
        </w:rPr>
        <w:t xml:space="preserve"> or the Mini International Neuropsychiatric Interview </w:t>
      </w:r>
      <w:r>
        <w:rPr>
          <w:rFonts w:cstheme="minorHAnsi"/>
          <w:noProof/>
          <w:sz w:val="22"/>
          <w:szCs w:val="22"/>
        </w:rPr>
        <w:t>(Lecrubier et al., 1997)</w:t>
      </w:r>
      <w:r>
        <w:rPr>
          <w:rFonts w:cstheme="minorHAnsi"/>
          <w:sz w:val="22"/>
          <w:szCs w:val="22"/>
        </w:rPr>
        <w:t>)</w:t>
      </w:r>
      <w:r w:rsidRPr="0040424F">
        <w:rPr>
          <w:rFonts w:cstheme="minorHAnsi"/>
          <w:sz w:val="22"/>
          <w:szCs w:val="22"/>
        </w:rPr>
        <w:t>.</w:t>
      </w:r>
      <w:proofErr w:type="gramEnd"/>
    </w:p>
    <w:p w14:paraId="28F284DA" w14:textId="77777777" w:rsidR="00891A41" w:rsidRPr="0040424F" w:rsidRDefault="00891A41" w:rsidP="00C131CF">
      <w:pPr>
        <w:spacing w:line="360" w:lineRule="auto"/>
        <w:rPr>
          <w:rFonts w:cstheme="minorHAnsi"/>
          <w:sz w:val="22"/>
          <w:szCs w:val="22"/>
        </w:rPr>
      </w:pPr>
    </w:p>
    <w:p w14:paraId="7ADF5F8E" w14:textId="370BDB7E" w:rsidR="00891A41" w:rsidRPr="0040424F" w:rsidRDefault="00891A41" w:rsidP="00C131CF">
      <w:pPr>
        <w:spacing w:line="360" w:lineRule="auto"/>
        <w:rPr>
          <w:rFonts w:cstheme="minorHAnsi"/>
          <w:sz w:val="22"/>
          <w:szCs w:val="22"/>
        </w:rPr>
      </w:pPr>
      <w:r w:rsidRPr="0040424F">
        <w:rPr>
          <w:rFonts w:cstheme="minorHAnsi"/>
          <w:sz w:val="22"/>
          <w:szCs w:val="22"/>
        </w:rPr>
        <w:t>Systemic Exertion Intolerance Disease (SEID) diagnosis / National Institute of Clinical Excellence (NICE) criteria: SEID diagnosis / NICE criteria are fulfilled when patients are severely fatigued and dis</w:t>
      </w:r>
      <w:r w:rsidR="00540DBA">
        <w:rPr>
          <w:rFonts w:cstheme="minorHAnsi"/>
          <w:sz w:val="22"/>
          <w:szCs w:val="22"/>
        </w:rPr>
        <w:t>abled for at least six months (SEID) or three</w:t>
      </w:r>
      <w:r w:rsidRPr="0040424F">
        <w:rPr>
          <w:rFonts w:cstheme="minorHAnsi"/>
          <w:sz w:val="22"/>
          <w:szCs w:val="22"/>
        </w:rPr>
        <w:t xml:space="preserve"> months (NICE) and also report PEM, unrefreshing sleep, and cognitive problems (forgetfulness or problems concentrating) and/or orthostatic intolerance (only SEID). Both severe fatigue and functional impairment </w:t>
      </w:r>
      <w:proofErr w:type="gramStart"/>
      <w:r w:rsidRPr="0040424F">
        <w:rPr>
          <w:rFonts w:cstheme="minorHAnsi"/>
          <w:sz w:val="22"/>
          <w:szCs w:val="22"/>
        </w:rPr>
        <w:t xml:space="preserve">were </w:t>
      </w:r>
      <w:r w:rsidRPr="0040424F">
        <w:rPr>
          <w:rFonts w:cstheme="minorHAnsi"/>
          <w:sz w:val="22"/>
          <w:szCs w:val="22"/>
          <w:shd w:val="clear" w:color="auto" w:fill="FFFFFF"/>
        </w:rPr>
        <w:t>operationalized</w:t>
      </w:r>
      <w:proofErr w:type="gramEnd"/>
      <w:r w:rsidRPr="0040424F">
        <w:rPr>
          <w:rFonts w:cstheme="minorHAnsi"/>
          <w:sz w:val="22"/>
          <w:szCs w:val="22"/>
          <w:shd w:val="clear" w:color="auto" w:fill="FFFFFF"/>
        </w:rPr>
        <w:t xml:space="preserve"> in the same way as with the CDC case definition. </w:t>
      </w:r>
      <w:r w:rsidRPr="0040424F">
        <w:rPr>
          <w:rFonts w:cstheme="minorHAnsi"/>
          <w:sz w:val="22"/>
          <w:szCs w:val="22"/>
        </w:rPr>
        <w:t xml:space="preserve">The symptoms unrefreshing </w:t>
      </w:r>
      <w:proofErr w:type="gramStart"/>
      <w:r w:rsidRPr="0040424F">
        <w:rPr>
          <w:rFonts w:cstheme="minorHAnsi"/>
          <w:sz w:val="22"/>
          <w:szCs w:val="22"/>
        </w:rPr>
        <w:t>sleep,</w:t>
      </w:r>
      <w:proofErr w:type="gramEnd"/>
      <w:r w:rsidRPr="0040424F">
        <w:rPr>
          <w:rFonts w:cstheme="minorHAnsi"/>
          <w:sz w:val="22"/>
          <w:szCs w:val="22"/>
        </w:rPr>
        <w:t xml:space="preserve"> cognitive problems (forgetfulness or problems concentrating) and PEM had to be present for at least several times a week. We did not assess orthostatic intolerance. SEID diagnosis and the NICE criteria overlap r</w:t>
      </w:r>
      <w:r w:rsidR="00540DBA">
        <w:rPr>
          <w:rFonts w:cstheme="minorHAnsi"/>
          <w:sz w:val="22"/>
          <w:szCs w:val="22"/>
        </w:rPr>
        <w:t>egarding symptoms required</w:t>
      </w:r>
      <w:proofErr w:type="gramStart"/>
      <w:r w:rsidR="00540DBA">
        <w:rPr>
          <w:rFonts w:cstheme="minorHAnsi"/>
          <w:sz w:val="22"/>
          <w:szCs w:val="22"/>
        </w:rPr>
        <w:t>,</w:t>
      </w:r>
      <w:proofErr w:type="gramEnd"/>
      <w:r w:rsidR="00540DBA">
        <w:rPr>
          <w:rFonts w:cstheme="minorHAnsi"/>
          <w:sz w:val="22"/>
          <w:szCs w:val="22"/>
        </w:rPr>
        <w:t xml:space="preserve"> a six </w:t>
      </w:r>
      <w:r w:rsidRPr="0040424F">
        <w:rPr>
          <w:rFonts w:cstheme="minorHAnsi"/>
          <w:sz w:val="22"/>
          <w:szCs w:val="22"/>
        </w:rPr>
        <w:t>months delay to diagnosis is built int</w:t>
      </w:r>
      <w:r w:rsidR="00540DBA">
        <w:rPr>
          <w:rFonts w:cstheme="minorHAnsi"/>
          <w:sz w:val="22"/>
          <w:szCs w:val="22"/>
        </w:rPr>
        <w:t>o SEID diagnosis while this is three</w:t>
      </w:r>
      <w:r w:rsidRPr="0040424F">
        <w:rPr>
          <w:rFonts w:cstheme="minorHAnsi"/>
          <w:sz w:val="22"/>
          <w:szCs w:val="22"/>
        </w:rPr>
        <w:t xml:space="preserve"> months in the NICE criteria. Thus, all patients fulfilling SEID</w:t>
      </w:r>
      <w:r>
        <w:rPr>
          <w:rFonts w:cstheme="minorHAnsi"/>
          <w:sz w:val="22"/>
          <w:szCs w:val="22"/>
        </w:rPr>
        <w:t xml:space="preserve"> </w:t>
      </w:r>
      <w:proofErr w:type="gramStart"/>
      <w:r>
        <w:rPr>
          <w:rFonts w:cstheme="minorHAnsi"/>
          <w:sz w:val="22"/>
          <w:szCs w:val="22"/>
        </w:rPr>
        <w:t>diagnosis</w:t>
      </w:r>
      <w:r w:rsidRPr="0040424F">
        <w:rPr>
          <w:rFonts w:cstheme="minorHAnsi"/>
          <w:sz w:val="22"/>
          <w:szCs w:val="22"/>
        </w:rPr>
        <w:t>,</w:t>
      </w:r>
      <w:proofErr w:type="gramEnd"/>
      <w:r w:rsidRPr="0040424F">
        <w:rPr>
          <w:rFonts w:cstheme="minorHAnsi"/>
          <w:sz w:val="22"/>
          <w:szCs w:val="22"/>
        </w:rPr>
        <w:t xml:space="preserve"> also fulfilled NICE criteria. </w:t>
      </w:r>
    </w:p>
    <w:p w14:paraId="6661CBE9" w14:textId="77777777" w:rsidR="00891A41" w:rsidRPr="0040424F" w:rsidRDefault="00891A41" w:rsidP="00C131CF">
      <w:pPr>
        <w:spacing w:line="360" w:lineRule="auto"/>
        <w:rPr>
          <w:rFonts w:cstheme="minorHAnsi"/>
          <w:sz w:val="22"/>
          <w:szCs w:val="22"/>
        </w:rPr>
      </w:pPr>
    </w:p>
    <w:p w14:paraId="50D89744" w14:textId="5FF47B77" w:rsidR="00891A41" w:rsidRPr="0040424F" w:rsidRDefault="00891A41" w:rsidP="00C131CF">
      <w:pPr>
        <w:spacing w:line="360" w:lineRule="auto"/>
        <w:rPr>
          <w:rFonts w:cstheme="minorHAnsi"/>
          <w:sz w:val="22"/>
          <w:szCs w:val="22"/>
        </w:rPr>
      </w:pPr>
      <w:r w:rsidRPr="0040424F">
        <w:rPr>
          <w:rFonts w:cstheme="minorHAnsi"/>
          <w:sz w:val="22"/>
          <w:szCs w:val="22"/>
        </w:rPr>
        <w:lastRenderedPageBreak/>
        <w:t xml:space="preserve">Depressive symptoms </w:t>
      </w:r>
      <w:proofErr w:type="gramStart"/>
      <w:r w:rsidRPr="0040424F">
        <w:rPr>
          <w:rFonts w:cstheme="minorHAnsi"/>
          <w:sz w:val="22"/>
          <w:szCs w:val="22"/>
        </w:rPr>
        <w:t>were assessed</w:t>
      </w:r>
      <w:proofErr w:type="gramEnd"/>
      <w:r w:rsidRPr="0040424F">
        <w:rPr>
          <w:rFonts w:cstheme="minorHAnsi"/>
          <w:sz w:val="22"/>
          <w:szCs w:val="22"/>
        </w:rPr>
        <w:t xml:space="preserve"> with the Beck </w:t>
      </w:r>
      <w:r>
        <w:rPr>
          <w:rFonts w:cstheme="minorHAnsi"/>
          <w:sz w:val="22"/>
          <w:szCs w:val="22"/>
        </w:rPr>
        <w:t>D</w:t>
      </w:r>
      <w:r w:rsidRPr="0040424F">
        <w:rPr>
          <w:rFonts w:cstheme="minorHAnsi"/>
          <w:sz w:val="22"/>
          <w:szCs w:val="22"/>
        </w:rPr>
        <w:t xml:space="preserve">epression </w:t>
      </w:r>
      <w:r>
        <w:rPr>
          <w:rFonts w:cstheme="minorHAnsi"/>
          <w:sz w:val="22"/>
          <w:szCs w:val="22"/>
        </w:rPr>
        <w:t>I</w:t>
      </w:r>
      <w:r w:rsidRPr="0040424F">
        <w:rPr>
          <w:rFonts w:cstheme="minorHAnsi"/>
          <w:sz w:val="22"/>
          <w:szCs w:val="22"/>
        </w:rPr>
        <w:t xml:space="preserve">nventory – </w:t>
      </w:r>
      <w:r>
        <w:rPr>
          <w:rFonts w:cstheme="minorHAnsi"/>
          <w:sz w:val="22"/>
          <w:szCs w:val="22"/>
        </w:rPr>
        <w:t>P</w:t>
      </w:r>
      <w:r w:rsidRPr="0040424F">
        <w:rPr>
          <w:rFonts w:cstheme="minorHAnsi"/>
          <w:sz w:val="22"/>
          <w:szCs w:val="22"/>
        </w:rPr>
        <w:t xml:space="preserve">rimary </w:t>
      </w:r>
      <w:r>
        <w:rPr>
          <w:rFonts w:cstheme="minorHAnsi"/>
          <w:sz w:val="22"/>
          <w:szCs w:val="22"/>
        </w:rPr>
        <w:t>C</w:t>
      </w:r>
      <w:r w:rsidRPr="0040424F">
        <w:rPr>
          <w:rFonts w:cstheme="minorHAnsi"/>
          <w:sz w:val="22"/>
          <w:szCs w:val="22"/>
        </w:rPr>
        <w:t xml:space="preserve">are version (BDI-PC) </w:t>
      </w:r>
      <w:r>
        <w:rPr>
          <w:rFonts w:cstheme="minorHAnsi"/>
          <w:noProof/>
          <w:sz w:val="22"/>
          <w:szCs w:val="22"/>
        </w:rPr>
        <w:t>(Beck, Guth, Steew, &amp; Ball, 1997)</w:t>
      </w:r>
      <w:r w:rsidRPr="0040424F">
        <w:rPr>
          <w:rFonts w:cstheme="minorHAnsi"/>
          <w:sz w:val="22"/>
          <w:szCs w:val="22"/>
        </w:rPr>
        <w:t xml:space="preserve"> in which seven items are scored on a 4-point scale (range 0-3). The total score ranges from </w:t>
      </w:r>
      <w:proofErr w:type="gramStart"/>
      <w:r w:rsidRPr="0040424F">
        <w:rPr>
          <w:rFonts w:cstheme="minorHAnsi"/>
          <w:sz w:val="22"/>
          <w:szCs w:val="22"/>
        </w:rPr>
        <w:t>0</w:t>
      </w:r>
      <w:proofErr w:type="gramEnd"/>
      <w:r w:rsidRPr="0040424F">
        <w:rPr>
          <w:rFonts w:cstheme="minorHAnsi"/>
          <w:sz w:val="22"/>
          <w:szCs w:val="22"/>
        </w:rPr>
        <w:t xml:space="preserve"> to 21, a h</w:t>
      </w:r>
      <w:r w:rsidRPr="0040424F">
        <w:rPr>
          <w:rFonts w:eastAsia="CharisSIL" w:cstheme="minorHAnsi"/>
          <w:sz w:val="22"/>
          <w:szCs w:val="22"/>
        </w:rPr>
        <w:t xml:space="preserve">igher score indicating more depressive symptoms. A cut-off score of </w:t>
      </w:r>
      <w:r w:rsidRPr="0040424F">
        <w:rPr>
          <w:rFonts w:cstheme="minorHAnsi"/>
          <w:sz w:val="22"/>
          <w:szCs w:val="22"/>
        </w:rPr>
        <w:t xml:space="preserve">≥ 4 </w:t>
      </w:r>
      <w:proofErr w:type="gramStart"/>
      <w:r w:rsidRPr="0040424F">
        <w:rPr>
          <w:rFonts w:cstheme="minorHAnsi"/>
          <w:sz w:val="22"/>
          <w:szCs w:val="22"/>
        </w:rPr>
        <w:t>is used</w:t>
      </w:r>
      <w:proofErr w:type="gramEnd"/>
      <w:r w:rsidRPr="0040424F">
        <w:rPr>
          <w:rFonts w:cstheme="minorHAnsi"/>
          <w:sz w:val="22"/>
          <w:szCs w:val="22"/>
        </w:rPr>
        <w:t xml:space="preserve"> as an indication for the presence of clinical relevant depressive symptoms </w:t>
      </w:r>
      <w:r>
        <w:rPr>
          <w:rFonts w:cstheme="minorHAnsi"/>
          <w:noProof/>
          <w:sz w:val="22"/>
          <w:szCs w:val="22"/>
        </w:rPr>
        <w:t>(Steer, Cavalieri, Leonard, &amp; Beck, 1999)</w:t>
      </w:r>
      <w:r w:rsidRPr="0040424F">
        <w:rPr>
          <w:rFonts w:cstheme="minorHAnsi"/>
          <w:sz w:val="22"/>
          <w:szCs w:val="22"/>
        </w:rPr>
        <w:t xml:space="preserve">. The BDI-PC is a reliable (Cronbach's α=0.86) and valid instrument </w:t>
      </w:r>
      <w:r>
        <w:rPr>
          <w:rFonts w:cstheme="minorHAnsi"/>
          <w:noProof/>
          <w:sz w:val="22"/>
          <w:szCs w:val="22"/>
        </w:rPr>
        <w:t>(Beck et al., 1997)</w:t>
      </w:r>
      <w:r w:rsidRPr="0040424F">
        <w:rPr>
          <w:rFonts w:cstheme="minorHAnsi"/>
          <w:sz w:val="22"/>
          <w:szCs w:val="22"/>
        </w:rPr>
        <w:t>.</w:t>
      </w:r>
    </w:p>
    <w:p w14:paraId="202FDB94" w14:textId="77777777" w:rsidR="00891A41" w:rsidRPr="0040424F" w:rsidRDefault="00891A41" w:rsidP="00C131CF">
      <w:pPr>
        <w:spacing w:line="360" w:lineRule="auto"/>
        <w:rPr>
          <w:rFonts w:cstheme="minorHAnsi"/>
          <w:sz w:val="22"/>
          <w:szCs w:val="22"/>
        </w:rPr>
      </w:pPr>
    </w:p>
    <w:p w14:paraId="6707885E" w14:textId="77777777" w:rsidR="00891A41" w:rsidRPr="0040424F" w:rsidRDefault="00891A41" w:rsidP="00C131CF">
      <w:pPr>
        <w:spacing w:line="360" w:lineRule="auto"/>
        <w:rPr>
          <w:rFonts w:cstheme="minorHAnsi"/>
          <w:color w:val="333333"/>
          <w:sz w:val="22"/>
          <w:szCs w:val="22"/>
        </w:rPr>
      </w:pPr>
      <w:proofErr w:type="gramStart"/>
      <w:r w:rsidRPr="0040424F">
        <w:rPr>
          <w:rFonts w:cstheme="minorHAnsi"/>
          <w:sz w:val="22"/>
          <w:szCs w:val="22"/>
        </w:rPr>
        <w:t xml:space="preserve">Pain severity and impact was assessed by the </w:t>
      </w:r>
      <w:r w:rsidRPr="0040424F">
        <w:rPr>
          <w:rFonts w:cstheme="minorHAnsi"/>
          <w:bCs/>
          <w:sz w:val="22"/>
          <w:szCs w:val="22"/>
        </w:rPr>
        <w:t xml:space="preserve">subscale bodily pain of the SF-36 </w:t>
      </w:r>
      <w:r>
        <w:rPr>
          <w:rFonts w:cstheme="minorHAnsi"/>
          <w:bCs/>
          <w:noProof/>
          <w:sz w:val="22"/>
          <w:szCs w:val="22"/>
        </w:rPr>
        <w:t>(Stewart et al., 1988)</w:t>
      </w:r>
      <w:r w:rsidRPr="0040424F">
        <w:rPr>
          <w:rFonts w:cstheme="minorHAnsi"/>
          <w:bCs/>
          <w:sz w:val="22"/>
          <w:szCs w:val="22"/>
        </w:rPr>
        <w:t>, which consists of two items</w:t>
      </w:r>
      <w:proofErr w:type="gramEnd"/>
      <w:r w:rsidRPr="0040424F">
        <w:rPr>
          <w:rFonts w:cstheme="minorHAnsi"/>
          <w:bCs/>
          <w:sz w:val="22"/>
          <w:szCs w:val="22"/>
        </w:rPr>
        <w:t xml:space="preserve">. One items assesses pain severity and </w:t>
      </w:r>
      <w:proofErr w:type="gramStart"/>
      <w:r w:rsidRPr="0040424F">
        <w:rPr>
          <w:rFonts w:cstheme="minorHAnsi"/>
          <w:bCs/>
          <w:sz w:val="22"/>
          <w:szCs w:val="22"/>
        </w:rPr>
        <w:t>is scored</w:t>
      </w:r>
      <w:proofErr w:type="gramEnd"/>
      <w:r w:rsidRPr="0040424F">
        <w:rPr>
          <w:rFonts w:cstheme="minorHAnsi"/>
          <w:bCs/>
          <w:sz w:val="22"/>
          <w:szCs w:val="22"/>
        </w:rPr>
        <w:t xml:space="preserve"> on a 6-point scale, the second assesses impact of pain on functioning and is scored on a 5-point scale.</w:t>
      </w:r>
      <w:r w:rsidRPr="0040424F">
        <w:rPr>
          <w:rFonts w:cstheme="minorHAnsi"/>
          <w:bCs/>
          <w:color w:val="000000" w:themeColor="text1"/>
          <w:sz w:val="22"/>
          <w:szCs w:val="22"/>
        </w:rPr>
        <w:t xml:space="preserve"> The weighted subscale score ranges from </w:t>
      </w:r>
      <w:proofErr w:type="gramStart"/>
      <w:r w:rsidRPr="0040424F">
        <w:rPr>
          <w:rFonts w:cstheme="minorHAnsi"/>
          <w:bCs/>
          <w:color w:val="000000" w:themeColor="text1"/>
          <w:sz w:val="22"/>
          <w:szCs w:val="22"/>
        </w:rPr>
        <w:t>0</w:t>
      </w:r>
      <w:proofErr w:type="gramEnd"/>
      <w:r w:rsidRPr="0040424F">
        <w:rPr>
          <w:rFonts w:cstheme="minorHAnsi"/>
          <w:bCs/>
          <w:color w:val="000000" w:themeColor="text1"/>
          <w:sz w:val="22"/>
          <w:szCs w:val="22"/>
        </w:rPr>
        <w:t xml:space="preserve"> to 100, h</w:t>
      </w:r>
      <w:r w:rsidRPr="0040424F">
        <w:rPr>
          <w:rFonts w:cstheme="minorHAnsi"/>
          <w:color w:val="000000" w:themeColor="text1"/>
          <w:sz w:val="22"/>
          <w:szCs w:val="22"/>
        </w:rPr>
        <w:t xml:space="preserve">igher scores indicating less severe pain and less impact of pain on functioning. A cut-off score of </w:t>
      </w:r>
      <w:r w:rsidRPr="0040424F">
        <w:rPr>
          <w:rFonts w:cstheme="minorHAnsi"/>
          <w:color w:val="000000" w:themeColor="text1"/>
          <w:sz w:val="22"/>
          <w:szCs w:val="22"/>
          <w:shd w:val="clear" w:color="auto" w:fill="FFFFFF"/>
        </w:rPr>
        <w:t xml:space="preserve">&lt; 40 is used as an indication for </w:t>
      </w:r>
      <w:r>
        <w:rPr>
          <w:rFonts w:cstheme="minorHAnsi"/>
          <w:color w:val="000000" w:themeColor="text1"/>
          <w:sz w:val="22"/>
          <w:szCs w:val="22"/>
          <w:shd w:val="clear" w:color="auto" w:fill="FFFFFF"/>
        </w:rPr>
        <w:t xml:space="preserve">more </w:t>
      </w:r>
      <w:r w:rsidRPr="0040424F">
        <w:rPr>
          <w:rFonts w:cstheme="minorHAnsi"/>
          <w:color w:val="000000" w:themeColor="text1"/>
          <w:sz w:val="22"/>
          <w:szCs w:val="22"/>
          <w:shd w:val="clear" w:color="auto" w:fill="FFFFFF"/>
        </w:rPr>
        <w:t xml:space="preserve">severe </w:t>
      </w:r>
      <w:r>
        <w:rPr>
          <w:rFonts w:cstheme="minorHAnsi"/>
          <w:color w:val="000000" w:themeColor="text1"/>
          <w:sz w:val="22"/>
          <w:szCs w:val="22"/>
          <w:shd w:val="clear" w:color="auto" w:fill="FFFFFF"/>
        </w:rPr>
        <w:t xml:space="preserve">(impact of) </w:t>
      </w:r>
      <w:r w:rsidRPr="0040424F">
        <w:rPr>
          <w:rFonts w:cstheme="minorHAnsi"/>
          <w:color w:val="000000" w:themeColor="text1"/>
          <w:sz w:val="22"/>
          <w:szCs w:val="22"/>
          <w:shd w:val="clear" w:color="auto" w:fill="FFFFFF"/>
        </w:rPr>
        <w:t>pain</w:t>
      </w:r>
      <w:r w:rsidRPr="0040424F">
        <w:rPr>
          <w:rFonts w:cstheme="minorHAnsi"/>
          <w:shd w:val="clear" w:color="auto" w:fill="FFFFFF"/>
        </w:rPr>
        <w:t xml:space="preserve">. </w:t>
      </w:r>
    </w:p>
    <w:p w14:paraId="2707628E" w14:textId="77777777" w:rsidR="00891A41" w:rsidRDefault="00891A41" w:rsidP="00C131CF">
      <w:pPr>
        <w:spacing w:line="360" w:lineRule="auto"/>
        <w:rPr>
          <w:rFonts w:cstheme="minorHAnsi"/>
          <w:bCs/>
          <w:sz w:val="22"/>
          <w:szCs w:val="22"/>
          <w:u w:val="single"/>
        </w:rPr>
      </w:pPr>
    </w:p>
    <w:p w14:paraId="615CA458" w14:textId="77777777" w:rsidR="00891A41" w:rsidRPr="0040424F" w:rsidRDefault="00891A41" w:rsidP="00C131CF">
      <w:pPr>
        <w:spacing w:line="360" w:lineRule="auto"/>
        <w:rPr>
          <w:rFonts w:cstheme="minorHAnsi"/>
          <w:bCs/>
          <w:sz w:val="22"/>
          <w:szCs w:val="22"/>
          <w:u w:val="single"/>
        </w:rPr>
      </w:pPr>
    </w:p>
    <w:p w14:paraId="3A19BE1A" w14:textId="77777777" w:rsidR="00891A41" w:rsidRPr="0040424F" w:rsidRDefault="00891A41" w:rsidP="00C131CF">
      <w:pPr>
        <w:spacing w:line="360" w:lineRule="auto"/>
        <w:rPr>
          <w:rFonts w:cstheme="minorHAnsi"/>
          <w:bCs/>
          <w:sz w:val="22"/>
          <w:szCs w:val="22"/>
        </w:rPr>
      </w:pPr>
      <w:r w:rsidRPr="0040424F">
        <w:rPr>
          <w:rFonts w:cstheme="minorHAnsi"/>
          <w:bCs/>
          <w:sz w:val="22"/>
          <w:szCs w:val="22"/>
          <w:u w:val="single"/>
        </w:rPr>
        <w:t>Cognitive-behavioural factors:</w:t>
      </w:r>
      <w:r w:rsidRPr="0040424F">
        <w:rPr>
          <w:rFonts w:cstheme="minorHAnsi"/>
          <w:bCs/>
          <w:sz w:val="22"/>
          <w:szCs w:val="22"/>
        </w:rPr>
        <w:t xml:space="preserve"> </w:t>
      </w:r>
    </w:p>
    <w:p w14:paraId="089EC823" w14:textId="3C8C0DFF" w:rsidR="00891A41" w:rsidRPr="0040424F" w:rsidRDefault="00891A41" w:rsidP="00C131CF">
      <w:pPr>
        <w:spacing w:line="360" w:lineRule="auto"/>
        <w:rPr>
          <w:rFonts w:cstheme="minorHAnsi"/>
          <w:sz w:val="22"/>
          <w:szCs w:val="22"/>
        </w:rPr>
      </w:pPr>
      <w:r w:rsidRPr="0040424F">
        <w:rPr>
          <w:rFonts w:cstheme="minorHAnsi"/>
          <w:iCs/>
          <w:sz w:val="22"/>
          <w:szCs w:val="22"/>
        </w:rPr>
        <w:t>Self-efficacy</w:t>
      </w:r>
      <w:r w:rsidRPr="0040424F">
        <w:rPr>
          <w:rFonts w:cstheme="minorHAnsi"/>
          <w:sz w:val="22"/>
          <w:szCs w:val="22"/>
        </w:rPr>
        <w:t xml:space="preserve"> was assessed with the Self-Efficacy Scale (SES-28) </w:t>
      </w:r>
      <w:r>
        <w:rPr>
          <w:rFonts w:cstheme="minorHAnsi"/>
          <w:noProof/>
          <w:sz w:val="22"/>
          <w:szCs w:val="22"/>
        </w:rPr>
        <w:t>(Prins et al., 2001)</w:t>
      </w:r>
      <w:r w:rsidRPr="0040424F">
        <w:rPr>
          <w:rFonts w:cstheme="minorHAnsi"/>
          <w:sz w:val="22"/>
          <w:szCs w:val="22"/>
        </w:rPr>
        <w:t xml:space="preserve"> assessing patients’ perceived control over their fatigue. Seven items are scored on a 4-point scale (range 7-28), with a higher score indicating higher self-efficacy with respect to fatigue. The internal consistency of this scale </w:t>
      </w:r>
      <w:proofErr w:type="gramStart"/>
      <w:r w:rsidRPr="0040424F">
        <w:rPr>
          <w:rFonts w:cstheme="minorHAnsi"/>
          <w:sz w:val="22"/>
          <w:szCs w:val="22"/>
        </w:rPr>
        <w:t>was reported</w:t>
      </w:r>
      <w:proofErr w:type="gramEnd"/>
      <w:r w:rsidRPr="0040424F">
        <w:rPr>
          <w:rFonts w:cstheme="minorHAnsi"/>
          <w:sz w:val="22"/>
          <w:szCs w:val="22"/>
        </w:rPr>
        <w:t xml:space="preserve"> in two studies and was respectively 0.68 and 0.77 </w:t>
      </w:r>
      <w:r>
        <w:rPr>
          <w:rFonts w:cstheme="minorHAnsi"/>
          <w:noProof/>
          <w:sz w:val="22"/>
          <w:szCs w:val="22"/>
        </w:rPr>
        <w:t>(de Vree et al., 2002; Prins et al., 2001)</w:t>
      </w:r>
      <w:r w:rsidRPr="0040424F">
        <w:rPr>
          <w:rFonts w:cstheme="minorHAnsi"/>
          <w:sz w:val="22"/>
          <w:szCs w:val="22"/>
        </w:rPr>
        <w:t>.</w:t>
      </w:r>
    </w:p>
    <w:p w14:paraId="4E708E47" w14:textId="77777777" w:rsidR="00891A41" w:rsidRPr="0040424F" w:rsidRDefault="00891A41" w:rsidP="00C131CF">
      <w:pPr>
        <w:spacing w:line="360" w:lineRule="auto"/>
        <w:rPr>
          <w:rFonts w:cstheme="minorHAnsi"/>
          <w:sz w:val="22"/>
          <w:szCs w:val="22"/>
        </w:rPr>
      </w:pPr>
    </w:p>
    <w:p w14:paraId="4F0F1009" w14:textId="77777777" w:rsidR="00891A41" w:rsidRPr="0040424F" w:rsidRDefault="00891A41" w:rsidP="00C131CF">
      <w:pPr>
        <w:spacing w:line="360" w:lineRule="auto"/>
        <w:rPr>
          <w:rFonts w:cstheme="minorHAnsi"/>
          <w:sz w:val="22"/>
          <w:szCs w:val="22"/>
        </w:rPr>
      </w:pPr>
      <w:r w:rsidRPr="0040424F">
        <w:rPr>
          <w:rFonts w:cstheme="minorHAnsi"/>
          <w:sz w:val="22"/>
          <w:szCs w:val="22"/>
        </w:rPr>
        <w:t xml:space="preserve">Focusing on bodily symptoms </w:t>
      </w:r>
      <w:proofErr w:type="gramStart"/>
      <w:r w:rsidRPr="0040424F">
        <w:rPr>
          <w:rFonts w:cstheme="minorHAnsi"/>
          <w:sz w:val="22"/>
          <w:szCs w:val="22"/>
        </w:rPr>
        <w:t>was assessed</w:t>
      </w:r>
      <w:proofErr w:type="gramEnd"/>
      <w:r w:rsidRPr="0040424F">
        <w:rPr>
          <w:rFonts w:cstheme="minorHAnsi"/>
          <w:sz w:val="22"/>
          <w:szCs w:val="22"/>
        </w:rPr>
        <w:t xml:space="preserve"> with the corresponding subscale of the Illness Management Questionnaire Factor III (IMQ-III) </w:t>
      </w:r>
      <w:r>
        <w:rPr>
          <w:rFonts w:cstheme="minorHAnsi"/>
          <w:noProof/>
          <w:sz w:val="22"/>
          <w:szCs w:val="22"/>
        </w:rPr>
        <w:t>(Ray, Weir, Stewart, Miller, &amp; Hyde, 1993)</w:t>
      </w:r>
      <w:r w:rsidRPr="0040424F">
        <w:rPr>
          <w:rFonts w:cstheme="minorHAnsi"/>
          <w:sz w:val="22"/>
          <w:szCs w:val="22"/>
        </w:rPr>
        <w:t>. Nine items are scored on a 6-point scale (range 9-54)</w:t>
      </w:r>
      <w:proofErr w:type="gramStart"/>
      <w:r>
        <w:rPr>
          <w:rFonts w:cstheme="minorHAnsi"/>
          <w:sz w:val="22"/>
          <w:szCs w:val="22"/>
        </w:rPr>
        <w:t>,</w:t>
      </w:r>
      <w:proofErr w:type="gramEnd"/>
      <w:r w:rsidRPr="0040424F">
        <w:rPr>
          <w:rFonts w:cstheme="minorHAnsi"/>
          <w:sz w:val="22"/>
          <w:szCs w:val="22"/>
        </w:rPr>
        <w:t xml:space="preserve"> with a higher score indicating a stronger focus on bodily symptoms. This questionnaire </w:t>
      </w:r>
      <w:proofErr w:type="gramStart"/>
      <w:r w:rsidRPr="0040424F">
        <w:rPr>
          <w:rFonts w:cstheme="minorHAnsi"/>
          <w:sz w:val="22"/>
          <w:szCs w:val="22"/>
        </w:rPr>
        <w:t>is specifically designed</w:t>
      </w:r>
      <w:proofErr w:type="gramEnd"/>
      <w:r w:rsidRPr="0040424F">
        <w:rPr>
          <w:rFonts w:cstheme="minorHAnsi"/>
          <w:sz w:val="22"/>
          <w:szCs w:val="22"/>
        </w:rPr>
        <w:t xml:space="preserve"> for ME/CFS patients and has been shown to have good psychometric properties </w:t>
      </w:r>
      <w:r>
        <w:rPr>
          <w:rFonts w:cstheme="minorHAnsi"/>
          <w:noProof/>
          <w:sz w:val="22"/>
          <w:szCs w:val="22"/>
        </w:rPr>
        <w:t>(Ray et al., 1993)</w:t>
      </w:r>
      <w:r w:rsidRPr="0040424F">
        <w:rPr>
          <w:rFonts w:cstheme="minorHAnsi"/>
          <w:sz w:val="22"/>
          <w:szCs w:val="22"/>
        </w:rPr>
        <w:t>.</w:t>
      </w:r>
    </w:p>
    <w:p w14:paraId="0FE705BC" w14:textId="77777777" w:rsidR="00891A41" w:rsidRPr="0040424F" w:rsidRDefault="00891A41" w:rsidP="00C131CF">
      <w:pPr>
        <w:spacing w:line="360" w:lineRule="auto"/>
        <w:rPr>
          <w:rFonts w:cstheme="minorHAnsi"/>
          <w:color w:val="000000" w:themeColor="text1"/>
          <w:sz w:val="22"/>
          <w:szCs w:val="22"/>
        </w:rPr>
      </w:pPr>
    </w:p>
    <w:p w14:paraId="2CD3B652" w14:textId="77777777" w:rsidR="00891A41" w:rsidRPr="0040424F" w:rsidRDefault="00891A41" w:rsidP="00C131CF">
      <w:pPr>
        <w:spacing w:line="360" w:lineRule="auto"/>
        <w:rPr>
          <w:rFonts w:cstheme="minorHAnsi"/>
          <w:sz w:val="22"/>
          <w:szCs w:val="22"/>
        </w:rPr>
      </w:pPr>
      <w:r w:rsidRPr="0040424F">
        <w:rPr>
          <w:rFonts w:cstheme="minorHAnsi"/>
          <w:color w:val="000000" w:themeColor="text1"/>
          <w:sz w:val="22"/>
          <w:szCs w:val="22"/>
        </w:rPr>
        <w:t xml:space="preserve">Catastrophizing about fatigue </w:t>
      </w:r>
      <w:proofErr w:type="gramStart"/>
      <w:r w:rsidRPr="0040424F">
        <w:rPr>
          <w:rFonts w:cstheme="minorHAnsi"/>
          <w:color w:val="000000" w:themeColor="text1"/>
          <w:sz w:val="22"/>
          <w:szCs w:val="22"/>
        </w:rPr>
        <w:t>was assessed</w:t>
      </w:r>
      <w:proofErr w:type="gramEnd"/>
      <w:r w:rsidRPr="0040424F">
        <w:rPr>
          <w:rFonts w:cstheme="minorHAnsi"/>
          <w:color w:val="000000" w:themeColor="text1"/>
          <w:sz w:val="22"/>
          <w:szCs w:val="22"/>
        </w:rPr>
        <w:t xml:space="preserve"> with the Jacobs</w:t>
      </w:r>
      <w:r>
        <w:rPr>
          <w:rFonts w:cstheme="minorHAnsi"/>
          <w:color w:val="000000" w:themeColor="text1"/>
          <w:sz w:val="22"/>
          <w:szCs w:val="22"/>
        </w:rPr>
        <w:t>e</w:t>
      </w:r>
      <w:r w:rsidRPr="0040424F">
        <w:rPr>
          <w:rFonts w:cstheme="minorHAnsi"/>
          <w:color w:val="000000" w:themeColor="text1"/>
          <w:sz w:val="22"/>
          <w:szCs w:val="22"/>
        </w:rPr>
        <w:t xml:space="preserve">n Fatigue Catastrophizing Scale (J-FCS) </w:t>
      </w:r>
      <w:r>
        <w:rPr>
          <w:rFonts w:cstheme="minorHAnsi"/>
          <w:noProof/>
          <w:color w:val="000000" w:themeColor="text1"/>
          <w:sz w:val="22"/>
          <w:szCs w:val="22"/>
        </w:rPr>
        <w:t>(Jacobsen, Andrykowski, &amp; Thors, 2004)</w:t>
      </w:r>
      <w:r w:rsidRPr="0040424F">
        <w:rPr>
          <w:rFonts w:cstheme="minorHAnsi"/>
          <w:color w:val="000000" w:themeColor="text1"/>
          <w:sz w:val="22"/>
          <w:szCs w:val="22"/>
        </w:rPr>
        <w:t xml:space="preserve">. Ten items are scored on a 5-point scale from </w:t>
      </w:r>
      <w:proofErr w:type="gramStart"/>
      <w:r w:rsidRPr="0040424F">
        <w:rPr>
          <w:rFonts w:cstheme="minorHAnsi"/>
          <w:color w:val="000000" w:themeColor="text1"/>
          <w:sz w:val="22"/>
          <w:szCs w:val="22"/>
        </w:rPr>
        <w:t>1</w:t>
      </w:r>
      <w:proofErr w:type="gramEnd"/>
      <w:r w:rsidRPr="0040424F">
        <w:rPr>
          <w:rFonts w:cstheme="minorHAnsi"/>
          <w:color w:val="000000" w:themeColor="text1"/>
          <w:sz w:val="22"/>
          <w:szCs w:val="22"/>
        </w:rPr>
        <w:t xml:space="preserve"> to 5. The total score ranges from</w:t>
      </w:r>
      <w:r w:rsidRPr="0040424F">
        <w:rPr>
          <w:rFonts w:cstheme="minorHAnsi"/>
          <w:sz w:val="22"/>
          <w:szCs w:val="22"/>
        </w:rPr>
        <w:t xml:space="preserve"> 10 to 50, with a higher score indicating more catastrophizing. The J-FCS is a reliable instrument (Cronbach's alpha .86) </w:t>
      </w:r>
      <w:r>
        <w:rPr>
          <w:rFonts w:cstheme="minorHAnsi"/>
          <w:noProof/>
          <w:sz w:val="22"/>
          <w:szCs w:val="22"/>
        </w:rPr>
        <w:t>(Heins et al., 2013)</w:t>
      </w:r>
      <w:r w:rsidRPr="0040424F">
        <w:rPr>
          <w:rFonts w:cstheme="minorHAnsi"/>
          <w:sz w:val="22"/>
          <w:szCs w:val="22"/>
        </w:rPr>
        <w:t xml:space="preserve">. </w:t>
      </w:r>
    </w:p>
    <w:p w14:paraId="51062408" w14:textId="77777777" w:rsidR="00891A41" w:rsidRPr="0040424F" w:rsidRDefault="00891A41" w:rsidP="00C131CF">
      <w:pPr>
        <w:spacing w:line="360" w:lineRule="auto"/>
        <w:rPr>
          <w:rFonts w:eastAsia="CharisSIL" w:cstheme="minorHAnsi"/>
          <w:sz w:val="22"/>
          <w:szCs w:val="22"/>
        </w:rPr>
      </w:pPr>
    </w:p>
    <w:p w14:paraId="73A1223E" w14:textId="77777777" w:rsidR="00891A41" w:rsidRPr="0040424F" w:rsidRDefault="00891A41" w:rsidP="00C131CF">
      <w:pPr>
        <w:spacing w:line="360" w:lineRule="auto"/>
        <w:rPr>
          <w:rFonts w:eastAsia="CharisSIL" w:cstheme="minorHAnsi"/>
          <w:sz w:val="22"/>
          <w:szCs w:val="22"/>
        </w:rPr>
      </w:pPr>
      <w:r w:rsidRPr="0040424F">
        <w:rPr>
          <w:rFonts w:eastAsia="CharisSIL" w:cstheme="minorHAnsi"/>
          <w:sz w:val="22"/>
          <w:szCs w:val="22"/>
        </w:rPr>
        <w:t xml:space="preserve">Sleep problems and sleep-wake pattern was assessed with the subscale sleep-rest of the SIP </w:t>
      </w:r>
      <w:r>
        <w:rPr>
          <w:rFonts w:eastAsia="CharisSIL" w:cstheme="minorHAnsi"/>
          <w:noProof/>
          <w:sz w:val="22"/>
          <w:szCs w:val="22"/>
        </w:rPr>
        <w:t>(Bergner et al., 1981)</w:t>
      </w:r>
      <w:r w:rsidRPr="0040424F">
        <w:rPr>
          <w:rFonts w:eastAsia="CharisSIL" w:cstheme="minorHAnsi"/>
          <w:sz w:val="22"/>
          <w:szCs w:val="22"/>
        </w:rPr>
        <w:t xml:space="preserve">. The scale consists of seven items (range 0-499), with a higher score indicating more sleep problems and problems regarding sleep-wake pattern. </w:t>
      </w:r>
    </w:p>
    <w:p w14:paraId="07AB8E7A" w14:textId="77777777" w:rsidR="00891A41" w:rsidRPr="0040424F" w:rsidRDefault="00891A41" w:rsidP="00C131CF">
      <w:pPr>
        <w:spacing w:line="360" w:lineRule="auto"/>
        <w:rPr>
          <w:rFonts w:cstheme="minorHAnsi"/>
          <w:sz w:val="22"/>
          <w:szCs w:val="22"/>
        </w:rPr>
      </w:pPr>
    </w:p>
    <w:p w14:paraId="5B858BCD" w14:textId="1E0096F3" w:rsidR="00891A41" w:rsidRPr="0040424F" w:rsidRDefault="00891A41" w:rsidP="00C131CF">
      <w:pPr>
        <w:spacing w:line="360" w:lineRule="auto"/>
        <w:rPr>
          <w:rFonts w:cstheme="minorHAnsi"/>
          <w:sz w:val="22"/>
          <w:szCs w:val="22"/>
        </w:rPr>
      </w:pPr>
      <w:r w:rsidRPr="0040424F">
        <w:rPr>
          <w:rFonts w:cstheme="minorHAnsi"/>
          <w:sz w:val="22"/>
          <w:szCs w:val="22"/>
        </w:rPr>
        <w:t xml:space="preserve">Physical activity pattern was assessed with </w:t>
      </w:r>
      <w:proofErr w:type="spellStart"/>
      <w:r>
        <w:rPr>
          <w:rFonts w:cstheme="minorHAnsi"/>
          <w:sz w:val="22"/>
          <w:szCs w:val="22"/>
        </w:rPr>
        <w:t>actigraphy</w:t>
      </w:r>
      <w:proofErr w:type="spellEnd"/>
      <w:r w:rsidRPr="0040424F">
        <w:rPr>
          <w:rFonts w:cstheme="minorHAnsi"/>
          <w:sz w:val="22"/>
          <w:szCs w:val="22"/>
        </w:rPr>
        <w:t>, a small device worn at the ankle</w:t>
      </w:r>
      <w:r>
        <w:rPr>
          <w:rFonts w:cstheme="minorHAnsi"/>
          <w:sz w:val="22"/>
          <w:szCs w:val="22"/>
        </w:rPr>
        <w:t xml:space="preserve"> </w:t>
      </w:r>
      <w:r>
        <w:rPr>
          <w:rFonts w:cstheme="minorHAnsi"/>
          <w:noProof/>
          <w:sz w:val="22"/>
          <w:szCs w:val="22"/>
        </w:rPr>
        <w:t>(van der Werf, Pr</w:t>
      </w:r>
      <w:r w:rsidR="002F327C">
        <w:rPr>
          <w:rFonts w:cstheme="minorHAnsi"/>
          <w:noProof/>
          <w:sz w:val="22"/>
          <w:szCs w:val="22"/>
        </w:rPr>
        <w:t>ins, Vercoulen, Van d</w:t>
      </w:r>
      <w:r>
        <w:rPr>
          <w:rFonts w:cstheme="minorHAnsi"/>
          <w:noProof/>
          <w:sz w:val="22"/>
          <w:szCs w:val="22"/>
        </w:rPr>
        <w:t>er Meer, &amp; Bleijenberg, 2000)</w:t>
      </w:r>
      <w:r w:rsidRPr="0040424F">
        <w:rPr>
          <w:rFonts w:cstheme="minorHAnsi"/>
          <w:sz w:val="22"/>
          <w:szCs w:val="22"/>
        </w:rPr>
        <w:t xml:space="preserve"> measuring the average physical activity level over 12</w:t>
      </w:r>
      <w:r>
        <w:rPr>
          <w:rFonts w:cstheme="minorHAnsi"/>
          <w:sz w:val="22"/>
          <w:szCs w:val="22"/>
        </w:rPr>
        <w:t xml:space="preserve"> </w:t>
      </w:r>
      <w:r w:rsidRPr="0040424F">
        <w:rPr>
          <w:rFonts w:cstheme="minorHAnsi"/>
          <w:sz w:val="22"/>
          <w:szCs w:val="22"/>
        </w:rPr>
        <w:t xml:space="preserve">days. </w:t>
      </w:r>
      <w:r w:rsidRPr="0040424F">
        <w:rPr>
          <w:rFonts w:cstheme="minorHAnsi"/>
          <w:sz w:val="22"/>
          <w:szCs w:val="22"/>
          <w:shd w:val="clear" w:color="auto" w:fill="FFFFFF"/>
        </w:rPr>
        <w:t xml:space="preserve">A low active pattern (at least 11 out of 12 days an average daily activity score below the reference score) and a fluctuating activity pattern (less than 11 days scoring below the reference score) </w:t>
      </w:r>
      <w:r>
        <w:rPr>
          <w:rFonts w:cstheme="minorHAnsi"/>
          <w:noProof/>
          <w:sz w:val="22"/>
          <w:szCs w:val="22"/>
          <w:shd w:val="clear" w:color="auto" w:fill="FFFFFF"/>
        </w:rPr>
        <w:t>(van der Werf et al., 2000)</w:t>
      </w:r>
      <w:r w:rsidRPr="0040424F">
        <w:rPr>
          <w:rFonts w:cstheme="minorHAnsi"/>
          <w:sz w:val="22"/>
          <w:szCs w:val="22"/>
          <w:shd w:val="clear" w:color="auto" w:fill="FFFFFF"/>
        </w:rPr>
        <w:t xml:space="preserve"> can be discerned. Research has shown that </w:t>
      </w:r>
      <w:proofErr w:type="spellStart"/>
      <w:r>
        <w:rPr>
          <w:rFonts w:cstheme="minorHAnsi"/>
          <w:sz w:val="22"/>
          <w:szCs w:val="22"/>
          <w:shd w:val="clear" w:color="auto" w:fill="FFFFFF"/>
        </w:rPr>
        <w:t>actigraphy</w:t>
      </w:r>
      <w:proofErr w:type="spellEnd"/>
      <w:r w:rsidRPr="0040424F">
        <w:rPr>
          <w:rFonts w:cstheme="minorHAnsi"/>
          <w:sz w:val="22"/>
          <w:szCs w:val="22"/>
          <w:shd w:val="clear" w:color="auto" w:fill="FFFFFF"/>
        </w:rPr>
        <w:t xml:space="preserve"> yields highly reliable data and is a valid instrument for measuring physical activity </w:t>
      </w:r>
      <w:r>
        <w:rPr>
          <w:rFonts w:cstheme="minorHAnsi"/>
          <w:noProof/>
          <w:sz w:val="22"/>
          <w:szCs w:val="22"/>
        </w:rPr>
        <w:t>(van der Werf et al., 2000)</w:t>
      </w:r>
      <w:r w:rsidRPr="0040424F">
        <w:rPr>
          <w:rFonts w:cstheme="minorHAnsi"/>
          <w:sz w:val="22"/>
          <w:szCs w:val="22"/>
        </w:rPr>
        <w:t>.</w:t>
      </w:r>
    </w:p>
    <w:p w14:paraId="2D511B21" w14:textId="77777777" w:rsidR="00891A41" w:rsidRPr="0040424F" w:rsidRDefault="00891A41" w:rsidP="00C131CF">
      <w:pPr>
        <w:spacing w:line="360" w:lineRule="auto"/>
        <w:rPr>
          <w:rFonts w:cstheme="minorHAnsi"/>
          <w:sz w:val="22"/>
          <w:szCs w:val="22"/>
        </w:rPr>
      </w:pPr>
    </w:p>
    <w:p w14:paraId="1B8A8ACC" w14:textId="77777777" w:rsidR="00891A41" w:rsidRPr="0040424F" w:rsidRDefault="00891A41" w:rsidP="00C131CF">
      <w:pPr>
        <w:spacing w:line="360" w:lineRule="auto"/>
        <w:ind w:right="12"/>
        <w:rPr>
          <w:rFonts w:cstheme="minorHAnsi"/>
          <w:b/>
          <w:sz w:val="22"/>
          <w:szCs w:val="22"/>
        </w:rPr>
      </w:pPr>
      <w:r w:rsidRPr="0040424F">
        <w:rPr>
          <w:rFonts w:cstheme="minorHAnsi"/>
          <w:b/>
          <w:sz w:val="22"/>
          <w:szCs w:val="22"/>
        </w:rPr>
        <w:t xml:space="preserve">Description of all data that </w:t>
      </w:r>
      <w:proofErr w:type="gramStart"/>
      <w:r w:rsidRPr="0040424F">
        <w:rPr>
          <w:rFonts w:cstheme="minorHAnsi"/>
          <w:b/>
          <w:sz w:val="22"/>
          <w:szCs w:val="22"/>
        </w:rPr>
        <w:t>was sought</w:t>
      </w:r>
      <w:proofErr w:type="gramEnd"/>
      <w:r w:rsidRPr="0040424F">
        <w:rPr>
          <w:rFonts w:cstheme="minorHAnsi"/>
          <w:b/>
          <w:sz w:val="22"/>
          <w:szCs w:val="22"/>
        </w:rPr>
        <w:t xml:space="preserve"> </w:t>
      </w:r>
    </w:p>
    <w:p w14:paraId="2CFB645D" w14:textId="77777777" w:rsidR="00891A41" w:rsidRPr="0040424F" w:rsidRDefault="00891A41" w:rsidP="00C131CF">
      <w:pPr>
        <w:pStyle w:val="Default"/>
        <w:spacing w:line="360" w:lineRule="auto"/>
        <w:rPr>
          <w:rFonts w:asciiTheme="minorHAnsi" w:hAnsiTheme="minorHAnsi" w:cstheme="minorHAnsi"/>
          <w:color w:val="202124"/>
          <w:sz w:val="22"/>
          <w:szCs w:val="22"/>
          <w:shd w:val="clear" w:color="auto" w:fill="FFFFFF"/>
          <w:lang w:val="en-GB"/>
        </w:rPr>
      </w:pPr>
      <w:proofErr w:type="gramStart"/>
      <w:r w:rsidRPr="0040424F">
        <w:rPr>
          <w:rFonts w:asciiTheme="minorHAnsi" w:hAnsiTheme="minorHAnsi" w:cstheme="minorHAnsi"/>
          <w:sz w:val="22"/>
          <w:szCs w:val="22"/>
          <w:lang w:val="en-GB"/>
        </w:rPr>
        <w:t xml:space="preserve">The following data for each randomized patient was requested: patient identifier, date of birth (or age at randomization), assigned group after randomization, sex, educational level, school absence (for adolescents), duration of symptoms in months, meeting CDC criteria for ME/CFS, scores on the following questionnaires at baseline: CIS-fatigue, </w:t>
      </w:r>
      <w:r w:rsidRPr="0040424F">
        <w:rPr>
          <w:rFonts w:asciiTheme="minorHAnsi" w:eastAsia="CharisSIL" w:hAnsiTheme="minorHAnsi" w:cstheme="minorHAnsi"/>
          <w:sz w:val="22"/>
          <w:szCs w:val="22"/>
          <w:lang w:val="en-GB"/>
        </w:rPr>
        <w:t xml:space="preserve">SIP8, </w:t>
      </w:r>
      <w:r w:rsidRPr="0040424F">
        <w:rPr>
          <w:rFonts w:asciiTheme="minorHAnsi" w:hAnsiTheme="minorHAnsi" w:cstheme="minorHAnsi"/>
          <w:sz w:val="22"/>
          <w:szCs w:val="22"/>
          <w:lang w:val="en-GB"/>
        </w:rPr>
        <w:t xml:space="preserve">physical functioning and bodily pain subscale of the </w:t>
      </w:r>
      <w:r w:rsidRPr="0040424F">
        <w:rPr>
          <w:rFonts w:asciiTheme="minorHAnsi" w:hAnsiTheme="minorHAnsi" w:cstheme="minorHAnsi"/>
          <w:color w:val="202124"/>
          <w:sz w:val="22"/>
          <w:szCs w:val="22"/>
          <w:shd w:val="clear" w:color="auto" w:fill="FFFFFF"/>
          <w:lang w:val="en-GB"/>
        </w:rPr>
        <w:t>SF-36,</w:t>
      </w:r>
      <w:r>
        <w:rPr>
          <w:rFonts w:asciiTheme="minorHAnsi" w:hAnsiTheme="minorHAnsi" w:cstheme="minorHAnsi"/>
          <w:color w:val="202124"/>
          <w:sz w:val="22"/>
          <w:szCs w:val="22"/>
          <w:shd w:val="clear" w:color="auto" w:fill="FFFFFF"/>
          <w:lang w:val="en-GB"/>
        </w:rPr>
        <w:t xml:space="preserve"> </w:t>
      </w:r>
      <w:r w:rsidRPr="0040424F">
        <w:rPr>
          <w:rFonts w:asciiTheme="minorHAnsi" w:hAnsiTheme="minorHAnsi" w:cstheme="minorHAnsi"/>
          <w:color w:val="auto"/>
          <w:sz w:val="22"/>
          <w:szCs w:val="22"/>
          <w:lang w:val="en-GB"/>
        </w:rPr>
        <w:t xml:space="preserve">CDC symptom questionnaire, </w:t>
      </w:r>
      <w:r w:rsidRPr="0040424F">
        <w:rPr>
          <w:rFonts w:asciiTheme="minorHAnsi" w:hAnsiTheme="minorHAnsi" w:cstheme="minorHAnsi"/>
          <w:sz w:val="22"/>
          <w:szCs w:val="22"/>
          <w:lang w:val="en-GB"/>
        </w:rPr>
        <w:t>BDI-PC</w:t>
      </w:r>
      <w:r w:rsidRPr="0040424F">
        <w:rPr>
          <w:rFonts w:asciiTheme="minorHAnsi" w:hAnsiTheme="minorHAnsi" w:cstheme="minorHAnsi"/>
          <w:bCs/>
          <w:sz w:val="22"/>
          <w:szCs w:val="22"/>
          <w:lang w:val="en-GB"/>
        </w:rPr>
        <w:t xml:space="preserve">, </w:t>
      </w:r>
      <w:r w:rsidRPr="0040424F">
        <w:rPr>
          <w:rFonts w:asciiTheme="minorHAnsi" w:hAnsiTheme="minorHAnsi" w:cstheme="minorHAnsi"/>
          <w:sz w:val="22"/>
          <w:szCs w:val="22"/>
          <w:lang w:val="en-GB"/>
        </w:rPr>
        <w:t xml:space="preserve">SES-28, IMQ-III, </w:t>
      </w:r>
      <w:r>
        <w:rPr>
          <w:rFonts w:asciiTheme="minorHAnsi" w:hAnsiTheme="minorHAnsi" w:cstheme="minorHAnsi"/>
          <w:color w:val="000000" w:themeColor="text1"/>
          <w:sz w:val="22"/>
          <w:szCs w:val="22"/>
          <w:lang w:val="en-GB"/>
        </w:rPr>
        <w:t>J-FCS, p</w:t>
      </w:r>
      <w:r w:rsidRPr="0040424F">
        <w:rPr>
          <w:rFonts w:asciiTheme="minorHAnsi" w:hAnsiTheme="minorHAnsi" w:cstheme="minorHAnsi"/>
          <w:color w:val="000000" w:themeColor="text1"/>
          <w:sz w:val="22"/>
          <w:szCs w:val="22"/>
          <w:lang w:val="en-GB"/>
        </w:rPr>
        <w:t xml:space="preserve">hysical activity level and activity pattern assessed with </w:t>
      </w:r>
      <w:proofErr w:type="spellStart"/>
      <w:r>
        <w:rPr>
          <w:rFonts w:cstheme="minorHAnsi"/>
          <w:sz w:val="22"/>
          <w:szCs w:val="22"/>
          <w:shd w:val="clear" w:color="auto" w:fill="FFFFFF"/>
          <w:lang w:val="en-GB"/>
        </w:rPr>
        <w:t>actigraphy</w:t>
      </w:r>
      <w:proofErr w:type="spellEnd"/>
      <w:r w:rsidRPr="0040424F">
        <w:rPr>
          <w:rFonts w:asciiTheme="minorHAnsi" w:hAnsiTheme="minorHAnsi" w:cstheme="minorHAnsi"/>
          <w:color w:val="000000" w:themeColor="text1"/>
          <w:sz w:val="22"/>
          <w:szCs w:val="22"/>
          <w:lang w:val="en-GB"/>
        </w:rPr>
        <w:t>.</w:t>
      </w:r>
      <w:proofErr w:type="gramEnd"/>
      <w:r w:rsidRPr="0040424F">
        <w:rPr>
          <w:rFonts w:asciiTheme="minorHAnsi" w:hAnsiTheme="minorHAnsi" w:cstheme="minorHAnsi"/>
          <w:sz w:val="22"/>
          <w:szCs w:val="22"/>
          <w:lang w:val="en-GB"/>
        </w:rPr>
        <w:t xml:space="preserve"> Further, post-treatment scores of the CIS-fatigue, SIP8 and physical functioning subscale of the </w:t>
      </w:r>
      <w:r w:rsidRPr="0040424F">
        <w:rPr>
          <w:rFonts w:asciiTheme="minorHAnsi" w:hAnsiTheme="minorHAnsi" w:cstheme="minorHAnsi"/>
          <w:color w:val="202124"/>
          <w:sz w:val="22"/>
          <w:szCs w:val="22"/>
          <w:shd w:val="clear" w:color="auto" w:fill="FFFFFF"/>
          <w:lang w:val="en-GB"/>
        </w:rPr>
        <w:t xml:space="preserve">SF-36 </w:t>
      </w:r>
      <w:proofErr w:type="gramStart"/>
      <w:r w:rsidRPr="0040424F">
        <w:rPr>
          <w:rFonts w:asciiTheme="minorHAnsi" w:hAnsiTheme="minorHAnsi" w:cstheme="minorHAnsi"/>
          <w:color w:val="000000" w:themeColor="text1"/>
          <w:sz w:val="22"/>
          <w:szCs w:val="22"/>
          <w:shd w:val="clear" w:color="auto" w:fill="FFFFFF"/>
          <w:lang w:val="en-GB"/>
        </w:rPr>
        <w:t>were requested</w:t>
      </w:r>
      <w:proofErr w:type="gramEnd"/>
      <w:r w:rsidRPr="0040424F">
        <w:rPr>
          <w:rFonts w:asciiTheme="minorHAnsi" w:hAnsiTheme="minorHAnsi" w:cstheme="minorHAnsi"/>
          <w:color w:val="000000" w:themeColor="text1"/>
          <w:sz w:val="22"/>
          <w:szCs w:val="22"/>
          <w:shd w:val="clear" w:color="auto" w:fill="FFFFFF"/>
          <w:lang w:val="en-GB"/>
        </w:rPr>
        <w:t xml:space="preserve">. For all questionnaires, it </w:t>
      </w:r>
      <w:proofErr w:type="gramStart"/>
      <w:r w:rsidRPr="0040424F">
        <w:rPr>
          <w:rFonts w:asciiTheme="minorHAnsi" w:hAnsiTheme="minorHAnsi" w:cstheme="minorHAnsi"/>
          <w:color w:val="000000" w:themeColor="text1"/>
          <w:sz w:val="22"/>
          <w:szCs w:val="22"/>
          <w:shd w:val="clear" w:color="auto" w:fill="FFFFFF"/>
          <w:lang w:val="en-GB"/>
        </w:rPr>
        <w:t>was checked</w:t>
      </w:r>
      <w:proofErr w:type="gramEnd"/>
      <w:r w:rsidRPr="0040424F">
        <w:rPr>
          <w:rFonts w:asciiTheme="minorHAnsi" w:hAnsiTheme="minorHAnsi" w:cstheme="minorHAnsi"/>
          <w:color w:val="000000" w:themeColor="text1"/>
          <w:sz w:val="22"/>
          <w:szCs w:val="22"/>
          <w:shd w:val="clear" w:color="auto" w:fill="FFFFFF"/>
          <w:lang w:val="en-GB"/>
        </w:rPr>
        <w:t xml:space="preserve"> if the same </w:t>
      </w:r>
      <w:r>
        <w:rPr>
          <w:rFonts w:asciiTheme="minorHAnsi" w:hAnsiTheme="minorHAnsi" w:cstheme="minorHAnsi"/>
          <w:color w:val="000000" w:themeColor="text1"/>
          <w:sz w:val="22"/>
          <w:szCs w:val="22"/>
          <w:shd w:val="clear" w:color="auto" w:fill="FFFFFF"/>
          <w:lang w:val="en-GB"/>
        </w:rPr>
        <w:t>questionnaire</w:t>
      </w:r>
      <w:r w:rsidRPr="0040424F">
        <w:rPr>
          <w:rFonts w:asciiTheme="minorHAnsi" w:hAnsiTheme="minorHAnsi" w:cstheme="minorHAnsi"/>
          <w:color w:val="000000" w:themeColor="text1"/>
          <w:sz w:val="22"/>
          <w:szCs w:val="22"/>
          <w:shd w:val="clear" w:color="auto" w:fill="FFFFFF"/>
          <w:lang w:val="en-GB"/>
        </w:rPr>
        <w:t xml:space="preserve"> version was used. If this was not the case, the data </w:t>
      </w:r>
      <w:proofErr w:type="gramStart"/>
      <w:r w:rsidRPr="0040424F">
        <w:rPr>
          <w:rFonts w:asciiTheme="minorHAnsi" w:hAnsiTheme="minorHAnsi" w:cstheme="minorHAnsi"/>
          <w:color w:val="000000" w:themeColor="text1"/>
          <w:sz w:val="22"/>
          <w:szCs w:val="22"/>
          <w:shd w:val="clear" w:color="auto" w:fill="FFFFFF"/>
          <w:lang w:val="en-GB"/>
        </w:rPr>
        <w:t>were not used</w:t>
      </w:r>
      <w:proofErr w:type="gramEnd"/>
      <w:r w:rsidRPr="0040424F">
        <w:rPr>
          <w:rFonts w:asciiTheme="minorHAnsi" w:hAnsiTheme="minorHAnsi" w:cstheme="minorHAnsi"/>
          <w:color w:val="000000" w:themeColor="text1"/>
          <w:sz w:val="22"/>
          <w:szCs w:val="22"/>
          <w:shd w:val="clear" w:color="auto" w:fill="FFFFFF"/>
          <w:lang w:val="en-GB"/>
        </w:rPr>
        <w:t xml:space="preserve">. Data </w:t>
      </w:r>
      <w:proofErr w:type="gramStart"/>
      <w:r w:rsidRPr="0040424F">
        <w:rPr>
          <w:rFonts w:asciiTheme="minorHAnsi" w:hAnsiTheme="minorHAnsi" w:cstheme="minorHAnsi"/>
          <w:color w:val="000000" w:themeColor="text1"/>
          <w:sz w:val="22"/>
          <w:szCs w:val="22"/>
          <w:shd w:val="clear" w:color="auto" w:fill="FFFFFF"/>
          <w:lang w:val="en-GB"/>
        </w:rPr>
        <w:t>were not standardized</w:t>
      </w:r>
      <w:proofErr w:type="gramEnd"/>
      <w:r w:rsidRPr="0040424F">
        <w:rPr>
          <w:rFonts w:asciiTheme="minorHAnsi" w:hAnsiTheme="minorHAnsi" w:cstheme="minorHAnsi"/>
          <w:color w:val="000000" w:themeColor="text1"/>
          <w:sz w:val="22"/>
          <w:szCs w:val="22"/>
          <w:shd w:val="clear" w:color="auto" w:fill="FFFFFF"/>
          <w:lang w:val="en-GB"/>
        </w:rPr>
        <w:t xml:space="preserve"> because all studies used identical instruments and measures. </w:t>
      </w:r>
    </w:p>
    <w:p w14:paraId="43461CBA" w14:textId="77777777" w:rsidR="00891A41" w:rsidRPr="0040424F" w:rsidRDefault="00891A41" w:rsidP="00C131CF">
      <w:pPr>
        <w:pStyle w:val="Default"/>
        <w:spacing w:line="360" w:lineRule="auto"/>
        <w:rPr>
          <w:rFonts w:asciiTheme="minorHAnsi" w:hAnsiTheme="minorHAnsi" w:cstheme="minorHAnsi"/>
          <w:color w:val="auto"/>
          <w:sz w:val="22"/>
          <w:szCs w:val="22"/>
          <w:lang w:val="en-GB"/>
        </w:rPr>
      </w:pPr>
    </w:p>
    <w:p w14:paraId="73C8D659" w14:textId="77777777" w:rsidR="00891A41" w:rsidRPr="0040424F" w:rsidRDefault="00891A41" w:rsidP="00C131CF">
      <w:pPr>
        <w:pStyle w:val="Default"/>
        <w:spacing w:line="360" w:lineRule="auto"/>
        <w:rPr>
          <w:rFonts w:asciiTheme="minorHAnsi" w:hAnsiTheme="minorHAnsi" w:cstheme="minorHAnsi"/>
          <w:b/>
          <w:sz w:val="22"/>
          <w:szCs w:val="22"/>
          <w:lang w:val="en-GB"/>
        </w:rPr>
      </w:pPr>
      <w:r w:rsidRPr="0040424F">
        <w:rPr>
          <w:rFonts w:asciiTheme="minorHAnsi" w:hAnsiTheme="minorHAnsi" w:cstheme="minorHAnsi"/>
          <w:b/>
          <w:sz w:val="22"/>
          <w:szCs w:val="22"/>
          <w:lang w:val="en-GB"/>
        </w:rPr>
        <w:t>Process of data checking</w:t>
      </w:r>
    </w:p>
    <w:p w14:paraId="7AD3F8CF" w14:textId="77777777" w:rsidR="00891A41" w:rsidRPr="0040424F" w:rsidRDefault="00891A41" w:rsidP="00C131CF">
      <w:pPr>
        <w:pStyle w:val="Default"/>
        <w:spacing w:line="360" w:lineRule="auto"/>
        <w:rPr>
          <w:rFonts w:asciiTheme="minorHAnsi" w:hAnsiTheme="minorHAnsi" w:cstheme="minorHAnsi"/>
          <w:sz w:val="22"/>
          <w:szCs w:val="22"/>
          <w:lang w:val="en-GB"/>
        </w:rPr>
      </w:pPr>
      <w:r w:rsidRPr="0040424F">
        <w:rPr>
          <w:rFonts w:asciiTheme="minorHAnsi" w:hAnsiTheme="minorHAnsi" w:cstheme="minorHAnsi"/>
          <w:sz w:val="22"/>
          <w:szCs w:val="22"/>
          <w:lang w:val="en-GB"/>
        </w:rPr>
        <w:t>We used standard checks to identify missing data, assess data validity, and consistency. We verified the amount of missing data, checked the order of dates, and assessed data validity and consistency.</w:t>
      </w:r>
    </w:p>
    <w:p w14:paraId="30FD0D5E" w14:textId="77777777" w:rsidR="00891A41" w:rsidRPr="0040424F" w:rsidRDefault="00891A41" w:rsidP="00C131CF">
      <w:pPr>
        <w:spacing w:line="360" w:lineRule="auto"/>
        <w:rPr>
          <w:rFonts w:cstheme="minorHAnsi"/>
          <w:b/>
          <w:bCs/>
          <w:color w:val="000000" w:themeColor="text1"/>
          <w:sz w:val="22"/>
          <w:szCs w:val="22"/>
        </w:rPr>
      </w:pPr>
    </w:p>
    <w:p w14:paraId="76F6A5D6" w14:textId="77777777" w:rsidR="00891A41" w:rsidRPr="0040424F" w:rsidRDefault="00891A41" w:rsidP="00C131CF">
      <w:pPr>
        <w:spacing w:line="360" w:lineRule="auto"/>
        <w:rPr>
          <w:rFonts w:cstheme="minorHAnsi"/>
          <w:b/>
          <w:bCs/>
          <w:color w:val="000000" w:themeColor="text1"/>
          <w:sz w:val="22"/>
          <w:szCs w:val="22"/>
        </w:rPr>
      </w:pPr>
      <w:r w:rsidRPr="0040424F">
        <w:rPr>
          <w:rFonts w:cstheme="minorHAnsi"/>
          <w:b/>
          <w:bCs/>
          <w:color w:val="000000" w:themeColor="text1"/>
          <w:sz w:val="22"/>
          <w:szCs w:val="22"/>
        </w:rPr>
        <w:t>Study characteristics</w:t>
      </w:r>
    </w:p>
    <w:p w14:paraId="6F450903" w14:textId="77777777" w:rsidR="00891A41" w:rsidRPr="0040424F" w:rsidRDefault="00891A41" w:rsidP="00C131CF">
      <w:pPr>
        <w:spacing w:line="360" w:lineRule="auto"/>
        <w:rPr>
          <w:rFonts w:cstheme="minorHAnsi"/>
          <w:bCs/>
          <w:color w:val="000000" w:themeColor="text1"/>
          <w:sz w:val="22"/>
          <w:szCs w:val="22"/>
        </w:rPr>
      </w:pPr>
      <w:r w:rsidRPr="0040424F">
        <w:rPr>
          <w:rFonts w:cstheme="minorHAnsi"/>
          <w:bCs/>
          <w:color w:val="000000" w:themeColor="text1"/>
          <w:sz w:val="22"/>
          <w:szCs w:val="22"/>
        </w:rPr>
        <w:t xml:space="preserve">For the main study characteristics, see Table 1 in the main manuscript. For additional study characteristics, see the Table A1. </w:t>
      </w:r>
    </w:p>
    <w:p w14:paraId="4677A51C" w14:textId="77777777" w:rsidR="00891A41" w:rsidRPr="0040424F" w:rsidRDefault="00891A41" w:rsidP="00C131CF">
      <w:pPr>
        <w:spacing w:line="360" w:lineRule="auto"/>
        <w:rPr>
          <w:rFonts w:cstheme="minorHAnsi"/>
          <w:bCs/>
          <w:color w:val="000000" w:themeColor="text1"/>
          <w:sz w:val="22"/>
          <w:szCs w:val="22"/>
        </w:rPr>
      </w:pPr>
    </w:p>
    <w:p w14:paraId="413D9FC8" w14:textId="77777777" w:rsidR="004045B7" w:rsidRDefault="004045B7">
      <w:pPr>
        <w:spacing w:after="160" w:line="259" w:lineRule="auto"/>
        <w:rPr>
          <w:rFonts w:cstheme="minorHAnsi"/>
          <w:b/>
          <w:bCs/>
          <w:color w:val="000000" w:themeColor="text1"/>
          <w:sz w:val="22"/>
          <w:szCs w:val="22"/>
        </w:rPr>
      </w:pPr>
      <w:r>
        <w:rPr>
          <w:rFonts w:cstheme="minorHAnsi"/>
          <w:b/>
          <w:bCs/>
          <w:color w:val="000000" w:themeColor="text1"/>
          <w:sz w:val="22"/>
          <w:szCs w:val="22"/>
        </w:rPr>
        <w:br w:type="page"/>
      </w:r>
    </w:p>
    <w:p w14:paraId="77060819" w14:textId="7FC199FE" w:rsidR="00891A41" w:rsidRPr="0040424F" w:rsidRDefault="00891A41" w:rsidP="00C131CF">
      <w:pPr>
        <w:spacing w:line="360" w:lineRule="auto"/>
        <w:rPr>
          <w:rFonts w:cstheme="minorHAnsi"/>
          <w:b/>
          <w:bCs/>
          <w:color w:val="000000" w:themeColor="text1"/>
          <w:sz w:val="22"/>
          <w:szCs w:val="22"/>
        </w:rPr>
      </w:pPr>
      <w:r w:rsidRPr="0040424F">
        <w:rPr>
          <w:rFonts w:cstheme="minorHAnsi"/>
          <w:b/>
          <w:bCs/>
          <w:color w:val="000000" w:themeColor="text1"/>
          <w:sz w:val="22"/>
          <w:szCs w:val="22"/>
        </w:rPr>
        <w:lastRenderedPageBreak/>
        <w:t>Table A1: Additional study characteristics</w:t>
      </w:r>
    </w:p>
    <w:tbl>
      <w:tblPr>
        <w:tblStyle w:val="Tabelraster1"/>
        <w:tblW w:w="80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402"/>
        <w:gridCol w:w="2835"/>
      </w:tblGrid>
      <w:tr w:rsidR="00891A41" w:rsidRPr="0040424F" w14:paraId="506D698A" w14:textId="77777777" w:rsidTr="00C131CF">
        <w:trPr>
          <w:trHeight w:val="340"/>
        </w:trPr>
        <w:tc>
          <w:tcPr>
            <w:tcW w:w="1843" w:type="dxa"/>
            <w:tcBorders>
              <w:top w:val="single" w:sz="4" w:space="0" w:color="auto"/>
              <w:left w:val="nil"/>
              <w:bottom w:val="single" w:sz="4" w:space="0" w:color="auto"/>
              <w:right w:val="nil"/>
            </w:tcBorders>
            <w:hideMark/>
          </w:tcPr>
          <w:p w14:paraId="3D719A9F" w14:textId="77777777" w:rsidR="00891A41" w:rsidRPr="0040424F" w:rsidRDefault="00891A41" w:rsidP="00C131CF">
            <w:pPr>
              <w:pStyle w:val="Geenafstand"/>
              <w:spacing w:line="360" w:lineRule="auto"/>
              <w:rPr>
                <w:rFonts w:cstheme="minorHAnsi"/>
                <w:b/>
                <w:lang w:val="en-GB"/>
              </w:rPr>
            </w:pPr>
            <w:r w:rsidRPr="0040424F">
              <w:rPr>
                <w:rFonts w:cstheme="minorHAnsi"/>
                <w:b/>
                <w:lang w:val="en-GB"/>
              </w:rPr>
              <w:t>First author (year)</w:t>
            </w:r>
          </w:p>
        </w:tc>
        <w:tc>
          <w:tcPr>
            <w:tcW w:w="3402" w:type="dxa"/>
            <w:tcBorders>
              <w:top w:val="single" w:sz="4" w:space="0" w:color="auto"/>
              <w:left w:val="nil"/>
              <w:bottom w:val="single" w:sz="4" w:space="0" w:color="auto"/>
              <w:right w:val="nil"/>
            </w:tcBorders>
          </w:tcPr>
          <w:p w14:paraId="4A45A332" w14:textId="77777777" w:rsidR="00891A41" w:rsidRPr="0040424F" w:rsidRDefault="00891A41" w:rsidP="00C131CF">
            <w:pPr>
              <w:pStyle w:val="Geenafstand"/>
              <w:spacing w:line="360" w:lineRule="auto"/>
              <w:rPr>
                <w:rFonts w:cstheme="minorHAnsi"/>
                <w:b/>
                <w:lang w:val="en-GB"/>
              </w:rPr>
            </w:pPr>
            <w:r w:rsidRPr="0040424F">
              <w:rPr>
                <w:rFonts w:cstheme="minorHAnsi"/>
                <w:b/>
                <w:lang w:val="en-GB"/>
              </w:rPr>
              <w:t>Funding source</w:t>
            </w:r>
          </w:p>
        </w:tc>
        <w:tc>
          <w:tcPr>
            <w:tcW w:w="2835" w:type="dxa"/>
            <w:tcBorders>
              <w:top w:val="single" w:sz="4" w:space="0" w:color="auto"/>
              <w:left w:val="nil"/>
              <w:bottom w:val="single" w:sz="4" w:space="0" w:color="auto"/>
              <w:right w:val="nil"/>
            </w:tcBorders>
          </w:tcPr>
          <w:p w14:paraId="6C92A268" w14:textId="77777777" w:rsidR="00891A41" w:rsidRPr="0040424F" w:rsidRDefault="00891A41" w:rsidP="00C131CF">
            <w:pPr>
              <w:pStyle w:val="Geenafstand"/>
              <w:spacing w:line="360" w:lineRule="auto"/>
              <w:rPr>
                <w:rFonts w:cstheme="minorHAnsi"/>
                <w:b/>
                <w:lang w:val="en-GB"/>
              </w:rPr>
            </w:pPr>
            <w:r w:rsidRPr="0040424F">
              <w:rPr>
                <w:rFonts w:cstheme="minorHAnsi"/>
                <w:b/>
                <w:lang w:val="en-GB"/>
              </w:rPr>
              <w:t>Unavailability of outcomes or putative moderators</w:t>
            </w:r>
          </w:p>
        </w:tc>
      </w:tr>
      <w:tr w:rsidR="00891A41" w:rsidRPr="0040424F" w14:paraId="387F15E7" w14:textId="77777777" w:rsidTr="00C131CF">
        <w:trPr>
          <w:trHeight w:val="453"/>
        </w:trPr>
        <w:tc>
          <w:tcPr>
            <w:tcW w:w="1843" w:type="dxa"/>
            <w:tcBorders>
              <w:top w:val="single" w:sz="4" w:space="0" w:color="auto"/>
              <w:left w:val="nil"/>
              <w:bottom w:val="nil"/>
              <w:right w:val="nil"/>
            </w:tcBorders>
            <w:hideMark/>
          </w:tcPr>
          <w:p w14:paraId="1076B36B"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Prins et al. (2001) </w:t>
            </w:r>
          </w:p>
        </w:tc>
        <w:tc>
          <w:tcPr>
            <w:tcW w:w="3402" w:type="dxa"/>
            <w:tcBorders>
              <w:top w:val="single" w:sz="4" w:space="0" w:color="auto"/>
              <w:left w:val="nil"/>
              <w:bottom w:val="nil"/>
              <w:right w:val="nil"/>
            </w:tcBorders>
          </w:tcPr>
          <w:p w14:paraId="34CDD302"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Health Insurance Council</w:t>
            </w:r>
          </w:p>
        </w:tc>
        <w:tc>
          <w:tcPr>
            <w:tcW w:w="2835" w:type="dxa"/>
            <w:tcBorders>
              <w:top w:val="single" w:sz="4" w:space="0" w:color="auto"/>
              <w:left w:val="nil"/>
              <w:bottom w:val="nil"/>
              <w:right w:val="nil"/>
            </w:tcBorders>
          </w:tcPr>
          <w:p w14:paraId="5724C3F9"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SF-36, JFCS, IMQ-III, SES-28, </w:t>
            </w:r>
          </w:p>
        </w:tc>
      </w:tr>
      <w:tr w:rsidR="00891A41" w:rsidRPr="0040424F" w14:paraId="67D14C37" w14:textId="77777777" w:rsidTr="00C131CF">
        <w:trPr>
          <w:trHeight w:val="226"/>
        </w:trPr>
        <w:tc>
          <w:tcPr>
            <w:tcW w:w="1843" w:type="dxa"/>
            <w:tcBorders>
              <w:top w:val="nil"/>
              <w:left w:val="nil"/>
              <w:bottom w:val="nil"/>
              <w:right w:val="nil"/>
            </w:tcBorders>
            <w:hideMark/>
          </w:tcPr>
          <w:p w14:paraId="7E780EB7" w14:textId="77777777" w:rsidR="00891A41" w:rsidRPr="0040424F" w:rsidRDefault="00891A41" w:rsidP="00C131CF">
            <w:pPr>
              <w:pStyle w:val="Geenafstand"/>
              <w:spacing w:line="360" w:lineRule="auto"/>
              <w:rPr>
                <w:rFonts w:cstheme="minorHAnsi"/>
                <w:lang w:val="en-GB"/>
              </w:rPr>
            </w:pPr>
            <w:proofErr w:type="spellStart"/>
            <w:r w:rsidRPr="0040424F">
              <w:rPr>
                <w:rFonts w:cstheme="minorHAnsi"/>
                <w:lang w:val="en-GB"/>
              </w:rPr>
              <w:t>Stulemeijer</w:t>
            </w:r>
            <w:proofErr w:type="spellEnd"/>
            <w:r w:rsidRPr="0040424F">
              <w:rPr>
                <w:rFonts w:cstheme="minorHAnsi"/>
                <w:lang w:val="en-GB"/>
              </w:rPr>
              <w:t xml:space="preserve"> et al. (2005)</w:t>
            </w:r>
          </w:p>
        </w:tc>
        <w:tc>
          <w:tcPr>
            <w:tcW w:w="3402" w:type="dxa"/>
            <w:tcBorders>
              <w:top w:val="nil"/>
              <w:left w:val="nil"/>
              <w:bottom w:val="nil"/>
              <w:right w:val="nil"/>
            </w:tcBorders>
          </w:tcPr>
          <w:p w14:paraId="5ED96D7A"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Foundation for Children’s Welfare Stamps Netherlands</w:t>
            </w:r>
          </w:p>
        </w:tc>
        <w:tc>
          <w:tcPr>
            <w:tcW w:w="2835" w:type="dxa"/>
            <w:tcBorders>
              <w:top w:val="nil"/>
              <w:left w:val="nil"/>
              <w:bottom w:val="nil"/>
              <w:right w:val="nil"/>
            </w:tcBorders>
          </w:tcPr>
          <w:p w14:paraId="5649C9D8"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SIP8, BDI-PC (partly), J-FCS, IMQ, SES-28 </w:t>
            </w:r>
          </w:p>
        </w:tc>
      </w:tr>
      <w:tr w:rsidR="00891A41" w:rsidRPr="0040424F" w14:paraId="72398F9F" w14:textId="77777777" w:rsidTr="00C131CF">
        <w:trPr>
          <w:trHeight w:val="441"/>
        </w:trPr>
        <w:tc>
          <w:tcPr>
            <w:tcW w:w="1843" w:type="dxa"/>
            <w:tcBorders>
              <w:top w:val="nil"/>
              <w:left w:val="nil"/>
              <w:bottom w:val="nil"/>
              <w:right w:val="nil"/>
            </w:tcBorders>
            <w:hideMark/>
          </w:tcPr>
          <w:p w14:paraId="6365D7A2"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Knoop et al. (2008)</w:t>
            </w:r>
          </w:p>
        </w:tc>
        <w:tc>
          <w:tcPr>
            <w:tcW w:w="3402" w:type="dxa"/>
            <w:tcBorders>
              <w:top w:val="nil"/>
              <w:left w:val="nil"/>
              <w:bottom w:val="nil"/>
              <w:right w:val="nil"/>
            </w:tcBorders>
          </w:tcPr>
          <w:p w14:paraId="550E5324" w14:textId="77777777" w:rsidR="00891A41" w:rsidRPr="0040424F" w:rsidRDefault="00891A41" w:rsidP="00C131CF">
            <w:pPr>
              <w:pStyle w:val="Geenafstand"/>
              <w:spacing w:line="360" w:lineRule="auto"/>
              <w:rPr>
                <w:rFonts w:cstheme="minorHAnsi"/>
                <w:highlight w:val="yellow"/>
                <w:lang w:val="en-GB"/>
              </w:rPr>
            </w:pPr>
            <w:r w:rsidRPr="0040424F">
              <w:rPr>
                <w:rFonts w:cstheme="minorHAnsi"/>
                <w:lang w:val="en-GB"/>
              </w:rPr>
              <w:t>n/a</w:t>
            </w:r>
          </w:p>
        </w:tc>
        <w:tc>
          <w:tcPr>
            <w:tcW w:w="2835" w:type="dxa"/>
            <w:tcBorders>
              <w:top w:val="nil"/>
              <w:left w:val="nil"/>
              <w:bottom w:val="nil"/>
              <w:right w:val="nil"/>
            </w:tcBorders>
          </w:tcPr>
          <w:p w14:paraId="21987E7F"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J-FCS, IMQ</w:t>
            </w:r>
          </w:p>
        </w:tc>
      </w:tr>
      <w:tr w:rsidR="00891A41" w:rsidRPr="0040424F" w14:paraId="045106C5" w14:textId="77777777" w:rsidTr="00C131CF">
        <w:trPr>
          <w:trHeight w:val="845"/>
        </w:trPr>
        <w:tc>
          <w:tcPr>
            <w:tcW w:w="1843" w:type="dxa"/>
            <w:tcBorders>
              <w:top w:val="nil"/>
              <w:left w:val="nil"/>
              <w:bottom w:val="nil"/>
              <w:right w:val="nil"/>
            </w:tcBorders>
            <w:hideMark/>
          </w:tcPr>
          <w:p w14:paraId="2547BD86" w14:textId="77777777" w:rsidR="00891A41" w:rsidRPr="0040424F" w:rsidRDefault="00891A41" w:rsidP="00C131CF">
            <w:pPr>
              <w:pStyle w:val="Geenafstand"/>
              <w:spacing w:line="360" w:lineRule="auto"/>
              <w:rPr>
                <w:rFonts w:cstheme="minorHAnsi"/>
                <w:lang w:val="en-GB"/>
              </w:rPr>
            </w:pPr>
            <w:proofErr w:type="spellStart"/>
            <w:r w:rsidRPr="0040424F">
              <w:rPr>
                <w:rFonts w:cstheme="minorHAnsi"/>
                <w:lang w:val="en-GB"/>
              </w:rPr>
              <w:t>Tummers</w:t>
            </w:r>
            <w:proofErr w:type="spellEnd"/>
            <w:r w:rsidRPr="0040424F">
              <w:rPr>
                <w:rFonts w:cstheme="minorHAnsi"/>
                <w:lang w:val="en-GB"/>
              </w:rPr>
              <w:t xml:space="preserve"> et al. (2012)</w:t>
            </w:r>
          </w:p>
        </w:tc>
        <w:tc>
          <w:tcPr>
            <w:tcW w:w="3402" w:type="dxa"/>
            <w:tcBorders>
              <w:top w:val="nil"/>
              <w:left w:val="nil"/>
              <w:bottom w:val="nil"/>
              <w:right w:val="nil"/>
            </w:tcBorders>
          </w:tcPr>
          <w:p w14:paraId="4C3E93C6"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Netherlands Organisation for Health Research and Development</w:t>
            </w:r>
          </w:p>
        </w:tc>
        <w:tc>
          <w:tcPr>
            <w:tcW w:w="2835" w:type="dxa"/>
            <w:tcBorders>
              <w:top w:val="nil"/>
              <w:left w:val="nil"/>
              <w:bottom w:val="nil"/>
              <w:right w:val="nil"/>
            </w:tcBorders>
          </w:tcPr>
          <w:p w14:paraId="17B7E175" w14:textId="77777777" w:rsidR="00891A41" w:rsidRPr="0040424F" w:rsidRDefault="00891A41" w:rsidP="00C131CF">
            <w:pPr>
              <w:pStyle w:val="Geenafstand"/>
              <w:spacing w:line="360" w:lineRule="auto"/>
              <w:rPr>
                <w:rFonts w:cstheme="minorHAnsi"/>
                <w:lang w:val="en-GB"/>
              </w:rPr>
            </w:pPr>
            <w:proofErr w:type="spellStart"/>
            <w:r>
              <w:rPr>
                <w:rFonts w:cstheme="minorHAnsi"/>
                <w:lang w:val="en-GB"/>
              </w:rPr>
              <w:t>Actigraphy</w:t>
            </w:r>
            <w:proofErr w:type="spellEnd"/>
            <w:r w:rsidRPr="0040424F">
              <w:rPr>
                <w:rFonts w:cstheme="minorHAnsi"/>
                <w:lang w:val="en-GB"/>
              </w:rPr>
              <w:t>, SIP8, J-FCS</w:t>
            </w:r>
          </w:p>
        </w:tc>
      </w:tr>
      <w:tr w:rsidR="00891A41" w:rsidRPr="0040424F" w14:paraId="5244E029" w14:textId="77777777" w:rsidTr="00C131CF">
        <w:trPr>
          <w:trHeight w:val="453"/>
        </w:trPr>
        <w:tc>
          <w:tcPr>
            <w:tcW w:w="1843" w:type="dxa"/>
            <w:tcBorders>
              <w:top w:val="nil"/>
              <w:left w:val="nil"/>
              <w:bottom w:val="nil"/>
              <w:right w:val="nil"/>
            </w:tcBorders>
            <w:hideMark/>
          </w:tcPr>
          <w:p w14:paraId="337D6F10" w14:textId="77777777" w:rsidR="00891A41" w:rsidRPr="0040424F" w:rsidRDefault="00891A41" w:rsidP="00C131CF">
            <w:pPr>
              <w:pStyle w:val="Geenafstand"/>
              <w:spacing w:line="360" w:lineRule="auto"/>
              <w:rPr>
                <w:rFonts w:cstheme="minorHAnsi"/>
                <w:lang w:val="en-GB"/>
              </w:rPr>
            </w:pPr>
            <w:proofErr w:type="spellStart"/>
            <w:r w:rsidRPr="0040424F">
              <w:rPr>
                <w:rFonts w:cstheme="minorHAnsi"/>
                <w:lang w:val="en-GB"/>
              </w:rPr>
              <w:t>Nijhof</w:t>
            </w:r>
            <w:proofErr w:type="spellEnd"/>
            <w:r w:rsidRPr="0040424F">
              <w:rPr>
                <w:rFonts w:cstheme="minorHAnsi"/>
                <w:lang w:val="en-GB"/>
              </w:rPr>
              <w:t xml:space="preserve"> et al. (2012)</w:t>
            </w:r>
          </w:p>
        </w:tc>
        <w:tc>
          <w:tcPr>
            <w:tcW w:w="3402" w:type="dxa"/>
            <w:tcBorders>
              <w:top w:val="nil"/>
              <w:left w:val="nil"/>
              <w:bottom w:val="nil"/>
              <w:right w:val="nil"/>
            </w:tcBorders>
          </w:tcPr>
          <w:p w14:paraId="6E1A74D4"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Netherlands Organisation for Health Research and Development</w:t>
            </w:r>
          </w:p>
        </w:tc>
        <w:tc>
          <w:tcPr>
            <w:tcW w:w="2835" w:type="dxa"/>
            <w:tcBorders>
              <w:top w:val="nil"/>
              <w:left w:val="nil"/>
              <w:bottom w:val="nil"/>
              <w:right w:val="nil"/>
            </w:tcBorders>
          </w:tcPr>
          <w:p w14:paraId="0800D5D1"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CDC symptom questionnaire, RAND-36, SIP8, BDI-PC, </w:t>
            </w:r>
          </w:p>
          <w:p w14:paraId="23175C83"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J-FCS, IMQ-III </w:t>
            </w:r>
          </w:p>
        </w:tc>
      </w:tr>
      <w:tr w:rsidR="00891A41" w:rsidRPr="0040424F" w14:paraId="7580E6B5" w14:textId="77777777" w:rsidTr="00C131CF">
        <w:trPr>
          <w:trHeight w:val="453"/>
        </w:trPr>
        <w:tc>
          <w:tcPr>
            <w:tcW w:w="1843" w:type="dxa"/>
            <w:tcBorders>
              <w:top w:val="nil"/>
              <w:left w:val="nil"/>
              <w:bottom w:val="nil"/>
              <w:right w:val="nil"/>
            </w:tcBorders>
            <w:hideMark/>
          </w:tcPr>
          <w:p w14:paraId="3758652E" w14:textId="77777777" w:rsidR="00891A41" w:rsidRPr="0040424F" w:rsidRDefault="00891A41" w:rsidP="00C131CF">
            <w:pPr>
              <w:pStyle w:val="Geenafstand"/>
              <w:spacing w:line="360" w:lineRule="auto"/>
              <w:rPr>
                <w:rFonts w:cstheme="minorHAnsi"/>
                <w:lang w:val="en-GB"/>
              </w:rPr>
            </w:pPr>
            <w:proofErr w:type="spellStart"/>
            <w:r w:rsidRPr="0040424F">
              <w:rPr>
                <w:rFonts w:cstheme="minorHAnsi"/>
                <w:lang w:val="en-GB"/>
              </w:rPr>
              <w:t>Wiborg</w:t>
            </w:r>
            <w:proofErr w:type="spellEnd"/>
            <w:r w:rsidRPr="0040424F">
              <w:rPr>
                <w:rFonts w:cstheme="minorHAnsi"/>
                <w:lang w:val="en-GB"/>
              </w:rPr>
              <w:t xml:space="preserve"> et al. (2015)</w:t>
            </w:r>
          </w:p>
        </w:tc>
        <w:tc>
          <w:tcPr>
            <w:tcW w:w="3402" w:type="dxa"/>
            <w:tcBorders>
              <w:top w:val="nil"/>
              <w:left w:val="nil"/>
              <w:bottom w:val="nil"/>
              <w:right w:val="nil"/>
            </w:tcBorders>
          </w:tcPr>
          <w:p w14:paraId="552E58D9"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n/a</w:t>
            </w:r>
          </w:p>
        </w:tc>
        <w:tc>
          <w:tcPr>
            <w:tcW w:w="2835" w:type="dxa"/>
            <w:tcBorders>
              <w:top w:val="nil"/>
              <w:left w:val="nil"/>
              <w:bottom w:val="nil"/>
              <w:right w:val="nil"/>
            </w:tcBorders>
          </w:tcPr>
          <w:p w14:paraId="6E134D14"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n/a</w:t>
            </w:r>
          </w:p>
        </w:tc>
      </w:tr>
      <w:tr w:rsidR="00891A41" w:rsidRPr="0040424F" w14:paraId="4F91F875" w14:textId="77777777" w:rsidTr="00C131CF">
        <w:trPr>
          <w:trHeight w:val="226"/>
        </w:trPr>
        <w:tc>
          <w:tcPr>
            <w:tcW w:w="1843" w:type="dxa"/>
            <w:tcBorders>
              <w:top w:val="nil"/>
              <w:left w:val="nil"/>
              <w:bottom w:val="nil"/>
              <w:right w:val="nil"/>
            </w:tcBorders>
            <w:hideMark/>
          </w:tcPr>
          <w:p w14:paraId="6D1FA410" w14:textId="4AA8F5ED" w:rsidR="00891A41" w:rsidRPr="0040424F" w:rsidRDefault="00E15176" w:rsidP="00C131CF">
            <w:pPr>
              <w:pStyle w:val="Geenafstand"/>
              <w:spacing w:line="360" w:lineRule="auto"/>
              <w:rPr>
                <w:rFonts w:cstheme="minorHAnsi"/>
                <w:lang w:val="en-GB"/>
              </w:rPr>
            </w:pPr>
            <w:r>
              <w:rPr>
                <w:rFonts w:cstheme="minorHAnsi"/>
              </w:rPr>
              <w:t>v</w:t>
            </w:r>
            <w:r w:rsidR="00891A41" w:rsidRPr="007B4313">
              <w:rPr>
                <w:rFonts w:cstheme="minorHAnsi"/>
              </w:rPr>
              <w:t xml:space="preserve">an der Schaaf et al. </w:t>
            </w:r>
            <w:r w:rsidR="00891A41" w:rsidRPr="0040424F">
              <w:rPr>
                <w:rFonts w:cstheme="minorHAnsi"/>
                <w:lang w:val="en-GB"/>
              </w:rPr>
              <w:t>(2016)</w:t>
            </w:r>
          </w:p>
        </w:tc>
        <w:tc>
          <w:tcPr>
            <w:tcW w:w="3402" w:type="dxa"/>
            <w:tcBorders>
              <w:top w:val="nil"/>
              <w:left w:val="nil"/>
              <w:bottom w:val="nil"/>
              <w:right w:val="nil"/>
            </w:tcBorders>
          </w:tcPr>
          <w:p w14:paraId="71E5F2D2"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 xml:space="preserve">Funder wants to stay anonymous </w:t>
            </w:r>
          </w:p>
        </w:tc>
        <w:tc>
          <w:tcPr>
            <w:tcW w:w="2835" w:type="dxa"/>
            <w:tcBorders>
              <w:top w:val="nil"/>
              <w:left w:val="nil"/>
              <w:bottom w:val="nil"/>
              <w:right w:val="nil"/>
            </w:tcBorders>
          </w:tcPr>
          <w:p w14:paraId="1DA1499E"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n/a</w:t>
            </w:r>
          </w:p>
        </w:tc>
      </w:tr>
      <w:tr w:rsidR="00891A41" w:rsidRPr="0040424F" w14:paraId="61BEBE15" w14:textId="77777777" w:rsidTr="00C131CF">
        <w:trPr>
          <w:trHeight w:val="213"/>
        </w:trPr>
        <w:tc>
          <w:tcPr>
            <w:tcW w:w="1843" w:type="dxa"/>
            <w:tcBorders>
              <w:top w:val="nil"/>
              <w:left w:val="nil"/>
              <w:bottom w:val="single" w:sz="4" w:space="0" w:color="auto"/>
              <w:right w:val="nil"/>
            </w:tcBorders>
            <w:hideMark/>
          </w:tcPr>
          <w:p w14:paraId="2DF573FA" w14:textId="77777777" w:rsidR="00891A41" w:rsidRPr="0040424F" w:rsidRDefault="00891A41" w:rsidP="00C131CF">
            <w:pPr>
              <w:pStyle w:val="Geenafstand"/>
              <w:spacing w:line="360" w:lineRule="auto"/>
              <w:rPr>
                <w:rFonts w:cstheme="minorHAnsi"/>
                <w:lang w:val="en-GB"/>
              </w:rPr>
            </w:pPr>
            <w:proofErr w:type="spellStart"/>
            <w:r w:rsidRPr="0040424F">
              <w:rPr>
                <w:rFonts w:cstheme="minorHAnsi"/>
                <w:lang w:val="en-GB"/>
              </w:rPr>
              <w:t>Janse</w:t>
            </w:r>
            <w:proofErr w:type="spellEnd"/>
            <w:r w:rsidRPr="0040424F">
              <w:rPr>
                <w:rFonts w:cstheme="minorHAnsi"/>
                <w:lang w:val="en-GB"/>
              </w:rPr>
              <w:t xml:space="preserve"> et al. (2018)</w:t>
            </w:r>
          </w:p>
        </w:tc>
        <w:tc>
          <w:tcPr>
            <w:tcW w:w="3402" w:type="dxa"/>
            <w:tcBorders>
              <w:top w:val="nil"/>
              <w:left w:val="nil"/>
              <w:bottom w:val="single" w:sz="4" w:space="0" w:color="auto"/>
              <w:right w:val="nil"/>
            </w:tcBorders>
          </w:tcPr>
          <w:p w14:paraId="3C6EFEA2"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n/a</w:t>
            </w:r>
          </w:p>
        </w:tc>
        <w:tc>
          <w:tcPr>
            <w:tcW w:w="2835" w:type="dxa"/>
            <w:tcBorders>
              <w:top w:val="nil"/>
              <w:left w:val="nil"/>
              <w:bottom w:val="single" w:sz="4" w:space="0" w:color="auto"/>
              <w:right w:val="nil"/>
            </w:tcBorders>
          </w:tcPr>
          <w:p w14:paraId="092B6B44" w14:textId="77777777" w:rsidR="00891A41" w:rsidRPr="0040424F" w:rsidRDefault="00891A41" w:rsidP="00C131CF">
            <w:pPr>
              <w:pStyle w:val="Geenafstand"/>
              <w:spacing w:line="360" w:lineRule="auto"/>
              <w:rPr>
                <w:rFonts w:cstheme="minorHAnsi"/>
                <w:lang w:val="en-GB"/>
              </w:rPr>
            </w:pPr>
            <w:r w:rsidRPr="0040424F">
              <w:rPr>
                <w:rFonts w:cstheme="minorHAnsi"/>
                <w:lang w:val="en-GB"/>
              </w:rPr>
              <w:t>n/a</w:t>
            </w:r>
          </w:p>
        </w:tc>
      </w:tr>
    </w:tbl>
    <w:p w14:paraId="6D8F162D" w14:textId="07A55E31" w:rsidR="00891A41" w:rsidRPr="0040424F" w:rsidRDefault="00891A41" w:rsidP="00C131CF">
      <w:pPr>
        <w:spacing w:line="360" w:lineRule="auto"/>
        <w:rPr>
          <w:rFonts w:cstheme="minorHAnsi"/>
          <w:b/>
          <w:sz w:val="18"/>
          <w:szCs w:val="18"/>
        </w:rPr>
      </w:pPr>
      <w:proofErr w:type="gramStart"/>
      <w:r w:rsidRPr="0040424F">
        <w:rPr>
          <w:rFonts w:eastAsia="CharisSIL" w:cstheme="minorHAnsi"/>
          <w:sz w:val="18"/>
          <w:szCs w:val="18"/>
        </w:rPr>
        <w:t xml:space="preserve">BDI-PC </w:t>
      </w:r>
      <w:r w:rsidRPr="0040424F">
        <w:rPr>
          <w:rFonts w:cstheme="minorHAnsi"/>
          <w:sz w:val="18"/>
          <w:szCs w:val="18"/>
        </w:rPr>
        <w:t xml:space="preserve">Brief Depression Inventory for Primary Care </w:t>
      </w:r>
      <w:r>
        <w:rPr>
          <w:rFonts w:cstheme="minorHAnsi"/>
          <w:noProof/>
          <w:sz w:val="18"/>
          <w:szCs w:val="18"/>
        </w:rPr>
        <w:t>(Beck et al., 1997)</w:t>
      </w:r>
      <w:r w:rsidRPr="0040424F">
        <w:rPr>
          <w:rFonts w:cstheme="minorHAnsi"/>
          <w:sz w:val="18"/>
          <w:szCs w:val="18"/>
        </w:rPr>
        <w:t xml:space="preserve">, CDC Centres for Disease Control and Prevention, </w:t>
      </w:r>
      <w:r w:rsidRPr="00A50CDF">
        <w:rPr>
          <w:rFonts w:cstheme="minorHAnsi"/>
          <w:sz w:val="18"/>
          <w:szCs w:val="18"/>
        </w:rPr>
        <w:t xml:space="preserve"> </w:t>
      </w:r>
      <w:r>
        <w:rPr>
          <w:rFonts w:cstheme="minorHAnsi"/>
          <w:sz w:val="18"/>
          <w:szCs w:val="18"/>
        </w:rPr>
        <w:t xml:space="preserve">IMQ-III </w:t>
      </w:r>
      <w:r w:rsidRPr="0040424F">
        <w:rPr>
          <w:rFonts w:cstheme="minorHAnsi"/>
          <w:sz w:val="18"/>
          <w:szCs w:val="18"/>
        </w:rPr>
        <w:t xml:space="preserve">Illness Management Questionnaire Factor III </w:t>
      </w:r>
      <w:r>
        <w:rPr>
          <w:rFonts w:cstheme="minorHAnsi"/>
          <w:noProof/>
          <w:sz w:val="18"/>
          <w:szCs w:val="18"/>
        </w:rPr>
        <w:t>(Ray et al., 1993)</w:t>
      </w:r>
      <w:r w:rsidRPr="0040424F">
        <w:rPr>
          <w:rFonts w:cstheme="minorHAnsi"/>
          <w:sz w:val="18"/>
          <w:szCs w:val="18"/>
        </w:rPr>
        <w:t>,</w:t>
      </w:r>
      <w:r w:rsidRPr="0040424F">
        <w:rPr>
          <w:rFonts w:cstheme="minorHAnsi"/>
          <w:bCs/>
          <w:sz w:val="18"/>
          <w:szCs w:val="18"/>
        </w:rPr>
        <w:t xml:space="preserve"> J-FCS </w:t>
      </w:r>
      <w:r w:rsidRPr="0040424F">
        <w:rPr>
          <w:rFonts w:cstheme="minorHAnsi"/>
          <w:sz w:val="18"/>
          <w:szCs w:val="18"/>
        </w:rPr>
        <w:t>Jacobs</w:t>
      </w:r>
      <w:r>
        <w:rPr>
          <w:rFonts w:cstheme="minorHAnsi"/>
          <w:sz w:val="18"/>
          <w:szCs w:val="18"/>
        </w:rPr>
        <w:t>e</w:t>
      </w:r>
      <w:r w:rsidRPr="0040424F">
        <w:rPr>
          <w:rFonts w:cstheme="minorHAnsi"/>
          <w:sz w:val="18"/>
          <w:szCs w:val="18"/>
        </w:rPr>
        <w:t xml:space="preserve">n Fatigue Catastrophizing Scale </w:t>
      </w:r>
      <w:r>
        <w:rPr>
          <w:rFonts w:cstheme="minorHAnsi"/>
          <w:noProof/>
          <w:sz w:val="18"/>
          <w:szCs w:val="18"/>
        </w:rPr>
        <w:t>(Jacobsen et al., 2004)</w:t>
      </w:r>
      <w:r w:rsidRPr="0040424F">
        <w:rPr>
          <w:rFonts w:cstheme="minorHAnsi"/>
          <w:sz w:val="18"/>
          <w:szCs w:val="18"/>
        </w:rPr>
        <w:t>, SES-28 Self-</w:t>
      </w:r>
      <w:r w:rsidRPr="00C131CF">
        <w:rPr>
          <w:rFonts w:cstheme="minorHAnsi"/>
          <w:sz w:val="18"/>
          <w:szCs w:val="18"/>
        </w:rPr>
        <w:t xml:space="preserve">Efficacy Scale </w:t>
      </w:r>
      <w:r w:rsidRPr="00C131CF">
        <w:rPr>
          <w:rFonts w:cstheme="minorHAnsi"/>
          <w:noProof/>
          <w:sz w:val="18"/>
          <w:szCs w:val="18"/>
        </w:rPr>
        <w:t>(Prins et al., 2001</w:t>
      </w:r>
      <w:r>
        <w:rPr>
          <w:rFonts w:cstheme="minorHAnsi"/>
          <w:noProof/>
          <w:sz w:val="18"/>
          <w:szCs w:val="18"/>
        </w:rPr>
        <w:t>)</w:t>
      </w:r>
      <w:r w:rsidRPr="0040424F">
        <w:rPr>
          <w:rFonts w:cstheme="minorHAnsi"/>
          <w:sz w:val="18"/>
          <w:szCs w:val="18"/>
        </w:rPr>
        <w:t xml:space="preserve">, </w:t>
      </w:r>
      <w:r w:rsidRPr="0040424F">
        <w:rPr>
          <w:rFonts w:cstheme="minorHAnsi"/>
          <w:bCs/>
          <w:sz w:val="18"/>
          <w:szCs w:val="18"/>
        </w:rPr>
        <w:t xml:space="preserve">SF-36 Short Form Health Survey </w:t>
      </w:r>
      <w:r>
        <w:rPr>
          <w:rFonts w:cstheme="minorHAnsi"/>
          <w:bCs/>
          <w:noProof/>
          <w:sz w:val="18"/>
          <w:szCs w:val="18"/>
        </w:rPr>
        <w:t>(Stewart et al., 1988)</w:t>
      </w:r>
      <w:r w:rsidRPr="0040424F">
        <w:rPr>
          <w:rFonts w:cstheme="minorHAnsi"/>
          <w:bCs/>
          <w:sz w:val="18"/>
          <w:szCs w:val="18"/>
        </w:rPr>
        <w:t>,</w:t>
      </w:r>
      <w:r w:rsidRPr="00A50CDF">
        <w:rPr>
          <w:rFonts w:eastAsia="CharisSIL" w:cstheme="minorHAnsi"/>
          <w:sz w:val="18"/>
          <w:szCs w:val="18"/>
        </w:rPr>
        <w:t xml:space="preserve"> </w:t>
      </w:r>
      <w:r w:rsidRPr="0040424F">
        <w:rPr>
          <w:rFonts w:eastAsia="CharisSIL" w:cstheme="minorHAnsi"/>
          <w:sz w:val="18"/>
          <w:szCs w:val="18"/>
        </w:rPr>
        <w:t xml:space="preserve">SIP8 Sickness Impact Profile 8 </w:t>
      </w:r>
      <w:r>
        <w:rPr>
          <w:rFonts w:eastAsia="CharisSIL" w:cstheme="minorHAnsi"/>
          <w:noProof/>
          <w:sz w:val="18"/>
          <w:szCs w:val="18"/>
        </w:rPr>
        <w:t>(Bergner et al., 1981)</w:t>
      </w:r>
      <w:r w:rsidRPr="0040424F">
        <w:rPr>
          <w:rFonts w:eastAsia="CharisSIL" w:cstheme="minorHAnsi"/>
          <w:sz w:val="18"/>
          <w:szCs w:val="18"/>
        </w:rPr>
        <w:t xml:space="preserve">, </w:t>
      </w:r>
      <w:r w:rsidRPr="0040424F">
        <w:rPr>
          <w:rFonts w:cstheme="minorHAnsi"/>
          <w:sz w:val="18"/>
          <w:szCs w:val="18"/>
        </w:rPr>
        <w:t>n/a</w:t>
      </w:r>
      <w:r w:rsidRPr="0040424F">
        <w:rPr>
          <w:rFonts w:cstheme="minorHAnsi"/>
          <w:b/>
          <w:sz w:val="18"/>
          <w:szCs w:val="18"/>
        </w:rPr>
        <w:t xml:space="preserve"> </w:t>
      </w:r>
      <w:r w:rsidRPr="0040424F">
        <w:rPr>
          <w:rFonts w:cstheme="minorHAnsi"/>
          <w:sz w:val="18"/>
          <w:szCs w:val="18"/>
          <w:shd w:val="clear" w:color="auto" w:fill="FFFFFF"/>
        </w:rPr>
        <w:t>not applicable</w:t>
      </w:r>
      <w:r>
        <w:rPr>
          <w:rFonts w:cstheme="minorHAnsi"/>
          <w:sz w:val="18"/>
          <w:szCs w:val="18"/>
          <w:shd w:val="clear" w:color="auto" w:fill="FFFFFF"/>
        </w:rPr>
        <w:t>.</w:t>
      </w:r>
      <w:proofErr w:type="gramEnd"/>
      <w:r>
        <w:rPr>
          <w:rFonts w:cstheme="minorHAnsi"/>
          <w:sz w:val="18"/>
          <w:szCs w:val="18"/>
          <w:shd w:val="clear" w:color="auto" w:fill="FFFFFF"/>
        </w:rPr>
        <w:t xml:space="preserve"> </w:t>
      </w:r>
    </w:p>
    <w:p w14:paraId="2552A16E" w14:textId="77777777" w:rsidR="00891A41" w:rsidRPr="0040424F" w:rsidRDefault="00891A41" w:rsidP="00C131CF">
      <w:pPr>
        <w:spacing w:line="360" w:lineRule="auto"/>
        <w:rPr>
          <w:rFonts w:cstheme="minorHAnsi"/>
          <w:b/>
          <w:sz w:val="22"/>
          <w:szCs w:val="22"/>
          <w:shd w:val="clear" w:color="auto" w:fill="FFFFFF"/>
        </w:rPr>
      </w:pPr>
    </w:p>
    <w:p w14:paraId="6E07ADC8" w14:textId="77777777" w:rsidR="00891A41" w:rsidRPr="0040424F" w:rsidRDefault="00891A41" w:rsidP="00C131CF">
      <w:pPr>
        <w:spacing w:line="360" w:lineRule="auto"/>
        <w:rPr>
          <w:rFonts w:cstheme="minorHAnsi"/>
          <w:b/>
          <w:bCs/>
          <w:color w:val="000000" w:themeColor="text1"/>
          <w:sz w:val="22"/>
          <w:szCs w:val="22"/>
        </w:rPr>
      </w:pPr>
      <w:r w:rsidRPr="0040424F">
        <w:rPr>
          <w:rFonts w:cstheme="minorHAnsi"/>
          <w:b/>
          <w:sz w:val="22"/>
          <w:szCs w:val="22"/>
        </w:rPr>
        <w:t>IPD integrity</w:t>
      </w:r>
    </w:p>
    <w:p w14:paraId="37A2D408" w14:textId="77777777" w:rsidR="00891A41" w:rsidRPr="0040424F" w:rsidRDefault="00891A41" w:rsidP="00C131CF">
      <w:pPr>
        <w:spacing w:line="360" w:lineRule="auto"/>
        <w:rPr>
          <w:rFonts w:cstheme="minorHAnsi"/>
          <w:bCs/>
          <w:iCs/>
          <w:color w:val="000000" w:themeColor="text1"/>
          <w:sz w:val="22"/>
          <w:szCs w:val="22"/>
        </w:rPr>
      </w:pPr>
      <w:r w:rsidRPr="0040424F">
        <w:rPr>
          <w:rFonts w:cstheme="minorHAnsi"/>
          <w:iCs/>
          <w:sz w:val="22"/>
          <w:szCs w:val="22"/>
        </w:rPr>
        <w:t xml:space="preserve">No important issues </w:t>
      </w:r>
      <w:proofErr w:type="gramStart"/>
      <w:r w:rsidRPr="0040424F">
        <w:rPr>
          <w:rFonts w:cstheme="minorHAnsi"/>
          <w:iCs/>
          <w:sz w:val="22"/>
          <w:szCs w:val="22"/>
        </w:rPr>
        <w:t>were identified</w:t>
      </w:r>
      <w:proofErr w:type="gramEnd"/>
      <w:r w:rsidRPr="0040424F">
        <w:rPr>
          <w:rFonts w:cstheme="minorHAnsi"/>
          <w:iCs/>
          <w:sz w:val="22"/>
          <w:szCs w:val="22"/>
        </w:rPr>
        <w:t xml:space="preserve"> when checking IPD of the eight studies.</w:t>
      </w:r>
    </w:p>
    <w:p w14:paraId="7CAD12D7" w14:textId="77777777" w:rsidR="00891A41" w:rsidRPr="0040424F" w:rsidRDefault="00891A41" w:rsidP="00C131CF">
      <w:pPr>
        <w:spacing w:line="360" w:lineRule="auto"/>
        <w:rPr>
          <w:rFonts w:cstheme="minorHAnsi"/>
          <w:sz w:val="22"/>
          <w:szCs w:val="22"/>
        </w:rPr>
      </w:pPr>
    </w:p>
    <w:p w14:paraId="16B8BD71" w14:textId="77777777" w:rsidR="00891A41" w:rsidRPr="0040424F" w:rsidRDefault="00891A41" w:rsidP="00C131CF">
      <w:pPr>
        <w:spacing w:line="360" w:lineRule="auto"/>
        <w:rPr>
          <w:rFonts w:cstheme="minorHAnsi"/>
          <w:b/>
          <w:sz w:val="22"/>
          <w:szCs w:val="22"/>
        </w:rPr>
      </w:pPr>
      <w:r w:rsidRPr="0040424F">
        <w:rPr>
          <w:rFonts w:cstheme="minorHAnsi"/>
          <w:b/>
          <w:sz w:val="22"/>
          <w:szCs w:val="22"/>
        </w:rPr>
        <w:t>Risk of bias</w:t>
      </w:r>
    </w:p>
    <w:p w14:paraId="48484AED" w14:textId="11852970" w:rsidR="00891A41" w:rsidRPr="0040424F" w:rsidRDefault="00891A41" w:rsidP="00C131CF">
      <w:pPr>
        <w:spacing w:line="360" w:lineRule="auto"/>
        <w:rPr>
          <w:rFonts w:cstheme="minorHAnsi"/>
          <w:sz w:val="22"/>
          <w:szCs w:val="22"/>
        </w:rPr>
      </w:pPr>
      <w:r w:rsidRPr="0040424F">
        <w:rPr>
          <w:rFonts w:cstheme="minorHAnsi"/>
          <w:sz w:val="22"/>
          <w:szCs w:val="22"/>
        </w:rPr>
        <w:t>Four studies were classified as having “some concerns”, three as “high risk of bias”, and one study could not be assessed</w:t>
      </w:r>
      <w:r>
        <w:rPr>
          <w:rFonts w:cstheme="minorHAnsi"/>
          <w:sz w:val="22"/>
          <w:szCs w:val="22"/>
        </w:rPr>
        <w:t xml:space="preserve"> </w:t>
      </w:r>
      <w:r>
        <w:rPr>
          <w:rFonts w:cstheme="minorHAnsi"/>
          <w:noProof/>
          <w:sz w:val="22"/>
          <w:szCs w:val="22"/>
        </w:rPr>
        <w:t>(van der Schaaf et al., 2015)</w:t>
      </w:r>
      <w:r w:rsidRPr="0040424F">
        <w:rPr>
          <w:rFonts w:cstheme="minorHAnsi"/>
          <w:sz w:val="22"/>
          <w:szCs w:val="22"/>
        </w:rPr>
        <w:t xml:space="preserve"> </w:t>
      </w:r>
      <w:r w:rsidRPr="00C131CF">
        <w:rPr>
          <w:rFonts w:cstheme="minorHAnsi"/>
          <w:sz w:val="22"/>
          <w:szCs w:val="22"/>
        </w:rPr>
        <w:t>because its main results were</w:t>
      </w:r>
      <w:r w:rsidRPr="0040424F">
        <w:rPr>
          <w:rFonts w:cstheme="minorHAnsi"/>
          <w:sz w:val="22"/>
          <w:szCs w:val="22"/>
        </w:rPr>
        <w:t xml:space="preserve"> not published yet (see Figure 1 and 2). For a description of the concerns, see Table A2 in this appendix. All studies </w:t>
      </w:r>
      <w:proofErr w:type="gramStart"/>
      <w:r w:rsidRPr="0040424F">
        <w:rPr>
          <w:rFonts w:cstheme="minorHAnsi"/>
          <w:sz w:val="22"/>
          <w:szCs w:val="22"/>
        </w:rPr>
        <w:t>were penalized</w:t>
      </w:r>
      <w:proofErr w:type="gramEnd"/>
      <w:r w:rsidRPr="0040424F">
        <w:rPr>
          <w:rFonts w:cstheme="minorHAnsi"/>
          <w:sz w:val="22"/>
          <w:szCs w:val="22"/>
        </w:rPr>
        <w:t xml:space="preserve"> because the outcome assessor (the patient) was aware of the intervention received. However, this limitation is inherent to the evaluation of psychological treatments using a subjective outcome measure. Three studies </w:t>
      </w:r>
      <w:proofErr w:type="gramStart"/>
      <w:r w:rsidRPr="0040424F">
        <w:rPr>
          <w:rFonts w:cstheme="minorHAnsi"/>
          <w:sz w:val="22"/>
          <w:szCs w:val="22"/>
        </w:rPr>
        <w:t>were penalized</w:t>
      </w:r>
      <w:proofErr w:type="gramEnd"/>
      <w:r w:rsidRPr="0040424F">
        <w:rPr>
          <w:rFonts w:cstheme="minorHAnsi"/>
          <w:sz w:val="22"/>
          <w:szCs w:val="22"/>
        </w:rPr>
        <w:t xml:space="preserve"> because data were missing for more than 5 percent of participants. Further, two studies were penalized because no study protocol was published or no trial registration was available, which was not obligatory at the time the trials commenced. Despite </w:t>
      </w:r>
      <w:r w:rsidRPr="0040424F">
        <w:rPr>
          <w:rFonts w:cstheme="minorHAnsi"/>
          <w:sz w:val="22"/>
          <w:szCs w:val="22"/>
        </w:rPr>
        <w:lastRenderedPageBreak/>
        <w:t>these penalizations, we thought these studies provided valuable data and found it appropriate to include them.</w:t>
      </w:r>
    </w:p>
    <w:p w14:paraId="186F4CC1" w14:textId="77777777" w:rsidR="00891A41" w:rsidRPr="0040424F" w:rsidRDefault="00891A41" w:rsidP="00C131CF">
      <w:pPr>
        <w:spacing w:line="360" w:lineRule="auto"/>
        <w:rPr>
          <w:rFonts w:cstheme="minorHAnsi"/>
          <w:sz w:val="22"/>
          <w:szCs w:val="22"/>
        </w:rPr>
      </w:pPr>
    </w:p>
    <w:p w14:paraId="00E035C0" w14:textId="77777777" w:rsidR="00891A41" w:rsidRDefault="00891A41">
      <w:pPr>
        <w:spacing w:after="160" w:line="259" w:lineRule="auto"/>
        <w:rPr>
          <w:rFonts w:cstheme="minorHAnsi"/>
          <w:b/>
          <w:sz w:val="22"/>
          <w:szCs w:val="22"/>
        </w:rPr>
      </w:pPr>
      <w:r>
        <w:rPr>
          <w:rFonts w:cstheme="minorHAnsi"/>
          <w:b/>
          <w:sz w:val="22"/>
          <w:szCs w:val="22"/>
        </w:rPr>
        <w:br w:type="page"/>
      </w:r>
    </w:p>
    <w:p w14:paraId="347AAB9E" w14:textId="77777777" w:rsidR="00891A41" w:rsidRDefault="00891A41" w:rsidP="00C131CF">
      <w:pPr>
        <w:spacing w:line="360" w:lineRule="auto"/>
        <w:rPr>
          <w:rFonts w:cstheme="minorHAnsi"/>
          <w:sz w:val="22"/>
          <w:szCs w:val="22"/>
          <w:lang w:eastAsia="nl-NL"/>
        </w:rPr>
      </w:pPr>
      <w:r w:rsidRPr="0040424F">
        <w:rPr>
          <w:rFonts w:cstheme="minorHAnsi"/>
          <w:b/>
          <w:sz w:val="22"/>
          <w:szCs w:val="22"/>
        </w:rPr>
        <w:lastRenderedPageBreak/>
        <w:t>Figure A2: Risk of bias domains of the included studies</w:t>
      </w:r>
    </w:p>
    <w:p w14:paraId="61168DF6" w14:textId="77777777" w:rsidR="00891A41" w:rsidRDefault="00891A41" w:rsidP="00C131CF">
      <w:pPr>
        <w:spacing w:line="360" w:lineRule="auto"/>
        <w:rPr>
          <w:rFonts w:cstheme="minorHAnsi"/>
          <w:sz w:val="22"/>
          <w:szCs w:val="22"/>
          <w:lang w:eastAsia="nl-NL"/>
        </w:rPr>
      </w:pPr>
      <w:r>
        <w:rPr>
          <w:rFonts w:cstheme="minorHAnsi"/>
          <w:noProof/>
          <w:sz w:val="22"/>
          <w:szCs w:val="22"/>
          <w:lang w:val="nl-NL" w:eastAsia="nl-NL"/>
        </w:rPr>
        <w:drawing>
          <wp:inline distT="0" distB="0" distL="0" distR="0" wp14:anchorId="6EEEE3C4" wp14:editId="5DA4D282">
            <wp:extent cx="5188523" cy="5867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5221069" cy="5904204"/>
                    </a:xfrm>
                    <a:prstGeom prst="rect">
                      <a:avLst/>
                    </a:prstGeom>
                  </pic:spPr>
                </pic:pic>
              </a:graphicData>
            </a:graphic>
          </wp:inline>
        </w:drawing>
      </w:r>
    </w:p>
    <w:p w14:paraId="3950F93C" w14:textId="77777777" w:rsidR="00891A41" w:rsidRPr="0040424F" w:rsidRDefault="00891A41" w:rsidP="00C131CF">
      <w:pPr>
        <w:spacing w:line="360" w:lineRule="auto"/>
        <w:rPr>
          <w:rFonts w:cstheme="minorHAnsi"/>
          <w:sz w:val="22"/>
          <w:szCs w:val="22"/>
        </w:rPr>
      </w:pPr>
    </w:p>
    <w:p w14:paraId="7276534D" w14:textId="77777777" w:rsidR="00891A41" w:rsidRPr="0040424F" w:rsidRDefault="00891A41" w:rsidP="00C131CF">
      <w:pPr>
        <w:spacing w:line="360" w:lineRule="auto"/>
        <w:rPr>
          <w:rFonts w:cstheme="minorHAnsi"/>
          <w:sz w:val="18"/>
          <w:szCs w:val="18"/>
        </w:rPr>
      </w:pPr>
      <w:r w:rsidRPr="0040424F">
        <w:rPr>
          <w:rFonts w:cstheme="minorHAnsi"/>
          <w:sz w:val="18"/>
          <w:szCs w:val="18"/>
        </w:rPr>
        <w:t xml:space="preserve">Note: One study could not be assessed </w:t>
      </w:r>
      <w:r>
        <w:rPr>
          <w:rFonts w:cstheme="minorHAnsi"/>
          <w:noProof/>
          <w:sz w:val="18"/>
          <w:szCs w:val="18"/>
        </w:rPr>
        <w:t>(van der Schaaf et al., 2015)</w:t>
      </w:r>
      <w:r w:rsidRPr="0040424F">
        <w:rPr>
          <w:rFonts w:cstheme="minorHAnsi"/>
          <w:sz w:val="18"/>
          <w:szCs w:val="18"/>
        </w:rPr>
        <w:t xml:space="preserve"> because its main results </w:t>
      </w:r>
      <w:proofErr w:type="gramStart"/>
      <w:r w:rsidRPr="0040424F">
        <w:rPr>
          <w:rFonts w:cstheme="minorHAnsi"/>
          <w:sz w:val="18"/>
          <w:szCs w:val="18"/>
        </w:rPr>
        <w:t>were not published</w:t>
      </w:r>
      <w:proofErr w:type="gramEnd"/>
      <w:r w:rsidRPr="0040424F">
        <w:rPr>
          <w:rFonts w:cstheme="minorHAnsi"/>
          <w:sz w:val="18"/>
          <w:szCs w:val="18"/>
        </w:rPr>
        <w:t xml:space="preserve"> yet</w:t>
      </w:r>
      <w:r>
        <w:rPr>
          <w:rFonts w:cstheme="minorHAnsi"/>
          <w:sz w:val="18"/>
          <w:szCs w:val="18"/>
        </w:rPr>
        <w:t>.</w:t>
      </w:r>
    </w:p>
    <w:p w14:paraId="4066AF61" w14:textId="77777777" w:rsidR="00891A41" w:rsidRPr="0040424F" w:rsidRDefault="00891A41" w:rsidP="00C131CF">
      <w:pPr>
        <w:spacing w:after="160" w:line="259" w:lineRule="auto"/>
        <w:rPr>
          <w:rFonts w:cstheme="minorHAnsi"/>
          <w:sz w:val="22"/>
          <w:szCs w:val="22"/>
        </w:rPr>
      </w:pPr>
      <w:r w:rsidRPr="0040424F">
        <w:rPr>
          <w:rFonts w:cstheme="minorHAnsi"/>
          <w:sz w:val="22"/>
          <w:szCs w:val="22"/>
        </w:rPr>
        <w:br w:type="page"/>
      </w:r>
    </w:p>
    <w:p w14:paraId="3E62E033" w14:textId="77777777" w:rsidR="00891A41" w:rsidRPr="0040424F" w:rsidRDefault="00891A41" w:rsidP="00C131CF">
      <w:pPr>
        <w:spacing w:line="360" w:lineRule="auto"/>
        <w:rPr>
          <w:rFonts w:cstheme="minorHAnsi"/>
          <w:b/>
          <w:sz w:val="22"/>
          <w:szCs w:val="22"/>
        </w:rPr>
      </w:pPr>
      <w:r w:rsidRPr="0040424F">
        <w:rPr>
          <w:rFonts w:cstheme="minorHAnsi"/>
          <w:b/>
          <w:sz w:val="22"/>
          <w:szCs w:val="22"/>
        </w:rPr>
        <w:lastRenderedPageBreak/>
        <w:t>Figure A3: Risk of bias domains</w:t>
      </w:r>
    </w:p>
    <w:p w14:paraId="723FD4B3" w14:textId="77777777" w:rsidR="00891A41" w:rsidRPr="0040424F" w:rsidRDefault="00891A41" w:rsidP="00C131CF">
      <w:pPr>
        <w:spacing w:line="360" w:lineRule="auto"/>
        <w:rPr>
          <w:rFonts w:cstheme="minorHAnsi"/>
          <w:sz w:val="22"/>
          <w:szCs w:val="22"/>
        </w:rPr>
      </w:pPr>
      <w:r w:rsidRPr="0040424F">
        <w:rPr>
          <w:noProof/>
          <w:sz w:val="16"/>
          <w:szCs w:val="16"/>
          <w:lang w:val="nl-NL" w:eastAsia="nl-NL"/>
        </w:rPr>
        <w:drawing>
          <wp:inline distT="0" distB="0" distL="0" distR="0" wp14:anchorId="172CAC41" wp14:editId="27D90A17">
            <wp:extent cx="4581525" cy="27432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ur2_jpg.jpg"/>
                    <pic:cNvPicPr/>
                  </pic:nvPicPr>
                  <pic:blipFill>
                    <a:blip r:embed="rId9">
                      <a:extLst>
                        <a:ext uri="{28A0092B-C50C-407E-A947-70E740481C1C}">
                          <a14:useLocalDpi xmlns:a14="http://schemas.microsoft.com/office/drawing/2010/main" val="0"/>
                        </a:ext>
                      </a:extLst>
                    </a:blip>
                    <a:stretch>
                      <a:fillRect/>
                    </a:stretch>
                  </pic:blipFill>
                  <pic:spPr>
                    <a:xfrm>
                      <a:off x="0" y="0"/>
                      <a:ext cx="4581525" cy="2743200"/>
                    </a:xfrm>
                    <a:prstGeom prst="rect">
                      <a:avLst/>
                    </a:prstGeom>
                  </pic:spPr>
                </pic:pic>
              </a:graphicData>
            </a:graphic>
          </wp:inline>
        </w:drawing>
      </w:r>
    </w:p>
    <w:p w14:paraId="15CFBE82" w14:textId="77777777" w:rsidR="00891A41" w:rsidRPr="0040424F" w:rsidRDefault="00891A41" w:rsidP="00C131CF">
      <w:pPr>
        <w:spacing w:line="360" w:lineRule="auto"/>
        <w:rPr>
          <w:rFonts w:cstheme="minorHAnsi"/>
          <w:sz w:val="18"/>
          <w:szCs w:val="18"/>
        </w:rPr>
      </w:pPr>
      <w:r w:rsidRPr="0036017F">
        <w:rPr>
          <w:rFonts w:cstheme="minorHAnsi"/>
          <w:sz w:val="18"/>
          <w:szCs w:val="18"/>
          <w:lang w:val="en-US"/>
        </w:rPr>
        <w:t xml:space="preserve">Assessment of studies: Prins et al. </w:t>
      </w:r>
      <w:r w:rsidRPr="007B4313">
        <w:rPr>
          <w:rFonts w:cstheme="minorHAnsi"/>
          <w:sz w:val="18"/>
          <w:szCs w:val="18"/>
          <w:lang w:val="nl-NL"/>
        </w:rPr>
        <w:t xml:space="preserve">(2001), Knoop et al. (2008), Tummers et al. (2012), Nijhof et al. </w:t>
      </w:r>
      <w:r w:rsidRPr="0036017F">
        <w:rPr>
          <w:rFonts w:cstheme="minorHAnsi"/>
          <w:sz w:val="18"/>
          <w:szCs w:val="18"/>
          <w:lang w:val="nl-NL"/>
        </w:rPr>
        <w:t xml:space="preserve">(2012), </w:t>
      </w:r>
      <w:proofErr w:type="spellStart"/>
      <w:r w:rsidRPr="0036017F">
        <w:rPr>
          <w:rFonts w:cstheme="minorHAnsi"/>
          <w:sz w:val="18"/>
          <w:szCs w:val="18"/>
          <w:lang w:val="nl-NL"/>
        </w:rPr>
        <w:t>Wiborg</w:t>
      </w:r>
      <w:proofErr w:type="spellEnd"/>
      <w:r w:rsidRPr="0036017F">
        <w:rPr>
          <w:rFonts w:cstheme="minorHAnsi"/>
          <w:sz w:val="18"/>
          <w:szCs w:val="18"/>
          <w:lang w:val="nl-NL"/>
        </w:rPr>
        <w:t xml:space="preserve"> et al. (2015) </w:t>
      </w:r>
      <w:proofErr w:type="spellStart"/>
      <w:r w:rsidRPr="0036017F">
        <w:rPr>
          <w:rFonts w:cstheme="minorHAnsi"/>
          <w:sz w:val="18"/>
          <w:szCs w:val="18"/>
          <w:lang w:val="nl-NL"/>
        </w:rPr>
        <w:t>and</w:t>
      </w:r>
      <w:proofErr w:type="spellEnd"/>
      <w:r w:rsidRPr="0036017F">
        <w:rPr>
          <w:rFonts w:cstheme="minorHAnsi"/>
          <w:sz w:val="18"/>
          <w:szCs w:val="18"/>
          <w:lang w:val="nl-NL"/>
        </w:rPr>
        <w:t xml:space="preserve"> Janse et al. </w:t>
      </w:r>
      <w:r w:rsidRPr="0040424F">
        <w:rPr>
          <w:rFonts w:cstheme="minorHAnsi"/>
          <w:sz w:val="18"/>
          <w:szCs w:val="18"/>
        </w:rPr>
        <w:t>(2018)</w:t>
      </w:r>
      <w:r>
        <w:rPr>
          <w:rFonts w:cstheme="minorHAnsi"/>
          <w:sz w:val="18"/>
          <w:szCs w:val="18"/>
        </w:rPr>
        <w:t>.</w:t>
      </w:r>
      <w:r w:rsidRPr="0040424F">
        <w:rPr>
          <w:rFonts w:cstheme="minorHAnsi"/>
          <w:sz w:val="18"/>
          <w:szCs w:val="18"/>
        </w:rPr>
        <w:t xml:space="preserve"> One study </w:t>
      </w:r>
      <w:proofErr w:type="gramStart"/>
      <w:r w:rsidRPr="0040424F">
        <w:rPr>
          <w:rFonts w:cstheme="minorHAnsi"/>
          <w:sz w:val="18"/>
          <w:szCs w:val="18"/>
        </w:rPr>
        <w:t>could not be assessed</w:t>
      </w:r>
      <w:proofErr w:type="gramEnd"/>
      <w:r w:rsidRPr="0040424F">
        <w:rPr>
          <w:rFonts w:cstheme="minorHAnsi"/>
          <w:sz w:val="18"/>
          <w:szCs w:val="18"/>
        </w:rPr>
        <w:t xml:space="preserve"> because its main results were not published yet</w:t>
      </w:r>
      <w:r>
        <w:rPr>
          <w:rFonts w:cstheme="minorHAnsi"/>
          <w:sz w:val="18"/>
          <w:szCs w:val="18"/>
        </w:rPr>
        <w:t xml:space="preserve"> </w:t>
      </w:r>
      <w:r>
        <w:rPr>
          <w:rFonts w:cstheme="minorHAnsi"/>
          <w:noProof/>
          <w:sz w:val="18"/>
          <w:szCs w:val="18"/>
        </w:rPr>
        <w:t>(van der Schaaf et al., 2015)</w:t>
      </w:r>
      <w:r w:rsidRPr="0040424F">
        <w:rPr>
          <w:rFonts w:cstheme="minorHAnsi"/>
          <w:sz w:val="18"/>
          <w:szCs w:val="18"/>
        </w:rPr>
        <w:t>.</w:t>
      </w:r>
    </w:p>
    <w:p w14:paraId="5DCC2EDB" w14:textId="77777777" w:rsidR="00891A41" w:rsidRPr="0040424F" w:rsidRDefault="00891A41" w:rsidP="00C131CF">
      <w:pPr>
        <w:spacing w:line="360" w:lineRule="auto"/>
        <w:rPr>
          <w:rFonts w:cstheme="minorHAnsi"/>
          <w:b/>
          <w:sz w:val="22"/>
          <w:szCs w:val="22"/>
        </w:rPr>
      </w:pPr>
    </w:p>
    <w:p w14:paraId="7D2E7925" w14:textId="77777777" w:rsidR="00891A41" w:rsidRPr="0040424F" w:rsidRDefault="00891A41" w:rsidP="00C131CF">
      <w:pPr>
        <w:spacing w:line="360" w:lineRule="auto"/>
        <w:rPr>
          <w:rFonts w:cstheme="minorHAnsi"/>
          <w:b/>
          <w:sz w:val="22"/>
          <w:szCs w:val="22"/>
        </w:rPr>
      </w:pPr>
      <w:r w:rsidRPr="0040424F">
        <w:rPr>
          <w:rFonts w:cstheme="minorHAnsi"/>
          <w:b/>
          <w:sz w:val="22"/>
          <w:szCs w:val="22"/>
        </w:rPr>
        <w:t>Table A2: Description of concerns</w:t>
      </w:r>
    </w:p>
    <w:tbl>
      <w:tblPr>
        <w:tblStyle w:val="Tabelraster"/>
        <w:tblW w:w="9493" w:type="dxa"/>
        <w:tblLook w:val="04A0" w:firstRow="1" w:lastRow="0" w:firstColumn="1" w:lastColumn="0" w:noHBand="0" w:noVBand="1"/>
      </w:tblPr>
      <w:tblGrid>
        <w:gridCol w:w="1555"/>
        <w:gridCol w:w="1058"/>
        <w:gridCol w:w="6880"/>
      </w:tblGrid>
      <w:tr w:rsidR="00891A41" w:rsidRPr="0040424F" w14:paraId="0F95D6B5" w14:textId="77777777" w:rsidTr="00C131CF">
        <w:tc>
          <w:tcPr>
            <w:tcW w:w="1555" w:type="dxa"/>
          </w:tcPr>
          <w:p w14:paraId="7AEA8EBA" w14:textId="77777777" w:rsidR="00891A41" w:rsidRPr="0040424F" w:rsidRDefault="00891A41" w:rsidP="00C131CF">
            <w:pPr>
              <w:rPr>
                <w:rFonts w:cstheme="minorHAnsi"/>
                <w:sz w:val="22"/>
                <w:szCs w:val="22"/>
              </w:rPr>
            </w:pPr>
            <w:r w:rsidRPr="0040424F">
              <w:rPr>
                <w:rFonts w:cstheme="minorHAnsi"/>
                <w:sz w:val="22"/>
                <w:szCs w:val="22"/>
              </w:rPr>
              <w:t>Study</w:t>
            </w:r>
          </w:p>
        </w:tc>
        <w:tc>
          <w:tcPr>
            <w:tcW w:w="1058" w:type="dxa"/>
          </w:tcPr>
          <w:p w14:paraId="13727361" w14:textId="77777777" w:rsidR="00891A41" w:rsidRPr="0040424F" w:rsidRDefault="00891A41" w:rsidP="00C131CF">
            <w:pPr>
              <w:rPr>
                <w:rFonts w:cstheme="minorHAnsi"/>
                <w:sz w:val="22"/>
                <w:szCs w:val="22"/>
              </w:rPr>
            </w:pPr>
            <w:r w:rsidRPr="0040424F">
              <w:rPr>
                <w:rFonts w:cstheme="minorHAnsi"/>
                <w:sz w:val="22"/>
                <w:szCs w:val="22"/>
              </w:rPr>
              <w:t>Domain</w:t>
            </w:r>
          </w:p>
        </w:tc>
        <w:tc>
          <w:tcPr>
            <w:tcW w:w="6880" w:type="dxa"/>
          </w:tcPr>
          <w:p w14:paraId="28C102D1" w14:textId="77777777" w:rsidR="00891A41" w:rsidRPr="0040424F" w:rsidRDefault="00891A41" w:rsidP="00C131CF">
            <w:pPr>
              <w:rPr>
                <w:rFonts w:cstheme="minorHAnsi"/>
                <w:sz w:val="22"/>
                <w:szCs w:val="22"/>
              </w:rPr>
            </w:pPr>
            <w:r w:rsidRPr="0040424F">
              <w:rPr>
                <w:rFonts w:cstheme="minorHAnsi"/>
                <w:sz w:val="22"/>
                <w:szCs w:val="22"/>
              </w:rPr>
              <w:t>Concern</w:t>
            </w:r>
          </w:p>
        </w:tc>
      </w:tr>
      <w:tr w:rsidR="00891A41" w:rsidRPr="0040424F" w14:paraId="6F5DBD8C" w14:textId="77777777" w:rsidTr="00C131CF">
        <w:tc>
          <w:tcPr>
            <w:tcW w:w="1555" w:type="dxa"/>
            <w:vMerge w:val="restart"/>
          </w:tcPr>
          <w:p w14:paraId="025A9BE0" w14:textId="77777777" w:rsidR="00891A41" w:rsidRPr="0040424F" w:rsidRDefault="00891A41" w:rsidP="00C131CF">
            <w:pPr>
              <w:rPr>
                <w:rFonts w:cstheme="minorHAnsi"/>
                <w:sz w:val="22"/>
                <w:szCs w:val="22"/>
              </w:rPr>
            </w:pPr>
            <w:r w:rsidRPr="0040424F">
              <w:rPr>
                <w:rFonts w:cstheme="minorHAnsi"/>
                <w:sz w:val="22"/>
                <w:szCs w:val="22"/>
              </w:rPr>
              <w:t>Prins et</w:t>
            </w:r>
            <w:r>
              <w:rPr>
                <w:rFonts w:cstheme="minorHAnsi"/>
                <w:sz w:val="22"/>
                <w:szCs w:val="22"/>
              </w:rPr>
              <w:t xml:space="preserve"> </w:t>
            </w:r>
            <w:r w:rsidRPr="0040424F">
              <w:rPr>
                <w:rFonts w:cstheme="minorHAnsi"/>
                <w:sz w:val="22"/>
                <w:szCs w:val="22"/>
              </w:rPr>
              <w:t>al</w:t>
            </w:r>
            <w:r>
              <w:rPr>
                <w:rFonts w:cstheme="minorHAnsi"/>
                <w:sz w:val="22"/>
                <w:szCs w:val="22"/>
              </w:rPr>
              <w:t>.</w:t>
            </w:r>
            <w:r w:rsidRPr="0040424F">
              <w:rPr>
                <w:rFonts w:cstheme="minorHAnsi"/>
                <w:sz w:val="22"/>
                <w:szCs w:val="22"/>
              </w:rPr>
              <w:t xml:space="preserve"> (2001) </w:t>
            </w:r>
          </w:p>
        </w:tc>
        <w:tc>
          <w:tcPr>
            <w:tcW w:w="1058" w:type="dxa"/>
          </w:tcPr>
          <w:p w14:paraId="691A83BD" w14:textId="77777777" w:rsidR="00891A41" w:rsidRPr="0040424F" w:rsidRDefault="00891A41" w:rsidP="00C131CF">
            <w:pPr>
              <w:rPr>
                <w:rFonts w:cstheme="minorHAnsi"/>
                <w:sz w:val="22"/>
                <w:szCs w:val="22"/>
              </w:rPr>
            </w:pPr>
            <w:r w:rsidRPr="0040424F">
              <w:rPr>
                <w:rFonts w:cstheme="minorHAnsi"/>
                <w:sz w:val="22"/>
                <w:szCs w:val="22"/>
              </w:rPr>
              <w:t>3</w:t>
            </w:r>
          </w:p>
        </w:tc>
        <w:tc>
          <w:tcPr>
            <w:tcW w:w="6880" w:type="dxa"/>
          </w:tcPr>
          <w:p w14:paraId="393CDFAD" w14:textId="77777777" w:rsidR="00891A41" w:rsidRPr="00C131CF" w:rsidRDefault="00891A41" w:rsidP="00C131CF">
            <w:pPr>
              <w:rPr>
                <w:rFonts w:cstheme="minorHAnsi"/>
                <w:sz w:val="22"/>
                <w:szCs w:val="22"/>
              </w:rPr>
            </w:pPr>
            <w:r w:rsidRPr="00C131CF">
              <w:rPr>
                <w:rFonts w:cstheme="minorHAnsi"/>
                <w:sz w:val="22"/>
                <w:szCs w:val="22"/>
              </w:rPr>
              <w:t>Data are missing for a relatively large number of participants (&gt; 5%)</w:t>
            </w:r>
          </w:p>
        </w:tc>
      </w:tr>
      <w:tr w:rsidR="00891A41" w:rsidRPr="0040424F" w14:paraId="24465D7B" w14:textId="77777777" w:rsidTr="00C131CF">
        <w:tc>
          <w:tcPr>
            <w:tcW w:w="1555" w:type="dxa"/>
            <w:vMerge/>
          </w:tcPr>
          <w:p w14:paraId="7A3D8B8F" w14:textId="77777777" w:rsidR="00891A41" w:rsidRPr="0040424F" w:rsidRDefault="00891A41" w:rsidP="00C131CF">
            <w:pPr>
              <w:rPr>
                <w:rFonts w:cstheme="minorHAnsi"/>
                <w:sz w:val="22"/>
                <w:szCs w:val="22"/>
              </w:rPr>
            </w:pPr>
          </w:p>
        </w:tc>
        <w:tc>
          <w:tcPr>
            <w:tcW w:w="1058" w:type="dxa"/>
          </w:tcPr>
          <w:p w14:paraId="261FD5C7" w14:textId="77777777" w:rsidR="00891A41" w:rsidRPr="0040424F" w:rsidRDefault="00891A41" w:rsidP="00C131CF">
            <w:pPr>
              <w:rPr>
                <w:rFonts w:cstheme="minorHAnsi"/>
                <w:sz w:val="22"/>
                <w:szCs w:val="22"/>
              </w:rPr>
            </w:pPr>
            <w:r w:rsidRPr="0040424F">
              <w:rPr>
                <w:rFonts w:cstheme="minorHAnsi"/>
                <w:sz w:val="22"/>
                <w:szCs w:val="22"/>
              </w:rPr>
              <w:t>5</w:t>
            </w:r>
          </w:p>
        </w:tc>
        <w:tc>
          <w:tcPr>
            <w:tcW w:w="6880" w:type="dxa"/>
          </w:tcPr>
          <w:p w14:paraId="2E58EB44" w14:textId="77777777" w:rsidR="00891A41" w:rsidRPr="00C131CF" w:rsidRDefault="00891A41" w:rsidP="00C131CF">
            <w:pPr>
              <w:rPr>
                <w:rFonts w:cstheme="minorHAnsi"/>
                <w:sz w:val="22"/>
                <w:szCs w:val="22"/>
              </w:rPr>
            </w:pPr>
            <w:r w:rsidRPr="00C131CF">
              <w:rPr>
                <w:rFonts w:cstheme="minorHAnsi"/>
                <w:sz w:val="22"/>
                <w:szCs w:val="22"/>
              </w:rPr>
              <w:t xml:space="preserve">No published protocol or trial register. Hence, no information available whether analyses were conducted </w:t>
            </w:r>
            <w:r w:rsidRPr="00C131CF">
              <w:rPr>
                <w:rFonts w:cstheme="minorHAnsi"/>
                <w:bCs/>
                <w:sz w:val="22"/>
                <w:szCs w:val="22"/>
              </w:rPr>
              <w:t xml:space="preserve">in accordance with a pre-specified analysis plan that was finalized before </w:t>
            </w:r>
            <w:proofErr w:type="spellStart"/>
            <w:r w:rsidRPr="00C131CF">
              <w:rPr>
                <w:rFonts w:cstheme="minorHAnsi"/>
                <w:bCs/>
                <w:sz w:val="22"/>
                <w:szCs w:val="22"/>
              </w:rPr>
              <w:t>unblinded</w:t>
            </w:r>
            <w:proofErr w:type="spellEnd"/>
            <w:r w:rsidRPr="00C131CF">
              <w:rPr>
                <w:rFonts w:cstheme="minorHAnsi"/>
                <w:bCs/>
                <w:sz w:val="22"/>
                <w:szCs w:val="22"/>
              </w:rPr>
              <w:t xml:space="preserve"> outcome data were available for analysis</w:t>
            </w:r>
            <w:r w:rsidRPr="00C131CF">
              <w:rPr>
                <w:rFonts w:cstheme="minorHAnsi"/>
                <w:b/>
                <w:bCs/>
                <w:sz w:val="22"/>
                <w:szCs w:val="22"/>
              </w:rPr>
              <w:t xml:space="preserve">. </w:t>
            </w:r>
          </w:p>
        </w:tc>
      </w:tr>
      <w:tr w:rsidR="00891A41" w:rsidRPr="0040424F" w14:paraId="65FFF3C5" w14:textId="77777777" w:rsidTr="00C131CF">
        <w:tc>
          <w:tcPr>
            <w:tcW w:w="1555" w:type="dxa"/>
            <w:vMerge w:val="restart"/>
          </w:tcPr>
          <w:p w14:paraId="3A7CFFFD" w14:textId="77777777" w:rsidR="00891A41" w:rsidRPr="0040424F" w:rsidRDefault="00891A41" w:rsidP="00C131CF">
            <w:pPr>
              <w:rPr>
                <w:rFonts w:cstheme="minorHAnsi"/>
                <w:sz w:val="22"/>
                <w:szCs w:val="22"/>
              </w:rPr>
            </w:pPr>
            <w:proofErr w:type="spellStart"/>
            <w:r w:rsidRPr="0040424F">
              <w:rPr>
                <w:rFonts w:cstheme="minorHAnsi"/>
                <w:sz w:val="22"/>
                <w:szCs w:val="22"/>
              </w:rPr>
              <w:t>Stulemeijer</w:t>
            </w:r>
            <w:proofErr w:type="spellEnd"/>
            <w:r w:rsidRPr="0040424F">
              <w:rPr>
                <w:rFonts w:cstheme="minorHAnsi"/>
                <w:sz w:val="22"/>
                <w:szCs w:val="22"/>
              </w:rPr>
              <w:t xml:space="preserve"> et al. (2005) </w:t>
            </w:r>
          </w:p>
        </w:tc>
        <w:tc>
          <w:tcPr>
            <w:tcW w:w="1058" w:type="dxa"/>
          </w:tcPr>
          <w:p w14:paraId="6875719D" w14:textId="77777777" w:rsidR="00891A41" w:rsidRPr="0040424F" w:rsidRDefault="00891A41" w:rsidP="00C131CF">
            <w:pPr>
              <w:rPr>
                <w:rFonts w:cstheme="minorHAnsi"/>
                <w:sz w:val="22"/>
                <w:szCs w:val="22"/>
              </w:rPr>
            </w:pPr>
            <w:r w:rsidRPr="0040424F">
              <w:rPr>
                <w:rFonts w:cstheme="minorHAnsi"/>
                <w:sz w:val="22"/>
                <w:szCs w:val="22"/>
              </w:rPr>
              <w:t>3</w:t>
            </w:r>
          </w:p>
        </w:tc>
        <w:tc>
          <w:tcPr>
            <w:tcW w:w="6880" w:type="dxa"/>
          </w:tcPr>
          <w:p w14:paraId="7C9472AB" w14:textId="0EBCE7EF" w:rsidR="00891A41" w:rsidRPr="00C131CF" w:rsidRDefault="00891A41" w:rsidP="00C131CF">
            <w:pPr>
              <w:rPr>
                <w:rFonts w:cstheme="minorHAnsi"/>
                <w:sz w:val="22"/>
                <w:szCs w:val="22"/>
              </w:rPr>
            </w:pPr>
            <w:r w:rsidRPr="00C131CF">
              <w:rPr>
                <w:rFonts w:cstheme="minorHAnsi"/>
                <w:sz w:val="22"/>
                <w:szCs w:val="22"/>
              </w:rPr>
              <w:t>Data are missing for a relatively large number of participants (&gt; 5%), with more missing’s in the CBT group than in the control group; carried forward last observations in cases of missing data.</w:t>
            </w:r>
          </w:p>
        </w:tc>
      </w:tr>
      <w:tr w:rsidR="00891A41" w:rsidRPr="0040424F" w14:paraId="61DF87CC" w14:textId="77777777" w:rsidTr="00C131CF">
        <w:tc>
          <w:tcPr>
            <w:tcW w:w="1555" w:type="dxa"/>
            <w:vMerge/>
          </w:tcPr>
          <w:p w14:paraId="2737AAE7" w14:textId="77777777" w:rsidR="00891A41" w:rsidRPr="0040424F" w:rsidRDefault="00891A41" w:rsidP="00C131CF">
            <w:pPr>
              <w:rPr>
                <w:rFonts w:cstheme="minorHAnsi"/>
                <w:sz w:val="22"/>
                <w:szCs w:val="22"/>
              </w:rPr>
            </w:pPr>
          </w:p>
        </w:tc>
        <w:tc>
          <w:tcPr>
            <w:tcW w:w="1058" w:type="dxa"/>
          </w:tcPr>
          <w:p w14:paraId="1DA42DB2" w14:textId="77777777" w:rsidR="00891A41" w:rsidRPr="0040424F" w:rsidRDefault="00891A41" w:rsidP="00C131CF">
            <w:pPr>
              <w:rPr>
                <w:rFonts w:cstheme="minorHAnsi"/>
                <w:sz w:val="22"/>
                <w:szCs w:val="22"/>
              </w:rPr>
            </w:pPr>
            <w:r w:rsidRPr="0040424F">
              <w:rPr>
                <w:rFonts w:cstheme="minorHAnsi"/>
                <w:sz w:val="22"/>
                <w:szCs w:val="22"/>
              </w:rPr>
              <w:t>5</w:t>
            </w:r>
          </w:p>
        </w:tc>
        <w:tc>
          <w:tcPr>
            <w:tcW w:w="6880" w:type="dxa"/>
          </w:tcPr>
          <w:p w14:paraId="3E79CDF8" w14:textId="77777777" w:rsidR="00891A41" w:rsidRPr="00C131CF" w:rsidRDefault="00891A41" w:rsidP="00C131CF">
            <w:pPr>
              <w:rPr>
                <w:rFonts w:cstheme="minorHAnsi"/>
                <w:sz w:val="22"/>
                <w:szCs w:val="22"/>
              </w:rPr>
            </w:pPr>
            <w:r w:rsidRPr="00C131CF">
              <w:rPr>
                <w:rFonts w:cstheme="minorHAnsi"/>
                <w:sz w:val="22"/>
                <w:szCs w:val="22"/>
              </w:rPr>
              <w:t xml:space="preserve">No published protocol or trial register. Hence, no information available regarding whether analyses </w:t>
            </w:r>
            <w:proofErr w:type="gramStart"/>
            <w:r w:rsidRPr="00C131CF">
              <w:rPr>
                <w:rFonts w:cstheme="minorHAnsi"/>
                <w:sz w:val="22"/>
                <w:szCs w:val="22"/>
              </w:rPr>
              <w:t>were conducted</w:t>
            </w:r>
            <w:proofErr w:type="gramEnd"/>
            <w:r w:rsidRPr="00C131CF">
              <w:rPr>
                <w:rFonts w:cstheme="minorHAnsi"/>
                <w:sz w:val="22"/>
                <w:szCs w:val="22"/>
              </w:rPr>
              <w:t xml:space="preserve"> </w:t>
            </w:r>
            <w:r w:rsidRPr="00C131CF">
              <w:rPr>
                <w:rFonts w:cstheme="minorHAnsi"/>
                <w:bCs/>
                <w:sz w:val="22"/>
                <w:szCs w:val="22"/>
              </w:rPr>
              <w:t xml:space="preserve">in accordance with a pre-specified analysis plan that was finalized before </w:t>
            </w:r>
            <w:proofErr w:type="spellStart"/>
            <w:r w:rsidRPr="00C131CF">
              <w:rPr>
                <w:rFonts w:cstheme="minorHAnsi"/>
                <w:bCs/>
                <w:sz w:val="22"/>
                <w:szCs w:val="22"/>
              </w:rPr>
              <w:t>unblinded</w:t>
            </w:r>
            <w:proofErr w:type="spellEnd"/>
            <w:r w:rsidRPr="00C131CF">
              <w:rPr>
                <w:rFonts w:cstheme="minorHAnsi"/>
                <w:bCs/>
                <w:sz w:val="22"/>
                <w:szCs w:val="22"/>
              </w:rPr>
              <w:t xml:space="preserve"> outcome data were available for analysis.</w:t>
            </w:r>
          </w:p>
        </w:tc>
      </w:tr>
      <w:tr w:rsidR="00891A41" w:rsidRPr="0040424F" w14:paraId="31877353" w14:textId="77777777" w:rsidTr="00C131CF">
        <w:tc>
          <w:tcPr>
            <w:tcW w:w="1555" w:type="dxa"/>
          </w:tcPr>
          <w:p w14:paraId="57697BBE" w14:textId="77777777" w:rsidR="00891A41" w:rsidRPr="0040424F" w:rsidRDefault="00891A41" w:rsidP="00C131CF">
            <w:pPr>
              <w:rPr>
                <w:rFonts w:cstheme="minorHAnsi"/>
                <w:sz w:val="22"/>
                <w:szCs w:val="22"/>
              </w:rPr>
            </w:pPr>
            <w:proofErr w:type="spellStart"/>
            <w:r w:rsidRPr="0040424F">
              <w:rPr>
                <w:rFonts w:cstheme="minorHAnsi"/>
                <w:sz w:val="22"/>
                <w:szCs w:val="22"/>
              </w:rPr>
              <w:t>Tummers</w:t>
            </w:r>
            <w:proofErr w:type="spellEnd"/>
            <w:r w:rsidRPr="0040424F">
              <w:rPr>
                <w:rFonts w:cstheme="minorHAnsi"/>
                <w:sz w:val="22"/>
                <w:szCs w:val="22"/>
              </w:rPr>
              <w:t xml:space="preserve"> et</w:t>
            </w:r>
            <w:r>
              <w:rPr>
                <w:rFonts w:cstheme="minorHAnsi"/>
                <w:sz w:val="22"/>
                <w:szCs w:val="22"/>
              </w:rPr>
              <w:t xml:space="preserve"> </w:t>
            </w:r>
            <w:r w:rsidRPr="0040424F">
              <w:rPr>
                <w:rFonts w:cstheme="minorHAnsi"/>
                <w:sz w:val="22"/>
                <w:szCs w:val="22"/>
              </w:rPr>
              <w:t xml:space="preserve">al. (2012) </w:t>
            </w:r>
          </w:p>
        </w:tc>
        <w:tc>
          <w:tcPr>
            <w:tcW w:w="1058" w:type="dxa"/>
          </w:tcPr>
          <w:p w14:paraId="04BD11AD" w14:textId="77777777" w:rsidR="00891A41" w:rsidRPr="0040424F" w:rsidRDefault="00891A41" w:rsidP="00C131CF">
            <w:pPr>
              <w:rPr>
                <w:rFonts w:cstheme="minorHAnsi"/>
                <w:sz w:val="22"/>
                <w:szCs w:val="22"/>
              </w:rPr>
            </w:pPr>
            <w:r w:rsidRPr="0040424F">
              <w:rPr>
                <w:rFonts w:cstheme="minorHAnsi"/>
                <w:sz w:val="22"/>
                <w:szCs w:val="22"/>
              </w:rPr>
              <w:t>3</w:t>
            </w:r>
          </w:p>
        </w:tc>
        <w:tc>
          <w:tcPr>
            <w:tcW w:w="6880" w:type="dxa"/>
          </w:tcPr>
          <w:p w14:paraId="645BD1AB" w14:textId="77777777" w:rsidR="00891A41" w:rsidRPr="00C131CF" w:rsidRDefault="00891A41" w:rsidP="00C131CF">
            <w:pPr>
              <w:rPr>
                <w:rFonts w:cstheme="minorHAnsi"/>
                <w:sz w:val="22"/>
                <w:szCs w:val="22"/>
              </w:rPr>
            </w:pPr>
            <w:r w:rsidRPr="00C131CF">
              <w:rPr>
                <w:rFonts w:cstheme="minorHAnsi"/>
                <w:sz w:val="22"/>
                <w:szCs w:val="22"/>
              </w:rPr>
              <w:t>Data are missing for a relatively large number of participants (&gt; 5%), with more missing’s in the CBT group than in the control group; carried forward last observations in cases of missing data.</w:t>
            </w:r>
          </w:p>
        </w:tc>
      </w:tr>
      <w:tr w:rsidR="00891A41" w:rsidRPr="0040424F" w14:paraId="39B7276B" w14:textId="77777777" w:rsidTr="00C131CF">
        <w:tc>
          <w:tcPr>
            <w:tcW w:w="1555" w:type="dxa"/>
          </w:tcPr>
          <w:p w14:paraId="346007B4" w14:textId="77DBB161" w:rsidR="00891A41" w:rsidRPr="0040424F" w:rsidRDefault="00891A41" w:rsidP="00C131CF">
            <w:pPr>
              <w:rPr>
                <w:rFonts w:cstheme="minorHAnsi"/>
                <w:sz w:val="22"/>
                <w:szCs w:val="22"/>
              </w:rPr>
            </w:pPr>
            <w:r w:rsidRPr="0040424F">
              <w:rPr>
                <w:rFonts w:cstheme="minorHAnsi"/>
                <w:sz w:val="22"/>
                <w:szCs w:val="22"/>
              </w:rPr>
              <w:t xml:space="preserve">All studies </w:t>
            </w:r>
          </w:p>
        </w:tc>
        <w:tc>
          <w:tcPr>
            <w:tcW w:w="1058" w:type="dxa"/>
          </w:tcPr>
          <w:p w14:paraId="631441FB" w14:textId="77777777" w:rsidR="00891A41" w:rsidRPr="0040424F" w:rsidRDefault="00891A41" w:rsidP="00C131CF">
            <w:pPr>
              <w:rPr>
                <w:rFonts w:cstheme="minorHAnsi"/>
                <w:sz w:val="22"/>
                <w:szCs w:val="22"/>
              </w:rPr>
            </w:pPr>
            <w:r w:rsidRPr="0040424F">
              <w:rPr>
                <w:rFonts w:cstheme="minorHAnsi"/>
                <w:sz w:val="22"/>
                <w:szCs w:val="22"/>
              </w:rPr>
              <w:t>4</w:t>
            </w:r>
          </w:p>
        </w:tc>
        <w:tc>
          <w:tcPr>
            <w:tcW w:w="6880" w:type="dxa"/>
          </w:tcPr>
          <w:p w14:paraId="1B341FDD" w14:textId="77777777" w:rsidR="00891A41" w:rsidRPr="0040424F" w:rsidRDefault="00891A41" w:rsidP="00C131CF">
            <w:pPr>
              <w:rPr>
                <w:rFonts w:cstheme="minorHAnsi"/>
                <w:sz w:val="22"/>
                <w:szCs w:val="22"/>
              </w:rPr>
            </w:pPr>
            <w:r w:rsidRPr="0040424F">
              <w:rPr>
                <w:rFonts w:cstheme="minorHAnsi"/>
                <w:sz w:val="22"/>
                <w:szCs w:val="22"/>
              </w:rPr>
              <w:t xml:space="preserve">The outcome was a participant-reported measure; i.e. the outcome assessors were aware of the intervention received. </w:t>
            </w:r>
          </w:p>
        </w:tc>
      </w:tr>
    </w:tbl>
    <w:p w14:paraId="42700E4F" w14:textId="77777777" w:rsidR="00891A41" w:rsidRPr="0040424F" w:rsidRDefault="00891A41" w:rsidP="00C131CF">
      <w:pPr>
        <w:spacing w:line="360" w:lineRule="auto"/>
        <w:rPr>
          <w:rFonts w:cstheme="minorHAnsi"/>
          <w:sz w:val="22"/>
          <w:szCs w:val="22"/>
        </w:rPr>
      </w:pPr>
    </w:p>
    <w:p w14:paraId="5FE1CFC1" w14:textId="77777777" w:rsidR="00891A41" w:rsidRPr="0040424F" w:rsidRDefault="00891A41" w:rsidP="00C131CF">
      <w:pPr>
        <w:spacing w:after="160" w:line="259" w:lineRule="auto"/>
        <w:rPr>
          <w:rFonts w:cstheme="minorHAnsi"/>
          <w:b/>
          <w:sz w:val="22"/>
          <w:szCs w:val="22"/>
        </w:rPr>
      </w:pPr>
      <w:r w:rsidRPr="0040424F">
        <w:rPr>
          <w:rFonts w:cstheme="minorHAnsi"/>
          <w:b/>
          <w:sz w:val="22"/>
          <w:szCs w:val="22"/>
        </w:rPr>
        <w:br w:type="page"/>
      </w:r>
    </w:p>
    <w:p w14:paraId="74EBFDE5" w14:textId="77777777" w:rsidR="00891A41" w:rsidRPr="0040424F" w:rsidRDefault="00891A41" w:rsidP="00C131CF">
      <w:pPr>
        <w:spacing w:line="360" w:lineRule="auto"/>
        <w:rPr>
          <w:rFonts w:cstheme="minorHAnsi"/>
          <w:b/>
          <w:sz w:val="22"/>
          <w:szCs w:val="22"/>
          <w:shd w:val="clear" w:color="auto" w:fill="FFFFFF"/>
        </w:rPr>
      </w:pPr>
    </w:p>
    <w:p w14:paraId="1C7831C8" w14:textId="77777777" w:rsidR="00891A41" w:rsidRPr="0040424F" w:rsidRDefault="00891A41" w:rsidP="00C131CF">
      <w:pPr>
        <w:spacing w:line="360" w:lineRule="auto"/>
        <w:rPr>
          <w:rFonts w:cstheme="minorHAnsi"/>
          <w:b/>
          <w:sz w:val="22"/>
          <w:szCs w:val="22"/>
          <w:shd w:val="clear" w:color="auto" w:fill="FFFFFF"/>
        </w:rPr>
      </w:pPr>
      <w:r w:rsidRPr="0040424F">
        <w:rPr>
          <w:rFonts w:cstheme="minorHAnsi"/>
          <w:b/>
          <w:sz w:val="22"/>
          <w:szCs w:val="22"/>
          <w:shd w:val="clear" w:color="auto" w:fill="FFFFFF"/>
        </w:rPr>
        <w:t>Sensitivity analyses</w:t>
      </w:r>
    </w:p>
    <w:p w14:paraId="4A1A753C" w14:textId="360285FC" w:rsidR="00891A41" w:rsidRPr="0040424F" w:rsidRDefault="00891A41" w:rsidP="00C131CF">
      <w:pPr>
        <w:spacing w:line="360" w:lineRule="auto"/>
        <w:rPr>
          <w:rFonts w:cstheme="minorHAnsi"/>
          <w:sz w:val="22"/>
          <w:szCs w:val="22"/>
        </w:rPr>
      </w:pPr>
      <w:r w:rsidRPr="0040424F">
        <w:rPr>
          <w:rFonts w:cstheme="minorHAnsi"/>
          <w:sz w:val="22"/>
          <w:szCs w:val="22"/>
        </w:rPr>
        <w:t xml:space="preserve">For the effect sizes, a sensitivity analysis </w:t>
      </w:r>
      <w:proofErr w:type="gramStart"/>
      <w:r w:rsidRPr="0040424F">
        <w:rPr>
          <w:rFonts w:cstheme="minorHAnsi"/>
          <w:sz w:val="22"/>
          <w:szCs w:val="22"/>
        </w:rPr>
        <w:t>was conducted</w:t>
      </w:r>
      <w:proofErr w:type="gramEnd"/>
      <w:r w:rsidRPr="0040424F">
        <w:rPr>
          <w:rFonts w:cstheme="minorHAnsi"/>
          <w:sz w:val="22"/>
          <w:szCs w:val="22"/>
        </w:rPr>
        <w:t xml:space="preserve"> excluding studies with a high risk of bias. We also conducted a sensitivity analysis including only studies with a waiting list control group (6 out of the 8 studies, excluding the studies of </w:t>
      </w:r>
      <w:proofErr w:type="spellStart"/>
      <w:r w:rsidRPr="0040424F">
        <w:rPr>
          <w:rFonts w:cstheme="minorHAnsi"/>
          <w:sz w:val="22"/>
          <w:szCs w:val="22"/>
        </w:rPr>
        <w:t>Nijhof</w:t>
      </w:r>
      <w:proofErr w:type="spellEnd"/>
      <w:r w:rsidRPr="0040424F">
        <w:rPr>
          <w:rFonts w:cstheme="minorHAnsi"/>
          <w:sz w:val="22"/>
          <w:szCs w:val="22"/>
        </w:rPr>
        <w:t xml:space="preserve"> et al. (2012) and Prins et al. (2001) with care as usual as comparison. </w:t>
      </w:r>
    </w:p>
    <w:p w14:paraId="741065BF" w14:textId="77777777" w:rsidR="00891A41" w:rsidRPr="0040424F" w:rsidRDefault="00891A41" w:rsidP="00C131CF">
      <w:pPr>
        <w:spacing w:line="360" w:lineRule="auto"/>
        <w:rPr>
          <w:rFonts w:cstheme="minorHAnsi"/>
          <w:sz w:val="22"/>
          <w:szCs w:val="22"/>
        </w:rPr>
      </w:pPr>
      <w:r w:rsidRPr="0040424F">
        <w:rPr>
          <w:rFonts w:cstheme="minorHAnsi"/>
          <w:sz w:val="22"/>
          <w:szCs w:val="22"/>
        </w:rPr>
        <w:t xml:space="preserve">In the main analysis, the effect size of CBT vs. control on the CIS-fatigue was 0.84 (Cohen’s d). The effect size of CBT on functional impairment (SIP total score) was 0.63. The effect size of CBT on physical functioning was 0.41. </w:t>
      </w:r>
    </w:p>
    <w:p w14:paraId="341C4041" w14:textId="77777777" w:rsidR="00891A41" w:rsidRPr="0040424F" w:rsidRDefault="00891A41" w:rsidP="00C131CF">
      <w:pPr>
        <w:spacing w:line="360" w:lineRule="auto"/>
        <w:rPr>
          <w:rFonts w:cstheme="minorHAnsi"/>
          <w:sz w:val="22"/>
          <w:szCs w:val="22"/>
        </w:rPr>
      </w:pPr>
      <w:r w:rsidRPr="0040424F">
        <w:rPr>
          <w:rFonts w:cstheme="minorHAnsi"/>
          <w:sz w:val="22"/>
          <w:szCs w:val="22"/>
        </w:rPr>
        <w:t xml:space="preserve">The sensitivity analysis only including studies with “some concerns” with respect to risk of bias showed similar effect sizes as compared to the main analyses (Cohen’s d = 0.88, 0.71 and 0.43, respectively). </w:t>
      </w:r>
    </w:p>
    <w:p w14:paraId="3AD9DECC" w14:textId="77777777" w:rsidR="00891A41" w:rsidRPr="0040424F" w:rsidRDefault="00891A41" w:rsidP="00C131CF">
      <w:pPr>
        <w:spacing w:line="360" w:lineRule="auto"/>
        <w:rPr>
          <w:rFonts w:cstheme="minorHAnsi"/>
          <w:sz w:val="22"/>
          <w:szCs w:val="22"/>
        </w:rPr>
      </w:pPr>
      <w:r w:rsidRPr="0040424F">
        <w:rPr>
          <w:rFonts w:cstheme="minorHAnsi"/>
          <w:sz w:val="22"/>
          <w:szCs w:val="22"/>
        </w:rPr>
        <w:t>The sensitivity analysis excluding studies with a care as usual comparison condition also showed similar effect sizes as compared to the main analyses (Cohen’s d = 0.86, 0.72 and 0.41, respectively).</w:t>
      </w:r>
    </w:p>
    <w:p w14:paraId="53450223" w14:textId="77777777" w:rsidR="00891A41" w:rsidRPr="0040424F" w:rsidRDefault="00891A41" w:rsidP="00C131CF">
      <w:pPr>
        <w:spacing w:line="360" w:lineRule="auto"/>
        <w:rPr>
          <w:rFonts w:cstheme="minorHAnsi"/>
          <w:sz w:val="22"/>
          <w:szCs w:val="22"/>
        </w:rPr>
      </w:pPr>
    </w:p>
    <w:p w14:paraId="196FE43D" w14:textId="77777777" w:rsidR="00891A41" w:rsidRPr="0040424F" w:rsidRDefault="00891A41" w:rsidP="00C131CF">
      <w:pPr>
        <w:spacing w:line="360" w:lineRule="auto"/>
        <w:rPr>
          <w:rFonts w:cstheme="minorHAnsi"/>
          <w:b/>
          <w:sz w:val="22"/>
          <w:szCs w:val="22"/>
        </w:rPr>
      </w:pPr>
      <w:r w:rsidRPr="0040424F">
        <w:rPr>
          <w:rFonts w:cstheme="minorHAnsi"/>
          <w:b/>
          <w:sz w:val="22"/>
          <w:szCs w:val="22"/>
        </w:rPr>
        <w:t>Two-way meta-analysis</w:t>
      </w:r>
    </w:p>
    <w:p w14:paraId="7493C4BC" w14:textId="77777777" w:rsidR="00891A41" w:rsidRPr="0040424F" w:rsidRDefault="00891A41" w:rsidP="00C131CF">
      <w:pPr>
        <w:spacing w:line="360" w:lineRule="auto"/>
        <w:rPr>
          <w:rFonts w:cstheme="minorHAnsi"/>
          <w:color w:val="000000"/>
          <w:sz w:val="22"/>
          <w:szCs w:val="22"/>
        </w:rPr>
      </w:pPr>
      <w:r w:rsidRPr="0040424F">
        <w:rPr>
          <w:rFonts w:cstheme="minorHAnsi"/>
          <w:sz w:val="22"/>
          <w:szCs w:val="22"/>
        </w:rPr>
        <w:t xml:space="preserve">A two-way meta-analysis </w:t>
      </w:r>
      <w:proofErr w:type="gramStart"/>
      <w:r w:rsidRPr="0040424F">
        <w:rPr>
          <w:rFonts w:cstheme="minorHAnsi"/>
          <w:sz w:val="22"/>
          <w:szCs w:val="22"/>
        </w:rPr>
        <w:t>was conducted</w:t>
      </w:r>
      <w:proofErr w:type="gramEnd"/>
      <w:r w:rsidRPr="0040424F">
        <w:rPr>
          <w:rFonts w:cstheme="minorHAnsi"/>
          <w:sz w:val="22"/>
          <w:szCs w:val="22"/>
        </w:rPr>
        <w:t xml:space="preserve"> as a sensitivity analysis to check the robustness of the model of the effects of CBT on fatigue severity, functional impairment and physical functioning. Intervention effects on the outcomes </w:t>
      </w:r>
      <w:proofErr w:type="gramStart"/>
      <w:r w:rsidRPr="0040424F">
        <w:rPr>
          <w:rFonts w:cstheme="minorHAnsi"/>
          <w:sz w:val="22"/>
          <w:szCs w:val="22"/>
        </w:rPr>
        <w:t>were calculated</w:t>
      </w:r>
      <w:proofErr w:type="gramEnd"/>
      <w:r w:rsidRPr="0040424F">
        <w:rPr>
          <w:rFonts w:cstheme="minorHAnsi"/>
          <w:sz w:val="22"/>
          <w:szCs w:val="22"/>
        </w:rPr>
        <w:t xml:space="preserve"> per individual RCT, by subtracting the average post-intervention value of the outcome of the control group from that of the intervention group, and dividing the result by the pooled standard deviation. Effect sizes </w:t>
      </w:r>
      <w:proofErr w:type="gramStart"/>
      <w:r w:rsidRPr="0040424F">
        <w:rPr>
          <w:rFonts w:cstheme="minorHAnsi"/>
          <w:sz w:val="22"/>
          <w:szCs w:val="22"/>
        </w:rPr>
        <w:t>were pooled</w:t>
      </w:r>
      <w:proofErr w:type="gramEnd"/>
      <w:r w:rsidRPr="0040424F">
        <w:rPr>
          <w:rFonts w:cstheme="minorHAnsi"/>
          <w:sz w:val="22"/>
          <w:szCs w:val="22"/>
        </w:rPr>
        <w:t xml:space="preserve"> with a random effects model. T</w:t>
      </w:r>
      <w:r w:rsidRPr="0040424F">
        <w:rPr>
          <w:rFonts w:cstheme="minorHAnsi"/>
          <w:color w:val="000000"/>
          <w:sz w:val="22"/>
          <w:szCs w:val="22"/>
        </w:rPr>
        <w:t xml:space="preserve">he percentage of total variance that </w:t>
      </w:r>
      <w:proofErr w:type="gramStart"/>
      <w:r w:rsidRPr="0040424F">
        <w:rPr>
          <w:rFonts w:cstheme="minorHAnsi"/>
          <w:color w:val="000000"/>
          <w:sz w:val="22"/>
          <w:szCs w:val="22"/>
        </w:rPr>
        <w:t>can be explained</w:t>
      </w:r>
      <w:proofErr w:type="gramEnd"/>
      <w:r w:rsidRPr="0040424F">
        <w:rPr>
          <w:rFonts w:cstheme="minorHAnsi"/>
          <w:color w:val="000000"/>
          <w:sz w:val="22"/>
          <w:szCs w:val="22"/>
        </w:rPr>
        <w:t xml:space="preserve"> by heterogeneity (I</w:t>
      </w:r>
      <w:r w:rsidRPr="0040424F">
        <w:rPr>
          <w:rFonts w:cstheme="minorHAnsi"/>
          <w:color w:val="000000"/>
          <w:sz w:val="22"/>
          <w:szCs w:val="22"/>
          <w:vertAlign w:val="superscript"/>
        </w:rPr>
        <w:t>2</w:t>
      </w:r>
      <w:r w:rsidRPr="0040424F">
        <w:rPr>
          <w:rFonts w:cstheme="minorHAnsi"/>
          <w:color w:val="000000"/>
          <w:sz w:val="22"/>
          <w:szCs w:val="22"/>
        </w:rPr>
        <w:t xml:space="preserve">) was calculated, 25% is considered low, 50% moderate, and 75% high heterogeneity. </w:t>
      </w:r>
    </w:p>
    <w:p w14:paraId="63EF5290" w14:textId="77777777" w:rsidR="00891A41" w:rsidRPr="0040424F" w:rsidRDefault="00891A41" w:rsidP="00C131CF">
      <w:pPr>
        <w:spacing w:line="360" w:lineRule="auto"/>
        <w:rPr>
          <w:rFonts w:cstheme="minorHAnsi"/>
          <w:sz w:val="22"/>
          <w:szCs w:val="22"/>
        </w:rPr>
      </w:pPr>
      <w:r w:rsidRPr="0040424F">
        <w:rPr>
          <w:rFonts w:cstheme="minorHAnsi"/>
          <w:sz w:val="22"/>
          <w:szCs w:val="22"/>
        </w:rPr>
        <w:t>In the two-way meta-analysis, the overall effect size on fatigue severity was 0.92, on functional impairment 0.67 and on physical functioning 0.42. Outcomes showed moderate heterogeneity for fatigue severity (I</w:t>
      </w:r>
      <w:r w:rsidRPr="0040424F">
        <w:rPr>
          <w:rFonts w:cstheme="minorHAnsi"/>
          <w:sz w:val="22"/>
          <w:szCs w:val="22"/>
          <w:vertAlign w:val="superscript"/>
        </w:rPr>
        <w:t>2</w:t>
      </w:r>
      <w:r w:rsidRPr="0040424F">
        <w:rPr>
          <w:rFonts w:cstheme="minorHAnsi"/>
          <w:sz w:val="22"/>
          <w:szCs w:val="22"/>
        </w:rPr>
        <w:t xml:space="preserve"> = 71%), functional impairment (I</w:t>
      </w:r>
      <w:r w:rsidRPr="0040424F">
        <w:rPr>
          <w:rFonts w:cstheme="minorHAnsi"/>
          <w:sz w:val="22"/>
          <w:szCs w:val="22"/>
          <w:vertAlign w:val="superscript"/>
        </w:rPr>
        <w:t>2</w:t>
      </w:r>
      <w:r w:rsidRPr="0040424F">
        <w:rPr>
          <w:rFonts w:cstheme="minorHAnsi"/>
          <w:sz w:val="22"/>
          <w:szCs w:val="22"/>
        </w:rPr>
        <w:t xml:space="preserve"> = 68%) and physical functioning (I</w:t>
      </w:r>
      <w:r w:rsidRPr="0040424F">
        <w:rPr>
          <w:rFonts w:cstheme="minorHAnsi"/>
          <w:sz w:val="22"/>
          <w:szCs w:val="22"/>
          <w:vertAlign w:val="superscript"/>
        </w:rPr>
        <w:t>2</w:t>
      </w:r>
      <w:r w:rsidRPr="0040424F">
        <w:rPr>
          <w:rFonts w:cstheme="minorHAnsi"/>
          <w:sz w:val="22"/>
          <w:szCs w:val="22"/>
        </w:rPr>
        <w:t xml:space="preserve"> = 63%).</w:t>
      </w:r>
    </w:p>
    <w:p w14:paraId="6F3F384C" w14:textId="77777777" w:rsidR="00891A41" w:rsidRPr="0040424F" w:rsidRDefault="00891A41">
      <w:pPr>
        <w:spacing w:after="160" w:line="259" w:lineRule="auto"/>
        <w:rPr>
          <w:rFonts w:cstheme="minorHAnsi"/>
          <w:sz w:val="22"/>
          <w:szCs w:val="22"/>
        </w:rPr>
      </w:pPr>
      <w:r w:rsidRPr="0040424F">
        <w:rPr>
          <w:rFonts w:cstheme="minorHAnsi"/>
          <w:sz w:val="22"/>
          <w:szCs w:val="22"/>
        </w:rPr>
        <w:br w:type="page"/>
      </w:r>
    </w:p>
    <w:p w14:paraId="675FC194" w14:textId="77777777" w:rsidR="00891A41" w:rsidRPr="0040424F" w:rsidRDefault="00891A41" w:rsidP="00C131CF">
      <w:pPr>
        <w:spacing w:line="360" w:lineRule="auto"/>
        <w:rPr>
          <w:rFonts w:cstheme="minorHAnsi"/>
          <w:b/>
          <w:sz w:val="22"/>
          <w:szCs w:val="22"/>
        </w:rPr>
      </w:pPr>
      <w:r w:rsidRPr="0040424F">
        <w:rPr>
          <w:rFonts w:cstheme="minorHAnsi"/>
          <w:b/>
          <w:sz w:val="22"/>
          <w:szCs w:val="22"/>
        </w:rPr>
        <w:lastRenderedPageBreak/>
        <w:t xml:space="preserve">Figure A4: Forest plots of the two-way meta-analysis on outcomes fatigue severity, functional impairment and physical functioning. </w:t>
      </w:r>
    </w:p>
    <w:p w14:paraId="5F924246" w14:textId="77777777" w:rsidR="00891A41" w:rsidRPr="0040424F" w:rsidRDefault="00891A41" w:rsidP="00C131CF">
      <w:pPr>
        <w:spacing w:line="360" w:lineRule="auto"/>
        <w:rPr>
          <w:rFonts w:cstheme="minorHAnsi"/>
          <w:i/>
          <w:sz w:val="22"/>
          <w:szCs w:val="22"/>
          <w:shd w:val="clear" w:color="auto" w:fill="FFFFFF"/>
        </w:rPr>
      </w:pPr>
    </w:p>
    <w:p w14:paraId="09056CC5" w14:textId="77777777" w:rsidR="00891A41" w:rsidRPr="0040424F" w:rsidRDefault="00891A41" w:rsidP="00C131CF">
      <w:pPr>
        <w:spacing w:line="360" w:lineRule="auto"/>
        <w:rPr>
          <w:rFonts w:cstheme="minorHAnsi"/>
          <w:sz w:val="22"/>
          <w:szCs w:val="22"/>
          <w:shd w:val="clear" w:color="auto" w:fill="FFFFFF"/>
        </w:rPr>
      </w:pPr>
      <w:r>
        <w:rPr>
          <w:rFonts w:cstheme="minorHAnsi"/>
          <w:noProof/>
          <w:sz w:val="22"/>
          <w:szCs w:val="22"/>
          <w:shd w:val="clear" w:color="auto" w:fill="FFFFFF"/>
          <w:lang w:val="nl-NL" w:eastAsia="nl-NL"/>
        </w:rPr>
        <w:drawing>
          <wp:inline distT="0" distB="0" distL="0" distR="0" wp14:anchorId="4C64CAFA" wp14:editId="51CBC29E">
            <wp:extent cx="5760720" cy="23920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CI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392045"/>
                    </a:xfrm>
                    <a:prstGeom prst="rect">
                      <a:avLst/>
                    </a:prstGeom>
                  </pic:spPr>
                </pic:pic>
              </a:graphicData>
            </a:graphic>
          </wp:inline>
        </w:drawing>
      </w:r>
    </w:p>
    <w:p w14:paraId="302A8647" w14:textId="77777777" w:rsidR="00891A41" w:rsidRPr="0040424F" w:rsidRDefault="00891A41" w:rsidP="00C131CF">
      <w:pPr>
        <w:spacing w:line="360" w:lineRule="auto"/>
        <w:rPr>
          <w:rFonts w:cstheme="minorHAnsi"/>
          <w:sz w:val="22"/>
          <w:szCs w:val="22"/>
          <w:shd w:val="clear" w:color="auto" w:fill="FFFFFF"/>
        </w:rPr>
      </w:pPr>
      <w:r>
        <w:rPr>
          <w:rFonts w:cstheme="minorHAnsi"/>
          <w:noProof/>
          <w:sz w:val="22"/>
          <w:szCs w:val="22"/>
          <w:shd w:val="clear" w:color="auto" w:fill="FFFFFF"/>
          <w:lang w:val="nl-NL" w:eastAsia="nl-NL"/>
        </w:rPr>
        <w:drawing>
          <wp:inline distT="0" distB="0" distL="0" distR="0" wp14:anchorId="10F61386" wp14:editId="4B57B347">
            <wp:extent cx="5760720" cy="21253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plotSIP.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125345"/>
                    </a:xfrm>
                    <a:prstGeom prst="rect">
                      <a:avLst/>
                    </a:prstGeom>
                  </pic:spPr>
                </pic:pic>
              </a:graphicData>
            </a:graphic>
          </wp:inline>
        </w:drawing>
      </w:r>
    </w:p>
    <w:p w14:paraId="6A6E1AEC" w14:textId="77777777" w:rsidR="00891A41" w:rsidRPr="0040424F" w:rsidRDefault="00891A41" w:rsidP="00C131CF">
      <w:pPr>
        <w:spacing w:line="360" w:lineRule="auto"/>
        <w:rPr>
          <w:rFonts w:cstheme="minorHAnsi"/>
          <w:sz w:val="22"/>
          <w:szCs w:val="22"/>
          <w:shd w:val="clear" w:color="auto" w:fill="FFFFFF"/>
        </w:rPr>
      </w:pPr>
      <w:r>
        <w:rPr>
          <w:rFonts w:cstheme="minorHAnsi"/>
          <w:noProof/>
          <w:sz w:val="22"/>
          <w:szCs w:val="22"/>
          <w:shd w:val="clear" w:color="auto" w:fill="FFFFFF"/>
          <w:lang w:val="nl-NL" w:eastAsia="nl-NL"/>
        </w:rPr>
        <w:drawing>
          <wp:inline distT="0" distB="0" distL="0" distR="0" wp14:anchorId="7E857C16" wp14:editId="61F65B44">
            <wp:extent cx="5760720" cy="2296160"/>
            <wp:effectExtent l="0" t="0" r="0"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plotRAND.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296160"/>
                    </a:xfrm>
                    <a:prstGeom prst="rect">
                      <a:avLst/>
                    </a:prstGeom>
                  </pic:spPr>
                </pic:pic>
              </a:graphicData>
            </a:graphic>
          </wp:inline>
        </w:drawing>
      </w:r>
    </w:p>
    <w:p w14:paraId="1D0BB45E" w14:textId="77777777" w:rsidR="00891A41" w:rsidRDefault="00891A41">
      <w:pPr>
        <w:spacing w:after="160" w:line="259" w:lineRule="auto"/>
        <w:rPr>
          <w:rFonts w:cstheme="minorHAnsi"/>
          <w:b/>
          <w:color w:val="000000" w:themeColor="text1"/>
          <w:sz w:val="22"/>
          <w:szCs w:val="22"/>
        </w:rPr>
      </w:pPr>
      <w:r w:rsidRPr="0040424F">
        <w:rPr>
          <w:rFonts w:cstheme="minorHAnsi"/>
          <w:b/>
          <w:color w:val="000000" w:themeColor="text1"/>
          <w:sz w:val="22"/>
          <w:szCs w:val="22"/>
        </w:rPr>
        <w:br w:type="page"/>
      </w:r>
    </w:p>
    <w:p w14:paraId="65132B73" w14:textId="77777777" w:rsidR="00891A41" w:rsidRPr="00CE57ED" w:rsidRDefault="00891A41" w:rsidP="00C131CF">
      <w:pPr>
        <w:spacing w:after="120" w:line="360" w:lineRule="auto"/>
        <w:rPr>
          <w:rFonts w:cs="Calibri"/>
          <w:b/>
          <w:sz w:val="22"/>
          <w:szCs w:val="22"/>
        </w:rPr>
      </w:pPr>
      <w:r w:rsidRPr="00CE57ED">
        <w:rPr>
          <w:rFonts w:cs="Calibri"/>
          <w:b/>
          <w:sz w:val="22"/>
          <w:szCs w:val="22"/>
        </w:rPr>
        <w:lastRenderedPageBreak/>
        <w:t>Subgroup analyses PEM and NICE/SEID criteria</w:t>
      </w:r>
    </w:p>
    <w:p w14:paraId="2B76C88D" w14:textId="6000F503" w:rsidR="00891A41" w:rsidRPr="00216A68" w:rsidRDefault="00891A41" w:rsidP="00C131CF">
      <w:pPr>
        <w:spacing w:after="120" w:line="276" w:lineRule="auto"/>
        <w:rPr>
          <w:rFonts w:cs="Calibri"/>
          <w:b/>
          <w:sz w:val="22"/>
          <w:szCs w:val="22"/>
        </w:rPr>
      </w:pPr>
      <w:r w:rsidRPr="00216A68">
        <w:rPr>
          <w:rFonts w:cstheme="minorHAnsi"/>
          <w:sz w:val="22"/>
          <w:szCs w:val="22"/>
          <w:lang w:val="en-US"/>
        </w:rPr>
        <w:t>To rule out that clinically relevant differences in outcomes between patients with and without PEM, and meeting and not meeting NICE</w:t>
      </w:r>
      <w:r w:rsidRPr="00C131CF">
        <w:rPr>
          <w:rFonts w:cstheme="minorHAnsi"/>
          <w:sz w:val="22"/>
          <w:szCs w:val="22"/>
          <w:lang w:val="en-US"/>
        </w:rPr>
        <w:t>/SEID criteria exist without</w:t>
      </w:r>
      <w:r w:rsidRPr="00216A68">
        <w:rPr>
          <w:rFonts w:cstheme="minorHAnsi"/>
          <w:sz w:val="22"/>
          <w:szCs w:val="22"/>
          <w:lang w:val="en-US"/>
        </w:rPr>
        <w:t xml:space="preserve"> being statistically significant because of insufficient power, we conducted sensitivity analyses comparing the treatment response of patients with and without PEM, and patients meeting and not meeting NICE/SEID criteria.</w:t>
      </w:r>
    </w:p>
    <w:p w14:paraId="06F880AC" w14:textId="77777777" w:rsidR="00891A41" w:rsidRDefault="00891A41" w:rsidP="00C131CF">
      <w:pPr>
        <w:spacing w:after="120" w:line="360" w:lineRule="auto"/>
        <w:rPr>
          <w:rFonts w:cs="Calibri"/>
          <w:b/>
        </w:rPr>
      </w:pPr>
    </w:p>
    <w:p w14:paraId="066D09D9" w14:textId="77777777" w:rsidR="00891A41" w:rsidRPr="008029D8" w:rsidRDefault="00891A41" w:rsidP="00C131CF">
      <w:pPr>
        <w:spacing w:after="120" w:line="360" w:lineRule="auto"/>
        <w:rPr>
          <w:rFonts w:cs="Calibri"/>
          <w:b/>
        </w:rPr>
      </w:pPr>
      <w:r w:rsidRPr="008029D8">
        <w:rPr>
          <w:rFonts w:cs="Calibri"/>
          <w:b/>
        </w:rPr>
        <w:t>Effect of CBT vs. control</w:t>
      </w:r>
      <w:r>
        <w:rPr>
          <w:rFonts w:cs="Calibri"/>
          <w:b/>
        </w:rPr>
        <w:t xml:space="preserve"> in subgroups</w:t>
      </w:r>
    </w:p>
    <w:tbl>
      <w:tblPr>
        <w:tblStyle w:val="Tabelraster2"/>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707"/>
        <w:gridCol w:w="2978"/>
      </w:tblGrid>
      <w:tr w:rsidR="00891A41" w:rsidRPr="008029D8" w14:paraId="257CA90F" w14:textId="77777777" w:rsidTr="00C131CF">
        <w:tc>
          <w:tcPr>
            <w:tcW w:w="1985" w:type="dxa"/>
            <w:tcBorders>
              <w:top w:val="single" w:sz="4" w:space="0" w:color="auto"/>
              <w:left w:val="nil"/>
              <w:bottom w:val="single" w:sz="4" w:space="0" w:color="auto"/>
              <w:right w:val="nil"/>
            </w:tcBorders>
            <w:hideMark/>
          </w:tcPr>
          <w:p w14:paraId="201F88A0" w14:textId="77777777" w:rsidR="00891A41" w:rsidRPr="008029D8" w:rsidRDefault="00891A41" w:rsidP="00C131CF">
            <w:pPr>
              <w:spacing w:line="360" w:lineRule="auto"/>
              <w:rPr>
                <w:rFonts w:cs="Calibri"/>
                <w:b/>
                <w:sz w:val="18"/>
                <w:szCs w:val="18"/>
              </w:rPr>
            </w:pPr>
          </w:p>
          <w:p w14:paraId="74C91DD7" w14:textId="77777777" w:rsidR="00891A41" w:rsidRPr="008029D8" w:rsidRDefault="00891A41" w:rsidP="00C131CF">
            <w:pPr>
              <w:spacing w:line="360" w:lineRule="auto"/>
              <w:rPr>
                <w:rFonts w:cs="Calibri"/>
                <w:b/>
                <w:sz w:val="18"/>
                <w:szCs w:val="18"/>
              </w:rPr>
            </w:pPr>
            <w:r w:rsidRPr="008029D8">
              <w:rPr>
                <w:rFonts w:cs="Calibri"/>
                <w:b/>
                <w:sz w:val="18"/>
                <w:szCs w:val="18"/>
              </w:rPr>
              <w:t xml:space="preserve">Outcome </w:t>
            </w:r>
          </w:p>
        </w:tc>
        <w:tc>
          <w:tcPr>
            <w:tcW w:w="1701" w:type="dxa"/>
            <w:tcBorders>
              <w:top w:val="single" w:sz="4" w:space="0" w:color="auto"/>
              <w:left w:val="nil"/>
              <w:bottom w:val="single" w:sz="4" w:space="0" w:color="auto"/>
              <w:right w:val="nil"/>
            </w:tcBorders>
          </w:tcPr>
          <w:p w14:paraId="628AB864" w14:textId="77777777" w:rsidR="00891A41" w:rsidRDefault="00891A41" w:rsidP="00C131CF">
            <w:pPr>
              <w:spacing w:line="360" w:lineRule="auto"/>
              <w:rPr>
                <w:rFonts w:cs="Calibri"/>
                <w:b/>
                <w:sz w:val="18"/>
                <w:szCs w:val="18"/>
              </w:rPr>
            </w:pPr>
          </w:p>
          <w:p w14:paraId="7ED0B4C2" w14:textId="77777777" w:rsidR="00891A41" w:rsidRPr="008029D8" w:rsidRDefault="00891A41" w:rsidP="00C131CF">
            <w:pPr>
              <w:spacing w:line="360" w:lineRule="auto"/>
              <w:rPr>
                <w:rFonts w:cs="Calibri"/>
                <w:b/>
                <w:sz w:val="18"/>
                <w:szCs w:val="18"/>
              </w:rPr>
            </w:pPr>
            <w:r>
              <w:rPr>
                <w:rFonts w:cs="Calibri"/>
                <w:b/>
                <w:sz w:val="18"/>
                <w:szCs w:val="18"/>
              </w:rPr>
              <w:t>Group</w:t>
            </w:r>
          </w:p>
        </w:tc>
        <w:tc>
          <w:tcPr>
            <w:tcW w:w="707" w:type="dxa"/>
            <w:tcBorders>
              <w:top w:val="single" w:sz="4" w:space="0" w:color="auto"/>
              <w:left w:val="nil"/>
              <w:bottom w:val="single" w:sz="4" w:space="0" w:color="auto"/>
              <w:right w:val="nil"/>
            </w:tcBorders>
          </w:tcPr>
          <w:p w14:paraId="27B36DEA" w14:textId="77777777" w:rsidR="00891A41" w:rsidRPr="008029D8" w:rsidRDefault="00891A41" w:rsidP="00C131CF">
            <w:pPr>
              <w:spacing w:line="360" w:lineRule="auto"/>
              <w:rPr>
                <w:rFonts w:cs="Calibri"/>
                <w:b/>
                <w:sz w:val="18"/>
                <w:szCs w:val="18"/>
              </w:rPr>
            </w:pPr>
          </w:p>
          <w:p w14:paraId="298C722A" w14:textId="77777777" w:rsidR="00891A41" w:rsidRPr="008029D8" w:rsidRDefault="00891A41" w:rsidP="00C131CF">
            <w:pPr>
              <w:spacing w:line="360" w:lineRule="auto"/>
              <w:rPr>
                <w:rFonts w:cs="Calibri"/>
                <w:b/>
                <w:sz w:val="18"/>
                <w:szCs w:val="18"/>
              </w:rPr>
            </w:pPr>
            <w:r w:rsidRPr="008029D8">
              <w:rPr>
                <w:rFonts w:cs="Calibri"/>
                <w:b/>
                <w:sz w:val="18"/>
                <w:szCs w:val="18"/>
              </w:rPr>
              <w:t>N</w:t>
            </w:r>
          </w:p>
        </w:tc>
        <w:tc>
          <w:tcPr>
            <w:tcW w:w="2978" w:type="dxa"/>
            <w:tcBorders>
              <w:top w:val="single" w:sz="4" w:space="0" w:color="auto"/>
              <w:left w:val="nil"/>
              <w:bottom w:val="single" w:sz="4" w:space="0" w:color="auto"/>
              <w:right w:val="nil"/>
            </w:tcBorders>
          </w:tcPr>
          <w:p w14:paraId="0C048C07" w14:textId="77777777" w:rsidR="00891A41" w:rsidRPr="008029D8" w:rsidRDefault="00891A41" w:rsidP="00C131CF">
            <w:pPr>
              <w:spacing w:after="120"/>
              <w:rPr>
                <w:rFonts w:cs="Calibri"/>
                <w:sz w:val="18"/>
                <w:szCs w:val="18"/>
              </w:rPr>
            </w:pPr>
            <w:r w:rsidRPr="008029D8">
              <w:rPr>
                <w:rFonts w:cs="Calibri"/>
                <w:b/>
                <w:sz w:val="18"/>
                <w:szCs w:val="18"/>
              </w:rPr>
              <w:t>Mean difference (95% CI) between CBT and control</w:t>
            </w:r>
            <w:r>
              <w:rPr>
                <w:rFonts w:cs="Calibri"/>
                <w:b/>
                <w:sz w:val="18"/>
                <w:szCs w:val="18"/>
              </w:rPr>
              <w:t xml:space="preserve"> post CBT</w:t>
            </w:r>
          </w:p>
        </w:tc>
      </w:tr>
      <w:tr w:rsidR="00891A41" w:rsidRPr="0090579A" w14:paraId="1A338B6F" w14:textId="77777777" w:rsidTr="00C131CF">
        <w:tc>
          <w:tcPr>
            <w:tcW w:w="1985" w:type="dxa"/>
            <w:hideMark/>
          </w:tcPr>
          <w:p w14:paraId="3A6E66FC" w14:textId="77777777" w:rsidR="00891A41" w:rsidRPr="0090579A" w:rsidRDefault="00891A41" w:rsidP="00C131CF">
            <w:pPr>
              <w:spacing w:line="360" w:lineRule="auto"/>
              <w:rPr>
                <w:rFonts w:cs="Calibri"/>
                <w:sz w:val="18"/>
                <w:szCs w:val="18"/>
              </w:rPr>
            </w:pPr>
            <w:r w:rsidRPr="0090579A">
              <w:rPr>
                <w:rFonts w:cs="Calibri"/>
                <w:sz w:val="18"/>
                <w:szCs w:val="18"/>
              </w:rPr>
              <w:t xml:space="preserve">Fatigue severity </w:t>
            </w:r>
          </w:p>
        </w:tc>
        <w:tc>
          <w:tcPr>
            <w:tcW w:w="1701" w:type="dxa"/>
          </w:tcPr>
          <w:p w14:paraId="3871B6C7" w14:textId="77777777" w:rsidR="00891A41" w:rsidRPr="0090579A" w:rsidRDefault="00891A41" w:rsidP="00C131CF">
            <w:pPr>
              <w:spacing w:line="360" w:lineRule="auto"/>
              <w:rPr>
                <w:rFonts w:cs="Calibri"/>
                <w:sz w:val="18"/>
                <w:szCs w:val="18"/>
              </w:rPr>
            </w:pPr>
            <w:r w:rsidRPr="0090579A">
              <w:rPr>
                <w:rFonts w:cs="Calibri"/>
                <w:sz w:val="18"/>
                <w:szCs w:val="18"/>
              </w:rPr>
              <w:t xml:space="preserve">No PEM </w:t>
            </w:r>
          </w:p>
        </w:tc>
        <w:tc>
          <w:tcPr>
            <w:tcW w:w="707" w:type="dxa"/>
          </w:tcPr>
          <w:p w14:paraId="7D7DB2FA" w14:textId="77777777" w:rsidR="00891A41" w:rsidRPr="0090579A" w:rsidRDefault="00891A41" w:rsidP="00C131CF">
            <w:pPr>
              <w:spacing w:line="360" w:lineRule="auto"/>
              <w:rPr>
                <w:rFonts w:cs="Calibri"/>
                <w:sz w:val="18"/>
                <w:szCs w:val="18"/>
              </w:rPr>
            </w:pPr>
            <w:r w:rsidRPr="0090579A">
              <w:rPr>
                <w:rFonts w:cs="Calibri"/>
                <w:sz w:val="18"/>
                <w:szCs w:val="18"/>
              </w:rPr>
              <w:t>153</w:t>
            </w:r>
          </w:p>
        </w:tc>
        <w:tc>
          <w:tcPr>
            <w:tcW w:w="2978" w:type="dxa"/>
          </w:tcPr>
          <w:p w14:paraId="5A4813FC" w14:textId="77777777" w:rsidR="00891A41" w:rsidRPr="0090579A" w:rsidRDefault="00891A41" w:rsidP="00C131CF">
            <w:pPr>
              <w:spacing w:line="360" w:lineRule="auto"/>
              <w:rPr>
                <w:rFonts w:cs="Calibri"/>
                <w:sz w:val="18"/>
                <w:szCs w:val="18"/>
              </w:rPr>
            </w:pPr>
            <w:r>
              <w:rPr>
                <w:rFonts w:cs="Calibri"/>
                <w:sz w:val="18"/>
                <w:szCs w:val="18"/>
              </w:rPr>
              <w:t>-10.81 (-16.55 to</w:t>
            </w:r>
            <w:r w:rsidRPr="0090579A">
              <w:rPr>
                <w:rFonts w:cs="Calibri"/>
                <w:sz w:val="18"/>
                <w:szCs w:val="18"/>
              </w:rPr>
              <w:t xml:space="preserve"> -5.07)</w:t>
            </w:r>
          </w:p>
        </w:tc>
      </w:tr>
      <w:tr w:rsidR="00891A41" w:rsidRPr="0090579A" w14:paraId="281CC9DD" w14:textId="77777777" w:rsidTr="00C131CF">
        <w:tc>
          <w:tcPr>
            <w:tcW w:w="1985" w:type="dxa"/>
          </w:tcPr>
          <w:p w14:paraId="4678CF7B" w14:textId="77777777" w:rsidR="00891A41" w:rsidRPr="0090579A" w:rsidRDefault="00891A41" w:rsidP="00C131CF">
            <w:pPr>
              <w:spacing w:line="360" w:lineRule="auto"/>
              <w:rPr>
                <w:rFonts w:cs="Calibri"/>
                <w:sz w:val="18"/>
                <w:szCs w:val="18"/>
              </w:rPr>
            </w:pPr>
          </w:p>
        </w:tc>
        <w:tc>
          <w:tcPr>
            <w:tcW w:w="1701" w:type="dxa"/>
          </w:tcPr>
          <w:p w14:paraId="23BC7754" w14:textId="77777777" w:rsidR="00891A41" w:rsidRPr="0090579A" w:rsidRDefault="00891A41" w:rsidP="00C131CF">
            <w:pPr>
              <w:spacing w:line="360" w:lineRule="auto"/>
              <w:rPr>
                <w:rFonts w:cs="Calibri"/>
                <w:sz w:val="18"/>
                <w:szCs w:val="18"/>
              </w:rPr>
            </w:pPr>
            <w:r w:rsidRPr="0090579A">
              <w:rPr>
                <w:rFonts w:cs="Calibri"/>
                <w:sz w:val="18"/>
                <w:szCs w:val="18"/>
              </w:rPr>
              <w:t>PEM</w:t>
            </w:r>
          </w:p>
        </w:tc>
        <w:tc>
          <w:tcPr>
            <w:tcW w:w="707" w:type="dxa"/>
          </w:tcPr>
          <w:p w14:paraId="103A9C99" w14:textId="77777777" w:rsidR="00891A41" w:rsidRPr="0090579A" w:rsidRDefault="00891A41" w:rsidP="00C131CF">
            <w:pPr>
              <w:spacing w:line="360" w:lineRule="auto"/>
              <w:rPr>
                <w:rFonts w:cs="Calibri"/>
                <w:sz w:val="18"/>
                <w:szCs w:val="18"/>
              </w:rPr>
            </w:pPr>
            <w:r w:rsidRPr="0090579A">
              <w:rPr>
                <w:rFonts w:cs="Calibri"/>
                <w:sz w:val="18"/>
                <w:szCs w:val="18"/>
              </w:rPr>
              <w:t>903</w:t>
            </w:r>
          </w:p>
        </w:tc>
        <w:tc>
          <w:tcPr>
            <w:tcW w:w="2978" w:type="dxa"/>
          </w:tcPr>
          <w:p w14:paraId="33964D35" w14:textId="77777777" w:rsidR="00891A41" w:rsidRPr="0090579A" w:rsidRDefault="00891A41" w:rsidP="00C131CF">
            <w:pPr>
              <w:spacing w:line="360" w:lineRule="auto"/>
              <w:rPr>
                <w:rFonts w:cs="Calibri"/>
                <w:sz w:val="18"/>
                <w:szCs w:val="18"/>
              </w:rPr>
            </w:pPr>
            <w:r>
              <w:rPr>
                <w:rFonts w:cs="Calibri"/>
                <w:sz w:val="18"/>
                <w:szCs w:val="18"/>
              </w:rPr>
              <w:t>-10.62 (-14.06 to</w:t>
            </w:r>
            <w:r w:rsidRPr="0090579A">
              <w:rPr>
                <w:rFonts w:cs="Calibri"/>
                <w:sz w:val="18"/>
                <w:szCs w:val="18"/>
              </w:rPr>
              <w:t xml:space="preserve"> -7.19)</w:t>
            </w:r>
          </w:p>
        </w:tc>
      </w:tr>
      <w:tr w:rsidR="00891A41" w:rsidRPr="0090579A" w14:paraId="239E29CE" w14:textId="77777777" w:rsidTr="00C131CF">
        <w:tc>
          <w:tcPr>
            <w:tcW w:w="1985" w:type="dxa"/>
          </w:tcPr>
          <w:p w14:paraId="7378F46E" w14:textId="77777777" w:rsidR="00891A41" w:rsidRPr="0090579A" w:rsidRDefault="00891A41" w:rsidP="00C131CF">
            <w:pPr>
              <w:spacing w:line="360" w:lineRule="auto"/>
              <w:rPr>
                <w:rFonts w:cs="Calibri"/>
                <w:sz w:val="18"/>
                <w:szCs w:val="18"/>
              </w:rPr>
            </w:pPr>
            <w:r w:rsidRPr="0090579A">
              <w:rPr>
                <w:rFonts w:cs="Calibri"/>
                <w:sz w:val="18"/>
                <w:szCs w:val="18"/>
              </w:rPr>
              <w:t xml:space="preserve">Functional impairment </w:t>
            </w:r>
          </w:p>
        </w:tc>
        <w:tc>
          <w:tcPr>
            <w:tcW w:w="1701" w:type="dxa"/>
          </w:tcPr>
          <w:p w14:paraId="0246154E" w14:textId="77777777" w:rsidR="00891A41" w:rsidRPr="0090579A" w:rsidRDefault="00891A41" w:rsidP="00C131CF">
            <w:pPr>
              <w:spacing w:line="360" w:lineRule="auto"/>
              <w:rPr>
                <w:rFonts w:cs="Calibri"/>
                <w:sz w:val="18"/>
                <w:szCs w:val="18"/>
              </w:rPr>
            </w:pPr>
            <w:r w:rsidRPr="0090579A">
              <w:rPr>
                <w:rFonts w:cs="Calibri"/>
                <w:sz w:val="18"/>
                <w:szCs w:val="18"/>
              </w:rPr>
              <w:t xml:space="preserve">No PEM </w:t>
            </w:r>
          </w:p>
        </w:tc>
        <w:tc>
          <w:tcPr>
            <w:tcW w:w="707" w:type="dxa"/>
          </w:tcPr>
          <w:p w14:paraId="55ABEFD5" w14:textId="77777777" w:rsidR="00891A41" w:rsidRPr="0090579A" w:rsidRDefault="00891A41" w:rsidP="00C131CF">
            <w:pPr>
              <w:spacing w:line="360" w:lineRule="auto"/>
              <w:rPr>
                <w:rFonts w:cs="Calibri"/>
                <w:sz w:val="18"/>
                <w:szCs w:val="18"/>
              </w:rPr>
            </w:pPr>
            <w:r w:rsidRPr="0090579A">
              <w:rPr>
                <w:rFonts w:cs="Calibri"/>
                <w:sz w:val="18"/>
                <w:szCs w:val="18"/>
              </w:rPr>
              <w:t>124</w:t>
            </w:r>
          </w:p>
        </w:tc>
        <w:tc>
          <w:tcPr>
            <w:tcW w:w="2978" w:type="dxa"/>
          </w:tcPr>
          <w:p w14:paraId="401C9573" w14:textId="77777777" w:rsidR="00891A41" w:rsidRPr="0090579A" w:rsidRDefault="00891A41" w:rsidP="00C131CF">
            <w:pPr>
              <w:spacing w:line="360" w:lineRule="auto"/>
              <w:rPr>
                <w:rFonts w:cs="Calibri"/>
                <w:sz w:val="18"/>
                <w:szCs w:val="18"/>
              </w:rPr>
            </w:pPr>
            <w:r>
              <w:rPr>
                <w:rFonts w:cs="Calibri"/>
                <w:sz w:val="18"/>
                <w:szCs w:val="18"/>
              </w:rPr>
              <w:t>-500.75 (-711.96 to</w:t>
            </w:r>
            <w:r w:rsidRPr="0090579A">
              <w:rPr>
                <w:rFonts w:cs="Calibri"/>
                <w:sz w:val="18"/>
                <w:szCs w:val="18"/>
              </w:rPr>
              <w:t xml:space="preserve"> -289.55)</w:t>
            </w:r>
          </w:p>
        </w:tc>
      </w:tr>
      <w:tr w:rsidR="00891A41" w:rsidRPr="0090579A" w14:paraId="6805DC46" w14:textId="77777777" w:rsidTr="00C131CF">
        <w:tc>
          <w:tcPr>
            <w:tcW w:w="1985" w:type="dxa"/>
          </w:tcPr>
          <w:p w14:paraId="05B69330" w14:textId="77777777" w:rsidR="00891A41" w:rsidRPr="0090579A" w:rsidRDefault="00891A41" w:rsidP="00C131CF">
            <w:pPr>
              <w:spacing w:line="360" w:lineRule="auto"/>
              <w:rPr>
                <w:rFonts w:cs="Calibri"/>
                <w:sz w:val="18"/>
                <w:szCs w:val="18"/>
              </w:rPr>
            </w:pPr>
          </w:p>
        </w:tc>
        <w:tc>
          <w:tcPr>
            <w:tcW w:w="1701" w:type="dxa"/>
          </w:tcPr>
          <w:p w14:paraId="483959A0" w14:textId="77777777" w:rsidR="00891A41" w:rsidRPr="0090579A" w:rsidRDefault="00891A41" w:rsidP="00C131CF">
            <w:pPr>
              <w:spacing w:line="360" w:lineRule="auto"/>
              <w:rPr>
                <w:rFonts w:cs="Calibri"/>
                <w:sz w:val="18"/>
                <w:szCs w:val="18"/>
              </w:rPr>
            </w:pPr>
            <w:r w:rsidRPr="0090579A">
              <w:rPr>
                <w:rFonts w:cs="Calibri"/>
                <w:sz w:val="18"/>
                <w:szCs w:val="18"/>
              </w:rPr>
              <w:t>PEM</w:t>
            </w:r>
          </w:p>
        </w:tc>
        <w:tc>
          <w:tcPr>
            <w:tcW w:w="707" w:type="dxa"/>
          </w:tcPr>
          <w:p w14:paraId="5B302A03" w14:textId="77777777" w:rsidR="00891A41" w:rsidRPr="0090579A" w:rsidRDefault="00891A41" w:rsidP="00C131CF">
            <w:pPr>
              <w:spacing w:line="360" w:lineRule="auto"/>
              <w:rPr>
                <w:rFonts w:cs="Calibri"/>
                <w:sz w:val="18"/>
                <w:szCs w:val="18"/>
              </w:rPr>
            </w:pPr>
            <w:r w:rsidRPr="0090579A">
              <w:rPr>
                <w:rFonts w:cs="Calibri"/>
                <w:sz w:val="18"/>
                <w:szCs w:val="18"/>
              </w:rPr>
              <w:t>752</w:t>
            </w:r>
          </w:p>
        </w:tc>
        <w:tc>
          <w:tcPr>
            <w:tcW w:w="2978" w:type="dxa"/>
          </w:tcPr>
          <w:p w14:paraId="61C89B97" w14:textId="77777777" w:rsidR="00891A41" w:rsidRPr="0090579A" w:rsidRDefault="00891A41" w:rsidP="00C131CF">
            <w:pPr>
              <w:spacing w:line="360" w:lineRule="auto"/>
              <w:rPr>
                <w:rFonts w:cs="Calibri"/>
                <w:sz w:val="18"/>
                <w:szCs w:val="18"/>
              </w:rPr>
            </w:pPr>
            <w:r>
              <w:rPr>
                <w:rFonts w:cs="Calibri"/>
                <w:sz w:val="18"/>
                <w:szCs w:val="18"/>
              </w:rPr>
              <w:t>-437.23 (-610.74 to</w:t>
            </w:r>
            <w:r w:rsidRPr="0090579A">
              <w:rPr>
                <w:rFonts w:cs="Calibri"/>
                <w:sz w:val="18"/>
                <w:szCs w:val="18"/>
              </w:rPr>
              <w:t xml:space="preserve"> -263.73)</w:t>
            </w:r>
          </w:p>
        </w:tc>
      </w:tr>
      <w:tr w:rsidR="00891A41" w:rsidRPr="0090579A" w14:paraId="56E33797" w14:textId="77777777" w:rsidTr="00C131CF">
        <w:tc>
          <w:tcPr>
            <w:tcW w:w="1985" w:type="dxa"/>
          </w:tcPr>
          <w:p w14:paraId="43E06343" w14:textId="77777777" w:rsidR="00891A41" w:rsidRPr="0090579A" w:rsidRDefault="00891A41" w:rsidP="00C131CF">
            <w:pPr>
              <w:spacing w:line="360" w:lineRule="auto"/>
              <w:rPr>
                <w:rFonts w:cs="Calibri"/>
                <w:sz w:val="18"/>
                <w:szCs w:val="18"/>
              </w:rPr>
            </w:pPr>
            <w:r w:rsidRPr="0090579A">
              <w:rPr>
                <w:rFonts w:cs="Calibri"/>
                <w:sz w:val="18"/>
                <w:szCs w:val="18"/>
              </w:rPr>
              <w:t xml:space="preserve">Physical functioning </w:t>
            </w:r>
          </w:p>
        </w:tc>
        <w:tc>
          <w:tcPr>
            <w:tcW w:w="1701" w:type="dxa"/>
          </w:tcPr>
          <w:p w14:paraId="124CE885" w14:textId="77777777" w:rsidR="00891A41" w:rsidRPr="0090579A" w:rsidRDefault="00891A41" w:rsidP="00C131CF">
            <w:pPr>
              <w:spacing w:line="360" w:lineRule="auto"/>
              <w:rPr>
                <w:rFonts w:cs="Calibri"/>
                <w:sz w:val="18"/>
                <w:szCs w:val="18"/>
              </w:rPr>
            </w:pPr>
            <w:r w:rsidRPr="0090579A">
              <w:rPr>
                <w:rFonts w:cs="Calibri"/>
                <w:sz w:val="18"/>
                <w:szCs w:val="18"/>
              </w:rPr>
              <w:t>No PEM</w:t>
            </w:r>
          </w:p>
        </w:tc>
        <w:tc>
          <w:tcPr>
            <w:tcW w:w="707" w:type="dxa"/>
          </w:tcPr>
          <w:p w14:paraId="2B80EE5D" w14:textId="77777777" w:rsidR="00891A41" w:rsidRPr="0090579A" w:rsidRDefault="00891A41" w:rsidP="00C131CF">
            <w:pPr>
              <w:spacing w:line="360" w:lineRule="auto"/>
              <w:rPr>
                <w:rFonts w:cs="Calibri"/>
                <w:sz w:val="18"/>
                <w:szCs w:val="18"/>
              </w:rPr>
            </w:pPr>
            <w:r w:rsidRPr="0090579A">
              <w:rPr>
                <w:rFonts w:cs="Calibri"/>
                <w:sz w:val="18"/>
                <w:szCs w:val="18"/>
              </w:rPr>
              <w:t>137</w:t>
            </w:r>
          </w:p>
        </w:tc>
        <w:tc>
          <w:tcPr>
            <w:tcW w:w="2978" w:type="dxa"/>
          </w:tcPr>
          <w:p w14:paraId="0C453A88" w14:textId="77777777" w:rsidR="00891A41" w:rsidRPr="0090579A" w:rsidRDefault="00891A41" w:rsidP="00C131CF">
            <w:pPr>
              <w:spacing w:line="360" w:lineRule="auto"/>
              <w:rPr>
                <w:rFonts w:cs="Calibri"/>
                <w:sz w:val="18"/>
                <w:szCs w:val="18"/>
              </w:rPr>
            </w:pPr>
            <w:r>
              <w:rPr>
                <w:rFonts w:cs="Calibri"/>
                <w:sz w:val="18"/>
                <w:szCs w:val="18"/>
              </w:rPr>
              <w:t>5.72 (-5.57 to</w:t>
            </w:r>
            <w:r w:rsidRPr="0090579A">
              <w:rPr>
                <w:rFonts w:cs="Calibri"/>
                <w:sz w:val="18"/>
                <w:szCs w:val="18"/>
              </w:rPr>
              <w:t xml:space="preserve"> 17.02)</w:t>
            </w:r>
          </w:p>
        </w:tc>
      </w:tr>
      <w:tr w:rsidR="00891A41" w:rsidRPr="0090579A" w14:paraId="7EE5345E" w14:textId="77777777" w:rsidTr="00C131CF">
        <w:tc>
          <w:tcPr>
            <w:tcW w:w="1985" w:type="dxa"/>
            <w:tcBorders>
              <w:bottom w:val="single" w:sz="4" w:space="0" w:color="auto"/>
            </w:tcBorders>
          </w:tcPr>
          <w:p w14:paraId="65D880EF" w14:textId="77777777" w:rsidR="00891A41" w:rsidRPr="0090579A" w:rsidRDefault="00891A41" w:rsidP="00C131CF">
            <w:pPr>
              <w:spacing w:line="360" w:lineRule="auto"/>
              <w:rPr>
                <w:rFonts w:cs="Calibri"/>
                <w:sz w:val="18"/>
                <w:szCs w:val="18"/>
              </w:rPr>
            </w:pPr>
          </w:p>
        </w:tc>
        <w:tc>
          <w:tcPr>
            <w:tcW w:w="1701" w:type="dxa"/>
            <w:tcBorders>
              <w:bottom w:val="single" w:sz="4" w:space="0" w:color="auto"/>
            </w:tcBorders>
          </w:tcPr>
          <w:p w14:paraId="3DD72BF0" w14:textId="77777777" w:rsidR="00891A41" w:rsidRPr="0090579A" w:rsidRDefault="00891A41" w:rsidP="00C131CF">
            <w:pPr>
              <w:spacing w:line="360" w:lineRule="auto"/>
              <w:rPr>
                <w:rFonts w:cs="Calibri"/>
                <w:sz w:val="18"/>
                <w:szCs w:val="18"/>
              </w:rPr>
            </w:pPr>
            <w:r w:rsidRPr="0090579A">
              <w:rPr>
                <w:rFonts w:cs="Calibri"/>
                <w:sz w:val="18"/>
                <w:szCs w:val="18"/>
              </w:rPr>
              <w:t>PEM</w:t>
            </w:r>
          </w:p>
        </w:tc>
        <w:tc>
          <w:tcPr>
            <w:tcW w:w="707" w:type="dxa"/>
            <w:tcBorders>
              <w:bottom w:val="single" w:sz="4" w:space="0" w:color="auto"/>
            </w:tcBorders>
          </w:tcPr>
          <w:p w14:paraId="02BD6B3C" w14:textId="77777777" w:rsidR="00891A41" w:rsidRPr="0090579A" w:rsidRDefault="00891A41" w:rsidP="00C131CF">
            <w:pPr>
              <w:spacing w:line="360" w:lineRule="auto"/>
              <w:rPr>
                <w:rFonts w:cs="Calibri"/>
                <w:sz w:val="18"/>
                <w:szCs w:val="18"/>
              </w:rPr>
            </w:pPr>
            <w:r w:rsidRPr="0090579A">
              <w:rPr>
                <w:rFonts w:cs="Calibri"/>
                <w:sz w:val="18"/>
                <w:szCs w:val="18"/>
              </w:rPr>
              <w:t>673</w:t>
            </w:r>
          </w:p>
        </w:tc>
        <w:tc>
          <w:tcPr>
            <w:tcW w:w="2978" w:type="dxa"/>
            <w:tcBorders>
              <w:bottom w:val="single" w:sz="4" w:space="0" w:color="auto"/>
            </w:tcBorders>
          </w:tcPr>
          <w:p w14:paraId="37C7967E" w14:textId="77777777" w:rsidR="00891A41" w:rsidRPr="0090579A" w:rsidRDefault="00891A41" w:rsidP="00C131CF">
            <w:pPr>
              <w:spacing w:line="360" w:lineRule="auto"/>
              <w:rPr>
                <w:rFonts w:cs="Calibri"/>
                <w:sz w:val="18"/>
                <w:szCs w:val="18"/>
              </w:rPr>
            </w:pPr>
            <w:r>
              <w:rPr>
                <w:rFonts w:cs="Calibri"/>
                <w:sz w:val="18"/>
                <w:szCs w:val="18"/>
              </w:rPr>
              <w:t>10.06 (4.39 to</w:t>
            </w:r>
            <w:r w:rsidRPr="0090579A">
              <w:rPr>
                <w:rFonts w:cs="Calibri"/>
                <w:sz w:val="18"/>
                <w:szCs w:val="18"/>
              </w:rPr>
              <w:t xml:space="preserve"> 15.74)</w:t>
            </w:r>
          </w:p>
        </w:tc>
      </w:tr>
    </w:tbl>
    <w:p w14:paraId="3A16EDC3" w14:textId="77777777" w:rsidR="00891A41" w:rsidRPr="0090579A" w:rsidRDefault="00891A41">
      <w:pPr>
        <w:spacing w:after="160" w:line="259" w:lineRule="auto"/>
        <w:rPr>
          <w:rFonts w:cstheme="minorHAnsi"/>
          <w:b/>
          <w:color w:val="000000" w:themeColor="text1"/>
          <w:sz w:val="22"/>
          <w:szCs w:val="22"/>
        </w:rPr>
      </w:pPr>
    </w:p>
    <w:tbl>
      <w:tblPr>
        <w:tblStyle w:val="Tabelraster2"/>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707"/>
        <w:gridCol w:w="2978"/>
      </w:tblGrid>
      <w:tr w:rsidR="00891A41" w:rsidRPr="0090579A" w14:paraId="171D05EB" w14:textId="77777777" w:rsidTr="00C131CF">
        <w:tc>
          <w:tcPr>
            <w:tcW w:w="1985" w:type="dxa"/>
            <w:tcBorders>
              <w:top w:val="single" w:sz="4" w:space="0" w:color="auto"/>
              <w:left w:val="nil"/>
              <w:bottom w:val="single" w:sz="4" w:space="0" w:color="auto"/>
              <w:right w:val="nil"/>
            </w:tcBorders>
            <w:hideMark/>
          </w:tcPr>
          <w:p w14:paraId="1CAC362C" w14:textId="77777777" w:rsidR="00891A41" w:rsidRPr="0090579A" w:rsidRDefault="00891A41" w:rsidP="00C131CF">
            <w:pPr>
              <w:spacing w:line="360" w:lineRule="auto"/>
              <w:rPr>
                <w:rFonts w:cs="Calibri"/>
                <w:b/>
                <w:sz w:val="18"/>
                <w:szCs w:val="18"/>
              </w:rPr>
            </w:pPr>
          </w:p>
          <w:p w14:paraId="15A6F1C8" w14:textId="77777777" w:rsidR="00891A41" w:rsidRPr="0090579A" w:rsidRDefault="00891A41" w:rsidP="00C131CF">
            <w:pPr>
              <w:spacing w:line="360" w:lineRule="auto"/>
              <w:rPr>
                <w:rFonts w:cs="Calibri"/>
                <w:b/>
                <w:sz w:val="18"/>
                <w:szCs w:val="18"/>
              </w:rPr>
            </w:pPr>
            <w:r w:rsidRPr="0090579A">
              <w:rPr>
                <w:rFonts w:cs="Calibri"/>
                <w:b/>
                <w:sz w:val="18"/>
                <w:szCs w:val="18"/>
              </w:rPr>
              <w:t xml:space="preserve">Outcome </w:t>
            </w:r>
          </w:p>
        </w:tc>
        <w:tc>
          <w:tcPr>
            <w:tcW w:w="1701" w:type="dxa"/>
            <w:tcBorders>
              <w:top w:val="single" w:sz="4" w:space="0" w:color="auto"/>
              <w:left w:val="nil"/>
              <w:bottom w:val="single" w:sz="4" w:space="0" w:color="auto"/>
              <w:right w:val="nil"/>
            </w:tcBorders>
          </w:tcPr>
          <w:p w14:paraId="4096372F" w14:textId="77777777" w:rsidR="00891A41" w:rsidRPr="0090579A" w:rsidRDefault="00891A41" w:rsidP="00C131CF">
            <w:pPr>
              <w:spacing w:line="360" w:lineRule="auto"/>
              <w:rPr>
                <w:rFonts w:cs="Calibri"/>
                <w:b/>
                <w:sz w:val="18"/>
                <w:szCs w:val="18"/>
              </w:rPr>
            </w:pPr>
          </w:p>
          <w:p w14:paraId="5DCFE262" w14:textId="77777777" w:rsidR="00891A41" w:rsidRPr="0090579A" w:rsidRDefault="00891A41" w:rsidP="00C131CF">
            <w:pPr>
              <w:spacing w:line="360" w:lineRule="auto"/>
              <w:rPr>
                <w:rFonts w:cs="Calibri"/>
                <w:b/>
                <w:sz w:val="18"/>
                <w:szCs w:val="18"/>
              </w:rPr>
            </w:pPr>
            <w:r w:rsidRPr="0090579A">
              <w:rPr>
                <w:rFonts w:cs="Calibri"/>
                <w:b/>
                <w:sz w:val="18"/>
                <w:szCs w:val="18"/>
              </w:rPr>
              <w:t>Group</w:t>
            </w:r>
          </w:p>
        </w:tc>
        <w:tc>
          <w:tcPr>
            <w:tcW w:w="707" w:type="dxa"/>
            <w:tcBorders>
              <w:top w:val="single" w:sz="4" w:space="0" w:color="auto"/>
              <w:left w:val="nil"/>
              <w:bottom w:val="single" w:sz="4" w:space="0" w:color="auto"/>
              <w:right w:val="nil"/>
            </w:tcBorders>
          </w:tcPr>
          <w:p w14:paraId="0B2CC16A" w14:textId="77777777" w:rsidR="00891A41" w:rsidRPr="0090579A" w:rsidRDefault="00891A41" w:rsidP="00C131CF">
            <w:pPr>
              <w:spacing w:line="360" w:lineRule="auto"/>
              <w:rPr>
                <w:rFonts w:cs="Calibri"/>
                <w:b/>
                <w:sz w:val="18"/>
                <w:szCs w:val="18"/>
              </w:rPr>
            </w:pPr>
          </w:p>
          <w:p w14:paraId="4F04C3FE" w14:textId="77777777" w:rsidR="00891A41" w:rsidRPr="0090579A" w:rsidRDefault="00891A41" w:rsidP="00C131CF">
            <w:pPr>
              <w:spacing w:line="360" w:lineRule="auto"/>
              <w:rPr>
                <w:rFonts w:cs="Calibri"/>
                <w:b/>
                <w:sz w:val="18"/>
                <w:szCs w:val="18"/>
              </w:rPr>
            </w:pPr>
            <w:r w:rsidRPr="0090579A">
              <w:rPr>
                <w:rFonts w:cs="Calibri"/>
                <w:b/>
                <w:sz w:val="18"/>
                <w:szCs w:val="18"/>
              </w:rPr>
              <w:t>N</w:t>
            </w:r>
          </w:p>
        </w:tc>
        <w:tc>
          <w:tcPr>
            <w:tcW w:w="2978" w:type="dxa"/>
            <w:tcBorders>
              <w:top w:val="single" w:sz="4" w:space="0" w:color="auto"/>
              <w:left w:val="nil"/>
              <w:bottom w:val="single" w:sz="4" w:space="0" w:color="auto"/>
              <w:right w:val="nil"/>
            </w:tcBorders>
          </w:tcPr>
          <w:p w14:paraId="04DFC1DE" w14:textId="77777777" w:rsidR="00891A41" w:rsidRPr="0090579A" w:rsidRDefault="00891A41" w:rsidP="00C131CF">
            <w:pPr>
              <w:spacing w:after="120"/>
              <w:rPr>
                <w:rFonts w:cs="Calibri"/>
                <w:sz w:val="18"/>
                <w:szCs w:val="18"/>
              </w:rPr>
            </w:pPr>
            <w:r w:rsidRPr="0090579A">
              <w:rPr>
                <w:rFonts w:cs="Calibri"/>
                <w:b/>
                <w:sz w:val="18"/>
                <w:szCs w:val="18"/>
              </w:rPr>
              <w:t>Mean difference (95% CI) between CBT and control</w:t>
            </w:r>
            <w:r>
              <w:rPr>
                <w:rFonts w:cs="Calibri"/>
                <w:b/>
                <w:sz w:val="18"/>
                <w:szCs w:val="18"/>
              </w:rPr>
              <w:t xml:space="preserve"> post CBT</w:t>
            </w:r>
          </w:p>
        </w:tc>
      </w:tr>
      <w:tr w:rsidR="00891A41" w:rsidRPr="0090579A" w14:paraId="3174F5A0" w14:textId="77777777" w:rsidTr="00C131CF">
        <w:tc>
          <w:tcPr>
            <w:tcW w:w="1985" w:type="dxa"/>
            <w:hideMark/>
          </w:tcPr>
          <w:p w14:paraId="4F78B88D" w14:textId="77777777" w:rsidR="00891A41" w:rsidRPr="0090579A" w:rsidRDefault="00891A41" w:rsidP="00C131CF">
            <w:pPr>
              <w:spacing w:line="360" w:lineRule="auto"/>
              <w:rPr>
                <w:rFonts w:cs="Calibri"/>
                <w:sz w:val="18"/>
                <w:szCs w:val="18"/>
              </w:rPr>
            </w:pPr>
            <w:r w:rsidRPr="0090579A">
              <w:rPr>
                <w:rFonts w:cs="Calibri"/>
                <w:sz w:val="18"/>
                <w:szCs w:val="18"/>
              </w:rPr>
              <w:t xml:space="preserve">Fatigue severity </w:t>
            </w:r>
          </w:p>
        </w:tc>
        <w:tc>
          <w:tcPr>
            <w:tcW w:w="1701" w:type="dxa"/>
          </w:tcPr>
          <w:p w14:paraId="654CCB31" w14:textId="77777777" w:rsidR="00891A41" w:rsidRPr="0090579A" w:rsidRDefault="00891A41" w:rsidP="00C131CF">
            <w:pPr>
              <w:spacing w:line="360" w:lineRule="auto"/>
              <w:rPr>
                <w:rFonts w:cs="Calibri"/>
                <w:sz w:val="18"/>
                <w:szCs w:val="18"/>
              </w:rPr>
            </w:pPr>
            <w:r w:rsidRPr="0090579A">
              <w:rPr>
                <w:rFonts w:cs="Calibri"/>
                <w:sz w:val="18"/>
                <w:szCs w:val="18"/>
              </w:rPr>
              <w:t>No NICE / SEID</w:t>
            </w:r>
          </w:p>
        </w:tc>
        <w:tc>
          <w:tcPr>
            <w:tcW w:w="707" w:type="dxa"/>
          </w:tcPr>
          <w:p w14:paraId="4E1C0C10" w14:textId="77777777" w:rsidR="00891A41" w:rsidRPr="0090579A" w:rsidRDefault="00891A41" w:rsidP="00C131CF">
            <w:pPr>
              <w:spacing w:line="360" w:lineRule="auto"/>
              <w:rPr>
                <w:rFonts w:cs="Calibri"/>
                <w:sz w:val="18"/>
                <w:szCs w:val="18"/>
              </w:rPr>
            </w:pPr>
            <w:r w:rsidRPr="0090579A">
              <w:rPr>
                <w:rFonts w:cs="Calibri"/>
                <w:sz w:val="18"/>
                <w:szCs w:val="18"/>
              </w:rPr>
              <w:t>301</w:t>
            </w:r>
          </w:p>
        </w:tc>
        <w:tc>
          <w:tcPr>
            <w:tcW w:w="2978" w:type="dxa"/>
          </w:tcPr>
          <w:p w14:paraId="2507A5EB" w14:textId="77777777" w:rsidR="00891A41" w:rsidRPr="0090579A" w:rsidRDefault="00891A41" w:rsidP="00C131CF">
            <w:pPr>
              <w:spacing w:line="360" w:lineRule="auto"/>
              <w:rPr>
                <w:rFonts w:cs="Calibri"/>
                <w:sz w:val="18"/>
                <w:szCs w:val="18"/>
              </w:rPr>
            </w:pPr>
            <w:r>
              <w:rPr>
                <w:rFonts w:cs="Calibri"/>
                <w:sz w:val="18"/>
                <w:szCs w:val="18"/>
              </w:rPr>
              <w:t>-9.81 (-14.52 to</w:t>
            </w:r>
            <w:r w:rsidRPr="0090579A">
              <w:rPr>
                <w:rFonts w:cs="Calibri"/>
                <w:sz w:val="18"/>
                <w:szCs w:val="18"/>
              </w:rPr>
              <w:t xml:space="preserve"> -5.09)</w:t>
            </w:r>
          </w:p>
        </w:tc>
      </w:tr>
      <w:tr w:rsidR="00891A41" w:rsidRPr="0090579A" w14:paraId="362D2A9B" w14:textId="77777777" w:rsidTr="00C131CF">
        <w:tc>
          <w:tcPr>
            <w:tcW w:w="1985" w:type="dxa"/>
          </w:tcPr>
          <w:p w14:paraId="6EFFB903" w14:textId="77777777" w:rsidR="00891A41" w:rsidRPr="0090579A" w:rsidRDefault="00891A41" w:rsidP="00C131CF">
            <w:pPr>
              <w:spacing w:line="360" w:lineRule="auto"/>
              <w:rPr>
                <w:rFonts w:cs="Calibri"/>
                <w:sz w:val="18"/>
                <w:szCs w:val="18"/>
              </w:rPr>
            </w:pPr>
          </w:p>
        </w:tc>
        <w:tc>
          <w:tcPr>
            <w:tcW w:w="1701" w:type="dxa"/>
          </w:tcPr>
          <w:p w14:paraId="6369A9A4" w14:textId="77777777" w:rsidR="00891A41" w:rsidRPr="0090579A" w:rsidRDefault="00891A41" w:rsidP="00C131CF">
            <w:pPr>
              <w:spacing w:line="360" w:lineRule="auto"/>
              <w:rPr>
                <w:rFonts w:cs="Calibri"/>
                <w:sz w:val="18"/>
                <w:szCs w:val="18"/>
              </w:rPr>
            </w:pPr>
            <w:r w:rsidRPr="0090579A">
              <w:rPr>
                <w:rFonts w:cs="Calibri"/>
                <w:sz w:val="18"/>
                <w:szCs w:val="18"/>
              </w:rPr>
              <w:t>NICE / SEID</w:t>
            </w:r>
          </w:p>
        </w:tc>
        <w:tc>
          <w:tcPr>
            <w:tcW w:w="707" w:type="dxa"/>
          </w:tcPr>
          <w:p w14:paraId="679DD4AA" w14:textId="77777777" w:rsidR="00891A41" w:rsidRPr="0090579A" w:rsidRDefault="00891A41" w:rsidP="00C131CF">
            <w:pPr>
              <w:spacing w:line="360" w:lineRule="auto"/>
              <w:rPr>
                <w:rFonts w:cs="Calibri"/>
                <w:sz w:val="18"/>
                <w:szCs w:val="18"/>
              </w:rPr>
            </w:pPr>
            <w:r w:rsidRPr="0090579A">
              <w:rPr>
                <w:rFonts w:cs="Calibri"/>
                <w:sz w:val="18"/>
                <w:szCs w:val="18"/>
              </w:rPr>
              <w:t>755</w:t>
            </w:r>
          </w:p>
        </w:tc>
        <w:tc>
          <w:tcPr>
            <w:tcW w:w="2978" w:type="dxa"/>
          </w:tcPr>
          <w:p w14:paraId="2CF460AA" w14:textId="77777777" w:rsidR="00891A41" w:rsidRPr="0090579A" w:rsidRDefault="00891A41" w:rsidP="00C131CF">
            <w:pPr>
              <w:spacing w:line="360" w:lineRule="auto"/>
              <w:rPr>
                <w:rFonts w:cs="Calibri"/>
                <w:sz w:val="18"/>
                <w:szCs w:val="18"/>
              </w:rPr>
            </w:pPr>
            <w:r>
              <w:rPr>
                <w:rFonts w:cs="Calibri"/>
                <w:sz w:val="18"/>
                <w:szCs w:val="18"/>
              </w:rPr>
              <w:t>-10.76 (-14.25 to</w:t>
            </w:r>
            <w:r w:rsidRPr="0090579A">
              <w:rPr>
                <w:rFonts w:cs="Calibri"/>
                <w:sz w:val="18"/>
                <w:szCs w:val="18"/>
              </w:rPr>
              <w:t xml:space="preserve"> -7.28)</w:t>
            </w:r>
          </w:p>
        </w:tc>
      </w:tr>
      <w:tr w:rsidR="00891A41" w:rsidRPr="0090579A" w14:paraId="206E22C5" w14:textId="77777777" w:rsidTr="00C131CF">
        <w:tc>
          <w:tcPr>
            <w:tcW w:w="1985" w:type="dxa"/>
          </w:tcPr>
          <w:p w14:paraId="7DC855C5" w14:textId="77777777" w:rsidR="00891A41" w:rsidRPr="0090579A" w:rsidRDefault="00891A41" w:rsidP="00C131CF">
            <w:pPr>
              <w:spacing w:line="360" w:lineRule="auto"/>
              <w:rPr>
                <w:rFonts w:cs="Calibri"/>
                <w:sz w:val="18"/>
                <w:szCs w:val="18"/>
              </w:rPr>
            </w:pPr>
            <w:r w:rsidRPr="0090579A">
              <w:rPr>
                <w:rFonts w:cs="Calibri"/>
                <w:sz w:val="18"/>
                <w:szCs w:val="18"/>
              </w:rPr>
              <w:t xml:space="preserve">Functional impairment </w:t>
            </w:r>
          </w:p>
        </w:tc>
        <w:tc>
          <w:tcPr>
            <w:tcW w:w="1701" w:type="dxa"/>
          </w:tcPr>
          <w:p w14:paraId="098F6220" w14:textId="77777777" w:rsidR="00891A41" w:rsidRPr="0090579A" w:rsidRDefault="00891A41" w:rsidP="00C131CF">
            <w:pPr>
              <w:spacing w:line="360" w:lineRule="auto"/>
              <w:rPr>
                <w:rFonts w:cs="Calibri"/>
                <w:sz w:val="18"/>
                <w:szCs w:val="18"/>
              </w:rPr>
            </w:pPr>
            <w:r w:rsidRPr="0090579A">
              <w:rPr>
                <w:rFonts w:cs="Calibri"/>
                <w:sz w:val="18"/>
                <w:szCs w:val="18"/>
              </w:rPr>
              <w:t>No NICE / SEID</w:t>
            </w:r>
          </w:p>
        </w:tc>
        <w:tc>
          <w:tcPr>
            <w:tcW w:w="707" w:type="dxa"/>
          </w:tcPr>
          <w:p w14:paraId="5CB42D54" w14:textId="77777777" w:rsidR="00891A41" w:rsidRPr="0090579A" w:rsidRDefault="00891A41" w:rsidP="00C131CF">
            <w:pPr>
              <w:spacing w:line="360" w:lineRule="auto"/>
              <w:rPr>
                <w:rFonts w:cs="Calibri"/>
                <w:sz w:val="18"/>
                <w:szCs w:val="18"/>
              </w:rPr>
            </w:pPr>
            <w:r w:rsidRPr="0090579A">
              <w:rPr>
                <w:rFonts w:cs="Calibri"/>
                <w:sz w:val="18"/>
                <w:szCs w:val="18"/>
              </w:rPr>
              <w:t>238</w:t>
            </w:r>
          </w:p>
        </w:tc>
        <w:tc>
          <w:tcPr>
            <w:tcW w:w="2978" w:type="dxa"/>
          </w:tcPr>
          <w:p w14:paraId="073BE934" w14:textId="77777777" w:rsidR="00891A41" w:rsidRPr="0090579A" w:rsidRDefault="00891A41" w:rsidP="00C131CF">
            <w:pPr>
              <w:spacing w:line="360" w:lineRule="auto"/>
              <w:rPr>
                <w:rFonts w:cs="Calibri"/>
                <w:sz w:val="18"/>
                <w:szCs w:val="18"/>
              </w:rPr>
            </w:pPr>
            <w:r>
              <w:rPr>
                <w:rFonts w:cs="Calibri"/>
                <w:sz w:val="18"/>
                <w:szCs w:val="18"/>
              </w:rPr>
              <w:t>-424.83 (-569.17 to</w:t>
            </w:r>
            <w:r w:rsidRPr="0090579A">
              <w:rPr>
                <w:rFonts w:cs="Calibri"/>
                <w:sz w:val="18"/>
                <w:szCs w:val="18"/>
              </w:rPr>
              <w:t xml:space="preserve"> -280.48)</w:t>
            </w:r>
          </w:p>
        </w:tc>
      </w:tr>
      <w:tr w:rsidR="00891A41" w:rsidRPr="0090579A" w14:paraId="69FDA3D9" w14:textId="77777777" w:rsidTr="00C131CF">
        <w:tc>
          <w:tcPr>
            <w:tcW w:w="1985" w:type="dxa"/>
          </w:tcPr>
          <w:p w14:paraId="3C389FDB" w14:textId="77777777" w:rsidR="00891A41" w:rsidRPr="0090579A" w:rsidRDefault="00891A41" w:rsidP="00C131CF">
            <w:pPr>
              <w:spacing w:line="360" w:lineRule="auto"/>
              <w:rPr>
                <w:rFonts w:cs="Calibri"/>
                <w:sz w:val="18"/>
                <w:szCs w:val="18"/>
              </w:rPr>
            </w:pPr>
          </w:p>
        </w:tc>
        <w:tc>
          <w:tcPr>
            <w:tcW w:w="1701" w:type="dxa"/>
          </w:tcPr>
          <w:p w14:paraId="6359688D" w14:textId="77777777" w:rsidR="00891A41" w:rsidRPr="0090579A" w:rsidRDefault="00891A41" w:rsidP="00C131CF">
            <w:pPr>
              <w:spacing w:line="360" w:lineRule="auto"/>
              <w:rPr>
                <w:rFonts w:cs="Calibri"/>
                <w:sz w:val="18"/>
                <w:szCs w:val="18"/>
              </w:rPr>
            </w:pPr>
            <w:r w:rsidRPr="0090579A">
              <w:rPr>
                <w:rFonts w:cs="Calibri"/>
                <w:sz w:val="18"/>
                <w:szCs w:val="18"/>
              </w:rPr>
              <w:t>NICE / SEID</w:t>
            </w:r>
          </w:p>
        </w:tc>
        <w:tc>
          <w:tcPr>
            <w:tcW w:w="707" w:type="dxa"/>
          </w:tcPr>
          <w:p w14:paraId="780CDAD0" w14:textId="77777777" w:rsidR="00891A41" w:rsidRPr="0090579A" w:rsidRDefault="00891A41" w:rsidP="00C131CF">
            <w:pPr>
              <w:spacing w:line="360" w:lineRule="auto"/>
              <w:rPr>
                <w:rFonts w:cs="Calibri"/>
                <w:sz w:val="18"/>
                <w:szCs w:val="18"/>
              </w:rPr>
            </w:pPr>
            <w:r w:rsidRPr="0090579A">
              <w:rPr>
                <w:rFonts w:cs="Calibri"/>
                <w:sz w:val="18"/>
                <w:szCs w:val="18"/>
              </w:rPr>
              <w:t>638</w:t>
            </w:r>
          </w:p>
        </w:tc>
        <w:tc>
          <w:tcPr>
            <w:tcW w:w="2978" w:type="dxa"/>
          </w:tcPr>
          <w:p w14:paraId="2033457E" w14:textId="77777777" w:rsidR="00891A41" w:rsidRPr="0090579A" w:rsidRDefault="00891A41" w:rsidP="00C131CF">
            <w:pPr>
              <w:spacing w:line="360" w:lineRule="auto"/>
              <w:rPr>
                <w:rFonts w:cs="Calibri"/>
                <w:sz w:val="18"/>
                <w:szCs w:val="18"/>
              </w:rPr>
            </w:pPr>
            <w:r>
              <w:rPr>
                <w:rFonts w:cs="Calibri"/>
                <w:sz w:val="18"/>
                <w:szCs w:val="18"/>
              </w:rPr>
              <w:t>-448.34 (-651.89 to</w:t>
            </w:r>
            <w:r w:rsidRPr="0090579A">
              <w:rPr>
                <w:rFonts w:cs="Calibri"/>
                <w:sz w:val="18"/>
                <w:szCs w:val="18"/>
              </w:rPr>
              <w:t xml:space="preserve"> -244.80)</w:t>
            </w:r>
          </w:p>
        </w:tc>
      </w:tr>
      <w:tr w:rsidR="00891A41" w:rsidRPr="0090579A" w14:paraId="75FD813F" w14:textId="77777777" w:rsidTr="00C131CF">
        <w:tc>
          <w:tcPr>
            <w:tcW w:w="1985" w:type="dxa"/>
          </w:tcPr>
          <w:p w14:paraId="4283BB0F" w14:textId="77777777" w:rsidR="00891A41" w:rsidRPr="0090579A" w:rsidRDefault="00891A41" w:rsidP="00C131CF">
            <w:pPr>
              <w:spacing w:line="360" w:lineRule="auto"/>
              <w:rPr>
                <w:rFonts w:cs="Calibri"/>
                <w:sz w:val="18"/>
                <w:szCs w:val="18"/>
              </w:rPr>
            </w:pPr>
            <w:r w:rsidRPr="0090579A">
              <w:rPr>
                <w:rFonts w:cs="Calibri"/>
                <w:sz w:val="18"/>
                <w:szCs w:val="18"/>
              </w:rPr>
              <w:t xml:space="preserve">Physical functioning </w:t>
            </w:r>
          </w:p>
        </w:tc>
        <w:tc>
          <w:tcPr>
            <w:tcW w:w="1701" w:type="dxa"/>
          </w:tcPr>
          <w:p w14:paraId="52AC189F" w14:textId="77777777" w:rsidR="00891A41" w:rsidRPr="0090579A" w:rsidRDefault="00891A41" w:rsidP="00C131CF">
            <w:pPr>
              <w:spacing w:line="360" w:lineRule="auto"/>
              <w:rPr>
                <w:rFonts w:cs="Calibri"/>
                <w:sz w:val="18"/>
                <w:szCs w:val="18"/>
              </w:rPr>
            </w:pPr>
            <w:r w:rsidRPr="0090579A">
              <w:rPr>
                <w:rFonts w:cs="Calibri"/>
                <w:sz w:val="18"/>
                <w:szCs w:val="18"/>
              </w:rPr>
              <w:t>No NICE / SEID</w:t>
            </w:r>
          </w:p>
        </w:tc>
        <w:tc>
          <w:tcPr>
            <w:tcW w:w="707" w:type="dxa"/>
          </w:tcPr>
          <w:p w14:paraId="2F39745D" w14:textId="77777777" w:rsidR="00891A41" w:rsidRPr="0090579A" w:rsidRDefault="00891A41" w:rsidP="00C131CF">
            <w:pPr>
              <w:spacing w:line="360" w:lineRule="auto"/>
              <w:rPr>
                <w:rFonts w:cs="Calibri"/>
                <w:sz w:val="18"/>
                <w:szCs w:val="18"/>
              </w:rPr>
            </w:pPr>
            <w:r w:rsidRPr="0090579A">
              <w:rPr>
                <w:rFonts w:cs="Calibri"/>
                <w:sz w:val="18"/>
                <w:szCs w:val="18"/>
              </w:rPr>
              <w:t>244</w:t>
            </w:r>
          </w:p>
        </w:tc>
        <w:tc>
          <w:tcPr>
            <w:tcW w:w="2978" w:type="dxa"/>
          </w:tcPr>
          <w:p w14:paraId="4A31DD24" w14:textId="77777777" w:rsidR="00891A41" w:rsidRPr="0090579A" w:rsidRDefault="00891A41" w:rsidP="00C131CF">
            <w:pPr>
              <w:spacing w:line="360" w:lineRule="auto"/>
              <w:rPr>
                <w:rFonts w:cs="Calibri"/>
                <w:sz w:val="18"/>
                <w:szCs w:val="18"/>
              </w:rPr>
            </w:pPr>
            <w:r>
              <w:rPr>
                <w:rFonts w:cs="Calibri"/>
                <w:sz w:val="18"/>
                <w:szCs w:val="18"/>
              </w:rPr>
              <w:t>6.02 (-0.79 to</w:t>
            </w:r>
            <w:r w:rsidRPr="0090579A">
              <w:rPr>
                <w:rFonts w:cs="Calibri"/>
                <w:sz w:val="18"/>
                <w:szCs w:val="18"/>
              </w:rPr>
              <w:t xml:space="preserve"> 12.84)</w:t>
            </w:r>
          </w:p>
        </w:tc>
      </w:tr>
      <w:tr w:rsidR="00891A41" w:rsidRPr="008029D8" w14:paraId="2D5C6B18" w14:textId="77777777" w:rsidTr="00C131CF">
        <w:tc>
          <w:tcPr>
            <w:tcW w:w="1985" w:type="dxa"/>
            <w:tcBorders>
              <w:bottom w:val="single" w:sz="4" w:space="0" w:color="auto"/>
            </w:tcBorders>
          </w:tcPr>
          <w:p w14:paraId="19543F8E" w14:textId="77777777" w:rsidR="00891A41" w:rsidRPr="0090579A" w:rsidRDefault="00891A41" w:rsidP="00C131CF">
            <w:pPr>
              <w:spacing w:line="360" w:lineRule="auto"/>
              <w:rPr>
                <w:rFonts w:cs="Calibri"/>
                <w:sz w:val="18"/>
                <w:szCs w:val="18"/>
              </w:rPr>
            </w:pPr>
          </w:p>
        </w:tc>
        <w:tc>
          <w:tcPr>
            <w:tcW w:w="1701" w:type="dxa"/>
            <w:tcBorders>
              <w:bottom w:val="single" w:sz="4" w:space="0" w:color="auto"/>
            </w:tcBorders>
          </w:tcPr>
          <w:p w14:paraId="5016F331" w14:textId="77777777" w:rsidR="00891A41" w:rsidRPr="0090579A" w:rsidRDefault="00891A41" w:rsidP="00C131CF">
            <w:pPr>
              <w:spacing w:line="360" w:lineRule="auto"/>
              <w:rPr>
                <w:rFonts w:cs="Calibri"/>
                <w:sz w:val="18"/>
                <w:szCs w:val="18"/>
              </w:rPr>
            </w:pPr>
            <w:r w:rsidRPr="0090579A">
              <w:rPr>
                <w:rFonts w:cs="Calibri"/>
                <w:sz w:val="18"/>
                <w:szCs w:val="18"/>
              </w:rPr>
              <w:t>NICE / SEID</w:t>
            </w:r>
          </w:p>
        </w:tc>
        <w:tc>
          <w:tcPr>
            <w:tcW w:w="707" w:type="dxa"/>
            <w:tcBorders>
              <w:bottom w:val="single" w:sz="4" w:space="0" w:color="auto"/>
            </w:tcBorders>
          </w:tcPr>
          <w:p w14:paraId="1B7C7904" w14:textId="77777777" w:rsidR="00891A41" w:rsidRPr="0090579A" w:rsidRDefault="00891A41" w:rsidP="00C131CF">
            <w:pPr>
              <w:spacing w:line="360" w:lineRule="auto"/>
              <w:rPr>
                <w:rFonts w:cs="Calibri"/>
                <w:sz w:val="18"/>
                <w:szCs w:val="18"/>
              </w:rPr>
            </w:pPr>
            <w:r w:rsidRPr="0090579A">
              <w:rPr>
                <w:rFonts w:cs="Calibri"/>
                <w:sz w:val="18"/>
                <w:szCs w:val="18"/>
              </w:rPr>
              <w:t>566</w:t>
            </w:r>
          </w:p>
        </w:tc>
        <w:tc>
          <w:tcPr>
            <w:tcW w:w="2978" w:type="dxa"/>
            <w:tcBorders>
              <w:bottom w:val="single" w:sz="4" w:space="0" w:color="auto"/>
            </w:tcBorders>
          </w:tcPr>
          <w:p w14:paraId="113B5C9B" w14:textId="77777777" w:rsidR="00891A41" w:rsidRPr="0090579A" w:rsidRDefault="00891A41" w:rsidP="00C131CF">
            <w:pPr>
              <w:spacing w:line="360" w:lineRule="auto"/>
              <w:rPr>
                <w:rFonts w:cs="Calibri"/>
                <w:sz w:val="18"/>
                <w:szCs w:val="18"/>
              </w:rPr>
            </w:pPr>
            <w:r>
              <w:rPr>
                <w:rFonts w:cs="Calibri"/>
                <w:sz w:val="18"/>
                <w:szCs w:val="18"/>
              </w:rPr>
              <w:t>10.93 (4.26 to</w:t>
            </w:r>
            <w:r w:rsidRPr="0090579A">
              <w:rPr>
                <w:rFonts w:cs="Calibri"/>
                <w:sz w:val="18"/>
                <w:szCs w:val="18"/>
              </w:rPr>
              <w:t xml:space="preserve"> 17.59)</w:t>
            </w:r>
          </w:p>
        </w:tc>
      </w:tr>
    </w:tbl>
    <w:p w14:paraId="4D8547D1" w14:textId="77777777" w:rsidR="00891A41" w:rsidRPr="008029D8" w:rsidRDefault="00891A41" w:rsidP="00C131CF">
      <w:pPr>
        <w:rPr>
          <w:rFonts w:cs="Calibri"/>
          <w:i/>
          <w:sz w:val="18"/>
          <w:szCs w:val="18"/>
        </w:rPr>
      </w:pPr>
      <w:r>
        <w:rPr>
          <w:rFonts w:cs="Calibri"/>
          <w:sz w:val="18"/>
          <w:szCs w:val="18"/>
        </w:rPr>
        <w:t>C</w:t>
      </w:r>
      <w:r w:rsidRPr="008029D8">
        <w:rPr>
          <w:rFonts w:cs="Calibri"/>
          <w:sz w:val="18"/>
          <w:szCs w:val="18"/>
        </w:rPr>
        <w:t>BT cognitive behaviour therapy, CI confidence interval</w:t>
      </w:r>
    </w:p>
    <w:p w14:paraId="0D20FD70" w14:textId="77777777" w:rsidR="00891A41" w:rsidRDefault="00891A41">
      <w:pPr>
        <w:spacing w:after="160" w:line="259" w:lineRule="auto"/>
        <w:rPr>
          <w:rFonts w:cstheme="minorHAnsi"/>
          <w:b/>
          <w:color w:val="000000" w:themeColor="text1"/>
          <w:sz w:val="22"/>
          <w:szCs w:val="22"/>
        </w:rPr>
      </w:pPr>
    </w:p>
    <w:p w14:paraId="45A7635D" w14:textId="5F844B99" w:rsidR="00891A41" w:rsidRPr="0090579A" w:rsidRDefault="00891A41">
      <w:pPr>
        <w:spacing w:after="160" w:line="259" w:lineRule="auto"/>
        <w:rPr>
          <w:rFonts w:cstheme="minorHAnsi"/>
          <w:b/>
          <w:color w:val="000000" w:themeColor="text1"/>
          <w:sz w:val="22"/>
          <w:szCs w:val="22"/>
        </w:rPr>
      </w:pPr>
      <w:r w:rsidRPr="0090579A">
        <w:rPr>
          <w:rFonts w:cstheme="minorHAnsi"/>
          <w:sz w:val="22"/>
          <w:szCs w:val="22"/>
        </w:rPr>
        <w:t xml:space="preserve">The difference in outcomes </w:t>
      </w:r>
      <w:r>
        <w:rPr>
          <w:rFonts w:cstheme="minorHAnsi"/>
          <w:sz w:val="22"/>
          <w:szCs w:val="22"/>
        </w:rPr>
        <w:t xml:space="preserve">between CBT and control </w:t>
      </w:r>
      <w:r w:rsidRPr="0090579A">
        <w:rPr>
          <w:rFonts w:cstheme="minorHAnsi"/>
          <w:sz w:val="22"/>
          <w:szCs w:val="22"/>
        </w:rPr>
        <w:t xml:space="preserve">were in the same direction in all subgroups and the differences between subgroups were small and not clinically relevant, perhaps with the exception of the physical functioning score but there the patients who reported PEM or met the NICE criteria improved more and not less. There is no indication that patients with PEM and/or patients meeting NICE/SEID criteria benefit less from CBT compared to patients without PEM and/or patients not meeting NICE/SEID </w:t>
      </w:r>
      <w:r w:rsidRPr="00C131CF">
        <w:rPr>
          <w:rFonts w:cstheme="minorHAnsi"/>
          <w:sz w:val="22"/>
          <w:szCs w:val="22"/>
        </w:rPr>
        <w:t>criteria.</w:t>
      </w:r>
    </w:p>
    <w:p w14:paraId="419BD109" w14:textId="77777777" w:rsidR="00891A41" w:rsidRDefault="00891A41">
      <w:pPr>
        <w:spacing w:after="160" w:line="259" w:lineRule="auto"/>
        <w:rPr>
          <w:rFonts w:cstheme="minorHAnsi"/>
          <w:b/>
          <w:color w:val="000000" w:themeColor="text1"/>
          <w:sz w:val="22"/>
          <w:szCs w:val="22"/>
        </w:rPr>
      </w:pPr>
      <w:r>
        <w:rPr>
          <w:rFonts w:cstheme="minorHAnsi"/>
          <w:b/>
          <w:color w:val="000000" w:themeColor="text1"/>
          <w:sz w:val="22"/>
          <w:szCs w:val="22"/>
        </w:rPr>
        <w:br w:type="page"/>
      </w:r>
    </w:p>
    <w:p w14:paraId="11AF0F7A" w14:textId="77777777" w:rsidR="00891A41" w:rsidRPr="0040424F" w:rsidRDefault="00891A41" w:rsidP="00C131CF">
      <w:pPr>
        <w:pStyle w:val="EndNoteBibliography"/>
        <w:spacing w:line="360" w:lineRule="auto"/>
        <w:ind w:left="720" w:hanging="720"/>
        <w:rPr>
          <w:rFonts w:asciiTheme="minorHAnsi" w:hAnsiTheme="minorHAnsi" w:cstheme="minorHAnsi"/>
          <w:b/>
          <w:noProof w:val="0"/>
          <w:color w:val="000000" w:themeColor="text1"/>
          <w:sz w:val="22"/>
          <w:szCs w:val="22"/>
          <w:lang w:val="en-GB"/>
        </w:rPr>
      </w:pPr>
      <w:r w:rsidRPr="0040424F">
        <w:rPr>
          <w:rFonts w:asciiTheme="minorHAnsi" w:hAnsiTheme="minorHAnsi" w:cstheme="minorHAnsi"/>
          <w:b/>
          <w:noProof w:val="0"/>
          <w:color w:val="000000" w:themeColor="text1"/>
          <w:sz w:val="22"/>
          <w:szCs w:val="22"/>
          <w:lang w:val="en-GB"/>
        </w:rPr>
        <w:lastRenderedPageBreak/>
        <w:t xml:space="preserve">R code </w:t>
      </w:r>
    </w:p>
    <w:p w14:paraId="03F1808F" w14:textId="77777777" w:rsidR="00891A41" w:rsidRPr="0040424F" w:rsidRDefault="00891A41" w:rsidP="00C131CF">
      <w:pPr>
        <w:rPr>
          <w:sz w:val="22"/>
          <w:szCs w:val="22"/>
        </w:rPr>
      </w:pPr>
      <w:r w:rsidRPr="0040424F">
        <w:rPr>
          <w:sz w:val="22"/>
          <w:szCs w:val="22"/>
        </w:rPr>
        <w:t xml:space="preserve">#main effect: </w:t>
      </w:r>
    </w:p>
    <w:p w14:paraId="62DD9B21" w14:textId="77777777" w:rsidR="00891A41" w:rsidRPr="0040424F" w:rsidRDefault="00891A41" w:rsidP="00C131CF">
      <w:pPr>
        <w:rPr>
          <w:sz w:val="22"/>
          <w:szCs w:val="22"/>
        </w:rPr>
      </w:pPr>
      <w:proofErr w:type="spellStart"/>
      <w:proofErr w:type="gramStart"/>
      <w:r w:rsidRPr="0040424F">
        <w:rPr>
          <w:sz w:val="22"/>
          <w:szCs w:val="22"/>
        </w:rPr>
        <w:t>lmer</w:t>
      </w:r>
      <w:proofErr w:type="spellEnd"/>
      <w:proofErr w:type="gramEnd"/>
      <w:r w:rsidRPr="0040424F">
        <w:rPr>
          <w:sz w:val="22"/>
          <w:szCs w:val="22"/>
        </w:rPr>
        <w:t xml:space="preserve"> (post-assessment-outcome ~ condition + pre-assessment-outcome + (1 + condition | Study), </w:t>
      </w:r>
      <w:proofErr w:type="spellStart"/>
      <w:r w:rsidRPr="0040424F">
        <w:rPr>
          <w:sz w:val="22"/>
          <w:szCs w:val="22"/>
        </w:rPr>
        <w:t>dataframe</w:t>
      </w:r>
      <w:proofErr w:type="spellEnd"/>
      <w:r w:rsidRPr="0040424F">
        <w:rPr>
          <w:sz w:val="22"/>
          <w:szCs w:val="22"/>
        </w:rPr>
        <w:t>)</w:t>
      </w:r>
    </w:p>
    <w:p w14:paraId="6A952F21" w14:textId="77777777" w:rsidR="00891A41" w:rsidRPr="0040424F" w:rsidRDefault="00891A41" w:rsidP="00C131CF">
      <w:pPr>
        <w:rPr>
          <w:sz w:val="22"/>
          <w:szCs w:val="22"/>
        </w:rPr>
      </w:pPr>
    </w:p>
    <w:p w14:paraId="783E05A3" w14:textId="77777777" w:rsidR="00891A41" w:rsidRPr="0040424F" w:rsidRDefault="00891A41" w:rsidP="00C131CF">
      <w:pPr>
        <w:rPr>
          <w:sz w:val="22"/>
          <w:szCs w:val="22"/>
        </w:rPr>
      </w:pPr>
      <w:r w:rsidRPr="0040424F">
        <w:rPr>
          <w:sz w:val="22"/>
          <w:szCs w:val="22"/>
        </w:rPr>
        <w:t xml:space="preserve">Moderation analyses: </w:t>
      </w:r>
    </w:p>
    <w:p w14:paraId="7E6B39B1" w14:textId="77777777" w:rsidR="00891A41" w:rsidRPr="0040424F" w:rsidRDefault="00891A41" w:rsidP="00C131CF">
      <w:pPr>
        <w:rPr>
          <w:sz w:val="22"/>
          <w:szCs w:val="22"/>
        </w:rPr>
      </w:pPr>
      <w:r w:rsidRPr="0040424F">
        <w:rPr>
          <w:sz w:val="22"/>
          <w:szCs w:val="22"/>
        </w:rPr>
        <w:t xml:space="preserve"># </w:t>
      </w:r>
      <w:proofErr w:type="gramStart"/>
      <w:r w:rsidRPr="0040424F">
        <w:rPr>
          <w:sz w:val="22"/>
          <w:szCs w:val="22"/>
        </w:rPr>
        <w:t>model</w:t>
      </w:r>
      <w:proofErr w:type="gramEnd"/>
      <w:r w:rsidRPr="0040424F">
        <w:rPr>
          <w:sz w:val="22"/>
          <w:szCs w:val="22"/>
        </w:rPr>
        <w:t xml:space="preserve"> without interaction term: </w:t>
      </w:r>
    </w:p>
    <w:p w14:paraId="729148B0" w14:textId="77777777" w:rsidR="00891A41" w:rsidRPr="0040424F" w:rsidRDefault="00891A41" w:rsidP="00C131CF">
      <w:pPr>
        <w:rPr>
          <w:sz w:val="22"/>
          <w:szCs w:val="22"/>
        </w:rPr>
      </w:pPr>
      <w:proofErr w:type="spellStart"/>
      <w:proofErr w:type="gramStart"/>
      <w:r w:rsidRPr="0040424F">
        <w:rPr>
          <w:sz w:val="22"/>
          <w:szCs w:val="22"/>
        </w:rPr>
        <w:t>lmer</w:t>
      </w:r>
      <w:proofErr w:type="spellEnd"/>
      <w:proofErr w:type="gramEnd"/>
      <w:r w:rsidRPr="0040424F">
        <w:rPr>
          <w:sz w:val="22"/>
          <w:szCs w:val="22"/>
        </w:rPr>
        <w:t xml:space="preserve"> (post-assessment-outcome ~condition + pre-assessment-outcome + moderator + (1 + condition | Study), </w:t>
      </w:r>
      <w:proofErr w:type="spellStart"/>
      <w:r w:rsidRPr="0040424F">
        <w:rPr>
          <w:sz w:val="22"/>
          <w:szCs w:val="22"/>
        </w:rPr>
        <w:t>dataframe</w:t>
      </w:r>
      <w:proofErr w:type="spellEnd"/>
      <w:r w:rsidRPr="0040424F">
        <w:rPr>
          <w:sz w:val="22"/>
          <w:szCs w:val="22"/>
        </w:rPr>
        <w:t>)</w:t>
      </w:r>
    </w:p>
    <w:p w14:paraId="4A9E7ED9" w14:textId="77777777" w:rsidR="00891A41" w:rsidRPr="0040424F" w:rsidRDefault="00891A41" w:rsidP="00C131CF">
      <w:pPr>
        <w:rPr>
          <w:sz w:val="22"/>
          <w:szCs w:val="22"/>
        </w:rPr>
      </w:pPr>
    </w:p>
    <w:p w14:paraId="3D752EDD" w14:textId="77777777" w:rsidR="00891A41" w:rsidRPr="0040424F" w:rsidRDefault="00891A41" w:rsidP="00C131CF">
      <w:pPr>
        <w:rPr>
          <w:sz w:val="22"/>
          <w:szCs w:val="22"/>
        </w:rPr>
      </w:pPr>
      <w:r w:rsidRPr="0040424F">
        <w:rPr>
          <w:sz w:val="22"/>
          <w:szCs w:val="22"/>
        </w:rPr>
        <w:t xml:space="preserve"># </w:t>
      </w:r>
      <w:proofErr w:type="gramStart"/>
      <w:r w:rsidRPr="0040424F">
        <w:rPr>
          <w:sz w:val="22"/>
          <w:szCs w:val="22"/>
        </w:rPr>
        <w:t>model</w:t>
      </w:r>
      <w:proofErr w:type="gramEnd"/>
      <w:r w:rsidRPr="0040424F">
        <w:rPr>
          <w:sz w:val="22"/>
          <w:szCs w:val="22"/>
        </w:rPr>
        <w:t xml:space="preserve"> with interaction term: </w:t>
      </w:r>
    </w:p>
    <w:p w14:paraId="53939A91" w14:textId="77777777" w:rsidR="00891A41" w:rsidRPr="0040424F" w:rsidRDefault="00891A41" w:rsidP="00C131CF">
      <w:pPr>
        <w:rPr>
          <w:sz w:val="22"/>
          <w:szCs w:val="22"/>
        </w:rPr>
      </w:pPr>
      <w:proofErr w:type="spellStart"/>
      <w:proofErr w:type="gramStart"/>
      <w:r w:rsidRPr="0040424F">
        <w:rPr>
          <w:sz w:val="22"/>
          <w:szCs w:val="22"/>
        </w:rPr>
        <w:t>lmer</w:t>
      </w:r>
      <w:proofErr w:type="spellEnd"/>
      <w:proofErr w:type="gramEnd"/>
      <w:r w:rsidRPr="0040424F">
        <w:rPr>
          <w:sz w:val="22"/>
          <w:szCs w:val="22"/>
        </w:rPr>
        <w:t xml:space="preserve"> (post-assessment-outcome ~ condition + pre-assessment-outcome + moderator*condition + (1 + condition |Study), </w:t>
      </w:r>
      <w:proofErr w:type="spellStart"/>
      <w:r w:rsidRPr="0040424F">
        <w:rPr>
          <w:sz w:val="22"/>
          <w:szCs w:val="22"/>
        </w:rPr>
        <w:t>dataframe</w:t>
      </w:r>
      <w:proofErr w:type="spellEnd"/>
      <w:r w:rsidRPr="0040424F">
        <w:rPr>
          <w:sz w:val="22"/>
          <w:szCs w:val="22"/>
        </w:rPr>
        <w:t>)</w:t>
      </w:r>
    </w:p>
    <w:p w14:paraId="609D950D" w14:textId="77777777" w:rsidR="00891A41" w:rsidRPr="0040424F" w:rsidRDefault="00891A41" w:rsidP="00C131CF">
      <w:pPr>
        <w:rPr>
          <w:sz w:val="22"/>
          <w:szCs w:val="22"/>
        </w:rPr>
      </w:pPr>
    </w:p>
    <w:p w14:paraId="186BEE8A" w14:textId="77777777" w:rsidR="00891A41" w:rsidRPr="0040424F" w:rsidRDefault="00891A41" w:rsidP="00C131CF">
      <w:pPr>
        <w:rPr>
          <w:sz w:val="22"/>
          <w:szCs w:val="22"/>
        </w:rPr>
      </w:pPr>
      <w:proofErr w:type="spellStart"/>
      <w:proofErr w:type="gramStart"/>
      <w:r w:rsidRPr="0040424F">
        <w:rPr>
          <w:sz w:val="22"/>
          <w:szCs w:val="22"/>
        </w:rPr>
        <w:t>anova</w:t>
      </w:r>
      <w:proofErr w:type="spellEnd"/>
      <w:proofErr w:type="gramEnd"/>
      <w:r w:rsidRPr="0040424F">
        <w:rPr>
          <w:sz w:val="22"/>
          <w:szCs w:val="22"/>
        </w:rPr>
        <w:t xml:space="preserve"> (model without interaction term, model with interaction term)</w:t>
      </w:r>
    </w:p>
    <w:p w14:paraId="7FAADD4D" w14:textId="77777777" w:rsidR="00891A41" w:rsidRPr="0040424F" w:rsidRDefault="00891A41" w:rsidP="00C131CF"/>
    <w:p w14:paraId="58F8C384" w14:textId="77777777" w:rsidR="00891A41" w:rsidRPr="0040424F" w:rsidRDefault="00891A41">
      <w:pPr>
        <w:spacing w:after="160" w:line="259" w:lineRule="auto"/>
        <w:rPr>
          <w:rFonts w:cstheme="minorHAnsi"/>
          <w:b/>
          <w:color w:val="000000" w:themeColor="text1"/>
          <w:sz w:val="22"/>
          <w:szCs w:val="22"/>
        </w:rPr>
      </w:pPr>
      <w:r w:rsidRPr="0040424F">
        <w:rPr>
          <w:rFonts w:cstheme="minorHAnsi"/>
          <w:b/>
          <w:color w:val="000000" w:themeColor="text1"/>
          <w:sz w:val="22"/>
          <w:szCs w:val="22"/>
        </w:rPr>
        <w:br w:type="page"/>
      </w:r>
    </w:p>
    <w:p w14:paraId="5A717232" w14:textId="77777777" w:rsidR="00891A41" w:rsidRPr="0040424F" w:rsidRDefault="00891A41" w:rsidP="00C131CF">
      <w:pPr>
        <w:pStyle w:val="EndNoteBibliography"/>
        <w:spacing w:line="360" w:lineRule="auto"/>
        <w:ind w:left="720" w:hanging="720"/>
        <w:rPr>
          <w:rFonts w:asciiTheme="minorHAnsi" w:hAnsiTheme="minorHAnsi" w:cstheme="minorHAnsi"/>
          <w:b/>
          <w:noProof w:val="0"/>
          <w:color w:val="000000" w:themeColor="text1"/>
          <w:sz w:val="22"/>
          <w:szCs w:val="22"/>
          <w:lang w:val="en-GB"/>
        </w:rPr>
      </w:pPr>
      <w:r w:rsidRPr="0040424F">
        <w:rPr>
          <w:rFonts w:asciiTheme="minorHAnsi" w:hAnsiTheme="minorHAnsi" w:cstheme="minorHAnsi"/>
          <w:b/>
          <w:noProof w:val="0"/>
          <w:color w:val="000000" w:themeColor="text1"/>
          <w:sz w:val="22"/>
          <w:szCs w:val="22"/>
          <w:lang w:val="en-GB"/>
        </w:rPr>
        <w:lastRenderedPageBreak/>
        <w:t>References</w:t>
      </w:r>
    </w:p>
    <w:p w14:paraId="4D36E0CC" w14:textId="77777777" w:rsidR="00891A41" w:rsidRPr="0040424F" w:rsidRDefault="00891A41" w:rsidP="00C131CF">
      <w:pPr>
        <w:pStyle w:val="EndNoteBibliography"/>
        <w:spacing w:line="360" w:lineRule="auto"/>
        <w:ind w:left="720" w:hanging="720"/>
        <w:rPr>
          <w:rFonts w:asciiTheme="minorHAnsi" w:hAnsiTheme="minorHAnsi" w:cstheme="minorHAnsi"/>
          <w:noProof w:val="0"/>
          <w:color w:val="000000" w:themeColor="text1"/>
          <w:sz w:val="22"/>
          <w:szCs w:val="22"/>
          <w:lang w:val="en-GB"/>
        </w:rPr>
      </w:pPr>
    </w:p>
    <w:p w14:paraId="4D5ADCE2" w14:textId="77777777" w:rsidR="00891A41" w:rsidRPr="00A10951" w:rsidRDefault="00891A41" w:rsidP="00C131CF">
      <w:pPr>
        <w:pStyle w:val="EndNoteBibliography"/>
        <w:ind w:left="720" w:hanging="720"/>
      </w:pPr>
      <w:r w:rsidRPr="00A10951">
        <w:t xml:space="preserve">Adamson, J., Ali, S., Santhouse, A., Wessely, S., &amp; Chalder, T. (2020). Cognitive behavioural therapy for chronic fatigue and chronic fatigue syndrome: outcomes from a specialist clinic in the UK. </w:t>
      </w:r>
      <w:r w:rsidRPr="00A10951">
        <w:rPr>
          <w:i/>
        </w:rPr>
        <w:t>Journal of the Royal Society of Medicine, 113</w:t>
      </w:r>
      <w:r w:rsidRPr="00A10951">
        <w:t>(10), 394-402. doi:10.1177/0141076820951545</w:t>
      </w:r>
    </w:p>
    <w:p w14:paraId="31D89DB9" w14:textId="77777777" w:rsidR="00891A41" w:rsidRPr="00A10951" w:rsidRDefault="00891A41" w:rsidP="00C131CF">
      <w:pPr>
        <w:pStyle w:val="EndNoteBibliography"/>
        <w:ind w:left="720" w:hanging="720"/>
      </w:pPr>
      <w:r w:rsidRPr="00A10951">
        <w:t xml:space="preserve">Akagi, H., Klimes, I., &amp; Bass, C. (2001). Cognitive behavioral therapy for chronic fatigue syndrome in a general hospital - feasible and effective. </w:t>
      </w:r>
      <w:r w:rsidRPr="00A10951">
        <w:rPr>
          <w:i/>
        </w:rPr>
        <w:t>General Hospital Psychiatry, 23</w:t>
      </w:r>
      <w:r w:rsidRPr="00A10951">
        <w:t>(5), 254-260. doi:10.1016/s0163-8343(01)00154-2</w:t>
      </w:r>
    </w:p>
    <w:p w14:paraId="5E2790F5" w14:textId="700875AF" w:rsidR="00891A41" w:rsidRPr="00A10951" w:rsidRDefault="00891A41" w:rsidP="00C131CF">
      <w:pPr>
        <w:pStyle w:val="EndNoteBibliography"/>
        <w:ind w:left="720" w:hanging="720"/>
      </w:pPr>
      <w:r w:rsidRPr="00A10951">
        <w:t xml:space="preserve">Al-Haggar, M. S., Al-Naggar, Z. A., &amp; Abdel-Salam, M. A. (2006). Biofeedback and cognitive behavioral therapy for Egyptian adolescents suffering from chronic fatigue syndrome. </w:t>
      </w:r>
      <w:r w:rsidRPr="00A10951">
        <w:rPr>
          <w:i/>
        </w:rPr>
        <w:t>Journal of Pediatric Neurology, 4</w:t>
      </w:r>
      <w:r w:rsidRPr="00A10951">
        <w:t xml:space="preserve">(3), 161-169. </w:t>
      </w:r>
    </w:p>
    <w:p w14:paraId="2EF0DD2C" w14:textId="77777777" w:rsidR="00891A41" w:rsidRPr="00A10951" w:rsidRDefault="00891A41" w:rsidP="00C131CF">
      <w:pPr>
        <w:pStyle w:val="EndNoteBibliography"/>
        <w:ind w:left="720" w:hanging="720"/>
      </w:pPr>
      <w:r w:rsidRPr="003E48E3">
        <w:rPr>
          <w:lang w:val="nl-NL"/>
        </w:rPr>
        <w:t xml:space="preserve">Albers, E., Nijhof, L. N., van der Sprenkel, E. E. B., van de Putte, E. M., Nijhof, S. L., &amp; Knoop, H. (2021). </w:t>
      </w:r>
      <w:r w:rsidRPr="00A10951">
        <w:t xml:space="preserve">Effectiveness of Internet-Based Cognitive Behavior Therapy (Fatigue in Teenagers on the Internet) for Adolescents With Chronic Fatigue Syndrome in Routine Clinical Care: Observational Study. </w:t>
      </w:r>
      <w:r w:rsidRPr="00A10951">
        <w:rPr>
          <w:i/>
        </w:rPr>
        <w:t>Journal of Medical Internet Research, 23</w:t>
      </w:r>
      <w:r w:rsidRPr="00A10951">
        <w:t>(8), 10. doi:10.2196/24839</w:t>
      </w:r>
    </w:p>
    <w:p w14:paraId="6961B67A" w14:textId="77777777" w:rsidR="00891A41" w:rsidRPr="00A10951" w:rsidRDefault="00891A41" w:rsidP="00C131CF">
      <w:pPr>
        <w:pStyle w:val="EndNoteBibliography"/>
        <w:ind w:left="720" w:hanging="720"/>
      </w:pPr>
      <w:r w:rsidRPr="00A10951">
        <w:t xml:space="preserve">Antoni, M. H., Lattie, E., Czaja, S., Fletcher, M., Dolores, P., Nair, S., &amp; Klimas, N. (2014). Remote-delivered vs. live group-based cognitive behavioral stress management in persons with CFS/ME: Effects on stress and symptoms. </w:t>
      </w:r>
      <w:r w:rsidRPr="00A10951">
        <w:rPr>
          <w:i/>
        </w:rPr>
        <w:t>Psychosomatic Medicine, 76(3)</w:t>
      </w:r>
      <w:r w:rsidRPr="00A10951">
        <w:t>, A-33. doi:</w:t>
      </w:r>
      <w:r w:rsidRPr="00891A41">
        <w:t>https://dx.doi.org/10.1097/PSY.0000000000000057</w:t>
      </w:r>
    </w:p>
    <w:p w14:paraId="64A249D3" w14:textId="77777777" w:rsidR="00891A41" w:rsidRPr="00A10951" w:rsidRDefault="00891A41" w:rsidP="00C131CF">
      <w:pPr>
        <w:pStyle w:val="EndNoteBibliography"/>
        <w:ind w:left="720" w:hanging="720"/>
      </w:pPr>
      <w:r w:rsidRPr="00A10951">
        <w:t xml:space="preserve">Antoni, M. H., Lattie, E., Fletcher, M. A., Sara, C., Dolores, P., Nair, S., &amp; Nancy, K. (2013). Telephone-delivered cognitive behavioral stress management intervention for chronic fatigue syndrome: Effects on stress, symptoms, and neuroimmune processes. </w:t>
      </w:r>
      <w:r w:rsidRPr="00A10951">
        <w:rPr>
          <w:i/>
        </w:rPr>
        <w:t>Psychosomatic Medicine, 75(3)</w:t>
      </w:r>
      <w:r w:rsidRPr="00A10951">
        <w:t>, A-66. doi:</w:t>
      </w:r>
      <w:r w:rsidRPr="00891A41">
        <w:t>https://dx.doi.org/10.1097/01.psy.0000429452.16135.1b</w:t>
      </w:r>
    </w:p>
    <w:p w14:paraId="40F705E2" w14:textId="0F734CD6" w:rsidR="00891A41" w:rsidRPr="00A10951" w:rsidRDefault="00891A41" w:rsidP="00C131CF">
      <w:pPr>
        <w:pStyle w:val="EndNoteBibliography"/>
        <w:ind w:left="720" w:hanging="720"/>
      </w:pPr>
      <w:r w:rsidRPr="00A10951">
        <w:t xml:space="preserve">Baos, S., Brigden, A., Anderson, E., Hollingworth, W., Price, S., Mills, N., . . . Crawley, E. (2018). Investigating the effectiveness and cost-effectiveness of FITNET-NHS (Fatigue In Teenagers on the interNET in the NHS) compared to Activity Management to treat paediatric chronic fatigue syndrome (CFS)/myalgic encephalomyelitis (ME): protocol for a randomised controlled trial. </w:t>
      </w:r>
      <w:r w:rsidRPr="00A10951">
        <w:rPr>
          <w:i/>
        </w:rPr>
        <w:t>Trials, 19</w:t>
      </w:r>
      <w:r w:rsidRPr="00A10951">
        <w:t>, 12. doi:10.1186/s13063-018-2500-3</w:t>
      </w:r>
    </w:p>
    <w:p w14:paraId="5FA98DF6" w14:textId="7E58ED9A" w:rsidR="00891A41" w:rsidRPr="00A10951" w:rsidRDefault="00891A41" w:rsidP="00C131CF">
      <w:pPr>
        <w:pStyle w:val="EndNoteBibliography"/>
        <w:ind w:left="720" w:hanging="720"/>
      </w:pPr>
      <w:r w:rsidRPr="00A10951">
        <w:t xml:space="preserve">Bazelmans, E., Prins, J., Lulofs, R., van der Meer, J., &amp; Bleijenberg, G. (205). Cognitive Behaviour Group Therapy for Chronic Fatigue Syndrome: A Non-Randomised Waiting List Controlled Study. </w:t>
      </w:r>
      <w:r w:rsidRPr="00A10951">
        <w:rPr>
          <w:i/>
        </w:rPr>
        <w:t>Psychotherapy and Psychosomatics, 74</w:t>
      </w:r>
      <w:r w:rsidRPr="00A10951">
        <w:t>(4), 218-224. doi:</w:t>
      </w:r>
      <w:r w:rsidRPr="00891A41">
        <w:t>https://dx.doi.org/10.1159/000085145</w:t>
      </w:r>
    </w:p>
    <w:p w14:paraId="06B7EE90" w14:textId="77777777" w:rsidR="00891A41" w:rsidRPr="00A10951" w:rsidRDefault="00891A41" w:rsidP="00C131CF">
      <w:pPr>
        <w:pStyle w:val="EndNoteBibliography"/>
        <w:ind w:left="720" w:hanging="720"/>
      </w:pPr>
      <w:r w:rsidRPr="00A10951">
        <w:t xml:space="preserve">Beck, A. T., Guth, D., Steew, R. A., &amp; Ball, R. (1997). Screening for Major Depression Disorders in Medical Inpatients with the Beck Depression Inventory for Primary Care. </w:t>
      </w:r>
      <w:r w:rsidRPr="00A10951">
        <w:rPr>
          <w:i/>
        </w:rPr>
        <w:t>Behaviour Research and Therapy, 35</w:t>
      </w:r>
      <w:r w:rsidRPr="00A10951">
        <w:t xml:space="preserve">(8), 785-791. </w:t>
      </w:r>
    </w:p>
    <w:p w14:paraId="5947B5C5" w14:textId="77777777" w:rsidR="00891A41" w:rsidRPr="003E48E3" w:rsidRDefault="00891A41" w:rsidP="00C131CF">
      <w:pPr>
        <w:pStyle w:val="EndNoteBibliography"/>
        <w:ind w:left="720" w:hanging="720"/>
        <w:rPr>
          <w:lang w:val="nl-NL"/>
        </w:rPr>
      </w:pPr>
      <w:r w:rsidRPr="00A10951">
        <w:t xml:space="preserve">Bergner, M., Bobbitt, R. A., Carter, W. B., &amp; Gilson, B. S. (1981). The Sickness Impact Profile: Development and Final Revision of a Health Status Measure. </w:t>
      </w:r>
      <w:r w:rsidRPr="003E48E3">
        <w:rPr>
          <w:i/>
          <w:lang w:val="nl-NL"/>
        </w:rPr>
        <w:t>Care, 19</w:t>
      </w:r>
      <w:r w:rsidRPr="003E48E3">
        <w:rPr>
          <w:lang w:val="nl-NL"/>
        </w:rPr>
        <w:t xml:space="preserve">(8), 787-805. </w:t>
      </w:r>
    </w:p>
    <w:p w14:paraId="2F152DE5" w14:textId="77777777" w:rsidR="00891A41" w:rsidRPr="00A10951" w:rsidRDefault="00891A41" w:rsidP="00C131CF">
      <w:pPr>
        <w:pStyle w:val="EndNoteBibliography"/>
        <w:ind w:left="720" w:hanging="720"/>
      </w:pPr>
      <w:r w:rsidRPr="003E48E3">
        <w:rPr>
          <w:lang w:val="nl-NL"/>
        </w:rPr>
        <w:t xml:space="preserve">Breukers, E. M. C., Raijmakers, R. P. H., Nieuwkerk, P. T., Bleijenberg, G., van der Meer, J. W. M., Bleeker-Rovers, C. P., . . . </w:t>
      </w:r>
      <w:r w:rsidRPr="00A10951">
        <w:t xml:space="preserve">Knoop, H. (2019). Mediation analysis shows that a decline in self-efficacy mediates the increase in fatigue severity following an initial positive response to cognitive behavioural therapy in Q fever fatigue syndrome. </w:t>
      </w:r>
      <w:r w:rsidRPr="00A10951">
        <w:rPr>
          <w:i/>
        </w:rPr>
        <w:t>Journal of Psychosomatic Research, 127</w:t>
      </w:r>
      <w:r w:rsidRPr="00A10951">
        <w:t>, 9. doi:10.1016/j.jpsychores.2019.109841</w:t>
      </w:r>
    </w:p>
    <w:p w14:paraId="5A8E702C" w14:textId="77777777" w:rsidR="00891A41" w:rsidRPr="00A10951" w:rsidRDefault="00891A41" w:rsidP="00C131CF">
      <w:pPr>
        <w:pStyle w:val="EndNoteBibliography"/>
        <w:ind w:left="720" w:hanging="720"/>
      </w:pPr>
      <w:r w:rsidRPr="00A10951">
        <w:lastRenderedPageBreak/>
        <w:t xml:space="preserve">Burgess, M., &amp; Chalder, T. (2001). Telephone Cognitive Behaviour Therapy for Chronic Fatigue Syndrome in Secondary Care: a Case Series. </w:t>
      </w:r>
      <w:r w:rsidRPr="00A10951">
        <w:rPr>
          <w:i/>
        </w:rPr>
        <w:t>Behavioural and Cognitive Psychotherapy, 29</w:t>
      </w:r>
      <w:r w:rsidRPr="00A10951">
        <w:t>(4), 447-455. doi:10.1017/s1352465801004052</w:t>
      </w:r>
    </w:p>
    <w:p w14:paraId="25723ADA" w14:textId="77777777" w:rsidR="00891A41" w:rsidRPr="00A10951" w:rsidRDefault="00891A41" w:rsidP="00C131CF">
      <w:pPr>
        <w:pStyle w:val="EndNoteBibliography"/>
        <w:ind w:left="720" w:hanging="720"/>
      </w:pPr>
      <w:r w:rsidRPr="00A10951">
        <w:t xml:space="preserve">Chalder, T., Deary, V., Husain, K., &amp; Walwyn, R. (2010). Family-focused cognitive behaviour therapy versus psycho-education for chronic fatigue syndrome in 11- to 18-year-olds: A randomized controlled treatment trial. </w:t>
      </w:r>
      <w:r w:rsidRPr="00A10951">
        <w:rPr>
          <w:i/>
        </w:rPr>
        <w:t>Psychological Medicine, 40</w:t>
      </w:r>
      <w:r w:rsidRPr="00A10951">
        <w:t>(8), 1269-1279. doi:10.1017/S003329170999153X</w:t>
      </w:r>
    </w:p>
    <w:p w14:paraId="3AB50A06" w14:textId="563D4A7C" w:rsidR="00891A41" w:rsidRPr="00A10951" w:rsidRDefault="00891A41" w:rsidP="00C131CF">
      <w:pPr>
        <w:pStyle w:val="EndNoteBibliography"/>
        <w:ind w:left="720" w:hanging="720"/>
      </w:pPr>
      <w:r w:rsidRPr="00A10951">
        <w:t xml:space="preserve">Chisholm, D., Godfrey, E., Ridsdale, L., Chalder, T., King, M., Seed, P., . . . Wessely, S. (2001). Chronic fatigue in general practice: Economic evaluation of counselling versus cognitive behaviour therapy. </w:t>
      </w:r>
      <w:r w:rsidRPr="00A10951">
        <w:rPr>
          <w:i/>
        </w:rPr>
        <w:t>British Journal of General Practice, 51(462)</w:t>
      </w:r>
      <w:r w:rsidRPr="00A10951">
        <w:t xml:space="preserve">, 15-18. </w:t>
      </w:r>
    </w:p>
    <w:p w14:paraId="4E4E6072" w14:textId="77777777" w:rsidR="00891A41" w:rsidRPr="00A10951" w:rsidRDefault="00891A41" w:rsidP="00C131CF">
      <w:pPr>
        <w:pStyle w:val="EndNoteBibliography"/>
        <w:ind w:left="720" w:hanging="720"/>
      </w:pPr>
      <w:r w:rsidRPr="00A10951">
        <w:t xml:space="preserve">Courtney, R. (2014). Improvement rates in adolescent patients with chronic fatigue syndrome after receiving cognitive behavioural therapy. </w:t>
      </w:r>
      <w:r w:rsidRPr="00A10951">
        <w:rPr>
          <w:i/>
        </w:rPr>
        <w:t>European Journal of Pediatrics, 173</w:t>
      </w:r>
      <w:r w:rsidRPr="00A10951">
        <w:t>(5), 691-691. doi:10.1007/s00431-013-2234-x</w:t>
      </w:r>
    </w:p>
    <w:p w14:paraId="2FD6CE35" w14:textId="77777777" w:rsidR="00891A41" w:rsidRPr="00A10951" w:rsidRDefault="00891A41" w:rsidP="00C131CF">
      <w:pPr>
        <w:pStyle w:val="EndNoteBibliography"/>
        <w:ind w:left="720" w:hanging="720"/>
      </w:pPr>
      <w:r w:rsidRPr="00A10951">
        <w:t xml:space="preserve">Cox, D. L. (2002). Chronic fatigue syndrome: An evaluation of an occupational therapy inpatient intervention. </w:t>
      </w:r>
      <w:r w:rsidRPr="00A10951">
        <w:rPr>
          <w:i/>
        </w:rPr>
        <w:t>British Journal of Occupational Therapy, 65(10)</w:t>
      </w:r>
      <w:r w:rsidRPr="00A10951">
        <w:t>, 461-468. doi:</w:t>
      </w:r>
      <w:r w:rsidRPr="00891A41">
        <w:t>http://dx.doi.org/10.1177/030802260206501005</w:t>
      </w:r>
    </w:p>
    <w:p w14:paraId="5EB18418" w14:textId="77777777" w:rsidR="00891A41" w:rsidRPr="003E48E3" w:rsidRDefault="00891A41" w:rsidP="00C131CF">
      <w:pPr>
        <w:pStyle w:val="EndNoteBibliography"/>
        <w:ind w:left="720" w:hanging="720"/>
        <w:rPr>
          <w:lang w:val="nl-NL"/>
        </w:rPr>
      </w:pPr>
      <w:r w:rsidRPr="00A10951">
        <w:t xml:space="preserve">de Vree, B., van der Werf, S., Prins, J., Bazelmans, E., Vercoulen, J., Servaes, P., . . . </w:t>
      </w:r>
      <w:r w:rsidRPr="003E48E3">
        <w:rPr>
          <w:lang w:val="nl-NL"/>
        </w:rPr>
        <w:t xml:space="preserve">Bleijenberg, G. (2002). Meetinstrumenten bij chronische vermoeidheid [Measuring instruments for chronic fatigue]. </w:t>
      </w:r>
      <w:r w:rsidRPr="003E48E3">
        <w:rPr>
          <w:i/>
          <w:lang w:val="nl-NL"/>
        </w:rPr>
        <w:t>Gedragstherapie, 35 (2)</w:t>
      </w:r>
      <w:r w:rsidRPr="003E48E3">
        <w:rPr>
          <w:lang w:val="nl-NL"/>
        </w:rPr>
        <w:t xml:space="preserve">, 157–164. </w:t>
      </w:r>
    </w:p>
    <w:p w14:paraId="5B257970" w14:textId="77777777" w:rsidR="00891A41" w:rsidRPr="00A10951" w:rsidRDefault="00891A41" w:rsidP="00C131CF">
      <w:pPr>
        <w:pStyle w:val="EndNoteBibliography"/>
        <w:ind w:left="720" w:hanging="720"/>
      </w:pPr>
      <w:r w:rsidRPr="00A10951">
        <w:t xml:space="preserve">Deale, A., Husain, K., Chalder, T., &amp; Wessely, S. (2001). Long-term outcome of cognitive behavior therapy versus relaxation therapy for chronic fatigue syndrome: A 5-year follow-up study. </w:t>
      </w:r>
      <w:r w:rsidRPr="00A10951">
        <w:rPr>
          <w:i/>
        </w:rPr>
        <w:t>American Journal of Psychiatry, 158</w:t>
      </w:r>
      <w:r w:rsidRPr="00A10951">
        <w:t>(12), 2038-2042. doi:10.1176/appi.ajp.158.12.2038</w:t>
      </w:r>
    </w:p>
    <w:p w14:paraId="47B0AD08" w14:textId="77777777" w:rsidR="00891A41" w:rsidRPr="00B536EA" w:rsidRDefault="00891A41" w:rsidP="00C131CF">
      <w:pPr>
        <w:pStyle w:val="EndNoteBibliography"/>
        <w:ind w:left="720" w:hanging="720"/>
      </w:pPr>
      <w:r w:rsidRPr="00A10951">
        <w:t xml:space="preserve">Dittner, A. J., Wessely, S. C., &amp; Brown, R. G. (2004). The assessment of fatigue: A practical guide for clinicians and researchers. </w:t>
      </w:r>
      <w:r w:rsidRPr="00A10951">
        <w:rPr>
          <w:i/>
        </w:rPr>
        <w:t>Journal of Psychosomatic Research, 56</w:t>
      </w:r>
      <w:r w:rsidRPr="00A10951">
        <w:t>(2), 157-</w:t>
      </w:r>
      <w:r w:rsidRPr="00B536EA">
        <w:t>170. doi:10.1016/S0022-3999(03)00371-4</w:t>
      </w:r>
    </w:p>
    <w:p w14:paraId="5FEAE299" w14:textId="4916F8D0" w:rsidR="00891A41" w:rsidRPr="00B536EA" w:rsidRDefault="00891A41" w:rsidP="00C131CF">
      <w:pPr>
        <w:pStyle w:val="EndNoteBibliography"/>
        <w:ind w:left="720" w:hanging="720"/>
      </w:pPr>
      <w:r w:rsidRPr="00B536EA">
        <w:t>Fukuda, K., Straus, S. E., Hickie, I., Sharpe, M. C., Dobbins, J. G., Komaroff, A., &amp; International Chronic Fatigue Syndrome Study, G</w:t>
      </w:r>
      <w:r w:rsidR="00B536EA" w:rsidRPr="00B536EA">
        <w:t>roup</w:t>
      </w:r>
      <w:r w:rsidRPr="00B536EA">
        <w:t xml:space="preserve">. (1994). The Chronic Fatigue Syndrome: A Comprehensive Approach to Its Definition and Study. </w:t>
      </w:r>
      <w:r w:rsidRPr="00B536EA">
        <w:rPr>
          <w:i/>
        </w:rPr>
        <w:t>Ann</w:t>
      </w:r>
      <w:r w:rsidR="00B536EA" w:rsidRPr="00B536EA">
        <w:rPr>
          <w:i/>
        </w:rPr>
        <w:t xml:space="preserve">als of </w:t>
      </w:r>
      <w:r w:rsidRPr="00B536EA">
        <w:rPr>
          <w:i/>
        </w:rPr>
        <w:t>Intern</w:t>
      </w:r>
      <w:r w:rsidR="00B536EA" w:rsidRPr="00B536EA">
        <w:rPr>
          <w:i/>
        </w:rPr>
        <w:t>al</w:t>
      </w:r>
      <w:r w:rsidRPr="00B536EA">
        <w:rPr>
          <w:i/>
        </w:rPr>
        <w:t xml:space="preserve"> Med</w:t>
      </w:r>
      <w:r w:rsidR="00B536EA" w:rsidRPr="00B536EA">
        <w:rPr>
          <w:i/>
        </w:rPr>
        <w:t>icine</w:t>
      </w:r>
      <w:r w:rsidRPr="00B536EA">
        <w:rPr>
          <w:i/>
        </w:rPr>
        <w:t>, 121</w:t>
      </w:r>
      <w:r w:rsidRPr="00B536EA">
        <w:t xml:space="preserve">, 953-959. </w:t>
      </w:r>
    </w:p>
    <w:p w14:paraId="5103E77D" w14:textId="77777777" w:rsidR="00891A41" w:rsidRPr="00A10951" w:rsidRDefault="00891A41" w:rsidP="00C131CF">
      <w:pPr>
        <w:pStyle w:val="EndNoteBibliography"/>
        <w:ind w:left="720" w:hanging="720"/>
      </w:pPr>
      <w:r w:rsidRPr="00B536EA">
        <w:t>Gotaas, M. E., Stiles, T. C., Bjorngaard, J. H., Borchgrevink, P. C., &amp; Fors, E. A. (2021). Cognitive Behavioral Therapy Improves Physical Function and Fatigue in Mild and</w:t>
      </w:r>
      <w:r w:rsidRPr="00A10951">
        <w:t xml:space="preserve"> Moderate Chronic Fatigue Syndrome: A Consecutive Randomized Controlled Trial of Standard and Short Interventions. </w:t>
      </w:r>
      <w:r w:rsidRPr="00A10951">
        <w:rPr>
          <w:i/>
        </w:rPr>
        <w:t>Frontiers in Psychiatry, 12</w:t>
      </w:r>
      <w:r w:rsidRPr="00A10951">
        <w:t>, 12. doi:10.3389/fpsyt.2021.580924</w:t>
      </w:r>
    </w:p>
    <w:p w14:paraId="1DD4936F" w14:textId="77777777" w:rsidR="00891A41" w:rsidRPr="00A10951" w:rsidRDefault="00891A41" w:rsidP="00C131CF">
      <w:pPr>
        <w:pStyle w:val="EndNoteBibliography"/>
        <w:ind w:left="720" w:hanging="720"/>
      </w:pPr>
      <w:r w:rsidRPr="00A10951">
        <w:t xml:space="preserve">Heins, M., Knoop, H., Nijs, J., Feskens, R., Meeus, M., Moorkens, G., &amp; Bleijenberg, G. (2013). Influence of symptom expectancies on stair-climbing performance in chronic fatigue syndrome: effect of study context. </w:t>
      </w:r>
      <w:r w:rsidRPr="00A10951">
        <w:rPr>
          <w:i/>
        </w:rPr>
        <w:t>International Journal of Behavioral Medicine, 20</w:t>
      </w:r>
      <w:r w:rsidRPr="00A10951">
        <w:t>(2), 213-218. doi:10.1007/s12529-012-9253-2</w:t>
      </w:r>
    </w:p>
    <w:p w14:paraId="7F28C7D0" w14:textId="77777777" w:rsidR="00891A41" w:rsidRPr="00A10951" w:rsidRDefault="00891A41" w:rsidP="00C131CF">
      <w:pPr>
        <w:pStyle w:val="EndNoteBibliography"/>
        <w:ind w:left="720" w:hanging="720"/>
      </w:pPr>
      <w:r w:rsidRPr="00A10951">
        <w:t xml:space="preserve">Jacobsen, P. B., Andrykowski, M. A., &amp; Thors, C. L. (2004). Relationship of Catastrophizing to Fatigue among Women Receiving Treatment for Breast Cancer. </w:t>
      </w:r>
      <w:r w:rsidRPr="00A10951">
        <w:rPr>
          <w:i/>
        </w:rPr>
        <w:t>Journal of Consulting and Clinical Psychology, 72</w:t>
      </w:r>
      <w:r w:rsidRPr="00A10951">
        <w:t>(2), 355-361. doi:10.1037/0022-006X.72.2.355</w:t>
      </w:r>
    </w:p>
    <w:p w14:paraId="5A866322" w14:textId="77777777" w:rsidR="00891A41" w:rsidRPr="00A10951" w:rsidRDefault="00891A41" w:rsidP="00C131CF">
      <w:pPr>
        <w:pStyle w:val="EndNoteBibliography"/>
        <w:ind w:left="720" w:hanging="720"/>
      </w:pPr>
      <w:r w:rsidRPr="00A10951">
        <w:t xml:space="preserve">Janse, A., Wiborg, J. F., Bleijenberg, G., Tummers, M., &amp; Knoop, H. (2016). The efficacy of guided self-instruction for patients with idiopathic chronic fatigue: A randomized controlled trial. </w:t>
      </w:r>
      <w:r w:rsidRPr="00A10951">
        <w:rPr>
          <w:i/>
        </w:rPr>
        <w:t>Journal of Consulting and Clinical Psychology, 84</w:t>
      </w:r>
      <w:r w:rsidRPr="00A10951">
        <w:t>(5), 377-388. doi:10.1037/ccp0000085</w:t>
      </w:r>
    </w:p>
    <w:p w14:paraId="7095F0D5" w14:textId="77777777" w:rsidR="00891A41" w:rsidRPr="00A10951" w:rsidRDefault="00891A41" w:rsidP="00C131CF">
      <w:pPr>
        <w:pStyle w:val="EndNoteBibliography"/>
        <w:ind w:left="720" w:hanging="720"/>
      </w:pPr>
      <w:r w:rsidRPr="00A10951">
        <w:lastRenderedPageBreak/>
        <w:t xml:space="preserve">Janse, A., Worm-Smeitink, M., Bleijenberg, G., Donders, R., &amp; Knoop, H. (2018). Efficacy of web-based cognitive-behavioural therapy for chronic fatigue syndrome: Randomised controlled trial. </w:t>
      </w:r>
      <w:r w:rsidRPr="00A10951">
        <w:rPr>
          <w:i/>
        </w:rPr>
        <w:t>British Journal of Psychiatry, 212</w:t>
      </w:r>
      <w:r w:rsidRPr="00A10951">
        <w:t>(2), 112-118. doi:10.1192/bjp.2017.22</w:t>
      </w:r>
    </w:p>
    <w:p w14:paraId="43450148" w14:textId="77777777" w:rsidR="00891A41" w:rsidRPr="003E48E3" w:rsidRDefault="00891A41" w:rsidP="00C131CF">
      <w:pPr>
        <w:pStyle w:val="EndNoteBibliography"/>
        <w:ind w:left="720" w:hanging="720"/>
        <w:rPr>
          <w:lang w:val="nl-NL"/>
        </w:rPr>
      </w:pPr>
      <w:r w:rsidRPr="00A10951">
        <w:t xml:space="preserve">Jason, L. A., Torres-Harding, S., Friedberg, F., Corradi, K., Njoku, M. G., Donalek, J., . . . Papernik, M. (2007). Non-pharmacologic interventions for CFS: A randomized trial. </w:t>
      </w:r>
      <w:r w:rsidRPr="003E48E3">
        <w:rPr>
          <w:i/>
          <w:lang w:val="nl-NL"/>
        </w:rPr>
        <w:t>Journal of Clinical Psychology in Medical Settings, 14</w:t>
      </w:r>
      <w:r w:rsidRPr="003E48E3">
        <w:rPr>
          <w:lang w:val="nl-NL"/>
        </w:rPr>
        <w:t>(4), 275-296. doi:10.1007/s10880-007-9090-7</w:t>
      </w:r>
    </w:p>
    <w:p w14:paraId="494F0232" w14:textId="77777777" w:rsidR="00891A41" w:rsidRPr="003E48E3" w:rsidRDefault="00891A41" w:rsidP="00C131CF">
      <w:pPr>
        <w:pStyle w:val="EndNoteBibliography"/>
        <w:ind w:left="720" w:hanging="720"/>
        <w:rPr>
          <w:lang w:val="nl-NL"/>
        </w:rPr>
      </w:pPr>
      <w:r w:rsidRPr="003E48E3">
        <w:rPr>
          <w:lang w:val="nl-NL"/>
        </w:rPr>
        <w:t xml:space="preserve">Knoop, H., &amp; Bleijenberg, G. (2010). </w:t>
      </w:r>
      <w:r w:rsidRPr="003E48E3">
        <w:rPr>
          <w:i/>
          <w:lang w:val="nl-NL"/>
        </w:rPr>
        <w:t>Het chronisch vermoeidheidssyndroom: behandelprotocol cognitieve gedragstherapie voor cvs</w:t>
      </w:r>
      <w:r w:rsidRPr="003E48E3">
        <w:rPr>
          <w:lang w:val="nl-NL"/>
        </w:rPr>
        <w:t>. Houten: Bohn Stafleu van Loghum.</w:t>
      </w:r>
    </w:p>
    <w:p w14:paraId="7714063C" w14:textId="77777777" w:rsidR="00891A41" w:rsidRPr="003E48E3" w:rsidRDefault="00891A41" w:rsidP="00C131CF">
      <w:pPr>
        <w:pStyle w:val="EndNoteBibliography"/>
        <w:ind w:left="720" w:hanging="720"/>
        <w:rPr>
          <w:lang w:val="nl-NL"/>
        </w:rPr>
      </w:pPr>
      <w:r w:rsidRPr="003E48E3">
        <w:rPr>
          <w:lang w:val="nl-NL"/>
        </w:rPr>
        <w:t xml:space="preserve">Knoop, H., Bleijenberg, G., Gielissen, M. F., van der Meer, J. W., &amp; White, P. D. (2007). </w:t>
      </w:r>
      <w:r w:rsidRPr="00A10951">
        <w:t xml:space="preserve">Is a full recovery possible after cognitive behavioural therapy for chronic fatigue syndrome? </w:t>
      </w:r>
      <w:r w:rsidRPr="003E48E3">
        <w:rPr>
          <w:i/>
          <w:lang w:val="nl-NL"/>
        </w:rPr>
        <w:t>Psychotherapy and Psychosomatics, 76</w:t>
      </w:r>
      <w:r w:rsidRPr="003E48E3">
        <w:rPr>
          <w:lang w:val="nl-NL"/>
        </w:rPr>
        <w:t>(3), 171-176. doi:10.1159/000099844</w:t>
      </w:r>
    </w:p>
    <w:p w14:paraId="56403657" w14:textId="6AED4A53" w:rsidR="00891A41" w:rsidRPr="00A10951" w:rsidRDefault="002F327C" w:rsidP="00C131CF">
      <w:pPr>
        <w:pStyle w:val="EndNoteBibliography"/>
        <w:ind w:left="720" w:hanging="720"/>
      </w:pPr>
      <w:r>
        <w:rPr>
          <w:lang w:val="nl-NL"/>
        </w:rPr>
        <w:t>Knoop, H., Van d</w:t>
      </w:r>
      <w:r w:rsidR="00891A41" w:rsidRPr="003E48E3">
        <w:rPr>
          <w:lang w:val="nl-NL"/>
        </w:rPr>
        <w:t xml:space="preserve">er Meer, J. W. M., &amp; Bleijenberg, G. (2008). </w:t>
      </w:r>
      <w:r w:rsidR="00891A41" w:rsidRPr="00A10951">
        <w:t xml:space="preserve">Guided self-instructions for people with chronic fatigue syndrome: Randomised controlled trial. </w:t>
      </w:r>
      <w:r w:rsidR="00891A41" w:rsidRPr="00A10951">
        <w:rPr>
          <w:i/>
        </w:rPr>
        <w:t>British Journal of Psychiatry, 193</w:t>
      </w:r>
      <w:r w:rsidR="00891A41" w:rsidRPr="00A10951">
        <w:t>(4), 340-341. doi:10.1192/bjp.bp.108.051292</w:t>
      </w:r>
    </w:p>
    <w:p w14:paraId="78717BE6" w14:textId="77777777" w:rsidR="00891A41" w:rsidRPr="00A10951" w:rsidRDefault="00891A41" w:rsidP="00C131CF">
      <w:pPr>
        <w:pStyle w:val="EndNoteBibliography"/>
        <w:ind w:left="720" w:hanging="720"/>
      </w:pPr>
      <w:r w:rsidRPr="00A10951">
        <w:t xml:space="preserve">Lecrubier, Y., Sheehan, D. V., Weiller, E., Amorim, P., Bonora, I., Sheehan, K. H., . . . Dunbar, G. C. (1997). The Mini International Neuropsychiatric Interview (MINI). A short diagnostic structured interview: reliability and validity according to the CIDI. </w:t>
      </w:r>
      <w:r w:rsidRPr="00A10951">
        <w:rPr>
          <w:i/>
        </w:rPr>
        <w:t>European Psychiatry, 12</w:t>
      </w:r>
      <w:r w:rsidRPr="00A10951">
        <w:t>(5), 224-231. doi:10.1016/S0924-9338(97)83296-8</w:t>
      </w:r>
    </w:p>
    <w:p w14:paraId="34AB0DA8" w14:textId="77777777" w:rsidR="00891A41" w:rsidRPr="003E48E3" w:rsidRDefault="00891A41" w:rsidP="00C131CF">
      <w:pPr>
        <w:pStyle w:val="EndNoteBibliography"/>
        <w:ind w:left="720" w:hanging="720"/>
        <w:rPr>
          <w:lang w:val="nl-NL"/>
        </w:rPr>
      </w:pPr>
      <w:r w:rsidRPr="00A10951">
        <w:t xml:space="preserve">Lopez, C., Antoni, M., Penedo, F., Weiss, D., Cruess, S., Segotas, M. C., . . . Fletcher, M. A. (2011). A pilot study of cognitive behavioral stress management effects on stress, quality of life, and symptoms in persons with chronic fatigue syndrome. </w:t>
      </w:r>
      <w:r w:rsidRPr="003E48E3">
        <w:rPr>
          <w:i/>
          <w:lang w:val="nl-NL"/>
        </w:rPr>
        <w:t>Journal of Psychosomatic Research, 70</w:t>
      </w:r>
      <w:r w:rsidRPr="003E48E3">
        <w:rPr>
          <w:lang w:val="nl-NL"/>
        </w:rPr>
        <w:t>(4), 328-334. doi:10.1016/j.jpsychores.2010.11.010</w:t>
      </w:r>
    </w:p>
    <w:p w14:paraId="2137BD7A" w14:textId="77777777" w:rsidR="00891A41" w:rsidRPr="00A10951" w:rsidRDefault="00891A41" w:rsidP="00C131CF">
      <w:pPr>
        <w:pStyle w:val="EndNoteBibliography"/>
        <w:ind w:left="720" w:hanging="720"/>
      </w:pPr>
      <w:r w:rsidRPr="003E48E3">
        <w:rPr>
          <w:lang w:val="nl-NL"/>
        </w:rPr>
        <w:t xml:space="preserve">Malik, S., Asprusten, T. T., Pedersen, M., Mangersnes, J., Trondalen, G., van Roy, B., . . . </w:t>
      </w:r>
      <w:r w:rsidRPr="00A10951">
        <w:t xml:space="preserve">Wyller, V. B. (2020). Cognitive-behavioural therapy combined with music therapy for chronic fatigue following Epstein-Barr virus infection in adolescents: a randomised controlled trial. </w:t>
      </w:r>
      <w:r w:rsidRPr="00A10951">
        <w:rPr>
          <w:i/>
        </w:rPr>
        <w:t>BMJ Paediatrics Open, 4</w:t>
      </w:r>
      <w:r w:rsidRPr="00A10951">
        <w:t>(1), 10. doi:10.1136/bmjpo-2020-000797</w:t>
      </w:r>
    </w:p>
    <w:p w14:paraId="726CA3D2" w14:textId="52F0706E" w:rsidR="00891A41" w:rsidRPr="00A10951" w:rsidRDefault="00891A41" w:rsidP="00C131CF">
      <w:pPr>
        <w:pStyle w:val="EndNoteBibliography"/>
        <w:ind w:left="720" w:hanging="720"/>
      </w:pPr>
      <w:r w:rsidRPr="00A10951">
        <w:t xml:space="preserve">May, M., Milrad, S. F., Perdomo, D. M., Czaja, S. J., Fletcher, M. A., Jutagir, D. R., . . . Antoni, M. H. (2022). Videoconferenced Group Cognitive Behavioral Stress Management Improves </w:t>
      </w:r>
      <w:r w:rsidRPr="00C131CF">
        <w:t>Symptoms in M</w:t>
      </w:r>
      <w:r w:rsidR="00C131CF" w:rsidRPr="00C131CF">
        <w:t>E/CFS</w:t>
      </w:r>
      <w:r w:rsidRPr="00C131CF">
        <w:t xml:space="preserve"> Patients Presenting with Elevated Post-Exertional Malaise. </w:t>
      </w:r>
      <w:r w:rsidRPr="00C131CF">
        <w:rPr>
          <w:i/>
        </w:rPr>
        <w:t>Psychosomatic Medicine, 84(5)</w:t>
      </w:r>
      <w:r w:rsidRPr="00C131CF">
        <w:t>, A134.</w:t>
      </w:r>
      <w:r w:rsidRPr="00A10951">
        <w:t xml:space="preserve"> </w:t>
      </w:r>
    </w:p>
    <w:p w14:paraId="396D2C8B" w14:textId="77777777" w:rsidR="00891A41" w:rsidRPr="00A10951" w:rsidRDefault="00891A41" w:rsidP="00C131CF">
      <w:pPr>
        <w:pStyle w:val="EndNoteBibliography"/>
        <w:ind w:left="720" w:hanging="720"/>
      </w:pPr>
      <w:r w:rsidRPr="00A10951">
        <w:t xml:space="preserve">McCrone, P., Ridsdale, L., Darbishire, L., &amp; Seed, P. (2004). Cost-effectiveness of cognitive behavioural therapy, graded exercise and usual care for patients with chronic fatigue in primary care. </w:t>
      </w:r>
      <w:r w:rsidRPr="00A10951">
        <w:rPr>
          <w:i/>
        </w:rPr>
        <w:t>Psychological Medicine, 34</w:t>
      </w:r>
      <w:r w:rsidRPr="00A10951">
        <w:t>(6), 991-999. doi:10.1017/s0033291704001928</w:t>
      </w:r>
    </w:p>
    <w:p w14:paraId="2C52A0D2" w14:textId="3D799464" w:rsidR="00891A41" w:rsidRPr="00B536EA" w:rsidRDefault="00891A41" w:rsidP="00C131CF">
      <w:pPr>
        <w:pStyle w:val="EndNoteBibliography"/>
        <w:ind w:left="720" w:hanging="720"/>
      </w:pPr>
      <w:r w:rsidRPr="00A10951">
        <w:t xml:space="preserve">Meng, H., &amp; Friedberg, F. (2015). Cost-effectiveness of home-based fatigue self-management intervention: A randomized controlled trial. </w:t>
      </w:r>
      <w:r w:rsidRPr="00B536EA">
        <w:rPr>
          <w:i/>
        </w:rPr>
        <w:t>Value in Health, 18(3)</w:t>
      </w:r>
      <w:r w:rsidRPr="00B536EA">
        <w:t xml:space="preserve">, A298. </w:t>
      </w:r>
    </w:p>
    <w:p w14:paraId="78F06756" w14:textId="77777777" w:rsidR="00891A41" w:rsidRPr="00A10951" w:rsidRDefault="00891A41" w:rsidP="00C131CF">
      <w:pPr>
        <w:pStyle w:val="EndNoteBibliography"/>
        <w:ind w:left="720" w:hanging="720"/>
      </w:pPr>
      <w:r w:rsidRPr="00B536EA">
        <w:t>Meng, H., &amp; Friedberg, F. (2017). Cost-utility of home-based fatigue self-management versus</w:t>
      </w:r>
      <w:r w:rsidRPr="00A10951">
        <w:t xml:space="preserve"> usual care for the treatment of chronic fatigue syndrome. </w:t>
      </w:r>
      <w:r w:rsidRPr="00A10951">
        <w:rPr>
          <w:i/>
        </w:rPr>
        <w:t>Fatigue: Biomedicine, Health and Behavior, 5(4)</w:t>
      </w:r>
      <w:r w:rsidRPr="00A10951">
        <w:t>, 202-214. doi:</w:t>
      </w:r>
      <w:r w:rsidRPr="00891A41">
        <w:t>https://dx.doi.org/10.1080/21641846.2017.1343171</w:t>
      </w:r>
    </w:p>
    <w:p w14:paraId="39B94049" w14:textId="680F90C1" w:rsidR="00891A41" w:rsidRPr="00A10951" w:rsidRDefault="00891A41" w:rsidP="00C131CF">
      <w:pPr>
        <w:pStyle w:val="EndNoteBibliography"/>
        <w:ind w:left="720" w:hanging="720"/>
      </w:pPr>
      <w:r w:rsidRPr="00C131CF">
        <w:t xml:space="preserve">Nijhof, S. L., Bleijenberg, G., Uiterwaal, C. S., Kimpen, J. L., &amp; van de Putte, E. M. (2011). </w:t>
      </w:r>
      <w:r w:rsidRPr="00A10951">
        <w:t xml:space="preserve">Fatigue In Teenagers on the interNET--the FITNET Trial. A randomized clinical trial of </w:t>
      </w:r>
      <w:r w:rsidRPr="00A10951">
        <w:lastRenderedPageBreak/>
        <w:t xml:space="preserve">web-based cognitive behavioural therapy for adolescents with chronic fatigue syndrome: study protocol. </w:t>
      </w:r>
      <w:r w:rsidRPr="00A10951">
        <w:rPr>
          <w:i/>
        </w:rPr>
        <w:t>BMC Neurology, 11</w:t>
      </w:r>
      <w:r w:rsidRPr="00A10951">
        <w:t>, 23. doi:10.1186/1471-2377-11-23</w:t>
      </w:r>
    </w:p>
    <w:p w14:paraId="12E3F5AE" w14:textId="77777777" w:rsidR="00891A41" w:rsidRPr="00A10951" w:rsidRDefault="00891A41" w:rsidP="00C131CF">
      <w:pPr>
        <w:pStyle w:val="EndNoteBibliography"/>
        <w:ind w:left="720" w:hanging="720"/>
      </w:pPr>
      <w:r w:rsidRPr="00A10951">
        <w:t xml:space="preserve">Nijhof, S. L., Bleijenberg, J., Uiterwaal, C., Kimpen, J. L. L., &amp; Putte, E. v. d. (2012). Effectiveness of internet-based cognitive behavioural treatment for adolescents with chronic fatigue syndrome (FITNET): a randomised controlled trial. </w:t>
      </w:r>
      <w:r w:rsidRPr="00A10951">
        <w:rPr>
          <w:i/>
        </w:rPr>
        <w:t>The Lancet, 379</w:t>
      </w:r>
      <w:r w:rsidRPr="00A10951">
        <w:t>, 1412-1418. doi:10.1016/S0140</w:t>
      </w:r>
    </w:p>
    <w:p w14:paraId="4E54E0C9" w14:textId="77777777" w:rsidR="00891A41" w:rsidRPr="00A10951" w:rsidRDefault="00891A41" w:rsidP="00C131CF">
      <w:pPr>
        <w:pStyle w:val="EndNoteBibliography"/>
        <w:ind w:left="720" w:hanging="720"/>
      </w:pPr>
      <w:r w:rsidRPr="00A10951">
        <w:t xml:space="preserve">Nunez, M., Fernandez-Sola, J., Nunez, E., Fernandez-Huerta, J. M., Godas-Sieso, T., &amp; Gomez-Gil, E. (2011). Health-related quality of life in patients with chronic fatigue syndrome: group cognitive behavioural therapy and graded exercise versus usual treatment. A randomised controlled trial with 1 year of follow-up. </w:t>
      </w:r>
      <w:r w:rsidRPr="00A10951">
        <w:rPr>
          <w:i/>
        </w:rPr>
        <w:t>Clinical Rheumatology, 30</w:t>
      </w:r>
      <w:r w:rsidRPr="00A10951">
        <w:t>(3), 381-389. doi:10.1007/s10067-010-1677-y</w:t>
      </w:r>
    </w:p>
    <w:p w14:paraId="29407149" w14:textId="54E73DD6" w:rsidR="00891A41" w:rsidRPr="00A10951" w:rsidRDefault="00891A41" w:rsidP="00C131CF">
      <w:pPr>
        <w:pStyle w:val="EndNoteBibliography"/>
        <w:ind w:left="720" w:hanging="720"/>
      </w:pPr>
      <w:r w:rsidRPr="00A10951">
        <w:t xml:space="preserve">O'Dowd, H., Gladwell, P., Rogers, C. A., Hollinghurst, S., &amp; Gregory, A. (2006). Cognitive behavioural therapy in chronic fatigue syndrome: a randomised controlled trial of an outpatient group programme. </w:t>
      </w:r>
      <w:r w:rsidRPr="00A10951">
        <w:rPr>
          <w:i/>
        </w:rPr>
        <w:t>Health Technology Assessment, 10</w:t>
      </w:r>
      <w:r w:rsidRPr="00A10951">
        <w:t>(37)</w:t>
      </w:r>
      <w:r w:rsidR="00C131CF">
        <w:t xml:space="preserve">. </w:t>
      </w:r>
    </w:p>
    <w:p w14:paraId="2846D76F" w14:textId="77777777" w:rsidR="00891A41" w:rsidRPr="00A10951" w:rsidRDefault="00891A41" w:rsidP="00C131CF">
      <w:pPr>
        <w:pStyle w:val="EndNoteBibliography"/>
        <w:ind w:left="720" w:hanging="720"/>
      </w:pPr>
      <w:r w:rsidRPr="00A10951">
        <w:t xml:space="preserve">Pinxsterhuis, I., Sandvik, L., Strand, E. B., Bautz-Holter, E., &amp; Sveen, U. (2017). Effectiveness of a group-based self-management program for people with chronic fatigue syndrome: a randomized controlled trial. </w:t>
      </w:r>
      <w:r w:rsidRPr="00A10951">
        <w:rPr>
          <w:i/>
        </w:rPr>
        <w:t>Clinical Rehabilitation, 31</w:t>
      </w:r>
      <w:r w:rsidRPr="00A10951">
        <w:t>(1), 93-103. doi:10.1177/0269215515621362</w:t>
      </w:r>
    </w:p>
    <w:p w14:paraId="40C395F7" w14:textId="266D1B9E" w:rsidR="00891A41" w:rsidRPr="003E48E3" w:rsidRDefault="00891A41" w:rsidP="00C131CF">
      <w:pPr>
        <w:pStyle w:val="EndNoteBibliography"/>
        <w:ind w:left="720" w:hanging="720"/>
        <w:rPr>
          <w:lang w:val="nl-NL"/>
        </w:rPr>
      </w:pPr>
      <w:r w:rsidRPr="00A10951">
        <w:t xml:space="preserve">Powell, P., Bentall, R. P., Nye, F. J., &amp; Edwards, K. H. T. (2001). Randomised controlled trial of patient education to encourage graded exercise in chronic fatigue syndrome. </w:t>
      </w:r>
      <w:r w:rsidRPr="003E48E3">
        <w:rPr>
          <w:i/>
          <w:lang w:val="nl-NL"/>
        </w:rPr>
        <w:t>British Medical Journal, 322</w:t>
      </w:r>
      <w:r w:rsidRPr="003E48E3">
        <w:rPr>
          <w:lang w:val="nl-NL"/>
        </w:rPr>
        <w:t>(7283), 387-390. doi:10.1136/bmj.322.7283.387</w:t>
      </w:r>
    </w:p>
    <w:p w14:paraId="4BEFA099" w14:textId="3FD78E69" w:rsidR="00891A41" w:rsidRPr="00C131CF" w:rsidRDefault="00891A41" w:rsidP="00C131CF">
      <w:pPr>
        <w:pStyle w:val="EndNoteBibliography"/>
        <w:ind w:left="720" w:hanging="720"/>
      </w:pPr>
      <w:r w:rsidRPr="00C131CF">
        <w:rPr>
          <w:lang w:val="nl-NL"/>
        </w:rPr>
        <w:t xml:space="preserve">Prins, J., Bleijenberg, G., Bazelmans, E., Elving, L., de Boo, T., Severens, H., . . . van der Meer, J. (2002). </w:t>
      </w:r>
      <w:r w:rsidRPr="00C131CF">
        <w:t xml:space="preserve">Cognitive behavior therapy for chronic fatigue syndrome: A multicenter randomized controlled trial. </w:t>
      </w:r>
      <w:r w:rsidRPr="00C131CF">
        <w:rPr>
          <w:i/>
        </w:rPr>
        <w:t>Gedragstherapie, 35</w:t>
      </w:r>
      <w:r w:rsidRPr="00C131CF">
        <w:t xml:space="preserve">(2), 165-180. </w:t>
      </w:r>
    </w:p>
    <w:p w14:paraId="42F0FC2D" w14:textId="77777777" w:rsidR="00891A41" w:rsidRPr="00C131CF" w:rsidRDefault="00891A41" w:rsidP="00C131CF">
      <w:pPr>
        <w:pStyle w:val="EndNoteBibliography"/>
        <w:ind w:left="720" w:hanging="720"/>
      </w:pPr>
      <w:r w:rsidRPr="00C131CF">
        <w:t xml:space="preserve">Prins, J. B., &amp; Bleijenberg, G. (1999). Cognitive behavior therapy for chronic fatigue syndrome: a case study. </w:t>
      </w:r>
      <w:r w:rsidRPr="00C131CF">
        <w:rPr>
          <w:i/>
        </w:rPr>
        <w:t>Journal of Behavior Therapy and Experimental Psychiatry, 30</w:t>
      </w:r>
      <w:r w:rsidRPr="00C131CF">
        <w:t>(4), 325-339. doi:10.1016/s0005-7916(99)00032-4</w:t>
      </w:r>
    </w:p>
    <w:p w14:paraId="32072816" w14:textId="71E48BF8" w:rsidR="00891A41" w:rsidRPr="003E48E3" w:rsidRDefault="00891A41" w:rsidP="00C131CF">
      <w:pPr>
        <w:pStyle w:val="EndNoteBibliography"/>
        <w:ind w:left="720" w:hanging="720"/>
        <w:rPr>
          <w:lang w:val="nl-NL"/>
        </w:rPr>
      </w:pPr>
      <w:r w:rsidRPr="00C131CF">
        <w:t>Prins, J. B., Bleijenberg, G</w:t>
      </w:r>
      <w:r w:rsidRPr="00A10951">
        <w:t>., Bazelmans, E., Elving, L. D., De Boo,</w:t>
      </w:r>
      <w:r w:rsidR="00E15176">
        <w:t xml:space="preserve"> T. M., Severens, J. L., . . . van d</w:t>
      </w:r>
      <w:r w:rsidRPr="00A10951">
        <w:t xml:space="preserve">er Meer, J. W. M. (2001). Cognitive behaviour therapy for chronic fatigue syndrome: A multicentre randomised controlled trial. </w:t>
      </w:r>
      <w:r w:rsidRPr="003E48E3">
        <w:rPr>
          <w:i/>
          <w:lang w:val="nl-NL"/>
        </w:rPr>
        <w:t>The Lancet, 357</w:t>
      </w:r>
      <w:r w:rsidRPr="003E48E3">
        <w:rPr>
          <w:lang w:val="nl-NL"/>
        </w:rPr>
        <w:t>(9259), 841-847. doi:10.1016/S0140-6736(00)04198-2</w:t>
      </w:r>
    </w:p>
    <w:p w14:paraId="57999062" w14:textId="77777777" w:rsidR="00891A41" w:rsidRPr="00A10951" w:rsidRDefault="00891A41" w:rsidP="00C131CF">
      <w:pPr>
        <w:pStyle w:val="EndNoteBibliography"/>
        <w:ind w:left="720" w:hanging="720"/>
      </w:pPr>
      <w:r w:rsidRPr="003E48E3">
        <w:rPr>
          <w:lang w:val="nl-NL"/>
        </w:rPr>
        <w:t xml:space="preserve">Prins, J. B., Bleijenberg, G., Bazelmans, E., Elving, L. D., de Boo, T. M., Severens, J. L., . . . van der Meer, J. W. M. (2001). </w:t>
      </w:r>
      <w:r w:rsidRPr="00A10951">
        <w:t xml:space="preserve">Cognitive behaviour therapy for chronic fatigue syndrome: a multicentre randomised controlled trial. </w:t>
      </w:r>
      <w:r w:rsidRPr="00A10951">
        <w:rPr>
          <w:i/>
        </w:rPr>
        <w:t>Lancet, 357</w:t>
      </w:r>
      <w:r w:rsidRPr="00A10951">
        <w:t>(9259), 841-847. doi:10.1016/s0140-6736(00)04198-2</w:t>
      </w:r>
    </w:p>
    <w:p w14:paraId="3944E8E0" w14:textId="77777777" w:rsidR="00891A41" w:rsidRPr="00A10951" w:rsidRDefault="00891A41" w:rsidP="00C131CF">
      <w:pPr>
        <w:pStyle w:val="EndNoteBibliography"/>
        <w:ind w:left="720" w:hanging="720"/>
      </w:pPr>
      <w:r w:rsidRPr="00A10951">
        <w:t xml:space="preserve">Quarmby, L., Rimes, K. A., Deale, A., Wessely, S., &amp; Chalder, T. (2007). Cognitive-behaviour therapy for chronic fatigue syndrome: Comparison of outcomes within and outside the confines of a randomised controlled trial. </w:t>
      </w:r>
      <w:r w:rsidRPr="00A10951">
        <w:rPr>
          <w:i/>
        </w:rPr>
        <w:t>Behaviour Research and Therapy, 45</w:t>
      </w:r>
      <w:r w:rsidRPr="00A10951">
        <w:t>(6), 1085-1094. doi:10.1016/j.brat.2006.08.019</w:t>
      </w:r>
    </w:p>
    <w:p w14:paraId="23A6BB15" w14:textId="77777777" w:rsidR="00891A41" w:rsidRPr="00A10951" w:rsidRDefault="00891A41" w:rsidP="00C131CF">
      <w:pPr>
        <w:pStyle w:val="EndNoteBibliography"/>
        <w:ind w:left="720" w:hanging="720"/>
      </w:pPr>
      <w:r w:rsidRPr="00A10951">
        <w:t xml:space="preserve">Raat, H., Landgraf, J. M., Bonsel, G. J., Gemke, R. J., &amp; Essink-Bot, M. L. (2002). Reliability and validity of the child health questionnaire-child form (CHQ-CF87) in a Dutch adolescent population. </w:t>
      </w:r>
      <w:r w:rsidRPr="00A10951">
        <w:rPr>
          <w:i/>
        </w:rPr>
        <w:t>Quality of Life Research, 11</w:t>
      </w:r>
      <w:r w:rsidRPr="00A10951">
        <w:t>(6), 575-581. doi:10.1023/a:1016393311799</w:t>
      </w:r>
    </w:p>
    <w:p w14:paraId="4E63E913" w14:textId="77777777" w:rsidR="00891A41" w:rsidRPr="00A10951" w:rsidRDefault="00891A41" w:rsidP="00C131CF">
      <w:pPr>
        <w:pStyle w:val="EndNoteBibliography"/>
        <w:ind w:left="720" w:hanging="720"/>
      </w:pPr>
      <w:r w:rsidRPr="00A10951">
        <w:t xml:space="preserve">Ray, C., Weir, W., Stewart, D., Miller, P., &amp; Hyde, G. (1993). Ways of coping with Chronic Fatigue Syndrome: Development of an illness management questionnaire. </w:t>
      </w:r>
      <w:r w:rsidRPr="00A10951">
        <w:rPr>
          <w:i/>
        </w:rPr>
        <w:t>Social Science and Medicine, 37</w:t>
      </w:r>
      <w:r w:rsidRPr="00A10951">
        <w:t>(3), 385-391. doi:10.1016/0277-9536(93)90268-9</w:t>
      </w:r>
    </w:p>
    <w:p w14:paraId="2363E1EB" w14:textId="77777777" w:rsidR="00F85F27" w:rsidRPr="00456951" w:rsidRDefault="00F85F27" w:rsidP="00F85F27">
      <w:pPr>
        <w:pStyle w:val="EndNoteBibliography"/>
        <w:ind w:left="720" w:hanging="720"/>
      </w:pPr>
      <w:r w:rsidRPr="00456951">
        <w:lastRenderedPageBreak/>
        <w:t xml:space="preserve">Reeves, W. C., Lloyd, A., Vernon, S. D., Klimas, N., Jason, L. A., Bleijenberg, G., . . . Unger, E. R. (2003). Identification of ambiguities in the 1994 chronic fatigue syndrome research case definition and recommendations for resolution. </w:t>
      </w:r>
      <w:r w:rsidRPr="00456951">
        <w:rPr>
          <w:i/>
        </w:rPr>
        <w:t>BMC Health Services Research, 3</w:t>
      </w:r>
      <w:r w:rsidRPr="00456951">
        <w:t>(1), 25. doi:10.1186/1472-6963-3-25</w:t>
      </w:r>
    </w:p>
    <w:p w14:paraId="691398F6" w14:textId="614A9FB0" w:rsidR="00891A41" w:rsidRPr="00C131CF" w:rsidRDefault="00891A41" w:rsidP="00C131CF">
      <w:pPr>
        <w:pStyle w:val="EndNoteBibliography"/>
        <w:ind w:left="720" w:hanging="720"/>
        <w:rPr>
          <w:rFonts w:asciiTheme="minorHAnsi" w:hAnsiTheme="minorHAnsi" w:cstheme="minorHAnsi"/>
        </w:rPr>
      </w:pPr>
      <w:r w:rsidRPr="00C131CF">
        <w:rPr>
          <w:rFonts w:asciiTheme="minorHAnsi" w:hAnsiTheme="minorHAnsi" w:cstheme="minorHAnsi"/>
        </w:rPr>
        <w:t xml:space="preserve">Ridsdale, L., Godfrey, E., Chalder, T., Seed, P., King, M., Wallace, P., &amp; Wessely, S. (2001). Chronic fatigue in general practice: is counselling as good as cognitive behaviour therapy? A UK randomised trial. </w:t>
      </w:r>
      <w:r w:rsidRPr="00C131CF">
        <w:rPr>
          <w:rFonts w:asciiTheme="minorHAnsi" w:hAnsiTheme="minorHAnsi" w:cstheme="minorHAnsi"/>
          <w:i/>
        </w:rPr>
        <w:t>British Journal of General Practice, 51</w:t>
      </w:r>
      <w:r w:rsidRPr="00C131CF">
        <w:rPr>
          <w:rFonts w:asciiTheme="minorHAnsi" w:hAnsiTheme="minorHAnsi" w:cstheme="minorHAnsi"/>
        </w:rPr>
        <w:t xml:space="preserve">, 19-24. </w:t>
      </w:r>
    </w:p>
    <w:p w14:paraId="2FE01559" w14:textId="77777777" w:rsidR="00891A41" w:rsidRPr="00A10951" w:rsidRDefault="00891A41" w:rsidP="00C131CF">
      <w:pPr>
        <w:pStyle w:val="EndNoteBibliography"/>
        <w:ind w:left="720" w:hanging="720"/>
      </w:pPr>
      <w:r w:rsidRPr="00A10951">
        <w:t xml:space="preserve">Ridsdale, L., Hurley, M., King, M., McCrone, P., &amp; Donaldson, N. (2012). The effect of counselling, graded exercise and usual care for people with chronic fatigue in primary care: a randomized trial. </w:t>
      </w:r>
      <w:r w:rsidRPr="00A10951">
        <w:rPr>
          <w:i/>
        </w:rPr>
        <w:t>Psychological Medicine, 42</w:t>
      </w:r>
      <w:r w:rsidRPr="00A10951">
        <w:t>(10), 2217-2224. doi:10.1017/s0033291712000256</w:t>
      </w:r>
    </w:p>
    <w:p w14:paraId="429FB419" w14:textId="77777777" w:rsidR="00891A41" w:rsidRPr="00A10951" w:rsidRDefault="00891A41" w:rsidP="00C131CF">
      <w:pPr>
        <w:pStyle w:val="EndNoteBibliography"/>
        <w:ind w:left="720" w:hanging="720"/>
      </w:pPr>
      <w:r w:rsidRPr="00A10951">
        <w:t xml:space="preserve">Rimes, K. A., &amp; Wingrove, J. (2013). Mindfulness-Based Cognitive Therapy for People with Chronic Fatigue Syndrome Still Experiencing Excessive Fatigue after Cognitive Behaviour Therapy: A Pilot Randomized Study. </w:t>
      </w:r>
      <w:r w:rsidRPr="00A10951">
        <w:rPr>
          <w:i/>
        </w:rPr>
        <w:t>Clinical Psychology &amp; Psychotherapy, 20</w:t>
      </w:r>
      <w:r w:rsidRPr="00A10951">
        <w:t>(2), 107-117. doi:10.1002/cpp.793</w:t>
      </w:r>
    </w:p>
    <w:p w14:paraId="03CD08D7" w14:textId="7FDDC74B" w:rsidR="00891A41" w:rsidRPr="00A10951" w:rsidRDefault="00891A41" w:rsidP="00C131CF">
      <w:pPr>
        <w:pStyle w:val="EndNoteBibliography"/>
        <w:ind w:left="720" w:hanging="720"/>
      </w:pPr>
      <w:r w:rsidRPr="00A10951">
        <w:t xml:space="preserve">Sandler, C., Hamilton, B., Horsfield, S., Bennett, B., Casson, S., Vollmer-Conna, U., . . . Lloyd, A. (2015). Development of an optimised, multi-disciplinary intervention for chronic fatigue states. </w:t>
      </w:r>
      <w:r w:rsidRPr="00C131CF">
        <w:rPr>
          <w:i/>
        </w:rPr>
        <w:t>Physiotherapy , 1)</w:t>
      </w:r>
      <w:r w:rsidRPr="00C131CF">
        <w:t>, eS1333-eS1334</w:t>
      </w:r>
      <w:r w:rsidR="00C131CF">
        <w:t xml:space="preserve">, </w:t>
      </w:r>
      <w:r w:rsidRPr="00C131CF">
        <w:t>doi:https://dx.doi.org/10.1016/j.physio.2015</w:t>
      </w:r>
      <w:r w:rsidRPr="00891A41">
        <w:t>.03.1262</w:t>
      </w:r>
    </w:p>
    <w:p w14:paraId="6BD8C6D7" w14:textId="77777777" w:rsidR="00891A41" w:rsidRPr="003E48E3" w:rsidRDefault="00891A41" w:rsidP="00C131CF">
      <w:pPr>
        <w:pStyle w:val="EndNoteBibliography"/>
        <w:ind w:left="720" w:hanging="720"/>
        <w:rPr>
          <w:lang w:val="nl-NL"/>
        </w:rPr>
      </w:pPr>
      <w:r w:rsidRPr="00A10951">
        <w:t xml:space="preserve">Scheeres, K., Wensing, M., Knoop, H., &amp; Bleijenberg, G. (2008). Implementing cognitive behavioral therapy for chronic fatigue syndrome in a mental health center: a benchmarking evaluation. </w:t>
      </w:r>
      <w:r w:rsidRPr="003E48E3">
        <w:rPr>
          <w:i/>
          <w:lang w:val="nl-NL"/>
        </w:rPr>
        <w:t>Journal of Consulting and Clinical Psychology, 76</w:t>
      </w:r>
      <w:r w:rsidRPr="003E48E3">
        <w:rPr>
          <w:lang w:val="nl-NL"/>
        </w:rPr>
        <w:t>(1), 163-171. doi:10.1037/0022-006X.76.1.163</w:t>
      </w:r>
    </w:p>
    <w:p w14:paraId="765122C8" w14:textId="77777777" w:rsidR="00891A41" w:rsidRPr="00A10951" w:rsidRDefault="00891A41" w:rsidP="00C131CF">
      <w:pPr>
        <w:pStyle w:val="EndNoteBibliography"/>
        <w:ind w:left="720" w:hanging="720"/>
      </w:pPr>
      <w:r w:rsidRPr="003E48E3">
        <w:rPr>
          <w:lang w:val="nl-NL"/>
        </w:rPr>
        <w:t xml:space="preserve">Severens, J., Prins, I., van der Wilt, G., van der Meer, J., &amp; Bleijenberg, G. (2004). </w:t>
      </w:r>
      <w:r w:rsidRPr="00A10951">
        <w:t xml:space="preserve">Cost-effectiveness of cognitive behaviour therapy for patients with chronic fatigue syndrome. </w:t>
      </w:r>
      <w:r w:rsidRPr="00A10951">
        <w:rPr>
          <w:i/>
        </w:rPr>
        <w:t>QJM: An International Journal of Medicine, 97</w:t>
      </w:r>
      <w:r w:rsidRPr="00A10951">
        <w:t>(3), 153-161. doi:</w:t>
      </w:r>
      <w:r w:rsidRPr="00891A41">
        <w:t>https://dx.doi.org/10.1093/qjmed/hch029</w:t>
      </w:r>
    </w:p>
    <w:p w14:paraId="21B05C74" w14:textId="77777777" w:rsidR="00891A41" w:rsidRPr="00A10951" w:rsidRDefault="00891A41" w:rsidP="00C131CF">
      <w:pPr>
        <w:pStyle w:val="EndNoteBibliography"/>
        <w:ind w:left="720" w:hanging="720"/>
      </w:pPr>
      <w:r w:rsidRPr="00A10951">
        <w:t xml:space="preserve">Spitzer, R. L., Williams, J. B., Gibbon, M., &amp; First, M. B. (1992). The Structured Clinical Interview for DSM-III-R (SCID). I: History, rationale, and description. </w:t>
      </w:r>
      <w:r w:rsidRPr="00A10951">
        <w:rPr>
          <w:i/>
        </w:rPr>
        <w:t>Archives of General Psychiatry, 49</w:t>
      </w:r>
      <w:r w:rsidRPr="00A10951">
        <w:t>(8), 624-629. doi:10.1001/archpsyc.1992.01820080032005</w:t>
      </w:r>
    </w:p>
    <w:p w14:paraId="05D7831E" w14:textId="77777777" w:rsidR="00891A41" w:rsidRPr="00A10951" w:rsidRDefault="00891A41" w:rsidP="00C131CF">
      <w:pPr>
        <w:pStyle w:val="EndNoteBibliography"/>
        <w:ind w:left="720" w:hanging="720"/>
      </w:pPr>
      <w:r w:rsidRPr="00A10951">
        <w:t xml:space="preserve">Steer, R. A., Cavalieri, T. A., Leonard, D. M., &amp; Beck, A. T. (1999). Use of the Beck Depression Inventory for Primary Care to Screen for Major Depression Disorders. </w:t>
      </w:r>
      <w:r w:rsidRPr="00A10951">
        <w:rPr>
          <w:i/>
        </w:rPr>
        <w:t>General hospital psychiatry, 21</w:t>
      </w:r>
      <w:r w:rsidRPr="00A10951">
        <w:t xml:space="preserve">(2), 106-111. </w:t>
      </w:r>
    </w:p>
    <w:p w14:paraId="37CDD97C" w14:textId="77777777" w:rsidR="00891A41" w:rsidRPr="00A10951" w:rsidRDefault="00891A41" w:rsidP="00C131CF">
      <w:pPr>
        <w:pStyle w:val="EndNoteBibliography"/>
        <w:ind w:left="720" w:hanging="720"/>
      </w:pPr>
      <w:r w:rsidRPr="00A10951">
        <w:t xml:space="preserve">Stevens, M. W. (1999). Chronic fatigue syndrome: A chronobiologically oriented controlled treatment outcome study. </w:t>
      </w:r>
      <w:r w:rsidRPr="00A10951">
        <w:rPr>
          <w:i/>
        </w:rPr>
        <w:t>Dissertation Abstracts International: Section B: The Sciences and Engineering, 60</w:t>
      </w:r>
      <w:r w:rsidRPr="00A10951">
        <w:t xml:space="preserve">(4-B), 1907. </w:t>
      </w:r>
    </w:p>
    <w:p w14:paraId="6F1D3DBD" w14:textId="77777777" w:rsidR="00891A41" w:rsidRPr="00A10951" w:rsidRDefault="00891A41" w:rsidP="00C131CF">
      <w:pPr>
        <w:pStyle w:val="EndNoteBibliography"/>
        <w:ind w:left="720" w:hanging="720"/>
      </w:pPr>
      <w:r w:rsidRPr="003E48E3">
        <w:rPr>
          <w:lang w:val="de-DE"/>
        </w:rPr>
        <w:t xml:space="preserve">Stewart, A. L., Hays, R. D., &amp; Ware, J. E. (1988). </w:t>
      </w:r>
      <w:r w:rsidRPr="00A10951">
        <w:t xml:space="preserve">The MOS Short-form General Health Survey. </w:t>
      </w:r>
      <w:r w:rsidRPr="00A10951">
        <w:rPr>
          <w:i/>
        </w:rPr>
        <w:t>Medical Care, 26</w:t>
      </w:r>
      <w:r w:rsidRPr="00A10951">
        <w:t>(7). doi:10.1097/00005650-198807000-00007</w:t>
      </w:r>
    </w:p>
    <w:p w14:paraId="4FD677BE" w14:textId="77777777" w:rsidR="00891A41" w:rsidRPr="00A10951" w:rsidRDefault="00891A41" w:rsidP="00C131CF">
      <w:pPr>
        <w:pStyle w:val="EndNoteBibliography"/>
        <w:ind w:left="720" w:hanging="720"/>
      </w:pPr>
      <w:r w:rsidRPr="00A10951">
        <w:t xml:space="preserve">Strang, J. M. (2002). Treatment of chronic fatigue syndrome: A cognitive-behavioral approach to enhance personal mastery. </w:t>
      </w:r>
      <w:r w:rsidRPr="00A10951">
        <w:rPr>
          <w:i/>
        </w:rPr>
        <w:t>Dissertation Abstracts International Section A: Humanities and Social Sciences, 63</w:t>
      </w:r>
      <w:r w:rsidRPr="00A10951">
        <w:t xml:space="preserve">(5-A), 1728. </w:t>
      </w:r>
    </w:p>
    <w:p w14:paraId="71BC8611" w14:textId="77777777" w:rsidR="00891A41" w:rsidRPr="003E48E3" w:rsidRDefault="00891A41" w:rsidP="00C131CF">
      <w:pPr>
        <w:pStyle w:val="EndNoteBibliography"/>
        <w:ind w:left="720" w:hanging="720"/>
        <w:rPr>
          <w:lang w:val="nl-NL"/>
        </w:rPr>
      </w:pPr>
      <w:r w:rsidRPr="003E48E3">
        <w:rPr>
          <w:lang w:val="de-DE"/>
        </w:rPr>
        <w:t xml:space="preserve">Stubhaug, B., Lie, S. A., Ursin, H., &amp; Eriksen, H. R. (2008). </w:t>
      </w:r>
      <w:r w:rsidRPr="00A10951">
        <w:t xml:space="preserve">Cognitive-behavioural therapy v. mirtazapine for chronic fatigue and neurasthenia: randomised placebo-controlled trial. </w:t>
      </w:r>
      <w:r w:rsidRPr="003E48E3">
        <w:rPr>
          <w:i/>
          <w:lang w:val="nl-NL"/>
        </w:rPr>
        <w:t>Br J Psychiatry, 192</w:t>
      </w:r>
      <w:r w:rsidRPr="003E48E3">
        <w:rPr>
          <w:lang w:val="nl-NL"/>
        </w:rPr>
        <w:t>(3), 217-223. doi:10.1192/bjp.bp.106.031815</w:t>
      </w:r>
    </w:p>
    <w:p w14:paraId="68703668" w14:textId="69EC635A" w:rsidR="00891A41" w:rsidRPr="00A10951" w:rsidRDefault="00891A41" w:rsidP="00C131CF">
      <w:pPr>
        <w:pStyle w:val="EndNoteBibliography"/>
        <w:ind w:left="720" w:hanging="720"/>
      </w:pPr>
      <w:r w:rsidRPr="003E48E3">
        <w:rPr>
          <w:lang w:val="nl-NL"/>
        </w:rPr>
        <w:t xml:space="preserve">Stulemeijer, M., </w:t>
      </w:r>
      <w:r w:rsidR="002E57C6">
        <w:rPr>
          <w:lang w:val="nl-NL"/>
        </w:rPr>
        <w:t>d</w:t>
      </w:r>
      <w:r w:rsidRPr="003E48E3">
        <w:rPr>
          <w:lang w:val="nl-NL"/>
        </w:rPr>
        <w:t xml:space="preserve">e Jong, L. W. A. M., Fiselier, T. J. W., Hoogveld, S. W. B., &amp; Bleijenberg, G. (2005). </w:t>
      </w:r>
      <w:r w:rsidRPr="00A10951">
        <w:t xml:space="preserve">Cognitive behaviour therapy for adolescents with chronic fatigue syndrome: </w:t>
      </w:r>
      <w:r w:rsidRPr="00A10951">
        <w:lastRenderedPageBreak/>
        <w:t xml:space="preserve">Randomised controlled trial. </w:t>
      </w:r>
      <w:r w:rsidRPr="00A10951">
        <w:rPr>
          <w:i/>
        </w:rPr>
        <w:t>British Medical Journal, 330</w:t>
      </w:r>
      <w:r w:rsidRPr="00A10951">
        <w:t>(7481), 14-17. doi:10.1136/bmj.38301.587106.63</w:t>
      </w:r>
    </w:p>
    <w:p w14:paraId="33E413EA" w14:textId="77777777" w:rsidR="00891A41" w:rsidRPr="00A10951" w:rsidRDefault="00891A41" w:rsidP="00C131CF">
      <w:pPr>
        <w:pStyle w:val="EndNoteBibliography"/>
        <w:ind w:left="720" w:hanging="720"/>
      </w:pPr>
      <w:r w:rsidRPr="00A10951">
        <w:t xml:space="preserve">Taylor, R. R. (2004). Quality of life and symptom severity for individuals with chronic fatigue syndrome: Findings from a randomized clinical trial. </w:t>
      </w:r>
      <w:r w:rsidRPr="00A10951">
        <w:rPr>
          <w:i/>
        </w:rPr>
        <w:t>American Journal of Occupational Therapy, 58</w:t>
      </w:r>
      <w:r w:rsidRPr="00A10951">
        <w:t>(1), 35-43. doi:10.5014/ajot.58.1.35</w:t>
      </w:r>
    </w:p>
    <w:p w14:paraId="4FDCD392" w14:textId="77777777" w:rsidR="00891A41" w:rsidRPr="00A10951" w:rsidRDefault="00891A41" w:rsidP="00C131CF">
      <w:pPr>
        <w:pStyle w:val="EndNoteBibliography"/>
        <w:ind w:left="720" w:hanging="720"/>
      </w:pPr>
      <w:r w:rsidRPr="00A10951">
        <w:t xml:space="preserve">Thomas, M., Sadlier, M., &amp; Smith, A. (2006). The effect of Multi Convergent Therapy on the psychopathology, mood and performance of Chronic Fatigue Syndrome patients: A preliminary study. </w:t>
      </w:r>
      <w:r w:rsidRPr="00A10951">
        <w:rPr>
          <w:i/>
        </w:rPr>
        <w:t>Counselling &amp; Psychotherapy Research, 6</w:t>
      </w:r>
      <w:r w:rsidRPr="00A10951">
        <w:t>(2), 91-99. doi:10.1080/14733140600711955</w:t>
      </w:r>
    </w:p>
    <w:p w14:paraId="65AD6087" w14:textId="77777777" w:rsidR="00891A41" w:rsidRPr="00A10951" w:rsidRDefault="00891A41" w:rsidP="00C131CF">
      <w:pPr>
        <w:pStyle w:val="EndNoteBibliography"/>
        <w:ind w:left="720" w:hanging="720"/>
      </w:pPr>
      <w:r w:rsidRPr="00A10951">
        <w:t xml:space="preserve">Thomas, M. A., Sadlier, M. J., &amp; Smith, A. P. (2008). A multiconvergent approach to the rehabilitation of patients with chronic fatigue syndrome: a comparative study. </w:t>
      </w:r>
      <w:r w:rsidRPr="00A10951">
        <w:rPr>
          <w:i/>
        </w:rPr>
        <w:t>Physiotherapy, 94</w:t>
      </w:r>
      <w:r w:rsidRPr="00A10951">
        <w:t>(1), 35-42. doi:10.1016/j.physio.2007.04.013</w:t>
      </w:r>
    </w:p>
    <w:p w14:paraId="475D08BD" w14:textId="77777777" w:rsidR="00891A41" w:rsidRPr="00A10951" w:rsidRDefault="00891A41" w:rsidP="00C131CF">
      <w:pPr>
        <w:pStyle w:val="EndNoteBibliography"/>
        <w:ind w:left="720" w:hanging="720"/>
      </w:pPr>
      <w:r w:rsidRPr="00A10951">
        <w:t>Trondalen, G., Mangersnes, J., Bon</w:t>
      </w:r>
      <w:bookmarkStart w:id="0" w:name="_GoBack"/>
      <w:r w:rsidRPr="00A10951">
        <w:t>de</w:t>
      </w:r>
      <w:bookmarkEnd w:id="0"/>
      <w:r w:rsidRPr="00A10951">
        <w:t xml:space="preserve">, L. O., Malik, S., Asprusten, T. T., Rodevand, L., . . . Wyller, V. B. B. (2020). Music therapy for chronic fatigue following Epstein-Barr virus infection in adolescents. </w:t>
      </w:r>
      <w:r w:rsidRPr="00A10951">
        <w:rPr>
          <w:i/>
        </w:rPr>
        <w:t>Music and Medicine, 12</w:t>
      </w:r>
      <w:r w:rsidRPr="00A10951">
        <w:t>(2), 84-91. doi:</w:t>
      </w:r>
      <w:r w:rsidRPr="00891A41">
        <w:t>https://dx.doi.org/10.47513/mmd.v12i2.679</w:t>
      </w:r>
    </w:p>
    <w:p w14:paraId="57251180" w14:textId="77777777" w:rsidR="00891A41" w:rsidRPr="00A10951" w:rsidRDefault="00891A41" w:rsidP="00C131CF">
      <w:pPr>
        <w:pStyle w:val="EndNoteBibliography"/>
        <w:ind w:left="720" w:hanging="720"/>
      </w:pPr>
      <w:r w:rsidRPr="00A10951">
        <w:t xml:space="preserve">Tummers, M., Knoop, H., &amp; Bleijenberg, G. (2010). Effectiveness of Stepped Care for Chronic Fatigue Syndrome: A Randomized Noninferiority Trial. </w:t>
      </w:r>
      <w:r w:rsidRPr="00A10951">
        <w:rPr>
          <w:i/>
        </w:rPr>
        <w:t>Journal of Consulting and Clinical Psychology, 78</w:t>
      </w:r>
      <w:r w:rsidRPr="00A10951">
        <w:t>(5), 724-731. doi:10.1037/a0020052</w:t>
      </w:r>
    </w:p>
    <w:p w14:paraId="441D4958" w14:textId="77777777" w:rsidR="00891A41" w:rsidRPr="003E48E3" w:rsidRDefault="00891A41" w:rsidP="00C131CF">
      <w:pPr>
        <w:pStyle w:val="EndNoteBibliography"/>
        <w:ind w:left="720" w:hanging="720"/>
        <w:rPr>
          <w:lang w:val="nl-NL"/>
        </w:rPr>
      </w:pPr>
      <w:r w:rsidRPr="00A10951">
        <w:t xml:space="preserve">Tummers, M., Knoop, H., Van Dam, A., &amp; Bleijenberg, G. (2012). Implementing a minimal intervention for chronic fatigue syndrome in a mental health centre: A randomized controlled trial. </w:t>
      </w:r>
      <w:r w:rsidRPr="003E48E3">
        <w:rPr>
          <w:i/>
          <w:lang w:val="nl-NL"/>
        </w:rPr>
        <w:t>Psychological Medicine, 42</w:t>
      </w:r>
      <w:r w:rsidRPr="003E48E3">
        <w:rPr>
          <w:lang w:val="nl-NL"/>
        </w:rPr>
        <w:t>(10), 2205-2215. doi:10.1017/S0033291712000232</w:t>
      </w:r>
    </w:p>
    <w:p w14:paraId="329399C0" w14:textId="77777777" w:rsidR="00891A41" w:rsidRPr="003E48E3" w:rsidRDefault="00891A41" w:rsidP="00C131CF">
      <w:pPr>
        <w:pStyle w:val="EndNoteBibliography"/>
        <w:ind w:left="720" w:hanging="720"/>
        <w:rPr>
          <w:lang w:val="nl-NL"/>
        </w:rPr>
      </w:pPr>
      <w:r w:rsidRPr="003E48E3">
        <w:rPr>
          <w:lang w:val="nl-NL"/>
        </w:rPr>
        <w:t xml:space="preserve">Tummers, M., Knoop, H., van Dam, A., &amp; Bleijenberg, G. (2013). </w:t>
      </w:r>
      <w:r w:rsidRPr="00A10951">
        <w:t xml:space="preserve">Moderators of the treatment response to guided self-instruction for chronic fatigue syndrome. </w:t>
      </w:r>
      <w:r w:rsidRPr="003E48E3">
        <w:rPr>
          <w:i/>
          <w:lang w:val="nl-NL"/>
        </w:rPr>
        <w:t>Journal of Psychosomatic Research, 74</w:t>
      </w:r>
      <w:r w:rsidRPr="003E48E3">
        <w:rPr>
          <w:lang w:val="nl-NL"/>
        </w:rPr>
        <w:t>(5), 373-377. doi:10.1016/j.jpsychores.2013.01.007</w:t>
      </w:r>
    </w:p>
    <w:p w14:paraId="637E19FD" w14:textId="77777777" w:rsidR="00891A41" w:rsidRPr="00C131CF" w:rsidRDefault="00891A41" w:rsidP="00C131CF">
      <w:pPr>
        <w:pStyle w:val="EndNoteBibliography"/>
        <w:ind w:left="720" w:hanging="720"/>
        <w:rPr>
          <w:lang w:val="nl-NL"/>
        </w:rPr>
      </w:pPr>
      <w:r w:rsidRPr="00C131CF">
        <w:rPr>
          <w:lang w:val="nl-NL"/>
        </w:rPr>
        <w:t xml:space="preserve">Tummers, M., Knoop, H., van Dam, A., Wiborg, J. F., Wensing, M., &amp; Bleijenberg, G. (2011). National implementation of stepped care for CFS. </w:t>
      </w:r>
      <w:r w:rsidRPr="00C131CF">
        <w:rPr>
          <w:i/>
          <w:lang w:val="nl-NL"/>
        </w:rPr>
        <w:t>Gedragstherapie, 44</w:t>
      </w:r>
      <w:r w:rsidRPr="00C131CF">
        <w:rPr>
          <w:lang w:val="nl-NL"/>
        </w:rPr>
        <w:t xml:space="preserve">(2), 83-93. </w:t>
      </w:r>
    </w:p>
    <w:p w14:paraId="64C37B3F" w14:textId="77777777" w:rsidR="00891A41" w:rsidRPr="00C131CF" w:rsidRDefault="00891A41" w:rsidP="00C131CF">
      <w:pPr>
        <w:pStyle w:val="EndNoteBibliography"/>
        <w:ind w:left="720" w:hanging="720"/>
      </w:pPr>
      <w:r w:rsidRPr="00C131CF">
        <w:rPr>
          <w:lang w:val="nl-NL"/>
        </w:rPr>
        <w:t xml:space="preserve">van der Schaaf, M. E., Roelofs, K., de Lange, F. P., Geurts, D. E. M., van der Meer, J. W. M., Knoop, H., &amp; Toni, I. (2018). </w:t>
      </w:r>
      <w:r w:rsidRPr="00C131CF">
        <w:t xml:space="preserve">Fatigue Is Associated With Altered Monitoring and Preparation of Physical Effort in Patients With Chronic Fatigue Syndrome. </w:t>
      </w:r>
      <w:r w:rsidRPr="00C131CF">
        <w:rPr>
          <w:i/>
        </w:rPr>
        <w:t>Biological Psychiatry: Cognitive Neuroscience and Neuroimaging, 3</w:t>
      </w:r>
      <w:r w:rsidRPr="00C131CF">
        <w:t>(4), 392-404. doi:10.1016/j.bpsc.2018.01.015</w:t>
      </w:r>
    </w:p>
    <w:p w14:paraId="3A5C02B8" w14:textId="77777777" w:rsidR="00891A41" w:rsidRPr="003E48E3" w:rsidRDefault="00891A41" w:rsidP="00C131CF">
      <w:pPr>
        <w:pStyle w:val="EndNoteBibliography"/>
        <w:ind w:left="720" w:hanging="720"/>
        <w:rPr>
          <w:lang w:val="nl-NL"/>
        </w:rPr>
      </w:pPr>
      <w:r w:rsidRPr="00C131CF">
        <w:t>van der Schaaf, M. E., Schmits</w:t>
      </w:r>
      <w:r w:rsidRPr="00A10951">
        <w:t xml:space="preserve">, I. C., Roerink, M., Geurts, D. E. M., Toni, I., Roelofs, K., . . . Knoop, H. (2015). Investigating neural mechanisms of change of cognitive behavioural therapy for chronic fatigue syndrome: A randomized controlled trial. </w:t>
      </w:r>
      <w:r w:rsidRPr="003E48E3">
        <w:rPr>
          <w:i/>
          <w:lang w:val="nl-NL"/>
        </w:rPr>
        <w:t>BMC Psychiatry, 15</w:t>
      </w:r>
      <w:r w:rsidRPr="003E48E3">
        <w:rPr>
          <w:lang w:val="nl-NL"/>
        </w:rPr>
        <w:t>(1). doi:10.1186/s12888-015-0515-9</w:t>
      </w:r>
    </w:p>
    <w:p w14:paraId="76E116B8" w14:textId="350119E0" w:rsidR="00891A41" w:rsidRPr="00A10951" w:rsidRDefault="00891A41" w:rsidP="00C131CF">
      <w:pPr>
        <w:pStyle w:val="EndNoteBibliography"/>
        <w:ind w:left="720" w:hanging="720"/>
      </w:pPr>
      <w:r w:rsidRPr="003E48E3">
        <w:rPr>
          <w:lang w:val="nl-NL"/>
        </w:rPr>
        <w:t xml:space="preserve">van der Werf, S. P., Prins, </w:t>
      </w:r>
      <w:r w:rsidR="00E15176">
        <w:rPr>
          <w:lang w:val="nl-NL"/>
        </w:rPr>
        <w:t>J. B., Vercoulen, J. H. M. M., v</w:t>
      </w:r>
      <w:r w:rsidRPr="003E48E3">
        <w:rPr>
          <w:lang w:val="nl-NL"/>
        </w:rPr>
        <w:t xml:space="preserve">an Der Meer, J. W. M., &amp; Bleijenberg, G. (2000). </w:t>
      </w:r>
      <w:r w:rsidRPr="00A10951">
        <w:t xml:space="preserve">Identifying physical activity patterns in chronic fatigue syndrome using actigraphic assessment. </w:t>
      </w:r>
      <w:r w:rsidRPr="00A10951">
        <w:rPr>
          <w:i/>
        </w:rPr>
        <w:t>Journal of Psychosomatic Research, 49</w:t>
      </w:r>
      <w:r w:rsidRPr="00A10951">
        <w:t xml:space="preserve">, 373-379. </w:t>
      </w:r>
    </w:p>
    <w:p w14:paraId="343194CB" w14:textId="77777777" w:rsidR="00891A41" w:rsidRPr="00A10951" w:rsidRDefault="00891A41" w:rsidP="00C131CF">
      <w:pPr>
        <w:pStyle w:val="EndNoteBibliography"/>
        <w:ind w:left="720" w:hanging="720"/>
      </w:pPr>
      <w:r w:rsidRPr="00A10951">
        <w:t xml:space="preserve">van der Zee, K., &amp; Sanderman, R. (1993). Measuring overall health Status with the MOS SF36: a manual. </w:t>
      </w:r>
    </w:p>
    <w:p w14:paraId="6D2604A3" w14:textId="16BBC0BF" w:rsidR="00891A41" w:rsidRPr="00A10951" w:rsidRDefault="00891A41" w:rsidP="00C131CF">
      <w:pPr>
        <w:pStyle w:val="EndNoteBibliography"/>
        <w:ind w:left="720" w:hanging="720"/>
      </w:pPr>
      <w:r w:rsidRPr="003E48E3">
        <w:rPr>
          <w:lang w:val="nl-NL"/>
        </w:rPr>
        <w:t xml:space="preserve">van Geelen, S. M., Bakker, R. J., Kuis, W., &amp; van de Putte, E. M. (2010). </w:t>
      </w:r>
      <w:r w:rsidRPr="00A10951">
        <w:t xml:space="preserve">Adolescent Chronic Fatigue Syndrome. </w:t>
      </w:r>
      <w:r w:rsidRPr="00A10951">
        <w:rPr>
          <w:i/>
        </w:rPr>
        <w:t>Archives of Pediatrics &amp; Adolescent Medicine, 164</w:t>
      </w:r>
      <w:r w:rsidRPr="00A10951">
        <w:t xml:space="preserve">(9), 810-814. </w:t>
      </w:r>
    </w:p>
    <w:p w14:paraId="668CD9B3" w14:textId="77777777" w:rsidR="00891A41" w:rsidRPr="00A10951" w:rsidRDefault="00891A41" w:rsidP="00C131CF">
      <w:pPr>
        <w:pStyle w:val="EndNoteBibliography"/>
        <w:ind w:left="720" w:hanging="720"/>
      </w:pPr>
      <w:r w:rsidRPr="003E48E3">
        <w:rPr>
          <w:lang w:val="nl-NL"/>
        </w:rPr>
        <w:t xml:space="preserve">Vercoulen, J. H. M. M., Swanink, C. M. A., Fennis, J. F. M., Galama, J. M. D., van der Meer, J. W. M., &amp; Bleijenberg, G. (1994). </w:t>
      </w:r>
      <w:r w:rsidRPr="00A10951">
        <w:t xml:space="preserve">Dimensional assessment of chronic fatigue </w:t>
      </w:r>
      <w:r w:rsidRPr="00A10951">
        <w:lastRenderedPageBreak/>
        <w:t xml:space="preserve">syndrome. </w:t>
      </w:r>
      <w:r w:rsidRPr="00A10951">
        <w:rPr>
          <w:i/>
        </w:rPr>
        <w:t>Journal of Psychosomatic Research, 38</w:t>
      </w:r>
      <w:r w:rsidRPr="00A10951">
        <w:t>(5), 383-392. doi:10.1016/0022-3999(94)90099-X</w:t>
      </w:r>
    </w:p>
    <w:p w14:paraId="448884DD" w14:textId="77777777" w:rsidR="00891A41" w:rsidRPr="00A10951" w:rsidRDefault="00891A41" w:rsidP="00C131CF">
      <w:pPr>
        <w:pStyle w:val="EndNoteBibliography"/>
        <w:ind w:left="720" w:hanging="720"/>
      </w:pPr>
      <w:r w:rsidRPr="00A10951">
        <w:t xml:space="preserve">Vercoulen, J. H. M. M., Swanink, C. M. A., Galama, J. M. D., Fennis, J. F. M., Jongen, P. J. H., Hommes, O. R., . . . Bleijenberg, G. (1998). The persistence of fatigue in chronic fatigue syndrome and multiple sclerosis: development of a model. </w:t>
      </w:r>
      <w:r w:rsidRPr="00A10951">
        <w:rPr>
          <w:i/>
        </w:rPr>
        <w:t>Journal of Psychosomatic Research, 45</w:t>
      </w:r>
      <w:r w:rsidRPr="00A10951">
        <w:t xml:space="preserve">(6), 507-517. </w:t>
      </w:r>
    </w:p>
    <w:p w14:paraId="445DEE26" w14:textId="77777777" w:rsidR="00891A41" w:rsidRPr="00A10951" w:rsidRDefault="00891A41" w:rsidP="00C131CF">
      <w:pPr>
        <w:pStyle w:val="EndNoteBibliography"/>
        <w:ind w:left="720" w:hanging="720"/>
      </w:pPr>
      <w:r w:rsidRPr="00A10951">
        <w:t xml:space="preserve">Viner, R., Gregorowski, A., Wine, C., Bladen, M., Fisher, D., Miller, M., &amp; El Neil, S. (2004). Outpatient rehabilitative treatment of chronic fatigue syndrome (CFS/ME). </w:t>
      </w:r>
      <w:r w:rsidRPr="00A10951">
        <w:rPr>
          <w:i/>
        </w:rPr>
        <w:t>Archives of Disease in Childhood, 89</w:t>
      </w:r>
      <w:r w:rsidRPr="00A10951">
        <w:t>(7), 615-619. doi:10.1136/adc.2003.035154</w:t>
      </w:r>
    </w:p>
    <w:p w14:paraId="6285F5CE" w14:textId="77777777" w:rsidR="00891A41" w:rsidRPr="00A10951" w:rsidRDefault="00891A41" w:rsidP="00C131CF">
      <w:pPr>
        <w:pStyle w:val="EndNoteBibliography"/>
        <w:ind w:left="720" w:hanging="720"/>
      </w:pPr>
      <w:r w:rsidRPr="00A10951">
        <w:t xml:space="preserve">Vos-Vromans, D. C. W. M., Smeets, R. J. E. M., Huijnen, I. P. J., Köke, A. J. A., Hitters, W. M. G. C., Rijnders, L. J. M., . . . Knottnerus, J. A. (2016). Multidisciplinary rehabilitation treatment versus cognitive behavioural therapy for patients with chronic fatigue syndrome: A randomized controlled trial. </w:t>
      </w:r>
      <w:r w:rsidRPr="00A10951">
        <w:rPr>
          <w:i/>
        </w:rPr>
        <w:t>Journal of Internal Medicine, 279</w:t>
      </w:r>
      <w:r w:rsidRPr="00A10951">
        <w:t>(3), 268-282. doi:10.1111/joim.12402</w:t>
      </w:r>
    </w:p>
    <w:p w14:paraId="4833BD0C" w14:textId="2751C3B3" w:rsidR="00891A41" w:rsidRPr="00A10951" w:rsidRDefault="00891A41" w:rsidP="00C131CF">
      <w:pPr>
        <w:pStyle w:val="EndNoteBibliography"/>
        <w:ind w:left="720" w:hanging="720"/>
      </w:pPr>
      <w:r w:rsidRPr="00A10951">
        <w:t xml:space="preserve">Wearden, A. J., Dowrick, C., Chew-Graham, C., Bentall, R. P., Morriss, R. K., Peters, S., . . . Grp, F. T. (2010). Nurse led, home based self help treatment for patients in primary care with chronic fatigue syndrome: randomised controlled trial. </w:t>
      </w:r>
      <w:r w:rsidRPr="00A10951">
        <w:rPr>
          <w:i/>
        </w:rPr>
        <w:t>British Medical Journal, 340</w:t>
      </w:r>
      <w:r w:rsidRPr="00A10951">
        <w:t>, 12. doi:10.1136/bmj.c1777</w:t>
      </w:r>
    </w:p>
    <w:p w14:paraId="03E84DB4" w14:textId="77777777" w:rsidR="00891A41" w:rsidRPr="00A10951" w:rsidRDefault="00891A41" w:rsidP="00C131CF">
      <w:pPr>
        <w:pStyle w:val="EndNoteBibliography"/>
        <w:ind w:left="720" w:hanging="720"/>
      </w:pPr>
      <w:r w:rsidRPr="00A10951">
        <w:t xml:space="preserve">White, P., Goldsmith, K., Johnson, A., Potts, L., Walwyn, R., DeCesare, J., . . . Sharpe, M. (2011). Comparison of adaptive pacing therapy, cognitive behaviour therapy, graded exercise therapy, and specialist medical care for chronic fatigue syndrome (PACE): A randomised trial. </w:t>
      </w:r>
      <w:r w:rsidRPr="00A10951">
        <w:rPr>
          <w:i/>
        </w:rPr>
        <w:t>The Lancet, 377</w:t>
      </w:r>
      <w:r w:rsidRPr="00A10951">
        <w:t>(9768), 823-836. doi:</w:t>
      </w:r>
      <w:r w:rsidRPr="00891A41">
        <w:t>https://dx.doi.org/10.1016/S0140-6736%2811%2960096-2</w:t>
      </w:r>
    </w:p>
    <w:p w14:paraId="01F9ABCA" w14:textId="77777777" w:rsidR="00891A41" w:rsidRPr="00A10951" w:rsidRDefault="00891A41" w:rsidP="00C131CF">
      <w:pPr>
        <w:pStyle w:val="EndNoteBibliography"/>
        <w:ind w:left="720" w:hanging="720"/>
      </w:pPr>
      <w:r w:rsidRPr="00A10951">
        <w:t xml:space="preserve">Whitehead, L., &amp; Campion, P. (2002). Can general practitioners manage Chronic Fatigue Syndrome? A controlled trial. </w:t>
      </w:r>
      <w:r w:rsidRPr="00A10951">
        <w:rPr>
          <w:i/>
        </w:rPr>
        <w:t>Journal of Chronic Fatigue Syndrome, 10(1)</w:t>
      </w:r>
      <w:r w:rsidRPr="00A10951">
        <w:t>, 55-64. doi:</w:t>
      </w:r>
      <w:r w:rsidRPr="00891A41">
        <w:t>https://dx.doi.org/10.1300/J092v10n01_05</w:t>
      </w:r>
    </w:p>
    <w:p w14:paraId="62401D1A" w14:textId="1F46BDF2" w:rsidR="00891A41" w:rsidRPr="00A10951" w:rsidRDefault="00E15176" w:rsidP="00C131CF">
      <w:pPr>
        <w:pStyle w:val="EndNoteBibliography"/>
        <w:ind w:left="720" w:hanging="720"/>
      </w:pPr>
      <w:r>
        <w:t>Wiborg, J. F., van Bussel, J., v</w:t>
      </w:r>
      <w:r w:rsidR="00891A41" w:rsidRPr="00A10951">
        <w:t xml:space="preserve">an Dijk, A., Bleijenberg, G., &amp; Knoop, H. (2015). Randomised Controlled Trial of Cognitive Behaviour Therapy Delivered in Groups of Patients with Chronic Fatigue Syndrome. </w:t>
      </w:r>
      <w:r w:rsidR="00891A41" w:rsidRPr="00A10951">
        <w:rPr>
          <w:i/>
        </w:rPr>
        <w:t>Psychotherapy and Psychosomatics, 84</w:t>
      </w:r>
      <w:r w:rsidR="00891A41" w:rsidRPr="00A10951">
        <w:t>(6), 368-376. doi:10.1159/000438867</w:t>
      </w:r>
    </w:p>
    <w:p w14:paraId="50A95B8B" w14:textId="79E76D1B" w:rsidR="00891A41" w:rsidRPr="00C131CF" w:rsidRDefault="00891A41" w:rsidP="00C131CF">
      <w:pPr>
        <w:pStyle w:val="EndNoteBibliography"/>
        <w:ind w:left="720" w:hanging="720"/>
        <w:rPr>
          <w:lang w:val="nl-NL"/>
        </w:rPr>
      </w:pPr>
      <w:r w:rsidRPr="00A10951">
        <w:t xml:space="preserve">Wilshire, C. E., Kindlon, T., Courtney, R., Matthees, A., Tuller, D., Geraghty, K., &amp; Levin, B. (2018). Rethinking the treatment of chronic fatigue syndrome-a reanalysis and </w:t>
      </w:r>
      <w:r w:rsidRPr="00C131CF">
        <w:t xml:space="preserve">evaluation of findings from a recent major trial of graded exercise and CBT. </w:t>
      </w:r>
      <w:r w:rsidRPr="00C131CF">
        <w:rPr>
          <w:i/>
          <w:lang w:val="nl-NL"/>
        </w:rPr>
        <w:t xml:space="preserve">BMC </w:t>
      </w:r>
      <w:r w:rsidR="00C131CF" w:rsidRPr="00C131CF">
        <w:rPr>
          <w:i/>
          <w:lang w:val="nl-NL"/>
        </w:rPr>
        <w:t>P</w:t>
      </w:r>
      <w:r w:rsidRPr="00C131CF">
        <w:rPr>
          <w:i/>
          <w:lang w:val="nl-NL"/>
        </w:rPr>
        <w:t>sychology, 6(1)</w:t>
      </w:r>
      <w:r w:rsidRPr="00C131CF">
        <w:rPr>
          <w:lang w:val="nl-NL"/>
        </w:rPr>
        <w:t>, 6. doi:https://dx.doi.org/10.1186/s40359-018-0218-3</w:t>
      </w:r>
    </w:p>
    <w:p w14:paraId="0C29BFF6" w14:textId="77777777" w:rsidR="00891A41" w:rsidRPr="003E48E3" w:rsidRDefault="00891A41" w:rsidP="00C131CF">
      <w:pPr>
        <w:pStyle w:val="EndNoteBibliography"/>
        <w:ind w:left="720" w:hanging="720"/>
        <w:rPr>
          <w:lang w:val="nl-NL"/>
        </w:rPr>
      </w:pPr>
      <w:r w:rsidRPr="00C131CF">
        <w:rPr>
          <w:lang w:val="nl-NL"/>
        </w:rPr>
        <w:t>Worm-Smeitink</w:t>
      </w:r>
      <w:r w:rsidRPr="003E48E3">
        <w:rPr>
          <w:lang w:val="nl-NL"/>
        </w:rPr>
        <w:t xml:space="preserve">, M., Gielissen, M., Bloot, L., van Laarhoven, H. W. M., van Engelen, B. G. M., van Riel, P., . . . </w:t>
      </w:r>
      <w:r w:rsidRPr="00A10951">
        <w:t xml:space="preserve">Knoop, H. (2017). The assessment of fatigue: Psychometric qualities and norms for the Checklist individual strength. </w:t>
      </w:r>
      <w:r w:rsidRPr="003E48E3">
        <w:rPr>
          <w:i/>
          <w:lang w:val="nl-NL"/>
        </w:rPr>
        <w:t>Journal of Psychosomatic Research, 98</w:t>
      </w:r>
      <w:r w:rsidRPr="003E48E3">
        <w:rPr>
          <w:lang w:val="nl-NL"/>
        </w:rPr>
        <w:t>, 40-46. doi:10.1016/j.jpsychores.2017.05.007</w:t>
      </w:r>
    </w:p>
    <w:p w14:paraId="38B5F963" w14:textId="77777777" w:rsidR="00891A41" w:rsidRPr="00A10951" w:rsidRDefault="00891A41" w:rsidP="00C131CF">
      <w:pPr>
        <w:pStyle w:val="EndNoteBibliography"/>
        <w:ind w:left="720" w:hanging="720"/>
      </w:pPr>
      <w:r w:rsidRPr="003E48E3">
        <w:rPr>
          <w:lang w:val="nl-NL"/>
        </w:rPr>
        <w:t xml:space="preserve">Worm-Smeitink, M., Janse, A., van Dam, A., Evers, A., van der Vaart, R., Wensing, M., &amp; Knoop, H. (2019). </w:t>
      </w:r>
      <w:r w:rsidRPr="00A10951">
        <w:t xml:space="preserve">Internet-Based Cognitive Behavioral Therapy in Stepped Care for Chronic Fatigue Syndrome: Randomized Noninferiority Trial. </w:t>
      </w:r>
      <w:r w:rsidRPr="00A10951">
        <w:rPr>
          <w:i/>
        </w:rPr>
        <w:t>Journal of Medical Internet Research, 21</w:t>
      </w:r>
      <w:r w:rsidRPr="00A10951">
        <w:t>(3), 15. doi:10.2196/11276</w:t>
      </w:r>
    </w:p>
    <w:p w14:paraId="382D2D92" w14:textId="77777777" w:rsidR="00891A41" w:rsidRPr="00A10951" w:rsidRDefault="00891A41" w:rsidP="00C131CF">
      <w:pPr>
        <w:pStyle w:val="EndNoteBibliography"/>
        <w:ind w:left="720" w:hanging="720"/>
      </w:pPr>
      <w:r w:rsidRPr="00A10951">
        <w:t xml:space="preserve">Worm-Smeitink, M., Nikolaus, S., Goldsmith, K., Wiborg, J., Ali, S., Knoop, H., &amp; Chalder, T. (2016). Cognitive behaviour therapy for chronic fatigue syndrome: Differences in treatment outcome between a tertiary treatment centre in the United Kingdom and the Netherlands. </w:t>
      </w:r>
      <w:r w:rsidRPr="00A10951">
        <w:rPr>
          <w:i/>
        </w:rPr>
        <w:t>Journal of Psychosomatic Research, 87</w:t>
      </w:r>
      <w:r w:rsidRPr="00A10951">
        <w:t>, 43-49. doi:10.1016/j.jpsychores.2016.06.006</w:t>
      </w:r>
    </w:p>
    <w:sectPr w:rsidR="00891A41" w:rsidRPr="00A1095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3B88" w14:textId="77777777" w:rsidR="00D94C55" w:rsidRDefault="00540DBA">
      <w:r>
        <w:separator/>
      </w:r>
    </w:p>
  </w:endnote>
  <w:endnote w:type="continuationSeparator" w:id="0">
    <w:p w14:paraId="7245B930" w14:textId="77777777" w:rsidR="00D94C55" w:rsidRDefault="0054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86128"/>
      <w:docPartObj>
        <w:docPartGallery w:val="Page Numbers (Bottom of Page)"/>
        <w:docPartUnique/>
      </w:docPartObj>
    </w:sdtPr>
    <w:sdtEndPr/>
    <w:sdtContent>
      <w:p w14:paraId="721AE842" w14:textId="58BB4A90" w:rsidR="00C131CF" w:rsidRDefault="00C131CF">
        <w:pPr>
          <w:pStyle w:val="Voettekst"/>
          <w:jc w:val="right"/>
        </w:pPr>
        <w:r>
          <w:fldChar w:fldCharType="begin"/>
        </w:r>
        <w:r>
          <w:instrText>PAGE   \* MERGEFORMAT</w:instrText>
        </w:r>
        <w:r>
          <w:fldChar w:fldCharType="separate"/>
        </w:r>
        <w:r w:rsidR="002E57C6" w:rsidRPr="002E57C6">
          <w:rPr>
            <w:noProof/>
            <w:lang w:val="nl-NL"/>
          </w:rPr>
          <w:t>24</w:t>
        </w:r>
        <w:r>
          <w:fldChar w:fldCharType="end"/>
        </w:r>
      </w:p>
    </w:sdtContent>
  </w:sdt>
  <w:p w14:paraId="0D4D2DD5" w14:textId="77777777" w:rsidR="00C131CF" w:rsidRDefault="00C131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0D96" w14:textId="77777777" w:rsidR="00D94C55" w:rsidRDefault="00540DBA">
      <w:r>
        <w:separator/>
      </w:r>
    </w:p>
  </w:footnote>
  <w:footnote w:type="continuationSeparator" w:id="0">
    <w:p w14:paraId="4D1EC910" w14:textId="77777777" w:rsidR="00D94C55" w:rsidRDefault="0054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2DF"/>
    <w:multiLevelType w:val="hybridMultilevel"/>
    <w:tmpl w:val="CA826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91A41"/>
    <w:rsid w:val="002E57C6"/>
    <w:rsid w:val="002F327C"/>
    <w:rsid w:val="004045B7"/>
    <w:rsid w:val="00540DBA"/>
    <w:rsid w:val="00891A41"/>
    <w:rsid w:val="00B536EA"/>
    <w:rsid w:val="00C131CF"/>
    <w:rsid w:val="00D94C55"/>
    <w:rsid w:val="00DB01AD"/>
    <w:rsid w:val="00E15176"/>
    <w:rsid w:val="00F85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7F0B"/>
  <w15:chartTrackingRefBased/>
  <w15:docId w15:val="{A7E77825-E55C-490A-AC63-3CE26444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1A41"/>
    <w:pPr>
      <w:spacing w:after="0" w:line="240" w:lineRule="auto"/>
    </w:pPr>
    <w:rPr>
      <w:sz w:val="24"/>
      <w:szCs w:val="24"/>
      <w:lang w:val="en-GB"/>
    </w:rPr>
  </w:style>
  <w:style w:type="paragraph" w:styleId="Kop2">
    <w:name w:val="heading 2"/>
    <w:basedOn w:val="Standaard"/>
    <w:link w:val="Kop2Char"/>
    <w:uiPriority w:val="9"/>
    <w:unhideWhenUsed/>
    <w:qFormat/>
    <w:rsid w:val="00891A41"/>
    <w:pPr>
      <w:widowControl w:val="0"/>
      <w:autoSpaceDE w:val="0"/>
      <w:autoSpaceDN w:val="0"/>
      <w:spacing w:line="360" w:lineRule="auto"/>
      <w:outlineLvl w:val="1"/>
    </w:pPr>
    <w:rPr>
      <w:rFonts w:ascii="Times New Roman" w:eastAsia="Times New Roman" w:hAnsi="Times New Roman" w:cs="Times New Roman"/>
      <w:b/>
      <w:i/>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91A41"/>
    <w:rPr>
      <w:rFonts w:ascii="Times New Roman" w:eastAsia="Times New Roman" w:hAnsi="Times New Roman" w:cs="Times New Roman"/>
      <w:b/>
      <w:i/>
      <w:sz w:val="24"/>
      <w:szCs w:val="36"/>
      <w:lang w:val="en-US"/>
    </w:rPr>
  </w:style>
  <w:style w:type="paragraph" w:customStyle="1" w:styleId="EndNoteBibliographyTitle">
    <w:name w:val="EndNote Bibliography Title"/>
    <w:basedOn w:val="Standaard"/>
    <w:link w:val="EndNoteBibliographyTitleChar"/>
    <w:rsid w:val="00891A41"/>
    <w:pPr>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891A41"/>
    <w:rPr>
      <w:rFonts w:ascii="Calibri" w:hAnsi="Calibri" w:cs="Calibri"/>
      <w:noProof/>
      <w:sz w:val="24"/>
      <w:szCs w:val="24"/>
      <w:lang w:val="en-US"/>
    </w:rPr>
  </w:style>
  <w:style w:type="paragraph" w:customStyle="1" w:styleId="EndNoteBibliography">
    <w:name w:val="EndNote Bibliography"/>
    <w:basedOn w:val="Standaard"/>
    <w:link w:val="EndNoteBibliographyChar"/>
    <w:rsid w:val="00891A41"/>
    <w:rPr>
      <w:rFonts w:ascii="Calibri" w:hAnsi="Calibri" w:cs="Calibri"/>
      <w:noProof/>
      <w:lang w:val="en-US"/>
    </w:rPr>
  </w:style>
  <w:style w:type="character" w:customStyle="1" w:styleId="EndNoteBibliographyChar">
    <w:name w:val="EndNote Bibliography Char"/>
    <w:basedOn w:val="Standaardalinea-lettertype"/>
    <w:link w:val="EndNoteBibliography"/>
    <w:rsid w:val="00891A41"/>
    <w:rPr>
      <w:rFonts w:ascii="Calibri" w:hAnsi="Calibri" w:cs="Calibri"/>
      <w:noProof/>
      <w:sz w:val="24"/>
      <w:szCs w:val="24"/>
      <w:lang w:val="en-US"/>
    </w:rPr>
  </w:style>
  <w:style w:type="paragraph" w:styleId="Ballontekst">
    <w:name w:val="Balloon Text"/>
    <w:basedOn w:val="Standaard"/>
    <w:link w:val="BallontekstChar"/>
    <w:uiPriority w:val="99"/>
    <w:semiHidden/>
    <w:unhideWhenUsed/>
    <w:rsid w:val="00891A4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A41"/>
    <w:rPr>
      <w:rFonts w:ascii="Segoe UI" w:hAnsi="Segoe UI" w:cs="Segoe UI"/>
      <w:sz w:val="18"/>
      <w:szCs w:val="18"/>
      <w:lang w:val="en-GB"/>
    </w:rPr>
  </w:style>
  <w:style w:type="paragraph" w:styleId="Lijstalinea">
    <w:name w:val="List Paragraph"/>
    <w:basedOn w:val="Standaard"/>
    <w:uiPriority w:val="34"/>
    <w:qFormat/>
    <w:rsid w:val="00891A41"/>
    <w:pPr>
      <w:ind w:left="720"/>
      <w:contextualSpacing/>
    </w:pPr>
  </w:style>
  <w:style w:type="character" w:styleId="Verwijzingopmerking">
    <w:name w:val="annotation reference"/>
    <w:basedOn w:val="Standaardalinea-lettertype"/>
    <w:uiPriority w:val="99"/>
    <w:semiHidden/>
    <w:unhideWhenUsed/>
    <w:rsid w:val="00891A41"/>
    <w:rPr>
      <w:sz w:val="16"/>
      <w:szCs w:val="16"/>
    </w:rPr>
  </w:style>
  <w:style w:type="paragraph" w:styleId="Tekstopmerking">
    <w:name w:val="annotation text"/>
    <w:basedOn w:val="Standaard"/>
    <w:link w:val="TekstopmerkingChar"/>
    <w:uiPriority w:val="99"/>
    <w:unhideWhenUsed/>
    <w:rsid w:val="00891A41"/>
    <w:rPr>
      <w:sz w:val="20"/>
      <w:szCs w:val="20"/>
    </w:rPr>
  </w:style>
  <w:style w:type="character" w:customStyle="1" w:styleId="TekstopmerkingChar">
    <w:name w:val="Tekst opmerking Char"/>
    <w:basedOn w:val="Standaardalinea-lettertype"/>
    <w:link w:val="Tekstopmerking"/>
    <w:uiPriority w:val="99"/>
    <w:rsid w:val="00891A41"/>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891A41"/>
    <w:rPr>
      <w:b/>
      <w:bCs/>
    </w:rPr>
  </w:style>
  <w:style w:type="character" w:customStyle="1" w:styleId="OnderwerpvanopmerkingChar">
    <w:name w:val="Onderwerp van opmerking Char"/>
    <w:basedOn w:val="TekstopmerkingChar"/>
    <w:link w:val="Onderwerpvanopmerking"/>
    <w:uiPriority w:val="99"/>
    <w:semiHidden/>
    <w:rsid w:val="00891A41"/>
    <w:rPr>
      <w:b/>
      <w:bCs/>
      <w:sz w:val="20"/>
      <w:szCs w:val="20"/>
      <w:lang w:val="en-GB"/>
    </w:rPr>
  </w:style>
  <w:style w:type="paragraph" w:styleId="Revisie">
    <w:name w:val="Revision"/>
    <w:hidden/>
    <w:uiPriority w:val="99"/>
    <w:semiHidden/>
    <w:rsid w:val="00891A41"/>
    <w:pPr>
      <w:spacing w:after="0" w:line="240" w:lineRule="auto"/>
    </w:pPr>
    <w:rPr>
      <w:sz w:val="24"/>
      <w:szCs w:val="24"/>
      <w:lang w:val="en-GB"/>
    </w:rPr>
  </w:style>
  <w:style w:type="table" w:customStyle="1" w:styleId="TableGrid">
    <w:name w:val="TableGrid"/>
    <w:rsid w:val="00891A41"/>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891A41"/>
    <w:pPr>
      <w:autoSpaceDE w:val="0"/>
      <w:autoSpaceDN w:val="0"/>
      <w:adjustRightInd w:val="0"/>
      <w:spacing w:after="0" w:line="240" w:lineRule="auto"/>
    </w:pPr>
    <w:rPr>
      <w:rFonts w:ascii="Calibri" w:hAnsi="Calibri" w:cs="Calibri"/>
      <w:color w:val="000000"/>
      <w:sz w:val="24"/>
      <w:szCs w:val="24"/>
      <w:lang w:val="en-US"/>
    </w:rPr>
  </w:style>
  <w:style w:type="paragraph" w:styleId="Geenafstand">
    <w:name w:val="No Spacing"/>
    <w:uiPriority w:val="1"/>
    <w:qFormat/>
    <w:rsid w:val="00891A41"/>
    <w:pPr>
      <w:spacing w:after="0" w:line="240" w:lineRule="auto"/>
    </w:pPr>
  </w:style>
  <w:style w:type="paragraph" w:styleId="Tekstzonderopmaak">
    <w:name w:val="Plain Text"/>
    <w:basedOn w:val="Standaard"/>
    <w:link w:val="TekstzonderopmaakChar"/>
    <w:uiPriority w:val="99"/>
    <w:unhideWhenUsed/>
    <w:rsid w:val="00891A41"/>
    <w:rPr>
      <w:rFonts w:ascii="Calibri" w:hAnsi="Calibri"/>
      <w:sz w:val="22"/>
      <w:szCs w:val="21"/>
      <w:lang w:val="nl-NL"/>
    </w:rPr>
  </w:style>
  <w:style w:type="character" w:customStyle="1" w:styleId="TekstzonderopmaakChar">
    <w:name w:val="Tekst zonder opmaak Char"/>
    <w:basedOn w:val="Standaardalinea-lettertype"/>
    <w:link w:val="Tekstzonderopmaak"/>
    <w:uiPriority w:val="99"/>
    <w:rsid w:val="00891A41"/>
    <w:rPr>
      <w:rFonts w:ascii="Calibri" w:hAnsi="Calibri"/>
      <w:szCs w:val="21"/>
    </w:rPr>
  </w:style>
  <w:style w:type="character" w:styleId="Hyperlink">
    <w:name w:val="Hyperlink"/>
    <w:basedOn w:val="Standaardalinea-lettertype"/>
    <w:uiPriority w:val="99"/>
    <w:unhideWhenUsed/>
    <w:rsid w:val="00891A41"/>
    <w:rPr>
      <w:color w:val="0563C1" w:themeColor="hyperlink"/>
      <w:u w:val="single"/>
    </w:rPr>
  </w:style>
  <w:style w:type="table" w:customStyle="1" w:styleId="Tabelraster1">
    <w:name w:val="Tabelraster1"/>
    <w:basedOn w:val="Standaardtabel"/>
    <w:next w:val="Tabelraster"/>
    <w:uiPriority w:val="39"/>
    <w:rsid w:val="0089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89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91A41"/>
    <w:pPr>
      <w:tabs>
        <w:tab w:val="center" w:pos="4513"/>
        <w:tab w:val="right" w:pos="9026"/>
      </w:tabs>
    </w:pPr>
  </w:style>
  <w:style w:type="character" w:customStyle="1" w:styleId="KoptekstChar">
    <w:name w:val="Koptekst Char"/>
    <w:basedOn w:val="Standaardalinea-lettertype"/>
    <w:link w:val="Koptekst"/>
    <w:uiPriority w:val="99"/>
    <w:rsid w:val="00891A41"/>
    <w:rPr>
      <w:sz w:val="24"/>
      <w:szCs w:val="24"/>
      <w:lang w:val="en-GB"/>
    </w:rPr>
  </w:style>
  <w:style w:type="paragraph" w:styleId="Voettekst">
    <w:name w:val="footer"/>
    <w:basedOn w:val="Standaard"/>
    <w:link w:val="VoettekstChar"/>
    <w:uiPriority w:val="99"/>
    <w:unhideWhenUsed/>
    <w:rsid w:val="00891A41"/>
    <w:pPr>
      <w:tabs>
        <w:tab w:val="center" w:pos="4513"/>
        <w:tab w:val="right" w:pos="9026"/>
      </w:tabs>
    </w:pPr>
  </w:style>
  <w:style w:type="character" w:customStyle="1" w:styleId="VoettekstChar">
    <w:name w:val="Voettekst Char"/>
    <w:basedOn w:val="Standaardalinea-lettertype"/>
    <w:link w:val="Voettekst"/>
    <w:uiPriority w:val="99"/>
    <w:rsid w:val="00891A41"/>
    <w:rPr>
      <w:sz w:val="24"/>
      <w:szCs w:val="24"/>
      <w:lang w:val="en-GB"/>
    </w:rPr>
  </w:style>
  <w:style w:type="table" w:customStyle="1" w:styleId="Tabelraster2">
    <w:name w:val="Tabelraster2"/>
    <w:basedOn w:val="Standaardtabel"/>
    <w:next w:val="Tabelraster"/>
    <w:uiPriority w:val="59"/>
    <w:rsid w:val="00891A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8232</Words>
  <Characters>45281</Characters>
  <Application>Microsoft Office Word</Application>
  <DocSecurity>0</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Kuut, T.A. (Tanja)</dc:creator>
  <cp:keywords/>
  <dc:description/>
  <cp:lastModifiedBy>Kuut, T.A. (Tanja)</cp:lastModifiedBy>
  <cp:revision>8</cp:revision>
  <dcterms:created xsi:type="dcterms:W3CDTF">2023-09-26T15:51:00Z</dcterms:created>
  <dcterms:modified xsi:type="dcterms:W3CDTF">2023-09-27T11:29:00Z</dcterms:modified>
</cp:coreProperties>
</file>