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3183" w14:textId="77777777" w:rsidR="00124C32" w:rsidRPr="0072081C" w:rsidRDefault="00124C32" w:rsidP="000C535A">
      <w:pPr>
        <w:jc w:val="center"/>
        <w:rPr>
          <w:rFonts w:ascii="Times New Roman" w:hAnsi="Times New Roman" w:cs="Times New Roman"/>
          <w:b/>
          <w:bCs/>
          <w:sz w:val="26"/>
          <w:szCs w:val="26"/>
        </w:rPr>
      </w:pPr>
      <w:r w:rsidRPr="0072081C">
        <w:rPr>
          <w:rFonts w:ascii="Times New Roman" w:hAnsi="Times New Roman" w:cs="Times New Roman"/>
          <w:b/>
          <w:bCs/>
          <w:sz w:val="26"/>
          <w:szCs w:val="26"/>
        </w:rPr>
        <w:t>Supplementary methods appendix</w:t>
      </w:r>
    </w:p>
    <w:p w14:paraId="1F68461C" w14:textId="77777777" w:rsidR="00124C32" w:rsidRPr="00756ED3" w:rsidRDefault="00124C32" w:rsidP="00F03CE7">
      <w:pPr>
        <w:pStyle w:val="Titre1"/>
        <w:jc w:val="center"/>
        <w:rPr>
          <w:rFonts w:ascii="Times New Roman" w:hAnsi="Times New Roman" w:cs="Times New Roman"/>
          <w:b/>
          <w:bCs/>
          <w:color w:val="000000" w:themeColor="text1"/>
          <w:sz w:val="24"/>
          <w:szCs w:val="24"/>
        </w:rPr>
      </w:pPr>
      <w:r w:rsidRPr="00756ED3">
        <w:rPr>
          <w:rFonts w:ascii="Times New Roman" w:hAnsi="Times New Roman" w:cs="Times New Roman"/>
          <w:b/>
          <w:bCs/>
          <w:color w:val="000000" w:themeColor="text1"/>
          <w:sz w:val="24"/>
          <w:szCs w:val="24"/>
        </w:rPr>
        <w:t>Costing supplement</w:t>
      </w:r>
    </w:p>
    <w:p w14:paraId="7E5659A3" w14:textId="77777777" w:rsidR="00124C32" w:rsidRPr="00756ED3" w:rsidRDefault="00124C32" w:rsidP="00E73655">
      <w:pPr>
        <w:rPr>
          <w:rFonts w:ascii="Times New Roman" w:hAnsi="Times New Roman" w:cs="Times New Roman"/>
          <w:color w:val="000000" w:themeColor="text1"/>
          <w:sz w:val="24"/>
          <w:szCs w:val="24"/>
        </w:rPr>
      </w:pPr>
    </w:p>
    <w:p w14:paraId="51B9CEA1" w14:textId="77777777" w:rsidR="00124C32" w:rsidRPr="00756ED3" w:rsidRDefault="00124C32" w:rsidP="001D6411">
      <w:pPr>
        <w:pStyle w:val="Titre2"/>
        <w:rPr>
          <w:rFonts w:ascii="Times New Roman" w:hAnsi="Times New Roman" w:cs="Times New Roman"/>
          <w:b/>
          <w:bCs/>
          <w:color w:val="000000" w:themeColor="text1"/>
          <w:sz w:val="24"/>
          <w:szCs w:val="24"/>
        </w:rPr>
      </w:pPr>
      <w:r w:rsidRPr="00756ED3">
        <w:rPr>
          <w:rFonts w:ascii="Times New Roman" w:hAnsi="Times New Roman" w:cs="Times New Roman"/>
          <w:b/>
          <w:bCs/>
          <w:color w:val="000000" w:themeColor="text1"/>
          <w:sz w:val="24"/>
          <w:szCs w:val="24"/>
        </w:rPr>
        <w:t>Intervention costs</w:t>
      </w:r>
    </w:p>
    <w:p w14:paraId="6038DF9C" w14:textId="77777777" w:rsidR="00124C32" w:rsidRPr="00756ED3" w:rsidRDefault="00124C32" w:rsidP="001D6411">
      <w:pPr>
        <w:rPr>
          <w:rFonts w:ascii="Times New Roman" w:hAnsi="Times New Roman" w:cs="Times New Roman"/>
          <w:sz w:val="24"/>
          <w:szCs w:val="24"/>
        </w:rPr>
      </w:pPr>
    </w:p>
    <w:p w14:paraId="00E75DCF" w14:textId="77777777" w:rsidR="00124C32" w:rsidRPr="00756ED3" w:rsidRDefault="00124C32" w:rsidP="00E73655">
      <w:pPr>
        <w:rPr>
          <w:rFonts w:ascii="Times New Roman" w:hAnsi="Times New Roman" w:cs="Times New Roman"/>
          <w:color w:val="000000" w:themeColor="text1"/>
          <w:sz w:val="24"/>
          <w:szCs w:val="24"/>
        </w:rPr>
      </w:pPr>
      <w:r w:rsidRPr="00756ED3">
        <w:rPr>
          <w:rFonts w:ascii="Times New Roman" w:hAnsi="Times New Roman" w:cs="Times New Roman"/>
          <w:color w:val="000000" w:themeColor="text1"/>
          <w:sz w:val="24"/>
          <w:szCs w:val="24"/>
        </w:rPr>
        <w:t>Costs included:</w:t>
      </w:r>
    </w:p>
    <w:p w14:paraId="47068486" w14:textId="77777777" w:rsidR="00124C32" w:rsidRPr="00756ED3" w:rsidRDefault="00124C32" w:rsidP="001D6411">
      <w:pPr>
        <w:pStyle w:val="Paragraphedeliste"/>
        <w:numPr>
          <w:ilvl w:val="0"/>
          <w:numId w:val="1"/>
        </w:numPr>
        <w:spacing w:after="0" w:line="360" w:lineRule="auto"/>
        <w:ind w:left="426"/>
        <w:jc w:val="both"/>
        <w:rPr>
          <w:rFonts w:ascii="Times New Roman" w:hAnsi="Times New Roman" w:cs="Times New Roman"/>
          <w:color w:val="212121"/>
          <w:sz w:val="24"/>
          <w:szCs w:val="24"/>
          <w:shd w:val="clear" w:color="auto" w:fill="FFFFFF"/>
          <w:lang w:val="en-CA"/>
        </w:rPr>
      </w:pPr>
      <w:r w:rsidRPr="00756ED3">
        <w:rPr>
          <w:rFonts w:ascii="Times New Roman" w:hAnsi="Times New Roman" w:cs="Times New Roman"/>
          <w:color w:val="212121"/>
          <w:sz w:val="24"/>
          <w:szCs w:val="24"/>
          <w:shd w:val="clear" w:color="auto" w:fill="FFFFFF"/>
          <w:lang w:val="en-CA"/>
        </w:rPr>
        <w:t xml:space="preserve">Therapists’ salary based on two-hour </w:t>
      </w:r>
      <w:proofErr w:type="gramStart"/>
      <w:r w:rsidRPr="00756ED3">
        <w:rPr>
          <w:rFonts w:ascii="Times New Roman" w:hAnsi="Times New Roman" w:cs="Times New Roman"/>
          <w:color w:val="212121"/>
          <w:sz w:val="24"/>
          <w:szCs w:val="24"/>
          <w:shd w:val="clear" w:color="auto" w:fill="FFFFFF"/>
          <w:lang w:val="en-CA"/>
        </w:rPr>
        <w:t>sessions;</w:t>
      </w:r>
      <w:proofErr w:type="gramEnd"/>
    </w:p>
    <w:p w14:paraId="6016D69B" w14:textId="77777777" w:rsidR="00124C32" w:rsidRPr="00756ED3" w:rsidRDefault="00124C32" w:rsidP="001D6411">
      <w:pPr>
        <w:pStyle w:val="Paragraphedeliste"/>
        <w:numPr>
          <w:ilvl w:val="0"/>
          <w:numId w:val="1"/>
        </w:numPr>
        <w:spacing w:after="0" w:line="360" w:lineRule="auto"/>
        <w:ind w:left="426"/>
        <w:jc w:val="both"/>
        <w:rPr>
          <w:rFonts w:ascii="Times New Roman" w:hAnsi="Times New Roman" w:cs="Times New Roman"/>
          <w:color w:val="212121"/>
          <w:sz w:val="24"/>
          <w:szCs w:val="24"/>
          <w:shd w:val="clear" w:color="auto" w:fill="FFFFFF"/>
          <w:lang w:val="en-CA"/>
        </w:rPr>
      </w:pPr>
      <w:r w:rsidRPr="00756ED3">
        <w:rPr>
          <w:rFonts w:ascii="Times New Roman" w:hAnsi="Times New Roman" w:cs="Times New Roman"/>
          <w:color w:val="212121"/>
          <w:sz w:val="24"/>
          <w:szCs w:val="24"/>
          <w:shd w:val="clear" w:color="auto" w:fill="FFFFFF"/>
          <w:lang w:val="en-CA"/>
        </w:rPr>
        <w:t>Preparation time for sessions (reported by therapists</w:t>
      </w:r>
      <w:proofErr w:type="gramStart"/>
      <w:r w:rsidRPr="00756ED3">
        <w:rPr>
          <w:rFonts w:ascii="Times New Roman" w:hAnsi="Times New Roman" w:cs="Times New Roman"/>
          <w:color w:val="212121"/>
          <w:sz w:val="24"/>
          <w:szCs w:val="24"/>
          <w:shd w:val="clear" w:color="auto" w:fill="FFFFFF"/>
          <w:lang w:val="en-CA"/>
        </w:rPr>
        <w:t>);</w:t>
      </w:r>
      <w:proofErr w:type="gramEnd"/>
    </w:p>
    <w:p w14:paraId="6733DA03" w14:textId="77777777" w:rsidR="00124C32" w:rsidRPr="00756ED3" w:rsidRDefault="00124C32" w:rsidP="001D6411">
      <w:pPr>
        <w:pStyle w:val="Paragraphedeliste"/>
        <w:numPr>
          <w:ilvl w:val="0"/>
          <w:numId w:val="1"/>
        </w:numPr>
        <w:spacing w:after="0" w:line="360" w:lineRule="auto"/>
        <w:ind w:left="426"/>
        <w:jc w:val="both"/>
        <w:rPr>
          <w:rFonts w:ascii="Times New Roman" w:hAnsi="Times New Roman" w:cs="Times New Roman"/>
          <w:color w:val="212121"/>
          <w:sz w:val="24"/>
          <w:szCs w:val="24"/>
          <w:shd w:val="clear" w:color="auto" w:fill="FFFFFF"/>
          <w:lang w:val="en-CA"/>
        </w:rPr>
      </w:pPr>
      <w:r w:rsidRPr="00756ED3">
        <w:rPr>
          <w:rFonts w:ascii="Times New Roman" w:hAnsi="Times New Roman" w:cs="Times New Roman"/>
          <w:color w:val="212121"/>
          <w:sz w:val="24"/>
          <w:szCs w:val="24"/>
          <w:shd w:val="clear" w:color="auto" w:fill="FFFFFF"/>
          <w:lang w:val="en-CA"/>
        </w:rPr>
        <w:t>Individual pre-therapy appointments (based on the average length</w:t>
      </w:r>
      <w:proofErr w:type="gramStart"/>
      <w:r w:rsidRPr="00756ED3">
        <w:rPr>
          <w:rFonts w:ascii="Times New Roman" w:hAnsi="Times New Roman" w:cs="Times New Roman"/>
          <w:color w:val="212121"/>
          <w:sz w:val="24"/>
          <w:szCs w:val="24"/>
          <w:shd w:val="clear" w:color="auto" w:fill="FFFFFF"/>
          <w:lang w:val="en-CA"/>
        </w:rPr>
        <w:t>);</w:t>
      </w:r>
      <w:proofErr w:type="gramEnd"/>
      <w:r w:rsidRPr="00756ED3">
        <w:rPr>
          <w:rFonts w:ascii="Times New Roman" w:hAnsi="Times New Roman" w:cs="Times New Roman"/>
          <w:color w:val="212121"/>
          <w:sz w:val="24"/>
          <w:szCs w:val="24"/>
          <w:shd w:val="clear" w:color="auto" w:fill="FFFFFF"/>
          <w:lang w:val="en-CA"/>
        </w:rPr>
        <w:t xml:space="preserve"> </w:t>
      </w:r>
    </w:p>
    <w:p w14:paraId="4B3F9FE6" w14:textId="77777777" w:rsidR="00124C32" w:rsidRPr="00756ED3" w:rsidRDefault="00124C32" w:rsidP="001D6411">
      <w:pPr>
        <w:pStyle w:val="Paragraphedeliste"/>
        <w:numPr>
          <w:ilvl w:val="0"/>
          <w:numId w:val="1"/>
        </w:numPr>
        <w:spacing w:after="0" w:line="360" w:lineRule="auto"/>
        <w:ind w:left="426"/>
        <w:jc w:val="both"/>
        <w:rPr>
          <w:rFonts w:ascii="Times New Roman" w:hAnsi="Times New Roman" w:cs="Times New Roman"/>
          <w:color w:val="212121"/>
          <w:sz w:val="24"/>
          <w:szCs w:val="24"/>
          <w:shd w:val="clear" w:color="auto" w:fill="FFFFFF"/>
          <w:lang w:val="en-CA"/>
        </w:rPr>
      </w:pPr>
      <w:r w:rsidRPr="00756ED3">
        <w:rPr>
          <w:rFonts w:ascii="Times New Roman" w:hAnsi="Times New Roman" w:cs="Times New Roman"/>
          <w:color w:val="212121"/>
          <w:sz w:val="24"/>
          <w:szCs w:val="24"/>
          <w:shd w:val="clear" w:color="auto" w:fill="FFFFFF"/>
          <w:lang w:val="en-CA"/>
        </w:rPr>
        <w:t>Telephone follow-up to enhance compliance (reported by therapists</w:t>
      </w:r>
      <w:proofErr w:type="gramStart"/>
      <w:r w:rsidRPr="00756ED3">
        <w:rPr>
          <w:rFonts w:ascii="Times New Roman" w:hAnsi="Times New Roman" w:cs="Times New Roman"/>
          <w:color w:val="212121"/>
          <w:sz w:val="24"/>
          <w:szCs w:val="24"/>
          <w:shd w:val="clear" w:color="auto" w:fill="FFFFFF"/>
          <w:lang w:val="en-CA"/>
        </w:rPr>
        <w:t>);</w:t>
      </w:r>
      <w:proofErr w:type="gramEnd"/>
      <w:r w:rsidRPr="00756ED3">
        <w:rPr>
          <w:rFonts w:ascii="Times New Roman" w:hAnsi="Times New Roman" w:cs="Times New Roman"/>
          <w:color w:val="212121"/>
          <w:sz w:val="24"/>
          <w:szCs w:val="24"/>
          <w:shd w:val="clear" w:color="auto" w:fill="FFFFFF"/>
          <w:lang w:val="en-CA"/>
        </w:rPr>
        <w:t xml:space="preserve"> </w:t>
      </w:r>
    </w:p>
    <w:p w14:paraId="62E6093A" w14:textId="77777777" w:rsidR="00124C32" w:rsidRPr="00756ED3" w:rsidRDefault="00124C32" w:rsidP="001D6411">
      <w:pPr>
        <w:pStyle w:val="Paragraphedeliste"/>
        <w:numPr>
          <w:ilvl w:val="0"/>
          <w:numId w:val="1"/>
        </w:numPr>
        <w:spacing w:after="0" w:line="360" w:lineRule="auto"/>
        <w:ind w:left="426"/>
        <w:jc w:val="both"/>
        <w:rPr>
          <w:rFonts w:ascii="Times New Roman" w:hAnsi="Times New Roman" w:cs="Times New Roman"/>
          <w:color w:val="212121"/>
          <w:sz w:val="24"/>
          <w:szCs w:val="24"/>
          <w:shd w:val="clear" w:color="auto" w:fill="FFFFFF"/>
          <w:lang w:val="en-CA"/>
        </w:rPr>
      </w:pPr>
      <w:r w:rsidRPr="00756ED3">
        <w:rPr>
          <w:rFonts w:ascii="Times New Roman" w:hAnsi="Times New Roman" w:cs="Times New Roman"/>
          <w:color w:val="212121"/>
          <w:sz w:val="24"/>
          <w:szCs w:val="24"/>
          <w:shd w:val="clear" w:color="auto" w:fill="FFFFFF"/>
          <w:lang w:val="en-CA"/>
        </w:rPr>
        <w:t>Supporting documents (participants’ booklet</w:t>
      </w:r>
      <w:proofErr w:type="gramStart"/>
      <w:r w:rsidRPr="00756ED3">
        <w:rPr>
          <w:rFonts w:ascii="Times New Roman" w:hAnsi="Times New Roman" w:cs="Times New Roman"/>
          <w:color w:val="212121"/>
          <w:sz w:val="24"/>
          <w:szCs w:val="24"/>
          <w:shd w:val="clear" w:color="auto" w:fill="FFFFFF"/>
          <w:lang w:val="en-CA"/>
        </w:rPr>
        <w:t>);</w:t>
      </w:r>
      <w:proofErr w:type="gramEnd"/>
    </w:p>
    <w:p w14:paraId="2DFCEBA2" w14:textId="55A295BC" w:rsidR="00124C32" w:rsidRPr="00756ED3" w:rsidRDefault="00124C32" w:rsidP="00E73655">
      <w:pPr>
        <w:pStyle w:val="Paragraphedeliste"/>
        <w:numPr>
          <w:ilvl w:val="0"/>
          <w:numId w:val="1"/>
        </w:numPr>
        <w:spacing w:after="0" w:line="360" w:lineRule="auto"/>
        <w:ind w:left="426"/>
        <w:jc w:val="both"/>
        <w:rPr>
          <w:rFonts w:ascii="Times New Roman" w:hAnsi="Times New Roman" w:cs="Times New Roman"/>
          <w:color w:val="000000" w:themeColor="text1"/>
          <w:sz w:val="24"/>
          <w:szCs w:val="24"/>
          <w:lang w:val="en-CA"/>
        </w:rPr>
      </w:pPr>
      <w:r w:rsidRPr="00756ED3">
        <w:rPr>
          <w:rFonts w:ascii="Times New Roman" w:hAnsi="Times New Roman" w:cs="Times New Roman"/>
          <w:color w:val="212121"/>
          <w:sz w:val="24"/>
          <w:szCs w:val="24"/>
          <w:shd w:val="clear" w:color="auto" w:fill="FFFFFF"/>
          <w:lang w:val="en-CA"/>
        </w:rPr>
        <w:t xml:space="preserve">General overhead costs - based on activity centers </w:t>
      </w:r>
      <w:r w:rsidRPr="00756ED3">
        <w:rPr>
          <w:rFonts w:ascii="Times New Roman" w:hAnsi="Times New Roman" w:cs="Times New Roman"/>
          <w:color w:val="000000"/>
          <w:sz w:val="24"/>
          <w:szCs w:val="24"/>
          <w:lang w:val="en-CA"/>
        </w:rPr>
        <w:t>(</w:t>
      </w:r>
      <w:proofErr w:type="spellStart"/>
      <w:r w:rsidRPr="00756ED3">
        <w:rPr>
          <w:rFonts w:ascii="Times New Roman" w:hAnsi="Times New Roman" w:cs="Times New Roman"/>
          <w:color w:val="000000"/>
          <w:sz w:val="24"/>
          <w:szCs w:val="24"/>
          <w:lang w:val="en-CA"/>
        </w:rPr>
        <w:t>Ministère</w:t>
      </w:r>
      <w:proofErr w:type="spellEnd"/>
      <w:r w:rsidRPr="00756ED3">
        <w:rPr>
          <w:rFonts w:ascii="Times New Roman" w:hAnsi="Times New Roman" w:cs="Times New Roman"/>
          <w:color w:val="000000"/>
          <w:sz w:val="24"/>
          <w:szCs w:val="24"/>
          <w:lang w:val="en-CA"/>
        </w:rPr>
        <w:t xml:space="preserve"> de la Santé et des Services </w:t>
      </w:r>
      <w:proofErr w:type="spellStart"/>
      <w:r w:rsidRPr="00756ED3">
        <w:rPr>
          <w:rFonts w:ascii="Times New Roman" w:hAnsi="Times New Roman" w:cs="Times New Roman"/>
          <w:color w:val="000000"/>
          <w:sz w:val="24"/>
          <w:szCs w:val="24"/>
          <w:lang w:val="en-CA"/>
        </w:rPr>
        <w:t>sociaux</w:t>
      </w:r>
      <w:proofErr w:type="spellEnd"/>
      <w:r w:rsidRPr="00756ED3">
        <w:rPr>
          <w:rFonts w:ascii="Times New Roman" w:hAnsi="Times New Roman" w:cs="Times New Roman"/>
          <w:color w:val="000000"/>
          <w:sz w:val="24"/>
          <w:szCs w:val="24"/>
          <w:lang w:val="en-CA"/>
        </w:rPr>
        <w:t>, 2017a)</w:t>
      </w:r>
      <w:r w:rsidRPr="00756ED3">
        <w:rPr>
          <w:rFonts w:ascii="Times New Roman" w:hAnsi="Times New Roman" w:cs="Times New Roman"/>
          <w:color w:val="212121"/>
          <w:sz w:val="24"/>
          <w:szCs w:val="24"/>
          <w:shd w:val="clear" w:color="auto" w:fill="FFFFFF"/>
          <w:lang w:val="en-CA"/>
        </w:rPr>
        <w:t xml:space="preserve">: facility operations [electricity, insurance, heating, ventilation, air-conditioning, water], security, </w:t>
      </w:r>
      <w:proofErr w:type="gramStart"/>
      <w:r w:rsidRPr="00756ED3">
        <w:rPr>
          <w:rFonts w:ascii="Times New Roman" w:hAnsi="Times New Roman" w:cs="Times New Roman"/>
          <w:color w:val="212121"/>
          <w:sz w:val="24"/>
          <w:szCs w:val="24"/>
          <w:shd w:val="clear" w:color="auto" w:fill="FFFFFF"/>
          <w:lang w:val="en-CA"/>
        </w:rPr>
        <w:t>hygiene</w:t>
      </w:r>
      <w:proofErr w:type="gramEnd"/>
      <w:r w:rsidRPr="00756ED3">
        <w:rPr>
          <w:rFonts w:ascii="Times New Roman" w:hAnsi="Times New Roman" w:cs="Times New Roman"/>
          <w:color w:val="212121"/>
          <w:sz w:val="24"/>
          <w:szCs w:val="24"/>
          <w:shd w:val="clear" w:color="auto" w:fill="FFFFFF"/>
          <w:lang w:val="en-CA"/>
        </w:rPr>
        <w:t xml:space="preserve"> and cleanliness – operational tasks and finally, administrative support [based on average hourly rate].</w:t>
      </w:r>
    </w:p>
    <w:p w14:paraId="5AE87F77" w14:textId="77777777" w:rsidR="00124C32" w:rsidRPr="00756ED3" w:rsidRDefault="00124C32" w:rsidP="00132C90">
      <w:pPr>
        <w:pStyle w:val="Paragraphedeliste"/>
        <w:numPr>
          <w:ilvl w:val="0"/>
          <w:numId w:val="1"/>
        </w:numPr>
        <w:spacing w:after="0" w:line="360" w:lineRule="auto"/>
        <w:ind w:left="426"/>
        <w:jc w:val="both"/>
        <w:rPr>
          <w:rFonts w:ascii="Times New Roman" w:hAnsi="Times New Roman" w:cs="Times New Roman"/>
          <w:color w:val="212121"/>
          <w:sz w:val="24"/>
          <w:szCs w:val="24"/>
          <w:shd w:val="clear" w:color="auto" w:fill="FFFFFF"/>
          <w:lang w:val="en-CA"/>
        </w:rPr>
      </w:pPr>
      <w:r w:rsidRPr="00756ED3">
        <w:rPr>
          <w:rFonts w:ascii="Times New Roman" w:hAnsi="Times New Roman" w:cs="Times New Roman"/>
          <w:color w:val="212121"/>
          <w:sz w:val="24"/>
          <w:szCs w:val="24"/>
          <w:shd w:val="clear" w:color="auto" w:fill="FFFFFF"/>
          <w:lang w:val="en-CA"/>
        </w:rPr>
        <w:t xml:space="preserve">Limited societal cost – Time spent in therapy sessions for participants: 4 hours per session including transportation, session time, and needed arrangements, as for medical </w:t>
      </w:r>
      <w:proofErr w:type="gramStart"/>
      <w:r w:rsidRPr="00756ED3">
        <w:rPr>
          <w:rFonts w:ascii="Times New Roman" w:hAnsi="Times New Roman" w:cs="Times New Roman"/>
          <w:color w:val="212121"/>
          <w:sz w:val="24"/>
          <w:szCs w:val="24"/>
          <w:shd w:val="clear" w:color="auto" w:fill="FFFFFF"/>
          <w:lang w:val="en-CA"/>
        </w:rPr>
        <w:t>appointments;</w:t>
      </w:r>
      <w:proofErr w:type="gramEnd"/>
    </w:p>
    <w:p w14:paraId="246EDB5D" w14:textId="77777777" w:rsidR="00124C32" w:rsidRPr="00756ED3" w:rsidRDefault="00124C32" w:rsidP="00E73655">
      <w:pPr>
        <w:pStyle w:val="Paragraphedeliste"/>
        <w:numPr>
          <w:ilvl w:val="0"/>
          <w:numId w:val="1"/>
        </w:numPr>
        <w:spacing w:after="0" w:line="360" w:lineRule="auto"/>
        <w:ind w:left="426"/>
        <w:jc w:val="both"/>
        <w:rPr>
          <w:rFonts w:ascii="Times New Roman" w:hAnsi="Times New Roman" w:cs="Times New Roman"/>
          <w:color w:val="000000" w:themeColor="text1"/>
          <w:sz w:val="24"/>
          <w:szCs w:val="24"/>
          <w:shd w:val="clear" w:color="auto" w:fill="FFFFFF"/>
          <w:lang w:val="en-CA"/>
        </w:rPr>
      </w:pPr>
      <w:r w:rsidRPr="00756ED3">
        <w:rPr>
          <w:rFonts w:ascii="Times New Roman" w:hAnsi="Times New Roman" w:cs="Times New Roman"/>
          <w:color w:val="212121"/>
          <w:sz w:val="24"/>
          <w:szCs w:val="24"/>
          <w:shd w:val="clear" w:color="auto" w:fill="FFFFFF"/>
          <w:lang w:val="en-CA"/>
        </w:rPr>
        <w:t>Limited societal cost – Transportation (estimated): diameter of the cities (in km) multiplied by the cost of the preferred mean of transportation for each region (e.g., taxi, metro, car, walking).</w:t>
      </w:r>
    </w:p>
    <w:p w14:paraId="4BE23E2D" w14:textId="77777777" w:rsidR="00124C32" w:rsidRPr="00756ED3" w:rsidRDefault="00124C32" w:rsidP="001839D3">
      <w:pPr>
        <w:pStyle w:val="Paragraphedeliste"/>
        <w:spacing w:after="0" w:line="360" w:lineRule="auto"/>
        <w:ind w:left="426"/>
        <w:jc w:val="both"/>
        <w:rPr>
          <w:rFonts w:ascii="Times New Roman" w:hAnsi="Times New Roman" w:cs="Times New Roman"/>
          <w:color w:val="000000" w:themeColor="text1"/>
          <w:sz w:val="24"/>
          <w:szCs w:val="24"/>
          <w:lang w:val="en-CA"/>
        </w:rPr>
      </w:pPr>
    </w:p>
    <w:p w14:paraId="41781173" w14:textId="77777777" w:rsidR="00124C32" w:rsidRPr="00756ED3" w:rsidRDefault="00124C32" w:rsidP="000821E4">
      <w:pPr>
        <w:pStyle w:val="Titre2"/>
        <w:rPr>
          <w:rStyle w:val="Titre4Car"/>
          <w:rFonts w:ascii="Times New Roman" w:hAnsi="Times New Roman" w:cs="Times New Roman"/>
          <w:b/>
          <w:bCs/>
          <w:i w:val="0"/>
          <w:iCs w:val="0"/>
          <w:color w:val="000000" w:themeColor="text1"/>
          <w:sz w:val="24"/>
          <w:szCs w:val="24"/>
          <w:lang w:val="en-US"/>
        </w:rPr>
      </w:pPr>
      <w:r w:rsidRPr="00756ED3">
        <w:rPr>
          <w:rStyle w:val="Titre4Car"/>
          <w:rFonts w:ascii="Times New Roman" w:hAnsi="Times New Roman" w:cs="Times New Roman"/>
          <w:b/>
          <w:bCs/>
          <w:i w:val="0"/>
          <w:iCs w:val="0"/>
          <w:color w:val="000000" w:themeColor="text1"/>
          <w:sz w:val="24"/>
          <w:szCs w:val="24"/>
          <w:lang w:val="en-US"/>
        </w:rPr>
        <w:t>Mental health services use</w:t>
      </w:r>
    </w:p>
    <w:p w14:paraId="36423F18" w14:textId="77777777" w:rsidR="00124C32" w:rsidRPr="00756ED3" w:rsidRDefault="00124C32" w:rsidP="000821E4">
      <w:pPr>
        <w:rPr>
          <w:rStyle w:val="Titre2Car"/>
          <w:rFonts w:ascii="Times New Roman" w:hAnsi="Times New Roman" w:cs="Times New Roman"/>
          <w:b/>
          <w:bCs/>
          <w:i/>
          <w:iCs/>
          <w:color w:val="000000" w:themeColor="text1"/>
          <w:sz w:val="24"/>
          <w:szCs w:val="24"/>
        </w:rPr>
      </w:pPr>
      <w:r w:rsidRPr="00756ED3">
        <w:rPr>
          <w:rStyle w:val="Titre2Car"/>
          <w:rFonts w:ascii="Times New Roman" w:hAnsi="Times New Roman" w:cs="Times New Roman"/>
          <w:b/>
          <w:bCs/>
          <w:i/>
          <w:iCs/>
          <w:color w:val="000000" w:themeColor="text1"/>
          <w:sz w:val="24"/>
          <w:szCs w:val="24"/>
        </w:rPr>
        <w:t xml:space="preserve"> </w:t>
      </w:r>
    </w:p>
    <w:p w14:paraId="267B5F27" w14:textId="1595D88A" w:rsidR="00124C32" w:rsidRPr="00756ED3" w:rsidRDefault="00124C32" w:rsidP="00E73655">
      <w:pPr>
        <w:spacing w:line="480" w:lineRule="auto"/>
        <w:ind w:firstLine="720"/>
        <w:jc w:val="both"/>
        <w:rPr>
          <w:rFonts w:ascii="Times New Roman" w:hAnsi="Times New Roman" w:cs="Times New Roman"/>
          <w:color w:val="000000" w:themeColor="text1"/>
          <w:sz w:val="24"/>
          <w:szCs w:val="24"/>
        </w:rPr>
      </w:pPr>
      <w:r w:rsidRPr="00756ED3">
        <w:rPr>
          <w:rFonts w:ascii="Times New Roman" w:hAnsi="Times New Roman" w:cs="Times New Roman"/>
          <w:color w:val="000000" w:themeColor="text1"/>
          <w:sz w:val="24"/>
          <w:szCs w:val="24"/>
        </w:rPr>
        <w:t xml:space="preserve">The costs associated with hospitalizations, emergency department visits and outpatient visits within the healthcare system were evaluated using a direct allocation method </w:t>
      </w:r>
      <w:r w:rsidRPr="00756ED3">
        <w:rPr>
          <w:rFonts w:ascii="Times New Roman" w:hAnsi="Times New Roman" w:cs="Times New Roman"/>
          <w:color w:val="000000"/>
          <w:sz w:val="24"/>
          <w:szCs w:val="24"/>
        </w:rPr>
        <w:t>(Vasiliadis, Dionne, et al., 2013)</w:t>
      </w:r>
      <w:r w:rsidRPr="00756ED3">
        <w:rPr>
          <w:rFonts w:ascii="Times New Roman" w:hAnsi="Times New Roman" w:cs="Times New Roman"/>
          <w:color w:val="000000" w:themeColor="text1"/>
          <w:sz w:val="24"/>
          <w:szCs w:val="24"/>
        </w:rPr>
        <w:t xml:space="preserve">. The costs were based on annual financial and activity reports submitted by healthcare establishments to the Quebec </w:t>
      </w:r>
      <w:r w:rsidRPr="00756ED3">
        <w:rPr>
          <w:rFonts w:ascii="Times New Roman" w:hAnsi="Times New Roman" w:cs="Times New Roman"/>
          <w:iCs/>
          <w:color w:val="000000" w:themeColor="text1"/>
          <w:sz w:val="24"/>
          <w:szCs w:val="24"/>
        </w:rPr>
        <w:t>Ministry of Health and Social Services</w:t>
      </w:r>
      <w:r w:rsidRPr="00756ED3">
        <w:rPr>
          <w:rFonts w:ascii="Times New Roman" w:hAnsi="Times New Roman" w:cs="Times New Roman"/>
          <w:color w:val="000000" w:themeColor="text1"/>
          <w:sz w:val="24"/>
          <w:szCs w:val="24"/>
        </w:rPr>
        <w:t xml:space="preserve"> in 2016-2017 </w:t>
      </w:r>
      <w:r w:rsidRPr="00756ED3">
        <w:rPr>
          <w:rFonts w:ascii="Times New Roman" w:hAnsi="Times New Roman" w:cs="Times New Roman"/>
          <w:color w:val="000000"/>
          <w:sz w:val="24"/>
          <w:szCs w:val="24"/>
        </w:rPr>
        <w:t>(</w:t>
      </w:r>
      <w:proofErr w:type="spellStart"/>
      <w:r w:rsidRPr="00756ED3">
        <w:rPr>
          <w:rFonts w:ascii="Times New Roman" w:hAnsi="Times New Roman" w:cs="Times New Roman"/>
          <w:color w:val="000000"/>
          <w:sz w:val="24"/>
          <w:szCs w:val="24"/>
        </w:rPr>
        <w:t>Ministère</w:t>
      </w:r>
      <w:proofErr w:type="spellEnd"/>
      <w:r w:rsidRPr="00756ED3">
        <w:rPr>
          <w:rFonts w:ascii="Times New Roman" w:hAnsi="Times New Roman" w:cs="Times New Roman"/>
          <w:color w:val="000000"/>
          <w:sz w:val="24"/>
          <w:szCs w:val="24"/>
        </w:rPr>
        <w:t xml:space="preserve"> de la Santé et des Services </w:t>
      </w:r>
      <w:proofErr w:type="spellStart"/>
      <w:r w:rsidRPr="00756ED3">
        <w:rPr>
          <w:rFonts w:ascii="Times New Roman" w:hAnsi="Times New Roman" w:cs="Times New Roman"/>
          <w:color w:val="000000"/>
          <w:sz w:val="24"/>
          <w:szCs w:val="24"/>
        </w:rPr>
        <w:t>sociaux</w:t>
      </w:r>
      <w:proofErr w:type="spellEnd"/>
      <w:r w:rsidRPr="00756ED3">
        <w:rPr>
          <w:rFonts w:ascii="Times New Roman" w:hAnsi="Times New Roman" w:cs="Times New Roman"/>
          <w:color w:val="000000"/>
          <w:sz w:val="24"/>
          <w:szCs w:val="24"/>
        </w:rPr>
        <w:t>, 2017a, 2017b)</w:t>
      </w:r>
      <w:r w:rsidRPr="00756ED3">
        <w:rPr>
          <w:rFonts w:ascii="Times New Roman" w:hAnsi="Times New Roman" w:cs="Times New Roman"/>
          <w:color w:val="000000" w:themeColor="text1"/>
          <w:sz w:val="24"/>
          <w:szCs w:val="24"/>
        </w:rPr>
        <w:t xml:space="preserve">, with a marginal mark-up for overhead </w:t>
      </w:r>
      <w:r w:rsidRPr="00756ED3">
        <w:rPr>
          <w:rFonts w:ascii="Times New Roman" w:eastAsia="Times New Roman" w:hAnsi="Times New Roman" w:cs="Times New Roman"/>
          <w:sz w:val="24"/>
          <w:szCs w:val="24"/>
        </w:rPr>
        <w:t xml:space="preserve">(Tan, Van </w:t>
      </w:r>
      <w:proofErr w:type="spellStart"/>
      <w:r w:rsidRPr="00756ED3">
        <w:rPr>
          <w:rFonts w:ascii="Times New Roman" w:eastAsia="Times New Roman" w:hAnsi="Times New Roman" w:cs="Times New Roman"/>
          <w:sz w:val="24"/>
          <w:szCs w:val="24"/>
        </w:rPr>
        <w:t>Ineveld</w:t>
      </w:r>
      <w:proofErr w:type="spellEnd"/>
      <w:r w:rsidRPr="00756ED3">
        <w:rPr>
          <w:rFonts w:ascii="Times New Roman" w:eastAsia="Times New Roman" w:hAnsi="Times New Roman" w:cs="Times New Roman"/>
          <w:sz w:val="24"/>
          <w:szCs w:val="24"/>
        </w:rPr>
        <w:t xml:space="preserve">, </w:t>
      </w:r>
      <w:proofErr w:type="spellStart"/>
      <w:r w:rsidRPr="00756ED3">
        <w:rPr>
          <w:rFonts w:ascii="Times New Roman" w:eastAsia="Times New Roman" w:hAnsi="Times New Roman" w:cs="Times New Roman"/>
          <w:sz w:val="24"/>
          <w:szCs w:val="24"/>
        </w:rPr>
        <w:t>Redekop</w:t>
      </w:r>
      <w:proofErr w:type="spellEnd"/>
      <w:r w:rsidRPr="00756ED3">
        <w:rPr>
          <w:rFonts w:ascii="Times New Roman" w:eastAsia="Times New Roman" w:hAnsi="Times New Roman" w:cs="Times New Roman"/>
          <w:sz w:val="24"/>
          <w:szCs w:val="24"/>
        </w:rPr>
        <w:t xml:space="preserve">, &amp; </w:t>
      </w:r>
      <w:proofErr w:type="spellStart"/>
      <w:r w:rsidRPr="00756ED3">
        <w:rPr>
          <w:rFonts w:ascii="Times New Roman" w:eastAsia="Times New Roman" w:hAnsi="Times New Roman" w:cs="Times New Roman"/>
          <w:sz w:val="24"/>
          <w:szCs w:val="24"/>
        </w:rPr>
        <w:t>Hakkaart</w:t>
      </w:r>
      <w:proofErr w:type="spellEnd"/>
      <w:r w:rsidRPr="00756ED3">
        <w:rPr>
          <w:rFonts w:ascii="Times New Roman" w:eastAsia="Times New Roman" w:hAnsi="Times New Roman" w:cs="Times New Roman"/>
          <w:sz w:val="24"/>
          <w:szCs w:val="24"/>
        </w:rPr>
        <w:t xml:space="preserve">-Van </w:t>
      </w:r>
      <w:proofErr w:type="spellStart"/>
      <w:r w:rsidRPr="00756ED3">
        <w:rPr>
          <w:rFonts w:ascii="Times New Roman" w:eastAsia="Times New Roman" w:hAnsi="Times New Roman" w:cs="Times New Roman"/>
          <w:sz w:val="24"/>
          <w:szCs w:val="24"/>
        </w:rPr>
        <w:t>Roijen</w:t>
      </w:r>
      <w:proofErr w:type="spellEnd"/>
      <w:r w:rsidRPr="00756ED3">
        <w:rPr>
          <w:rFonts w:ascii="Times New Roman" w:eastAsia="Times New Roman" w:hAnsi="Times New Roman" w:cs="Times New Roman"/>
          <w:sz w:val="24"/>
          <w:szCs w:val="24"/>
        </w:rPr>
        <w:t>, 2009)</w:t>
      </w:r>
      <w:r w:rsidRPr="00756ED3">
        <w:rPr>
          <w:rFonts w:ascii="Times New Roman" w:hAnsi="Times New Roman" w:cs="Times New Roman"/>
          <w:color w:val="000000" w:themeColor="text1"/>
          <w:sz w:val="24"/>
          <w:szCs w:val="24"/>
        </w:rPr>
        <w:t xml:space="preserve"> and opportunity and </w:t>
      </w:r>
      <w:r w:rsidRPr="00756ED3">
        <w:rPr>
          <w:rFonts w:ascii="Times New Roman" w:hAnsi="Times New Roman" w:cs="Times New Roman"/>
          <w:color w:val="000000" w:themeColor="text1"/>
          <w:sz w:val="24"/>
          <w:szCs w:val="24"/>
        </w:rPr>
        <w:lastRenderedPageBreak/>
        <w:t xml:space="preserve">building-depreciation costs </w:t>
      </w:r>
      <w:r w:rsidRPr="00756ED3">
        <w:rPr>
          <w:rFonts w:ascii="Times New Roman" w:eastAsia="Times New Roman" w:hAnsi="Times New Roman" w:cs="Times New Roman"/>
          <w:sz w:val="24"/>
          <w:szCs w:val="24"/>
        </w:rPr>
        <w:t>(</w:t>
      </w:r>
      <w:proofErr w:type="spellStart"/>
      <w:r w:rsidRPr="00756ED3">
        <w:rPr>
          <w:rFonts w:ascii="Times New Roman" w:eastAsia="Times New Roman" w:hAnsi="Times New Roman" w:cs="Times New Roman"/>
          <w:sz w:val="24"/>
          <w:szCs w:val="24"/>
        </w:rPr>
        <w:t>Rosenheck</w:t>
      </w:r>
      <w:proofErr w:type="spellEnd"/>
      <w:r w:rsidRPr="00756ED3">
        <w:rPr>
          <w:rFonts w:ascii="Times New Roman" w:eastAsia="Times New Roman" w:hAnsi="Times New Roman" w:cs="Times New Roman"/>
          <w:sz w:val="24"/>
          <w:szCs w:val="24"/>
        </w:rPr>
        <w:t xml:space="preserve">, </w:t>
      </w:r>
      <w:proofErr w:type="spellStart"/>
      <w:r w:rsidRPr="00756ED3">
        <w:rPr>
          <w:rFonts w:ascii="Times New Roman" w:eastAsia="Times New Roman" w:hAnsi="Times New Roman" w:cs="Times New Roman"/>
          <w:sz w:val="24"/>
          <w:szCs w:val="24"/>
        </w:rPr>
        <w:t>Frisman</w:t>
      </w:r>
      <w:proofErr w:type="spellEnd"/>
      <w:r w:rsidRPr="00756ED3">
        <w:rPr>
          <w:rFonts w:ascii="Times New Roman" w:eastAsia="Times New Roman" w:hAnsi="Times New Roman" w:cs="Times New Roman"/>
          <w:sz w:val="24"/>
          <w:szCs w:val="24"/>
        </w:rPr>
        <w:t>, &amp; Neale, 1994)</w:t>
      </w:r>
      <w:r w:rsidRPr="00756ED3">
        <w:rPr>
          <w:rFonts w:ascii="Times New Roman" w:hAnsi="Times New Roman" w:cs="Times New Roman"/>
          <w:color w:val="000000" w:themeColor="text1"/>
          <w:sz w:val="24"/>
          <w:szCs w:val="24"/>
        </w:rPr>
        <w:t xml:space="preserve">. Fees paid to general practitioners and specialists for medical outpatient consultations were estimated from the 2016 Manual for general practice physicians </w:t>
      </w:r>
      <w:r w:rsidRPr="00756ED3">
        <w:rPr>
          <w:rFonts w:ascii="Times New Roman" w:hAnsi="Times New Roman" w:cs="Times New Roman"/>
          <w:color w:val="000000"/>
          <w:sz w:val="24"/>
          <w:szCs w:val="24"/>
        </w:rPr>
        <w:t>(</w:t>
      </w:r>
      <w:proofErr w:type="spellStart"/>
      <w:r w:rsidRPr="00756ED3">
        <w:rPr>
          <w:rFonts w:ascii="Times New Roman" w:hAnsi="Times New Roman" w:cs="Times New Roman"/>
          <w:color w:val="000000"/>
          <w:sz w:val="24"/>
          <w:szCs w:val="24"/>
        </w:rPr>
        <w:t>Régie</w:t>
      </w:r>
      <w:proofErr w:type="spellEnd"/>
      <w:r w:rsidRPr="00756ED3">
        <w:rPr>
          <w:rFonts w:ascii="Times New Roman" w:hAnsi="Times New Roman" w:cs="Times New Roman"/>
          <w:color w:val="000000"/>
          <w:sz w:val="24"/>
          <w:szCs w:val="24"/>
        </w:rPr>
        <w:t xml:space="preserve"> de </w:t>
      </w:r>
      <w:proofErr w:type="spellStart"/>
      <w:r w:rsidRPr="00756ED3">
        <w:rPr>
          <w:rFonts w:ascii="Times New Roman" w:hAnsi="Times New Roman" w:cs="Times New Roman"/>
          <w:color w:val="000000"/>
          <w:sz w:val="24"/>
          <w:szCs w:val="24"/>
        </w:rPr>
        <w:t>l’assurance</w:t>
      </w:r>
      <w:proofErr w:type="spellEnd"/>
      <w:r w:rsidRPr="00756ED3">
        <w:rPr>
          <w:rFonts w:ascii="Times New Roman" w:hAnsi="Times New Roman" w:cs="Times New Roman"/>
          <w:color w:val="000000"/>
          <w:sz w:val="24"/>
          <w:szCs w:val="24"/>
        </w:rPr>
        <w:t xml:space="preserve"> </w:t>
      </w:r>
      <w:proofErr w:type="spellStart"/>
      <w:r w:rsidRPr="00756ED3">
        <w:rPr>
          <w:rFonts w:ascii="Times New Roman" w:hAnsi="Times New Roman" w:cs="Times New Roman"/>
          <w:color w:val="000000"/>
          <w:sz w:val="24"/>
          <w:szCs w:val="24"/>
        </w:rPr>
        <w:t>maladie</w:t>
      </w:r>
      <w:proofErr w:type="spellEnd"/>
      <w:r w:rsidRPr="00756ED3">
        <w:rPr>
          <w:rFonts w:ascii="Times New Roman" w:hAnsi="Times New Roman" w:cs="Times New Roman"/>
          <w:color w:val="000000"/>
          <w:sz w:val="24"/>
          <w:szCs w:val="24"/>
        </w:rPr>
        <w:t xml:space="preserve"> du Québec, 2016a)</w:t>
      </w:r>
      <w:r w:rsidRPr="00756ED3">
        <w:rPr>
          <w:rFonts w:ascii="Times New Roman" w:hAnsi="Times New Roman" w:cs="Times New Roman"/>
          <w:i/>
          <w:iCs/>
          <w:color w:val="000000" w:themeColor="text1"/>
          <w:sz w:val="24"/>
          <w:szCs w:val="24"/>
        </w:rPr>
        <w:t xml:space="preserve"> </w:t>
      </w:r>
      <w:r w:rsidRPr="00756ED3">
        <w:rPr>
          <w:rFonts w:ascii="Times New Roman" w:hAnsi="Times New Roman" w:cs="Times New Roman"/>
          <w:color w:val="000000" w:themeColor="text1"/>
          <w:sz w:val="24"/>
          <w:szCs w:val="24"/>
        </w:rPr>
        <w:t xml:space="preserve">and Manual for specialist physicians </w:t>
      </w:r>
      <w:r w:rsidRPr="00756ED3">
        <w:rPr>
          <w:rFonts w:ascii="Times New Roman" w:hAnsi="Times New Roman" w:cs="Times New Roman"/>
          <w:color w:val="000000"/>
          <w:sz w:val="24"/>
          <w:szCs w:val="24"/>
        </w:rPr>
        <w:t>(</w:t>
      </w:r>
      <w:proofErr w:type="spellStart"/>
      <w:r w:rsidRPr="00756ED3">
        <w:rPr>
          <w:rFonts w:ascii="Times New Roman" w:hAnsi="Times New Roman" w:cs="Times New Roman"/>
          <w:color w:val="000000"/>
          <w:sz w:val="24"/>
          <w:szCs w:val="24"/>
        </w:rPr>
        <w:t>Régie</w:t>
      </w:r>
      <w:proofErr w:type="spellEnd"/>
      <w:r w:rsidRPr="00756ED3">
        <w:rPr>
          <w:rFonts w:ascii="Times New Roman" w:hAnsi="Times New Roman" w:cs="Times New Roman"/>
          <w:color w:val="000000"/>
          <w:sz w:val="24"/>
          <w:szCs w:val="24"/>
        </w:rPr>
        <w:t xml:space="preserve"> de </w:t>
      </w:r>
      <w:proofErr w:type="spellStart"/>
      <w:r w:rsidRPr="00756ED3">
        <w:rPr>
          <w:rFonts w:ascii="Times New Roman" w:hAnsi="Times New Roman" w:cs="Times New Roman"/>
          <w:color w:val="000000"/>
          <w:sz w:val="24"/>
          <w:szCs w:val="24"/>
        </w:rPr>
        <w:t>l’assurance</w:t>
      </w:r>
      <w:proofErr w:type="spellEnd"/>
      <w:r w:rsidRPr="00756ED3">
        <w:rPr>
          <w:rFonts w:ascii="Times New Roman" w:hAnsi="Times New Roman" w:cs="Times New Roman"/>
          <w:color w:val="000000"/>
          <w:sz w:val="24"/>
          <w:szCs w:val="24"/>
        </w:rPr>
        <w:t xml:space="preserve"> </w:t>
      </w:r>
      <w:proofErr w:type="spellStart"/>
      <w:r w:rsidRPr="00756ED3">
        <w:rPr>
          <w:rFonts w:ascii="Times New Roman" w:hAnsi="Times New Roman" w:cs="Times New Roman"/>
          <w:color w:val="000000"/>
          <w:sz w:val="24"/>
          <w:szCs w:val="24"/>
        </w:rPr>
        <w:t>maladie</w:t>
      </w:r>
      <w:proofErr w:type="spellEnd"/>
      <w:r w:rsidRPr="00756ED3">
        <w:rPr>
          <w:rFonts w:ascii="Times New Roman" w:hAnsi="Times New Roman" w:cs="Times New Roman"/>
          <w:color w:val="000000"/>
          <w:sz w:val="24"/>
          <w:szCs w:val="24"/>
        </w:rPr>
        <w:t xml:space="preserve"> du Québec, 2016b)</w:t>
      </w:r>
      <w:r w:rsidRPr="00756ED3">
        <w:rPr>
          <w:rFonts w:ascii="Times New Roman" w:hAnsi="Times New Roman" w:cs="Times New Roman"/>
          <w:color w:val="000000" w:themeColor="text1"/>
          <w:sz w:val="24"/>
          <w:szCs w:val="24"/>
        </w:rPr>
        <w:t>. A standard hospitalization scenario was applied including physician consultation fees (</w:t>
      </w:r>
      <w:r w:rsidRPr="00756ED3">
        <w:rPr>
          <w:rFonts w:ascii="Times New Roman" w:hAnsi="Times New Roman" w:cs="Times New Roman"/>
          <w:color w:val="000000"/>
          <w:sz w:val="24"/>
          <w:szCs w:val="24"/>
        </w:rPr>
        <w:t>(Vasiliadis, Dionne, et al., 2013)</w:t>
      </w:r>
      <w:r w:rsidRPr="00756ED3">
        <w:rPr>
          <w:rFonts w:ascii="Times New Roman" w:hAnsi="Times New Roman" w:cs="Times New Roman"/>
          <w:color w:val="000000" w:themeColor="text1"/>
          <w:sz w:val="24"/>
          <w:szCs w:val="24"/>
        </w:rPr>
        <w:t xml:space="preserve">. Costs associated with alternative medicine and private health professionals were evaluated based on information from professional associations or Colleges. Where unavailable, costs from randomly selected practices in the three regions were averaged. </w:t>
      </w:r>
    </w:p>
    <w:p w14:paraId="65FE1011" w14:textId="77777777" w:rsidR="00124C32" w:rsidRPr="00756ED3" w:rsidRDefault="00124C32" w:rsidP="000821E4">
      <w:pPr>
        <w:pStyle w:val="Titre2"/>
        <w:rPr>
          <w:rStyle w:val="Titre4Car"/>
          <w:rFonts w:ascii="Times New Roman" w:hAnsi="Times New Roman" w:cs="Times New Roman"/>
          <w:b/>
          <w:bCs/>
          <w:i w:val="0"/>
          <w:iCs w:val="0"/>
          <w:color w:val="000000" w:themeColor="text1"/>
          <w:sz w:val="24"/>
          <w:szCs w:val="24"/>
          <w:lang w:val="en-US"/>
        </w:rPr>
      </w:pPr>
      <w:r w:rsidRPr="00756ED3">
        <w:rPr>
          <w:rStyle w:val="Titre4Car"/>
          <w:rFonts w:ascii="Times New Roman" w:hAnsi="Times New Roman" w:cs="Times New Roman"/>
          <w:b/>
          <w:bCs/>
          <w:i w:val="0"/>
          <w:iCs w:val="0"/>
          <w:color w:val="000000" w:themeColor="text1"/>
          <w:sz w:val="24"/>
          <w:szCs w:val="24"/>
          <w:lang w:val="en-US"/>
        </w:rPr>
        <w:t>Medication</w:t>
      </w:r>
    </w:p>
    <w:p w14:paraId="5EBB3F28" w14:textId="77777777" w:rsidR="00124C32" w:rsidRPr="00756ED3" w:rsidRDefault="00124C32" w:rsidP="000821E4">
      <w:pPr>
        <w:rPr>
          <w:rFonts w:ascii="Times New Roman" w:hAnsi="Times New Roman" w:cs="Times New Roman"/>
          <w:sz w:val="24"/>
          <w:szCs w:val="24"/>
          <w:lang w:val="en-US"/>
        </w:rPr>
      </w:pPr>
    </w:p>
    <w:p w14:paraId="5072B959" w14:textId="7AE39E5A" w:rsidR="00124C32" w:rsidRPr="00756ED3" w:rsidRDefault="00124C32" w:rsidP="00E73655">
      <w:pPr>
        <w:spacing w:line="480" w:lineRule="auto"/>
        <w:ind w:firstLine="720"/>
        <w:jc w:val="both"/>
        <w:rPr>
          <w:rFonts w:ascii="Times New Roman" w:hAnsi="Times New Roman" w:cs="Times New Roman"/>
          <w:color w:val="000000" w:themeColor="text1"/>
          <w:sz w:val="24"/>
          <w:szCs w:val="24"/>
        </w:rPr>
      </w:pPr>
      <w:r w:rsidRPr="00756ED3">
        <w:rPr>
          <w:rFonts w:ascii="Times New Roman" w:hAnsi="Times New Roman" w:cs="Times New Roman"/>
          <w:color w:val="000000" w:themeColor="text1"/>
          <w:sz w:val="24"/>
          <w:szCs w:val="24"/>
        </w:rPr>
        <w:t xml:space="preserve">Costing of medications used included the cost of the drugs, pharmacist fees and the wholesaler’s mark-up as per the 2018 Medication registry </w:t>
      </w:r>
      <w:r w:rsidRPr="00756ED3">
        <w:rPr>
          <w:rFonts w:ascii="Times New Roman" w:hAnsi="Times New Roman" w:cs="Times New Roman"/>
          <w:color w:val="000000"/>
          <w:sz w:val="24"/>
          <w:szCs w:val="24"/>
        </w:rPr>
        <w:t>(</w:t>
      </w:r>
      <w:proofErr w:type="spellStart"/>
      <w:r w:rsidRPr="00756ED3">
        <w:rPr>
          <w:rFonts w:ascii="Times New Roman" w:hAnsi="Times New Roman" w:cs="Times New Roman"/>
          <w:color w:val="000000"/>
          <w:sz w:val="24"/>
          <w:szCs w:val="24"/>
        </w:rPr>
        <w:t>Régie</w:t>
      </w:r>
      <w:proofErr w:type="spellEnd"/>
      <w:r w:rsidRPr="00756ED3">
        <w:rPr>
          <w:rFonts w:ascii="Times New Roman" w:hAnsi="Times New Roman" w:cs="Times New Roman"/>
          <w:color w:val="000000"/>
          <w:sz w:val="24"/>
          <w:szCs w:val="24"/>
        </w:rPr>
        <w:t xml:space="preserve"> de </w:t>
      </w:r>
      <w:proofErr w:type="spellStart"/>
      <w:r w:rsidRPr="00756ED3">
        <w:rPr>
          <w:rFonts w:ascii="Times New Roman" w:hAnsi="Times New Roman" w:cs="Times New Roman"/>
          <w:color w:val="000000"/>
          <w:sz w:val="24"/>
          <w:szCs w:val="24"/>
        </w:rPr>
        <w:t>l’assurance</w:t>
      </w:r>
      <w:proofErr w:type="spellEnd"/>
      <w:r w:rsidRPr="00756ED3">
        <w:rPr>
          <w:rFonts w:ascii="Times New Roman" w:hAnsi="Times New Roman" w:cs="Times New Roman"/>
          <w:color w:val="000000"/>
          <w:sz w:val="24"/>
          <w:szCs w:val="24"/>
        </w:rPr>
        <w:t xml:space="preserve"> </w:t>
      </w:r>
      <w:proofErr w:type="spellStart"/>
      <w:r w:rsidRPr="00756ED3">
        <w:rPr>
          <w:rFonts w:ascii="Times New Roman" w:hAnsi="Times New Roman" w:cs="Times New Roman"/>
          <w:color w:val="000000"/>
          <w:sz w:val="24"/>
          <w:szCs w:val="24"/>
        </w:rPr>
        <w:t>maladie</w:t>
      </w:r>
      <w:proofErr w:type="spellEnd"/>
      <w:r w:rsidRPr="00756ED3">
        <w:rPr>
          <w:rFonts w:ascii="Times New Roman" w:hAnsi="Times New Roman" w:cs="Times New Roman"/>
          <w:color w:val="000000"/>
          <w:sz w:val="24"/>
          <w:szCs w:val="24"/>
        </w:rPr>
        <w:t xml:space="preserve"> du Québec, 2018)</w:t>
      </w:r>
      <w:r w:rsidRPr="00756ED3">
        <w:rPr>
          <w:rFonts w:ascii="Times New Roman" w:hAnsi="Times New Roman" w:cs="Times New Roman"/>
          <w:color w:val="000000" w:themeColor="text1"/>
          <w:sz w:val="24"/>
          <w:szCs w:val="24"/>
        </w:rPr>
        <w:t xml:space="preserve">. For those insured by the provincial public drug insurance plan, pharmacist fees are regulated by the Pharmacists' manual </w:t>
      </w:r>
      <w:r w:rsidRPr="00756ED3">
        <w:rPr>
          <w:rFonts w:ascii="Times New Roman" w:hAnsi="Times New Roman" w:cs="Times New Roman"/>
          <w:color w:val="000000"/>
          <w:sz w:val="24"/>
          <w:szCs w:val="24"/>
        </w:rPr>
        <w:t>(</w:t>
      </w:r>
      <w:proofErr w:type="spellStart"/>
      <w:r w:rsidRPr="00756ED3">
        <w:rPr>
          <w:rFonts w:ascii="Times New Roman" w:hAnsi="Times New Roman" w:cs="Times New Roman"/>
          <w:color w:val="000000"/>
          <w:sz w:val="24"/>
          <w:szCs w:val="24"/>
        </w:rPr>
        <w:t>Régie</w:t>
      </w:r>
      <w:proofErr w:type="spellEnd"/>
      <w:r w:rsidRPr="00756ED3">
        <w:rPr>
          <w:rFonts w:ascii="Times New Roman" w:hAnsi="Times New Roman" w:cs="Times New Roman"/>
          <w:color w:val="000000"/>
          <w:sz w:val="24"/>
          <w:szCs w:val="24"/>
        </w:rPr>
        <w:t xml:space="preserve"> de </w:t>
      </w:r>
      <w:proofErr w:type="spellStart"/>
      <w:r w:rsidRPr="00756ED3">
        <w:rPr>
          <w:rFonts w:ascii="Times New Roman" w:hAnsi="Times New Roman" w:cs="Times New Roman"/>
          <w:color w:val="000000"/>
          <w:sz w:val="24"/>
          <w:szCs w:val="24"/>
        </w:rPr>
        <w:t>l’assurance</w:t>
      </w:r>
      <w:proofErr w:type="spellEnd"/>
      <w:r w:rsidRPr="00756ED3">
        <w:rPr>
          <w:rFonts w:ascii="Times New Roman" w:hAnsi="Times New Roman" w:cs="Times New Roman"/>
          <w:color w:val="000000"/>
          <w:sz w:val="24"/>
          <w:szCs w:val="24"/>
        </w:rPr>
        <w:t xml:space="preserve"> </w:t>
      </w:r>
      <w:proofErr w:type="spellStart"/>
      <w:r w:rsidRPr="00756ED3">
        <w:rPr>
          <w:rFonts w:ascii="Times New Roman" w:hAnsi="Times New Roman" w:cs="Times New Roman"/>
          <w:color w:val="000000"/>
          <w:sz w:val="24"/>
          <w:szCs w:val="24"/>
        </w:rPr>
        <w:t>maladie</w:t>
      </w:r>
      <w:proofErr w:type="spellEnd"/>
      <w:r w:rsidRPr="00756ED3">
        <w:rPr>
          <w:rFonts w:ascii="Times New Roman" w:hAnsi="Times New Roman" w:cs="Times New Roman"/>
          <w:color w:val="000000"/>
          <w:sz w:val="24"/>
          <w:szCs w:val="24"/>
        </w:rPr>
        <w:t xml:space="preserve"> du Québec, 2017)</w:t>
      </w:r>
      <w:r w:rsidRPr="00756ED3">
        <w:rPr>
          <w:rFonts w:ascii="Times New Roman" w:hAnsi="Times New Roman" w:cs="Times New Roman"/>
          <w:color w:val="000000" w:themeColor="text1"/>
          <w:sz w:val="24"/>
          <w:szCs w:val="24"/>
        </w:rPr>
        <w:t xml:space="preserve">, but for those with private drug insurance, pharmacist fees are not regulated. Most people under 65 are privately insured and co-pays vary across plans. A mark-up equal to 16.1% of the pharmacist fee was applied </w:t>
      </w:r>
      <w:r w:rsidRPr="00756ED3">
        <w:rPr>
          <w:rFonts w:ascii="Times New Roman" w:hAnsi="Times New Roman" w:cs="Times New Roman"/>
          <w:color w:val="000000"/>
          <w:sz w:val="24"/>
          <w:szCs w:val="24"/>
        </w:rPr>
        <w:t xml:space="preserve">(Association </w:t>
      </w:r>
      <w:proofErr w:type="spellStart"/>
      <w:r w:rsidRPr="00756ED3">
        <w:rPr>
          <w:rFonts w:ascii="Times New Roman" w:hAnsi="Times New Roman" w:cs="Times New Roman"/>
          <w:color w:val="000000"/>
          <w:sz w:val="24"/>
          <w:szCs w:val="24"/>
        </w:rPr>
        <w:t>québecoise</w:t>
      </w:r>
      <w:proofErr w:type="spellEnd"/>
      <w:r w:rsidRPr="00756ED3">
        <w:rPr>
          <w:rFonts w:ascii="Times New Roman" w:hAnsi="Times New Roman" w:cs="Times New Roman"/>
          <w:color w:val="000000"/>
          <w:sz w:val="24"/>
          <w:szCs w:val="24"/>
        </w:rPr>
        <w:t xml:space="preserve"> des </w:t>
      </w:r>
      <w:proofErr w:type="spellStart"/>
      <w:r w:rsidRPr="00756ED3">
        <w:rPr>
          <w:rFonts w:ascii="Times New Roman" w:hAnsi="Times New Roman" w:cs="Times New Roman"/>
          <w:color w:val="000000"/>
          <w:sz w:val="24"/>
          <w:szCs w:val="24"/>
        </w:rPr>
        <w:t>pharmaciens</w:t>
      </w:r>
      <w:proofErr w:type="spellEnd"/>
      <w:r w:rsidRPr="00756ED3">
        <w:rPr>
          <w:rFonts w:ascii="Times New Roman" w:hAnsi="Times New Roman" w:cs="Times New Roman"/>
          <w:color w:val="000000"/>
          <w:sz w:val="24"/>
          <w:szCs w:val="24"/>
        </w:rPr>
        <w:t xml:space="preserve"> propriétaires, 2018)</w:t>
      </w:r>
      <w:r w:rsidRPr="00756ED3">
        <w:rPr>
          <w:rFonts w:ascii="Times New Roman" w:hAnsi="Times New Roman" w:cs="Times New Roman"/>
          <w:color w:val="000000" w:themeColor="text1"/>
          <w:sz w:val="24"/>
          <w:szCs w:val="24"/>
        </w:rPr>
        <w:t xml:space="preserve">. </w:t>
      </w:r>
    </w:p>
    <w:p w14:paraId="5C3D60AD" w14:textId="77777777" w:rsidR="00124C32" w:rsidRPr="00756ED3" w:rsidRDefault="00124C32" w:rsidP="000821E4">
      <w:pPr>
        <w:pStyle w:val="Titre2"/>
        <w:rPr>
          <w:rStyle w:val="Titre2Car"/>
          <w:rFonts w:ascii="Times New Roman" w:hAnsi="Times New Roman" w:cs="Times New Roman"/>
          <w:b/>
          <w:bCs/>
          <w:i/>
          <w:iCs/>
          <w:color w:val="000000" w:themeColor="text1"/>
          <w:sz w:val="24"/>
          <w:szCs w:val="24"/>
        </w:rPr>
      </w:pPr>
      <w:r w:rsidRPr="00756ED3">
        <w:rPr>
          <w:rStyle w:val="Titre4Car"/>
          <w:rFonts w:ascii="Times New Roman" w:hAnsi="Times New Roman" w:cs="Times New Roman"/>
          <w:b/>
          <w:bCs/>
          <w:i w:val="0"/>
          <w:iCs w:val="0"/>
          <w:color w:val="000000" w:themeColor="text1"/>
          <w:sz w:val="24"/>
          <w:szCs w:val="24"/>
          <w:lang w:val="en-US"/>
        </w:rPr>
        <w:t>Indirect costs related to loss of productivity</w:t>
      </w:r>
      <w:r w:rsidRPr="00756ED3">
        <w:rPr>
          <w:rStyle w:val="Titre2Car"/>
          <w:rFonts w:ascii="Times New Roman" w:hAnsi="Times New Roman" w:cs="Times New Roman"/>
          <w:b/>
          <w:bCs/>
          <w:i/>
          <w:iCs/>
          <w:color w:val="000000" w:themeColor="text1"/>
          <w:sz w:val="24"/>
          <w:szCs w:val="24"/>
        </w:rPr>
        <w:t xml:space="preserve"> </w:t>
      </w:r>
    </w:p>
    <w:p w14:paraId="39B2A26B" w14:textId="77777777" w:rsidR="00124C32" w:rsidRPr="00756ED3" w:rsidRDefault="00124C32" w:rsidP="000821E4">
      <w:pPr>
        <w:rPr>
          <w:rFonts w:ascii="Times New Roman" w:hAnsi="Times New Roman" w:cs="Times New Roman"/>
          <w:sz w:val="24"/>
          <w:szCs w:val="24"/>
        </w:rPr>
      </w:pPr>
    </w:p>
    <w:p w14:paraId="150DA6FC" w14:textId="668E8EAA" w:rsidR="00124C32" w:rsidRPr="00756ED3" w:rsidRDefault="00124C32" w:rsidP="00E73655">
      <w:pPr>
        <w:spacing w:line="480" w:lineRule="auto"/>
        <w:ind w:firstLine="720"/>
        <w:jc w:val="both"/>
        <w:rPr>
          <w:rFonts w:ascii="Times New Roman" w:hAnsi="Times New Roman" w:cs="Times New Roman"/>
          <w:color w:val="000000" w:themeColor="text1"/>
          <w:sz w:val="24"/>
          <w:szCs w:val="24"/>
        </w:rPr>
      </w:pPr>
      <w:r w:rsidRPr="00756ED3">
        <w:rPr>
          <w:rFonts w:ascii="Times New Roman" w:hAnsi="Times New Roman" w:cs="Times New Roman"/>
          <w:color w:val="000000" w:themeColor="text1"/>
          <w:sz w:val="24"/>
          <w:szCs w:val="24"/>
        </w:rPr>
        <w:t xml:space="preserve">To estimate the costs of mental health-related absenteeism, we considered four hours lost per outpatient consultation (and for </w:t>
      </w:r>
      <w:proofErr w:type="spellStart"/>
      <w:r w:rsidRPr="00756ED3">
        <w:rPr>
          <w:rFonts w:ascii="Times New Roman" w:hAnsi="Times New Roman" w:cs="Times New Roman"/>
          <w:color w:val="000000" w:themeColor="text1"/>
          <w:sz w:val="24"/>
          <w:szCs w:val="24"/>
        </w:rPr>
        <w:t>tCBT</w:t>
      </w:r>
      <w:proofErr w:type="spellEnd"/>
      <w:r w:rsidRPr="00756ED3">
        <w:rPr>
          <w:rFonts w:ascii="Times New Roman" w:hAnsi="Times New Roman" w:cs="Times New Roman"/>
          <w:color w:val="000000" w:themeColor="text1"/>
          <w:sz w:val="24"/>
          <w:szCs w:val="24"/>
        </w:rPr>
        <w:t xml:space="preserve"> sessions), eight hours for emergency department visits and 24 hours per day for inpatient stays </w:t>
      </w:r>
      <w:r w:rsidRPr="00756ED3">
        <w:rPr>
          <w:rFonts w:ascii="Times New Roman" w:eastAsia="Times New Roman" w:hAnsi="Times New Roman" w:cs="Times New Roman"/>
          <w:sz w:val="24"/>
          <w:szCs w:val="24"/>
        </w:rPr>
        <w:t xml:space="preserve">(Lamoureux-Lamarche, Vasiliadis, </w:t>
      </w:r>
      <w:proofErr w:type="spellStart"/>
      <w:r w:rsidRPr="00756ED3">
        <w:rPr>
          <w:rFonts w:ascii="Times New Roman" w:eastAsia="Times New Roman" w:hAnsi="Times New Roman" w:cs="Times New Roman"/>
          <w:sz w:val="24"/>
          <w:szCs w:val="24"/>
        </w:rPr>
        <w:t>Préville</w:t>
      </w:r>
      <w:proofErr w:type="spellEnd"/>
      <w:r w:rsidRPr="00756ED3">
        <w:rPr>
          <w:rFonts w:ascii="Times New Roman" w:eastAsia="Times New Roman" w:hAnsi="Times New Roman" w:cs="Times New Roman"/>
          <w:sz w:val="24"/>
          <w:szCs w:val="24"/>
        </w:rPr>
        <w:t xml:space="preserve">, &amp; Berbiche, 2016; Vasiliadis, Latimer, Dionne, &amp; </w:t>
      </w:r>
      <w:proofErr w:type="spellStart"/>
      <w:r w:rsidRPr="00756ED3">
        <w:rPr>
          <w:rFonts w:ascii="Times New Roman" w:eastAsia="Times New Roman" w:hAnsi="Times New Roman" w:cs="Times New Roman"/>
          <w:sz w:val="24"/>
          <w:szCs w:val="24"/>
        </w:rPr>
        <w:t>Préville</w:t>
      </w:r>
      <w:proofErr w:type="spellEnd"/>
      <w:r w:rsidRPr="00756ED3">
        <w:rPr>
          <w:rFonts w:ascii="Times New Roman" w:eastAsia="Times New Roman" w:hAnsi="Times New Roman" w:cs="Times New Roman"/>
          <w:sz w:val="24"/>
          <w:szCs w:val="24"/>
        </w:rPr>
        <w:t xml:space="preserve">, 2013; Vasiliadis, Marchand, Gosselin, Guerra, &amp; </w:t>
      </w:r>
      <w:r w:rsidRPr="00756ED3">
        <w:rPr>
          <w:rFonts w:ascii="Times New Roman" w:eastAsia="Times New Roman" w:hAnsi="Times New Roman" w:cs="Times New Roman"/>
          <w:sz w:val="24"/>
          <w:szCs w:val="24"/>
        </w:rPr>
        <w:lastRenderedPageBreak/>
        <w:t>Breton, 2019)</w:t>
      </w:r>
      <w:r w:rsidRPr="00756ED3">
        <w:rPr>
          <w:rFonts w:ascii="Times New Roman" w:hAnsi="Times New Roman" w:cs="Times New Roman"/>
          <w:color w:val="000000" w:themeColor="text1"/>
          <w:sz w:val="24"/>
          <w:szCs w:val="24"/>
        </w:rPr>
        <w:t xml:space="preserve">. We weighted costs according to the average hours worked in a week, remaining off-work time and usual business hours. </w:t>
      </w:r>
    </w:p>
    <w:p w14:paraId="47CBC94B" w14:textId="5D46FA35" w:rsidR="00124C32" w:rsidRPr="00756ED3" w:rsidRDefault="00124C32" w:rsidP="00836C4D">
      <w:pPr>
        <w:spacing w:line="480" w:lineRule="auto"/>
        <w:ind w:firstLine="720"/>
        <w:jc w:val="both"/>
        <w:rPr>
          <w:rFonts w:ascii="Times New Roman" w:hAnsi="Times New Roman" w:cs="Times New Roman"/>
          <w:color w:val="000000" w:themeColor="text1"/>
          <w:sz w:val="24"/>
          <w:szCs w:val="24"/>
        </w:rPr>
      </w:pPr>
      <w:r w:rsidRPr="00756ED3">
        <w:rPr>
          <w:rFonts w:ascii="Times New Roman" w:hAnsi="Times New Roman" w:cs="Times New Roman"/>
          <w:color w:val="000000" w:themeColor="text1"/>
          <w:sz w:val="24"/>
          <w:szCs w:val="24"/>
        </w:rPr>
        <w:t xml:space="preserve">The cost associated with absenteeism due to leaves of absence because of mental health reasons was estimated using the friction cost method based on periods corresponding to the average duration of unemployment </w:t>
      </w:r>
      <w:r w:rsidRPr="00756ED3">
        <w:rPr>
          <w:rFonts w:ascii="Times New Roman" w:eastAsia="Times New Roman" w:hAnsi="Times New Roman" w:cs="Times New Roman"/>
          <w:sz w:val="24"/>
          <w:szCs w:val="24"/>
        </w:rPr>
        <w:t xml:space="preserve">(Hopkins, </w:t>
      </w:r>
      <w:proofErr w:type="spellStart"/>
      <w:r w:rsidRPr="00756ED3">
        <w:rPr>
          <w:rFonts w:ascii="Times New Roman" w:eastAsia="Times New Roman" w:hAnsi="Times New Roman" w:cs="Times New Roman"/>
          <w:sz w:val="24"/>
          <w:szCs w:val="24"/>
        </w:rPr>
        <w:t>Goeree</w:t>
      </w:r>
      <w:proofErr w:type="spellEnd"/>
      <w:r w:rsidRPr="00756ED3">
        <w:rPr>
          <w:rFonts w:ascii="Times New Roman" w:eastAsia="Times New Roman" w:hAnsi="Times New Roman" w:cs="Times New Roman"/>
          <w:sz w:val="24"/>
          <w:szCs w:val="24"/>
        </w:rPr>
        <w:t>, &amp; Longo, 2010)</w:t>
      </w:r>
      <w:r w:rsidRPr="00756ED3">
        <w:rPr>
          <w:rFonts w:ascii="Times New Roman" w:hAnsi="Times New Roman" w:cs="Times New Roman"/>
          <w:color w:val="000000" w:themeColor="text1"/>
          <w:sz w:val="24"/>
          <w:szCs w:val="24"/>
        </w:rPr>
        <w:t xml:space="preserve"> in the province of Quebec in 2017, adjusted for age and sex, and ranging from 9.1 to 26.2 weeks </w:t>
      </w:r>
      <w:r w:rsidRPr="00756ED3">
        <w:rPr>
          <w:rFonts w:ascii="Times New Roman" w:hAnsi="Times New Roman" w:cs="Times New Roman"/>
          <w:color w:val="000000"/>
          <w:sz w:val="24"/>
          <w:szCs w:val="24"/>
        </w:rPr>
        <w:t>(Statistics Canada, 2017)</w:t>
      </w:r>
      <w:r w:rsidRPr="00756ED3">
        <w:rPr>
          <w:rFonts w:ascii="Times New Roman" w:hAnsi="Times New Roman" w:cs="Times New Roman"/>
          <w:color w:val="000000" w:themeColor="text1"/>
          <w:sz w:val="24"/>
          <w:szCs w:val="24"/>
        </w:rPr>
        <w:t xml:space="preserve">. During the friction period, a factor of elasticity of 0.80 was applied </w:t>
      </w:r>
      <w:r w:rsidRPr="00756ED3">
        <w:rPr>
          <w:rFonts w:ascii="Times New Roman" w:eastAsia="Times New Roman" w:hAnsi="Times New Roman" w:cs="Times New Roman"/>
          <w:sz w:val="24"/>
          <w:szCs w:val="24"/>
        </w:rPr>
        <w:t>(</w:t>
      </w:r>
      <w:proofErr w:type="spellStart"/>
      <w:r w:rsidRPr="00756ED3">
        <w:rPr>
          <w:rFonts w:ascii="Times New Roman" w:eastAsia="Times New Roman" w:hAnsi="Times New Roman" w:cs="Times New Roman"/>
          <w:sz w:val="24"/>
          <w:szCs w:val="24"/>
        </w:rPr>
        <w:t>Koopmanschap</w:t>
      </w:r>
      <w:proofErr w:type="spellEnd"/>
      <w:r w:rsidRPr="00756ED3">
        <w:rPr>
          <w:rFonts w:ascii="Times New Roman" w:eastAsia="Times New Roman" w:hAnsi="Times New Roman" w:cs="Times New Roman"/>
          <w:sz w:val="24"/>
          <w:szCs w:val="24"/>
        </w:rPr>
        <w:t xml:space="preserve">, Rutten, van </w:t>
      </w:r>
      <w:proofErr w:type="spellStart"/>
      <w:r w:rsidRPr="00756ED3">
        <w:rPr>
          <w:rFonts w:ascii="Times New Roman" w:eastAsia="Times New Roman" w:hAnsi="Times New Roman" w:cs="Times New Roman"/>
          <w:sz w:val="24"/>
          <w:szCs w:val="24"/>
        </w:rPr>
        <w:t>Ineveld</w:t>
      </w:r>
      <w:proofErr w:type="spellEnd"/>
      <w:r w:rsidRPr="00756ED3">
        <w:rPr>
          <w:rFonts w:ascii="Times New Roman" w:eastAsia="Times New Roman" w:hAnsi="Times New Roman" w:cs="Times New Roman"/>
          <w:sz w:val="24"/>
          <w:szCs w:val="24"/>
        </w:rPr>
        <w:t xml:space="preserve">, &amp; van </w:t>
      </w:r>
      <w:proofErr w:type="spellStart"/>
      <w:r w:rsidRPr="00756ED3">
        <w:rPr>
          <w:rFonts w:ascii="Times New Roman" w:eastAsia="Times New Roman" w:hAnsi="Times New Roman" w:cs="Times New Roman"/>
          <w:sz w:val="24"/>
          <w:szCs w:val="24"/>
        </w:rPr>
        <w:t>Roijen</w:t>
      </w:r>
      <w:proofErr w:type="spellEnd"/>
      <w:r w:rsidRPr="00756ED3">
        <w:rPr>
          <w:rFonts w:ascii="Times New Roman" w:eastAsia="Times New Roman" w:hAnsi="Times New Roman" w:cs="Times New Roman"/>
          <w:sz w:val="24"/>
          <w:szCs w:val="24"/>
        </w:rPr>
        <w:t>, 1995)</w:t>
      </w:r>
      <w:r w:rsidRPr="00756ED3">
        <w:rPr>
          <w:rFonts w:ascii="Times New Roman" w:hAnsi="Times New Roman" w:cs="Times New Roman"/>
          <w:color w:val="000000" w:themeColor="text1"/>
          <w:sz w:val="24"/>
          <w:szCs w:val="24"/>
        </w:rPr>
        <w:t xml:space="preserve">. Presenteeism cost was based on the difference between work output in a fully productive state (100%) and self-reported productivity on a scale of 1 to 10 </w:t>
      </w:r>
      <w:r w:rsidRPr="00756ED3">
        <w:rPr>
          <w:rFonts w:ascii="Times New Roman" w:hAnsi="Times New Roman" w:cs="Times New Roman"/>
          <w:color w:val="000000"/>
          <w:sz w:val="24"/>
          <w:szCs w:val="24"/>
        </w:rPr>
        <w:t>(Kessler et al., 2003)</w:t>
      </w:r>
      <w:r w:rsidRPr="00756ED3">
        <w:rPr>
          <w:rFonts w:ascii="Times New Roman" w:hAnsi="Times New Roman" w:cs="Times New Roman"/>
          <w:color w:val="000000" w:themeColor="text1"/>
          <w:sz w:val="24"/>
          <w:szCs w:val="24"/>
        </w:rPr>
        <w:t xml:space="preserve">. </w:t>
      </w:r>
    </w:p>
    <w:p w14:paraId="6FF6217A" w14:textId="77777777" w:rsidR="00124C32" w:rsidRPr="00756ED3" w:rsidRDefault="00124C32" w:rsidP="000821E4">
      <w:pPr>
        <w:pStyle w:val="Titre2"/>
        <w:rPr>
          <w:rStyle w:val="Titre4Car"/>
          <w:rFonts w:ascii="Times New Roman" w:hAnsi="Times New Roman" w:cs="Times New Roman"/>
          <w:b/>
          <w:bCs/>
          <w:i w:val="0"/>
          <w:iCs w:val="0"/>
          <w:color w:val="000000" w:themeColor="text1"/>
          <w:sz w:val="24"/>
          <w:szCs w:val="24"/>
          <w:lang w:val="en-US"/>
        </w:rPr>
      </w:pPr>
      <w:r w:rsidRPr="00756ED3">
        <w:rPr>
          <w:rStyle w:val="Titre4Car"/>
          <w:rFonts w:ascii="Times New Roman" w:hAnsi="Times New Roman" w:cs="Times New Roman"/>
          <w:b/>
          <w:bCs/>
          <w:i w:val="0"/>
          <w:iCs w:val="0"/>
          <w:color w:val="000000" w:themeColor="text1"/>
          <w:sz w:val="24"/>
          <w:szCs w:val="24"/>
          <w:lang w:val="en-US"/>
        </w:rPr>
        <w:t xml:space="preserve">Non-medical costs </w:t>
      </w:r>
    </w:p>
    <w:p w14:paraId="506F405A" w14:textId="77777777" w:rsidR="00124C32" w:rsidRPr="00756ED3" w:rsidRDefault="00124C32" w:rsidP="000821E4">
      <w:pPr>
        <w:rPr>
          <w:rFonts w:ascii="Times New Roman" w:hAnsi="Times New Roman" w:cs="Times New Roman"/>
          <w:sz w:val="24"/>
          <w:szCs w:val="24"/>
          <w:lang w:val="en-US"/>
        </w:rPr>
      </w:pPr>
    </w:p>
    <w:p w14:paraId="5704A06C" w14:textId="25CD2E9A" w:rsidR="00124C32" w:rsidRPr="00756ED3" w:rsidRDefault="00124C32" w:rsidP="00245056">
      <w:pPr>
        <w:spacing w:line="480" w:lineRule="auto"/>
        <w:ind w:firstLine="720"/>
        <w:jc w:val="both"/>
        <w:rPr>
          <w:rFonts w:ascii="Times New Roman" w:hAnsi="Times New Roman" w:cs="Times New Roman"/>
          <w:color w:val="000000" w:themeColor="text1"/>
          <w:sz w:val="24"/>
          <w:szCs w:val="24"/>
        </w:rPr>
      </w:pPr>
      <w:r w:rsidRPr="00756ED3">
        <w:rPr>
          <w:rFonts w:ascii="Times New Roman" w:hAnsi="Times New Roman" w:cs="Times New Roman"/>
          <w:color w:val="000000" w:themeColor="text1"/>
          <w:sz w:val="24"/>
          <w:szCs w:val="24"/>
        </w:rPr>
        <w:t xml:space="preserve">Costs related to transportation were estimated for participant’s preferred mode of transport (e.g., walking, car, public transit, taxi, bike) and adjusted for each region. Distance was estimated by using the diameter of the cities where the study took place to represent a round trip. Assistance with day-to-day activities (e.g., groceries, domestic chores) for mental health reasons was valued at $11.25/hour </w:t>
      </w:r>
      <w:r w:rsidRPr="00756ED3">
        <w:rPr>
          <w:rFonts w:ascii="Times New Roman" w:hAnsi="Times New Roman" w:cs="Times New Roman"/>
          <w:color w:val="000000"/>
          <w:sz w:val="24"/>
          <w:szCs w:val="24"/>
        </w:rPr>
        <w:t xml:space="preserve">(Commission des </w:t>
      </w:r>
      <w:proofErr w:type="spellStart"/>
      <w:r w:rsidRPr="00756ED3">
        <w:rPr>
          <w:rFonts w:ascii="Times New Roman" w:hAnsi="Times New Roman" w:cs="Times New Roman"/>
          <w:color w:val="000000"/>
          <w:sz w:val="24"/>
          <w:szCs w:val="24"/>
        </w:rPr>
        <w:t>normes</w:t>
      </w:r>
      <w:proofErr w:type="spellEnd"/>
      <w:r w:rsidRPr="00756ED3">
        <w:rPr>
          <w:rFonts w:ascii="Times New Roman" w:hAnsi="Times New Roman" w:cs="Times New Roman"/>
          <w:color w:val="000000"/>
          <w:sz w:val="24"/>
          <w:szCs w:val="24"/>
        </w:rPr>
        <w:t xml:space="preserve"> de </w:t>
      </w:r>
      <w:proofErr w:type="spellStart"/>
      <w:r w:rsidRPr="00756ED3">
        <w:rPr>
          <w:rFonts w:ascii="Times New Roman" w:hAnsi="Times New Roman" w:cs="Times New Roman"/>
          <w:color w:val="000000"/>
          <w:sz w:val="24"/>
          <w:szCs w:val="24"/>
        </w:rPr>
        <w:t>l’équité</w:t>
      </w:r>
      <w:proofErr w:type="spellEnd"/>
      <w:r w:rsidRPr="00756ED3">
        <w:rPr>
          <w:rFonts w:ascii="Times New Roman" w:hAnsi="Times New Roman" w:cs="Times New Roman"/>
          <w:color w:val="000000"/>
          <w:sz w:val="24"/>
          <w:szCs w:val="24"/>
        </w:rPr>
        <w:t xml:space="preserve"> de la </w:t>
      </w:r>
      <w:proofErr w:type="spellStart"/>
      <w:r w:rsidRPr="00756ED3">
        <w:rPr>
          <w:rFonts w:ascii="Times New Roman" w:hAnsi="Times New Roman" w:cs="Times New Roman"/>
          <w:color w:val="000000"/>
          <w:sz w:val="24"/>
          <w:szCs w:val="24"/>
        </w:rPr>
        <w:t>santé</w:t>
      </w:r>
      <w:proofErr w:type="spellEnd"/>
      <w:r w:rsidRPr="00756ED3">
        <w:rPr>
          <w:rFonts w:ascii="Times New Roman" w:hAnsi="Times New Roman" w:cs="Times New Roman"/>
          <w:color w:val="000000"/>
          <w:sz w:val="24"/>
          <w:szCs w:val="24"/>
        </w:rPr>
        <w:t xml:space="preserve"> et de la </w:t>
      </w:r>
      <w:proofErr w:type="spellStart"/>
      <w:r w:rsidRPr="00756ED3">
        <w:rPr>
          <w:rFonts w:ascii="Times New Roman" w:hAnsi="Times New Roman" w:cs="Times New Roman"/>
          <w:color w:val="000000"/>
          <w:sz w:val="24"/>
          <w:szCs w:val="24"/>
        </w:rPr>
        <w:t>sécurité</w:t>
      </w:r>
      <w:proofErr w:type="spellEnd"/>
      <w:r w:rsidRPr="00756ED3">
        <w:rPr>
          <w:rFonts w:ascii="Times New Roman" w:hAnsi="Times New Roman" w:cs="Times New Roman"/>
          <w:color w:val="000000"/>
          <w:sz w:val="24"/>
          <w:szCs w:val="24"/>
        </w:rPr>
        <w:t xml:space="preserve"> du travail, 2017)</w:t>
      </w:r>
      <w:r w:rsidRPr="00756ED3">
        <w:rPr>
          <w:rFonts w:ascii="Times New Roman" w:hAnsi="Times New Roman" w:cs="Times New Roman"/>
          <w:color w:val="000000" w:themeColor="text1"/>
          <w:sz w:val="24"/>
          <w:szCs w:val="24"/>
        </w:rPr>
        <w:t>.</w:t>
      </w:r>
    </w:p>
    <w:p w14:paraId="678B465E" w14:textId="77777777" w:rsidR="00124C32" w:rsidRPr="00756ED3" w:rsidRDefault="00124C32" w:rsidP="00F03CE7">
      <w:pPr>
        <w:pStyle w:val="Titre1"/>
        <w:jc w:val="center"/>
        <w:rPr>
          <w:rFonts w:ascii="Times New Roman" w:hAnsi="Times New Roman" w:cs="Times New Roman"/>
          <w:b/>
          <w:bCs/>
          <w:color w:val="000000" w:themeColor="text1"/>
          <w:sz w:val="24"/>
          <w:szCs w:val="24"/>
        </w:rPr>
      </w:pPr>
      <w:r w:rsidRPr="00756ED3">
        <w:rPr>
          <w:rFonts w:ascii="Times New Roman" w:hAnsi="Times New Roman" w:cs="Times New Roman"/>
          <w:b/>
          <w:bCs/>
          <w:color w:val="000000" w:themeColor="text1"/>
          <w:sz w:val="24"/>
          <w:szCs w:val="24"/>
        </w:rPr>
        <w:t>Analysis supplement</w:t>
      </w:r>
    </w:p>
    <w:p w14:paraId="65177D01" w14:textId="77777777" w:rsidR="00124C32" w:rsidRPr="00756ED3" w:rsidRDefault="00124C32" w:rsidP="00345B94">
      <w:pPr>
        <w:rPr>
          <w:rFonts w:ascii="Times New Roman" w:hAnsi="Times New Roman" w:cs="Times New Roman"/>
          <w:color w:val="000000" w:themeColor="text1"/>
          <w:sz w:val="24"/>
          <w:szCs w:val="24"/>
        </w:rPr>
      </w:pPr>
    </w:p>
    <w:p w14:paraId="51238F0A" w14:textId="77777777" w:rsidR="00124C32" w:rsidRPr="00756ED3" w:rsidRDefault="00124C32" w:rsidP="00435F36">
      <w:pPr>
        <w:pStyle w:val="Titre2"/>
        <w:rPr>
          <w:rFonts w:ascii="Times New Roman" w:hAnsi="Times New Roman" w:cs="Times New Roman"/>
          <w:b/>
          <w:bCs/>
          <w:color w:val="000000" w:themeColor="text1"/>
          <w:sz w:val="24"/>
          <w:szCs w:val="24"/>
        </w:rPr>
      </w:pPr>
      <w:r w:rsidRPr="00756ED3">
        <w:rPr>
          <w:rStyle w:val="Titre3Car"/>
          <w:rFonts w:ascii="Times New Roman" w:hAnsi="Times New Roman" w:cs="Times New Roman"/>
          <w:b/>
          <w:bCs/>
          <w:color w:val="000000" w:themeColor="text1"/>
        </w:rPr>
        <w:t>Missing Data and Imputations</w:t>
      </w:r>
      <w:r w:rsidRPr="00756ED3">
        <w:rPr>
          <w:rFonts w:ascii="Times New Roman" w:hAnsi="Times New Roman" w:cs="Times New Roman"/>
          <w:b/>
          <w:bCs/>
          <w:color w:val="000000" w:themeColor="text1"/>
          <w:sz w:val="24"/>
          <w:szCs w:val="24"/>
        </w:rPr>
        <w:t xml:space="preserve"> </w:t>
      </w:r>
    </w:p>
    <w:p w14:paraId="5C336040" w14:textId="77777777" w:rsidR="00124C32" w:rsidRPr="00756ED3" w:rsidRDefault="00124C32" w:rsidP="004A4E25">
      <w:pPr>
        <w:rPr>
          <w:rFonts w:ascii="Times New Roman" w:hAnsi="Times New Roman" w:cs="Times New Roman"/>
          <w:color w:val="000000" w:themeColor="text1"/>
          <w:sz w:val="24"/>
          <w:szCs w:val="24"/>
        </w:rPr>
      </w:pPr>
    </w:p>
    <w:p w14:paraId="3A006D7D" w14:textId="77566308" w:rsidR="00124C32" w:rsidRPr="00756ED3" w:rsidRDefault="00124C32" w:rsidP="00FE516E">
      <w:pPr>
        <w:spacing w:line="480" w:lineRule="auto"/>
        <w:ind w:firstLine="708"/>
        <w:jc w:val="both"/>
        <w:rPr>
          <w:rFonts w:ascii="Times New Roman" w:hAnsi="Times New Roman" w:cs="Times New Roman"/>
          <w:color w:val="000000" w:themeColor="text1"/>
          <w:sz w:val="24"/>
          <w:szCs w:val="24"/>
        </w:rPr>
      </w:pPr>
      <w:r w:rsidRPr="00756ED3">
        <w:rPr>
          <w:rFonts w:ascii="Times New Roman" w:hAnsi="Times New Roman" w:cs="Times New Roman"/>
          <w:color w:val="000000" w:themeColor="text1"/>
          <w:sz w:val="24"/>
          <w:szCs w:val="24"/>
        </w:rPr>
        <w:t xml:space="preserve">The presence (yes/no) of missing data was evaluated with logistic regression models </w:t>
      </w:r>
      <w:r w:rsidRPr="00756ED3">
        <w:rPr>
          <w:rFonts w:ascii="Times New Roman" w:eastAsia="Times New Roman" w:hAnsi="Times New Roman" w:cs="Times New Roman"/>
          <w:sz w:val="24"/>
          <w:szCs w:val="24"/>
        </w:rPr>
        <w:t>(Faria, Gomes, Epstein, &amp; White, 2014)</w:t>
      </w:r>
      <w:r w:rsidRPr="00756ED3">
        <w:rPr>
          <w:rFonts w:ascii="Times New Roman" w:hAnsi="Times New Roman" w:cs="Times New Roman"/>
          <w:color w:val="000000" w:themeColor="text1"/>
          <w:sz w:val="24"/>
          <w:szCs w:val="24"/>
        </w:rPr>
        <w:t xml:space="preserve"> using baseline study factors as independent variables. Significant associations indicated that the data were not ‘Missing Completely at Random’ and multiple </w:t>
      </w:r>
      <w:r w:rsidRPr="00756ED3">
        <w:rPr>
          <w:rFonts w:ascii="Times New Roman" w:hAnsi="Times New Roman" w:cs="Times New Roman"/>
          <w:color w:val="000000" w:themeColor="text1"/>
          <w:sz w:val="24"/>
          <w:szCs w:val="24"/>
        </w:rPr>
        <w:lastRenderedPageBreak/>
        <w:t xml:space="preserve">imputation was used on the assumption of a ‘Missing at Random’ mechanism. Missing baseline values were imputed with the variable median, mean or mode </w:t>
      </w:r>
      <w:r w:rsidRPr="00756ED3">
        <w:rPr>
          <w:rFonts w:ascii="Times New Roman" w:hAnsi="Times New Roman" w:cs="Times New Roman"/>
          <w:color w:val="000000"/>
          <w:sz w:val="24"/>
          <w:szCs w:val="24"/>
        </w:rPr>
        <w:t>(Faria et al., 2014)</w:t>
      </w:r>
      <w:r w:rsidRPr="00756ED3">
        <w:rPr>
          <w:rFonts w:ascii="Times New Roman" w:hAnsi="Times New Roman" w:cs="Times New Roman"/>
          <w:color w:val="000000" w:themeColor="text1"/>
          <w:sz w:val="24"/>
          <w:szCs w:val="24"/>
        </w:rPr>
        <w:t>. The imputation of T</w:t>
      </w:r>
      <w:r w:rsidRPr="00756ED3">
        <w:rPr>
          <w:rFonts w:ascii="Times New Roman" w:hAnsi="Times New Roman" w:cs="Times New Roman"/>
          <w:color w:val="000000" w:themeColor="text1"/>
          <w:sz w:val="24"/>
          <w:szCs w:val="24"/>
          <w:vertAlign w:val="subscript"/>
        </w:rPr>
        <w:t>1</w:t>
      </w:r>
      <w:r w:rsidRPr="00756ED3">
        <w:rPr>
          <w:rFonts w:ascii="Times New Roman" w:hAnsi="Times New Roman" w:cs="Times New Roman"/>
          <w:color w:val="000000" w:themeColor="text1"/>
          <w:sz w:val="24"/>
          <w:szCs w:val="24"/>
        </w:rPr>
        <w:t xml:space="preserve"> and T</w:t>
      </w:r>
      <w:r w:rsidRPr="00756ED3">
        <w:rPr>
          <w:rFonts w:ascii="Times New Roman" w:hAnsi="Times New Roman" w:cs="Times New Roman"/>
          <w:color w:val="000000" w:themeColor="text1"/>
          <w:sz w:val="24"/>
          <w:szCs w:val="24"/>
          <w:vertAlign w:val="subscript"/>
        </w:rPr>
        <w:t>2</w:t>
      </w:r>
      <w:r w:rsidRPr="00756ED3">
        <w:rPr>
          <w:rFonts w:ascii="Times New Roman" w:hAnsi="Times New Roman" w:cs="Times New Roman"/>
          <w:color w:val="000000" w:themeColor="text1"/>
          <w:sz w:val="24"/>
          <w:szCs w:val="24"/>
        </w:rPr>
        <w:t xml:space="preserve"> was done with the </w:t>
      </w:r>
      <w:r w:rsidRPr="00756ED3">
        <w:rPr>
          <w:rFonts w:ascii="Times New Roman" w:hAnsi="Times New Roman" w:cs="Times New Roman"/>
          <w:i/>
          <w:iCs/>
          <w:color w:val="000000" w:themeColor="text1"/>
          <w:sz w:val="24"/>
          <w:szCs w:val="24"/>
        </w:rPr>
        <w:t>Amelia II</w:t>
      </w:r>
      <w:r w:rsidRPr="00756ED3">
        <w:rPr>
          <w:rFonts w:ascii="Times New Roman" w:hAnsi="Times New Roman" w:cs="Times New Roman"/>
          <w:color w:val="000000" w:themeColor="text1"/>
          <w:sz w:val="24"/>
          <w:szCs w:val="24"/>
        </w:rPr>
        <w:t xml:space="preserve"> multiple imputation package which can handle longitudinal data </w:t>
      </w:r>
      <w:r w:rsidRPr="00756ED3">
        <w:rPr>
          <w:rFonts w:ascii="Times New Roman" w:eastAsia="Times New Roman" w:hAnsi="Times New Roman" w:cs="Times New Roman"/>
          <w:sz w:val="24"/>
          <w:szCs w:val="24"/>
        </w:rPr>
        <w:t>(Honaker, King, &amp; Blackwell, 2019)</w:t>
      </w:r>
      <w:r w:rsidRPr="00756ED3">
        <w:rPr>
          <w:rFonts w:ascii="Times New Roman" w:hAnsi="Times New Roman" w:cs="Times New Roman"/>
          <w:color w:val="000000" w:themeColor="text1"/>
          <w:sz w:val="24"/>
          <w:szCs w:val="24"/>
        </w:rPr>
        <w:t xml:space="preserve">. Twenty datasets were imputed. The imputation model included baseline variables associated with the probability of missing data as well as sex and age. Variables without a normal distribution were not transformed and the imputation model was not restricted by logical bounds </w:t>
      </w:r>
      <w:r w:rsidRPr="00756ED3">
        <w:rPr>
          <w:rFonts w:ascii="Times New Roman" w:eastAsia="Times New Roman" w:hAnsi="Times New Roman" w:cs="Times New Roman"/>
          <w:sz w:val="24"/>
          <w:szCs w:val="24"/>
        </w:rPr>
        <w:t>(</w:t>
      </w:r>
      <w:proofErr w:type="spellStart"/>
      <w:r w:rsidRPr="00756ED3">
        <w:rPr>
          <w:rFonts w:ascii="Times New Roman" w:eastAsia="Times New Roman" w:hAnsi="Times New Roman" w:cs="Times New Roman"/>
          <w:sz w:val="24"/>
          <w:szCs w:val="24"/>
        </w:rPr>
        <w:t>Kleinke</w:t>
      </w:r>
      <w:proofErr w:type="spellEnd"/>
      <w:r w:rsidRPr="00756ED3">
        <w:rPr>
          <w:rFonts w:ascii="Times New Roman" w:eastAsia="Times New Roman" w:hAnsi="Times New Roman" w:cs="Times New Roman"/>
          <w:sz w:val="24"/>
          <w:szCs w:val="24"/>
        </w:rPr>
        <w:t xml:space="preserve">, Reinecke, </w:t>
      </w:r>
      <w:proofErr w:type="spellStart"/>
      <w:r w:rsidRPr="00756ED3">
        <w:rPr>
          <w:rFonts w:ascii="Times New Roman" w:eastAsia="Times New Roman" w:hAnsi="Times New Roman" w:cs="Times New Roman"/>
          <w:sz w:val="24"/>
          <w:szCs w:val="24"/>
        </w:rPr>
        <w:t>Salfrán</w:t>
      </w:r>
      <w:proofErr w:type="spellEnd"/>
      <w:r w:rsidRPr="00756ED3">
        <w:rPr>
          <w:rFonts w:ascii="Times New Roman" w:eastAsia="Times New Roman" w:hAnsi="Times New Roman" w:cs="Times New Roman"/>
          <w:sz w:val="24"/>
          <w:szCs w:val="24"/>
        </w:rPr>
        <w:t xml:space="preserve">, &amp; </w:t>
      </w:r>
      <w:proofErr w:type="spellStart"/>
      <w:r w:rsidRPr="00756ED3">
        <w:rPr>
          <w:rFonts w:ascii="Times New Roman" w:eastAsia="Times New Roman" w:hAnsi="Times New Roman" w:cs="Times New Roman"/>
          <w:sz w:val="24"/>
          <w:szCs w:val="24"/>
        </w:rPr>
        <w:t>Spiess</w:t>
      </w:r>
      <w:proofErr w:type="spellEnd"/>
      <w:r w:rsidRPr="00756ED3">
        <w:rPr>
          <w:rFonts w:ascii="Times New Roman" w:eastAsia="Times New Roman" w:hAnsi="Times New Roman" w:cs="Times New Roman"/>
          <w:sz w:val="24"/>
          <w:szCs w:val="24"/>
        </w:rPr>
        <w:t>, 2020; Rodwell, Lee, Romaniuk, &amp; Carlin, 2014)</w:t>
      </w:r>
      <w:r w:rsidRPr="00756ED3">
        <w:rPr>
          <w:rFonts w:ascii="Times New Roman" w:hAnsi="Times New Roman" w:cs="Times New Roman"/>
          <w:color w:val="000000" w:themeColor="text1"/>
          <w:sz w:val="24"/>
          <w:szCs w:val="24"/>
        </w:rPr>
        <w:t xml:space="preserve">. Rubin’s rule was used to determine the pooled estimates of means and 95% confidence intervals for costs and outcomes </w:t>
      </w:r>
      <w:r w:rsidRPr="00756ED3">
        <w:rPr>
          <w:rFonts w:ascii="Times New Roman" w:eastAsia="Times New Roman" w:hAnsi="Times New Roman" w:cs="Times New Roman"/>
          <w:sz w:val="24"/>
          <w:szCs w:val="24"/>
        </w:rPr>
        <w:t>(Marshall, Altman, Holder, &amp; Royston, 2009)</w:t>
      </w:r>
      <w:r w:rsidRPr="00756ED3">
        <w:rPr>
          <w:rFonts w:ascii="Times New Roman" w:hAnsi="Times New Roman" w:cs="Times New Roman"/>
          <w:color w:val="000000" w:themeColor="text1"/>
          <w:sz w:val="24"/>
          <w:szCs w:val="24"/>
        </w:rPr>
        <w:t xml:space="preserve">. </w:t>
      </w:r>
    </w:p>
    <w:p w14:paraId="3D752003" w14:textId="77777777" w:rsidR="00124C32" w:rsidRPr="00756ED3" w:rsidRDefault="00124C32" w:rsidP="00EF48BB">
      <w:pPr>
        <w:pStyle w:val="Titre2"/>
        <w:rPr>
          <w:rFonts w:ascii="Times New Roman" w:hAnsi="Times New Roman" w:cs="Times New Roman"/>
          <w:b/>
          <w:bCs/>
          <w:color w:val="000000" w:themeColor="text1"/>
          <w:sz w:val="24"/>
          <w:szCs w:val="24"/>
        </w:rPr>
      </w:pPr>
      <w:r w:rsidRPr="00756ED3">
        <w:rPr>
          <w:rFonts w:ascii="Times New Roman" w:hAnsi="Times New Roman" w:cs="Times New Roman"/>
          <w:b/>
          <w:bCs/>
          <w:color w:val="000000" w:themeColor="text1"/>
          <w:sz w:val="24"/>
          <w:szCs w:val="24"/>
        </w:rPr>
        <w:t>QALY modelling</w:t>
      </w:r>
    </w:p>
    <w:p w14:paraId="5159F77E" w14:textId="77777777" w:rsidR="00124C32" w:rsidRPr="00756ED3" w:rsidRDefault="00124C32" w:rsidP="00EF48BB">
      <w:pPr>
        <w:rPr>
          <w:rFonts w:ascii="Times New Roman" w:hAnsi="Times New Roman" w:cs="Times New Roman"/>
          <w:color w:val="000000" w:themeColor="text1"/>
          <w:sz w:val="24"/>
          <w:szCs w:val="24"/>
        </w:rPr>
      </w:pPr>
    </w:p>
    <w:p w14:paraId="037885E7" w14:textId="77777777" w:rsidR="00124C32" w:rsidRPr="00756ED3" w:rsidRDefault="00124C32" w:rsidP="000C5E75">
      <w:pPr>
        <w:spacing w:line="480" w:lineRule="auto"/>
        <w:ind w:firstLine="720"/>
        <w:rPr>
          <w:rFonts w:ascii="Times New Roman" w:hAnsi="Times New Roman" w:cs="Times New Roman"/>
          <w:color w:val="000000" w:themeColor="text1"/>
          <w:sz w:val="24"/>
          <w:szCs w:val="24"/>
        </w:rPr>
      </w:pPr>
      <w:r w:rsidRPr="00756ED3">
        <w:rPr>
          <w:rFonts w:ascii="Times New Roman" w:hAnsi="Times New Roman" w:cs="Times New Roman"/>
          <w:color w:val="000000" w:themeColor="text1"/>
          <w:sz w:val="24"/>
          <w:szCs w:val="24"/>
        </w:rPr>
        <w:t>As the QALY distribution was left-skewed, it was transposed into a right-skewed distribution to fit a gamma distribution for modelling purpose, by subtracting the maximum possible QALYs minus the actual QALYs obtained.</w:t>
      </w:r>
    </w:p>
    <w:p w14:paraId="41B59C53" w14:textId="77777777" w:rsidR="00124C32" w:rsidRPr="00756ED3" w:rsidRDefault="00124C32" w:rsidP="0051334D">
      <w:pPr>
        <w:pStyle w:val="Titre2"/>
        <w:rPr>
          <w:rFonts w:ascii="Times New Roman" w:hAnsi="Times New Roman" w:cs="Times New Roman"/>
          <w:b/>
          <w:bCs/>
          <w:color w:val="000000" w:themeColor="text1"/>
          <w:sz w:val="24"/>
          <w:szCs w:val="24"/>
        </w:rPr>
      </w:pPr>
      <w:r w:rsidRPr="00756ED3">
        <w:rPr>
          <w:rFonts w:ascii="Times New Roman" w:hAnsi="Times New Roman" w:cs="Times New Roman"/>
          <w:b/>
          <w:bCs/>
          <w:color w:val="000000" w:themeColor="text1"/>
          <w:sz w:val="24"/>
          <w:szCs w:val="24"/>
        </w:rPr>
        <w:t>Confidence interval bootstrapping in multiple imputation</w:t>
      </w:r>
    </w:p>
    <w:p w14:paraId="6F3AF8D6" w14:textId="77777777" w:rsidR="00124C32" w:rsidRPr="00756ED3" w:rsidRDefault="00124C32" w:rsidP="00574139">
      <w:pPr>
        <w:rPr>
          <w:rFonts w:ascii="Times New Roman" w:hAnsi="Times New Roman" w:cs="Times New Roman"/>
          <w:color w:val="000000" w:themeColor="text1"/>
          <w:sz w:val="24"/>
          <w:szCs w:val="24"/>
        </w:rPr>
      </w:pPr>
    </w:p>
    <w:p w14:paraId="44691E08" w14:textId="578AC417" w:rsidR="00124C32" w:rsidRPr="00756ED3" w:rsidRDefault="00124C32" w:rsidP="003931E6">
      <w:pPr>
        <w:spacing w:line="480" w:lineRule="auto"/>
        <w:ind w:firstLine="708"/>
        <w:jc w:val="both"/>
        <w:rPr>
          <w:rFonts w:ascii="Times New Roman" w:hAnsi="Times New Roman" w:cs="Times New Roman"/>
          <w:color w:val="000000" w:themeColor="text1"/>
          <w:sz w:val="24"/>
          <w:szCs w:val="24"/>
        </w:rPr>
      </w:pPr>
      <w:r w:rsidRPr="00756ED3">
        <w:rPr>
          <w:rFonts w:ascii="Times New Roman" w:hAnsi="Times New Roman" w:cs="Times New Roman"/>
          <w:color w:val="000000" w:themeColor="text1"/>
          <w:sz w:val="24"/>
          <w:szCs w:val="24"/>
        </w:rPr>
        <w:t xml:space="preserve">Point estimates were computed for each multiply imputed dataset and were pooled with Rubin’s Rule. Imputed confidence intervals were obtained using the standard errors of the ICUR/ICER computed from the 10,000 bootstrap samples of each multiply imputed dataset. After pooling according to Rubin’s Rule, 95% confidence intervals were derived assuming a t-distribution </w:t>
      </w:r>
      <w:r w:rsidRPr="00756ED3">
        <w:rPr>
          <w:rFonts w:ascii="Times New Roman" w:eastAsia="Times New Roman" w:hAnsi="Times New Roman" w:cs="Times New Roman"/>
          <w:sz w:val="24"/>
          <w:szCs w:val="24"/>
        </w:rPr>
        <w:t xml:space="preserve">(Barnard &amp; Rubin, 1999; Dong &amp; Peng, 2013; </w:t>
      </w:r>
      <w:proofErr w:type="spellStart"/>
      <w:r w:rsidRPr="00756ED3">
        <w:rPr>
          <w:rFonts w:ascii="Times New Roman" w:eastAsia="Times New Roman" w:hAnsi="Times New Roman" w:cs="Times New Roman"/>
          <w:sz w:val="24"/>
          <w:szCs w:val="24"/>
        </w:rPr>
        <w:t>Schomaker</w:t>
      </w:r>
      <w:proofErr w:type="spellEnd"/>
      <w:r w:rsidRPr="00756ED3">
        <w:rPr>
          <w:rFonts w:ascii="Times New Roman" w:eastAsia="Times New Roman" w:hAnsi="Times New Roman" w:cs="Times New Roman"/>
          <w:sz w:val="24"/>
          <w:szCs w:val="24"/>
        </w:rPr>
        <w:t xml:space="preserve"> &amp; </w:t>
      </w:r>
      <w:proofErr w:type="spellStart"/>
      <w:r w:rsidRPr="00756ED3">
        <w:rPr>
          <w:rFonts w:ascii="Times New Roman" w:eastAsia="Times New Roman" w:hAnsi="Times New Roman" w:cs="Times New Roman"/>
          <w:sz w:val="24"/>
          <w:szCs w:val="24"/>
        </w:rPr>
        <w:t>Heumann</w:t>
      </w:r>
      <w:proofErr w:type="spellEnd"/>
      <w:r w:rsidRPr="00756ED3">
        <w:rPr>
          <w:rFonts w:ascii="Times New Roman" w:eastAsia="Times New Roman" w:hAnsi="Times New Roman" w:cs="Times New Roman"/>
          <w:sz w:val="24"/>
          <w:szCs w:val="24"/>
        </w:rPr>
        <w:t>, 2018)</w:t>
      </w:r>
      <w:r w:rsidRPr="00756ED3">
        <w:rPr>
          <w:rFonts w:ascii="Times New Roman" w:hAnsi="Times New Roman" w:cs="Times New Roman"/>
          <w:color w:val="000000" w:themeColor="text1"/>
          <w:sz w:val="24"/>
          <w:szCs w:val="24"/>
        </w:rPr>
        <w:t>.</w:t>
      </w:r>
    </w:p>
    <w:p w14:paraId="0FB1EF27" w14:textId="77777777" w:rsidR="00124C32" w:rsidRPr="00756ED3" w:rsidRDefault="00124C32" w:rsidP="003931E6">
      <w:pPr>
        <w:spacing w:line="480" w:lineRule="auto"/>
        <w:ind w:firstLine="708"/>
        <w:jc w:val="both"/>
        <w:rPr>
          <w:rFonts w:ascii="Times New Roman" w:hAnsi="Times New Roman" w:cs="Times New Roman"/>
          <w:color w:val="000000" w:themeColor="text1"/>
          <w:sz w:val="24"/>
          <w:szCs w:val="24"/>
        </w:rPr>
      </w:pPr>
    </w:p>
    <w:p w14:paraId="38306144" w14:textId="77777777" w:rsidR="00124C32" w:rsidRPr="00756ED3" w:rsidRDefault="00124C32" w:rsidP="00B10C71">
      <w:pPr>
        <w:pStyle w:val="Titre2"/>
        <w:rPr>
          <w:rFonts w:ascii="Times New Roman" w:hAnsi="Times New Roman" w:cs="Times New Roman"/>
          <w:b/>
          <w:bCs/>
          <w:color w:val="000000" w:themeColor="text1"/>
          <w:sz w:val="24"/>
          <w:szCs w:val="24"/>
        </w:rPr>
      </w:pPr>
      <w:r w:rsidRPr="00756ED3">
        <w:rPr>
          <w:rFonts w:ascii="Times New Roman" w:hAnsi="Times New Roman" w:cs="Times New Roman"/>
          <w:b/>
          <w:bCs/>
          <w:color w:val="000000" w:themeColor="text1"/>
          <w:sz w:val="24"/>
          <w:szCs w:val="24"/>
        </w:rPr>
        <w:lastRenderedPageBreak/>
        <w:t>Sensitivity analysis</w:t>
      </w:r>
    </w:p>
    <w:p w14:paraId="33104D17" w14:textId="77777777" w:rsidR="00124C32" w:rsidRPr="00756ED3" w:rsidRDefault="00124C32">
      <w:pPr>
        <w:rPr>
          <w:rFonts w:ascii="Times New Roman" w:hAnsi="Times New Roman" w:cs="Times New Roman"/>
          <w:color w:val="000000" w:themeColor="text1"/>
          <w:sz w:val="24"/>
          <w:szCs w:val="24"/>
        </w:rPr>
      </w:pPr>
    </w:p>
    <w:p w14:paraId="136A279A" w14:textId="58B0D91A" w:rsidR="00124C32" w:rsidRPr="00756ED3" w:rsidRDefault="00124C32" w:rsidP="000C5E75">
      <w:pPr>
        <w:spacing w:line="480" w:lineRule="auto"/>
        <w:ind w:firstLine="720"/>
        <w:jc w:val="both"/>
        <w:rPr>
          <w:rFonts w:ascii="Times New Roman" w:hAnsi="Times New Roman" w:cs="Times New Roman"/>
          <w:color w:val="000000" w:themeColor="text1"/>
          <w:sz w:val="24"/>
          <w:szCs w:val="24"/>
        </w:rPr>
      </w:pPr>
      <w:r w:rsidRPr="00756ED3">
        <w:rPr>
          <w:rFonts w:ascii="Times New Roman" w:hAnsi="Times New Roman" w:cs="Times New Roman"/>
          <w:color w:val="000000" w:themeColor="text1"/>
          <w:sz w:val="24"/>
          <w:szCs w:val="24"/>
        </w:rPr>
        <w:t xml:space="preserve">Data did not specify whether consultations occurred in the public health system or in the private sector for mental health professionals (psychologists, psychotherapists, neuropsychologists) and social service professionals (social workers and psycho-educators). This could impact estimated mental health costs as fees vary significantly between public and private sectors. For example, for psychologists, a visit in the private sector costs on average $105 for a one-hour consultation (paid out-of-pocket) while in the public sector, the cost is $1,104 per year after including mark-ups for overhead, opportunity and building depreciation cost. For social workers, we estimated a cost of $75 per consultation in the private sector and $1,506 per year in the public sector. To be comparable with private sector costs, the estimation of the public sector costs in this study was weighted proportionally to represent a 4-month period. Based on available literature and consultation with experts, in the base case, the proportion of individuals consulting for psychological services in the private and public sectors was 65% and 35%, respectively </w:t>
      </w:r>
      <w:r w:rsidRPr="00756ED3">
        <w:rPr>
          <w:rFonts w:ascii="Times New Roman" w:hAnsi="Times New Roman" w:cs="Times New Roman"/>
          <w:color w:val="000000"/>
          <w:sz w:val="24"/>
          <w:szCs w:val="24"/>
        </w:rPr>
        <w:t>(</w:t>
      </w:r>
      <w:proofErr w:type="spellStart"/>
      <w:r w:rsidRPr="00756ED3">
        <w:rPr>
          <w:rFonts w:ascii="Times New Roman" w:hAnsi="Times New Roman" w:cs="Times New Roman"/>
          <w:color w:val="000000"/>
          <w:sz w:val="24"/>
          <w:szCs w:val="24"/>
        </w:rPr>
        <w:t>Chodos</w:t>
      </w:r>
      <w:proofErr w:type="spellEnd"/>
      <w:r w:rsidRPr="00756ED3">
        <w:rPr>
          <w:rFonts w:ascii="Times New Roman" w:hAnsi="Times New Roman" w:cs="Times New Roman"/>
          <w:color w:val="000000"/>
          <w:sz w:val="24"/>
          <w:szCs w:val="24"/>
        </w:rPr>
        <w:t>, 2017)</w:t>
      </w:r>
      <w:r w:rsidRPr="00756ED3">
        <w:rPr>
          <w:rFonts w:ascii="Times New Roman" w:hAnsi="Times New Roman" w:cs="Times New Roman"/>
          <w:color w:val="000000" w:themeColor="text1"/>
          <w:sz w:val="24"/>
          <w:szCs w:val="24"/>
        </w:rPr>
        <w:t xml:space="preserve">. Based on an interview with the professional college of social workers of Quebec, for the base case, the proportion of individuals consulting in the private and public sectors was 3.5% and 96.5%, respectively </w:t>
      </w:r>
      <w:r w:rsidRPr="00756ED3">
        <w:rPr>
          <w:rFonts w:ascii="Times New Roman" w:hAnsi="Times New Roman" w:cs="Times New Roman"/>
          <w:color w:val="000000"/>
          <w:sz w:val="24"/>
          <w:szCs w:val="24"/>
        </w:rPr>
        <w:t xml:space="preserve">(Ordre des </w:t>
      </w:r>
      <w:proofErr w:type="spellStart"/>
      <w:r w:rsidRPr="00756ED3">
        <w:rPr>
          <w:rFonts w:ascii="Times New Roman" w:hAnsi="Times New Roman" w:cs="Times New Roman"/>
          <w:color w:val="000000"/>
          <w:sz w:val="24"/>
          <w:szCs w:val="24"/>
        </w:rPr>
        <w:t>travailleurs</w:t>
      </w:r>
      <w:proofErr w:type="spellEnd"/>
      <w:r w:rsidRPr="00756ED3">
        <w:rPr>
          <w:rFonts w:ascii="Times New Roman" w:hAnsi="Times New Roman" w:cs="Times New Roman"/>
          <w:color w:val="000000"/>
          <w:sz w:val="24"/>
          <w:szCs w:val="24"/>
        </w:rPr>
        <w:t xml:space="preserve"> </w:t>
      </w:r>
      <w:proofErr w:type="spellStart"/>
      <w:r w:rsidRPr="00756ED3">
        <w:rPr>
          <w:rFonts w:ascii="Times New Roman" w:hAnsi="Times New Roman" w:cs="Times New Roman"/>
          <w:color w:val="000000"/>
          <w:sz w:val="24"/>
          <w:szCs w:val="24"/>
        </w:rPr>
        <w:t>sociaux</w:t>
      </w:r>
      <w:proofErr w:type="spellEnd"/>
      <w:r w:rsidRPr="00756ED3">
        <w:rPr>
          <w:rFonts w:ascii="Times New Roman" w:hAnsi="Times New Roman" w:cs="Times New Roman"/>
          <w:color w:val="000000"/>
          <w:sz w:val="24"/>
          <w:szCs w:val="24"/>
        </w:rPr>
        <w:t xml:space="preserve"> et des </w:t>
      </w:r>
      <w:proofErr w:type="spellStart"/>
      <w:r w:rsidRPr="00756ED3">
        <w:rPr>
          <w:rFonts w:ascii="Times New Roman" w:hAnsi="Times New Roman" w:cs="Times New Roman"/>
          <w:color w:val="000000"/>
          <w:sz w:val="24"/>
          <w:szCs w:val="24"/>
        </w:rPr>
        <w:t>thérapeutes</w:t>
      </w:r>
      <w:proofErr w:type="spellEnd"/>
      <w:r w:rsidRPr="00756ED3">
        <w:rPr>
          <w:rFonts w:ascii="Times New Roman" w:hAnsi="Times New Roman" w:cs="Times New Roman"/>
          <w:color w:val="000000"/>
          <w:sz w:val="24"/>
          <w:szCs w:val="24"/>
        </w:rPr>
        <w:t xml:space="preserve"> </w:t>
      </w:r>
      <w:proofErr w:type="spellStart"/>
      <w:r w:rsidRPr="00756ED3">
        <w:rPr>
          <w:rFonts w:ascii="Times New Roman" w:hAnsi="Times New Roman" w:cs="Times New Roman"/>
          <w:color w:val="000000"/>
          <w:sz w:val="24"/>
          <w:szCs w:val="24"/>
        </w:rPr>
        <w:t>conjugaux</w:t>
      </w:r>
      <w:proofErr w:type="spellEnd"/>
      <w:r w:rsidRPr="00756ED3">
        <w:rPr>
          <w:rFonts w:ascii="Times New Roman" w:hAnsi="Times New Roman" w:cs="Times New Roman"/>
          <w:color w:val="000000"/>
          <w:sz w:val="24"/>
          <w:szCs w:val="24"/>
        </w:rPr>
        <w:t xml:space="preserve"> et </w:t>
      </w:r>
      <w:proofErr w:type="spellStart"/>
      <w:r w:rsidRPr="00756ED3">
        <w:rPr>
          <w:rFonts w:ascii="Times New Roman" w:hAnsi="Times New Roman" w:cs="Times New Roman"/>
          <w:color w:val="000000"/>
          <w:sz w:val="24"/>
          <w:szCs w:val="24"/>
        </w:rPr>
        <w:t>familiaux</w:t>
      </w:r>
      <w:proofErr w:type="spellEnd"/>
      <w:r w:rsidRPr="00756ED3">
        <w:rPr>
          <w:rFonts w:ascii="Times New Roman" w:hAnsi="Times New Roman" w:cs="Times New Roman"/>
          <w:color w:val="000000"/>
          <w:sz w:val="24"/>
          <w:szCs w:val="24"/>
        </w:rPr>
        <w:t xml:space="preserve"> du Québec, 2021)</w:t>
      </w:r>
      <w:r w:rsidRPr="00756ED3">
        <w:rPr>
          <w:rFonts w:ascii="Times New Roman" w:hAnsi="Times New Roman" w:cs="Times New Roman"/>
          <w:color w:val="000000" w:themeColor="text1"/>
          <w:sz w:val="24"/>
          <w:szCs w:val="24"/>
        </w:rPr>
        <w:t>.</w:t>
      </w:r>
      <w:r w:rsidRPr="00756ED3">
        <w:rPr>
          <w:rFonts w:ascii="Times New Roman" w:hAnsi="Times New Roman" w:cs="Times New Roman"/>
          <w:i/>
          <w:iCs/>
          <w:color w:val="000000" w:themeColor="text1"/>
          <w:sz w:val="24"/>
          <w:szCs w:val="24"/>
        </w:rPr>
        <w:t xml:space="preserve"> </w:t>
      </w:r>
      <w:r w:rsidRPr="00756ED3">
        <w:rPr>
          <w:rFonts w:ascii="Times New Roman" w:hAnsi="Times New Roman" w:cs="Times New Roman"/>
          <w:color w:val="000000" w:themeColor="text1"/>
          <w:sz w:val="24"/>
          <w:szCs w:val="24"/>
        </w:rPr>
        <w:t xml:space="preserve">Since visits with these professionals were common, </w:t>
      </w:r>
      <w:proofErr w:type="gramStart"/>
      <w:r w:rsidRPr="00756ED3">
        <w:rPr>
          <w:rFonts w:ascii="Times New Roman" w:hAnsi="Times New Roman" w:cs="Times New Roman"/>
          <w:color w:val="000000" w:themeColor="text1"/>
          <w:sz w:val="24"/>
          <w:szCs w:val="24"/>
        </w:rPr>
        <w:t>one-way</w:t>
      </w:r>
      <w:proofErr w:type="gramEnd"/>
      <w:r w:rsidRPr="00756ED3">
        <w:rPr>
          <w:rFonts w:ascii="Times New Roman" w:hAnsi="Times New Roman" w:cs="Times New Roman"/>
          <w:color w:val="000000" w:themeColor="text1"/>
          <w:sz w:val="24"/>
          <w:szCs w:val="24"/>
        </w:rPr>
        <w:t xml:space="preserve"> and two-way deterministic sensitivity analysis (DSA) with extreme values were carried out where all participants either: 1) consulted in the private or 2) in the public sector. DSA were done on non-imputed data, as mental health service use was imputed on the aggregated level. Unadjusted point-estimates ICUR were derived for each scenario.</w:t>
      </w:r>
    </w:p>
    <w:p w14:paraId="6A7DF3EB" w14:textId="77777777" w:rsidR="00124C32" w:rsidRPr="00756ED3" w:rsidRDefault="00124C32" w:rsidP="00415C69">
      <w:pPr>
        <w:spacing w:line="480" w:lineRule="auto"/>
        <w:jc w:val="both"/>
        <w:rPr>
          <w:rFonts w:ascii="Times New Roman" w:hAnsi="Times New Roman" w:cs="Times New Roman"/>
          <w:color w:val="000000" w:themeColor="text1"/>
          <w:sz w:val="24"/>
          <w:szCs w:val="24"/>
        </w:rPr>
      </w:pPr>
    </w:p>
    <w:p w14:paraId="7D036851" w14:textId="77777777" w:rsidR="00124C32" w:rsidRPr="00756ED3" w:rsidRDefault="00124C32" w:rsidP="00415C69">
      <w:pPr>
        <w:spacing w:line="480" w:lineRule="auto"/>
        <w:jc w:val="both"/>
        <w:rPr>
          <w:rFonts w:ascii="Times New Roman" w:hAnsi="Times New Roman" w:cs="Times New Roman"/>
          <w:color w:val="000000" w:themeColor="text1"/>
          <w:sz w:val="24"/>
          <w:szCs w:val="24"/>
        </w:rPr>
      </w:pPr>
    </w:p>
    <w:p w14:paraId="06C5E57D" w14:textId="77777777" w:rsidR="00124C32" w:rsidRPr="00756ED3" w:rsidRDefault="00124C32" w:rsidP="00F03CE7">
      <w:pPr>
        <w:pStyle w:val="Titre1"/>
        <w:jc w:val="center"/>
        <w:rPr>
          <w:rFonts w:ascii="Times New Roman" w:hAnsi="Times New Roman" w:cs="Times New Roman"/>
          <w:b/>
          <w:bCs/>
          <w:color w:val="000000" w:themeColor="text1"/>
          <w:sz w:val="24"/>
          <w:szCs w:val="24"/>
        </w:rPr>
      </w:pPr>
      <w:r w:rsidRPr="00756ED3">
        <w:rPr>
          <w:rFonts w:ascii="Times New Roman" w:hAnsi="Times New Roman" w:cs="Times New Roman"/>
          <w:b/>
          <w:bCs/>
          <w:color w:val="000000" w:themeColor="text1"/>
          <w:sz w:val="24"/>
          <w:szCs w:val="24"/>
        </w:rPr>
        <w:lastRenderedPageBreak/>
        <w:t>References</w:t>
      </w:r>
    </w:p>
    <w:p w14:paraId="71019BD6" w14:textId="77777777" w:rsidR="00124C32" w:rsidRPr="00756ED3" w:rsidRDefault="00124C32" w:rsidP="00C2492B">
      <w:pPr>
        <w:rPr>
          <w:rFonts w:ascii="Times New Roman" w:hAnsi="Times New Roman" w:cs="Times New Roman"/>
          <w:color w:val="000000" w:themeColor="text1"/>
          <w:sz w:val="24"/>
          <w:szCs w:val="24"/>
        </w:rPr>
      </w:pPr>
    </w:p>
    <w:p w14:paraId="3D8D999F" w14:textId="40EF82D2" w:rsidR="00124C32" w:rsidRPr="00756ED3" w:rsidRDefault="00124C32">
      <w:pPr>
        <w:autoSpaceDE w:val="0"/>
        <w:autoSpaceDN w:val="0"/>
        <w:ind w:hanging="480"/>
        <w:divId w:val="1921985974"/>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lang w:val="fr-CA"/>
        </w:rPr>
        <w:t xml:space="preserve">Association </w:t>
      </w:r>
      <w:proofErr w:type="spellStart"/>
      <w:r w:rsidRPr="00756ED3">
        <w:rPr>
          <w:rFonts w:ascii="Times New Roman" w:eastAsia="Times New Roman" w:hAnsi="Times New Roman" w:cs="Times New Roman"/>
          <w:sz w:val="24"/>
          <w:szCs w:val="24"/>
          <w:lang w:val="fr-CA"/>
        </w:rPr>
        <w:t>québecoise</w:t>
      </w:r>
      <w:proofErr w:type="spellEnd"/>
      <w:r w:rsidRPr="00756ED3">
        <w:rPr>
          <w:rFonts w:ascii="Times New Roman" w:eastAsia="Times New Roman" w:hAnsi="Times New Roman" w:cs="Times New Roman"/>
          <w:sz w:val="24"/>
          <w:szCs w:val="24"/>
          <w:lang w:val="fr-CA"/>
        </w:rPr>
        <w:t xml:space="preserve"> des pharmaciens propriétaires. (2018). Article de la presse sur les honoraires des pharmaciens : L’AQPP rétablit certains faits. </w:t>
      </w:r>
      <w:r w:rsidRPr="00756ED3">
        <w:rPr>
          <w:rFonts w:ascii="Times New Roman" w:eastAsia="Times New Roman" w:hAnsi="Times New Roman" w:cs="Times New Roman"/>
          <w:sz w:val="24"/>
          <w:szCs w:val="24"/>
        </w:rPr>
        <w:t>Retrieved April 14, 2020, from https://www.monpharmacien.ca/en/medias/communiques-de-presse/article-de-la-presse-sur-les-honoraires-des-pharmaciens-laqpp-retablit-certains-faits/</w:t>
      </w:r>
    </w:p>
    <w:p w14:paraId="7C4B2FB7" w14:textId="77777777" w:rsidR="00124C32" w:rsidRPr="00756ED3" w:rsidRDefault="00124C32">
      <w:pPr>
        <w:autoSpaceDE w:val="0"/>
        <w:autoSpaceDN w:val="0"/>
        <w:ind w:hanging="480"/>
        <w:divId w:val="978221824"/>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rPr>
        <w:t xml:space="preserve">Barnard, J., &amp; Rubin, D. B. (1999). Miscellanea. Small-sample degrees of freedom with multiple imputation. </w:t>
      </w:r>
      <w:proofErr w:type="spellStart"/>
      <w:r w:rsidRPr="00756ED3">
        <w:rPr>
          <w:rFonts w:ascii="Times New Roman" w:eastAsia="Times New Roman" w:hAnsi="Times New Roman" w:cs="Times New Roman"/>
          <w:i/>
          <w:iCs/>
          <w:sz w:val="24"/>
          <w:szCs w:val="24"/>
        </w:rPr>
        <w:t>Biometrika</w:t>
      </w:r>
      <w:proofErr w:type="spellEnd"/>
      <w:r w:rsidRPr="00756ED3">
        <w:rPr>
          <w:rFonts w:ascii="Times New Roman" w:eastAsia="Times New Roman" w:hAnsi="Times New Roman" w:cs="Times New Roman"/>
          <w:sz w:val="24"/>
          <w:szCs w:val="24"/>
        </w:rPr>
        <w:t xml:space="preserve">, </w:t>
      </w:r>
      <w:r w:rsidRPr="00756ED3">
        <w:rPr>
          <w:rFonts w:ascii="Times New Roman" w:eastAsia="Times New Roman" w:hAnsi="Times New Roman" w:cs="Times New Roman"/>
          <w:i/>
          <w:iCs/>
          <w:sz w:val="24"/>
          <w:szCs w:val="24"/>
        </w:rPr>
        <w:t>86</w:t>
      </w:r>
      <w:r w:rsidRPr="00756ED3">
        <w:rPr>
          <w:rFonts w:ascii="Times New Roman" w:eastAsia="Times New Roman" w:hAnsi="Times New Roman" w:cs="Times New Roman"/>
          <w:sz w:val="24"/>
          <w:szCs w:val="24"/>
        </w:rPr>
        <w:t>(4), 948–955. https://doi.org/10.1093/biomet/86.4.948</w:t>
      </w:r>
    </w:p>
    <w:p w14:paraId="6B728034" w14:textId="77777777" w:rsidR="00124C32" w:rsidRPr="00756ED3" w:rsidRDefault="00124C32">
      <w:pPr>
        <w:autoSpaceDE w:val="0"/>
        <w:autoSpaceDN w:val="0"/>
        <w:ind w:hanging="480"/>
        <w:divId w:val="1802646650"/>
        <w:rPr>
          <w:rFonts w:ascii="Times New Roman" w:eastAsia="Times New Roman" w:hAnsi="Times New Roman" w:cs="Times New Roman"/>
          <w:sz w:val="24"/>
          <w:szCs w:val="24"/>
        </w:rPr>
      </w:pPr>
      <w:proofErr w:type="spellStart"/>
      <w:r w:rsidRPr="00756ED3">
        <w:rPr>
          <w:rFonts w:ascii="Times New Roman" w:eastAsia="Times New Roman" w:hAnsi="Times New Roman" w:cs="Times New Roman"/>
          <w:sz w:val="24"/>
          <w:szCs w:val="24"/>
        </w:rPr>
        <w:t>Chodos</w:t>
      </w:r>
      <w:proofErr w:type="spellEnd"/>
      <w:r w:rsidRPr="00756ED3">
        <w:rPr>
          <w:rFonts w:ascii="Times New Roman" w:eastAsia="Times New Roman" w:hAnsi="Times New Roman" w:cs="Times New Roman"/>
          <w:sz w:val="24"/>
          <w:szCs w:val="24"/>
        </w:rPr>
        <w:t xml:space="preserve">, H. (2017). </w:t>
      </w:r>
      <w:r w:rsidRPr="00756ED3">
        <w:rPr>
          <w:rFonts w:ascii="Times New Roman" w:eastAsia="Times New Roman" w:hAnsi="Times New Roman" w:cs="Times New Roman"/>
          <w:i/>
          <w:iCs/>
          <w:sz w:val="24"/>
          <w:szCs w:val="24"/>
        </w:rPr>
        <w:t>Options for improving access to counselling, psychotherapy and psychological services for mental health problems and illnesses</w:t>
      </w:r>
      <w:r w:rsidRPr="00756ED3">
        <w:rPr>
          <w:rFonts w:ascii="Times New Roman" w:eastAsia="Times New Roman" w:hAnsi="Times New Roman" w:cs="Times New Roman"/>
          <w:sz w:val="24"/>
          <w:szCs w:val="24"/>
        </w:rPr>
        <w:t xml:space="preserve">. Ottawa. Ontario: Mental Health </w:t>
      </w:r>
      <w:proofErr w:type="spellStart"/>
      <w:r w:rsidRPr="00756ED3">
        <w:rPr>
          <w:rFonts w:ascii="Times New Roman" w:eastAsia="Times New Roman" w:hAnsi="Times New Roman" w:cs="Times New Roman"/>
          <w:sz w:val="24"/>
          <w:szCs w:val="24"/>
        </w:rPr>
        <w:t>Comission</w:t>
      </w:r>
      <w:proofErr w:type="spellEnd"/>
      <w:r w:rsidRPr="00756ED3">
        <w:rPr>
          <w:rFonts w:ascii="Times New Roman" w:eastAsia="Times New Roman" w:hAnsi="Times New Roman" w:cs="Times New Roman"/>
          <w:sz w:val="24"/>
          <w:szCs w:val="24"/>
        </w:rPr>
        <w:t xml:space="preserve"> of Canada. Retrieved from https://www.mentalhealthcommission.ca/sites/default/files/2017-07/Options_for_improving_access_to_counselling_psychotherapy_and_psychological_services_eng.pdf</w:t>
      </w:r>
    </w:p>
    <w:p w14:paraId="22AD4D7E" w14:textId="77777777" w:rsidR="00124C32" w:rsidRPr="00756ED3" w:rsidRDefault="00124C32">
      <w:pPr>
        <w:autoSpaceDE w:val="0"/>
        <w:autoSpaceDN w:val="0"/>
        <w:ind w:hanging="480"/>
        <w:divId w:val="1302922537"/>
        <w:rPr>
          <w:rFonts w:ascii="Times New Roman" w:eastAsia="Times New Roman" w:hAnsi="Times New Roman" w:cs="Times New Roman"/>
          <w:sz w:val="24"/>
          <w:szCs w:val="24"/>
          <w:lang w:val="fr-CA"/>
        </w:rPr>
      </w:pPr>
      <w:r w:rsidRPr="00756ED3">
        <w:rPr>
          <w:rFonts w:ascii="Times New Roman" w:eastAsia="Times New Roman" w:hAnsi="Times New Roman" w:cs="Times New Roman"/>
          <w:sz w:val="24"/>
          <w:szCs w:val="24"/>
          <w:lang w:val="fr-CA"/>
        </w:rPr>
        <w:t xml:space="preserve">Commission des normes de l’équité de la santé et de la sécurité du travail. (2017). Historique du salaire minimum. </w:t>
      </w:r>
      <w:proofErr w:type="spellStart"/>
      <w:r w:rsidRPr="00756ED3">
        <w:rPr>
          <w:rFonts w:ascii="Times New Roman" w:eastAsia="Times New Roman" w:hAnsi="Times New Roman" w:cs="Times New Roman"/>
          <w:sz w:val="24"/>
          <w:szCs w:val="24"/>
          <w:lang w:val="fr-CA"/>
        </w:rPr>
        <w:t>Retrieved</w:t>
      </w:r>
      <w:proofErr w:type="spellEnd"/>
      <w:r w:rsidRPr="00756ED3">
        <w:rPr>
          <w:rFonts w:ascii="Times New Roman" w:eastAsia="Times New Roman" w:hAnsi="Times New Roman" w:cs="Times New Roman"/>
          <w:sz w:val="24"/>
          <w:szCs w:val="24"/>
          <w:lang w:val="fr-CA"/>
        </w:rPr>
        <w:t xml:space="preserve"> August 17, 2020, </w:t>
      </w:r>
      <w:proofErr w:type="spellStart"/>
      <w:r w:rsidRPr="00756ED3">
        <w:rPr>
          <w:rFonts w:ascii="Times New Roman" w:eastAsia="Times New Roman" w:hAnsi="Times New Roman" w:cs="Times New Roman"/>
          <w:sz w:val="24"/>
          <w:szCs w:val="24"/>
          <w:lang w:val="fr-CA"/>
        </w:rPr>
        <w:t>from</w:t>
      </w:r>
      <w:proofErr w:type="spellEnd"/>
      <w:r w:rsidRPr="00756ED3">
        <w:rPr>
          <w:rFonts w:ascii="Times New Roman" w:eastAsia="Times New Roman" w:hAnsi="Times New Roman" w:cs="Times New Roman"/>
          <w:sz w:val="24"/>
          <w:szCs w:val="24"/>
          <w:lang w:val="fr-CA"/>
        </w:rPr>
        <w:t xml:space="preserve"> https://www.cnt.gouv.qc.ca/salaire-paie-et-travail/salaire/historique-du-salaire-minimum/</w:t>
      </w:r>
    </w:p>
    <w:p w14:paraId="6D82A553" w14:textId="77777777" w:rsidR="00124C32" w:rsidRPr="00756ED3" w:rsidRDefault="00124C32">
      <w:pPr>
        <w:autoSpaceDE w:val="0"/>
        <w:autoSpaceDN w:val="0"/>
        <w:ind w:hanging="480"/>
        <w:divId w:val="1899827207"/>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rPr>
        <w:t xml:space="preserve">Dong, Y., &amp; Peng, C.-Y. J. (2013). Principled missing data methods for researchers. </w:t>
      </w:r>
      <w:proofErr w:type="spellStart"/>
      <w:r w:rsidRPr="00756ED3">
        <w:rPr>
          <w:rFonts w:ascii="Times New Roman" w:eastAsia="Times New Roman" w:hAnsi="Times New Roman" w:cs="Times New Roman"/>
          <w:i/>
          <w:iCs/>
          <w:sz w:val="24"/>
          <w:szCs w:val="24"/>
        </w:rPr>
        <w:t>SpringerPlus</w:t>
      </w:r>
      <w:proofErr w:type="spellEnd"/>
      <w:r w:rsidRPr="00756ED3">
        <w:rPr>
          <w:rFonts w:ascii="Times New Roman" w:eastAsia="Times New Roman" w:hAnsi="Times New Roman" w:cs="Times New Roman"/>
          <w:sz w:val="24"/>
          <w:szCs w:val="24"/>
        </w:rPr>
        <w:t xml:space="preserve">, </w:t>
      </w:r>
      <w:r w:rsidRPr="00756ED3">
        <w:rPr>
          <w:rFonts w:ascii="Times New Roman" w:eastAsia="Times New Roman" w:hAnsi="Times New Roman" w:cs="Times New Roman"/>
          <w:i/>
          <w:iCs/>
          <w:sz w:val="24"/>
          <w:szCs w:val="24"/>
        </w:rPr>
        <w:t>2</w:t>
      </w:r>
      <w:r w:rsidRPr="00756ED3">
        <w:rPr>
          <w:rFonts w:ascii="Times New Roman" w:eastAsia="Times New Roman" w:hAnsi="Times New Roman" w:cs="Times New Roman"/>
          <w:sz w:val="24"/>
          <w:szCs w:val="24"/>
        </w:rPr>
        <w:t>, 222. https://doi.org/10.1186/2193-1801-2-222</w:t>
      </w:r>
    </w:p>
    <w:p w14:paraId="480D5717" w14:textId="77777777" w:rsidR="00124C32" w:rsidRPr="00756ED3" w:rsidRDefault="00124C32">
      <w:pPr>
        <w:autoSpaceDE w:val="0"/>
        <w:autoSpaceDN w:val="0"/>
        <w:ind w:hanging="480"/>
        <w:divId w:val="1984314179"/>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rPr>
        <w:t xml:space="preserve">Faria, R., Gomes, M., Epstein, D., &amp; White, I. R. (2014). A guide to handling missing data in cost-effectiveness analysis conducted within randomised controlled trials. </w:t>
      </w:r>
      <w:proofErr w:type="spellStart"/>
      <w:r w:rsidRPr="00756ED3">
        <w:rPr>
          <w:rFonts w:ascii="Times New Roman" w:eastAsia="Times New Roman" w:hAnsi="Times New Roman" w:cs="Times New Roman"/>
          <w:i/>
          <w:iCs/>
          <w:sz w:val="24"/>
          <w:szCs w:val="24"/>
        </w:rPr>
        <w:t>PharmacoEconomics</w:t>
      </w:r>
      <w:proofErr w:type="spellEnd"/>
      <w:r w:rsidRPr="00756ED3">
        <w:rPr>
          <w:rFonts w:ascii="Times New Roman" w:eastAsia="Times New Roman" w:hAnsi="Times New Roman" w:cs="Times New Roman"/>
          <w:sz w:val="24"/>
          <w:szCs w:val="24"/>
        </w:rPr>
        <w:t xml:space="preserve">, </w:t>
      </w:r>
      <w:r w:rsidRPr="00756ED3">
        <w:rPr>
          <w:rFonts w:ascii="Times New Roman" w:eastAsia="Times New Roman" w:hAnsi="Times New Roman" w:cs="Times New Roman"/>
          <w:i/>
          <w:iCs/>
          <w:sz w:val="24"/>
          <w:szCs w:val="24"/>
        </w:rPr>
        <w:t>32</w:t>
      </w:r>
      <w:r w:rsidRPr="00756ED3">
        <w:rPr>
          <w:rFonts w:ascii="Times New Roman" w:eastAsia="Times New Roman" w:hAnsi="Times New Roman" w:cs="Times New Roman"/>
          <w:sz w:val="24"/>
          <w:szCs w:val="24"/>
        </w:rPr>
        <w:t>(12), 1157–1170. https://doi.org/10.1007/s40273-014-0193-3</w:t>
      </w:r>
    </w:p>
    <w:p w14:paraId="42D2E399" w14:textId="77777777" w:rsidR="00124C32" w:rsidRPr="00756ED3" w:rsidRDefault="00124C32">
      <w:pPr>
        <w:autoSpaceDE w:val="0"/>
        <w:autoSpaceDN w:val="0"/>
        <w:ind w:hanging="480"/>
        <w:divId w:val="280772781"/>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rPr>
        <w:t>Honaker, J., King, G., &amp; Blackwell, M. (2019). Amelia II: A program for missing data. R package version 1.7.6. Retrieved from https://cran.r-project.org/web/packages/Amelia/vignettes/amelia.pdf</w:t>
      </w:r>
    </w:p>
    <w:p w14:paraId="2F72410B" w14:textId="77777777" w:rsidR="00124C32" w:rsidRPr="00756ED3" w:rsidRDefault="00124C32">
      <w:pPr>
        <w:autoSpaceDE w:val="0"/>
        <w:autoSpaceDN w:val="0"/>
        <w:ind w:hanging="480"/>
        <w:divId w:val="1067920918"/>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rPr>
        <w:t xml:space="preserve">Hopkins, R., </w:t>
      </w:r>
      <w:proofErr w:type="spellStart"/>
      <w:r w:rsidRPr="00756ED3">
        <w:rPr>
          <w:rFonts w:ascii="Times New Roman" w:eastAsia="Times New Roman" w:hAnsi="Times New Roman" w:cs="Times New Roman"/>
          <w:sz w:val="24"/>
          <w:szCs w:val="24"/>
        </w:rPr>
        <w:t>Goeree</w:t>
      </w:r>
      <w:proofErr w:type="spellEnd"/>
      <w:r w:rsidRPr="00756ED3">
        <w:rPr>
          <w:rFonts w:ascii="Times New Roman" w:eastAsia="Times New Roman" w:hAnsi="Times New Roman" w:cs="Times New Roman"/>
          <w:sz w:val="24"/>
          <w:szCs w:val="24"/>
        </w:rPr>
        <w:t xml:space="preserve">, R., &amp; Longo, C. (2010). Estimating the national wage loss from cancer in Canada. </w:t>
      </w:r>
      <w:r w:rsidRPr="00756ED3">
        <w:rPr>
          <w:rFonts w:ascii="Times New Roman" w:eastAsia="Times New Roman" w:hAnsi="Times New Roman" w:cs="Times New Roman"/>
          <w:i/>
          <w:iCs/>
          <w:sz w:val="24"/>
          <w:szCs w:val="24"/>
        </w:rPr>
        <w:t>Current Oncology</w:t>
      </w:r>
      <w:r w:rsidRPr="00756ED3">
        <w:rPr>
          <w:rFonts w:ascii="Times New Roman" w:eastAsia="Times New Roman" w:hAnsi="Times New Roman" w:cs="Times New Roman"/>
          <w:sz w:val="24"/>
          <w:szCs w:val="24"/>
        </w:rPr>
        <w:t xml:space="preserve">, </w:t>
      </w:r>
      <w:r w:rsidRPr="00756ED3">
        <w:rPr>
          <w:rFonts w:ascii="Times New Roman" w:eastAsia="Times New Roman" w:hAnsi="Times New Roman" w:cs="Times New Roman"/>
          <w:i/>
          <w:iCs/>
          <w:sz w:val="24"/>
          <w:szCs w:val="24"/>
        </w:rPr>
        <w:t>17</w:t>
      </w:r>
      <w:r w:rsidRPr="00756ED3">
        <w:rPr>
          <w:rFonts w:ascii="Times New Roman" w:eastAsia="Times New Roman" w:hAnsi="Times New Roman" w:cs="Times New Roman"/>
          <w:sz w:val="24"/>
          <w:szCs w:val="24"/>
        </w:rPr>
        <w:t>(2), 40–49.</w:t>
      </w:r>
    </w:p>
    <w:p w14:paraId="4D362261" w14:textId="77777777" w:rsidR="00124C32" w:rsidRPr="00756ED3" w:rsidRDefault="00124C32">
      <w:pPr>
        <w:autoSpaceDE w:val="0"/>
        <w:autoSpaceDN w:val="0"/>
        <w:ind w:hanging="480"/>
        <w:divId w:val="215555944"/>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rPr>
        <w:t xml:space="preserve">Kessler, R. C., Barber, C., Beck, A., Berglund, P., Cleary, P. D., </w:t>
      </w:r>
      <w:proofErr w:type="spellStart"/>
      <w:r w:rsidRPr="00756ED3">
        <w:rPr>
          <w:rFonts w:ascii="Times New Roman" w:eastAsia="Times New Roman" w:hAnsi="Times New Roman" w:cs="Times New Roman"/>
          <w:sz w:val="24"/>
          <w:szCs w:val="24"/>
        </w:rPr>
        <w:t>McKenas</w:t>
      </w:r>
      <w:proofErr w:type="spellEnd"/>
      <w:r w:rsidRPr="00756ED3">
        <w:rPr>
          <w:rFonts w:ascii="Times New Roman" w:eastAsia="Times New Roman" w:hAnsi="Times New Roman" w:cs="Times New Roman"/>
          <w:sz w:val="24"/>
          <w:szCs w:val="24"/>
        </w:rPr>
        <w:t xml:space="preserve">, D., … Wang, P. (2003). The World Health Organization Health and Work Performance Questionnaire (HPQ). </w:t>
      </w:r>
      <w:r w:rsidRPr="00756ED3">
        <w:rPr>
          <w:rFonts w:ascii="Times New Roman" w:eastAsia="Times New Roman" w:hAnsi="Times New Roman" w:cs="Times New Roman"/>
          <w:i/>
          <w:iCs/>
          <w:sz w:val="24"/>
          <w:szCs w:val="24"/>
        </w:rPr>
        <w:t>Journal of Occupational and Environmental Medicine</w:t>
      </w:r>
      <w:r w:rsidRPr="00756ED3">
        <w:rPr>
          <w:rFonts w:ascii="Times New Roman" w:eastAsia="Times New Roman" w:hAnsi="Times New Roman" w:cs="Times New Roman"/>
          <w:sz w:val="24"/>
          <w:szCs w:val="24"/>
        </w:rPr>
        <w:t xml:space="preserve">, </w:t>
      </w:r>
      <w:r w:rsidRPr="00756ED3">
        <w:rPr>
          <w:rFonts w:ascii="Times New Roman" w:eastAsia="Times New Roman" w:hAnsi="Times New Roman" w:cs="Times New Roman"/>
          <w:i/>
          <w:iCs/>
          <w:sz w:val="24"/>
          <w:szCs w:val="24"/>
        </w:rPr>
        <w:t>45</w:t>
      </w:r>
      <w:r w:rsidRPr="00756ED3">
        <w:rPr>
          <w:rFonts w:ascii="Times New Roman" w:eastAsia="Times New Roman" w:hAnsi="Times New Roman" w:cs="Times New Roman"/>
          <w:sz w:val="24"/>
          <w:szCs w:val="24"/>
        </w:rPr>
        <w:t>(2), 156–174. https://doi.org/10.1097/01.jom.0000052967.43131.51</w:t>
      </w:r>
    </w:p>
    <w:p w14:paraId="30D1C5D8" w14:textId="77777777" w:rsidR="00124C32" w:rsidRPr="00756ED3" w:rsidRDefault="00124C32">
      <w:pPr>
        <w:autoSpaceDE w:val="0"/>
        <w:autoSpaceDN w:val="0"/>
        <w:ind w:hanging="480"/>
        <w:divId w:val="1937665066"/>
        <w:rPr>
          <w:rFonts w:ascii="Times New Roman" w:eastAsia="Times New Roman" w:hAnsi="Times New Roman" w:cs="Times New Roman"/>
          <w:sz w:val="24"/>
          <w:szCs w:val="24"/>
        </w:rPr>
      </w:pPr>
      <w:proofErr w:type="spellStart"/>
      <w:r w:rsidRPr="00756ED3">
        <w:rPr>
          <w:rFonts w:ascii="Times New Roman" w:eastAsia="Times New Roman" w:hAnsi="Times New Roman" w:cs="Times New Roman"/>
          <w:sz w:val="24"/>
          <w:szCs w:val="24"/>
        </w:rPr>
        <w:t>Kleinke</w:t>
      </w:r>
      <w:proofErr w:type="spellEnd"/>
      <w:r w:rsidRPr="00756ED3">
        <w:rPr>
          <w:rFonts w:ascii="Times New Roman" w:eastAsia="Times New Roman" w:hAnsi="Times New Roman" w:cs="Times New Roman"/>
          <w:sz w:val="24"/>
          <w:szCs w:val="24"/>
        </w:rPr>
        <w:t xml:space="preserve">, Kristian., Reinecke, </w:t>
      </w:r>
      <w:proofErr w:type="spellStart"/>
      <w:r w:rsidRPr="00756ED3">
        <w:rPr>
          <w:rFonts w:ascii="Times New Roman" w:eastAsia="Times New Roman" w:hAnsi="Times New Roman" w:cs="Times New Roman"/>
          <w:sz w:val="24"/>
          <w:szCs w:val="24"/>
        </w:rPr>
        <w:t>Jost</w:t>
      </w:r>
      <w:proofErr w:type="spellEnd"/>
      <w:r w:rsidRPr="00756ED3">
        <w:rPr>
          <w:rFonts w:ascii="Times New Roman" w:eastAsia="Times New Roman" w:hAnsi="Times New Roman" w:cs="Times New Roman"/>
          <w:sz w:val="24"/>
          <w:szCs w:val="24"/>
        </w:rPr>
        <w:t xml:space="preserve">., </w:t>
      </w:r>
      <w:proofErr w:type="spellStart"/>
      <w:r w:rsidRPr="00756ED3">
        <w:rPr>
          <w:rFonts w:ascii="Times New Roman" w:eastAsia="Times New Roman" w:hAnsi="Times New Roman" w:cs="Times New Roman"/>
          <w:sz w:val="24"/>
          <w:szCs w:val="24"/>
        </w:rPr>
        <w:t>Salfrán</w:t>
      </w:r>
      <w:proofErr w:type="spellEnd"/>
      <w:r w:rsidRPr="00756ED3">
        <w:rPr>
          <w:rFonts w:ascii="Times New Roman" w:eastAsia="Times New Roman" w:hAnsi="Times New Roman" w:cs="Times New Roman"/>
          <w:sz w:val="24"/>
          <w:szCs w:val="24"/>
        </w:rPr>
        <w:t xml:space="preserve">, Daniel., &amp; </w:t>
      </w:r>
      <w:proofErr w:type="spellStart"/>
      <w:r w:rsidRPr="00756ED3">
        <w:rPr>
          <w:rFonts w:ascii="Times New Roman" w:eastAsia="Times New Roman" w:hAnsi="Times New Roman" w:cs="Times New Roman"/>
          <w:sz w:val="24"/>
          <w:szCs w:val="24"/>
        </w:rPr>
        <w:t>Spiess</w:t>
      </w:r>
      <w:proofErr w:type="spellEnd"/>
      <w:r w:rsidRPr="00756ED3">
        <w:rPr>
          <w:rFonts w:ascii="Times New Roman" w:eastAsia="Times New Roman" w:hAnsi="Times New Roman" w:cs="Times New Roman"/>
          <w:sz w:val="24"/>
          <w:szCs w:val="24"/>
        </w:rPr>
        <w:t xml:space="preserve">, Martin. (2020). </w:t>
      </w:r>
      <w:r w:rsidRPr="00756ED3">
        <w:rPr>
          <w:rFonts w:ascii="Times New Roman" w:eastAsia="Times New Roman" w:hAnsi="Times New Roman" w:cs="Times New Roman"/>
          <w:i/>
          <w:iCs/>
          <w:sz w:val="24"/>
          <w:szCs w:val="24"/>
        </w:rPr>
        <w:t xml:space="preserve">Applied multiple </w:t>
      </w:r>
      <w:proofErr w:type="gramStart"/>
      <w:r w:rsidRPr="00756ED3">
        <w:rPr>
          <w:rFonts w:ascii="Times New Roman" w:eastAsia="Times New Roman" w:hAnsi="Times New Roman" w:cs="Times New Roman"/>
          <w:i/>
          <w:iCs/>
          <w:sz w:val="24"/>
          <w:szCs w:val="24"/>
        </w:rPr>
        <w:t>imputation :</w:t>
      </w:r>
      <w:proofErr w:type="gramEnd"/>
      <w:r w:rsidRPr="00756ED3">
        <w:rPr>
          <w:rFonts w:ascii="Times New Roman" w:eastAsia="Times New Roman" w:hAnsi="Times New Roman" w:cs="Times New Roman"/>
          <w:i/>
          <w:iCs/>
          <w:sz w:val="24"/>
          <w:szCs w:val="24"/>
        </w:rPr>
        <w:t xml:space="preserve"> advantages, pitfalls, new developments and applications in R</w:t>
      </w:r>
      <w:r w:rsidRPr="00756ED3">
        <w:rPr>
          <w:rFonts w:ascii="Times New Roman" w:eastAsia="Times New Roman" w:hAnsi="Times New Roman" w:cs="Times New Roman"/>
          <w:sz w:val="24"/>
          <w:szCs w:val="24"/>
        </w:rPr>
        <w:t>. Springer.</w:t>
      </w:r>
    </w:p>
    <w:p w14:paraId="7A9FCACE" w14:textId="77777777" w:rsidR="00124C32" w:rsidRPr="00756ED3" w:rsidRDefault="00124C32">
      <w:pPr>
        <w:autoSpaceDE w:val="0"/>
        <w:autoSpaceDN w:val="0"/>
        <w:ind w:hanging="480"/>
        <w:divId w:val="1032153203"/>
        <w:rPr>
          <w:rFonts w:ascii="Times New Roman" w:eastAsia="Times New Roman" w:hAnsi="Times New Roman" w:cs="Times New Roman"/>
          <w:sz w:val="24"/>
          <w:szCs w:val="24"/>
        </w:rPr>
      </w:pPr>
      <w:proofErr w:type="spellStart"/>
      <w:r w:rsidRPr="00756ED3">
        <w:rPr>
          <w:rFonts w:ascii="Times New Roman" w:eastAsia="Times New Roman" w:hAnsi="Times New Roman" w:cs="Times New Roman"/>
          <w:sz w:val="24"/>
          <w:szCs w:val="24"/>
        </w:rPr>
        <w:t>Koopmanschap</w:t>
      </w:r>
      <w:proofErr w:type="spellEnd"/>
      <w:r w:rsidRPr="00756ED3">
        <w:rPr>
          <w:rFonts w:ascii="Times New Roman" w:eastAsia="Times New Roman" w:hAnsi="Times New Roman" w:cs="Times New Roman"/>
          <w:sz w:val="24"/>
          <w:szCs w:val="24"/>
        </w:rPr>
        <w:t xml:space="preserve">, M. A., Rutten, F. F., van </w:t>
      </w:r>
      <w:proofErr w:type="spellStart"/>
      <w:r w:rsidRPr="00756ED3">
        <w:rPr>
          <w:rFonts w:ascii="Times New Roman" w:eastAsia="Times New Roman" w:hAnsi="Times New Roman" w:cs="Times New Roman"/>
          <w:sz w:val="24"/>
          <w:szCs w:val="24"/>
        </w:rPr>
        <w:t>Ineveld</w:t>
      </w:r>
      <w:proofErr w:type="spellEnd"/>
      <w:r w:rsidRPr="00756ED3">
        <w:rPr>
          <w:rFonts w:ascii="Times New Roman" w:eastAsia="Times New Roman" w:hAnsi="Times New Roman" w:cs="Times New Roman"/>
          <w:sz w:val="24"/>
          <w:szCs w:val="24"/>
        </w:rPr>
        <w:t xml:space="preserve">, M. B., &amp; van </w:t>
      </w:r>
      <w:proofErr w:type="spellStart"/>
      <w:r w:rsidRPr="00756ED3">
        <w:rPr>
          <w:rFonts w:ascii="Times New Roman" w:eastAsia="Times New Roman" w:hAnsi="Times New Roman" w:cs="Times New Roman"/>
          <w:sz w:val="24"/>
          <w:szCs w:val="24"/>
        </w:rPr>
        <w:t>Roijen</w:t>
      </w:r>
      <w:proofErr w:type="spellEnd"/>
      <w:r w:rsidRPr="00756ED3">
        <w:rPr>
          <w:rFonts w:ascii="Times New Roman" w:eastAsia="Times New Roman" w:hAnsi="Times New Roman" w:cs="Times New Roman"/>
          <w:sz w:val="24"/>
          <w:szCs w:val="24"/>
        </w:rPr>
        <w:t xml:space="preserve">, L. (1995). The friction cost method for measuring indirect costs of disease. </w:t>
      </w:r>
      <w:r w:rsidRPr="00756ED3">
        <w:rPr>
          <w:rFonts w:ascii="Times New Roman" w:eastAsia="Times New Roman" w:hAnsi="Times New Roman" w:cs="Times New Roman"/>
          <w:i/>
          <w:iCs/>
          <w:sz w:val="24"/>
          <w:szCs w:val="24"/>
        </w:rPr>
        <w:t>Journal of Health Economics</w:t>
      </w:r>
      <w:r w:rsidRPr="00756ED3">
        <w:rPr>
          <w:rFonts w:ascii="Times New Roman" w:eastAsia="Times New Roman" w:hAnsi="Times New Roman" w:cs="Times New Roman"/>
          <w:sz w:val="24"/>
          <w:szCs w:val="24"/>
        </w:rPr>
        <w:t xml:space="preserve">, </w:t>
      </w:r>
      <w:r w:rsidRPr="00756ED3">
        <w:rPr>
          <w:rFonts w:ascii="Times New Roman" w:eastAsia="Times New Roman" w:hAnsi="Times New Roman" w:cs="Times New Roman"/>
          <w:i/>
          <w:iCs/>
          <w:sz w:val="24"/>
          <w:szCs w:val="24"/>
        </w:rPr>
        <w:t>14</w:t>
      </w:r>
      <w:r w:rsidRPr="00756ED3">
        <w:rPr>
          <w:rFonts w:ascii="Times New Roman" w:eastAsia="Times New Roman" w:hAnsi="Times New Roman" w:cs="Times New Roman"/>
          <w:sz w:val="24"/>
          <w:szCs w:val="24"/>
        </w:rPr>
        <w:t>, 171–189. https://doi.org/10.1016/0167-6296(94)00044-5</w:t>
      </w:r>
    </w:p>
    <w:p w14:paraId="5F342AC8" w14:textId="77777777" w:rsidR="00124C32" w:rsidRPr="00756ED3" w:rsidRDefault="00124C32">
      <w:pPr>
        <w:autoSpaceDE w:val="0"/>
        <w:autoSpaceDN w:val="0"/>
        <w:ind w:hanging="480"/>
        <w:divId w:val="772433090"/>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rPr>
        <w:lastRenderedPageBreak/>
        <w:t xml:space="preserve">Lamoureux-Lamarche, C., Vasiliadis, H.-M., </w:t>
      </w:r>
      <w:proofErr w:type="spellStart"/>
      <w:r w:rsidRPr="00756ED3">
        <w:rPr>
          <w:rFonts w:ascii="Times New Roman" w:eastAsia="Times New Roman" w:hAnsi="Times New Roman" w:cs="Times New Roman"/>
          <w:sz w:val="24"/>
          <w:szCs w:val="24"/>
        </w:rPr>
        <w:t>Préville</w:t>
      </w:r>
      <w:proofErr w:type="spellEnd"/>
      <w:r w:rsidRPr="00756ED3">
        <w:rPr>
          <w:rFonts w:ascii="Times New Roman" w:eastAsia="Times New Roman" w:hAnsi="Times New Roman" w:cs="Times New Roman"/>
          <w:sz w:val="24"/>
          <w:szCs w:val="24"/>
        </w:rPr>
        <w:t xml:space="preserve">, M., &amp; Berbiche, D. (2016). Healthcare use and costs associated with post-traumatic stress syndrome in a community sample of older adults: Results from the ESA-Services study. </w:t>
      </w:r>
      <w:r w:rsidRPr="00756ED3">
        <w:rPr>
          <w:rFonts w:ascii="Times New Roman" w:eastAsia="Times New Roman" w:hAnsi="Times New Roman" w:cs="Times New Roman"/>
          <w:i/>
          <w:iCs/>
          <w:sz w:val="24"/>
          <w:szCs w:val="24"/>
        </w:rPr>
        <w:t>International Psychogeriatrics</w:t>
      </w:r>
      <w:r w:rsidRPr="00756ED3">
        <w:rPr>
          <w:rFonts w:ascii="Times New Roman" w:eastAsia="Times New Roman" w:hAnsi="Times New Roman" w:cs="Times New Roman"/>
          <w:sz w:val="24"/>
          <w:szCs w:val="24"/>
        </w:rPr>
        <w:t xml:space="preserve">, </w:t>
      </w:r>
      <w:r w:rsidRPr="00756ED3">
        <w:rPr>
          <w:rFonts w:ascii="Times New Roman" w:eastAsia="Times New Roman" w:hAnsi="Times New Roman" w:cs="Times New Roman"/>
          <w:i/>
          <w:iCs/>
          <w:sz w:val="24"/>
          <w:szCs w:val="24"/>
        </w:rPr>
        <w:t>28</w:t>
      </w:r>
      <w:r w:rsidRPr="00756ED3">
        <w:rPr>
          <w:rFonts w:ascii="Times New Roman" w:eastAsia="Times New Roman" w:hAnsi="Times New Roman" w:cs="Times New Roman"/>
          <w:sz w:val="24"/>
          <w:szCs w:val="24"/>
        </w:rPr>
        <w:t>(6), 903–911. https://doi.org/10.1017/S1041610215001775</w:t>
      </w:r>
    </w:p>
    <w:p w14:paraId="6F5A34DD" w14:textId="77777777" w:rsidR="00124C32" w:rsidRPr="00756ED3" w:rsidRDefault="00124C32">
      <w:pPr>
        <w:autoSpaceDE w:val="0"/>
        <w:autoSpaceDN w:val="0"/>
        <w:ind w:hanging="480"/>
        <w:divId w:val="224418554"/>
        <w:rPr>
          <w:rFonts w:ascii="Times New Roman" w:eastAsia="Times New Roman" w:hAnsi="Times New Roman" w:cs="Times New Roman"/>
          <w:sz w:val="24"/>
          <w:szCs w:val="24"/>
          <w:lang w:val="fr-CA"/>
        </w:rPr>
      </w:pPr>
      <w:r w:rsidRPr="00756ED3">
        <w:rPr>
          <w:rFonts w:ascii="Times New Roman" w:eastAsia="Times New Roman" w:hAnsi="Times New Roman" w:cs="Times New Roman"/>
          <w:sz w:val="24"/>
          <w:szCs w:val="24"/>
        </w:rPr>
        <w:t xml:space="preserve">Marshall, A., Altman, D. G., Holder, R. L., &amp; Royston, P. (2009). Combining estimates of interest in prognostic modelling studies after multiple imputation: Current practice and guidelines. </w:t>
      </w:r>
      <w:r w:rsidRPr="00756ED3">
        <w:rPr>
          <w:rFonts w:ascii="Times New Roman" w:eastAsia="Times New Roman" w:hAnsi="Times New Roman" w:cs="Times New Roman"/>
          <w:i/>
          <w:iCs/>
          <w:sz w:val="24"/>
          <w:szCs w:val="24"/>
          <w:lang w:val="fr-CA"/>
        </w:rPr>
        <w:t xml:space="preserve">BMC </w:t>
      </w:r>
      <w:proofErr w:type="spellStart"/>
      <w:r w:rsidRPr="00756ED3">
        <w:rPr>
          <w:rFonts w:ascii="Times New Roman" w:eastAsia="Times New Roman" w:hAnsi="Times New Roman" w:cs="Times New Roman"/>
          <w:i/>
          <w:iCs/>
          <w:sz w:val="24"/>
          <w:szCs w:val="24"/>
          <w:lang w:val="fr-CA"/>
        </w:rPr>
        <w:t>Medical</w:t>
      </w:r>
      <w:proofErr w:type="spellEnd"/>
      <w:r w:rsidRPr="00756ED3">
        <w:rPr>
          <w:rFonts w:ascii="Times New Roman" w:eastAsia="Times New Roman" w:hAnsi="Times New Roman" w:cs="Times New Roman"/>
          <w:i/>
          <w:iCs/>
          <w:sz w:val="24"/>
          <w:szCs w:val="24"/>
          <w:lang w:val="fr-CA"/>
        </w:rPr>
        <w:t xml:space="preserve"> </w:t>
      </w:r>
      <w:proofErr w:type="spellStart"/>
      <w:r w:rsidRPr="00756ED3">
        <w:rPr>
          <w:rFonts w:ascii="Times New Roman" w:eastAsia="Times New Roman" w:hAnsi="Times New Roman" w:cs="Times New Roman"/>
          <w:i/>
          <w:iCs/>
          <w:sz w:val="24"/>
          <w:szCs w:val="24"/>
          <w:lang w:val="fr-CA"/>
        </w:rPr>
        <w:t>Research</w:t>
      </w:r>
      <w:proofErr w:type="spellEnd"/>
      <w:r w:rsidRPr="00756ED3">
        <w:rPr>
          <w:rFonts w:ascii="Times New Roman" w:eastAsia="Times New Roman" w:hAnsi="Times New Roman" w:cs="Times New Roman"/>
          <w:i/>
          <w:iCs/>
          <w:sz w:val="24"/>
          <w:szCs w:val="24"/>
          <w:lang w:val="fr-CA"/>
        </w:rPr>
        <w:t xml:space="preserve"> </w:t>
      </w:r>
      <w:proofErr w:type="spellStart"/>
      <w:r w:rsidRPr="00756ED3">
        <w:rPr>
          <w:rFonts w:ascii="Times New Roman" w:eastAsia="Times New Roman" w:hAnsi="Times New Roman" w:cs="Times New Roman"/>
          <w:i/>
          <w:iCs/>
          <w:sz w:val="24"/>
          <w:szCs w:val="24"/>
          <w:lang w:val="fr-CA"/>
        </w:rPr>
        <w:t>Methodology</w:t>
      </w:r>
      <w:proofErr w:type="spellEnd"/>
      <w:r w:rsidRPr="00756ED3">
        <w:rPr>
          <w:rFonts w:ascii="Times New Roman" w:eastAsia="Times New Roman" w:hAnsi="Times New Roman" w:cs="Times New Roman"/>
          <w:sz w:val="24"/>
          <w:szCs w:val="24"/>
          <w:lang w:val="fr-CA"/>
        </w:rPr>
        <w:t xml:space="preserve">, </w:t>
      </w:r>
      <w:r w:rsidRPr="00756ED3">
        <w:rPr>
          <w:rFonts w:ascii="Times New Roman" w:eastAsia="Times New Roman" w:hAnsi="Times New Roman" w:cs="Times New Roman"/>
          <w:i/>
          <w:iCs/>
          <w:sz w:val="24"/>
          <w:szCs w:val="24"/>
          <w:lang w:val="fr-CA"/>
        </w:rPr>
        <w:t>9</w:t>
      </w:r>
      <w:r w:rsidRPr="00756ED3">
        <w:rPr>
          <w:rFonts w:ascii="Times New Roman" w:eastAsia="Times New Roman" w:hAnsi="Times New Roman" w:cs="Times New Roman"/>
          <w:sz w:val="24"/>
          <w:szCs w:val="24"/>
          <w:lang w:val="fr-CA"/>
        </w:rPr>
        <w:t>, 57. https://doi.org/10.1186/1471-2288-9-57</w:t>
      </w:r>
    </w:p>
    <w:p w14:paraId="72AAE5F0" w14:textId="77777777" w:rsidR="00124C32" w:rsidRPr="00756ED3" w:rsidRDefault="00124C32">
      <w:pPr>
        <w:autoSpaceDE w:val="0"/>
        <w:autoSpaceDN w:val="0"/>
        <w:ind w:hanging="480"/>
        <w:divId w:val="1410272135"/>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lang w:val="fr-CA"/>
        </w:rPr>
        <w:t xml:space="preserve">Ministère de la Santé et des Services sociaux. (2017a). AS-471 – Rapports financiers annuels des établissements. </w:t>
      </w:r>
      <w:r w:rsidRPr="00756ED3">
        <w:rPr>
          <w:rFonts w:ascii="Times New Roman" w:eastAsia="Times New Roman" w:hAnsi="Times New Roman" w:cs="Times New Roman"/>
          <w:sz w:val="24"/>
          <w:szCs w:val="24"/>
        </w:rPr>
        <w:t>Retrieved from https://www.donneesquebec.ca/recherche/fr/dataset/as-471-rapports-financiers-annuels-des-etablissements/resource/380f531c-7066-4d89-a873-9470e9ed0558</w:t>
      </w:r>
    </w:p>
    <w:p w14:paraId="21441882" w14:textId="77777777" w:rsidR="00124C32" w:rsidRPr="00756ED3" w:rsidRDefault="00124C32">
      <w:pPr>
        <w:autoSpaceDE w:val="0"/>
        <w:autoSpaceDN w:val="0"/>
        <w:ind w:hanging="480"/>
        <w:divId w:val="904756136"/>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lang w:val="fr-CA"/>
        </w:rPr>
        <w:t xml:space="preserve">Ministère de la Santé et des Services sociaux. </w:t>
      </w:r>
      <w:r w:rsidRPr="00756ED3">
        <w:rPr>
          <w:rFonts w:ascii="Times New Roman" w:eastAsia="Times New Roman" w:hAnsi="Times New Roman" w:cs="Times New Roman"/>
          <w:sz w:val="24"/>
          <w:szCs w:val="24"/>
        </w:rPr>
        <w:t xml:space="preserve">(2017b). </w:t>
      </w:r>
      <w:r w:rsidRPr="00756ED3">
        <w:rPr>
          <w:rFonts w:ascii="Times New Roman" w:eastAsia="Times New Roman" w:hAnsi="Times New Roman" w:cs="Times New Roman"/>
          <w:i/>
          <w:iCs/>
          <w:sz w:val="24"/>
          <w:szCs w:val="24"/>
        </w:rPr>
        <w:t xml:space="preserve">Rapports </w:t>
      </w:r>
      <w:proofErr w:type="spellStart"/>
      <w:r w:rsidRPr="00756ED3">
        <w:rPr>
          <w:rFonts w:ascii="Times New Roman" w:eastAsia="Times New Roman" w:hAnsi="Times New Roman" w:cs="Times New Roman"/>
          <w:i/>
          <w:iCs/>
          <w:sz w:val="24"/>
          <w:szCs w:val="24"/>
        </w:rPr>
        <w:t>statistiques</w:t>
      </w:r>
      <w:proofErr w:type="spellEnd"/>
      <w:r w:rsidRPr="00756ED3">
        <w:rPr>
          <w:rFonts w:ascii="Times New Roman" w:eastAsia="Times New Roman" w:hAnsi="Times New Roman" w:cs="Times New Roman"/>
          <w:i/>
          <w:iCs/>
          <w:sz w:val="24"/>
          <w:szCs w:val="24"/>
        </w:rPr>
        <w:t xml:space="preserve"> </w:t>
      </w:r>
      <w:proofErr w:type="spellStart"/>
      <w:r w:rsidRPr="00756ED3">
        <w:rPr>
          <w:rFonts w:ascii="Times New Roman" w:eastAsia="Times New Roman" w:hAnsi="Times New Roman" w:cs="Times New Roman"/>
          <w:i/>
          <w:iCs/>
          <w:sz w:val="24"/>
          <w:szCs w:val="24"/>
        </w:rPr>
        <w:t>annuels</w:t>
      </w:r>
      <w:proofErr w:type="spellEnd"/>
      <w:r w:rsidRPr="00756ED3">
        <w:rPr>
          <w:rFonts w:ascii="Times New Roman" w:eastAsia="Times New Roman" w:hAnsi="Times New Roman" w:cs="Times New Roman"/>
          <w:i/>
          <w:iCs/>
          <w:sz w:val="24"/>
          <w:szCs w:val="24"/>
        </w:rPr>
        <w:t xml:space="preserve"> des CH, CHSLD et CLSC 2016-2017 [Annual statistical reports of the CH, CHSLD and CLSC 2016-2017]</w:t>
      </w:r>
      <w:r w:rsidRPr="00756ED3">
        <w:rPr>
          <w:rFonts w:ascii="Times New Roman" w:eastAsia="Times New Roman" w:hAnsi="Times New Roman" w:cs="Times New Roman"/>
          <w:sz w:val="24"/>
          <w:szCs w:val="24"/>
        </w:rPr>
        <w:t>. Retrieved from https://publications.msss.gouv.qc.ca/msss/document-001972/</w:t>
      </w:r>
    </w:p>
    <w:p w14:paraId="4C6CF17E" w14:textId="77777777" w:rsidR="00124C32" w:rsidRPr="00756ED3" w:rsidRDefault="00124C32">
      <w:pPr>
        <w:autoSpaceDE w:val="0"/>
        <w:autoSpaceDN w:val="0"/>
        <w:ind w:hanging="480"/>
        <w:divId w:val="1976520629"/>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lang w:val="fr-CA"/>
        </w:rPr>
        <w:t xml:space="preserve">Ordre des travailleurs sociaux et des thérapeutes conjugaux et familiaux du Québec. </w:t>
      </w:r>
      <w:r w:rsidRPr="00756ED3">
        <w:rPr>
          <w:rFonts w:ascii="Times New Roman" w:eastAsia="Times New Roman" w:hAnsi="Times New Roman" w:cs="Times New Roman"/>
          <w:sz w:val="24"/>
          <w:szCs w:val="24"/>
        </w:rPr>
        <w:t xml:space="preserve">(2021). </w:t>
      </w:r>
      <w:proofErr w:type="spellStart"/>
      <w:r w:rsidRPr="00756ED3">
        <w:rPr>
          <w:rFonts w:ascii="Times New Roman" w:eastAsia="Times New Roman" w:hAnsi="Times New Roman" w:cs="Times New Roman"/>
          <w:sz w:val="24"/>
          <w:szCs w:val="24"/>
        </w:rPr>
        <w:t>L’humain</w:t>
      </w:r>
      <w:proofErr w:type="spellEnd"/>
      <w:r w:rsidRPr="00756ED3">
        <w:rPr>
          <w:rFonts w:ascii="Times New Roman" w:eastAsia="Times New Roman" w:hAnsi="Times New Roman" w:cs="Times New Roman"/>
          <w:sz w:val="24"/>
          <w:szCs w:val="24"/>
        </w:rPr>
        <w:t xml:space="preserve"> </w:t>
      </w:r>
      <w:proofErr w:type="spellStart"/>
      <w:r w:rsidRPr="00756ED3">
        <w:rPr>
          <w:rFonts w:ascii="Times New Roman" w:eastAsia="Times New Roman" w:hAnsi="Times New Roman" w:cs="Times New Roman"/>
          <w:sz w:val="24"/>
          <w:szCs w:val="24"/>
        </w:rPr>
        <w:t>avant</w:t>
      </w:r>
      <w:proofErr w:type="spellEnd"/>
      <w:r w:rsidRPr="00756ED3">
        <w:rPr>
          <w:rFonts w:ascii="Times New Roman" w:eastAsia="Times New Roman" w:hAnsi="Times New Roman" w:cs="Times New Roman"/>
          <w:sz w:val="24"/>
          <w:szCs w:val="24"/>
        </w:rPr>
        <w:t xml:space="preserve"> tout [The human being above all]. Retrieved February 9, 2021, from https://www1.otstcfq.org/</w:t>
      </w:r>
    </w:p>
    <w:p w14:paraId="0A794671" w14:textId="77777777" w:rsidR="00124C32" w:rsidRPr="00756ED3" w:rsidRDefault="00124C32">
      <w:pPr>
        <w:autoSpaceDE w:val="0"/>
        <w:autoSpaceDN w:val="0"/>
        <w:ind w:hanging="480"/>
        <w:divId w:val="1728141513"/>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lang w:val="fr-CA"/>
        </w:rPr>
        <w:t xml:space="preserve">Régie de l’assurance maladie du Québec. </w:t>
      </w:r>
      <w:r w:rsidRPr="00756ED3">
        <w:rPr>
          <w:rFonts w:ascii="Times New Roman" w:eastAsia="Times New Roman" w:hAnsi="Times New Roman" w:cs="Times New Roman"/>
          <w:sz w:val="24"/>
          <w:szCs w:val="24"/>
        </w:rPr>
        <w:t xml:space="preserve">(2016a). Manuel des </w:t>
      </w:r>
      <w:proofErr w:type="spellStart"/>
      <w:r w:rsidRPr="00756ED3">
        <w:rPr>
          <w:rFonts w:ascii="Times New Roman" w:eastAsia="Times New Roman" w:hAnsi="Times New Roman" w:cs="Times New Roman"/>
          <w:sz w:val="24"/>
          <w:szCs w:val="24"/>
        </w:rPr>
        <w:t>médecins</w:t>
      </w:r>
      <w:proofErr w:type="spellEnd"/>
      <w:r w:rsidRPr="00756ED3">
        <w:rPr>
          <w:rFonts w:ascii="Times New Roman" w:eastAsia="Times New Roman" w:hAnsi="Times New Roman" w:cs="Times New Roman"/>
          <w:sz w:val="24"/>
          <w:szCs w:val="24"/>
        </w:rPr>
        <w:t xml:space="preserve"> </w:t>
      </w:r>
      <w:proofErr w:type="spellStart"/>
      <w:r w:rsidRPr="00756ED3">
        <w:rPr>
          <w:rFonts w:ascii="Times New Roman" w:eastAsia="Times New Roman" w:hAnsi="Times New Roman" w:cs="Times New Roman"/>
          <w:sz w:val="24"/>
          <w:szCs w:val="24"/>
        </w:rPr>
        <w:t>omnipraticiens</w:t>
      </w:r>
      <w:proofErr w:type="spellEnd"/>
      <w:r w:rsidRPr="00756ED3">
        <w:rPr>
          <w:rFonts w:ascii="Times New Roman" w:eastAsia="Times New Roman" w:hAnsi="Times New Roman" w:cs="Times New Roman"/>
          <w:sz w:val="24"/>
          <w:szCs w:val="24"/>
        </w:rPr>
        <w:t xml:space="preserve"> (n 100) [General practitioners’ manual (n 100)]. Retrieved July 26, 2020, from https://www.ramq.gouv.qc.ca/SiteCollectionDocuments/professionnels/manuels/100-facturation-omnipraticiens/000_complet_acte_omni.pdf</w:t>
      </w:r>
    </w:p>
    <w:p w14:paraId="69902475" w14:textId="77777777" w:rsidR="00124C32" w:rsidRPr="00756ED3" w:rsidRDefault="00124C32">
      <w:pPr>
        <w:autoSpaceDE w:val="0"/>
        <w:autoSpaceDN w:val="0"/>
        <w:ind w:hanging="480"/>
        <w:divId w:val="1209680394"/>
        <w:rPr>
          <w:rFonts w:ascii="Times New Roman" w:eastAsia="Times New Roman" w:hAnsi="Times New Roman" w:cs="Times New Roman"/>
          <w:sz w:val="24"/>
          <w:szCs w:val="24"/>
          <w:lang w:val="fr-CA"/>
        </w:rPr>
      </w:pPr>
      <w:r w:rsidRPr="00756ED3">
        <w:rPr>
          <w:rFonts w:ascii="Times New Roman" w:eastAsia="Times New Roman" w:hAnsi="Times New Roman" w:cs="Times New Roman"/>
          <w:sz w:val="24"/>
          <w:szCs w:val="24"/>
          <w:lang w:val="fr-CA"/>
        </w:rPr>
        <w:t>Régie de l’assurance maladie du Québec. (2016b). Manuel des médecins spécialistes (MAJ89) [</w:t>
      </w:r>
      <w:proofErr w:type="spellStart"/>
      <w:r w:rsidRPr="00756ED3">
        <w:rPr>
          <w:rFonts w:ascii="Times New Roman" w:eastAsia="Times New Roman" w:hAnsi="Times New Roman" w:cs="Times New Roman"/>
          <w:sz w:val="24"/>
          <w:szCs w:val="24"/>
          <w:lang w:val="fr-CA"/>
        </w:rPr>
        <w:t>Specialist</w:t>
      </w:r>
      <w:proofErr w:type="spellEnd"/>
      <w:r w:rsidRPr="00756ED3">
        <w:rPr>
          <w:rFonts w:ascii="Times New Roman" w:eastAsia="Times New Roman" w:hAnsi="Times New Roman" w:cs="Times New Roman"/>
          <w:sz w:val="24"/>
          <w:szCs w:val="24"/>
          <w:lang w:val="fr-CA"/>
        </w:rPr>
        <w:t xml:space="preserve"> </w:t>
      </w:r>
      <w:proofErr w:type="spellStart"/>
      <w:r w:rsidRPr="00756ED3">
        <w:rPr>
          <w:rFonts w:ascii="Times New Roman" w:eastAsia="Times New Roman" w:hAnsi="Times New Roman" w:cs="Times New Roman"/>
          <w:sz w:val="24"/>
          <w:szCs w:val="24"/>
          <w:lang w:val="fr-CA"/>
        </w:rPr>
        <w:t>physicians</w:t>
      </w:r>
      <w:proofErr w:type="spellEnd"/>
      <w:r w:rsidRPr="00756ED3">
        <w:rPr>
          <w:rFonts w:ascii="Times New Roman" w:eastAsia="Times New Roman" w:hAnsi="Times New Roman" w:cs="Times New Roman"/>
          <w:sz w:val="24"/>
          <w:szCs w:val="24"/>
          <w:lang w:val="fr-CA"/>
        </w:rPr>
        <w:t xml:space="preserve">’ </w:t>
      </w:r>
      <w:proofErr w:type="spellStart"/>
      <w:r w:rsidRPr="00756ED3">
        <w:rPr>
          <w:rFonts w:ascii="Times New Roman" w:eastAsia="Times New Roman" w:hAnsi="Times New Roman" w:cs="Times New Roman"/>
          <w:sz w:val="24"/>
          <w:szCs w:val="24"/>
          <w:lang w:val="fr-CA"/>
        </w:rPr>
        <w:t>manual</w:t>
      </w:r>
      <w:proofErr w:type="spellEnd"/>
      <w:r w:rsidRPr="00756ED3">
        <w:rPr>
          <w:rFonts w:ascii="Times New Roman" w:eastAsia="Times New Roman" w:hAnsi="Times New Roman" w:cs="Times New Roman"/>
          <w:sz w:val="24"/>
          <w:szCs w:val="24"/>
          <w:lang w:val="fr-CA"/>
        </w:rPr>
        <w:t xml:space="preserve"> (MAJ89)]. </w:t>
      </w:r>
      <w:proofErr w:type="spellStart"/>
      <w:r w:rsidRPr="00756ED3">
        <w:rPr>
          <w:rFonts w:ascii="Times New Roman" w:eastAsia="Times New Roman" w:hAnsi="Times New Roman" w:cs="Times New Roman"/>
          <w:sz w:val="24"/>
          <w:szCs w:val="24"/>
          <w:lang w:val="fr-CA"/>
        </w:rPr>
        <w:t>Retrieved</w:t>
      </w:r>
      <w:proofErr w:type="spellEnd"/>
      <w:r w:rsidRPr="00756ED3">
        <w:rPr>
          <w:rFonts w:ascii="Times New Roman" w:eastAsia="Times New Roman" w:hAnsi="Times New Roman" w:cs="Times New Roman"/>
          <w:sz w:val="24"/>
          <w:szCs w:val="24"/>
          <w:lang w:val="fr-CA"/>
        </w:rPr>
        <w:t xml:space="preserve"> July 26, 2020, </w:t>
      </w:r>
      <w:proofErr w:type="spellStart"/>
      <w:r w:rsidRPr="00756ED3">
        <w:rPr>
          <w:rFonts w:ascii="Times New Roman" w:eastAsia="Times New Roman" w:hAnsi="Times New Roman" w:cs="Times New Roman"/>
          <w:sz w:val="24"/>
          <w:szCs w:val="24"/>
          <w:lang w:val="fr-CA"/>
        </w:rPr>
        <w:t>from</w:t>
      </w:r>
      <w:proofErr w:type="spellEnd"/>
      <w:r w:rsidRPr="00756ED3">
        <w:rPr>
          <w:rFonts w:ascii="Times New Roman" w:eastAsia="Times New Roman" w:hAnsi="Times New Roman" w:cs="Times New Roman"/>
          <w:sz w:val="24"/>
          <w:szCs w:val="24"/>
          <w:lang w:val="fr-CA"/>
        </w:rPr>
        <w:t xml:space="preserve"> http://collections.banq.qc.ca/ark:/52327/bs2580637</w:t>
      </w:r>
    </w:p>
    <w:p w14:paraId="59D37A50" w14:textId="77777777" w:rsidR="00124C32" w:rsidRPr="00756ED3" w:rsidRDefault="00124C32">
      <w:pPr>
        <w:autoSpaceDE w:val="0"/>
        <w:autoSpaceDN w:val="0"/>
        <w:ind w:hanging="480"/>
        <w:divId w:val="89664297"/>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lang w:val="fr-CA"/>
        </w:rPr>
        <w:t>Régie de l’assurance maladie du Québec. (2017). Manuel des pharmaciens [</w:t>
      </w:r>
      <w:proofErr w:type="spellStart"/>
      <w:r w:rsidRPr="00756ED3">
        <w:rPr>
          <w:rFonts w:ascii="Times New Roman" w:eastAsia="Times New Roman" w:hAnsi="Times New Roman" w:cs="Times New Roman"/>
          <w:sz w:val="24"/>
          <w:szCs w:val="24"/>
          <w:lang w:val="fr-CA"/>
        </w:rPr>
        <w:t>Pharmacist’s</w:t>
      </w:r>
      <w:proofErr w:type="spellEnd"/>
      <w:r w:rsidRPr="00756ED3">
        <w:rPr>
          <w:rFonts w:ascii="Times New Roman" w:eastAsia="Times New Roman" w:hAnsi="Times New Roman" w:cs="Times New Roman"/>
          <w:sz w:val="24"/>
          <w:szCs w:val="24"/>
          <w:lang w:val="fr-CA"/>
        </w:rPr>
        <w:t xml:space="preserve"> </w:t>
      </w:r>
      <w:proofErr w:type="spellStart"/>
      <w:r w:rsidRPr="00756ED3">
        <w:rPr>
          <w:rFonts w:ascii="Times New Roman" w:eastAsia="Times New Roman" w:hAnsi="Times New Roman" w:cs="Times New Roman"/>
          <w:sz w:val="24"/>
          <w:szCs w:val="24"/>
          <w:lang w:val="fr-CA"/>
        </w:rPr>
        <w:t>manual</w:t>
      </w:r>
      <w:proofErr w:type="spellEnd"/>
      <w:r w:rsidRPr="00756ED3">
        <w:rPr>
          <w:rFonts w:ascii="Times New Roman" w:eastAsia="Times New Roman" w:hAnsi="Times New Roman" w:cs="Times New Roman"/>
          <w:sz w:val="24"/>
          <w:szCs w:val="24"/>
          <w:lang w:val="fr-CA"/>
        </w:rPr>
        <w:t xml:space="preserve">]. </w:t>
      </w:r>
      <w:r w:rsidRPr="00756ED3">
        <w:rPr>
          <w:rFonts w:ascii="Times New Roman" w:eastAsia="Times New Roman" w:hAnsi="Times New Roman" w:cs="Times New Roman"/>
          <w:sz w:val="24"/>
          <w:szCs w:val="24"/>
        </w:rPr>
        <w:t>Retrieved July 27, 2020, from https://www.ramq.gouv.qc.ca/SiteCollectionDocuments/professionnels/manuels/260-pharmaciens/maj37_pharm.pdf</w:t>
      </w:r>
    </w:p>
    <w:p w14:paraId="210838CA" w14:textId="77777777" w:rsidR="00124C32" w:rsidRPr="00756ED3" w:rsidRDefault="00124C32">
      <w:pPr>
        <w:autoSpaceDE w:val="0"/>
        <w:autoSpaceDN w:val="0"/>
        <w:ind w:hanging="480"/>
        <w:divId w:val="1216620870"/>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lang w:val="fr-CA"/>
        </w:rPr>
        <w:t xml:space="preserve">Régie de l’assurance maladie du Québec. </w:t>
      </w:r>
      <w:r w:rsidRPr="00756ED3">
        <w:rPr>
          <w:rFonts w:ascii="Times New Roman" w:eastAsia="Times New Roman" w:hAnsi="Times New Roman" w:cs="Times New Roman"/>
          <w:sz w:val="24"/>
          <w:szCs w:val="24"/>
        </w:rPr>
        <w:t xml:space="preserve">(2018). </w:t>
      </w:r>
      <w:proofErr w:type="spellStart"/>
      <w:r w:rsidRPr="00756ED3">
        <w:rPr>
          <w:rFonts w:ascii="Times New Roman" w:eastAsia="Times New Roman" w:hAnsi="Times New Roman" w:cs="Times New Roman"/>
          <w:sz w:val="24"/>
          <w:szCs w:val="24"/>
        </w:rPr>
        <w:t>Liste</w:t>
      </w:r>
      <w:proofErr w:type="spellEnd"/>
      <w:r w:rsidRPr="00756ED3">
        <w:rPr>
          <w:rFonts w:ascii="Times New Roman" w:eastAsia="Times New Roman" w:hAnsi="Times New Roman" w:cs="Times New Roman"/>
          <w:sz w:val="24"/>
          <w:szCs w:val="24"/>
        </w:rPr>
        <w:t xml:space="preserve"> des </w:t>
      </w:r>
      <w:proofErr w:type="spellStart"/>
      <w:r w:rsidRPr="00756ED3">
        <w:rPr>
          <w:rFonts w:ascii="Times New Roman" w:eastAsia="Times New Roman" w:hAnsi="Times New Roman" w:cs="Times New Roman"/>
          <w:sz w:val="24"/>
          <w:szCs w:val="24"/>
        </w:rPr>
        <w:t>médicaments</w:t>
      </w:r>
      <w:proofErr w:type="spellEnd"/>
      <w:r w:rsidRPr="00756ED3">
        <w:rPr>
          <w:rFonts w:ascii="Times New Roman" w:eastAsia="Times New Roman" w:hAnsi="Times New Roman" w:cs="Times New Roman"/>
          <w:sz w:val="24"/>
          <w:szCs w:val="24"/>
        </w:rPr>
        <w:t>. Retrieved July 27, 2020, from https://www.ramq.gouv.qc.ca/fr/media/6056</w:t>
      </w:r>
    </w:p>
    <w:p w14:paraId="53775C2C" w14:textId="77777777" w:rsidR="00124C32" w:rsidRPr="00756ED3" w:rsidRDefault="00124C32">
      <w:pPr>
        <w:autoSpaceDE w:val="0"/>
        <w:autoSpaceDN w:val="0"/>
        <w:ind w:hanging="480"/>
        <w:divId w:val="64646918"/>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rPr>
        <w:t xml:space="preserve">Rodwell, L., Lee, K. J., Romaniuk, H., &amp; Carlin, J. B. (2014). Comparison of methods for imputing limited-range variables: A simulation study. </w:t>
      </w:r>
      <w:r w:rsidRPr="00756ED3">
        <w:rPr>
          <w:rFonts w:ascii="Times New Roman" w:eastAsia="Times New Roman" w:hAnsi="Times New Roman" w:cs="Times New Roman"/>
          <w:i/>
          <w:iCs/>
          <w:sz w:val="24"/>
          <w:szCs w:val="24"/>
        </w:rPr>
        <w:t>BMC Medical Research Methodology</w:t>
      </w:r>
      <w:r w:rsidRPr="00756ED3">
        <w:rPr>
          <w:rFonts w:ascii="Times New Roman" w:eastAsia="Times New Roman" w:hAnsi="Times New Roman" w:cs="Times New Roman"/>
          <w:sz w:val="24"/>
          <w:szCs w:val="24"/>
        </w:rPr>
        <w:t xml:space="preserve">, </w:t>
      </w:r>
      <w:r w:rsidRPr="00756ED3">
        <w:rPr>
          <w:rFonts w:ascii="Times New Roman" w:eastAsia="Times New Roman" w:hAnsi="Times New Roman" w:cs="Times New Roman"/>
          <w:i/>
          <w:iCs/>
          <w:sz w:val="24"/>
          <w:szCs w:val="24"/>
        </w:rPr>
        <w:t>14</w:t>
      </w:r>
      <w:r w:rsidRPr="00756ED3">
        <w:rPr>
          <w:rFonts w:ascii="Times New Roman" w:eastAsia="Times New Roman" w:hAnsi="Times New Roman" w:cs="Times New Roman"/>
          <w:sz w:val="24"/>
          <w:szCs w:val="24"/>
        </w:rPr>
        <w:t>(1), 1–11. https://doi.org/10.1186/1471-2288-14-57</w:t>
      </w:r>
    </w:p>
    <w:p w14:paraId="2517E611" w14:textId="77777777" w:rsidR="00124C32" w:rsidRPr="00756ED3" w:rsidRDefault="00124C32">
      <w:pPr>
        <w:autoSpaceDE w:val="0"/>
        <w:autoSpaceDN w:val="0"/>
        <w:ind w:hanging="480"/>
        <w:divId w:val="1873029117"/>
        <w:rPr>
          <w:rFonts w:ascii="Times New Roman" w:eastAsia="Times New Roman" w:hAnsi="Times New Roman" w:cs="Times New Roman"/>
          <w:sz w:val="24"/>
          <w:szCs w:val="24"/>
        </w:rPr>
      </w:pPr>
      <w:proofErr w:type="spellStart"/>
      <w:r w:rsidRPr="00756ED3">
        <w:rPr>
          <w:rFonts w:ascii="Times New Roman" w:eastAsia="Times New Roman" w:hAnsi="Times New Roman" w:cs="Times New Roman"/>
          <w:sz w:val="24"/>
          <w:szCs w:val="24"/>
        </w:rPr>
        <w:t>Rosenheck</w:t>
      </w:r>
      <w:proofErr w:type="spellEnd"/>
      <w:r w:rsidRPr="00756ED3">
        <w:rPr>
          <w:rFonts w:ascii="Times New Roman" w:eastAsia="Times New Roman" w:hAnsi="Times New Roman" w:cs="Times New Roman"/>
          <w:sz w:val="24"/>
          <w:szCs w:val="24"/>
        </w:rPr>
        <w:t xml:space="preserve">, R. A., </w:t>
      </w:r>
      <w:proofErr w:type="spellStart"/>
      <w:r w:rsidRPr="00756ED3">
        <w:rPr>
          <w:rFonts w:ascii="Times New Roman" w:eastAsia="Times New Roman" w:hAnsi="Times New Roman" w:cs="Times New Roman"/>
          <w:sz w:val="24"/>
          <w:szCs w:val="24"/>
        </w:rPr>
        <w:t>Frisman</w:t>
      </w:r>
      <w:proofErr w:type="spellEnd"/>
      <w:r w:rsidRPr="00756ED3">
        <w:rPr>
          <w:rFonts w:ascii="Times New Roman" w:eastAsia="Times New Roman" w:hAnsi="Times New Roman" w:cs="Times New Roman"/>
          <w:sz w:val="24"/>
          <w:szCs w:val="24"/>
        </w:rPr>
        <w:t xml:space="preserve">, L. K., &amp; Neale, M. S. (1994). Estimating the capital component of mental health care costs in the public sector. </w:t>
      </w:r>
      <w:r w:rsidRPr="00756ED3">
        <w:rPr>
          <w:rFonts w:ascii="Times New Roman" w:eastAsia="Times New Roman" w:hAnsi="Times New Roman" w:cs="Times New Roman"/>
          <w:i/>
          <w:iCs/>
          <w:sz w:val="24"/>
          <w:szCs w:val="24"/>
        </w:rPr>
        <w:t>Administration and Policy in Mental Health and Mental Health Services Research</w:t>
      </w:r>
      <w:r w:rsidRPr="00756ED3">
        <w:rPr>
          <w:rFonts w:ascii="Times New Roman" w:eastAsia="Times New Roman" w:hAnsi="Times New Roman" w:cs="Times New Roman"/>
          <w:sz w:val="24"/>
          <w:szCs w:val="24"/>
        </w:rPr>
        <w:t xml:space="preserve">, </w:t>
      </w:r>
      <w:r w:rsidRPr="00756ED3">
        <w:rPr>
          <w:rFonts w:ascii="Times New Roman" w:eastAsia="Times New Roman" w:hAnsi="Times New Roman" w:cs="Times New Roman"/>
          <w:i/>
          <w:iCs/>
          <w:sz w:val="24"/>
          <w:szCs w:val="24"/>
        </w:rPr>
        <w:t>21</w:t>
      </w:r>
      <w:r w:rsidRPr="00756ED3">
        <w:rPr>
          <w:rFonts w:ascii="Times New Roman" w:eastAsia="Times New Roman" w:hAnsi="Times New Roman" w:cs="Times New Roman"/>
          <w:sz w:val="24"/>
          <w:szCs w:val="24"/>
        </w:rPr>
        <w:t>, 493–509. https://doi.org/10.1007/BF00707261</w:t>
      </w:r>
    </w:p>
    <w:p w14:paraId="20E1EB1A" w14:textId="77777777" w:rsidR="00124C32" w:rsidRPr="00756ED3" w:rsidRDefault="00124C32">
      <w:pPr>
        <w:autoSpaceDE w:val="0"/>
        <w:autoSpaceDN w:val="0"/>
        <w:ind w:hanging="480"/>
        <w:divId w:val="372313489"/>
        <w:rPr>
          <w:rFonts w:ascii="Times New Roman" w:eastAsia="Times New Roman" w:hAnsi="Times New Roman" w:cs="Times New Roman"/>
          <w:sz w:val="24"/>
          <w:szCs w:val="24"/>
        </w:rPr>
      </w:pPr>
      <w:proofErr w:type="spellStart"/>
      <w:r w:rsidRPr="00756ED3">
        <w:rPr>
          <w:rFonts w:ascii="Times New Roman" w:eastAsia="Times New Roman" w:hAnsi="Times New Roman" w:cs="Times New Roman"/>
          <w:sz w:val="24"/>
          <w:szCs w:val="24"/>
        </w:rPr>
        <w:lastRenderedPageBreak/>
        <w:t>Schomaker</w:t>
      </w:r>
      <w:proofErr w:type="spellEnd"/>
      <w:r w:rsidRPr="00756ED3">
        <w:rPr>
          <w:rFonts w:ascii="Times New Roman" w:eastAsia="Times New Roman" w:hAnsi="Times New Roman" w:cs="Times New Roman"/>
          <w:sz w:val="24"/>
          <w:szCs w:val="24"/>
        </w:rPr>
        <w:t xml:space="preserve">, M., &amp; </w:t>
      </w:r>
      <w:proofErr w:type="spellStart"/>
      <w:r w:rsidRPr="00756ED3">
        <w:rPr>
          <w:rFonts w:ascii="Times New Roman" w:eastAsia="Times New Roman" w:hAnsi="Times New Roman" w:cs="Times New Roman"/>
          <w:sz w:val="24"/>
          <w:szCs w:val="24"/>
        </w:rPr>
        <w:t>Heumann</w:t>
      </w:r>
      <w:proofErr w:type="spellEnd"/>
      <w:r w:rsidRPr="00756ED3">
        <w:rPr>
          <w:rFonts w:ascii="Times New Roman" w:eastAsia="Times New Roman" w:hAnsi="Times New Roman" w:cs="Times New Roman"/>
          <w:sz w:val="24"/>
          <w:szCs w:val="24"/>
        </w:rPr>
        <w:t xml:space="preserve">, C. (2018). Bootstrap inference when using multiple imputation. </w:t>
      </w:r>
      <w:r w:rsidRPr="00756ED3">
        <w:rPr>
          <w:rFonts w:ascii="Times New Roman" w:eastAsia="Times New Roman" w:hAnsi="Times New Roman" w:cs="Times New Roman"/>
          <w:i/>
          <w:iCs/>
          <w:sz w:val="24"/>
          <w:szCs w:val="24"/>
        </w:rPr>
        <w:t>Statistics in Medicine</w:t>
      </w:r>
      <w:r w:rsidRPr="00756ED3">
        <w:rPr>
          <w:rFonts w:ascii="Times New Roman" w:eastAsia="Times New Roman" w:hAnsi="Times New Roman" w:cs="Times New Roman"/>
          <w:sz w:val="24"/>
          <w:szCs w:val="24"/>
        </w:rPr>
        <w:t xml:space="preserve">, </w:t>
      </w:r>
      <w:r w:rsidRPr="00756ED3">
        <w:rPr>
          <w:rFonts w:ascii="Times New Roman" w:eastAsia="Times New Roman" w:hAnsi="Times New Roman" w:cs="Times New Roman"/>
          <w:i/>
          <w:iCs/>
          <w:sz w:val="24"/>
          <w:szCs w:val="24"/>
        </w:rPr>
        <w:t>37</w:t>
      </w:r>
      <w:r w:rsidRPr="00756ED3">
        <w:rPr>
          <w:rFonts w:ascii="Times New Roman" w:eastAsia="Times New Roman" w:hAnsi="Times New Roman" w:cs="Times New Roman"/>
          <w:sz w:val="24"/>
          <w:szCs w:val="24"/>
        </w:rPr>
        <w:t>(14), 2252–2266. https://doi.org/10.1002/sim.7654</w:t>
      </w:r>
    </w:p>
    <w:p w14:paraId="1604FE85" w14:textId="77777777" w:rsidR="00124C32" w:rsidRPr="00756ED3" w:rsidRDefault="00124C32">
      <w:pPr>
        <w:autoSpaceDE w:val="0"/>
        <w:autoSpaceDN w:val="0"/>
        <w:ind w:hanging="480"/>
        <w:divId w:val="2048330381"/>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rPr>
        <w:t>Statistics Canada. (2017). Table 282-0048 - Labour force survey estimates (LFS), duration of unemployment by sex and age group, annual (persons unless otherwise noted). Retrieved August 23, 2017, from CANSIM (database) website: http://www5.statcan.gc.ca/cansim/a47</w:t>
      </w:r>
    </w:p>
    <w:p w14:paraId="58A4DF06" w14:textId="77777777" w:rsidR="00124C32" w:rsidRPr="00756ED3" w:rsidRDefault="00124C32">
      <w:pPr>
        <w:autoSpaceDE w:val="0"/>
        <w:autoSpaceDN w:val="0"/>
        <w:ind w:hanging="480"/>
        <w:divId w:val="1327436307"/>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rPr>
        <w:t xml:space="preserve">Tan, S. S., Van </w:t>
      </w:r>
      <w:proofErr w:type="spellStart"/>
      <w:r w:rsidRPr="00756ED3">
        <w:rPr>
          <w:rFonts w:ascii="Times New Roman" w:eastAsia="Times New Roman" w:hAnsi="Times New Roman" w:cs="Times New Roman"/>
          <w:sz w:val="24"/>
          <w:szCs w:val="24"/>
        </w:rPr>
        <w:t>Ineveld</w:t>
      </w:r>
      <w:proofErr w:type="spellEnd"/>
      <w:r w:rsidRPr="00756ED3">
        <w:rPr>
          <w:rFonts w:ascii="Times New Roman" w:eastAsia="Times New Roman" w:hAnsi="Times New Roman" w:cs="Times New Roman"/>
          <w:sz w:val="24"/>
          <w:szCs w:val="24"/>
        </w:rPr>
        <w:t xml:space="preserve">, B. M., </w:t>
      </w:r>
      <w:proofErr w:type="spellStart"/>
      <w:r w:rsidRPr="00756ED3">
        <w:rPr>
          <w:rFonts w:ascii="Times New Roman" w:eastAsia="Times New Roman" w:hAnsi="Times New Roman" w:cs="Times New Roman"/>
          <w:sz w:val="24"/>
          <w:szCs w:val="24"/>
        </w:rPr>
        <w:t>Redekop</w:t>
      </w:r>
      <w:proofErr w:type="spellEnd"/>
      <w:r w:rsidRPr="00756ED3">
        <w:rPr>
          <w:rFonts w:ascii="Times New Roman" w:eastAsia="Times New Roman" w:hAnsi="Times New Roman" w:cs="Times New Roman"/>
          <w:sz w:val="24"/>
          <w:szCs w:val="24"/>
        </w:rPr>
        <w:t xml:space="preserve">, W. K., &amp; </w:t>
      </w:r>
      <w:proofErr w:type="spellStart"/>
      <w:r w:rsidRPr="00756ED3">
        <w:rPr>
          <w:rFonts w:ascii="Times New Roman" w:eastAsia="Times New Roman" w:hAnsi="Times New Roman" w:cs="Times New Roman"/>
          <w:sz w:val="24"/>
          <w:szCs w:val="24"/>
        </w:rPr>
        <w:t>Hakkaart</w:t>
      </w:r>
      <w:proofErr w:type="spellEnd"/>
      <w:r w:rsidRPr="00756ED3">
        <w:rPr>
          <w:rFonts w:ascii="Times New Roman" w:eastAsia="Times New Roman" w:hAnsi="Times New Roman" w:cs="Times New Roman"/>
          <w:sz w:val="24"/>
          <w:szCs w:val="24"/>
        </w:rPr>
        <w:t xml:space="preserve">-Van </w:t>
      </w:r>
      <w:proofErr w:type="spellStart"/>
      <w:r w:rsidRPr="00756ED3">
        <w:rPr>
          <w:rFonts w:ascii="Times New Roman" w:eastAsia="Times New Roman" w:hAnsi="Times New Roman" w:cs="Times New Roman"/>
          <w:sz w:val="24"/>
          <w:szCs w:val="24"/>
        </w:rPr>
        <w:t>Roijen</w:t>
      </w:r>
      <w:proofErr w:type="spellEnd"/>
      <w:r w:rsidRPr="00756ED3">
        <w:rPr>
          <w:rFonts w:ascii="Times New Roman" w:eastAsia="Times New Roman" w:hAnsi="Times New Roman" w:cs="Times New Roman"/>
          <w:sz w:val="24"/>
          <w:szCs w:val="24"/>
        </w:rPr>
        <w:t xml:space="preserve">, L. (2009). Comparing methodologies for the allocation of overhead and capital costs to hospital services. </w:t>
      </w:r>
      <w:r w:rsidRPr="00756ED3">
        <w:rPr>
          <w:rFonts w:ascii="Times New Roman" w:eastAsia="Times New Roman" w:hAnsi="Times New Roman" w:cs="Times New Roman"/>
          <w:i/>
          <w:iCs/>
          <w:sz w:val="24"/>
          <w:szCs w:val="24"/>
        </w:rPr>
        <w:t>Value in Health</w:t>
      </w:r>
      <w:r w:rsidRPr="00756ED3">
        <w:rPr>
          <w:rFonts w:ascii="Times New Roman" w:eastAsia="Times New Roman" w:hAnsi="Times New Roman" w:cs="Times New Roman"/>
          <w:sz w:val="24"/>
          <w:szCs w:val="24"/>
        </w:rPr>
        <w:t xml:space="preserve">, </w:t>
      </w:r>
      <w:r w:rsidRPr="00756ED3">
        <w:rPr>
          <w:rFonts w:ascii="Times New Roman" w:eastAsia="Times New Roman" w:hAnsi="Times New Roman" w:cs="Times New Roman"/>
          <w:i/>
          <w:iCs/>
          <w:sz w:val="24"/>
          <w:szCs w:val="24"/>
        </w:rPr>
        <w:t>12</w:t>
      </w:r>
      <w:r w:rsidRPr="00756ED3">
        <w:rPr>
          <w:rFonts w:ascii="Times New Roman" w:eastAsia="Times New Roman" w:hAnsi="Times New Roman" w:cs="Times New Roman"/>
          <w:sz w:val="24"/>
          <w:szCs w:val="24"/>
        </w:rPr>
        <w:t>(4), 530–535. https://doi.org/10.1111/j.1524-4733.2008.00475.x</w:t>
      </w:r>
    </w:p>
    <w:p w14:paraId="480CD78D" w14:textId="77777777" w:rsidR="00124C32" w:rsidRPr="00756ED3" w:rsidRDefault="00124C32">
      <w:pPr>
        <w:autoSpaceDE w:val="0"/>
        <w:autoSpaceDN w:val="0"/>
        <w:ind w:hanging="480"/>
        <w:divId w:val="1704282928"/>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rPr>
        <w:t xml:space="preserve">Vasiliadis, H.-M., Dionne, P.-A., </w:t>
      </w:r>
      <w:proofErr w:type="spellStart"/>
      <w:r w:rsidRPr="00756ED3">
        <w:rPr>
          <w:rFonts w:ascii="Times New Roman" w:eastAsia="Times New Roman" w:hAnsi="Times New Roman" w:cs="Times New Roman"/>
          <w:sz w:val="24"/>
          <w:szCs w:val="24"/>
        </w:rPr>
        <w:t>Préville</w:t>
      </w:r>
      <w:proofErr w:type="spellEnd"/>
      <w:r w:rsidRPr="00756ED3">
        <w:rPr>
          <w:rFonts w:ascii="Times New Roman" w:eastAsia="Times New Roman" w:hAnsi="Times New Roman" w:cs="Times New Roman"/>
          <w:sz w:val="24"/>
          <w:szCs w:val="24"/>
        </w:rPr>
        <w:t xml:space="preserve">, M., Gentil, L., Berbiche, D., &amp; Latimer, E. (2013). The excess healthcare costs associated with depression and anxiety in elderly living in the community. </w:t>
      </w:r>
      <w:r w:rsidRPr="00756ED3">
        <w:rPr>
          <w:rFonts w:ascii="Times New Roman" w:eastAsia="Times New Roman" w:hAnsi="Times New Roman" w:cs="Times New Roman"/>
          <w:i/>
          <w:iCs/>
          <w:sz w:val="24"/>
          <w:szCs w:val="24"/>
        </w:rPr>
        <w:t>The American Journal of Geriatric Psychiatry</w:t>
      </w:r>
      <w:r w:rsidRPr="00756ED3">
        <w:rPr>
          <w:rFonts w:ascii="Times New Roman" w:eastAsia="Times New Roman" w:hAnsi="Times New Roman" w:cs="Times New Roman"/>
          <w:sz w:val="24"/>
          <w:szCs w:val="24"/>
        </w:rPr>
        <w:t xml:space="preserve">, </w:t>
      </w:r>
      <w:r w:rsidRPr="00756ED3">
        <w:rPr>
          <w:rFonts w:ascii="Times New Roman" w:eastAsia="Times New Roman" w:hAnsi="Times New Roman" w:cs="Times New Roman"/>
          <w:i/>
          <w:iCs/>
          <w:sz w:val="24"/>
          <w:szCs w:val="24"/>
        </w:rPr>
        <w:t>21</w:t>
      </w:r>
      <w:r w:rsidRPr="00756ED3">
        <w:rPr>
          <w:rFonts w:ascii="Times New Roman" w:eastAsia="Times New Roman" w:hAnsi="Times New Roman" w:cs="Times New Roman"/>
          <w:sz w:val="24"/>
          <w:szCs w:val="24"/>
        </w:rPr>
        <w:t>(6), 536–548. https://doi.org/10.1016/j.jagp.2012.12.016</w:t>
      </w:r>
    </w:p>
    <w:p w14:paraId="2FB6050E" w14:textId="77777777" w:rsidR="00124C32" w:rsidRPr="00756ED3" w:rsidRDefault="00124C32">
      <w:pPr>
        <w:autoSpaceDE w:val="0"/>
        <w:autoSpaceDN w:val="0"/>
        <w:ind w:hanging="480"/>
        <w:divId w:val="136537458"/>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lang w:val="fr-CA"/>
        </w:rPr>
        <w:t xml:space="preserve">Vasiliadis, H.-M., Latimer, E., Dionne, P. A., &amp; </w:t>
      </w:r>
      <w:proofErr w:type="spellStart"/>
      <w:r w:rsidRPr="00756ED3">
        <w:rPr>
          <w:rFonts w:ascii="Times New Roman" w:eastAsia="Times New Roman" w:hAnsi="Times New Roman" w:cs="Times New Roman"/>
          <w:sz w:val="24"/>
          <w:szCs w:val="24"/>
          <w:lang w:val="fr-CA"/>
        </w:rPr>
        <w:t>Préville</w:t>
      </w:r>
      <w:proofErr w:type="spellEnd"/>
      <w:r w:rsidRPr="00756ED3">
        <w:rPr>
          <w:rFonts w:ascii="Times New Roman" w:eastAsia="Times New Roman" w:hAnsi="Times New Roman" w:cs="Times New Roman"/>
          <w:sz w:val="24"/>
          <w:szCs w:val="24"/>
          <w:lang w:val="fr-CA"/>
        </w:rPr>
        <w:t xml:space="preserve">, M. (2013). </w:t>
      </w:r>
      <w:r w:rsidRPr="00756ED3">
        <w:rPr>
          <w:rFonts w:ascii="Times New Roman" w:eastAsia="Times New Roman" w:hAnsi="Times New Roman" w:cs="Times New Roman"/>
          <w:sz w:val="24"/>
          <w:szCs w:val="24"/>
        </w:rPr>
        <w:t xml:space="preserve">The costs associated with antidepressant use in depression and anxiety in community-living older adults. </w:t>
      </w:r>
      <w:r w:rsidRPr="00756ED3">
        <w:rPr>
          <w:rFonts w:ascii="Times New Roman" w:eastAsia="Times New Roman" w:hAnsi="Times New Roman" w:cs="Times New Roman"/>
          <w:i/>
          <w:iCs/>
          <w:sz w:val="24"/>
          <w:szCs w:val="24"/>
        </w:rPr>
        <w:t>Canadian Journal of Psychiatry</w:t>
      </w:r>
      <w:r w:rsidRPr="00756ED3">
        <w:rPr>
          <w:rFonts w:ascii="Times New Roman" w:eastAsia="Times New Roman" w:hAnsi="Times New Roman" w:cs="Times New Roman"/>
          <w:sz w:val="24"/>
          <w:szCs w:val="24"/>
        </w:rPr>
        <w:t xml:space="preserve">, </w:t>
      </w:r>
      <w:r w:rsidRPr="00756ED3">
        <w:rPr>
          <w:rFonts w:ascii="Times New Roman" w:eastAsia="Times New Roman" w:hAnsi="Times New Roman" w:cs="Times New Roman"/>
          <w:i/>
          <w:iCs/>
          <w:sz w:val="24"/>
          <w:szCs w:val="24"/>
        </w:rPr>
        <w:t>58</w:t>
      </w:r>
      <w:r w:rsidRPr="00756ED3">
        <w:rPr>
          <w:rFonts w:ascii="Times New Roman" w:eastAsia="Times New Roman" w:hAnsi="Times New Roman" w:cs="Times New Roman"/>
          <w:sz w:val="24"/>
          <w:szCs w:val="24"/>
        </w:rPr>
        <w:t>(4), 201–209. https://doi.org/10.1177/070674371305800405</w:t>
      </w:r>
    </w:p>
    <w:p w14:paraId="74ECB2D7" w14:textId="77777777" w:rsidR="00124C32" w:rsidRPr="00756ED3" w:rsidRDefault="00124C32">
      <w:pPr>
        <w:autoSpaceDE w:val="0"/>
        <w:autoSpaceDN w:val="0"/>
        <w:ind w:hanging="480"/>
        <w:divId w:val="1899978104"/>
        <w:rPr>
          <w:rFonts w:ascii="Times New Roman" w:eastAsia="Times New Roman" w:hAnsi="Times New Roman" w:cs="Times New Roman"/>
          <w:sz w:val="24"/>
          <w:szCs w:val="24"/>
        </w:rPr>
      </w:pPr>
      <w:r w:rsidRPr="00756ED3">
        <w:rPr>
          <w:rFonts w:ascii="Times New Roman" w:eastAsia="Times New Roman" w:hAnsi="Times New Roman" w:cs="Times New Roman"/>
          <w:sz w:val="24"/>
          <w:szCs w:val="24"/>
        </w:rPr>
        <w:t xml:space="preserve">Vasiliadis, H.-M., Marchand, J.-S., Gosselin, S., Guerra, S., &amp; Breton, M. (2019). Emergency </w:t>
      </w:r>
      <w:proofErr w:type="spellStart"/>
      <w:r w:rsidRPr="00756ED3">
        <w:rPr>
          <w:rFonts w:ascii="Times New Roman" w:eastAsia="Times New Roman" w:hAnsi="Times New Roman" w:cs="Times New Roman"/>
          <w:sz w:val="24"/>
          <w:szCs w:val="24"/>
        </w:rPr>
        <w:t>Deparments</w:t>
      </w:r>
      <w:proofErr w:type="spellEnd"/>
      <w:r w:rsidRPr="00756ED3">
        <w:rPr>
          <w:rFonts w:ascii="Times New Roman" w:eastAsia="Times New Roman" w:hAnsi="Times New Roman" w:cs="Times New Roman"/>
          <w:sz w:val="24"/>
          <w:szCs w:val="24"/>
        </w:rPr>
        <w:t xml:space="preserve"> Performance and Length of Stays Stagnation: A 24/7 Public Service Working from Nine-to-Five? </w:t>
      </w:r>
      <w:r w:rsidRPr="00756ED3">
        <w:rPr>
          <w:rFonts w:ascii="Times New Roman" w:eastAsia="Times New Roman" w:hAnsi="Times New Roman" w:cs="Times New Roman"/>
          <w:i/>
          <w:iCs/>
          <w:sz w:val="24"/>
          <w:szCs w:val="24"/>
        </w:rPr>
        <w:t>Conference: 2019 CAHSPR Scientific Conference. Halifax, Canada.</w:t>
      </w:r>
    </w:p>
    <w:p w14:paraId="65C4601E" w14:textId="46A8486E" w:rsidR="00124C32" w:rsidRPr="00756ED3" w:rsidRDefault="00124C32">
      <w:pPr>
        <w:rPr>
          <w:rFonts w:ascii="Times New Roman" w:hAnsi="Times New Roman" w:cs="Times New Roman"/>
          <w:sz w:val="24"/>
          <w:szCs w:val="24"/>
        </w:rPr>
      </w:pPr>
      <w:r w:rsidRPr="00756ED3">
        <w:rPr>
          <w:rFonts w:ascii="Times New Roman" w:eastAsia="Times New Roman" w:hAnsi="Times New Roman" w:cs="Times New Roman"/>
          <w:sz w:val="24"/>
          <w:szCs w:val="24"/>
        </w:rPr>
        <w:t> </w:t>
      </w:r>
    </w:p>
    <w:sectPr w:rsidR="00124C32" w:rsidRPr="00756ED3" w:rsidSect="00A2134E">
      <w:headerReference w:type="default" r:id="rId11"/>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53C9" w14:textId="77777777" w:rsidR="006401C4" w:rsidRDefault="006401C4" w:rsidP="00A2134E">
      <w:pPr>
        <w:spacing w:after="0" w:line="240" w:lineRule="auto"/>
      </w:pPr>
      <w:r>
        <w:separator/>
      </w:r>
    </w:p>
  </w:endnote>
  <w:endnote w:type="continuationSeparator" w:id="0">
    <w:p w14:paraId="08F3AA41" w14:textId="77777777" w:rsidR="006401C4" w:rsidRDefault="006401C4" w:rsidP="00A2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71704"/>
      <w:docPartObj>
        <w:docPartGallery w:val="Page Numbers (Bottom of Page)"/>
        <w:docPartUnique/>
      </w:docPartObj>
    </w:sdtPr>
    <w:sdtEndPr>
      <w:rPr>
        <w:noProof/>
      </w:rPr>
    </w:sdtEndPr>
    <w:sdtContent>
      <w:p w14:paraId="65CC3121" w14:textId="53A63345" w:rsidR="00A2134E" w:rsidRDefault="00A2134E">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52B55FD4" w14:textId="77777777" w:rsidR="00A2134E" w:rsidRDefault="00A213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864E" w14:textId="77777777" w:rsidR="006401C4" w:rsidRDefault="006401C4" w:rsidP="00A2134E">
      <w:pPr>
        <w:spacing w:after="0" w:line="240" w:lineRule="auto"/>
      </w:pPr>
      <w:r>
        <w:separator/>
      </w:r>
    </w:p>
  </w:footnote>
  <w:footnote w:type="continuationSeparator" w:id="0">
    <w:p w14:paraId="205DF0A7" w14:textId="77777777" w:rsidR="006401C4" w:rsidRDefault="006401C4" w:rsidP="00A21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385D" w14:textId="6BEF063D" w:rsidR="00A2134E" w:rsidRPr="0014455F" w:rsidRDefault="00A2134E">
    <w:pPr>
      <w:pStyle w:val="En-tte"/>
      <w:rPr>
        <w:rFonts w:ascii="Times New Roman" w:hAnsi="Times New Roman" w:cs="Times New Roman"/>
        <w:sz w:val="24"/>
        <w:szCs w:val="24"/>
        <w:lang w:val="fr-CA"/>
      </w:rPr>
    </w:pPr>
    <w:proofErr w:type="spellStart"/>
    <w:r w:rsidRPr="0014455F">
      <w:rPr>
        <w:rFonts w:ascii="Times New Roman" w:hAnsi="Times New Roman" w:cs="Times New Roman"/>
        <w:sz w:val="24"/>
        <w:szCs w:val="24"/>
        <w:lang w:val="fr-CA"/>
      </w:rPr>
      <w:t>Supplementary</w:t>
    </w:r>
    <w:proofErr w:type="spellEnd"/>
    <w:r w:rsidRPr="0014455F">
      <w:rPr>
        <w:rFonts w:ascii="Times New Roman" w:hAnsi="Times New Roman" w:cs="Times New Roman"/>
        <w:sz w:val="24"/>
        <w:szCs w:val="24"/>
        <w:lang w:val="fr-CA"/>
      </w:rPr>
      <w:t xml:space="preserve"> </w:t>
    </w:r>
    <w:proofErr w:type="spellStart"/>
    <w:r w:rsidRPr="0014455F">
      <w:rPr>
        <w:rFonts w:ascii="Times New Roman" w:hAnsi="Times New Roman" w:cs="Times New Roman"/>
        <w:sz w:val="24"/>
        <w:szCs w:val="24"/>
        <w:lang w:val="fr-CA"/>
      </w:rPr>
      <w:t>methods</w:t>
    </w:r>
    <w:proofErr w:type="spellEnd"/>
    <w:r w:rsidRPr="0014455F">
      <w:rPr>
        <w:rFonts w:ascii="Times New Roman" w:hAnsi="Times New Roman" w:cs="Times New Roman"/>
        <w:sz w:val="24"/>
        <w:szCs w:val="24"/>
        <w:lang w:val="fr-CA"/>
      </w:rPr>
      <w:t xml:space="preserve"> </w:t>
    </w:r>
    <w:proofErr w:type="spellStart"/>
    <w:r w:rsidRPr="0014455F">
      <w:rPr>
        <w:rFonts w:ascii="Times New Roman" w:hAnsi="Times New Roman" w:cs="Times New Roman"/>
        <w:sz w:val="24"/>
        <w:szCs w:val="24"/>
        <w:lang w:val="fr-CA"/>
      </w:rPr>
      <w:t>appendix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D072B"/>
    <w:multiLevelType w:val="hybridMultilevel"/>
    <w:tmpl w:val="A4DC0186"/>
    <w:lvl w:ilvl="0" w:tplc="D75C9288">
      <w:start w:val="1"/>
      <w:numFmt w:val="bullet"/>
      <w:lvlText w:val=""/>
      <w:lvlJc w:val="left"/>
      <w:pPr>
        <w:ind w:left="1488" w:hanging="360"/>
      </w:pPr>
      <w:rPr>
        <w:rFonts w:ascii="Symbol" w:hAnsi="Symbol" w:hint="default"/>
      </w:rPr>
    </w:lvl>
    <w:lvl w:ilvl="1" w:tplc="FAFC1EFA" w:tentative="1">
      <w:start w:val="1"/>
      <w:numFmt w:val="bullet"/>
      <w:lvlText w:val="o"/>
      <w:lvlJc w:val="left"/>
      <w:pPr>
        <w:ind w:left="2208" w:hanging="360"/>
      </w:pPr>
      <w:rPr>
        <w:rFonts w:ascii="Courier New" w:hAnsi="Courier New" w:cs="Courier New" w:hint="default"/>
      </w:rPr>
    </w:lvl>
    <w:lvl w:ilvl="2" w:tplc="D90899B2" w:tentative="1">
      <w:start w:val="1"/>
      <w:numFmt w:val="bullet"/>
      <w:lvlText w:val=""/>
      <w:lvlJc w:val="left"/>
      <w:pPr>
        <w:ind w:left="2928" w:hanging="360"/>
      </w:pPr>
      <w:rPr>
        <w:rFonts w:ascii="Wingdings" w:hAnsi="Wingdings" w:hint="default"/>
      </w:rPr>
    </w:lvl>
    <w:lvl w:ilvl="3" w:tplc="C20CB8C8" w:tentative="1">
      <w:start w:val="1"/>
      <w:numFmt w:val="bullet"/>
      <w:lvlText w:val=""/>
      <w:lvlJc w:val="left"/>
      <w:pPr>
        <w:ind w:left="3648" w:hanging="360"/>
      </w:pPr>
      <w:rPr>
        <w:rFonts w:ascii="Symbol" w:hAnsi="Symbol" w:hint="default"/>
      </w:rPr>
    </w:lvl>
    <w:lvl w:ilvl="4" w:tplc="793ED5B6" w:tentative="1">
      <w:start w:val="1"/>
      <w:numFmt w:val="bullet"/>
      <w:lvlText w:val="o"/>
      <w:lvlJc w:val="left"/>
      <w:pPr>
        <w:ind w:left="4368" w:hanging="360"/>
      </w:pPr>
      <w:rPr>
        <w:rFonts w:ascii="Courier New" w:hAnsi="Courier New" w:cs="Courier New" w:hint="default"/>
      </w:rPr>
    </w:lvl>
    <w:lvl w:ilvl="5" w:tplc="4DAE6430" w:tentative="1">
      <w:start w:val="1"/>
      <w:numFmt w:val="bullet"/>
      <w:lvlText w:val=""/>
      <w:lvlJc w:val="left"/>
      <w:pPr>
        <w:ind w:left="5088" w:hanging="360"/>
      </w:pPr>
      <w:rPr>
        <w:rFonts w:ascii="Wingdings" w:hAnsi="Wingdings" w:hint="default"/>
      </w:rPr>
    </w:lvl>
    <w:lvl w:ilvl="6" w:tplc="ED489252" w:tentative="1">
      <w:start w:val="1"/>
      <w:numFmt w:val="bullet"/>
      <w:lvlText w:val=""/>
      <w:lvlJc w:val="left"/>
      <w:pPr>
        <w:ind w:left="5808" w:hanging="360"/>
      </w:pPr>
      <w:rPr>
        <w:rFonts w:ascii="Symbol" w:hAnsi="Symbol" w:hint="default"/>
      </w:rPr>
    </w:lvl>
    <w:lvl w:ilvl="7" w:tplc="DE725FCC" w:tentative="1">
      <w:start w:val="1"/>
      <w:numFmt w:val="bullet"/>
      <w:lvlText w:val="o"/>
      <w:lvlJc w:val="left"/>
      <w:pPr>
        <w:ind w:left="6528" w:hanging="360"/>
      </w:pPr>
      <w:rPr>
        <w:rFonts w:ascii="Courier New" w:hAnsi="Courier New" w:cs="Courier New" w:hint="default"/>
      </w:rPr>
    </w:lvl>
    <w:lvl w:ilvl="8" w:tplc="92EA88B8" w:tentative="1">
      <w:start w:val="1"/>
      <w:numFmt w:val="bullet"/>
      <w:lvlText w:val=""/>
      <w:lvlJc w:val="left"/>
      <w:pPr>
        <w:ind w:left="7248" w:hanging="360"/>
      </w:pPr>
      <w:rPr>
        <w:rFonts w:ascii="Wingdings" w:hAnsi="Wingdings" w:hint="default"/>
      </w:rPr>
    </w:lvl>
  </w:abstractNum>
  <w:num w:numId="1" w16cid:durableId="1776636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A7"/>
    <w:rsid w:val="00011B07"/>
    <w:rsid w:val="00013BEF"/>
    <w:rsid w:val="0005198B"/>
    <w:rsid w:val="000555A7"/>
    <w:rsid w:val="00077D99"/>
    <w:rsid w:val="000821E4"/>
    <w:rsid w:val="000C535A"/>
    <w:rsid w:val="000C5E75"/>
    <w:rsid w:val="000D0FC3"/>
    <w:rsid w:val="000D171C"/>
    <w:rsid w:val="000F1793"/>
    <w:rsid w:val="000F221E"/>
    <w:rsid w:val="00124C32"/>
    <w:rsid w:val="00125302"/>
    <w:rsid w:val="00132C90"/>
    <w:rsid w:val="0014455F"/>
    <w:rsid w:val="00152CAE"/>
    <w:rsid w:val="00177615"/>
    <w:rsid w:val="001839D3"/>
    <w:rsid w:val="001A36D3"/>
    <w:rsid w:val="001D6411"/>
    <w:rsid w:val="001F20BA"/>
    <w:rsid w:val="002107D7"/>
    <w:rsid w:val="00232FA6"/>
    <w:rsid w:val="00245056"/>
    <w:rsid w:val="0027775A"/>
    <w:rsid w:val="0029421F"/>
    <w:rsid w:val="003111F5"/>
    <w:rsid w:val="00336F76"/>
    <w:rsid w:val="00345B94"/>
    <w:rsid w:val="00365A1C"/>
    <w:rsid w:val="00375497"/>
    <w:rsid w:val="003931E6"/>
    <w:rsid w:val="003A5265"/>
    <w:rsid w:val="003B03C9"/>
    <w:rsid w:val="00410BF0"/>
    <w:rsid w:val="00415C69"/>
    <w:rsid w:val="00432933"/>
    <w:rsid w:val="00435F36"/>
    <w:rsid w:val="004979D2"/>
    <w:rsid w:val="004A18D8"/>
    <w:rsid w:val="004A313B"/>
    <w:rsid w:val="004A4E25"/>
    <w:rsid w:val="004D2146"/>
    <w:rsid w:val="004D6397"/>
    <w:rsid w:val="0051334D"/>
    <w:rsid w:val="005138A9"/>
    <w:rsid w:val="00574139"/>
    <w:rsid w:val="00586CFE"/>
    <w:rsid w:val="00587717"/>
    <w:rsid w:val="006401C4"/>
    <w:rsid w:val="00672C17"/>
    <w:rsid w:val="00677136"/>
    <w:rsid w:val="00681CFC"/>
    <w:rsid w:val="00693423"/>
    <w:rsid w:val="006C194C"/>
    <w:rsid w:val="006E1E05"/>
    <w:rsid w:val="006E1E9A"/>
    <w:rsid w:val="006F7B54"/>
    <w:rsid w:val="0072081C"/>
    <w:rsid w:val="00754498"/>
    <w:rsid w:val="00756ED3"/>
    <w:rsid w:val="00760908"/>
    <w:rsid w:val="007820F0"/>
    <w:rsid w:val="007A5D59"/>
    <w:rsid w:val="007C79D7"/>
    <w:rsid w:val="007D16A7"/>
    <w:rsid w:val="007F0FD1"/>
    <w:rsid w:val="007F19B1"/>
    <w:rsid w:val="007F50D2"/>
    <w:rsid w:val="008155D0"/>
    <w:rsid w:val="00836C4D"/>
    <w:rsid w:val="00850C15"/>
    <w:rsid w:val="008E5B8A"/>
    <w:rsid w:val="0090778C"/>
    <w:rsid w:val="00923076"/>
    <w:rsid w:val="0094179B"/>
    <w:rsid w:val="00960892"/>
    <w:rsid w:val="009F2BA7"/>
    <w:rsid w:val="00A01101"/>
    <w:rsid w:val="00A13EFD"/>
    <w:rsid w:val="00A2134E"/>
    <w:rsid w:val="00AA4B33"/>
    <w:rsid w:val="00AB0CA2"/>
    <w:rsid w:val="00B10C71"/>
    <w:rsid w:val="00B25B19"/>
    <w:rsid w:val="00B43F00"/>
    <w:rsid w:val="00B83F4F"/>
    <w:rsid w:val="00BC3521"/>
    <w:rsid w:val="00BF56DF"/>
    <w:rsid w:val="00C2492B"/>
    <w:rsid w:val="00C5020B"/>
    <w:rsid w:val="00C7356D"/>
    <w:rsid w:val="00CA7248"/>
    <w:rsid w:val="00CB4EE9"/>
    <w:rsid w:val="00CE40E1"/>
    <w:rsid w:val="00CF7D5A"/>
    <w:rsid w:val="00D10A02"/>
    <w:rsid w:val="00D7180C"/>
    <w:rsid w:val="00D9382E"/>
    <w:rsid w:val="00DB3601"/>
    <w:rsid w:val="00DC2BF4"/>
    <w:rsid w:val="00DC6AC5"/>
    <w:rsid w:val="00DD72F7"/>
    <w:rsid w:val="00E46322"/>
    <w:rsid w:val="00E5456F"/>
    <w:rsid w:val="00E63476"/>
    <w:rsid w:val="00E73655"/>
    <w:rsid w:val="00EA3185"/>
    <w:rsid w:val="00EA6CA4"/>
    <w:rsid w:val="00EE2314"/>
    <w:rsid w:val="00EF48BB"/>
    <w:rsid w:val="00F03CE7"/>
    <w:rsid w:val="00F14326"/>
    <w:rsid w:val="00F20E40"/>
    <w:rsid w:val="00F45247"/>
    <w:rsid w:val="00F57B02"/>
    <w:rsid w:val="00F96AD8"/>
    <w:rsid w:val="00FA5410"/>
    <w:rsid w:val="00FE516E"/>
    <w:rsid w:val="00FE72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87232"/>
  <w15:chartTrackingRefBased/>
  <w15:docId w15:val="{4DA4A6D5-059E-44BF-9D08-87C7D969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10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10C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415C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4A4E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5A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5A1C"/>
    <w:rPr>
      <w:rFonts w:ascii="Segoe UI" w:hAnsi="Segoe UI" w:cs="Segoe UI"/>
      <w:sz w:val="18"/>
      <w:szCs w:val="18"/>
    </w:rPr>
  </w:style>
  <w:style w:type="character" w:customStyle="1" w:styleId="Titre1Car">
    <w:name w:val="Titre 1 Car"/>
    <w:basedOn w:val="Policepardfaut"/>
    <w:link w:val="Titre1"/>
    <w:uiPriority w:val="9"/>
    <w:rsid w:val="00B10C7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10C7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415C6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4A4E25"/>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A2134E"/>
    <w:pPr>
      <w:tabs>
        <w:tab w:val="center" w:pos="4680"/>
        <w:tab w:val="right" w:pos="9360"/>
      </w:tabs>
      <w:spacing w:after="0" w:line="240" w:lineRule="auto"/>
    </w:pPr>
  </w:style>
  <w:style w:type="character" w:customStyle="1" w:styleId="En-tteCar">
    <w:name w:val="En-tête Car"/>
    <w:basedOn w:val="Policepardfaut"/>
    <w:link w:val="En-tte"/>
    <w:uiPriority w:val="99"/>
    <w:rsid w:val="00A2134E"/>
  </w:style>
  <w:style w:type="paragraph" w:styleId="Pieddepage">
    <w:name w:val="footer"/>
    <w:basedOn w:val="Normal"/>
    <w:link w:val="PieddepageCar"/>
    <w:uiPriority w:val="99"/>
    <w:unhideWhenUsed/>
    <w:rsid w:val="00A2134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134E"/>
  </w:style>
  <w:style w:type="paragraph" w:styleId="Paragraphedeliste">
    <w:name w:val="List Paragraph"/>
    <w:basedOn w:val="Normal"/>
    <w:uiPriority w:val="34"/>
    <w:qFormat/>
    <w:rsid w:val="004A313B"/>
    <w:pPr>
      <w:ind w:left="720"/>
      <w:contextualSpacing/>
    </w:pPr>
    <w:rPr>
      <w:lang w:val="fr-CA"/>
    </w:rPr>
  </w:style>
  <w:style w:type="character" w:styleId="Marquedecommentaire">
    <w:name w:val="annotation reference"/>
    <w:basedOn w:val="Policepardfaut"/>
    <w:uiPriority w:val="99"/>
    <w:semiHidden/>
    <w:unhideWhenUsed/>
    <w:rsid w:val="00011B07"/>
    <w:rPr>
      <w:sz w:val="16"/>
      <w:szCs w:val="16"/>
    </w:rPr>
  </w:style>
  <w:style w:type="paragraph" w:styleId="Commentaire">
    <w:name w:val="annotation text"/>
    <w:basedOn w:val="Normal"/>
    <w:link w:val="CommentaireCar"/>
    <w:uiPriority w:val="99"/>
    <w:semiHidden/>
    <w:unhideWhenUsed/>
    <w:rsid w:val="00011B07"/>
    <w:pPr>
      <w:spacing w:line="240" w:lineRule="auto"/>
    </w:pPr>
    <w:rPr>
      <w:sz w:val="20"/>
      <w:szCs w:val="20"/>
    </w:rPr>
  </w:style>
  <w:style w:type="character" w:customStyle="1" w:styleId="CommentaireCar">
    <w:name w:val="Commentaire Car"/>
    <w:basedOn w:val="Policepardfaut"/>
    <w:link w:val="Commentaire"/>
    <w:uiPriority w:val="99"/>
    <w:semiHidden/>
    <w:rsid w:val="00011B07"/>
    <w:rPr>
      <w:sz w:val="20"/>
      <w:szCs w:val="20"/>
    </w:rPr>
  </w:style>
  <w:style w:type="paragraph" w:styleId="Objetducommentaire">
    <w:name w:val="annotation subject"/>
    <w:basedOn w:val="Commentaire"/>
    <w:next w:val="Commentaire"/>
    <w:link w:val="ObjetducommentaireCar"/>
    <w:uiPriority w:val="99"/>
    <w:semiHidden/>
    <w:unhideWhenUsed/>
    <w:rsid w:val="00011B07"/>
    <w:rPr>
      <w:b/>
      <w:bCs/>
    </w:rPr>
  </w:style>
  <w:style w:type="character" w:customStyle="1" w:styleId="ObjetducommentaireCar">
    <w:name w:val="Objet du commentaire Car"/>
    <w:basedOn w:val="CommentaireCar"/>
    <w:link w:val="Objetducommentaire"/>
    <w:uiPriority w:val="99"/>
    <w:semiHidden/>
    <w:rsid w:val="00011B07"/>
    <w:rPr>
      <w:b/>
      <w:bCs/>
      <w:sz w:val="20"/>
      <w:szCs w:val="20"/>
    </w:rPr>
  </w:style>
  <w:style w:type="character" w:styleId="Textedelespacerserv">
    <w:name w:val="Placeholder Text"/>
    <w:basedOn w:val="Policepardfaut"/>
    <w:uiPriority w:val="99"/>
    <w:semiHidden/>
    <w:rsid w:val="00124C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0681">
      <w:bodyDiv w:val="1"/>
      <w:marLeft w:val="0"/>
      <w:marRight w:val="0"/>
      <w:marTop w:val="0"/>
      <w:marBottom w:val="0"/>
      <w:divBdr>
        <w:top w:val="none" w:sz="0" w:space="0" w:color="auto"/>
        <w:left w:val="none" w:sz="0" w:space="0" w:color="auto"/>
        <w:bottom w:val="none" w:sz="0" w:space="0" w:color="auto"/>
        <w:right w:val="none" w:sz="0" w:space="0" w:color="auto"/>
      </w:divBdr>
    </w:div>
    <w:div w:id="276065705">
      <w:bodyDiv w:val="1"/>
      <w:marLeft w:val="0"/>
      <w:marRight w:val="0"/>
      <w:marTop w:val="0"/>
      <w:marBottom w:val="0"/>
      <w:divBdr>
        <w:top w:val="none" w:sz="0" w:space="0" w:color="auto"/>
        <w:left w:val="none" w:sz="0" w:space="0" w:color="auto"/>
        <w:bottom w:val="none" w:sz="0" w:space="0" w:color="auto"/>
        <w:right w:val="none" w:sz="0" w:space="0" w:color="auto"/>
      </w:divBdr>
    </w:div>
    <w:div w:id="374550875">
      <w:bodyDiv w:val="1"/>
      <w:marLeft w:val="0"/>
      <w:marRight w:val="0"/>
      <w:marTop w:val="0"/>
      <w:marBottom w:val="0"/>
      <w:divBdr>
        <w:top w:val="none" w:sz="0" w:space="0" w:color="auto"/>
        <w:left w:val="none" w:sz="0" w:space="0" w:color="auto"/>
        <w:bottom w:val="none" w:sz="0" w:space="0" w:color="auto"/>
        <w:right w:val="none" w:sz="0" w:space="0" w:color="auto"/>
      </w:divBdr>
    </w:div>
    <w:div w:id="447628036">
      <w:bodyDiv w:val="1"/>
      <w:marLeft w:val="0"/>
      <w:marRight w:val="0"/>
      <w:marTop w:val="0"/>
      <w:marBottom w:val="0"/>
      <w:divBdr>
        <w:top w:val="none" w:sz="0" w:space="0" w:color="auto"/>
        <w:left w:val="none" w:sz="0" w:space="0" w:color="auto"/>
        <w:bottom w:val="none" w:sz="0" w:space="0" w:color="auto"/>
        <w:right w:val="none" w:sz="0" w:space="0" w:color="auto"/>
      </w:divBdr>
    </w:div>
    <w:div w:id="697587661">
      <w:bodyDiv w:val="1"/>
      <w:marLeft w:val="0"/>
      <w:marRight w:val="0"/>
      <w:marTop w:val="0"/>
      <w:marBottom w:val="0"/>
      <w:divBdr>
        <w:top w:val="none" w:sz="0" w:space="0" w:color="auto"/>
        <w:left w:val="none" w:sz="0" w:space="0" w:color="auto"/>
        <w:bottom w:val="none" w:sz="0" w:space="0" w:color="auto"/>
        <w:right w:val="none" w:sz="0" w:space="0" w:color="auto"/>
      </w:divBdr>
    </w:div>
    <w:div w:id="926839729">
      <w:bodyDiv w:val="1"/>
      <w:marLeft w:val="0"/>
      <w:marRight w:val="0"/>
      <w:marTop w:val="0"/>
      <w:marBottom w:val="0"/>
      <w:divBdr>
        <w:top w:val="none" w:sz="0" w:space="0" w:color="auto"/>
        <w:left w:val="none" w:sz="0" w:space="0" w:color="auto"/>
        <w:bottom w:val="none" w:sz="0" w:space="0" w:color="auto"/>
        <w:right w:val="none" w:sz="0" w:space="0" w:color="auto"/>
      </w:divBdr>
    </w:div>
    <w:div w:id="1029339053">
      <w:bodyDiv w:val="1"/>
      <w:marLeft w:val="0"/>
      <w:marRight w:val="0"/>
      <w:marTop w:val="0"/>
      <w:marBottom w:val="0"/>
      <w:divBdr>
        <w:top w:val="none" w:sz="0" w:space="0" w:color="auto"/>
        <w:left w:val="none" w:sz="0" w:space="0" w:color="auto"/>
        <w:bottom w:val="none" w:sz="0" w:space="0" w:color="auto"/>
        <w:right w:val="none" w:sz="0" w:space="0" w:color="auto"/>
      </w:divBdr>
    </w:div>
    <w:div w:id="1155800706">
      <w:bodyDiv w:val="1"/>
      <w:marLeft w:val="0"/>
      <w:marRight w:val="0"/>
      <w:marTop w:val="0"/>
      <w:marBottom w:val="0"/>
      <w:divBdr>
        <w:top w:val="none" w:sz="0" w:space="0" w:color="auto"/>
        <w:left w:val="none" w:sz="0" w:space="0" w:color="auto"/>
        <w:bottom w:val="none" w:sz="0" w:space="0" w:color="auto"/>
        <w:right w:val="none" w:sz="0" w:space="0" w:color="auto"/>
      </w:divBdr>
    </w:div>
    <w:div w:id="1205555700">
      <w:bodyDiv w:val="1"/>
      <w:marLeft w:val="0"/>
      <w:marRight w:val="0"/>
      <w:marTop w:val="0"/>
      <w:marBottom w:val="0"/>
      <w:divBdr>
        <w:top w:val="none" w:sz="0" w:space="0" w:color="auto"/>
        <w:left w:val="none" w:sz="0" w:space="0" w:color="auto"/>
        <w:bottom w:val="none" w:sz="0" w:space="0" w:color="auto"/>
        <w:right w:val="none" w:sz="0" w:space="0" w:color="auto"/>
      </w:divBdr>
    </w:div>
    <w:div w:id="1358701636">
      <w:bodyDiv w:val="1"/>
      <w:marLeft w:val="0"/>
      <w:marRight w:val="0"/>
      <w:marTop w:val="0"/>
      <w:marBottom w:val="0"/>
      <w:divBdr>
        <w:top w:val="none" w:sz="0" w:space="0" w:color="auto"/>
        <w:left w:val="none" w:sz="0" w:space="0" w:color="auto"/>
        <w:bottom w:val="none" w:sz="0" w:space="0" w:color="auto"/>
        <w:right w:val="none" w:sz="0" w:space="0" w:color="auto"/>
      </w:divBdr>
    </w:div>
    <w:div w:id="1449200203">
      <w:bodyDiv w:val="1"/>
      <w:marLeft w:val="0"/>
      <w:marRight w:val="0"/>
      <w:marTop w:val="0"/>
      <w:marBottom w:val="0"/>
      <w:divBdr>
        <w:top w:val="none" w:sz="0" w:space="0" w:color="auto"/>
        <w:left w:val="none" w:sz="0" w:space="0" w:color="auto"/>
        <w:bottom w:val="none" w:sz="0" w:space="0" w:color="auto"/>
        <w:right w:val="none" w:sz="0" w:space="0" w:color="auto"/>
      </w:divBdr>
      <w:divsChild>
        <w:div w:id="1921985974">
          <w:marLeft w:val="480"/>
          <w:marRight w:val="0"/>
          <w:marTop w:val="0"/>
          <w:marBottom w:val="0"/>
          <w:divBdr>
            <w:top w:val="none" w:sz="0" w:space="0" w:color="auto"/>
            <w:left w:val="none" w:sz="0" w:space="0" w:color="auto"/>
            <w:bottom w:val="none" w:sz="0" w:space="0" w:color="auto"/>
            <w:right w:val="none" w:sz="0" w:space="0" w:color="auto"/>
          </w:divBdr>
        </w:div>
        <w:div w:id="978221824">
          <w:marLeft w:val="480"/>
          <w:marRight w:val="0"/>
          <w:marTop w:val="0"/>
          <w:marBottom w:val="0"/>
          <w:divBdr>
            <w:top w:val="none" w:sz="0" w:space="0" w:color="auto"/>
            <w:left w:val="none" w:sz="0" w:space="0" w:color="auto"/>
            <w:bottom w:val="none" w:sz="0" w:space="0" w:color="auto"/>
            <w:right w:val="none" w:sz="0" w:space="0" w:color="auto"/>
          </w:divBdr>
        </w:div>
        <w:div w:id="1802646650">
          <w:marLeft w:val="480"/>
          <w:marRight w:val="0"/>
          <w:marTop w:val="0"/>
          <w:marBottom w:val="0"/>
          <w:divBdr>
            <w:top w:val="none" w:sz="0" w:space="0" w:color="auto"/>
            <w:left w:val="none" w:sz="0" w:space="0" w:color="auto"/>
            <w:bottom w:val="none" w:sz="0" w:space="0" w:color="auto"/>
            <w:right w:val="none" w:sz="0" w:space="0" w:color="auto"/>
          </w:divBdr>
        </w:div>
        <w:div w:id="1302922537">
          <w:marLeft w:val="480"/>
          <w:marRight w:val="0"/>
          <w:marTop w:val="0"/>
          <w:marBottom w:val="0"/>
          <w:divBdr>
            <w:top w:val="none" w:sz="0" w:space="0" w:color="auto"/>
            <w:left w:val="none" w:sz="0" w:space="0" w:color="auto"/>
            <w:bottom w:val="none" w:sz="0" w:space="0" w:color="auto"/>
            <w:right w:val="none" w:sz="0" w:space="0" w:color="auto"/>
          </w:divBdr>
        </w:div>
        <w:div w:id="1899827207">
          <w:marLeft w:val="480"/>
          <w:marRight w:val="0"/>
          <w:marTop w:val="0"/>
          <w:marBottom w:val="0"/>
          <w:divBdr>
            <w:top w:val="none" w:sz="0" w:space="0" w:color="auto"/>
            <w:left w:val="none" w:sz="0" w:space="0" w:color="auto"/>
            <w:bottom w:val="none" w:sz="0" w:space="0" w:color="auto"/>
            <w:right w:val="none" w:sz="0" w:space="0" w:color="auto"/>
          </w:divBdr>
        </w:div>
        <w:div w:id="1984314179">
          <w:marLeft w:val="480"/>
          <w:marRight w:val="0"/>
          <w:marTop w:val="0"/>
          <w:marBottom w:val="0"/>
          <w:divBdr>
            <w:top w:val="none" w:sz="0" w:space="0" w:color="auto"/>
            <w:left w:val="none" w:sz="0" w:space="0" w:color="auto"/>
            <w:bottom w:val="none" w:sz="0" w:space="0" w:color="auto"/>
            <w:right w:val="none" w:sz="0" w:space="0" w:color="auto"/>
          </w:divBdr>
        </w:div>
        <w:div w:id="280772781">
          <w:marLeft w:val="480"/>
          <w:marRight w:val="0"/>
          <w:marTop w:val="0"/>
          <w:marBottom w:val="0"/>
          <w:divBdr>
            <w:top w:val="none" w:sz="0" w:space="0" w:color="auto"/>
            <w:left w:val="none" w:sz="0" w:space="0" w:color="auto"/>
            <w:bottom w:val="none" w:sz="0" w:space="0" w:color="auto"/>
            <w:right w:val="none" w:sz="0" w:space="0" w:color="auto"/>
          </w:divBdr>
        </w:div>
        <w:div w:id="1067920918">
          <w:marLeft w:val="480"/>
          <w:marRight w:val="0"/>
          <w:marTop w:val="0"/>
          <w:marBottom w:val="0"/>
          <w:divBdr>
            <w:top w:val="none" w:sz="0" w:space="0" w:color="auto"/>
            <w:left w:val="none" w:sz="0" w:space="0" w:color="auto"/>
            <w:bottom w:val="none" w:sz="0" w:space="0" w:color="auto"/>
            <w:right w:val="none" w:sz="0" w:space="0" w:color="auto"/>
          </w:divBdr>
        </w:div>
        <w:div w:id="215555944">
          <w:marLeft w:val="480"/>
          <w:marRight w:val="0"/>
          <w:marTop w:val="0"/>
          <w:marBottom w:val="0"/>
          <w:divBdr>
            <w:top w:val="none" w:sz="0" w:space="0" w:color="auto"/>
            <w:left w:val="none" w:sz="0" w:space="0" w:color="auto"/>
            <w:bottom w:val="none" w:sz="0" w:space="0" w:color="auto"/>
            <w:right w:val="none" w:sz="0" w:space="0" w:color="auto"/>
          </w:divBdr>
        </w:div>
        <w:div w:id="1937665066">
          <w:marLeft w:val="480"/>
          <w:marRight w:val="0"/>
          <w:marTop w:val="0"/>
          <w:marBottom w:val="0"/>
          <w:divBdr>
            <w:top w:val="none" w:sz="0" w:space="0" w:color="auto"/>
            <w:left w:val="none" w:sz="0" w:space="0" w:color="auto"/>
            <w:bottom w:val="none" w:sz="0" w:space="0" w:color="auto"/>
            <w:right w:val="none" w:sz="0" w:space="0" w:color="auto"/>
          </w:divBdr>
        </w:div>
        <w:div w:id="1032153203">
          <w:marLeft w:val="480"/>
          <w:marRight w:val="0"/>
          <w:marTop w:val="0"/>
          <w:marBottom w:val="0"/>
          <w:divBdr>
            <w:top w:val="none" w:sz="0" w:space="0" w:color="auto"/>
            <w:left w:val="none" w:sz="0" w:space="0" w:color="auto"/>
            <w:bottom w:val="none" w:sz="0" w:space="0" w:color="auto"/>
            <w:right w:val="none" w:sz="0" w:space="0" w:color="auto"/>
          </w:divBdr>
        </w:div>
        <w:div w:id="772433090">
          <w:marLeft w:val="480"/>
          <w:marRight w:val="0"/>
          <w:marTop w:val="0"/>
          <w:marBottom w:val="0"/>
          <w:divBdr>
            <w:top w:val="none" w:sz="0" w:space="0" w:color="auto"/>
            <w:left w:val="none" w:sz="0" w:space="0" w:color="auto"/>
            <w:bottom w:val="none" w:sz="0" w:space="0" w:color="auto"/>
            <w:right w:val="none" w:sz="0" w:space="0" w:color="auto"/>
          </w:divBdr>
        </w:div>
        <w:div w:id="224418554">
          <w:marLeft w:val="480"/>
          <w:marRight w:val="0"/>
          <w:marTop w:val="0"/>
          <w:marBottom w:val="0"/>
          <w:divBdr>
            <w:top w:val="none" w:sz="0" w:space="0" w:color="auto"/>
            <w:left w:val="none" w:sz="0" w:space="0" w:color="auto"/>
            <w:bottom w:val="none" w:sz="0" w:space="0" w:color="auto"/>
            <w:right w:val="none" w:sz="0" w:space="0" w:color="auto"/>
          </w:divBdr>
        </w:div>
        <w:div w:id="1410272135">
          <w:marLeft w:val="480"/>
          <w:marRight w:val="0"/>
          <w:marTop w:val="0"/>
          <w:marBottom w:val="0"/>
          <w:divBdr>
            <w:top w:val="none" w:sz="0" w:space="0" w:color="auto"/>
            <w:left w:val="none" w:sz="0" w:space="0" w:color="auto"/>
            <w:bottom w:val="none" w:sz="0" w:space="0" w:color="auto"/>
            <w:right w:val="none" w:sz="0" w:space="0" w:color="auto"/>
          </w:divBdr>
        </w:div>
        <w:div w:id="904756136">
          <w:marLeft w:val="480"/>
          <w:marRight w:val="0"/>
          <w:marTop w:val="0"/>
          <w:marBottom w:val="0"/>
          <w:divBdr>
            <w:top w:val="none" w:sz="0" w:space="0" w:color="auto"/>
            <w:left w:val="none" w:sz="0" w:space="0" w:color="auto"/>
            <w:bottom w:val="none" w:sz="0" w:space="0" w:color="auto"/>
            <w:right w:val="none" w:sz="0" w:space="0" w:color="auto"/>
          </w:divBdr>
        </w:div>
        <w:div w:id="1976520629">
          <w:marLeft w:val="480"/>
          <w:marRight w:val="0"/>
          <w:marTop w:val="0"/>
          <w:marBottom w:val="0"/>
          <w:divBdr>
            <w:top w:val="none" w:sz="0" w:space="0" w:color="auto"/>
            <w:left w:val="none" w:sz="0" w:space="0" w:color="auto"/>
            <w:bottom w:val="none" w:sz="0" w:space="0" w:color="auto"/>
            <w:right w:val="none" w:sz="0" w:space="0" w:color="auto"/>
          </w:divBdr>
        </w:div>
        <w:div w:id="1728141513">
          <w:marLeft w:val="480"/>
          <w:marRight w:val="0"/>
          <w:marTop w:val="0"/>
          <w:marBottom w:val="0"/>
          <w:divBdr>
            <w:top w:val="none" w:sz="0" w:space="0" w:color="auto"/>
            <w:left w:val="none" w:sz="0" w:space="0" w:color="auto"/>
            <w:bottom w:val="none" w:sz="0" w:space="0" w:color="auto"/>
            <w:right w:val="none" w:sz="0" w:space="0" w:color="auto"/>
          </w:divBdr>
        </w:div>
        <w:div w:id="1209680394">
          <w:marLeft w:val="480"/>
          <w:marRight w:val="0"/>
          <w:marTop w:val="0"/>
          <w:marBottom w:val="0"/>
          <w:divBdr>
            <w:top w:val="none" w:sz="0" w:space="0" w:color="auto"/>
            <w:left w:val="none" w:sz="0" w:space="0" w:color="auto"/>
            <w:bottom w:val="none" w:sz="0" w:space="0" w:color="auto"/>
            <w:right w:val="none" w:sz="0" w:space="0" w:color="auto"/>
          </w:divBdr>
        </w:div>
        <w:div w:id="89664297">
          <w:marLeft w:val="480"/>
          <w:marRight w:val="0"/>
          <w:marTop w:val="0"/>
          <w:marBottom w:val="0"/>
          <w:divBdr>
            <w:top w:val="none" w:sz="0" w:space="0" w:color="auto"/>
            <w:left w:val="none" w:sz="0" w:space="0" w:color="auto"/>
            <w:bottom w:val="none" w:sz="0" w:space="0" w:color="auto"/>
            <w:right w:val="none" w:sz="0" w:space="0" w:color="auto"/>
          </w:divBdr>
        </w:div>
        <w:div w:id="1216620870">
          <w:marLeft w:val="480"/>
          <w:marRight w:val="0"/>
          <w:marTop w:val="0"/>
          <w:marBottom w:val="0"/>
          <w:divBdr>
            <w:top w:val="none" w:sz="0" w:space="0" w:color="auto"/>
            <w:left w:val="none" w:sz="0" w:space="0" w:color="auto"/>
            <w:bottom w:val="none" w:sz="0" w:space="0" w:color="auto"/>
            <w:right w:val="none" w:sz="0" w:space="0" w:color="auto"/>
          </w:divBdr>
        </w:div>
        <w:div w:id="64646918">
          <w:marLeft w:val="480"/>
          <w:marRight w:val="0"/>
          <w:marTop w:val="0"/>
          <w:marBottom w:val="0"/>
          <w:divBdr>
            <w:top w:val="none" w:sz="0" w:space="0" w:color="auto"/>
            <w:left w:val="none" w:sz="0" w:space="0" w:color="auto"/>
            <w:bottom w:val="none" w:sz="0" w:space="0" w:color="auto"/>
            <w:right w:val="none" w:sz="0" w:space="0" w:color="auto"/>
          </w:divBdr>
        </w:div>
        <w:div w:id="1873029117">
          <w:marLeft w:val="480"/>
          <w:marRight w:val="0"/>
          <w:marTop w:val="0"/>
          <w:marBottom w:val="0"/>
          <w:divBdr>
            <w:top w:val="none" w:sz="0" w:space="0" w:color="auto"/>
            <w:left w:val="none" w:sz="0" w:space="0" w:color="auto"/>
            <w:bottom w:val="none" w:sz="0" w:space="0" w:color="auto"/>
            <w:right w:val="none" w:sz="0" w:space="0" w:color="auto"/>
          </w:divBdr>
        </w:div>
        <w:div w:id="372313489">
          <w:marLeft w:val="480"/>
          <w:marRight w:val="0"/>
          <w:marTop w:val="0"/>
          <w:marBottom w:val="0"/>
          <w:divBdr>
            <w:top w:val="none" w:sz="0" w:space="0" w:color="auto"/>
            <w:left w:val="none" w:sz="0" w:space="0" w:color="auto"/>
            <w:bottom w:val="none" w:sz="0" w:space="0" w:color="auto"/>
            <w:right w:val="none" w:sz="0" w:space="0" w:color="auto"/>
          </w:divBdr>
        </w:div>
        <w:div w:id="2048330381">
          <w:marLeft w:val="480"/>
          <w:marRight w:val="0"/>
          <w:marTop w:val="0"/>
          <w:marBottom w:val="0"/>
          <w:divBdr>
            <w:top w:val="none" w:sz="0" w:space="0" w:color="auto"/>
            <w:left w:val="none" w:sz="0" w:space="0" w:color="auto"/>
            <w:bottom w:val="none" w:sz="0" w:space="0" w:color="auto"/>
            <w:right w:val="none" w:sz="0" w:space="0" w:color="auto"/>
          </w:divBdr>
        </w:div>
        <w:div w:id="1327436307">
          <w:marLeft w:val="480"/>
          <w:marRight w:val="0"/>
          <w:marTop w:val="0"/>
          <w:marBottom w:val="0"/>
          <w:divBdr>
            <w:top w:val="none" w:sz="0" w:space="0" w:color="auto"/>
            <w:left w:val="none" w:sz="0" w:space="0" w:color="auto"/>
            <w:bottom w:val="none" w:sz="0" w:space="0" w:color="auto"/>
            <w:right w:val="none" w:sz="0" w:space="0" w:color="auto"/>
          </w:divBdr>
        </w:div>
        <w:div w:id="1704282928">
          <w:marLeft w:val="480"/>
          <w:marRight w:val="0"/>
          <w:marTop w:val="0"/>
          <w:marBottom w:val="0"/>
          <w:divBdr>
            <w:top w:val="none" w:sz="0" w:space="0" w:color="auto"/>
            <w:left w:val="none" w:sz="0" w:space="0" w:color="auto"/>
            <w:bottom w:val="none" w:sz="0" w:space="0" w:color="auto"/>
            <w:right w:val="none" w:sz="0" w:space="0" w:color="auto"/>
          </w:divBdr>
        </w:div>
        <w:div w:id="136537458">
          <w:marLeft w:val="480"/>
          <w:marRight w:val="0"/>
          <w:marTop w:val="0"/>
          <w:marBottom w:val="0"/>
          <w:divBdr>
            <w:top w:val="none" w:sz="0" w:space="0" w:color="auto"/>
            <w:left w:val="none" w:sz="0" w:space="0" w:color="auto"/>
            <w:bottom w:val="none" w:sz="0" w:space="0" w:color="auto"/>
            <w:right w:val="none" w:sz="0" w:space="0" w:color="auto"/>
          </w:divBdr>
        </w:div>
        <w:div w:id="1899978104">
          <w:marLeft w:val="480"/>
          <w:marRight w:val="0"/>
          <w:marTop w:val="0"/>
          <w:marBottom w:val="0"/>
          <w:divBdr>
            <w:top w:val="none" w:sz="0" w:space="0" w:color="auto"/>
            <w:left w:val="none" w:sz="0" w:space="0" w:color="auto"/>
            <w:bottom w:val="none" w:sz="0" w:space="0" w:color="auto"/>
            <w:right w:val="none" w:sz="0" w:space="0" w:color="auto"/>
          </w:divBdr>
        </w:div>
      </w:divsChild>
    </w:div>
    <w:div w:id="1497526801">
      <w:bodyDiv w:val="1"/>
      <w:marLeft w:val="0"/>
      <w:marRight w:val="0"/>
      <w:marTop w:val="0"/>
      <w:marBottom w:val="0"/>
      <w:divBdr>
        <w:top w:val="none" w:sz="0" w:space="0" w:color="auto"/>
        <w:left w:val="none" w:sz="0" w:space="0" w:color="auto"/>
        <w:bottom w:val="none" w:sz="0" w:space="0" w:color="auto"/>
        <w:right w:val="none" w:sz="0" w:space="0" w:color="auto"/>
      </w:divBdr>
    </w:div>
    <w:div w:id="1515730940">
      <w:bodyDiv w:val="1"/>
      <w:marLeft w:val="0"/>
      <w:marRight w:val="0"/>
      <w:marTop w:val="0"/>
      <w:marBottom w:val="0"/>
      <w:divBdr>
        <w:top w:val="none" w:sz="0" w:space="0" w:color="auto"/>
        <w:left w:val="none" w:sz="0" w:space="0" w:color="auto"/>
        <w:bottom w:val="none" w:sz="0" w:space="0" w:color="auto"/>
        <w:right w:val="none" w:sz="0" w:space="0" w:color="auto"/>
      </w:divBdr>
    </w:div>
    <w:div w:id="1632515772">
      <w:bodyDiv w:val="1"/>
      <w:marLeft w:val="0"/>
      <w:marRight w:val="0"/>
      <w:marTop w:val="0"/>
      <w:marBottom w:val="0"/>
      <w:divBdr>
        <w:top w:val="none" w:sz="0" w:space="0" w:color="auto"/>
        <w:left w:val="none" w:sz="0" w:space="0" w:color="auto"/>
        <w:bottom w:val="none" w:sz="0" w:space="0" w:color="auto"/>
        <w:right w:val="none" w:sz="0" w:space="0" w:color="auto"/>
      </w:divBdr>
    </w:div>
    <w:div w:id="1687125755">
      <w:bodyDiv w:val="1"/>
      <w:marLeft w:val="0"/>
      <w:marRight w:val="0"/>
      <w:marTop w:val="0"/>
      <w:marBottom w:val="0"/>
      <w:divBdr>
        <w:top w:val="none" w:sz="0" w:space="0" w:color="auto"/>
        <w:left w:val="none" w:sz="0" w:space="0" w:color="auto"/>
        <w:bottom w:val="none" w:sz="0" w:space="0" w:color="auto"/>
        <w:right w:val="none" w:sz="0" w:space="0" w:color="auto"/>
      </w:divBdr>
    </w:div>
    <w:div w:id="1756824961">
      <w:bodyDiv w:val="1"/>
      <w:marLeft w:val="0"/>
      <w:marRight w:val="0"/>
      <w:marTop w:val="0"/>
      <w:marBottom w:val="0"/>
      <w:divBdr>
        <w:top w:val="none" w:sz="0" w:space="0" w:color="auto"/>
        <w:left w:val="none" w:sz="0" w:space="0" w:color="auto"/>
        <w:bottom w:val="none" w:sz="0" w:space="0" w:color="auto"/>
        <w:right w:val="none" w:sz="0" w:space="0" w:color="auto"/>
      </w:divBdr>
    </w:div>
    <w:div w:id="1806970702">
      <w:bodyDiv w:val="1"/>
      <w:marLeft w:val="0"/>
      <w:marRight w:val="0"/>
      <w:marTop w:val="0"/>
      <w:marBottom w:val="0"/>
      <w:divBdr>
        <w:top w:val="none" w:sz="0" w:space="0" w:color="auto"/>
        <w:left w:val="none" w:sz="0" w:space="0" w:color="auto"/>
        <w:bottom w:val="none" w:sz="0" w:space="0" w:color="auto"/>
        <w:right w:val="none" w:sz="0" w:space="0" w:color="auto"/>
      </w:divBdr>
    </w:div>
    <w:div w:id="1897549679">
      <w:bodyDiv w:val="1"/>
      <w:marLeft w:val="0"/>
      <w:marRight w:val="0"/>
      <w:marTop w:val="0"/>
      <w:marBottom w:val="0"/>
      <w:divBdr>
        <w:top w:val="none" w:sz="0" w:space="0" w:color="auto"/>
        <w:left w:val="none" w:sz="0" w:space="0" w:color="auto"/>
        <w:bottom w:val="none" w:sz="0" w:space="0" w:color="auto"/>
        <w:right w:val="none" w:sz="0" w:space="0" w:color="auto"/>
      </w:divBdr>
    </w:div>
    <w:div w:id="2044747786">
      <w:bodyDiv w:val="1"/>
      <w:marLeft w:val="0"/>
      <w:marRight w:val="0"/>
      <w:marTop w:val="0"/>
      <w:marBottom w:val="0"/>
      <w:divBdr>
        <w:top w:val="none" w:sz="0" w:space="0" w:color="auto"/>
        <w:left w:val="none" w:sz="0" w:space="0" w:color="auto"/>
        <w:bottom w:val="none" w:sz="0" w:space="0" w:color="auto"/>
        <w:right w:val="none" w:sz="0" w:space="0" w:color="auto"/>
      </w:divBdr>
    </w:div>
    <w:div w:id="2135320591">
      <w:bodyDiv w:val="1"/>
      <w:marLeft w:val="0"/>
      <w:marRight w:val="0"/>
      <w:marTop w:val="0"/>
      <w:marBottom w:val="0"/>
      <w:divBdr>
        <w:top w:val="none" w:sz="0" w:space="0" w:color="auto"/>
        <w:left w:val="none" w:sz="0" w:space="0" w:color="auto"/>
        <w:bottom w:val="none" w:sz="0" w:space="0" w:color="auto"/>
        <w:right w:val="none" w:sz="0" w:space="0" w:color="auto"/>
      </w:divBdr>
    </w:div>
    <w:div w:id="21422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D2A005-961F-4B06-B841-D567CD9B2557}">
  <we:reference id="f78a3046-9e99-4300-aa2b-5814002b01a2" version="1.46.0.0" store="EXCatalog" storeType="EXCatalog"/>
  <we:alternateReferences>
    <we:reference id="WA104382081" version="1.46.0.0" store="fr-CA" storeType="OMEX"/>
  </we:alternateReferences>
  <we:properties>
    <we:property name="MENDELEY_CITATIONS" value="[]"/>
    <we:property name="MENDELEY_CITATIONS_STYLE" value="{&quot;id&quot;:&quot;https://csl.mendeley.com/styles/118647311/apa-6th-edition&quot;,&quot;title&quot;:&quot;American Psychological Association 6th edition - Alexandra Chapdelaine&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902EBBE148E46A5AE8AB7CF664B63" ma:contentTypeVersion="12" ma:contentTypeDescription="Crée un document." ma:contentTypeScope="" ma:versionID="55e528293abef2299d4411861236d149">
  <xsd:schema xmlns:xsd="http://www.w3.org/2001/XMLSchema" xmlns:xs="http://www.w3.org/2001/XMLSchema" xmlns:p="http://schemas.microsoft.com/office/2006/metadata/properties" xmlns:ns3="c4af3a52-5100-460e-ae87-1734c5d87f24" xmlns:ns4="7ef97c41-6e32-4339-8167-dd95c9b2c5b6" targetNamespace="http://schemas.microsoft.com/office/2006/metadata/properties" ma:root="true" ma:fieldsID="7c7a20b2b71cacb4be11d66625fec6b8" ns3:_="" ns4:_="">
    <xsd:import namespace="c4af3a52-5100-460e-ae87-1734c5d87f24"/>
    <xsd:import namespace="7ef97c41-6e32-4339-8167-dd95c9b2c5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f3a52-5100-460e-ae87-1734c5d87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97c41-6e32-4339-8167-dd95c9b2c5b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1E208-FCAE-4210-BF8F-CA4FF4A18C57}">
  <ds:schemaRefs>
    <ds:schemaRef ds:uri="http://schemas.microsoft.com/sharepoint/v3/contenttype/forms"/>
  </ds:schemaRefs>
</ds:datastoreItem>
</file>

<file path=customXml/itemProps2.xml><?xml version="1.0" encoding="utf-8"?>
<ds:datastoreItem xmlns:ds="http://schemas.openxmlformats.org/officeDocument/2006/customXml" ds:itemID="{C7D03E34-B678-430F-94B4-2847BA445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f3a52-5100-460e-ae87-1734c5d87f24"/>
    <ds:schemaRef ds:uri="7ef97c41-6e32-4339-8167-dd95c9b2c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A9417-8CF3-4CBC-A903-A204FDAD8729}">
  <ds:schemaRefs>
    <ds:schemaRef ds:uri="http://schemas.openxmlformats.org/officeDocument/2006/bibliography"/>
  </ds:schemaRefs>
</ds:datastoreItem>
</file>

<file path=customXml/itemProps4.xml><?xml version="1.0" encoding="utf-8"?>
<ds:datastoreItem xmlns:ds="http://schemas.openxmlformats.org/officeDocument/2006/customXml" ds:itemID="{87EAC8B9-36F5-4F58-9C39-2C4B45F5B3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2006</Words>
  <Characters>13366</Characters>
  <Application>Microsoft Office Word</Application>
  <DocSecurity>0</DocSecurity>
  <Lines>215</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Chapdelaine</dc:creator>
  <cp:keywords/>
  <dc:description/>
  <cp:lastModifiedBy>Alexandra Chapdelaine</cp:lastModifiedBy>
  <cp:revision>31</cp:revision>
  <dcterms:created xsi:type="dcterms:W3CDTF">2021-11-11T16:19:00Z</dcterms:created>
  <dcterms:modified xsi:type="dcterms:W3CDTF">2022-12-03T16:42:00Z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http://csl.mendeley.com/styles/118647311/american-medical-association-no-url</vt:lpwstr>
  </property>
  <property fmtid="{D5CDD505-2E9C-101B-9397-08002B2CF9AE}" pid="3" name="Mendeley Recent Style Name 0_1">
    <vt:lpwstr>American Medical Association (no URL) - Alexandra Chapdelaine</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http://csl.mendeley.com/styles/118647311/apa-6th-edition</vt:lpwstr>
  </property>
  <property fmtid="{D5CDD505-2E9C-101B-9397-08002B2CF9AE}" pid="7" name="Mendeley Recent Style Name 2_1">
    <vt:lpwstr>American Psychological Association 6th edition - Alexandra Chapdelaine</vt:lpwstr>
  </property>
  <property fmtid="{D5CDD505-2E9C-101B-9397-08002B2CF9AE}" pid="8" name="Mendeley Recent Style Id 3_1">
    <vt:lpwstr>https://csl.mendeley.com/styles/118647311/apa-6th-edition</vt:lpwstr>
  </property>
  <property fmtid="{D5CDD505-2E9C-101B-9397-08002B2CF9AE}" pid="9" name="Mendeley Recent Style Name 3_1">
    <vt:lpwstr>American Psychological Association 6th edition - Alexandra Chapdelaine</vt:lpwstr>
  </property>
  <property fmtid="{D5CDD505-2E9C-101B-9397-08002B2CF9AE}" pid="10" name="Mendeley Recent Style Id 4_1">
    <vt:lpwstr>http://www.zotero.org/styles/bmc-health-services-research</vt:lpwstr>
  </property>
  <property fmtid="{D5CDD505-2E9C-101B-9397-08002B2CF9AE}" pid="11" name="Mendeley Recent Style Name 4_1">
    <vt:lpwstr>BMC Health Services Research</vt:lpwstr>
  </property>
  <property fmtid="{D5CDD505-2E9C-101B-9397-08002B2CF9AE}" pid="12" name="Mendeley Recent Style Id 5_1">
    <vt:lpwstr>http://www.zotero.org/styles/behaviour-research-and-therapy</vt:lpwstr>
  </property>
  <property fmtid="{D5CDD505-2E9C-101B-9397-08002B2CF9AE}" pid="13" name="Mendeley Recent Style Name 5_1">
    <vt:lpwstr>Behaviour Research and Therapy</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http://www.zotero.org/styles/psychological-medicine</vt:lpwstr>
  </property>
  <property fmtid="{D5CDD505-2E9C-101B-9397-08002B2CF9AE}" pid="21" name="Mendeley Recent Style Name 9_1">
    <vt:lpwstr>Psychological Medicine</vt:lpwstr>
  </property>
  <property fmtid="{D5CDD505-2E9C-101B-9397-08002B2CF9AE}" pid="22" name="Mendeley Document_1">
    <vt:lpwstr>True</vt:lpwstr>
  </property>
  <property fmtid="{D5CDD505-2E9C-101B-9397-08002B2CF9AE}" pid="23" name="Mendeley Unique User Id_1">
    <vt:lpwstr>876a7e0b-1da9-32e5-8646-4454d9c3bc08</vt:lpwstr>
  </property>
  <property fmtid="{D5CDD505-2E9C-101B-9397-08002B2CF9AE}" pid="24" name="Mendeley Citation Style_1">
    <vt:lpwstr>http://csl.mendeley.com/styles/118647311/apa-6th-edition</vt:lpwstr>
  </property>
  <property fmtid="{D5CDD505-2E9C-101B-9397-08002B2CF9AE}" pid="25" name="ContentTypeId">
    <vt:lpwstr>0x0101003D0902EBBE148E46A5AE8AB7CF664B63</vt:lpwstr>
  </property>
  <property fmtid="{D5CDD505-2E9C-101B-9397-08002B2CF9AE}" pid="26" name="GrammarlyDocumentId">
    <vt:lpwstr>bdb37cc47fba6cc33f2febd8a21fbd7db6e77c4a001837f39f9154f84c5c5699</vt:lpwstr>
  </property>
</Properties>
</file>