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8035" w14:textId="77877AAB" w:rsidR="00FF1C3B" w:rsidRDefault="003B4D26" w:rsidP="00740A78">
      <w:pPr>
        <w:jc w:val="center"/>
        <w:rPr>
          <w:sz w:val="24"/>
          <w:szCs w:val="24"/>
        </w:rPr>
      </w:pPr>
      <w:r>
        <w:rPr>
          <w:b/>
          <w:bCs/>
          <w:sz w:val="32"/>
          <w:szCs w:val="32"/>
          <w:u w:val="single"/>
        </w:rPr>
        <w:t>Supplement One</w:t>
      </w:r>
    </w:p>
    <w:p w14:paraId="0DC628C6" w14:textId="77777777" w:rsidR="007474A5" w:rsidRDefault="007474A5" w:rsidP="007474A5">
      <w:pPr>
        <w:pStyle w:val="TOCHeading"/>
      </w:pPr>
    </w:p>
    <w:sdt>
      <w:sdtPr>
        <w:id w:val="213243004"/>
        <w:docPartObj>
          <w:docPartGallery w:val="Table of Contents"/>
          <w:docPartUnique/>
        </w:docPartObj>
      </w:sdtPr>
      <w:sdtEndPr>
        <w:rPr>
          <w:rFonts w:asciiTheme="minorHAnsi" w:eastAsiaTheme="minorHAnsi" w:hAnsiTheme="minorHAnsi" w:cstheme="minorBidi"/>
          <w:b/>
          <w:bCs/>
          <w:noProof/>
          <w:sz w:val="22"/>
          <w:szCs w:val="22"/>
          <w:u w:val="none"/>
          <w:lang w:val="en-GB"/>
        </w:rPr>
      </w:sdtEndPr>
      <w:sdtContent>
        <w:p w14:paraId="2B19FC2C" w14:textId="2430FCB2" w:rsidR="007474A5" w:rsidRDefault="007474A5">
          <w:pPr>
            <w:pStyle w:val="TOCHeading"/>
          </w:pPr>
          <w:r>
            <w:t>Contents</w:t>
          </w:r>
        </w:p>
        <w:p w14:paraId="235AB7FC" w14:textId="36E63E4A" w:rsidR="000D0706" w:rsidRDefault="007474A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9994163" w:history="1">
            <w:r w:rsidR="000D0706" w:rsidRPr="006F4063">
              <w:rPr>
                <w:rStyle w:val="Hyperlink"/>
                <w:noProof/>
              </w:rPr>
              <w:t>Supplementary Tables</w:t>
            </w:r>
            <w:r w:rsidR="000D0706">
              <w:rPr>
                <w:noProof/>
                <w:webHidden/>
              </w:rPr>
              <w:tab/>
            </w:r>
            <w:r w:rsidR="000D0706">
              <w:rPr>
                <w:noProof/>
                <w:webHidden/>
              </w:rPr>
              <w:fldChar w:fldCharType="begin"/>
            </w:r>
            <w:r w:rsidR="000D0706">
              <w:rPr>
                <w:noProof/>
                <w:webHidden/>
              </w:rPr>
              <w:instrText xml:space="preserve"> PAGEREF _Toc109994163 \h </w:instrText>
            </w:r>
            <w:r w:rsidR="000D0706">
              <w:rPr>
                <w:noProof/>
                <w:webHidden/>
              </w:rPr>
            </w:r>
            <w:r w:rsidR="000D0706">
              <w:rPr>
                <w:noProof/>
                <w:webHidden/>
              </w:rPr>
              <w:fldChar w:fldCharType="separate"/>
            </w:r>
            <w:r w:rsidR="000D0706">
              <w:rPr>
                <w:noProof/>
                <w:webHidden/>
              </w:rPr>
              <w:t>2</w:t>
            </w:r>
            <w:r w:rsidR="000D0706">
              <w:rPr>
                <w:noProof/>
                <w:webHidden/>
              </w:rPr>
              <w:fldChar w:fldCharType="end"/>
            </w:r>
          </w:hyperlink>
        </w:p>
        <w:p w14:paraId="6A50F4B8" w14:textId="7DD2E3CF" w:rsidR="000D0706" w:rsidRDefault="000D0706">
          <w:pPr>
            <w:pStyle w:val="TOC2"/>
            <w:tabs>
              <w:tab w:val="right" w:leader="dot" w:pos="9016"/>
            </w:tabs>
            <w:rPr>
              <w:rFonts w:eastAsiaTheme="minorEastAsia"/>
              <w:noProof/>
              <w:lang w:eastAsia="en-GB"/>
            </w:rPr>
          </w:pPr>
          <w:hyperlink w:anchor="_Toc109994164" w:history="1">
            <w:r w:rsidRPr="006F4063">
              <w:rPr>
                <w:rStyle w:val="Hyperlink"/>
                <w:iCs/>
                <w:noProof/>
              </w:rPr>
              <w:t>Supplementary Table 1: Observed</w:t>
            </w:r>
            <w:r w:rsidRPr="006F4063">
              <w:rPr>
                <w:rStyle w:val="Hyperlink"/>
                <w:noProof/>
              </w:rPr>
              <w:t xml:space="preserve"> Frequency of Examined Mental Health Conditions in Extended Autism Phenotype Cohort with Statistical Analysis of Difference to Core Autism Phenotype</w:t>
            </w:r>
            <w:r>
              <w:rPr>
                <w:noProof/>
                <w:webHidden/>
              </w:rPr>
              <w:tab/>
            </w:r>
            <w:r>
              <w:rPr>
                <w:noProof/>
                <w:webHidden/>
              </w:rPr>
              <w:fldChar w:fldCharType="begin"/>
            </w:r>
            <w:r>
              <w:rPr>
                <w:noProof/>
                <w:webHidden/>
              </w:rPr>
              <w:instrText xml:space="preserve"> PAGEREF _Toc109994164 \h </w:instrText>
            </w:r>
            <w:r>
              <w:rPr>
                <w:noProof/>
                <w:webHidden/>
              </w:rPr>
            </w:r>
            <w:r>
              <w:rPr>
                <w:noProof/>
                <w:webHidden/>
              </w:rPr>
              <w:fldChar w:fldCharType="separate"/>
            </w:r>
            <w:r>
              <w:rPr>
                <w:noProof/>
                <w:webHidden/>
              </w:rPr>
              <w:t>2</w:t>
            </w:r>
            <w:r>
              <w:rPr>
                <w:noProof/>
                <w:webHidden/>
              </w:rPr>
              <w:fldChar w:fldCharType="end"/>
            </w:r>
          </w:hyperlink>
        </w:p>
        <w:p w14:paraId="3EC91D32" w14:textId="75179881" w:rsidR="000D0706" w:rsidRDefault="000D0706">
          <w:pPr>
            <w:pStyle w:val="TOC2"/>
            <w:tabs>
              <w:tab w:val="right" w:leader="dot" w:pos="9016"/>
            </w:tabs>
            <w:rPr>
              <w:rFonts w:eastAsiaTheme="minorEastAsia"/>
              <w:noProof/>
              <w:lang w:eastAsia="en-GB"/>
            </w:rPr>
          </w:pPr>
          <w:hyperlink w:anchor="_Toc109994165" w:history="1">
            <w:r w:rsidRPr="006F4063">
              <w:rPr>
                <w:rStyle w:val="Hyperlink"/>
                <w:iCs/>
                <w:noProof/>
              </w:rPr>
              <w:t>Supplementary Table 2: Observed</w:t>
            </w:r>
            <w:r w:rsidRPr="006F4063">
              <w:rPr>
                <w:rStyle w:val="Hyperlink"/>
                <w:noProof/>
              </w:rPr>
              <w:t xml:space="preserve"> Frequency of Examined Mental Health Conditions in Combined Healthcare Records for Core Autism and General Population Control Cohorts, Stratified by Age</w:t>
            </w:r>
            <w:r>
              <w:rPr>
                <w:noProof/>
                <w:webHidden/>
              </w:rPr>
              <w:tab/>
            </w:r>
            <w:r>
              <w:rPr>
                <w:noProof/>
                <w:webHidden/>
              </w:rPr>
              <w:fldChar w:fldCharType="begin"/>
            </w:r>
            <w:r>
              <w:rPr>
                <w:noProof/>
                <w:webHidden/>
              </w:rPr>
              <w:instrText xml:space="preserve"> PAGEREF _Toc109994165 \h </w:instrText>
            </w:r>
            <w:r>
              <w:rPr>
                <w:noProof/>
                <w:webHidden/>
              </w:rPr>
            </w:r>
            <w:r>
              <w:rPr>
                <w:noProof/>
                <w:webHidden/>
              </w:rPr>
              <w:fldChar w:fldCharType="separate"/>
            </w:r>
            <w:r>
              <w:rPr>
                <w:noProof/>
                <w:webHidden/>
              </w:rPr>
              <w:t>3</w:t>
            </w:r>
            <w:r>
              <w:rPr>
                <w:noProof/>
                <w:webHidden/>
              </w:rPr>
              <w:fldChar w:fldCharType="end"/>
            </w:r>
          </w:hyperlink>
        </w:p>
        <w:p w14:paraId="4471E5A6" w14:textId="72EF85F0" w:rsidR="000D0706" w:rsidRDefault="000D0706">
          <w:pPr>
            <w:pStyle w:val="TOC1"/>
            <w:tabs>
              <w:tab w:val="right" w:leader="dot" w:pos="9016"/>
            </w:tabs>
            <w:rPr>
              <w:rFonts w:eastAsiaTheme="minorEastAsia"/>
              <w:noProof/>
              <w:lang w:eastAsia="en-GB"/>
            </w:rPr>
          </w:pPr>
          <w:hyperlink w:anchor="_Toc109994166" w:history="1">
            <w:r w:rsidRPr="006F4063">
              <w:rPr>
                <w:rStyle w:val="Hyperlink"/>
                <w:noProof/>
              </w:rPr>
              <w:t>Coding utilised for identification of extended autism spectrum phenotype in SAIL</w:t>
            </w:r>
            <w:r>
              <w:rPr>
                <w:noProof/>
                <w:webHidden/>
              </w:rPr>
              <w:tab/>
            </w:r>
            <w:r>
              <w:rPr>
                <w:noProof/>
                <w:webHidden/>
              </w:rPr>
              <w:fldChar w:fldCharType="begin"/>
            </w:r>
            <w:r>
              <w:rPr>
                <w:noProof/>
                <w:webHidden/>
              </w:rPr>
              <w:instrText xml:space="preserve"> PAGEREF _Toc109994166 \h </w:instrText>
            </w:r>
            <w:r>
              <w:rPr>
                <w:noProof/>
                <w:webHidden/>
              </w:rPr>
            </w:r>
            <w:r>
              <w:rPr>
                <w:noProof/>
                <w:webHidden/>
              </w:rPr>
              <w:fldChar w:fldCharType="separate"/>
            </w:r>
            <w:r>
              <w:rPr>
                <w:noProof/>
                <w:webHidden/>
              </w:rPr>
              <w:t>4</w:t>
            </w:r>
            <w:r>
              <w:rPr>
                <w:noProof/>
                <w:webHidden/>
              </w:rPr>
              <w:fldChar w:fldCharType="end"/>
            </w:r>
          </w:hyperlink>
        </w:p>
        <w:p w14:paraId="6083ED04" w14:textId="54CE2469" w:rsidR="000D0706" w:rsidRDefault="000D0706">
          <w:pPr>
            <w:pStyle w:val="TOC2"/>
            <w:tabs>
              <w:tab w:val="right" w:leader="dot" w:pos="9016"/>
            </w:tabs>
            <w:rPr>
              <w:rFonts w:eastAsiaTheme="minorEastAsia"/>
              <w:noProof/>
              <w:lang w:eastAsia="en-GB"/>
            </w:rPr>
          </w:pPr>
          <w:hyperlink w:anchor="_Toc109994167" w:history="1">
            <w:r w:rsidRPr="006F4063">
              <w:rPr>
                <w:rStyle w:val="Hyperlink"/>
                <w:noProof/>
              </w:rPr>
              <w:t>International Classification of Diseases – 10</w:t>
            </w:r>
            <w:r w:rsidRPr="006F4063">
              <w:rPr>
                <w:rStyle w:val="Hyperlink"/>
                <w:noProof/>
                <w:vertAlign w:val="superscript"/>
              </w:rPr>
              <w:t>th</w:t>
            </w:r>
            <w:r w:rsidRPr="006F4063">
              <w:rPr>
                <w:rStyle w:val="Hyperlink"/>
                <w:noProof/>
              </w:rPr>
              <w:t xml:space="preserve"> revision:</w:t>
            </w:r>
            <w:r>
              <w:rPr>
                <w:noProof/>
                <w:webHidden/>
              </w:rPr>
              <w:tab/>
            </w:r>
            <w:r>
              <w:rPr>
                <w:noProof/>
                <w:webHidden/>
              </w:rPr>
              <w:fldChar w:fldCharType="begin"/>
            </w:r>
            <w:r>
              <w:rPr>
                <w:noProof/>
                <w:webHidden/>
              </w:rPr>
              <w:instrText xml:space="preserve"> PAGEREF _Toc109994167 \h </w:instrText>
            </w:r>
            <w:r>
              <w:rPr>
                <w:noProof/>
                <w:webHidden/>
              </w:rPr>
            </w:r>
            <w:r>
              <w:rPr>
                <w:noProof/>
                <w:webHidden/>
              </w:rPr>
              <w:fldChar w:fldCharType="separate"/>
            </w:r>
            <w:r>
              <w:rPr>
                <w:noProof/>
                <w:webHidden/>
              </w:rPr>
              <w:t>4</w:t>
            </w:r>
            <w:r>
              <w:rPr>
                <w:noProof/>
                <w:webHidden/>
              </w:rPr>
              <w:fldChar w:fldCharType="end"/>
            </w:r>
          </w:hyperlink>
        </w:p>
        <w:p w14:paraId="402898E1" w14:textId="184DD6E9" w:rsidR="000D0706" w:rsidRDefault="000D0706">
          <w:pPr>
            <w:pStyle w:val="TOC2"/>
            <w:tabs>
              <w:tab w:val="right" w:leader="dot" w:pos="9016"/>
            </w:tabs>
            <w:rPr>
              <w:rFonts w:eastAsiaTheme="minorEastAsia"/>
              <w:noProof/>
              <w:lang w:eastAsia="en-GB"/>
            </w:rPr>
          </w:pPr>
          <w:hyperlink w:anchor="_Toc109994168" w:history="1">
            <w:r w:rsidRPr="006F4063">
              <w:rPr>
                <w:rStyle w:val="Hyperlink"/>
                <w:noProof/>
              </w:rPr>
              <w:t>Read Codes v2:</w:t>
            </w:r>
            <w:r>
              <w:rPr>
                <w:noProof/>
                <w:webHidden/>
              </w:rPr>
              <w:tab/>
            </w:r>
            <w:r>
              <w:rPr>
                <w:noProof/>
                <w:webHidden/>
              </w:rPr>
              <w:fldChar w:fldCharType="begin"/>
            </w:r>
            <w:r>
              <w:rPr>
                <w:noProof/>
                <w:webHidden/>
              </w:rPr>
              <w:instrText xml:space="preserve"> PAGEREF _Toc109994168 \h </w:instrText>
            </w:r>
            <w:r>
              <w:rPr>
                <w:noProof/>
                <w:webHidden/>
              </w:rPr>
            </w:r>
            <w:r>
              <w:rPr>
                <w:noProof/>
                <w:webHidden/>
              </w:rPr>
              <w:fldChar w:fldCharType="separate"/>
            </w:r>
            <w:r>
              <w:rPr>
                <w:noProof/>
                <w:webHidden/>
              </w:rPr>
              <w:t>4</w:t>
            </w:r>
            <w:r>
              <w:rPr>
                <w:noProof/>
                <w:webHidden/>
              </w:rPr>
              <w:fldChar w:fldCharType="end"/>
            </w:r>
          </w:hyperlink>
        </w:p>
        <w:p w14:paraId="707DD530" w14:textId="41639084" w:rsidR="000D0706" w:rsidRDefault="000D0706">
          <w:pPr>
            <w:pStyle w:val="TOC1"/>
            <w:tabs>
              <w:tab w:val="right" w:leader="dot" w:pos="9016"/>
            </w:tabs>
            <w:rPr>
              <w:rFonts w:eastAsiaTheme="minorEastAsia"/>
              <w:noProof/>
              <w:lang w:eastAsia="en-GB"/>
            </w:rPr>
          </w:pPr>
          <w:hyperlink w:anchor="_Toc109994169" w:history="1">
            <w:r w:rsidRPr="006F4063">
              <w:rPr>
                <w:rStyle w:val="Hyperlink"/>
                <w:noProof/>
              </w:rPr>
              <w:t>International Classification of Diseases 10</w:t>
            </w:r>
            <w:r w:rsidRPr="006F4063">
              <w:rPr>
                <w:rStyle w:val="Hyperlink"/>
                <w:noProof/>
                <w:vertAlign w:val="superscript"/>
              </w:rPr>
              <w:t>th</w:t>
            </w:r>
            <w:r w:rsidRPr="006F4063">
              <w:rPr>
                <w:rStyle w:val="Hyperlink"/>
                <w:noProof/>
              </w:rPr>
              <w:t xml:space="preserve"> revision and Read Code version 2 coding list for co-occurring diagnoses:</w:t>
            </w:r>
            <w:r>
              <w:rPr>
                <w:noProof/>
                <w:webHidden/>
              </w:rPr>
              <w:tab/>
            </w:r>
            <w:r>
              <w:rPr>
                <w:noProof/>
                <w:webHidden/>
              </w:rPr>
              <w:fldChar w:fldCharType="begin"/>
            </w:r>
            <w:r>
              <w:rPr>
                <w:noProof/>
                <w:webHidden/>
              </w:rPr>
              <w:instrText xml:space="preserve"> PAGEREF _Toc109994169 \h </w:instrText>
            </w:r>
            <w:r>
              <w:rPr>
                <w:noProof/>
                <w:webHidden/>
              </w:rPr>
            </w:r>
            <w:r>
              <w:rPr>
                <w:noProof/>
                <w:webHidden/>
              </w:rPr>
              <w:fldChar w:fldCharType="separate"/>
            </w:r>
            <w:r>
              <w:rPr>
                <w:noProof/>
                <w:webHidden/>
              </w:rPr>
              <w:t>5</w:t>
            </w:r>
            <w:r>
              <w:rPr>
                <w:noProof/>
                <w:webHidden/>
              </w:rPr>
              <w:fldChar w:fldCharType="end"/>
            </w:r>
          </w:hyperlink>
        </w:p>
        <w:p w14:paraId="1EEBE39A" w14:textId="26689065" w:rsidR="007474A5" w:rsidRDefault="007474A5">
          <w:r>
            <w:rPr>
              <w:b/>
              <w:bCs/>
              <w:noProof/>
            </w:rPr>
            <w:fldChar w:fldCharType="end"/>
          </w:r>
        </w:p>
      </w:sdtContent>
    </w:sdt>
    <w:p w14:paraId="797048EB" w14:textId="20A684A5" w:rsidR="00994B9C" w:rsidRDefault="00994B9C" w:rsidP="00FF1C3B">
      <w:pPr>
        <w:rPr>
          <w:rFonts w:cstheme="minorHAnsi"/>
          <w:b/>
          <w:bCs/>
          <w:sz w:val="28"/>
          <w:szCs w:val="28"/>
          <w:u w:val="single"/>
        </w:rPr>
        <w:sectPr w:rsidR="00994B9C">
          <w:footerReference w:type="default" r:id="rId8"/>
          <w:pgSz w:w="11906" w:h="16838"/>
          <w:pgMar w:top="1440" w:right="1440" w:bottom="1440" w:left="1440" w:header="708" w:footer="708" w:gutter="0"/>
          <w:cols w:space="708"/>
          <w:docGrid w:linePitch="360"/>
        </w:sectPr>
      </w:pPr>
    </w:p>
    <w:p w14:paraId="63AA4D24" w14:textId="77777777" w:rsidR="00FF1C3B" w:rsidRPr="00497C45" w:rsidRDefault="00FF1C3B" w:rsidP="000D0706">
      <w:pPr>
        <w:pStyle w:val="Heading1"/>
      </w:pPr>
      <w:bookmarkStart w:id="0" w:name="_Toc109994163"/>
      <w:r w:rsidRPr="00497C45">
        <w:lastRenderedPageBreak/>
        <w:t>Supplementary Tables</w:t>
      </w:r>
      <w:bookmarkEnd w:id="0"/>
    </w:p>
    <w:p w14:paraId="175E3BF7" w14:textId="77777777" w:rsidR="00FF1C3B" w:rsidRPr="00497C45" w:rsidRDefault="00FF1C3B" w:rsidP="00FF1C3B">
      <w:pPr>
        <w:rPr>
          <w:rFonts w:cstheme="minorHAnsi"/>
          <w:i/>
          <w:iCs/>
          <w:sz w:val="20"/>
          <w:szCs w:val="20"/>
          <w:u w:val="single"/>
        </w:rPr>
      </w:pPr>
    </w:p>
    <w:p w14:paraId="152F3D10" w14:textId="78FB35A9" w:rsidR="00FF1C3B" w:rsidRPr="00497C45" w:rsidRDefault="00FF1C3B" w:rsidP="000D0706">
      <w:pPr>
        <w:pStyle w:val="Heading2"/>
      </w:pPr>
      <w:bookmarkStart w:id="1" w:name="_Toc109994164"/>
      <w:r w:rsidRPr="00497C45">
        <w:rPr>
          <w:iCs/>
        </w:rPr>
        <w:t xml:space="preserve">Supplementary Table </w:t>
      </w:r>
      <w:r w:rsidR="00994B9C">
        <w:rPr>
          <w:iCs/>
        </w:rPr>
        <w:t>1</w:t>
      </w:r>
      <w:r w:rsidRPr="00497C45">
        <w:rPr>
          <w:iCs/>
        </w:rPr>
        <w:t>: Observed</w:t>
      </w:r>
      <w:r w:rsidRPr="00497C45">
        <w:t xml:space="preserve"> Frequency of Examined Mental Health Conditions in Extended Autism Phenotype Cohort with Statistical Analysis of </w:t>
      </w:r>
      <w:r w:rsidRPr="00B86EF4">
        <w:t>Difference</w:t>
      </w:r>
      <w:r w:rsidRPr="00497C45">
        <w:t xml:space="preserve"> to Core Autism Phenotype</w:t>
      </w:r>
      <w:bookmarkEnd w:id="1"/>
    </w:p>
    <w:tbl>
      <w:tblPr>
        <w:tblW w:w="13057" w:type="dxa"/>
        <w:tblLook w:val="04A0" w:firstRow="1" w:lastRow="0" w:firstColumn="1" w:lastColumn="0" w:noHBand="0" w:noVBand="1"/>
      </w:tblPr>
      <w:tblGrid>
        <w:gridCol w:w="5072"/>
        <w:gridCol w:w="1987"/>
        <w:gridCol w:w="2024"/>
        <w:gridCol w:w="1987"/>
        <w:gridCol w:w="1987"/>
      </w:tblGrid>
      <w:tr w:rsidR="00FF1C3B" w:rsidRPr="00497C45" w14:paraId="45BAC288" w14:textId="77777777" w:rsidTr="00A3268F">
        <w:trPr>
          <w:trHeight w:val="585"/>
        </w:trPr>
        <w:tc>
          <w:tcPr>
            <w:tcW w:w="507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46497B" w14:textId="77777777" w:rsidR="00FF1C3B" w:rsidRPr="00497C45" w:rsidRDefault="00FF1C3B" w:rsidP="00A3268F">
            <w:pPr>
              <w:spacing w:after="0" w:line="240" w:lineRule="auto"/>
              <w:rPr>
                <w:rFonts w:eastAsia="Times New Roman" w:cstheme="minorHAnsi"/>
                <w:b/>
                <w:bCs/>
                <w:color w:val="000000"/>
                <w:lang w:eastAsia="en-GB"/>
              </w:rPr>
            </w:pPr>
            <w:r w:rsidRPr="00497C45">
              <w:rPr>
                <w:rFonts w:eastAsia="Calibri" w:cstheme="minorHAnsi"/>
                <w:b/>
                <w:bCs/>
                <w:lang w:eastAsia="en-GB"/>
              </w:rPr>
              <w:t>Studied Condition</w:t>
            </w:r>
          </w:p>
        </w:tc>
        <w:tc>
          <w:tcPr>
            <w:tcW w:w="198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7DD624"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cstheme="minorHAnsi"/>
                <w:b/>
                <w:bCs/>
                <w:color w:val="000000"/>
              </w:rPr>
              <w:t>Observed Count of Diagnostic Codes</w:t>
            </w:r>
          </w:p>
        </w:tc>
        <w:tc>
          <w:tcPr>
            <w:tcW w:w="20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8CF07A"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cstheme="minorHAnsi"/>
                <w:b/>
                <w:bCs/>
                <w:color w:val="000000"/>
              </w:rPr>
              <w:t>Percentage Proportion of Extended Cohort</w:t>
            </w:r>
          </w:p>
        </w:tc>
        <w:tc>
          <w:tcPr>
            <w:tcW w:w="198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F26A83"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cstheme="minorHAnsi"/>
                <w:b/>
                <w:bCs/>
                <w:color w:val="000000"/>
              </w:rPr>
              <w:t>Χ</w:t>
            </w:r>
            <w:r w:rsidRPr="00497C45">
              <w:rPr>
                <w:rFonts w:cstheme="minorHAnsi"/>
                <w:b/>
                <w:bCs/>
                <w:color w:val="000000"/>
                <w:vertAlign w:val="superscript"/>
              </w:rPr>
              <w:t xml:space="preserve">2 </w:t>
            </w:r>
            <w:r w:rsidRPr="00497C45">
              <w:rPr>
                <w:rFonts w:eastAsia="Times New Roman" w:cstheme="minorHAnsi"/>
                <w:b/>
                <w:bCs/>
                <w:color w:val="000000"/>
                <w:lang w:eastAsia="en-GB"/>
              </w:rPr>
              <w:t xml:space="preserve">test statistic vs Core Cohort </w:t>
            </w:r>
          </w:p>
        </w:tc>
        <w:tc>
          <w:tcPr>
            <w:tcW w:w="198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8ECF689"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cstheme="minorHAnsi"/>
                <w:b/>
                <w:bCs/>
                <w:i/>
                <w:iCs/>
                <w:color w:val="000000"/>
              </w:rPr>
              <w:t>p</w:t>
            </w:r>
            <w:r w:rsidRPr="00497C45">
              <w:rPr>
                <w:rFonts w:cstheme="minorHAnsi"/>
                <w:b/>
                <w:bCs/>
                <w:color w:val="000000"/>
              </w:rPr>
              <w:t xml:space="preserve"> value</w:t>
            </w:r>
          </w:p>
        </w:tc>
      </w:tr>
      <w:tr w:rsidR="00FF1C3B" w:rsidRPr="00497C45" w14:paraId="52F3C481" w14:textId="77777777" w:rsidTr="00A3268F">
        <w:trPr>
          <w:trHeight w:val="285"/>
        </w:trPr>
        <w:tc>
          <w:tcPr>
            <w:tcW w:w="5072" w:type="dxa"/>
            <w:tcBorders>
              <w:top w:val="single" w:sz="4" w:space="0" w:color="auto"/>
              <w:left w:val="single" w:sz="4" w:space="0" w:color="auto"/>
              <w:bottom w:val="nil"/>
              <w:right w:val="single" w:sz="4" w:space="0" w:color="auto"/>
            </w:tcBorders>
            <w:shd w:val="clear" w:color="000000" w:fill="FBE4D5"/>
            <w:vAlign w:val="center"/>
            <w:hideMark/>
          </w:tcPr>
          <w:p w14:paraId="28C5B04D" w14:textId="77777777" w:rsidR="00FF1C3B" w:rsidRPr="00497C45" w:rsidRDefault="00FF1C3B" w:rsidP="00A3268F">
            <w:pPr>
              <w:spacing w:after="0" w:line="240" w:lineRule="auto"/>
              <w:rPr>
                <w:rFonts w:eastAsia="Times New Roman" w:cstheme="minorHAnsi"/>
                <w:color w:val="000000"/>
                <w:lang w:eastAsia="en-GB"/>
              </w:rPr>
            </w:pPr>
            <w:r w:rsidRPr="00497C45">
              <w:rPr>
                <w:rFonts w:cstheme="minorHAnsi"/>
                <w:color w:val="000000"/>
              </w:rPr>
              <w:t>ADHD</w:t>
            </w:r>
          </w:p>
        </w:tc>
        <w:tc>
          <w:tcPr>
            <w:tcW w:w="1987" w:type="dxa"/>
            <w:tcBorders>
              <w:top w:val="single" w:sz="4" w:space="0" w:color="auto"/>
              <w:left w:val="single" w:sz="4" w:space="0" w:color="auto"/>
              <w:bottom w:val="nil"/>
              <w:right w:val="single" w:sz="4" w:space="0" w:color="auto"/>
            </w:tcBorders>
            <w:shd w:val="clear" w:color="auto" w:fill="EDEDED" w:themeFill="accent3" w:themeFillTint="33"/>
            <w:vAlign w:val="bottom"/>
            <w:hideMark/>
          </w:tcPr>
          <w:p w14:paraId="43094C1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34</w:t>
            </w:r>
          </w:p>
        </w:tc>
        <w:tc>
          <w:tcPr>
            <w:tcW w:w="2024" w:type="dxa"/>
            <w:tcBorders>
              <w:top w:val="single" w:sz="4" w:space="0" w:color="auto"/>
              <w:left w:val="single" w:sz="4" w:space="0" w:color="auto"/>
              <w:bottom w:val="nil"/>
              <w:right w:val="single" w:sz="4" w:space="0" w:color="auto"/>
            </w:tcBorders>
            <w:shd w:val="clear" w:color="auto" w:fill="EDEDED" w:themeFill="accent3" w:themeFillTint="33"/>
            <w:vAlign w:val="bottom"/>
            <w:hideMark/>
          </w:tcPr>
          <w:p w14:paraId="56B9118E"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4.83%</w:t>
            </w:r>
          </w:p>
        </w:tc>
        <w:tc>
          <w:tcPr>
            <w:tcW w:w="1987" w:type="dxa"/>
            <w:tcBorders>
              <w:top w:val="single" w:sz="4" w:space="0" w:color="auto"/>
              <w:left w:val="single" w:sz="4" w:space="0" w:color="auto"/>
              <w:bottom w:val="nil"/>
              <w:right w:val="single" w:sz="4" w:space="0" w:color="auto"/>
            </w:tcBorders>
            <w:shd w:val="clear" w:color="auto" w:fill="EDEDED" w:themeFill="accent3" w:themeFillTint="33"/>
            <w:vAlign w:val="bottom"/>
            <w:hideMark/>
          </w:tcPr>
          <w:p w14:paraId="14E3507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4.409</w:t>
            </w:r>
          </w:p>
        </w:tc>
        <w:tc>
          <w:tcPr>
            <w:tcW w:w="1987" w:type="dxa"/>
            <w:tcBorders>
              <w:top w:val="single" w:sz="4" w:space="0" w:color="auto"/>
              <w:left w:val="single" w:sz="4" w:space="0" w:color="auto"/>
              <w:bottom w:val="nil"/>
              <w:right w:val="single" w:sz="4" w:space="0" w:color="auto"/>
            </w:tcBorders>
            <w:shd w:val="clear" w:color="auto" w:fill="EDEDED" w:themeFill="accent3" w:themeFillTint="33"/>
            <w:vAlign w:val="bottom"/>
            <w:hideMark/>
          </w:tcPr>
          <w:p w14:paraId="6F9219C6" w14:textId="77777777" w:rsidR="00FF1C3B" w:rsidRPr="00497C45" w:rsidRDefault="00FF1C3B" w:rsidP="00A3268F">
            <w:pPr>
              <w:spacing w:after="0" w:line="240" w:lineRule="auto"/>
              <w:jc w:val="right"/>
              <w:rPr>
                <w:rFonts w:eastAsia="Times New Roman" w:cstheme="minorHAnsi"/>
                <w:i/>
                <w:iCs/>
                <w:color w:val="000000"/>
                <w:lang w:eastAsia="en-GB"/>
              </w:rPr>
            </w:pPr>
            <w:r w:rsidRPr="00497C45">
              <w:rPr>
                <w:rFonts w:cstheme="minorHAnsi"/>
                <w:i/>
                <w:iCs/>
                <w:color w:val="000000"/>
              </w:rPr>
              <w:t>0.036</w:t>
            </w:r>
          </w:p>
        </w:tc>
      </w:tr>
      <w:tr w:rsidR="00FF1C3B" w:rsidRPr="00497C45" w14:paraId="6A74EBFF" w14:textId="77777777" w:rsidTr="00A3268F">
        <w:trPr>
          <w:trHeight w:val="285"/>
        </w:trPr>
        <w:tc>
          <w:tcPr>
            <w:tcW w:w="5072" w:type="dxa"/>
            <w:tcBorders>
              <w:top w:val="nil"/>
              <w:left w:val="single" w:sz="4" w:space="0" w:color="auto"/>
              <w:bottom w:val="nil"/>
              <w:right w:val="single" w:sz="4" w:space="0" w:color="auto"/>
            </w:tcBorders>
            <w:shd w:val="clear" w:color="auto" w:fill="FBE4D5" w:themeFill="accent2" w:themeFillTint="33"/>
            <w:vAlign w:val="center"/>
            <w:hideMark/>
          </w:tcPr>
          <w:p w14:paraId="6CC66134" w14:textId="77777777" w:rsidR="00FF1C3B" w:rsidRPr="00497C45" w:rsidRDefault="00FF1C3B" w:rsidP="00A3268F">
            <w:pPr>
              <w:spacing w:after="0" w:line="240" w:lineRule="auto"/>
              <w:rPr>
                <w:rFonts w:eastAsia="Times New Roman" w:cstheme="minorHAnsi"/>
                <w:color w:val="000000"/>
                <w:lang w:eastAsia="en-GB"/>
              </w:rPr>
            </w:pPr>
            <w:r w:rsidRPr="00497C45">
              <w:rPr>
                <w:rFonts w:cstheme="minorHAnsi"/>
                <w:color w:val="000000"/>
              </w:rPr>
              <w:t>Alcohol Misuse</w:t>
            </w:r>
          </w:p>
        </w:tc>
        <w:tc>
          <w:tcPr>
            <w:tcW w:w="1987" w:type="dxa"/>
            <w:tcBorders>
              <w:top w:val="nil"/>
              <w:left w:val="single" w:sz="4" w:space="0" w:color="auto"/>
              <w:bottom w:val="nil"/>
              <w:right w:val="single" w:sz="4" w:space="0" w:color="auto"/>
            </w:tcBorders>
            <w:shd w:val="clear" w:color="auto" w:fill="auto"/>
            <w:vAlign w:val="bottom"/>
            <w:hideMark/>
          </w:tcPr>
          <w:p w14:paraId="118BE7A7"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27</w:t>
            </w:r>
          </w:p>
        </w:tc>
        <w:tc>
          <w:tcPr>
            <w:tcW w:w="2024" w:type="dxa"/>
            <w:tcBorders>
              <w:top w:val="nil"/>
              <w:left w:val="single" w:sz="4" w:space="0" w:color="auto"/>
              <w:bottom w:val="nil"/>
              <w:right w:val="single" w:sz="4" w:space="0" w:color="auto"/>
            </w:tcBorders>
            <w:shd w:val="clear" w:color="auto" w:fill="auto"/>
            <w:vAlign w:val="bottom"/>
            <w:hideMark/>
          </w:tcPr>
          <w:p w14:paraId="3F42AA8A"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3.84%</w:t>
            </w:r>
          </w:p>
        </w:tc>
        <w:tc>
          <w:tcPr>
            <w:tcW w:w="1987" w:type="dxa"/>
            <w:tcBorders>
              <w:top w:val="nil"/>
              <w:left w:val="single" w:sz="4" w:space="0" w:color="auto"/>
              <w:bottom w:val="nil"/>
              <w:right w:val="single" w:sz="4" w:space="0" w:color="auto"/>
            </w:tcBorders>
            <w:shd w:val="clear" w:color="auto" w:fill="auto"/>
            <w:vAlign w:val="bottom"/>
            <w:hideMark/>
          </w:tcPr>
          <w:p w14:paraId="7B9544CC"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0.001</w:t>
            </w:r>
          </w:p>
        </w:tc>
        <w:tc>
          <w:tcPr>
            <w:tcW w:w="1987" w:type="dxa"/>
            <w:tcBorders>
              <w:top w:val="nil"/>
              <w:left w:val="single" w:sz="4" w:space="0" w:color="auto"/>
              <w:bottom w:val="nil"/>
              <w:right w:val="single" w:sz="4" w:space="0" w:color="auto"/>
            </w:tcBorders>
            <w:shd w:val="clear" w:color="auto" w:fill="auto"/>
            <w:vAlign w:val="bottom"/>
            <w:hideMark/>
          </w:tcPr>
          <w:p w14:paraId="287D500E"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0.971</w:t>
            </w:r>
          </w:p>
        </w:tc>
      </w:tr>
      <w:tr w:rsidR="00FF1C3B" w:rsidRPr="00497C45" w14:paraId="65F43220" w14:textId="77777777" w:rsidTr="00A3268F">
        <w:trPr>
          <w:trHeight w:val="285"/>
        </w:trPr>
        <w:tc>
          <w:tcPr>
            <w:tcW w:w="5072" w:type="dxa"/>
            <w:tcBorders>
              <w:top w:val="nil"/>
              <w:left w:val="single" w:sz="4" w:space="0" w:color="auto"/>
              <w:bottom w:val="nil"/>
              <w:right w:val="single" w:sz="4" w:space="0" w:color="auto"/>
            </w:tcBorders>
            <w:shd w:val="clear" w:color="auto" w:fill="FBE4D5" w:themeFill="accent2" w:themeFillTint="33"/>
            <w:vAlign w:val="center"/>
            <w:hideMark/>
          </w:tcPr>
          <w:p w14:paraId="228E7758" w14:textId="77777777" w:rsidR="00FF1C3B" w:rsidRPr="00497C45" w:rsidRDefault="00FF1C3B" w:rsidP="00A3268F">
            <w:pPr>
              <w:spacing w:after="0" w:line="240" w:lineRule="auto"/>
              <w:rPr>
                <w:rFonts w:eastAsia="Times New Roman" w:cstheme="minorHAnsi"/>
                <w:color w:val="000000"/>
                <w:lang w:eastAsia="en-GB"/>
              </w:rPr>
            </w:pPr>
            <w:r w:rsidRPr="00497C45">
              <w:rPr>
                <w:rFonts w:cstheme="minorHAnsi"/>
                <w:color w:val="000000"/>
              </w:rPr>
              <w:t>Anxiety</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4E853F6A"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194</w:t>
            </w:r>
          </w:p>
        </w:tc>
        <w:tc>
          <w:tcPr>
            <w:tcW w:w="2024" w:type="dxa"/>
            <w:tcBorders>
              <w:top w:val="nil"/>
              <w:left w:val="single" w:sz="4" w:space="0" w:color="auto"/>
              <w:bottom w:val="nil"/>
              <w:right w:val="single" w:sz="4" w:space="0" w:color="auto"/>
            </w:tcBorders>
            <w:shd w:val="clear" w:color="auto" w:fill="EDEDED" w:themeFill="accent3" w:themeFillTint="33"/>
            <w:vAlign w:val="bottom"/>
            <w:hideMark/>
          </w:tcPr>
          <w:p w14:paraId="68DE942E"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27.56%</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3DE79E4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9.285</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79AFBD0A" w14:textId="77777777" w:rsidR="00FF1C3B" w:rsidRPr="00497C45" w:rsidRDefault="00FF1C3B" w:rsidP="00A3268F">
            <w:pPr>
              <w:spacing w:after="0" w:line="240" w:lineRule="auto"/>
              <w:jc w:val="right"/>
              <w:rPr>
                <w:rFonts w:eastAsia="Times New Roman" w:cstheme="minorHAnsi"/>
                <w:i/>
                <w:iCs/>
                <w:color w:val="000000"/>
                <w:lang w:eastAsia="en-GB"/>
              </w:rPr>
            </w:pPr>
            <w:r w:rsidRPr="00497C45">
              <w:rPr>
                <w:rFonts w:cstheme="minorHAnsi"/>
                <w:i/>
                <w:iCs/>
                <w:color w:val="000000"/>
              </w:rPr>
              <w:t>0.002</w:t>
            </w:r>
          </w:p>
        </w:tc>
      </w:tr>
      <w:tr w:rsidR="00FF1C3B" w:rsidRPr="00497C45" w14:paraId="277A3B34" w14:textId="77777777" w:rsidTr="00A3268F">
        <w:trPr>
          <w:trHeight w:val="285"/>
        </w:trPr>
        <w:tc>
          <w:tcPr>
            <w:tcW w:w="5072" w:type="dxa"/>
            <w:tcBorders>
              <w:top w:val="nil"/>
              <w:left w:val="single" w:sz="4" w:space="0" w:color="auto"/>
              <w:bottom w:val="nil"/>
              <w:right w:val="single" w:sz="4" w:space="0" w:color="auto"/>
            </w:tcBorders>
            <w:shd w:val="clear" w:color="auto" w:fill="FBE4D5" w:themeFill="accent2" w:themeFillTint="33"/>
            <w:vAlign w:val="center"/>
            <w:hideMark/>
          </w:tcPr>
          <w:p w14:paraId="6433DB73" w14:textId="77777777" w:rsidR="00FF1C3B" w:rsidRPr="00497C45" w:rsidRDefault="00FF1C3B" w:rsidP="00A3268F">
            <w:pPr>
              <w:spacing w:after="0" w:line="240" w:lineRule="auto"/>
              <w:rPr>
                <w:rFonts w:eastAsia="Times New Roman" w:cstheme="minorHAnsi"/>
                <w:color w:val="000000"/>
                <w:lang w:eastAsia="en-GB"/>
              </w:rPr>
            </w:pPr>
            <w:r w:rsidRPr="00497C45">
              <w:rPr>
                <w:rFonts w:cstheme="minorHAnsi"/>
                <w:color w:val="000000"/>
              </w:rPr>
              <w:t>Bipolar Disorder</w:t>
            </w:r>
          </w:p>
        </w:tc>
        <w:tc>
          <w:tcPr>
            <w:tcW w:w="1987" w:type="dxa"/>
            <w:tcBorders>
              <w:top w:val="nil"/>
              <w:left w:val="single" w:sz="4" w:space="0" w:color="auto"/>
              <w:bottom w:val="nil"/>
              <w:right w:val="single" w:sz="4" w:space="0" w:color="auto"/>
            </w:tcBorders>
            <w:shd w:val="clear" w:color="auto" w:fill="auto"/>
            <w:vAlign w:val="bottom"/>
            <w:hideMark/>
          </w:tcPr>
          <w:p w14:paraId="3476C53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15</w:t>
            </w:r>
          </w:p>
        </w:tc>
        <w:tc>
          <w:tcPr>
            <w:tcW w:w="2024" w:type="dxa"/>
            <w:tcBorders>
              <w:top w:val="nil"/>
              <w:left w:val="single" w:sz="4" w:space="0" w:color="auto"/>
              <w:bottom w:val="nil"/>
              <w:right w:val="single" w:sz="4" w:space="0" w:color="auto"/>
            </w:tcBorders>
            <w:shd w:val="clear" w:color="auto" w:fill="auto"/>
            <w:vAlign w:val="bottom"/>
            <w:hideMark/>
          </w:tcPr>
          <w:p w14:paraId="4B787AD0"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2.13%</w:t>
            </w:r>
          </w:p>
        </w:tc>
        <w:tc>
          <w:tcPr>
            <w:tcW w:w="1987" w:type="dxa"/>
            <w:tcBorders>
              <w:top w:val="nil"/>
              <w:left w:val="single" w:sz="4" w:space="0" w:color="auto"/>
              <w:bottom w:val="nil"/>
              <w:right w:val="single" w:sz="4" w:space="0" w:color="auto"/>
            </w:tcBorders>
            <w:shd w:val="clear" w:color="auto" w:fill="auto"/>
            <w:vAlign w:val="bottom"/>
            <w:hideMark/>
          </w:tcPr>
          <w:p w14:paraId="680C615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0.237</w:t>
            </w:r>
          </w:p>
        </w:tc>
        <w:tc>
          <w:tcPr>
            <w:tcW w:w="1987" w:type="dxa"/>
            <w:tcBorders>
              <w:top w:val="nil"/>
              <w:left w:val="single" w:sz="4" w:space="0" w:color="auto"/>
              <w:bottom w:val="nil"/>
              <w:right w:val="single" w:sz="4" w:space="0" w:color="auto"/>
            </w:tcBorders>
            <w:shd w:val="clear" w:color="auto" w:fill="auto"/>
            <w:vAlign w:val="bottom"/>
            <w:hideMark/>
          </w:tcPr>
          <w:p w14:paraId="3E002AE4"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0.626</w:t>
            </w:r>
          </w:p>
        </w:tc>
      </w:tr>
      <w:tr w:rsidR="00FF1C3B" w:rsidRPr="00497C45" w14:paraId="4BA4C70E" w14:textId="77777777" w:rsidTr="00A3268F">
        <w:trPr>
          <w:trHeight w:val="285"/>
        </w:trPr>
        <w:tc>
          <w:tcPr>
            <w:tcW w:w="5072" w:type="dxa"/>
            <w:tcBorders>
              <w:top w:val="nil"/>
              <w:left w:val="single" w:sz="4" w:space="0" w:color="auto"/>
              <w:bottom w:val="nil"/>
              <w:right w:val="single" w:sz="4" w:space="0" w:color="auto"/>
            </w:tcBorders>
            <w:shd w:val="clear" w:color="auto" w:fill="FBE4D5" w:themeFill="accent2" w:themeFillTint="33"/>
            <w:vAlign w:val="center"/>
            <w:hideMark/>
          </w:tcPr>
          <w:p w14:paraId="173E1395" w14:textId="77777777" w:rsidR="00FF1C3B" w:rsidRPr="00497C45" w:rsidRDefault="00FF1C3B" w:rsidP="00A3268F">
            <w:pPr>
              <w:spacing w:after="0" w:line="240" w:lineRule="auto"/>
              <w:rPr>
                <w:rFonts w:eastAsia="Times New Roman" w:cstheme="minorHAnsi"/>
                <w:color w:val="000000"/>
                <w:lang w:eastAsia="en-GB"/>
              </w:rPr>
            </w:pPr>
            <w:r w:rsidRPr="00497C45">
              <w:rPr>
                <w:rFonts w:cstheme="minorHAnsi"/>
                <w:color w:val="000000"/>
              </w:rPr>
              <w:t>Depression</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4381FED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221</w:t>
            </w:r>
          </w:p>
        </w:tc>
        <w:tc>
          <w:tcPr>
            <w:tcW w:w="2024" w:type="dxa"/>
            <w:tcBorders>
              <w:top w:val="nil"/>
              <w:left w:val="single" w:sz="4" w:space="0" w:color="auto"/>
              <w:bottom w:val="nil"/>
              <w:right w:val="single" w:sz="4" w:space="0" w:color="auto"/>
            </w:tcBorders>
            <w:shd w:val="clear" w:color="auto" w:fill="EDEDED" w:themeFill="accent3" w:themeFillTint="33"/>
            <w:vAlign w:val="bottom"/>
            <w:hideMark/>
          </w:tcPr>
          <w:p w14:paraId="6D1B45EA"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31.39%</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4A5615D9"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9.83</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6390F8C7" w14:textId="77777777" w:rsidR="00FF1C3B" w:rsidRPr="00497C45" w:rsidRDefault="00FF1C3B" w:rsidP="00A3268F">
            <w:pPr>
              <w:spacing w:after="0" w:line="240" w:lineRule="auto"/>
              <w:jc w:val="right"/>
              <w:rPr>
                <w:rFonts w:eastAsia="Times New Roman" w:cstheme="minorHAnsi"/>
                <w:i/>
                <w:iCs/>
                <w:color w:val="000000"/>
                <w:lang w:eastAsia="en-GB"/>
              </w:rPr>
            </w:pPr>
            <w:r w:rsidRPr="00497C45">
              <w:rPr>
                <w:rFonts w:cstheme="minorHAnsi"/>
                <w:i/>
                <w:iCs/>
                <w:color w:val="000000"/>
              </w:rPr>
              <w:t>0.002</w:t>
            </w:r>
          </w:p>
        </w:tc>
      </w:tr>
      <w:tr w:rsidR="00FF1C3B" w:rsidRPr="00497C45" w14:paraId="2C1915AB" w14:textId="77777777" w:rsidTr="00A3268F">
        <w:trPr>
          <w:trHeight w:val="285"/>
        </w:trPr>
        <w:tc>
          <w:tcPr>
            <w:tcW w:w="5072" w:type="dxa"/>
            <w:tcBorders>
              <w:top w:val="nil"/>
              <w:left w:val="single" w:sz="4" w:space="0" w:color="auto"/>
              <w:bottom w:val="nil"/>
              <w:right w:val="single" w:sz="4" w:space="0" w:color="auto"/>
            </w:tcBorders>
            <w:shd w:val="clear" w:color="auto" w:fill="FBE4D5" w:themeFill="accent2" w:themeFillTint="33"/>
            <w:vAlign w:val="center"/>
            <w:hideMark/>
          </w:tcPr>
          <w:p w14:paraId="0B7538FC" w14:textId="77777777" w:rsidR="00FF1C3B" w:rsidRPr="00497C45" w:rsidRDefault="00FF1C3B" w:rsidP="00A3268F">
            <w:pPr>
              <w:spacing w:after="0" w:line="240" w:lineRule="auto"/>
              <w:rPr>
                <w:rFonts w:eastAsia="Times New Roman" w:cstheme="minorHAnsi"/>
                <w:color w:val="000000"/>
                <w:lang w:eastAsia="en-GB"/>
              </w:rPr>
            </w:pPr>
            <w:r w:rsidRPr="00497C45">
              <w:rPr>
                <w:rFonts w:cstheme="minorHAnsi"/>
                <w:color w:val="000000"/>
              </w:rPr>
              <w:t>Drug Misuse</w:t>
            </w:r>
          </w:p>
        </w:tc>
        <w:tc>
          <w:tcPr>
            <w:tcW w:w="1987" w:type="dxa"/>
            <w:tcBorders>
              <w:top w:val="nil"/>
              <w:left w:val="single" w:sz="4" w:space="0" w:color="auto"/>
              <w:bottom w:val="nil"/>
              <w:right w:val="single" w:sz="4" w:space="0" w:color="auto"/>
            </w:tcBorders>
            <w:shd w:val="clear" w:color="auto" w:fill="auto"/>
            <w:vAlign w:val="bottom"/>
            <w:hideMark/>
          </w:tcPr>
          <w:p w14:paraId="2B17C74E"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20</w:t>
            </w:r>
          </w:p>
        </w:tc>
        <w:tc>
          <w:tcPr>
            <w:tcW w:w="2024" w:type="dxa"/>
            <w:tcBorders>
              <w:top w:val="nil"/>
              <w:left w:val="single" w:sz="4" w:space="0" w:color="auto"/>
              <w:bottom w:val="nil"/>
              <w:right w:val="single" w:sz="4" w:space="0" w:color="auto"/>
            </w:tcBorders>
            <w:shd w:val="clear" w:color="auto" w:fill="auto"/>
            <w:vAlign w:val="bottom"/>
            <w:hideMark/>
          </w:tcPr>
          <w:p w14:paraId="4A45D82C"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2.84%</w:t>
            </w:r>
          </w:p>
        </w:tc>
        <w:tc>
          <w:tcPr>
            <w:tcW w:w="1987" w:type="dxa"/>
            <w:tcBorders>
              <w:top w:val="nil"/>
              <w:left w:val="single" w:sz="4" w:space="0" w:color="auto"/>
              <w:bottom w:val="nil"/>
              <w:right w:val="single" w:sz="4" w:space="0" w:color="auto"/>
            </w:tcBorders>
            <w:shd w:val="clear" w:color="auto" w:fill="auto"/>
            <w:vAlign w:val="bottom"/>
            <w:hideMark/>
          </w:tcPr>
          <w:p w14:paraId="7482EBD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2.368</w:t>
            </w:r>
          </w:p>
        </w:tc>
        <w:tc>
          <w:tcPr>
            <w:tcW w:w="1987" w:type="dxa"/>
            <w:tcBorders>
              <w:top w:val="nil"/>
              <w:left w:val="single" w:sz="4" w:space="0" w:color="auto"/>
              <w:bottom w:val="nil"/>
              <w:right w:val="single" w:sz="4" w:space="0" w:color="auto"/>
            </w:tcBorders>
            <w:shd w:val="clear" w:color="auto" w:fill="auto"/>
            <w:vAlign w:val="bottom"/>
            <w:hideMark/>
          </w:tcPr>
          <w:p w14:paraId="5D9EB1D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0.124</w:t>
            </w:r>
          </w:p>
        </w:tc>
      </w:tr>
      <w:tr w:rsidR="00FF1C3B" w:rsidRPr="00497C45" w14:paraId="6A72AA99" w14:textId="77777777" w:rsidTr="00A3268F">
        <w:trPr>
          <w:trHeight w:val="285"/>
        </w:trPr>
        <w:tc>
          <w:tcPr>
            <w:tcW w:w="5072" w:type="dxa"/>
            <w:tcBorders>
              <w:top w:val="nil"/>
              <w:left w:val="single" w:sz="4" w:space="0" w:color="auto"/>
              <w:bottom w:val="nil"/>
              <w:right w:val="single" w:sz="4" w:space="0" w:color="auto"/>
            </w:tcBorders>
            <w:shd w:val="clear" w:color="auto" w:fill="FBE4D5" w:themeFill="accent2" w:themeFillTint="33"/>
            <w:vAlign w:val="center"/>
            <w:hideMark/>
          </w:tcPr>
          <w:p w14:paraId="5960FA11" w14:textId="77777777" w:rsidR="00FF1C3B" w:rsidRPr="00497C45" w:rsidRDefault="00FF1C3B" w:rsidP="00A3268F">
            <w:pPr>
              <w:spacing w:after="0" w:line="240" w:lineRule="auto"/>
              <w:rPr>
                <w:rFonts w:eastAsia="Times New Roman" w:cstheme="minorHAnsi"/>
                <w:color w:val="000000"/>
                <w:lang w:eastAsia="en-GB"/>
              </w:rPr>
            </w:pPr>
            <w:r w:rsidRPr="00497C45">
              <w:rPr>
                <w:rFonts w:cstheme="minorHAnsi"/>
                <w:color w:val="000000"/>
              </w:rPr>
              <w:t>OCD</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786639CF"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21</w:t>
            </w:r>
          </w:p>
        </w:tc>
        <w:tc>
          <w:tcPr>
            <w:tcW w:w="2024" w:type="dxa"/>
            <w:tcBorders>
              <w:top w:val="nil"/>
              <w:left w:val="single" w:sz="4" w:space="0" w:color="auto"/>
              <w:bottom w:val="nil"/>
              <w:right w:val="single" w:sz="4" w:space="0" w:color="auto"/>
            </w:tcBorders>
            <w:shd w:val="clear" w:color="auto" w:fill="EDEDED" w:themeFill="accent3" w:themeFillTint="33"/>
            <w:vAlign w:val="bottom"/>
            <w:hideMark/>
          </w:tcPr>
          <w:p w14:paraId="04C4C00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2.98%</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0B07698B"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&lt;0.001</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3668B849"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1</w:t>
            </w:r>
          </w:p>
        </w:tc>
      </w:tr>
      <w:tr w:rsidR="00FF1C3B" w:rsidRPr="00497C45" w14:paraId="41A63438" w14:textId="77777777" w:rsidTr="00A3268F">
        <w:trPr>
          <w:trHeight w:val="285"/>
        </w:trPr>
        <w:tc>
          <w:tcPr>
            <w:tcW w:w="5072" w:type="dxa"/>
            <w:tcBorders>
              <w:top w:val="nil"/>
              <w:left w:val="single" w:sz="4" w:space="0" w:color="auto"/>
              <w:bottom w:val="nil"/>
              <w:right w:val="single" w:sz="4" w:space="0" w:color="auto"/>
            </w:tcBorders>
            <w:shd w:val="clear" w:color="auto" w:fill="FBE4D5" w:themeFill="accent2" w:themeFillTint="33"/>
            <w:vAlign w:val="center"/>
            <w:hideMark/>
          </w:tcPr>
          <w:p w14:paraId="4C07A6DE" w14:textId="77777777" w:rsidR="00FF1C3B" w:rsidRPr="00497C45" w:rsidRDefault="00FF1C3B" w:rsidP="00A3268F">
            <w:pPr>
              <w:spacing w:after="0" w:line="240" w:lineRule="auto"/>
              <w:rPr>
                <w:rFonts w:eastAsia="Times New Roman" w:cstheme="minorHAnsi"/>
                <w:color w:val="000000"/>
                <w:lang w:eastAsia="en-GB"/>
              </w:rPr>
            </w:pPr>
            <w:r w:rsidRPr="00497C45">
              <w:rPr>
                <w:rFonts w:cstheme="minorHAnsi"/>
                <w:color w:val="000000"/>
              </w:rPr>
              <w:t>Psychosis</w:t>
            </w:r>
          </w:p>
        </w:tc>
        <w:tc>
          <w:tcPr>
            <w:tcW w:w="1987" w:type="dxa"/>
            <w:tcBorders>
              <w:top w:val="nil"/>
              <w:left w:val="single" w:sz="4" w:space="0" w:color="auto"/>
              <w:bottom w:val="nil"/>
              <w:right w:val="single" w:sz="4" w:space="0" w:color="auto"/>
            </w:tcBorders>
            <w:shd w:val="clear" w:color="auto" w:fill="auto"/>
            <w:vAlign w:val="bottom"/>
            <w:hideMark/>
          </w:tcPr>
          <w:p w14:paraId="5C997314"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77</w:t>
            </w:r>
          </w:p>
        </w:tc>
        <w:tc>
          <w:tcPr>
            <w:tcW w:w="2024" w:type="dxa"/>
            <w:tcBorders>
              <w:top w:val="nil"/>
              <w:left w:val="single" w:sz="4" w:space="0" w:color="auto"/>
              <w:bottom w:val="nil"/>
              <w:right w:val="single" w:sz="4" w:space="0" w:color="auto"/>
            </w:tcBorders>
            <w:shd w:val="clear" w:color="auto" w:fill="auto"/>
            <w:vAlign w:val="bottom"/>
            <w:hideMark/>
          </w:tcPr>
          <w:p w14:paraId="05E0BDB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10.94%</w:t>
            </w:r>
          </w:p>
        </w:tc>
        <w:tc>
          <w:tcPr>
            <w:tcW w:w="1987" w:type="dxa"/>
            <w:tcBorders>
              <w:top w:val="nil"/>
              <w:left w:val="single" w:sz="4" w:space="0" w:color="auto"/>
              <w:bottom w:val="nil"/>
              <w:right w:val="single" w:sz="4" w:space="0" w:color="auto"/>
            </w:tcBorders>
            <w:shd w:val="clear" w:color="auto" w:fill="auto"/>
            <w:vAlign w:val="bottom"/>
            <w:hideMark/>
          </w:tcPr>
          <w:p w14:paraId="19DA6A6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23.521</w:t>
            </w:r>
          </w:p>
        </w:tc>
        <w:tc>
          <w:tcPr>
            <w:tcW w:w="1987" w:type="dxa"/>
            <w:tcBorders>
              <w:top w:val="nil"/>
              <w:left w:val="single" w:sz="4" w:space="0" w:color="auto"/>
              <w:bottom w:val="nil"/>
              <w:right w:val="single" w:sz="4" w:space="0" w:color="auto"/>
            </w:tcBorders>
            <w:shd w:val="clear" w:color="auto" w:fill="auto"/>
            <w:vAlign w:val="bottom"/>
            <w:hideMark/>
          </w:tcPr>
          <w:p w14:paraId="6B3093E2" w14:textId="77777777" w:rsidR="00FF1C3B" w:rsidRPr="00497C45" w:rsidRDefault="00FF1C3B" w:rsidP="00A3268F">
            <w:pPr>
              <w:spacing w:after="0" w:line="240" w:lineRule="auto"/>
              <w:jc w:val="right"/>
              <w:rPr>
                <w:rFonts w:eastAsia="Times New Roman" w:cstheme="minorHAnsi"/>
                <w:i/>
                <w:iCs/>
                <w:color w:val="000000"/>
                <w:lang w:eastAsia="en-GB"/>
              </w:rPr>
            </w:pPr>
            <w:r w:rsidRPr="00497C45">
              <w:rPr>
                <w:rFonts w:cstheme="minorHAnsi"/>
                <w:i/>
                <w:iCs/>
                <w:color w:val="000000"/>
              </w:rPr>
              <w:t>&lt;0.001</w:t>
            </w:r>
          </w:p>
        </w:tc>
      </w:tr>
      <w:tr w:rsidR="00FF1C3B" w:rsidRPr="00497C45" w14:paraId="00D04C8F" w14:textId="77777777" w:rsidTr="00A3268F">
        <w:trPr>
          <w:trHeight w:val="299"/>
        </w:trPr>
        <w:tc>
          <w:tcPr>
            <w:tcW w:w="5072" w:type="dxa"/>
            <w:tcBorders>
              <w:top w:val="nil"/>
              <w:left w:val="single" w:sz="4" w:space="0" w:color="auto"/>
              <w:bottom w:val="nil"/>
              <w:right w:val="single" w:sz="4" w:space="0" w:color="auto"/>
            </w:tcBorders>
            <w:shd w:val="clear" w:color="auto" w:fill="FBE4D5" w:themeFill="accent2" w:themeFillTint="33"/>
            <w:vAlign w:val="center"/>
            <w:hideMark/>
          </w:tcPr>
          <w:p w14:paraId="202E3092" w14:textId="77777777" w:rsidR="00FF1C3B" w:rsidRPr="00497C45" w:rsidRDefault="00FF1C3B" w:rsidP="00A3268F">
            <w:pPr>
              <w:spacing w:after="0" w:line="240" w:lineRule="auto"/>
              <w:rPr>
                <w:rFonts w:eastAsia="Times New Roman" w:cstheme="minorHAnsi"/>
                <w:color w:val="000000"/>
                <w:lang w:eastAsia="en-GB"/>
              </w:rPr>
            </w:pPr>
            <w:r w:rsidRPr="00497C45">
              <w:rPr>
                <w:rFonts w:cstheme="minorHAnsi"/>
                <w:color w:val="000000"/>
              </w:rPr>
              <w:t>Schizophrenia</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270A1DEB"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34</w:t>
            </w:r>
          </w:p>
        </w:tc>
        <w:tc>
          <w:tcPr>
            <w:tcW w:w="2024" w:type="dxa"/>
            <w:tcBorders>
              <w:top w:val="nil"/>
              <w:left w:val="single" w:sz="4" w:space="0" w:color="auto"/>
              <w:bottom w:val="nil"/>
              <w:right w:val="single" w:sz="4" w:space="0" w:color="auto"/>
            </w:tcBorders>
            <w:shd w:val="clear" w:color="auto" w:fill="EDEDED" w:themeFill="accent3" w:themeFillTint="33"/>
            <w:vAlign w:val="bottom"/>
            <w:hideMark/>
          </w:tcPr>
          <w:p w14:paraId="4A2A81C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4.83%</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5BC1C57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0.095</w:t>
            </w:r>
          </w:p>
        </w:tc>
        <w:tc>
          <w:tcPr>
            <w:tcW w:w="1987" w:type="dxa"/>
            <w:tcBorders>
              <w:top w:val="nil"/>
              <w:left w:val="single" w:sz="4" w:space="0" w:color="auto"/>
              <w:bottom w:val="nil"/>
              <w:right w:val="single" w:sz="4" w:space="0" w:color="auto"/>
            </w:tcBorders>
            <w:shd w:val="clear" w:color="auto" w:fill="EDEDED" w:themeFill="accent3" w:themeFillTint="33"/>
            <w:vAlign w:val="bottom"/>
            <w:hideMark/>
          </w:tcPr>
          <w:p w14:paraId="33C0A6EB"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0.758</w:t>
            </w:r>
          </w:p>
        </w:tc>
      </w:tr>
      <w:tr w:rsidR="00FF1C3B" w:rsidRPr="00497C45" w14:paraId="4E061CF4" w14:textId="77777777" w:rsidTr="00A3268F">
        <w:trPr>
          <w:trHeight w:val="299"/>
        </w:trPr>
        <w:tc>
          <w:tcPr>
            <w:tcW w:w="5072" w:type="dxa"/>
            <w:tcBorders>
              <w:top w:val="nil"/>
              <w:left w:val="single" w:sz="4" w:space="0" w:color="auto"/>
              <w:bottom w:val="nil"/>
              <w:right w:val="single" w:sz="4" w:space="0" w:color="auto"/>
            </w:tcBorders>
            <w:shd w:val="clear" w:color="auto" w:fill="FBE4D5" w:themeFill="accent2" w:themeFillTint="33"/>
            <w:vAlign w:val="center"/>
          </w:tcPr>
          <w:p w14:paraId="5215AC7E" w14:textId="77777777" w:rsidR="00FF1C3B" w:rsidRPr="00497C45" w:rsidRDefault="00FF1C3B" w:rsidP="00A3268F">
            <w:pPr>
              <w:spacing w:after="0" w:line="240" w:lineRule="auto"/>
              <w:rPr>
                <w:rFonts w:eastAsia="Calibri" w:cstheme="minorHAnsi"/>
                <w:lang w:eastAsia="en-GB"/>
              </w:rPr>
            </w:pPr>
            <w:r w:rsidRPr="00497C45">
              <w:rPr>
                <w:rFonts w:cstheme="minorHAnsi"/>
                <w:color w:val="000000"/>
              </w:rPr>
              <w:t>Epilepsy</w:t>
            </w:r>
          </w:p>
        </w:tc>
        <w:tc>
          <w:tcPr>
            <w:tcW w:w="1987" w:type="dxa"/>
            <w:tcBorders>
              <w:top w:val="nil"/>
              <w:left w:val="single" w:sz="4" w:space="0" w:color="auto"/>
              <w:bottom w:val="nil"/>
              <w:right w:val="single" w:sz="4" w:space="0" w:color="auto"/>
            </w:tcBorders>
            <w:shd w:val="clear" w:color="auto" w:fill="FFFFFF" w:themeFill="background1"/>
            <w:vAlign w:val="bottom"/>
          </w:tcPr>
          <w:p w14:paraId="24872D80"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54</w:t>
            </w:r>
          </w:p>
        </w:tc>
        <w:tc>
          <w:tcPr>
            <w:tcW w:w="2024" w:type="dxa"/>
            <w:tcBorders>
              <w:top w:val="nil"/>
              <w:left w:val="single" w:sz="4" w:space="0" w:color="auto"/>
              <w:bottom w:val="nil"/>
              <w:right w:val="single" w:sz="4" w:space="0" w:color="auto"/>
            </w:tcBorders>
            <w:shd w:val="clear" w:color="auto" w:fill="FFFFFF" w:themeFill="background1"/>
            <w:vAlign w:val="bottom"/>
          </w:tcPr>
          <w:p w14:paraId="70E950A1"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7.67%</w:t>
            </w:r>
          </w:p>
        </w:tc>
        <w:tc>
          <w:tcPr>
            <w:tcW w:w="1987" w:type="dxa"/>
            <w:tcBorders>
              <w:top w:val="nil"/>
              <w:left w:val="single" w:sz="4" w:space="0" w:color="auto"/>
              <w:bottom w:val="nil"/>
              <w:right w:val="single" w:sz="4" w:space="0" w:color="auto"/>
            </w:tcBorders>
            <w:shd w:val="clear" w:color="auto" w:fill="FFFFFF" w:themeFill="background1"/>
            <w:vAlign w:val="bottom"/>
          </w:tcPr>
          <w:p w14:paraId="41C7151E"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1.049</w:t>
            </w:r>
          </w:p>
        </w:tc>
        <w:tc>
          <w:tcPr>
            <w:tcW w:w="1987" w:type="dxa"/>
            <w:tcBorders>
              <w:top w:val="nil"/>
              <w:left w:val="single" w:sz="4" w:space="0" w:color="auto"/>
              <w:bottom w:val="nil"/>
              <w:right w:val="single" w:sz="4" w:space="0" w:color="auto"/>
            </w:tcBorders>
            <w:shd w:val="clear" w:color="auto" w:fill="FFFFFF" w:themeFill="background1"/>
            <w:vAlign w:val="bottom"/>
          </w:tcPr>
          <w:p w14:paraId="0D81F7A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0.306</w:t>
            </w:r>
          </w:p>
        </w:tc>
      </w:tr>
      <w:tr w:rsidR="00FF1C3B" w:rsidRPr="00497C45" w14:paraId="6DBA7CF3" w14:textId="77777777" w:rsidTr="00A3268F">
        <w:trPr>
          <w:trHeight w:val="299"/>
        </w:trPr>
        <w:tc>
          <w:tcPr>
            <w:tcW w:w="5072" w:type="dxa"/>
            <w:tcBorders>
              <w:top w:val="nil"/>
              <w:left w:val="single" w:sz="4" w:space="0" w:color="auto"/>
              <w:bottom w:val="nil"/>
              <w:right w:val="single" w:sz="4" w:space="0" w:color="auto"/>
            </w:tcBorders>
            <w:shd w:val="clear" w:color="auto" w:fill="FBE4D5" w:themeFill="accent2" w:themeFillTint="33"/>
            <w:vAlign w:val="center"/>
          </w:tcPr>
          <w:p w14:paraId="5B919654" w14:textId="77777777" w:rsidR="00FF1C3B" w:rsidRPr="00497C45" w:rsidRDefault="00FF1C3B" w:rsidP="00A3268F">
            <w:pPr>
              <w:spacing w:after="0" w:line="240" w:lineRule="auto"/>
              <w:rPr>
                <w:rFonts w:eastAsia="Calibri" w:cstheme="minorHAnsi"/>
                <w:lang w:eastAsia="en-GB"/>
              </w:rPr>
            </w:pPr>
            <w:r w:rsidRPr="00497C45">
              <w:rPr>
                <w:rFonts w:cstheme="minorHAnsi"/>
                <w:color w:val="000000"/>
              </w:rPr>
              <w:t>Cluster Headache</w:t>
            </w:r>
          </w:p>
        </w:tc>
        <w:tc>
          <w:tcPr>
            <w:tcW w:w="1987" w:type="dxa"/>
            <w:tcBorders>
              <w:top w:val="nil"/>
              <w:left w:val="single" w:sz="4" w:space="0" w:color="auto"/>
              <w:bottom w:val="nil"/>
              <w:right w:val="single" w:sz="4" w:space="0" w:color="auto"/>
            </w:tcBorders>
            <w:shd w:val="clear" w:color="auto" w:fill="EDEDED" w:themeFill="accent3" w:themeFillTint="33"/>
            <w:vAlign w:val="bottom"/>
          </w:tcPr>
          <w:p w14:paraId="7B40FE9C"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w:t>
            </w:r>
          </w:p>
        </w:tc>
        <w:tc>
          <w:tcPr>
            <w:tcW w:w="2024" w:type="dxa"/>
            <w:tcBorders>
              <w:top w:val="nil"/>
              <w:left w:val="single" w:sz="4" w:space="0" w:color="auto"/>
              <w:bottom w:val="nil"/>
              <w:right w:val="single" w:sz="4" w:space="0" w:color="auto"/>
            </w:tcBorders>
            <w:shd w:val="clear" w:color="auto" w:fill="EDEDED" w:themeFill="accent3" w:themeFillTint="33"/>
            <w:vAlign w:val="bottom"/>
          </w:tcPr>
          <w:p w14:paraId="0774AEAC"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0.00%</w:t>
            </w:r>
          </w:p>
        </w:tc>
        <w:tc>
          <w:tcPr>
            <w:tcW w:w="1987" w:type="dxa"/>
            <w:tcBorders>
              <w:top w:val="nil"/>
              <w:left w:val="single" w:sz="4" w:space="0" w:color="auto"/>
              <w:bottom w:val="nil"/>
              <w:right w:val="single" w:sz="4" w:space="0" w:color="auto"/>
            </w:tcBorders>
            <w:shd w:val="clear" w:color="auto" w:fill="EDEDED" w:themeFill="accent3" w:themeFillTint="33"/>
            <w:vAlign w:val="bottom"/>
          </w:tcPr>
          <w:p w14:paraId="225DA3A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w:t>
            </w:r>
          </w:p>
        </w:tc>
        <w:tc>
          <w:tcPr>
            <w:tcW w:w="1987" w:type="dxa"/>
            <w:tcBorders>
              <w:top w:val="nil"/>
              <w:left w:val="single" w:sz="4" w:space="0" w:color="auto"/>
              <w:bottom w:val="nil"/>
              <w:right w:val="single" w:sz="4" w:space="0" w:color="auto"/>
            </w:tcBorders>
            <w:shd w:val="clear" w:color="auto" w:fill="EDEDED" w:themeFill="accent3" w:themeFillTint="33"/>
            <w:vAlign w:val="bottom"/>
          </w:tcPr>
          <w:p w14:paraId="7D5CD73F"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w:t>
            </w:r>
          </w:p>
        </w:tc>
      </w:tr>
      <w:tr w:rsidR="00FF1C3B" w:rsidRPr="00497C45" w14:paraId="4177E191" w14:textId="77777777" w:rsidTr="00A3268F">
        <w:trPr>
          <w:trHeight w:val="299"/>
        </w:trPr>
        <w:tc>
          <w:tcPr>
            <w:tcW w:w="5072" w:type="dxa"/>
            <w:tcBorders>
              <w:top w:val="nil"/>
              <w:left w:val="single" w:sz="4" w:space="0" w:color="auto"/>
              <w:bottom w:val="nil"/>
              <w:right w:val="single" w:sz="4" w:space="0" w:color="auto"/>
            </w:tcBorders>
            <w:shd w:val="clear" w:color="auto" w:fill="FBE4D5" w:themeFill="accent2" w:themeFillTint="33"/>
            <w:vAlign w:val="center"/>
          </w:tcPr>
          <w:p w14:paraId="26587A3A" w14:textId="77777777" w:rsidR="00FF1C3B" w:rsidRPr="00497C45" w:rsidRDefault="00FF1C3B" w:rsidP="00A3268F">
            <w:pPr>
              <w:spacing w:after="0" w:line="240" w:lineRule="auto"/>
              <w:rPr>
                <w:rFonts w:eastAsia="Calibri" w:cstheme="minorHAnsi"/>
                <w:lang w:eastAsia="en-GB"/>
              </w:rPr>
            </w:pPr>
            <w:r w:rsidRPr="00497C45">
              <w:rPr>
                <w:rFonts w:cstheme="minorHAnsi"/>
                <w:color w:val="000000"/>
              </w:rPr>
              <w:t>Migraine Headache</w:t>
            </w:r>
          </w:p>
        </w:tc>
        <w:tc>
          <w:tcPr>
            <w:tcW w:w="1987" w:type="dxa"/>
            <w:tcBorders>
              <w:top w:val="nil"/>
              <w:left w:val="single" w:sz="4" w:space="0" w:color="auto"/>
              <w:bottom w:val="nil"/>
              <w:right w:val="single" w:sz="4" w:space="0" w:color="auto"/>
            </w:tcBorders>
            <w:shd w:val="clear" w:color="auto" w:fill="FFFFFF" w:themeFill="background1"/>
            <w:vAlign w:val="bottom"/>
          </w:tcPr>
          <w:p w14:paraId="2B55D7F7"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33</w:t>
            </w:r>
          </w:p>
        </w:tc>
        <w:tc>
          <w:tcPr>
            <w:tcW w:w="2024" w:type="dxa"/>
            <w:tcBorders>
              <w:top w:val="nil"/>
              <w:left w:val="single" w:sz="4" w:space="0" w:color="auto"/>
              <w:bottom w:val="nil"/>
              <w:right w:val="single" w:sz="4" w:space="0" w:color="auto"/>
            </w:tcBorders>
            <w:shd w:val="clear" w:color="auto" w:fill="FFFFFF" w:themeFill="background1"/>
            <w:vAlign w:val="bottom"/>
          </w:tcPr>
          <w:p w14:paraId="174AF0DB"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4.69%</w:t>
            </w:r>
          </w:p>
        </w:tc>
        <w:tc>
          <w:tcPr>
            <w:tcW w:w="1987" w:type="dxa"/>
            <w:tcBorders>
              <w:top w:val="nil"/>
              <w:left w:val="single" w:sz="4" w:space="0" w:color="auto"/>
              <w:bottom w:val="nil"/>
              <w:right w:val="single" w:sz="4" w:space="0" w:color="auto"/>
            </w:tcBorders>
            <w:shd w:val="clear" w:color="auto" w:fill="FFFFFF" w:themeFill="background1"/>
            <w:vAlign w:val="bottom"/>
          </w:tcPr>
          <w:p w14:paraId="3106B80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0.986</w:t>
            </w:r>
          </w:p>
        </w:tc>
        <w:tc>
          <w:tcPr>
            <w:tcW w:w="1987" w:type="dxa"/>
            <w:tcBorders>
              <w:top w:val="nil"/>
              <w:left w:val="single" w:sz="4" w:space="0" w:color="auto"/>
              <w:bottom w:val="nil"/>
              <w:right w:val="single" w:sz="4" w:space="0" w:color="auto"/>
            </w:tcBorders>
            <w:shd w:val="clear" w:color="auto" w:fill="FFFFFF" w:themeFill="background1"/>
            <w:vAlign w:val="bottom"/>
          </w:tcPr>
          <w:p w14:paraId="69CEE6C4"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0.321</w:t>
            </w:r>
          </w:p>
        </w:tc>
      </w:tr>
      <w:tr w:rsidR="00FF1C3B" w:rsidRPr="00497C45" w14:paraId="41A71EFF" w14:textId="77777777" w:rsidTr="00A3268F">
        <w:trPr>
          <w:trHeight w:val="299"/>
        </w:trPr>
        <w:tc>
          <w:tcPr>
            <w:tcW w:w="5072" w:type="dxa"/>
            <w:tcBorders>
              <w:top w:val="nil"/>
              <w:left w:val="single" w:sz="4" w:space="0" w:color="auto"/>
              <w:bottom w:val="nil"/>
              <w:right w:val="single" w:sz="4" w:space="0" w:color="auto"/>
            </w:tcBorders>
            <w:shd w:val="clear" w:color="auto" w:fill="FBE4D5" w:themeFill="accent2" w:themeFillTint="33"/>
            <w:vAlign w:val="center"/>
          </w:tcPr>
          <w:p w14:paraId="2F1554E3" w14:textId="77777777" w:rsidR="00FF1C3B" w:rsidRPr="00497C45" w:rsidRDefault="00FF1C3B" w:rsidP="00A3268F">
            <w:pPr>
              <w:spacing w:after="0" w:line="240" w:lineRule="auto"/>
              <w:rPr>
                <w:rFonts w:eastAsia="Calibri" w:cstheme="minorHAnsi"/>
                <w:lang w:eastAsia="en-GB"/>
              </w:rPr>
            </w:pPr>
            <w:r w:rsidRPr="00497C45">
              <w:rPr>
                <w:rFonts w:cstheme="minorHAnsi"/>
                <w:color w:val="000000"/>
              </w:rPr>
              <w:t>Tension Headache</w:t>
            </w:r>
          </w:p>
        </w:tc>
        <w:tc>
          <w:tcPr>
            <w:tcW w:w="1987" w:type="dxa"/>
            <w:tcBorders>
              <w:top w:val="nil"/>
              <w:left w:val="single" w:sz="4" w:space="0" w:color="auto"/>
              <w:bottom w:val="nil"/>
              <w:right w:val="single" w:sz="4" w:space="0" w:color="auto"/>
            </w:tcBorders>
            <w:shd w:val="clear" w:color="auto" w:fill="EDEDED" w:themeFill="accent3" w:themeFillTint="33"/>
            <w:vAlign w:val="bottom"/>
          </w:tcPr>
          <w:p w14:paraId="606660CE"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11</w:t>
            </w:r>
          </w:p>
        </w:tc>
        <w:tc>
          <w:tcPr>
            <w:tcW w:w="2024" w:type="dxa"/>
            <w:tcBorders>
              <w:top w:val="nil"/>
              <w:left w:val="single" w:sz="4" w:space="0" w:color="auto"/>
              <w:bottom w:val="nil"/>
              <w:right w:val="single" w:sz="4" w:space="0" w:color="auto"/>
            </w:tcBorders>
            <w:shd w:val="clear" w:color="auto" w:fill="EDEDED" w:themeFill="accent3" w:themeFillTint="33"/>
            <w:vAlign w:val="bottom"/>
          </w:tcPr>
          <w:p w14:paraId="529C9E9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1.56%</w:t>
            </w:r>
          </w:p>
        </w:tc>
        <w:tc>
          <w:tcPr>
            <w:tcW w:w="1987" w:type="dxa"/>
            <w:tcBorders>
              <w:top w:val="nil"/>
              <w:left w:val="single" w:sz="4" w:space="0" w:color="auto"/>
              <w:bottom w:val="nil"/>
              <w:right w:val="single" w:sz="4" w:space="0" w:color="auto"/>
            </w:tcBorders>
            <w:shd w:val="clear" w:color="auto" w:fill="EDEDED" w:themeFill="accent3" w:themeFillTint="33"/>
            <w:vAlign w:val="bottom"/>
          </w:tcPr>
          <w:p w14:paraId="5D7D0C4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3.65</w:t>
            </w:r>
          </w:p>
        </w:tc>
        <w:tc>
          <w:tcPr>
            <w:tcW w:w="1987" w:type="dxa"/>
            <w:tcBorders>
              <w:top w:val="nil"/>
              <w:left w:val="single" w:sz="4" w:space="0" w:color="auto"/>
              <w:bottom w:val="nil"/>
              <w:right w:val="single" w:sz="4" w:space="0" w:color="auto"/>
            </w:tcBorders>
            <w:shd w:val="clear" w:color="auto" w:fill="EDEDED" w:themeFill="accent3" w:themeFillTint="33"/>
            <w:vAlign w:val="bottom"/>
          </w:tcPr>
          <w:p w14:paraId="214DD312"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0.056</w:t>
            </w:r>
          </w:p>
        </w:tc>
      </w:tr>
      <w:tr w:rsidR="00FF1C3B" w:rsidRPr="00497C45" w14:paraId="263EB2B5" w14:textId="77777777" w:rsidTr="00A3268F">
        <w:trPr>
          <w:trHeight w:val="299"/>
        </w:trPr>
        <w:tc>
          <w:tcPr>
            <w:tcW w:w="5072"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435D0516" w14:textId="77777777" w:rsidR="00FF1C3B" w:rsidRPr="00497C45" w:rsidRDefault="00FF1C3B" w:rsidP="00A3268F">
            <w:pPr>
              <w:spacing w:after="0" w:line="240" w:lineRule="auto"/>
              <w:rPr>
                <w:rFonts w:eastAsia="Calibri" w:cstheme="minorHAnsi"/>
                <w:lang w:eastAsia="en-GB"/>
              </w:rPr>
            </w:pPr>
            <w:r w:rsidRPr="00497C45">
              <w:rPr>
                <w:rFonts w:cstheme="minorHAnsi"/>
                <w:color w:val="000000"/>
              </w:rPr>
              <w:t>Headache (Unspecified)</w:t>
            </w:r>
          </w:p>
        </w:tc>
        <w:tc>
          <w:tcPr>
            <w:tcW w:w="1987" w:type="dxa"/>
            <w:tcBorders>
              <w:top w:val="nil"/>
              <w:left w:val="single" w:sz="4" w:space="0" w:color="auto"/>
              <w:bottom w:val="single" w:sz="4" w:space="0" w:color="auto"/>
              <w:right w:val="single" w:sz="4" w:space="0" w:color="auto"/>
            </w:tcBorders>
            <w:shd w:val="clear" w:color="auto" w:fill="FFFFFF" w:themeFill="background1"/>
            <w:vAlign w:val="bottom"/>
          </w:tcPr>
          <w:p w14:paraId="6298FEC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67</w:t>
            </w:r>
          </w:p>
        </w:tc>
        <w:tc>
          <w:tcPr>
            <w:tcW w:w="2024" w:type="dxa"/>
            <w:tcBorders>
              <w:top w:val="nil"/>
              <w:left w:val="single" w:sz="4" w:space="0" w:color="auto"/>
              <w:bottom w:val="single" w:sz="4" w:space="0" w:color="auto"/>
              <w:right w:val="single" w:sz="4" w:space="0" w:color="auto"/>
            </w:tcBorders>
            <w:shd w:val="clear" w:color="auto" w:fill="FFFFFF" w:themeFill="background1"/>
            <w:vAlign w:val="bottom"/>
          </w:tcPr>
          <w:p w14:paraId="2272CD5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9.52%</w:t>
            </w:r>
          </w:p>
        </w:tc>
        <w:tc>
          <w:tcPr>
            <w:tcW w:w="1987" w:type="dxa"/>
            <w:tcBorders>
              <w:top w:val="nil"/>
              <w:left w:val="single" w:sz="4" w:space="0" w:color="auto"/>
              <w:bottom w:val="single" w:sz="4" w:space="0" w:color="auto"/>
              <w:right w:val="single" w:sz="4" w:space="0" w:color="auto"/>
            </w:tcBorders>
            <w:shd w:val="clear" w:color="auto" w:fill="FFFFFF" w:themeFill="background1"/>
            <w:vAlign w:val="bottom"/>
          </w:tcPr>
          <w:p w14:paraId="293C738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1.678</w:t>
            </w:r>
          </w:p>
        </w:tc>
        <w:tc>
          <w:tcPr>
            <w:tcW w:w="1987" w:type="dxa"/>
            <w:tcBorders>
              <w:top w:val="nil"/>
              <w:left w:val="single" w:sz="4" w:space="0" w:color="auto"/>
              <w:bottom w:val="single" w:sz="4" w:space="0" w:color="auto"/>
              <w:right w:val="single" w:sz="4" w:space="0" w:color="auto"/>
            </w:tcBorders>
            <w:shd w:val="clear" w:color="auto" w:fill="FFFFFF" w:themeFill="background1"/>
            <w:vAlign w:val="bottom"/>
          </w:tcPr>
          <w:p w14:paraId="0F28AB42"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cstheme="minorHAnsi"/>
                <w:color w:val="000000"/>
              </w:rPr>
              <w:t>0.195</w:t>
            </w:r>
          </w:p>
        </w:tc>
      </w:tr>
    </w:tbl>
    <w:p w14:paraId="4E5A9847" w14:textId="77777777" w:rsidR="00FF1C3B" w:rsidRPr="00497C45" w:rsidRDefault="00FF1C3B" w:rsidP="00FF1C3B">
      <w:pPr>
        <w:rPr>
          <w:rFonts w:cstheme="minorHAnsi"/>
          <w:bCs/>
          <w:i/>
          <w:sz w:val="20"/>
          <w:szCs w:val="20"/>
          <w:u w:val="single"/>
        </w:rPr>
      </w:pPr>
    </w:p>
    <w:p w14:paraId="0490C36C" w14:textId="77777777" w:rsidR="00FF1C3B" w:rsidRPr="00497C45" w:rsidRDefault="00FF1C3B" w:rsidP="00FF1C3B">
      <w:pPr>
        <w:jc w:val="right"/>
        <w:rPr>
          <w:rFonts w:cstheme="minorHAnsi"/>
          <w:bCs/>
          <w:i/>
          <w:sz w:val="20"/>
          <w:szCs w:val="20"/>
          <w:u w:val="single"/>
        </w:rPr>
        <w:sectPr w:rsidR="00FF1C3B" w:rsidRPr="00497C45" w:rsidSect="006B57C3">
          <w:pgSz w:w="16838" w:h="11906" w:orient="landscape"/>
          <w:pgMar w:top="1440" w:right="1440" w:bottom="1440" w:left="1440" w:header="709" w:footer="709" w:gutter="0"/>
          <w:cols w:space="708"/>
          <w:docGrid w:linePitch="360"/>
        </w:sectPr>
      </w:pPr>
      <w:r w:rsidRPr="00497C45">
        <w:rPr>
          <w:rFonts w:cstheme="minorHAnsi"/>
          <w:i/>
          <w:iCs/>
          <w:sz w:val="20"/>
          <w:szCs w:val="20"/>
        </w:rPr>
        <w:t xml:space="preserve">Raw observed count frequency and calculated percentage prevalence of examined conditions. OCD = </w:t>
      </w:r>
      <w:proofErr w:type="gramStart"/>
      <w:r w:rsidRPr="00497C45">
        <w:rPr>
          <w:rFonts w:cstheme="minorHAnsi"/>
          <w:i/>
          <w:iCs/>
          <w:sz w:val="20"/>
          <w:szCs w:val="20"/>
        </w:rPr>
        <w:t>Obsessive Compulsive Disorder</w:t>
      </w:r>
      <w:proofErr w:type="gramEnd"/>
      <w:r w:rsidRPr="00497C45">
        <w:rPr>
          <w:rFonts w:cstheme="minorHAnsi"/>
          <w:i/>
          <w:iCs/>
          <w:sz w:val="20"/>
          <w:szCs w:val="20"/>
        </w:rPr>
        <w:t xml:space="preserve">; Anxiety = Generalised Anxiety Disorder plus Phobias; ADHD = Attention Deficit Hyperactivity Disorder. Extended cohort denominator = 704. </w:t>
      </w:r>
      <w:proofErr w:type="gramStart"/>
      <w:r w:rsidRPr="00497C45">
        <w:rPr>
          <w:rFonts w:cstheme="minorHAnsi"/>
          <w:i/>
          <w:iCs/>
          <w:sz w:val="20"/>
          <w:szCs w:val="20"/>
        </w:rPr>
        <w:t>α  =</w:t>
      </w:r>
      <w:proofErr w:type="gramEnd"/>
      <w:r w:rsidRPr="00497C45">
        <w:rPr>
          <w:rFonts w:cstheme="minorHAnsi"/>
          <w:i/>
          <w:iCs/>
          <w:sz w:val="20"/>
          <w:szCs w:val="20"/>
        </w:rPr>
        <w:t xml:space="preserve"> 0.05.</w:t>
      </w:r>
    </w:p>
    <w:p w14:paraId="40A5C1BA" w14:textId="77777777" w:rsidR="00FF1C3B" w:rsidRPr="00497C45" w:rsidRDefault="00FF1C3B" w:rsidP="00FF1C3B">
      <w:pPr>
        <w:rPr>
          <w:rFonts w:cstheme="minorHAnsi"/>
          <w:i/>
          <w:iCs/>
          <w:sz w:val="20"/>
          <w:szCs w:val="20"/>
          <w:u w:val="single"/>
        </w:rPr>
      </w:pPr>
    </w:p>
    <w:p w14:paraId="0C6791DB" w14:textId="232D6C75" w:rsidR="00FF1C3B" w:rsidRPr="00497C45" w:rsidRDefault="00FF1C3B" w:rsidP="000D0706">
      <w:pPr>
        <w:pStyle w:val="Heading2"/>
      </w:pPr>
      <w:bookmarkStart w:id="2" w:name="_Toc109994165"/>
      <w:r w:rsidRPr="00497C45">
        <w:rPr>
          <w:iCs/>
        </w:rPr>
        <w:t xml:space="preserve">Supplementary Table </w:t>
      </w:r>
      <w:r w:rsidR="00994B9C">
        <w:rPr>
          <w:iCs/>
        </w:rPr>
        <w:t>2</w:t>
      </w:r>
      <w:r w:rsidRPr="00497C45">
        <w:rPr>
          <w:iCs/>
        </w:rPr>
        <w:t>: Observed</w:t>
      </w:r>
      <w:r w:rsidRPr="00497C45">
        <w:t xml:space="preserve"> Frequency of Examined Mental Health Conditions in Combined Healthcare Records for Core Autism and General Population Control Cohorts, Stratified by Age</w:t>
      </w:r>
      <w:bookmarkEnd w:id="2"/>
    </w:p>
    <w:tbl>
      <w:tblPr>
        <w:tblW w:w="14350" w:type="dxa"/>
        <w:tblLook w:val="04A0" w:firstRow="1" w:lastRow="0" w:firstColumn="1" w:lastColumn="0" w:noHBand="0" w:noVBand="1"/>
      </w:tblPr>
      <w:tblGrid>
        <w:gridCol w:w="3094"/>
        <w:gridCol w:w="1204"/>
        <w:gridCol w:w="1204"/>
        <w:gridCol w:w="1204"/>
        <w:gridCol w:w="1204"/>
        <w:gridCol w:w="1009"/>
        <w:gridCol w:w="1204"/>
        <w:gridCol w:w="1204"/>
        <w:gridCol w:w="1204"/>
        <w:gridCol w:w="1204"/>
        <w:gridCol w:w="1009"/>
      </w:tblGrid>
      <w:tr w:rsidR="00FF1C3B" w:rsidRPr="00497C45" w14:paraId="2C67B9FB" w14:textId="77777777" w:rsidTr="00A3268F">
        <w:trPr>
          <w:trHeight w:val="83"/>
        </w:trPr>
        <w:tc>
          <w:tcPr>
            <w:tcW w:w="3094" w:type="dxa"/>
            <w:tcBorders>
              <w:top w:val="single" w:sz="4" w:space="0" w:color="auto"/>
              <w:left w:val="single" w:sz="4" w:space="0" w:color="auto"/>
              <w:bottom w:val="nil"/>
              <w:right w:val="single" w:sz="4" w:space="0" w:color="auto"/>
            </w:tcBorders>
            <w:shd w:val="clear" w:color="auto" w:fill="FBE4D5" w:themeFill="accent2" w:themeFillTint="33"/>
            <w:noWrap/>
            <w:vAlign w:val="bottom"/>
            <w:hideMark/>
          </w:tcPr>
          <w:p w14:paraId="7C532AC3" w14:textId="77777777" w:rsidR="00FF1C3B" w:rsidRPr="00497C45" w:rsidRDefault="00FF1C3B" w:rsidP="00A3268F">
            <w:pPr>
              <w:spacing w:after="0" w:line="240" w:lineRule="auto"/>
              <w:rPr>
                <w:rFonts w:eastAsia="Times New Roman" w:cstheme="minorHAnsi"/>
                <w:sz w:val="24"/>
                <w:szCs w:val="24"/>
                <w:lang w:eastAsia="en-GB"/>
              </w:rPr>
            </w:pPr>
          </w:p>
        </w:tc>
        <w:tc>
          <w:tcPr>
            <w:tcW w:w="5628"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D9C817D"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Core Autism Phenotype Cohort</w:t>
            </w:r>
          </w:p>
        </w:tc>
        <w:tc>
          <w:tcPr>
            <w:tcW w:w="5628"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8205BA0"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General Population Comparator Cohort</w:t>
            </w:r>
          </w:p>
        </w:tc>
      </w:tr>
      <w:tr w:rsidR="00FF1C3B" w:rsidRPr="00497C45" w14:paraId="70E4944B" w14:textId="77777777" w:rsidTr="00A3268F">
        <w:trPr>
          <w:trHeight w:val="343"/>
        </w:trPr>
        <w:tc>
          <w:tcPr>
            <w:tcW w:w="3094"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22569625" w14:textId="77777777" w:rsidR="00FF1C3B" w:rsidRPr="00497C45" w:rsidRDefault="00FF1C3B" w:rsidP="00A3268F">
            <w:pPr>
              <w:spacing w:after="0" w:line="240" w:lineRule="auto"/>
              <w:jc w:val="center"/>
              <w:rPr>
                <w:rFonts w:eastAsia="Times New Roman" w:cstheme="minorHAnsi"/>
                <w:b/>
                <w:bCs/>
                <w:color w:val="000000"/>
                <w:lang w:eastAsia="en-GB"/>
              </w:rPr>
            </w:pPr>
          </w:p>
        </w:tc>
        <w:tc>
          <w:tcPr>
            <w:tcW w:w="12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ECAD99D"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18-25</w:t>
            </w:r>
          </w:p>
        </w:tc>
        <w:tc>
          <w:tcPr>
            <w:tcW w:w="12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770B4382"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26-35</w:t>
            </w:r>
          </w:p>
        </w:tc>
        <w:tc>
          <w:tcPr>
            <w:tcW w:w="12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629CC97"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36-50</w:t>
            </w:r>
          </w:p>
        </w:tc>
        <w:tc>
          <w:tcPr>
            <w:tcW w:w="12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C9A61CC"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51-65</w:t>
            </w:r>
          </w:p>
        </w:tc>
        <w:tc>
          <w:tcPr>
            <w:tcW w:w="8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9A697A5"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65+</w:t>
            </w:r>
          </w:p>
        </w:tc>
        <w:tc>
          <w:tcPr>
            <w:tcW w:w="12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71441D3"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18-25</w:t>
            </w:r>
          </w:p>
        </w:tc>
        <w:tc>
          <w:tcPr>
            <w:tcW w:w="12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4F2E0DEC"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26-35</w:t>
            </w:r>
          </w:p>
        </w:tc>
        <w:tc>
          <w:tcPr>
            <w:tcW w:w="12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4D90182"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36-50</w:t>
            </w:r>
          </w:p>
        </w:tc>
        <w:tc>
          <w:tcPr>
            <w:tcW w:w="12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41BABDA"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51-65</w:t>
            </w:r>
          </w:p>
        </w:tc>
        <w:tc>
          <w:tcPr>
            <w:tcW w:w="8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49C7295" w14:textId="77777777" w:rsidR="00FF1C3B" w:rsidRPr="00497C45" w:rsidRDefault="00FF1C3B" w:rsidP="00A3268F">
            <w:pPr>
              <w:spacing w:after="0" w:line="240" w:lineRule="auto"/>
              <w:jc w:val="center"/>
              <w:rPr>
                <w:rFonts w:eastAsia="Times New Roman" w:cstheme="minorHAnsi"/>
                <w:b/>
                <w:bCs/>
                <w:color w:val="000000"/>
                <w:lang w:eastAsia="en-GB"/>
              </w:rPr>
            </w:pPr>
            <w:r w:rsidRPr="00497C45">
              <w:rPr>
                <w:rFonts w:eastAsia="Times New Roman" w:cstheme="minorHAnsi"/>
                <w:b/>
                <w:bCs/>
                <w:color w:val="000000"/>
                <w:lang w:eastAsia="en-GB"/>
              </w:rPr>
              <w:t>65+</w:t>
            </w:r>
          </w:p>
        </w:tc>
      </w:tr>
      <w:tr w:rsidR="00FF1C3B" w:rsidRPr="00497C45" w14:paraId="5AC4A25B" w14:textId="77777777" w:rsidTr="00A3268F">
        <w:trPr>
          <w:trHeight w:val="671"/>
        </w:trPr>
        <w:tc>
          <w:tcPr>
            <w:tcW w:w="3094" w:type="dxa"/>
            <w:tcBorders>
              <w:top w:val="single" w:sz="4" w:space="0" w:color="auto"/>
              <w:left w:val="single" w:sz="4" w:space="0" w:color="auto"/>
              <w:bottom w:val="single" w:sz="8" w:space="0" w:color="auto"/>
              <w:right w:val="single" w:sz="4" w:space="0" w:color="auto"/>
            </w:tcBorders>
            <w:shd w:val="clear" w:color="000000" w:fill="FBE4D5"/>
            <w:vAlign w:val="center"/>
            <w:hideMark/>
          </w:tcPr>
          <w:p w14:paraId="0C19FD1B" w14:textId="77777777" w:rsidR="00FF1C3B" w:rsidRPr="00497C45" w:rsidRDefault="00FF1C3B" w:rsidP="00A3268F">
            <w:pPr>
              <w:spacing w:after="0" w:line="240" w:lineRule="auto"/>
              <w:rPr>
                <w:rFonts w:eastAsia="Times New Roman" w:cstheme="minorHAnsi"/>
                <w:color w:val="000000"/>
                <w:lang w:eastAsia="en-GB"/>
              </w:rPr>
            </w:pPr>
            <w:r w:rsidRPr="00497C45">
              <w:rPr>
                <w:rFonts w:eastAsia="Calibri" w:cstheme="minorHAnsi"/>
                <w:lang w:eastAsia="en-GB"/>
              </w:rPr>
              <w:t>Any Studied Mental Health Condition</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B20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1272 (32.02%)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D7961"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1199 (60.56%)</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658FA"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777 (69.31%)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0476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412 (63.98%)</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F6F4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123 (54.67%)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566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1951 (16.08%)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C5B7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2290 (32.70%)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D526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1450 (37.84%)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EE434"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710 (32.03%)</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56DD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206 (27.21%)</w:t>
            </w:r>
          </w:p>
        </w:tc>
      </w:tr>
      <w:tr w:rsidR="00FF1C3B" w:rsidRPr="00497C45" w14:paraId="0F222170" w14:textId="77777777" w:rsidTr="00A3268F">
        <w:trPr>
          <w:trHeight w:val="327"/>
        </w:trPr>
        <w:tc>
          <w:tcPr>
            <w:tcW w:w="3094" w:type="dxa"/>
            <w:tcBorders>
              <w:top w:val="nil"/>
              <w:left w:val="single" w:sz="4" w:space="0" w:color="auto"/>
              <w:bottom w:val="nil"/>
              <w:right w:val="single" w:sz="4" w:space="0" w:color="auto"/>
            </w:tcBorders>
            <w:shd w:val="clear" w:color="000000" w:fill="FBE4D5"/>
            <w:vAlign w:val="center"/>
            <w:hideMark/>
          </w:tcPr>
          <w:p w14:paraId="44956C8D" w14:textId="77777777" w:rsidR="00FF1C3B" w:rsidRPr="00497C45" w:rsidRDefault="00FF1C3B" w:rsidP="00A3268F">
            <w:pPr>
              <w:spacing w:after="0" w:line="240" w:lineRule="auto"/>
              <w:rPr>
                <w:rFonts w:eastAsia="Times New Roman" w:cstheme="minorHAnsi"/>
                <w:color w:val="000000"/>
                <w:lang w:eastAsia="en-GB"/>
              </w:rPr>
            </w:pPr>
            <w:r w:rsidRPr="00497C45">
              <w:rPr>
                <w:rFonts w:eastAsia="Calibri" w:cstheme="minorHAnsi"/>
                <w:lang w:eastAsia="en-GB"/>
              </w:rPr>
              <w:t>ADHD</w:t>
            </w:r>
          </w:p>
        </w:tc>
        <w:tc>
          <w:tcPr>
            <w:tcW w:w="1204" w:type="dxa"/>
            <w:tcBorders>
              <w:top w:val="single" w:sz="4" w:space="0" w:color="auto"/>
              <w:left w:val="single" w:sz="4" w:space="0" w:color="auto"/>
              <w:bottom w:val="nil"/>
              <w:right w:val="single" w:sz="4" w:space="0" w:color="auto"/>
            </w:tcBorders>
            <w:shd w:val="clear" w:color="auto" w:fill="EDEDED" w:themeFill="accent3" w:themeFillTint="33"/>
            <w:noWrap/>
            <w:vAlign w:val="bottom"/>
            <w:hideMark/>
          </w:tcPr>
          <w:p w14:paraId="337241DA"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314</w:t>
            </w:r>
          </w:p>
        </w:tc>
        <w:tc>
          <w:tcPr>
            <w:tcW w:w="1204" w:type="dxa"/>
            <w:tcBorders>
              <w:top w:val="single" w:sz="4" w:space="0" w:color="auto"/>
              <w:left w:val="single" w:sz="4" w:space="0" w:color="auto"/>
              <w:bottom w:val="nil"/>
              <w:right w:val="single" w:sz="4" w:space="0" w:color="auto"/>
            </w:tcBorders>
            <w:shd w:val="clear" w:color="auto" w:fill="EDEDED" w:themeFill="accent3" w:themeFillTint="33"/>
            <w:noWrap/>
            <w:vAlign w:val="bottom"/>
            <w:hideMark/>
          </w:tcPr>
          <w:p w14:paraId="41551FD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178</w:t>
            </w:r>
          </w:p>
        </w:tc>
        <w:tc>
          <w:tcPr>
            <w:tcW w:w="1204" w:type="dxa"/>
            <w:tcBorders>
              <w:top w:val="single" w:sz="4" w:space="0" w:color="auto"/>
              <w:left w:val="single" w:sz="4" w:space="0" w:color="auto"/>
              <w:bottom w:val="nil"/>
              <w:right w:val="single" w:sz="4" w:space="0" w:color="auto"/>
            </w:tcBorders>
            <w:shd w:val="clear" w:color="auto" w:fill="EDEDED" w:themeFill="accent3" w:themeFillTint="33"/>
            <w:noWrap/>
            <w:vAlign w:val="bottom"/>
            <w:hideMark/>
          </w:tcPr>
          <w:p w14:paraId="79B428B0"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48</w:t>
            </w:r>
          </w:p>
        </w:tc>
        <w:tc>
          <w:tcPr>
            <w:tcW w:w="1204" w:type="dxa"/>
            <w:tcBorders>
              <w:top w:val="single" w:sz="4" w:space="0" w:color="auto"/>
              <w:left w:val="single" w:sz="4" w:space="0" w:color="auto"/>
              <w:bottom w:val="nil"/>
              <w:right w:val="single" w:sz="4" w:space="0" w:color="auto"/>
            </w:tcBorders>
            <w:shd w:val="clear" w:color="auto" w:fill="EDEDED" w:themeFill="accent3" w:themeFillTint="33"/>
            <w:noWrap/>
            <w:vAlign w:val="bottom"/>
            <w:hideMark/>
          </w:tcPr>
          <w:p w14:paraId="0F89EC1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14</w:t>
            </w:r>
          </w:p>
        </w:tc>
        <w:tc>
          <w:tcPr>
            <w:tcW w:w="809" w:type="dxa"/>
            <w:tcBorders>
              <w:top w:val="single" w:sz="4" w:space="0" w:color="auto"/>
              <w:left w:val="single" w:sz="4" w:space="0" w:color="auto"/>
              <w:bottom w:val="nil"/>
              <w:right w:val="single" w:sz="4" w:space="0" w:color="auto"/>
            </w:tcBorders>
            <w:shd w:val="clear" w:color="auto" w:fill="EDEDED" w:themeFill="accent3" w:themeFillTint="33"/>
            <w:noWrap/>
            <w:vAlign w:val="bottom"/>
            <w:hideMark/>
          </w:tcPr>
          <w:p w14:paraId="3933D7E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&lt;10</w:t>
            </w:r>
          </w:p>
        </w:tc>
        <w:tc>
          <w:tcPr>
            <w:tcW w:w="1204" w:type="dxa"/>
            <w:tcBorders>
              <w:top w:val="single" w:sz="4" w:space="0" w:color="auto"/>
              <w:left w:val="single" w:sz="4" w:space="0" w:color="auto"/>
              <w:bottom w:val="nil"/>
              <w:right w:val="single" w:sz="4" w:space="0" w:color="auto"/>
            </w:tcBorders>
            <w:shd w:val="clear" w:color="auto" w:fill="EDEDED" w:themeFill="accent3" w:themeFillTint="33"/>
            <w:noWrap/>
            <w:vAlign w:val="bottom"/>
            <w:hideMark/>
          </w:tcPr>
          <w:p w14:paraId="14EE5159"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129</w:t>
            </w:r>
          </w:p>
        </w:tc>
        <w:tc>
          <w:tcPr>
            <w:tcW w:w="1204" w:type="dxa"/>
            <w:tcBorders>
              <w:top w:val="single" w:sz="4" w:space="0" w:color="auto"/>
              <w:left w:val="single" w:sz="4" w:space="0" w:color="auto"/>
              <w:bottom w:val="nil"/>
              <w:right w:val="single" w:sz="4" w:space="0" w:color="auto"/>
            </w:tcBorders>
            <w:shd w:val="clear" w:color="auto" w:fill="EDEDED" w:themeFill="accent3" w:themeFillTint="33"/>
            <w:noWrap/>
            <w:vAlign w:val="bottom"/>
            <w:hideMark/>
          </w:tcPr>
          <w:p w14:paraId="15B37F0E"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45</w:t>
            </w:r>
          </w:p>
        </w:tc>
        <w:tc>
          <w:tcPr>
            <w:tcW w:w="1204" w:type="dxa"/>
            <w:tcBorders>
              <w:top w:val="single" w:sz="4" w:space="0" w:color="auto"/>
              <w:left w:val="single" w:sz="4" w:space="0" w:color="auto"/>
              <w:bottom w:val="nil"/>
              <w:right w:val="single" w:sz="4" w:space="0" w:color="auto"/>
            </w:tcBorders>
            <w:shd w:val="clear" w:color="auto" w:fill="EDEDED" w:themeFill="accent3" w:themeFillTint="33"/>
            <w:noWrap/>
            <w:vAlign w:val="bottom"/>
            <w:hideMark/>
          </w:tcPr>
          <w:p w14:paraId="221DE6A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&lt;10</w:t>
            </w:r>
          </w:p>
        </w:tc>
        <w:tc>
          <w:tcPr>
            <w:tcW w:w="1204" w:type="dxa"/>
            <w:tcBorders>
              <w:top w:val="single" w:sz="4" w:space="0" w:color="auto"/>
              <w:left w:val="single" w:sz="4" w:space="0" w:color="auto"/>
              <w:bottom w:val="nil"/>
              <w:right w:val="single" w:sz="4" w:space="0" w:color="auto"/>
            </w:tcBorders>
            <w:shd w:val="clear" w:color="auto" w:fill="EDEDED" w:themeFill="accent3" w:themeFillTint="33"/>
            <w:noWrap/>
            <w:vAlign w:val="bottom"/>
            <w:hideMark/>
          </w:tcPr>
          <w:p w14:paraId="7026285F"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&lt;10</w:t>
            </w:r>
          </w:p>
        </w:tc>
        <w:tc>
          <w:tcPr>
            <w:tcW w:w="809" w:type="dxa"/>
            <w:tcBorders>
              <w:top w:val="single" w:sz="4" w:space="0" w:color="auto"/>
              <w:left w:val="single" w:sz="4" w:space="0" w:color="auto"/>
              <w:bottom w:val="nil"/>
              <w:right w:val="single" w:sz="4" w:space="0" w:color="auto"/>
            </w:tcBorders>
            <w:shd w:val="clear" w:color="auto" w:fill="EDEDED" w:themeFill="accent3" w:themeFillTint="33"/>
            <w:noWrap/>
            <w:vAlign w:val="bottom"/>
            <w:hideMark/>
          </w:tcPr>
          <w:p w14:paraId="02E7BBF4"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0</w:t>
            </w:r>
          </w:p>
        </w:tc>
      </w:tr>
      <w:tr w:rsidR="00FF1C3B" w:rsidRPr="00497C45" w14:paraId="20704B4D" w14:textId="77777777" w:rsidTr="00A3268F">
        <w:trPr>
          <w:trHeight w:val="327"/>
        </w:trPr>
        <w:tc>
          <w:tcPr>
            <w:tcW w:w="3094" w:type="dxa"/>
            <w:tcBorders>
              <w:top w:val="nil"/>
              <w:left w:val="single" w:sz="4" w:space="0" w:color="auto"/>
              <w:right w:val="single" w:sz="4" w:space="0" w:color="auto"/>
            </w:tcBorders>
            <w:shd w:val="clear" w:color="000000" w:fill="FBE4D5"/>
            <w:vAlign w:val="center"/>
            <w:hideMark/>
          </w:tcPr>
          <w:p w14:paraId="2B697618" w14:textId="77777777" w:rsidR="00FF1C3B" w:rsidRPr="00497C45" w:rsidRDefault="00FF1C3B" w:rsidP="00A3268F">
            <w:pPr>
              <w:spacing w:after="0" w:line="240" w:lineRule="auto"/>
              <w:rPr>
                <w:rFonts w:eastAsia="Times New Roman" w:cstheme="minorHAnsi"/>
                <w:color w:val="000000"/>
                <w:lang w:eastAsia="en-GB"/>
              </w:rPr>
            </w:pPr>
            <w:r w:rsidRPr="00497C45">
              <w:rPr>
                <w:rFonts w:eastAsia="Calibri" w:cstheme="minorHAnsi"/>
                <w:lang w:eastAsia="en-GB"/>
              </w:rPr>
              <w:t>Alcohol Misuse</w:t>
            </w:r>
          </w:p>
        </w:tc>
        <w:tc>
          <w:tcPr>
            <w:tcW w:w="1204" w:type="dxa"/>
            <w:tcBorders>
              <w:top w:val="nil"/>
              <w:left w:val="single" w:sz="4" w:space="0" w:color="auto"/>
              <w:bottom w:val="nil"/>
              <w:right w:val="single" w:sz="4" w:space="0" w:color="auto"/>
            </w:tcBorders>
            <w:shd w:val="clear" w:color="auto" w:fill="auto"/>
            <w:noWrap/>
            <w:vAlign w:val="bottom"/>
            <w:hideMark/>
          </w:tcPr>
          <w:p w14:paraId="07E44E3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45</w:t>
            </w:r>
          </w:p>
        </w:tc>
        <w:tc>
          <w:tcPr>
            <w:tcW w:w="1204" w:type="dxa"/>
            <w:tcBorders>
              <w:top w:val="nil"/>
              <w:left w:val="single" w:sz="4" w:space="0" w:color="auto"/>
              <w:bottom w:val="nil"/>
              <w:right w:val="single" w:sz="4" w:space="0" w:color="auto"/>
            </w:tcBorders>
            <w:shd w:val="clear" w:color="auto" w:fill="auto"/>
            <w:noWrap/>
            <w:vAlign w:val="bottom"/>
            <w:hideMark/>
          </w:tcPr>
          <w:p w14:paraId="5C9A33A1"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113</w:t>
            </w:r>
          </w:p>
        </w:tc>
        <w:tc>
          <w:tcPr>
            <w:tcW w:w="1204" w:type="dxa"/>
            <w:tcBorders>
              <w:top w:val="nil"/>
              <w:left w:val="single" w:sz="4" w:space="0" w:color="auto"/>
              <w:bottom w:val="nil"/>
              <w:right w:val="single" w:sz="4" w:space="0" w:color="auto"/>
            </w:tcBorders>
            <w:shd w:val="clear" w:color="auto" w:fill="auto"/>
            <w:noWrap/>
            <w:vAlign w:val="bottom"/>
            <w:hideMark/>
          </w:tcPr>
          <w:p w14:paraId="22BB8D8B"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103</w:t>
            </w:r>
          </w:p>
        </w:tc>
        <w:tc>
          <w:tcPr>
            <w:tcW w:w="1204" w:type="dxa"/>
            <w:tcBorders>
              <w:top w:val="nil"/>
              <w:left w:val="single" w:sz="4" w:space="0" w:color="auto"/>
              <w:bottom w:val="nil"/>
              <w:right w:val="single" w:sz="4" w:space="0" w:color="auto"/>
            </w:tcBorders>
            <w:shd w:val="clear" w:color="auto" w:fill="auto"/>
            <w:noWrap/>
            <w:vAlign w:val="bottom"/>
            <w:hideMark/>
          </w:tcPr>
          <w:p w14:paraId="1031D01C"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42</w:t>
            </w:r>
          </w:p>
        </w:tc>
        <w:tc>
          <w:tcPr>
            <w:tcW w:w="809" w:type="dxa"/>
            <w:tcBorders>
              <w:top w:val="nil"/>
              <w:left w:val="single" w:sz="4" w:space="0" w:color="auto"/>
              <w:bottom w:val="nil"/>
              <w:right w:val="single" w:sz="4" w:space="0" w:color="auto"/>
            </w:tcBorders>
            <w:shd w:val="clear" w:color="auto" w:fill="auto"/>
            <w:noWrap/>
            <w:vAlign w:val="bottom"/>
            <w:hideMark/>
          </w:tcPr>
          <w:p w14:paraId="62098801"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10</w:t>
            </w:r>
          </w:p>
        </w:tc>
        <w:tc>
          <w:tcPr>
            <w:tcW w:w="1204" w:type="dxa"/>
            <w:tcBorders>
              <w:top w:val="nil"/>
              <w:left w:val="single" w:sz="4" w:space="0" w:color="auto"/>
              <w:bottom w:val="nil"/>
              <w:right w:val="single" w:sz="4" w:space="0" w:color="auto"/>
            </w:tcBorders>
            <w:shd w:val="clear" w:color="auto" w:fill="auto"/>
            <w:noWrap/>
            <w:vAlign w:val="bottom"/>
            <w:hideMark/>
          </w:tcPr>
          <w:p w14:paraId="22B3734B"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145</w:t>
            </w:r>
          </w:p>
        </w:tc>
        <w:tc>
          <w:tcPr>
            <w:tcW w:w="1204" w:type="dxa"/>
            <w:tcBorders>
              <w:top w:val="nil"/>
              <w:left w:val="single" w:sz="4" w:space="0" w:color="auto"/>
              <w:bottom w:val="nil"/>
              <w:right w:val="single" w:sz="4" w:space="0" w:color="auto"/>
            </w:tcBorders>
            <w:shd w:val="clear" w:color="auto" w:fill="auto"/>
            <w:noWrap/>
            <w:vAlign w:val="bottom"/>
            <w:hideMark/>
          </w:tcPr>
          <w:p w14:paraId="595AD16C"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306</w:t>
            </w:r>
          </w:p>
        </w:tc>
        <w:tc>
          <w:tcPr>
            <w:tcW w:w="1204" w:type="dxa"/>
            <w:tcBorders>
              <w:top w:val="nil"/>
              <w:left w:val="single" w:sz="4" w:space="0" w:color="auto"/>
              <w:bottom w:val="nil"/>
              <w:right w:val="single" w:sz="4" w:space="0" w:color="auto"/>
            </w:tcBorders>
            <w:shd w:val="clear" w:color="auto" w:fill="auto"/>
            <w:noWrap/>
            <w:vAlign w:val="bottom"/>
            <w:hideMark/>
          </w:tcPr>
          <w:p w14:paraId="0C20F98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234</w:t>
            </w:r>
          </w:p>
        </w:tc>
        <w:tc>
          <w:tcPr>
            <w:tcW w:w="1204" w:type="dxa"/>
            <w:tcBorders>
              <w:top w:val="nil"/>
              <w:left w:val="single" w:sz="4" w:space="0" w:color="auto"/>
              <w:bottom w:val="nil"/>
              <w:right w:val="single" w:sz="4" w:space="0" w:color="auto"/>
            </w:tcBorders>
            <w:shd w:val="clear" w:color="auto" w:fill="auto"/>
            <w:noWrap/>
            <w:vAlign w:val="bottom"/>
            <w:hideMark/>
          </w:tcPr>
          <w:p w14:paraId="681142A0"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117</w:t>
            </w:r>
          </w:p>
        </w:tc>
        <w:tc>
          <w:tcPr>
            <w:tcW w:w="809" w:type="dxa"/>
            <w:tcBorders>
              <w:top w:val="nil"/>
              <w:left w:val="single" w:sz="4" w:space="0" w:color="auto"/>
              <w:bottom w:val="nil"/>
              <w:right w:val="single" w:sz="4" w:space="0" w:color="auto"/>
            </w:tcBorders>
            <w:shd w:val="clear" w:color="auto" w:fill="auto"/>
            <w:noWrap/>
            <w:vAlign w:val="bottom"/>
            <w:hideMark/>
          </w:tcPr>
          <w:p w14:paraId="7935CFC2"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31</w:t>
            </w:r>
          </w:p>
        </w:tc>
      </w:tr>
      <w:tr w:rsidR="00FF1C3B" w:rsidRPr="00497C45" w14:paraId="7D2D803B" w14:textId="77777777" w:rsidTr="00A3268F">
        <w:trPr>
          <w:trHeight w:val="327"/>
        </w:trPr>
        <w:tc>
          <w:tcPr>
            <w:tcW w:w="3094" w:type="dxa"/>
            <w:tcBorders>
              <w:top w:val="nil"/>
              <w:left w:val="single" w:sz="4" w:space="0" w:color="auto"/>
              <w:right w:val="single" w:sz="4" w:space="0" w:color="auto"/>
            </w:tcBorders>
            <w:shd w:val="clear" w:color="000000" w:fill="FBE4D5"/>
            <w:vAlign w:val="center"/>
            <w:hideMark/>
          </w:tcPr>
          <w:p w14:paraId="0F058C56" w14:textId="77777777" w:rsidR="00FF1C3B" w:rsidRPr="00497C45" w:rsidRDefault="00FF1C3B" w:rsidP="00A3268F">
            <w:pPr>
              <w:spacing w:after="0" w:line="240" w:lineRule="auto"/>
              <w:rPr>
                <w:rFonts w:eastAsia="Times New Roman" w:cstheme="minorHAnsi"/>
                <w:color w:val="000000"/>
                <w:lang w:eastAsia="en-GB"/>
              </w:rPr>
            </w:pPr>
            <w:r w:rsidRPr="00497C45">
              <w:rPr>
                <w:rFonts w:eastAsia="Calibri" w:cstheme="minorHAnsi"/>
                <w:lang w:eastAsia="en-GB"/>
              </w:rPr>
              <w:t>Anxiety</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62E57E0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503</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1920DAF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614</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1C7DECD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419</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25F387D0"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200</w:t>
            </w:r>
          </w:p>
        </w:tc>
        <w:tc>
          <w:tcPr>
            <w:tcW w:w="809" w:type="dxa"/>
            <w:tcBorders>
              <w:top w:val="nil"/>
              <w:left w:val="single" w:sz="4" w:space="0" w:color="auto"/>
              <w:bottom w:val="nil"/>
              <w:right w:val="single" w:sz="4" w:space="0" w:color="auto"/>
            </w:tcBorders>
            <w:shd w:val="clear" w:color="auto" w:fill="EDEDED" w:themeFill="accent3" w:themeFillTint="33"/>
            <w:noWrap/>
            <w:vAlign w:val="bottom"/>
            <w:hideMark/>
          </w:tcPr>
          <w:p w14:paraId="0AAE07A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47</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5167C03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948</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1446138A"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1262</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5F685DE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814</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41E6B59E"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395</w:t>
            </w:r>
          </w:p>
        </w:tc>
        <w:tc>
          <w:tcPr>
            <w:tcW w:w="809" w:type="dxa"/>
            <w:tcBorders>
              <w:top w:val="nil"/>
              <w:left w:val="single" w:sz="4" w:space="0" w:color="auto"/>
              <w:bottom w:val="nil"/>
              <w:right w:val="single" w:sz="4" w:space="0" w:color="auto"/>
            </w:tcBorders>
            <w:shd w:val="clear" w:color="auto" w:fill="EDEDED" w:themeFill="accent3" w:themeFillTint="33"/>
            <w:noWrap/>
            <w:vAlign w:val="bottom"/>
            <w:hideMark/>
          </w:tcPr>
          <w:p w14:paraId="4AD2344E"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105</w:t>
            </w:r>
          </w:p>
        </w:tc>
      </w:tr>
      <w:tr w:rsidR="00FF1C3B" w:rsidRPr="00497C45" w14:paraId="7DE998D8" w14:textId="77777777" w:rsidTr="00A3268F">
        <w:trPr>
          <w:trHeight w:val="327"/>
        </w:trPr>
        <w:tc>
          <w:tcPr>
            <w:tcW w:w="3094" w:type="dxa"/>
            <w:tcBorders>
              <w:left w:val="single" w:sz="4" w:space="0" w:color="auto"/>
              <w:bottom w:val="nil"/>
              <w:right w:val="single" w:sz="4" w:space="0" w:color="auto"/>
            </w:tcBorders>
            <w:shd w:val="clear" w:color="000000" w:fill="FBE4D5"/>
            <w:vAlign w:val="center"/>
            <w:hideMark/>
          </w:tcPr>
          <w:p w14:paraId="559D46DA" w14:textId="77777777" w:rsidR="00FF1C3B" w:rsidRPr="00497C45" w:rsidRDefault="00FF1C3B" w:rsidP="00A3268F">
            <w:pPr>
              <w:spacing w:after="0" w:line="240" w:lineRule="auto"/>
              <w:rPr>
                <w:rFonts w:eastAsia="Times New Roman" w:cstheme="minorHAnsi"/>
                <w:color w:val="000000"/>
                <w:lang w:eastAsia="en-GB"/>
              </w:rPr>
            </w:pPr>
            <w:r w:rsidRPr="00497C45">
              <w:rPr>
                <w:rFonts w:eastAsia="Calibri" w:cstheme="minorHAnsi"/>
                <w:lang w:eastAsia="en-GB"/>
              </w:rPr>
              <w:t>Bipolar Disorder</w:t>
            </w:r>
          </w:p>
        </w:tc>
        <w:tc>
          <w:tcPr>
            <w:tcW w:w="1204" w:type="dxa"/>
            <w:tcBorders>
              <w:top w:val="nil"/>
              <w:left w:val="single" w:sz="4" w:space="0" w:color="auto"/>
              <w:bottom w:val="nil"/>
              <w:right w:val="single" w:sz="4" w:space="0" w:color="auto"/>
            </w:tcBorders>
            <w:shd w:val="clear" w:color="auto" w:fill="auto"/>
            <w:noWrap/>
            <w:vAlign w:val="bottom"/>
            <w:hideMark/>
          </w:tcPr>
          <w:p w14:paraId="0DB3F6EF"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44</w:t>
            </w:r>
          </w:p>
        </w:tc>
        <w:tc>
          <w:tcPr>
            <w:tcW w:w="1204" w:type="dxa"/>
            <w:tcBorders>
              <w:top w:val="nil"/>
              <w:left w:val="single" w:sz="4" w:space="0" w:color="auto"/>
              <w:bottom w:val="nil"/>
              <w:right w:val="single" w:sz="4" w:space="0" w:color="auto"/>
            </w:tcBorders>
            <w:shd w:val="clear" w:color="auto" w:fill="auto"/>
            <w:noWrap/>
            <w:vAlign w:val="bottom"/>
            <w:hideMark/>
          </w:tcPr>
          <w:p w14:paraId="4C14EB37"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55</w:t>
            </w:r>
          </w:p>
        </w:tc>
        <w:tc>
          <w:tcPr>
            <w:tcW w:w="1204" w:type="dxa"/>
            <w:tcBorders>
              <w:top w:val="nil"/>
              <w:left w:val="single" w:sz="4" w:space="0" w:color="auto"/>
              <w:bottom w:val="nil"/>
              <w:right w:val="single" w:sz="4" w:space="0" w:color="auto"/>
            </w:tcBorders>
            <w:shd w:val="clear" w:color="auto" w:fill="auto"/>
            <w:noWrap/>
            <w:vAlign w:val="bottom"/>
            <w:hideMark/>
          </w:tcPr>
          <w:p w14:paraId="59908641"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50</w:t>
            </w:r>
          </w:p>
        </w:tc>
        <w:tc>
          <w:tcPr>
            <w:tcW w:w="1204" w:type="dxa"/>
            <w:tcBorders>
              <w:top w:val="nil"/>
              <w:left w:val="single" w:sz="4" w:space="0" w:color="auto"/>
              <w:bottom w:val="nil"/>
              <w:right w:val="single" w:sz="4" w:space="0" w:color="auto"/>
            </w:tcBorders>
            <w:shd w:val="clear" w:color="auto" w:fill="auto"/>
            <w:noWrap/>
            <w:vAlign w:val="bottom"/>
            <w:hideMark/>
          </w:tcPr>
          <w:p w14:paraId="187B4D5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32</w:t>
            </w:r>
          </w:p>
        </w:tc>
        <w:tc>
          <w:tcPr>
            <w:tcW w:w="809" w:type="dxa"/>
            <w:tcBorders>
              <w:top w:val="nil"/>
              <w:left w:val="single" w:sz="4" w:space="0" w:color="auto"/>
              <w:bottom w:val="nil"/>
              <w:right w:val="single" w:sz="4" w:space="0" w:color="auto"/>
            </w:tcBorders>
            <w:shd w:val="clear" w:color="auto" w:fill="auto"/>
            <w:noWrap/>
            <w:vAlign w:val="bottom"/>
            <w:hideMark/>
          </w:tcPr>
          <w:p w14:paraId="4D52173C"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18</w:t>
            </w:r>
          </w:p>
        </w:tc>
        <w:tc>
          <w:tcPr>
            <w:tcW w:w="1204" w:type="dxa"/>
            <w:tcBorders>
              <w:top w:val="nil"/>
              <w:left w:val="single" w:sz="4" w:space="0" w:color="auto"/>
              <w:bottom w:val="nil"/>
              <w:right w:val="single" w:sz="4" w:space="0" w:color="auto"/>
            </w:tcBorders>
            <w:shd w:val="clear" w:color="auto" w:fill="auto"/>
            <w:noWrap/>
            <w:vAlign w:val="bottom"/>
            <w:hideMark/>
          </w:tcPr>
          <w:p w14:paraId="6152277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13</w:t>
            </w:r>
          </w:p>
        </w:tc>
        <w:tc>
          <w:tcPr>
            <w:tcW w:w="1204" w:type="dxa"/>
            <w:tcBorders>
              <w:top w:val="nil"/>
              <w:left w:val="single" w:sz="4" w:space="0" w:color="auto"/>
              <w:bottom w:val="nil"/>
              <w:right w:val="single" w:sz="4" w:space="0" w:color="auto"/>
            </w:tcBorders>
            <w:shd w:val="clear" w:color="auto" w:fill="auto"/>
            <w:noWrap/>
            <w:vAlign w:val="bottom"/>
            <w:hideMark/>
          </w:tcPr>
          <w:p w14:paraId="27C11C2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27</w:t>
            </w:r>
          </w:p>
        </w:tc>
        <w:tc>
          <w:tcPr>
            <w:tcW w:w="1204" w:type="dxa"/>
            <w:tcBorders>
              <w:top w:val="nil"/>
              <w:left w:val="single" w:sz="4" w:space="0" w:color="auto"/>
              <w:bottom w:val="nil"/>
              <w:right w:val="single" w:sz="4" w:space="0" w:color="auto"/>
            </w:tcBorders>
            <w:shd w:val="clear" w:color="auto" w:fill="auto"/>
            <w:noWrap/>
            <w:vAlign w:val="bottom"/>
            <w:hideMark/>
          </w:tcPr>
          <w:p w14:paraId="3662042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14</w:t>
            </w:r>
          </w:p>
        </w:tc>
        <w:tc>
          <w:tcPr>
            <w:tcW w:w="1204" w:type="dxa"/>
            <w:tcBorders>
              <w:top w:val="nil"/>
              <w:left w:val="single" w:sz="4" w:space="0" w:color="auto"/>
              <w:bottom w:val="nil"/>
              <w:right w:val="single" w:sz="4" w:space="0" w:color="auto"/>
            </w:tcBorders>
            <w:shd w:val="clear" w:color="auto" w:fill="auto"/>
            <w:noWrap/>
            <w:vAlign w:val="bottom"/>
            <w:hideMark/>
          </w:tcPr>
          <w:p w14:paraId="6945E292"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&lt;10</w:t>
            </w:r>
          </w:p>
        </w:tc>
        <w:tc>
          <w:tcPr>
            <w:tcW w:w="809" w:type="dxa"/>
            <w:tcBorders>
              <w:top w:val="nil"/>
              <w:left w:val="single" w:sz="4" w:space="0" w:color="auto"/>
              <w:bottom w:val="nil"/>
              <w:right w:val="single" w:sz="4" w:space="0" w:color="auto"/>
            </w:tcBorders>
            <w:shd w:val="clear" w:color="auto" w:fill="auto"/>
            <w:noWrap/>
            <w:vAlign w:val="bottom"/>
            <w:hideMark/>
          </w:tcPr>
          <w:p w14:paraId="3911E0CB"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&lt;10</w:t>
            </w:r>
          </w:p>
        </w:tc>
      </w:tr>
      <w:tr w:rsidR="00FF1C3B" w:rsidRPr="00497C45" w14:paraId="0B15BBE6" w14:textId="77777777" w:rsidTr="00A3268F">
        <w:trPr>
          <w:trHeight w:val="327"/>
        </w:trPr>
        <w:tc>
          <w:tcPr>
            <w:tcW w:w="3094" w:type="dxa"/>
            <w:tcBorders>
              <w:top w:val="nil"/>
              <w:left w:val="single" w:sz="4" w:space="0" w:color="auto"/>
              <w:bottom w:val="nil"/>
              <w:right w:val="single" w:sz="4" w:space="0" w:color="auto"/>
            </w:tcBorders>
            <w:shd w:val="clear" w:color="000000" w:fill="FBE4D5"/>
            <w:vAlign w:val="center"/>
            <w:hideMark/>
          </w:tcPr>
          <w:p w14:paraId="05999327" w14:textId="77777777" w:rsidR="00FF1C3B" w:rsidRPr="00497C45" w:rsidRDefault="00FF1C3B" w:rsidP="00A3268F">
            <w:pPr>
              <w:spacing w:after="0" w:line="240" w:lineRule="auto"/>
              <w:rPr>
                <w:rFonts w:eastAsia="Times New Roman" w:cstheme="minorHAnsi"/>
                <w:color w:val="000000"/>
                <w:lang w:eastAsia="en-GB"/>
              </w:rPr>
            </w:pPr>
            <w:r w:rsidRPr="00497C45">
              <w:rPr>
                <w:rFonts w:eastAsia="Calibri" w:cstheme="minorHAnsi"/>
                <w:lang w:eastAsia="en-GB"/>
              </w:rPr>
              <w:t>Depression</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6FAEFC3B"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557</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270F6510"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713</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14A4D39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489</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1255BA8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232</w:t>
            </w:r>
          </w:p>
        </w:tc>
        <w:tc>
          <w:tcPr>
            <w:tcW w:w="809" w:type="dxa"/>
            <w:tcBorders>
              <w:top w:val="nil"/>
              <w:left w:val="single" w:sz="4" w:space="0" w:color="auto"/>
              <w:bottom w:val="nil"/>
              <w:right w:val="single" w:sz="4" w:space="0" w:color="auto"/>
            </w:tcBorders>
            <w:shd w:val="clear" w:color="auto" w:fill="EDEDED" w:themeFill="accent3" w:themeFillTint="33"/>
            <w:noWrap/>
            <w:vAlign w:val="bottom"/>
            <w:hideMark/>
          </w:tcPr>
          <w:p w14:paraId="7DE14D6A"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65</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4763D830"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1254</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5C698CDE"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1668</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584DFBE9"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1083</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42C5FCA0"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508</w:t>
            </w:r>
          </w:p>
        </w:tc>
        <w:tc>
          <w:tcPr>
            <w:tcW w:w="809" w:type="dxa"/>
            <w:tcBorders>
              <w:top w:val="nil"/>
              <w:left w:val="single" w:sz="4" w:space="0" w:color="auto"/>
              <w:bottom w:val="nil"/>
              <w:right w:val="single" w:sz="4" w:space="0" w:color="auto"/>
            </w:tcBorders>
            <w:shd w:val="clear" w:color="auto" w:fill="EDEDED" w:themeFill="accent3" w:themeFillTint="33"/>
            <w:noWrap/>
            <w:vAlign w:val="bottom"/>
            <w:hideMark/>
          </w:tcPr>
          <w:p w14:paraId="40795DF1"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124</w:t>
            </w:r>
          </w:p>
        </w:tc>
      </w:tr>
      <w:tr w:rsidR="00FF1C3B" w:rsidRPr="00497C45" w14:paraId="5A21B39A" w14:textId="77777777" w:rsidTr="00A3268F">
        <w:trPr>
          <w:trHeight w:val="327"/>
        </w:trPr>
        <w:tc>
          <w:tcPr>
            <w:tcW w:w="3094" w:type="dxa"/>
            <w:tcBorders>
              <w:top w:val="nil"/>
              <w:left w:val="single" w:sz="4" w:space="0" w:color="auto"/>
              <w:bottom w:val="nil"/>
              <w:right w:val="single" w:sz="4" w:space="0" w:color="auto"/>
            </w:tcBorders>
            <w:shd w:val="clear" w:color="000000" w:fill="FBE4D5"/>
            <w:vAlign w:val="center"/>
            <w:hideMark/>
          </w:tcPr>
          <w:p w14:paraId="5BD615C2" w14:textId="77777777" w:rsidR="00FF1C3B" w:rsidRPr="00497C45" w:rsidRDefault="00FF1C3B" w:rsidP="00A3268F">
            <w:pPr>
              <w:spacing w:after="0" w:line="240" w:lineRule="auto"/>
              <w:rPr>
                <w:rFonts w:eastAsia="Times New Roman" w:cstheme="minorHAnsi"/>
                <w:color w:val="000000"/>
                <w:lang w:eastAsia="en-GB"/>
              </w:rPr>
            </w:pPr>
            <w:r w:rsidRPr="00497C45">
              <w:rPr>
                <w:rFonts w:eastAsia="Calibri" w:cstheme="minorHAnsi"/>
                <w:lang w:eastAsia="en-GB"/>
              </w:rPr>
              <w:t>Drug Misuse</w:t>
            </w:r>
          </w:p>
        </w:tc>
        <w:tc>
          <w:tcPr>
            <w:tcW w:w="1204" w:type="dxa"/>
            <w:tcBorders>
              <w:top w:val="nil"/>
              <w:left w:val="single" w:sz="4" w:space="0" w:color="auto"/>
              <w:bottom w:val="nil"/>
              <w:right w:val="single" w:sz="4" w:space="0" w:color="auto"/>
            </w:tcBorders>
            <w:shd w:val="clear" w:color="auto" w:fill="auto"/>
            <w:noWrap/>
            <w:vAlign w:val="bottom"/>
            <w:hideMark/>
          </w:tcPr>
          <w:p w14:paraId="3F0D9DF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84</w:t>
            </w:r>
          </w:p>
        </w:tc>
        <w:tc>
          <w:tcPr>
            <w:tcW w:w="1204" w:type="dxa"/>
            <w:tcBorders>
              <w:top w:val="nil"/>
              <w:left w:val="single" w:sz="4" w:space="0" w:color="auto"/>
              <w:bottom w:val="nil"/>
              <w:right w:val="single" w:sz="4" w:space="0" w:color="auto"/>
            </w:tcBorders>
            <w:shd w:val="clear" w:color="auto" w:fill="auto"/>
            <w:noWrap/>
            <w:vAlign w:val="bottom"/>
            <w:hideMark/>
          </w:tcPr>
          <w:p w14:paraId="08715164"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134</w:t>
            </w:r>
          </w:p>
        </w:tc>
        <w:tc>
          <w:tcPr>
            <w:tcW w:w="1204" w:type="dxa"/>
            <w:tcBorders>
              <w:top w:val="nil"/>
              <w:left w:val="single" w:sz="4" w:space="0" w:color="auto"/>
              <w:bottom w:val="nil"/>
              <w:right w:val="single" w:sz="4" w:space="0" w:color="auto"/>
            </w:tcBorders>
            <w:shd w:val="clear" w:color="auto" w:fill="auto"/>
            <w:noWrap/>
            <w:vAlign w:val="bottom"/>
            <w:hideMark/>
          </w:tcPr>
          <w:p w14:paraId="7E4C2232"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84</w:t>
            </w:r>
          </w:p>
        </w:tc>
        <w:tc>
          <w:tcPr>
            <w:tcW w:w="1204" w:type="dxa"/>
            <w:tcBorders>
              <w:top w:val="nil"/>
              <w:left w:val="single" w:sz="4" w:space="0" w:color="auto"/>
              <w:bottom w:val="nil"/>
              <w:right w:val="single" w:sz="4" w:space="0" w:color="auto"/>
            </w:tcBorders>
            <w:shd w:val="clear" w:color="auto" w:fill="auto"/>
            <w:noWrap/>
            <w:vAlign w:val="bottom"/>
            <w:hideMark/>
          </w:tcPr>
          <w:p w14:paraId="49C8D332"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21</w:t>
            </w:r>
          </w:p>
        </w:tc>
        <w:tc>
          <w:tcPr>
            <w:tcW w:w="809" w:type="dxa"/>
            <w:tcBorders>
              <w:top w:val="nil"/>
              <w:left w:val="single" w:sz="4" w:space="0" w:color="auto"/>
              <w:bottom w:val="nil"/>
              <w:right w:val="single" w:sz="4" w:space="0" w:color="auto"/>
            </w:tcBorders>
            <w:shd w:val="clear" w:color="auto" w:fill="auto"/>
            <w:noWrap/>
            <w:vAlign w:val="bottom"/>
            <w:hideMark/>
          </w:tcPr>
          <w:p w14:paraId="385B08E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&lt;10</w:t>
            </w:r>
          </w:p>
        </w:tc>
        <w:tc>
          <w:tcPr>
            <w:tcW w:w="1204" w:type="dxa"/>
            <w:tcBorders>
              <w:top w:val="nil"/>
              <w:left w:val="single" w:sz="4" w:space="0" w:color="auto"/>
              <w:bottom w:val="nil"/>
              <w:right w:val="single" w:sz="4" w:space="0" w:color="auto"/>
            </w:tcBorders>
            <w:shd w:val="clear" w:color="auto" w:fill="auto"/>
            <w:noWrap/>
            <w:vAlign w:val="bottom"/>
            <w:hideMark/>
          </w:tcPr>
          <w:p w14:paraId="177109F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159</w:t>
            </w:r>
          </w:p>
        </w:tc>
        <w:tc>
          <w:tcPr>
            <w:tcW w:w="1204" w:type="dxa"/>
            <w:tcBorders>
              <w:top w:val="nil"/>
              <w:left w:val="single" w:sz="4" w:space="0" w:color="auto"/>
              <w:bottom w:val="nil"/>
              <w:right w:val="single" w:sz="4" w:space="0" w:color="auto"/>
            </w:tcBorders>
            <w:shd w:val="clear" w:color="auto" w:fill="auto"/>
            <w:noWrap/>
            <w:vAlign w:val="bottom"/>
            <w:hideMark/>
          </w:tcPr>
          <w:p w14:paraId="66981B39"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292</w:t>
            </w:r>
          </w:p>
        </w:tc>
        <w:tc>
          <w:tcPr>
            <w:tcW w:w="1204" w:type="dxa"/>
            <w:tcBorders>
              <w:top w:val="nil"/>
              <w:left w:val="single" w:sz="4" w:space="0" w:color="auto"/>
              <w:bottom w:val="nil"/>
              <w:right w:val="single" w:sz="4" w:space="0" w:color="auto"/>
            </w:tcBorders>
            <w:shd w:val="clear" w:color="auto" w:fill="auto"/>
            <w:noWrap/>
            <w:vAlign w:val="bottom"/>
            <w:hideMark/>
          </w:tcPr>
          <w:p w14:paraId="74595962"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212</w:t>
            </w:r>
          </w:p>
        </w:tc>
        <w:tc>
          <w:tcPr>
            <w:tcW w:w="1204" w:type="dxa"/>
            <w:tcBorders>
              <w:top w:val="nil"/>
              <w:left w:val="single" w:sz="4" w:space="0" w:color="auto"/>
              <w:bottom w:val="nil"/>
              <w:right w:val="single" w:sz="4" w:space="0" w:color="auto"/>
            </w:tcBorders>
            <w:shd w:val="clear" w:color="auto" w:fill="auto"/>
            <w:noWrap/>
            <w:vAlign w:val="bottom"/>
            <w:hideMark/>
          </w:tcPr>
          <w:p w14:paraId="22C6F239"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47</w:t>
            </w:r>
          </w:p>
        </w:tc>
        <w:tc>
          <w:tcPr>
            <w:tcW w:w="809" w:type="dxa"/>
            <w:tcBorders>
              <w:top w:val="nil"/>
              <w:left w:val="single" w:sz="4" w:space="0" w:color="auto"/>
              <w:bottom w:val="nil"/>
              <w:right w:val="single" w:sz="4" w:space="0" w:color="auto"/>
            </w:tcBorders>
            <w:shd w:val="clear" w:color="auto" w:fill="auto"/>
            <w:noWrap/>
            <w:vAlign w:val="bottom"/>
            <w:hideMark/>
          </w:tcPr>
          <w:p w14:paraId="454744A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&lt;10</w:t>
            </w:r>
          </w:p>
        </w:tc>
      </w:tr>
      <w:tr w:rsidR="00FF1C3B" w:rsidRPr="00497C45" w14:paraId="73947587" w14:textId="77777777" w:rsidTr="00A3268F">
        <w:trPr>
          <w:trHeight w:val="327"/>
        </w:trPr>
        <w:tc>
          <w:tcPr>
            <w:tcW w:w="3094" w:type="dxa"/>
            <w:tcBorders>
              <w:top w:val="nil"/>
              <w:left w:val="single" w:sz="4" w:space="0" w:color="auto"/>
              <w:bottom w:val="nil"/>
              <w:right w:val="single" w:sz="4" w:space="0" w:color="auto"/>
            </w:tcBorders>
            <w:shd w:val="clear" w:color="000000" w:fill="FBE4D5"/>
            <w:vAlign w:val="center"/>
            <w:hideMark/>
          </w:tcPr>
          <w:p w14:paraId="59F3FB3A" w14:textId="77777777" w:rsidR="00FF1C3B" w:rsidRPr="00497C45" w:rsidRDefault="00FF1C3B" w:rsidP="00A3268F">
            <w:pPr>
              <w:spacing w:after="0" w:line="240" w:lineRule="auto"/>
              <w:rPr>
                <w:rFonts w:eastAsia="Times New Roman" w:cstheme="minorHAnsi"/>
                <w:color w:val="000000"/>
                <w:lang w:eastAsia="en-GB"/>
              </w:rPr>
            </w:pPr>
            <w:r w:rsidRPr="00497C45">
              <w:rPr>
                <w:rFonts w:eastAsia="Calibri" w:cstheme="minorHAnsi"/>
                <w:lang w:eastAsia="en-GB"/>
              </w:rPr>
              <w:t>OCD</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7FF9C991"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52</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2CB6B64A"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81</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787BFD09"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63</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47A73F6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34</w:t>
            </w:r>
          </w:p>
        </w:tc>
        <w:tc>
          <w:tcPr>
            <w:tcW w:w="809" w:type="dxa"/>
            <w:tcBorders>
              <w:top w:val="nil"/>
              <w:left w:val="single" w:sz="4" w:space="0" w:color="auto"/>
              <w:bottom w:val="nil"/>
              <w:right w:val="single" w:sz="4" w:space="0" w:color="auto"/>
            </w:tcBorders>
            <w:shd w:val="clear" w:color="auto" w:fill="EDEDED" w:themeFill="accent3" w:themeFillTint="33"/>
            <w:noWrap/>
            <w:vAlign w:val="bottom"/>
            <w:hideMark/>
          </w:tcPr>
          <w:p w14:paraId="76381314"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10</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6040DD1A"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19</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336F0B9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37</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461C2480"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24</w:t>
            </w:r>
          </w:p>
        </w:tc>
        <w:tc>
          <w:tcPr>
            <w:tcW w:w="1204" w:type="dxa"/>
            <w:tcBorders>
              <w:top w:val="nil"/>
              <w:left w:val="single" w:sz="4" w:space="0" w:color="auto"/>
              <w:bottom w:val="nil"/>
              <w:right w:val="single" w:sz="4" w:space="0" w:color="auto"/>
            </w:tcBorders>
            <w:shd w:val="clear" w:color="auto" w:fill="EDEDED" w:themeFill="accent3" w:themeFillTint="33"/>
            <w:noWrap/>
            <w:vAlign w:val="bottom"/>
            <w:hideMark/>
          </w:tcPr>
          <w:p w14:paraId="40B12661"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&lt;10</w:t>
            </w:r>
          </w:p>
        </w:tc>
        <w:tc>
          <w:tcPr>
            <w:tcW w:w="809" w:type="dxa"/>
            <w:tcBorders>
              <w:top w:val="nil"/>
              <w:left w:val="single" w:sz="4" w:space="0" w:color="auto"/>
              <w:bottom w:val="nil"/>
              <w:right w:val="single" w:sz="4" w:space="0" w:color="auto"/>
            </w:tcBorders>
            <w:shd w:val="clear" w:color="auto" w:fill="EDEDED" w:themeFill="accent3" w:themeFillTint="33"/>
            <w:noWrap/>
            <w:vAlign w:val="bottom"/>
            <w:hideMark/>
          </w:tcPr>
          <w:p w14:paraId="671A35F2"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&lt;10</w:t>
            </w:r>
          </w:p>
        </w:tc>
      </w:tr>
      <w:tr w:rsidR="00FF1C3B" w:rsidRPr="00497C45" w14:paraId="03CBA3B9" w14:textId="77777777" w:rsidTr="00A3268F">
        <w:trPr>
          <w:trHeight w:val="327"/>
        </w:trPr>
        <w:tc>
          <w:tcPr>
            <w:tcW w:w="3094" w:type="dxa"/>
            <w:tcBorders>
              <w:top w:val="nil"/>
              <w:left w:val="single" w:sz="4" w:space="0" w:color="auto"/>
              <w:bottom w:val="nil"/>
              <w:right w:val="single" w:sz="4" w:space="0" w:color="auto"/>
            </w:tcBorders>
            <w:shd w:val="clear" w:color="000000" w:fill="FBE4D5"/>
            <w:vAlign w:val="center"/>
            <w:hideMark/>
          </w:tcPr>
          <w:p w14:paraId="216DBC79" w14:textId="77777777" w:rsidR="00FF1C3B" w:rsidRPr="00497C45" w:rsidRDefault="00FF1C3B" w:rsidP="00A3268F">
            <w:pPr>
              <w:spacing w:after="0" w:line="240" w:lineRule="auto"/>
              <w:rPr>
                <w:rFonts w:eastAsia="Times New Roman" w:cstheme="minorHAnsi"/>
                <w:color w:val="000000"/>
                <w:lang w:eastAsia="en-GB"/>
              </w:rPr>
            </w:pPr>
            <w:r w:rsidRPr="00497C45">
              <w:rPr>
                <w:rFonts w:eastAsia="Calibri" w:cstheme="minorHAnsi"/>
                <w:lang w:eastAsia="en-GB"/>
              </w:rPr>
              <w:t>Psychosis</w:t>
            </w:r>
          </w:p>
        </w:tc>
        <w:tc>
          <w:tcPr>
            <w:tcW w:w="1204" w:type="dxa"/>
            <w:tcBorders>
              <w:top w:val="nil"/>
              <w:left w:val="single" w:sz="4" w:space="0" w:color="auto"/>
              <w:bottom w:val="nil"/>
              <w:right w:val="single" w:sz="4" w:space="0" w:color="auto"/>
            </w:tcBorders>
            <w:shd w:val="clear" w:color="auto" w:fill="auto"/>
            <w:noWrap/>
            <w:vAlign w:val="bottom"/>
            <w:hideMark/>
          </w:tcPr>
          <w:p w14:paraId="09E42E5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338</w:t>
            </w:r>
          </w:p>
        </w:tc>
        <w:tc>
          <w:tcPr>
            <w:tcW w:w="1204" w:type="dxa"/>
            <w:tcBorders>
              <w:top w:val="nil"/>
              <w:left w:val="single" w:sz="4" w:space="0" w:color="auto"/>
              <w:bottom w:val="nil"/>
              <w:right w:val="single" w:sz="4" w:space="0" w:color="auto"/>
            </w:tcBorders>
            <w:shd w:val="clear" w:color="auto" w:fill="auto"/>
            <w:noWrap/>
            <w:vAlign w:val="bottom"/>
            <w:hideMark/>
          </w:tcPr>
          <w:p w14:paraId="11D1DAC1"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444</w:t>
            </w:r>
          </w:p>
        </w:tc>
        <w:tc>
          <w:tcPr>
            <w:tcW w:w="1204" w:type="dxa"/>
            <w:tcBorders>
              <w:top w:val="nil"/>
              <w:left w:val="single" w:sz="4" w:space="0" w:color="auto"/>
              <w:bottom w:val="nil"/>
              <w:right w:val="single" w:sz="4" w:space="0" w:color="auto"/>
            </w:tcBorders>
            <w:shd w:val="clear" w:color="auto" w:fill="auto"/>
            <w:noWrap/>
            <w:vAlign w:val="bottom"/>
            <w:hideMark/>
          </w:tcPr>
          <w:p w14:paraId="3AC1E539"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379</w:t>
            </w:r>
          </w:p>
        </w:tc>
        <w:tc>
          <w:tcPr>
            <w:tcW w:w="1204" w:type="dxa"/>
            <w:tcBorders>
              <w:top w:val="nil"/>
              <w:left w:val="single" w:sz="4" w:space="0" w:color="auto"/>
              <w:bottom w:val="nil"/>
              <w:right w:val="single" w:sz="4" w:space="0" w:color="auto"/>
            </w:tcBorders>
            <w:shd w:val="clear" w:color="auto" w:fill="auto"/>
            <w:noWrap/>
            <w:vAlign w:val="bottom"/>
            <w:hideMark/>
          </w:tcPr>
          <w:p w14:paraId="3B837DA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215</w:t>
            </w:r>
          </w:p>
        </w:tc>
        <w:tc>
          <w:tcPr>
            <w:tcW w:w="809" w:type="dxa"/>
            <w:tcBorders>
              <w:top w:val="nil"/>
              <w:left w:val="single" w:sz="4" w:space="0" w:color="auto"/>
              <w:bottom w:val="nil"/>
              <w:right w:val="single" w:sz="4" w:space="0" w:color="auto"/>
            </w:tcBorders>
            <w:shd w:val="clear" w:color="auto" w:fill="auto"/>
            <w:noWrap/>
            <w:vAlign w:val="bottom"/>
            <w:hideMark/>
          </w:tcPr>
          <w:p w14:paraId="3E77F6C9"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77</w:t>
            </w:r>
          </w:p>
        </w:tc>
        <w:tc>
          <w:tcPr>
            <w:tcW w:w="1204" w:type="dxa"/>
            <w:tcBorders>
              <w:top w:val="nil"/>
              <w:left w:val="single" w:sz="4" w:space="0" w:color="auto"/>
              <w:bottom w:val="nil"/>
              <w:right w:val="single" w:sz="4" w:space="0" w:color="auto"/>
            </w:tcBorders>
            <w:shd w:val="clear" w:color="auto" w:fill="auto"/>
            <w:noWrap/>
            <w:vAlign w:val="bottom"/>
            <w:hideMark/>
          </w:tcPr>
          <w:p w14:paraId="1B4360A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108</w:t>
            </w:r>
          </w:p>
        </w:tc>
        <w:tc>
          <w:tcPr>
            <w:tcW w:w="1204" w:type="dxa"/>
            <w:tcBorders>
              <w:top w:val="nil"/>
              <w:left w:val="single" w:sz="4" w:space="0" w:color="auto"/>
              <w:bottom w:val="nil"/>
              <w:right w:val="single" w:sz="4" w:space="0" w:color="auto"/>
            </w:tcBorders>
            <w:shd w:val="clear" w:color="auto" w:fill="auto"/>
            <w:noWrap/>
            <w:vAlign w:val="bottom"/>
            <w:hideMark/>
          </w:tcPr>
          <w:p w14:paraId="02E096A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192</w:t>
            </w:r>
          </w:p>
        </w:tc>
        <w:tc>
          <w:tcPr>
            <w:tcW w:w="1204" w:type="dxa"/>
            <w:tcBorders>
              <w:top w:val="nil"/>
              <w:left w:val="single" w:sz="4" w:space="0" w:color="auto"/>
              <w:bottom w:val="nil"/>
              <w:right w:val="single" w:sz="4" w:space="0" w:color="auto"/>
            </w:tcBorders>
            <w:shd w:val="clear" w:color="auto" w:fill="auto"/>
            <w:noWrap/>
            <w:vAlign w:val="bottom"/>
            <w:hideMark/>
          </w:tcPr>
          <w:p w14:paraId="7D005B4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183</w:t>
            </w:r>
          </w:p>
        </w:tc>
        <w:tc>
          <w:tcPr>
            <w:tcW w:w="1204" w:type="dxa"/>
            <w:tcBorders>
              <w:top w:val="nil"/>
              <w:left w:val="single" w:sz="4" w:space="0" w:color="auto"/>
              <w:bottom w:val="nil"/>
              <w:right w:val="single" w:sz="4" w:space="0" w:color="auto"/>
            </w:tcBorders>
            <w:shd w:val="clear" w:color="auto" w:fill="auto"/>
            <w:noWrap/>
            <w:vAlign w:val="bottom"/>
            <w:hideMark/>
          </w:tcPr>
          <w:p w14:paraId="11BAD877"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97</w:t>
            </w:r>
          </w:p>
        </w:tc>
        <w:tc>
          <w:tcPr>
            <w:tcW w:w="809" w:type="dxa"/>
            <w:tcBorders>
              <w:top w:val="nil"/>
              <w:left w:val="single" w:sz="4" w:space="0" w:color="auto"/>
              <w:bottom w:val="nil"/>
              <w:right w:val="single" w:sz="4" w:space="0" w:color="auto"/>
            </w:tcBorders>
            <w:shd w:val="clear" w:color="auto" w:fill="auto"/>
            <w:noWrap/>
            <w:vAlign w:val="bottom"/>
            <w:hideMark/>
          </w:tcPr>
          <w:p w14:paraId="480F08A6"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20</w:t>
            </w:r>
          </w:p>
        </w:tc>
      </w:tr>
      <w:tr w:rsidR="00FF1C3B" w:rsidRPr="00497C45" w14:paraId="6A0EA4FE" w14:textId="77777777" w:rsidTr="00A3268F">
        <w:trPr>
          <w:trHeight w:val="343"/>
        </w:trPr>
        <w:tc>
          <w:tcPr>
            <w:tcW w:w="3094" w:type="dxa"/>
            <w:tcBorders>
              <w:top w:val="nil"/>
              <w:left w:val="single" w:sz="4" w:space="0" w:color="auto"/>
              <w:bottom w:val="single" w:sz="4" w:space="0" w:color="auto"/>
              <w:right w:val="single" w:sz="4" w:space="0" w:color="auto"/>
            </w:tcBorders>
            <w:shd w:val="clear" w:color="000000" w:fill="FBE4D5"/>
            <w:vAlign w:val="center"/>
            <w:hideMark/>
          </w:tcPr>
          <w:p w14:paraId="36549466" w14:textId="77777777" w:rsidR="00FF1C3B" w:rsidRPr="00497C45" w:rsidRDefault="00FF1C3B" w:rsidP="00A3268F">
            <w:pPr>
              <w:spacing w:after="0" w:line="240" w:lineRule="auto"/>
              <w:rPr>
                <w:rFonts w:eastAsia="Times New Roman" w:cstheme="minorHAnsi"/>
                <w:color w:val="000000"/>
                <w:lang w:eastAsia="en-GB"/>
              </w:rPr>
            </w:pPr>
            <w:r w:rsidRPr="00497C45">
              <w:rPr>
                <w:rFonts w:eastAsia="Calibri" w:cstheme="minorHAnsi"/>
                <w:lang w:eastAsia="en-GB"/>
              </w:rPr>
              <w:t>Schizophrenia</w:t>
            </w:r>
          </w:p>
        </w:tc>
        <w:tc>
          <w:tcPr>
            <w:tcW w:w="120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5CDDCA0"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59</w:t>
            </w:r>
          </w:p>
        </w:tc>
        <w:tc>
          <w:tcPr>
            <w:tcW w:w="120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595E295"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118</w:t>
            </w:r>
          </w:p>
        </w:tc>
        <w:tc>
          <w:tcPr>
            <w:tcW w:w="120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2223CA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130</w:t>
            </w:r>
          </w:p>
        </w:tc>
        <w:tc>
          <w:tcPr>
            <w:tcW w:w="120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67DBA4A"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71</w:t>
            </w:r>
          </w:p>
        </w:tc>
        <w:tc>
          <w:tcPr>
            <w:tcW w:w="80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060B11B"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33</w:t>
            </w:r>
          </w:p>
        </w:tc>
        <w:tc>
          <w:tcPr>
            <w:tcW w:w="120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8772BE8"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37</w:t>
            </w:r>
          </w:p>
        </w:tc>
        <w:tc>
          <w:tcPr>
            <w:tcW w:w="120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EDC279D"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48</w:t>
            </w:r>
          </w:p>
        </w:tc>
        <w:tc>
          <w:tcPr>
            <w:tcW w:w="120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EE8A50C"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56</w:t>
            </w:r>
          </w:p>
        </w:tc>
        <w:tc>
          <w:tcPr>
            <w:tcW w:w="120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E10B6AC"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28</w:t>
            </w:r>
          </w:p>
        </w:tc>
        <w:tc>
          <w:tcPr>
            <w:tcW w:w="80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23C9AE3" w14:textId="77777777" w:rsidR="00FF1C3B" w:rsidRPr="00497C45" w:rsidRDefault="00FF1C3B" w:rsidP="00A3268F">
            <w:pPr>
              <w:spacing w:after="0" w:line="240" w:lineRule="auto"/>
              <w:jc w:val="right"/>
              <w:rPr>
                <w:rFonts w:eastAsia="Times New Roman" w:cstheme="minorHAnsi"/>
                <w:color w:val="000000"/>
                <w:lang w:eastAsia="en-GB"/>
              </w:rPr>
            </w:pPr>
            <w:r w:rsidRPr="00497C45">
              <w:rPr>
                <w:rFonts w:eastAsia="Times New Roman" w:cstheme="minorHAnsi"/>
                <w:color w:val="000000"/>
                <w:lang w:eastAsia="en-GB"/>
              </w:rPr>
              <w:t>&lt;10</w:t>
            </w:r>
          </w:p>
        </w:tc>
      </w:tr>
    </w:tbl>
    <w:p w14:paraId="4EDC9CC3" w14:textId="77777777" w:rsidR="00FF1C3B" w:rsidRPr="00497C45" w:rsidRDefault="00FF1C3B" w:rsidP="00FF1C3B">
      <w:pPr>
        <w:rPr>
          <w:rFonts w:cstheme="minorHAnsi"/>
          <w:bCs/>
          <w:i/>
          <w:sz w:val="20"/>
          <w:szCs w:val="20"/>
          <w:u w:val="single"/>
        </w:rPr>
      </w:pPr>
    </w:p>
    <w:p w14:paraId="0076B252" w14:textId="77777777" w:rsidR="00FF1C3B" w:rsidRPr="00497C45" w:rsidRDefault="00FF1C3B" w:rsidP="00FF1C3B">
      <w:pPr>
        <w:jc w:val="right"/>
        <w:rPr>
          <w:rFonts w:cstheme="minorHAnsi"/>
          <w:i/>
          <w:iCs/>
          <w:sz w:val="20"/>
          <w:szCs w:val="20"/>
        </w:rPr>
      </w:pPr>
      <w:r w:rsidRPr="00497C45">
        <w:rPr>
          <w:rFonts w:cstheme="minorHAnsi"/>
          <w:i/>
          <w:iCs/>
          <w:sz w:val="20"/>
          <w:szCs w:val="20"/>
        </w:rPr>
        <w:t xml:space="preserve">Raw observed count frequency of examined mental health conditions. Calculated percentage proportion for any studied mental health variable only due to low variable counts for specific diagnoses and SAIL reporting restrictions. OCD = </w:t>
      </w:r>
      <w:proofErr w:type="gramStart"/>
      <w:r w:rsidRPr="00497C45">
        <w:rPr>
          <w:rFonts w:cstheme="minorHAnsi"/>
          <w:i/>
          <w:iCs/>
          <w:sz w:val="20"/>
          <w:szCs w:val="20"/>
        </w:rPr>
        <w:t>Obsessive Compulsive Disorder</w:t>
      </w:r>
      <w:proofErr w:type="gramEnd"/>
      <w:r w:rsidRPr="00497C45">
        <w:rPr>
          <w:rFonts w:cstheme="minorHAnsi"/>
          <w:i/>
          <w:iCs/>
          <w:sz w:val="20"/>
          <w:szCs w:val="20"/>
        </w:rPr>
        <w:t>; Anxiety = Generalised Anxiety Disorder plus Phobias; ADHD = Attention Deficit Hyperactivity Disorder. Core autism cohort denominator 7,943. Control cohort denominator 25,941.</w:t>
      </w:r>
      <w:bookmarkStart w:id="3" w:name="_Hlk88553117"/>
      <w:bookmarkEnd w:id="3"/>
      <w:r w:rsidRPr="00497C45">
        <w:rPr>
          <w:rFonts w:cstheme="minorHAnsi"/>
          <w:i/>
          <w:iCs/>
          <w:sz w:val="20"/>
          <w:szCs w:val="20"/>
        </w:rPr>
        <w:t xml:space="preserve"> </w:t>
      </w:r>
    </w:p>
    <w:p w14:paraId="64A3A038" w14:textId="77777777" w:rsidR="00FF1C3B" w:rsidRDefault="00FF1C3B" w:rsidP="00FF1C3B">
      <w:pPr>
        <w:rPr>
          <w:rFonts w:ascii="Times New Roman" w:hAnsi="Times New Roman" w:cs="Times New Roman"/>
          <w:bCs/>
          <w:i/>
          <w:sz w:val="20"/>
          <w:szCs w:val="20"/>
          <w:u w:val="single"/>
        </w:rPr>
        <w:sectPr w:rsidR="00FF1C3B" w:rsidSect="00497C45">
          <w:pgSz w:w="16838" w:h="11906" w:orient="landscape"/>
          <w:pgMar w:top="1440" w:right="1440" w:bottom="1440" w:left="1440" w:header="709" w:footer="709" w:gutter="0"/>
          <w:cols w:space="708"/>
          <w:docGrid w:linePitch="360"/>
        </w:sectPr>
      </w:pPr>
    </w:p>
    <w:p w14:paraId="5FFBE75F" w14:textId="6EBB6894" w:rsidR="009F4C5F" w:rsidRPr="00051D7F" w:rsidRDefault="009F4C5F" w:rsidP="000D0706">
      <w:pPr>
        <w:pStyle w:val="Heading1"/>
      </w:pPr>
      <w:bookmarkStart w:id="4" w:name="_Toc109994166"/>
      <w:r w:rsidRPr="00051D7F">
        <w:lastRenderedPageBreak/>
        <w:t xml:space="preserve">Coding utilised for identification of </w:t>
      </w:r>
      <w:r w:rsidR="00864628" w:rsidRPr="00051D7F">
        <w:t xml:space="preserve">extended </w:t>
      </w:r>
      <w:r w:rsidRPr="00051D7F">
        <w:t xml:space="preserve">autism spectrum </w:t>
      </w:r>
      <w:r w:rsidR="009C55C9" w:rsidRPr="00051D7F">
        <w:t>phenotype</w:t>
      </w:r>
      <w:r w:rsidRPr="00051D7F">
        <w:t xml:space="preserve"> in SAIL</w:t>
      </w:r>
      <w:bookmarkEnd w:id="4"/>
    </w:p>
    <w:p w14:paraId="26A7D97F" w14:textId="77777777" w:rsidR="00B307CF" w:rsidRPr="00B307CF" w:rsidRDefault="00B307CF" w:rsidP="009F4C5F">
      <w:pPr>
        <w:rPr>
          <w:b/>
          <w:bCs/>
          <w:sz w:val="24"/>
          <w:szCs w:val="24"/>
          <w:u w:val="single"/>
        </w:rPr>
      </w:pPr>
    </w:p>
    <w:p w14:paraId="4927C24F" w14:textId="00E682BA" w:rsidR="009F4C5F" w:rsidRDefault="009F4C5F" w:rsidP="000D0706">
      <w:pPr>
        <w:pStyle w:val="Heading2"/>
      </w:pPr>
      <w:bookmarkStart w:id="5" w:name="_Toc109994167"/>
      <w:r>
        <w:t>International Classification of Diseases – 10</w:t>
      </w:r>
      <w:r w:rsidRPr="009F4C5F">
        <w:rPr>
          <w:vertAlign w:val="superscript"/>
        </w:rPr>
        <w:t>th</w:t>
      </w:r>
      <w:r>
        <w:t xml:space="preserve"> revision</w:t>
      </w:r>
      <w:r w:rsidR="00466B21">
        <w:t>:</w:t>
      </w:r>
      <w:bookmarkEnd w:id="5"/>
    </w:p>
    <w:p w14:paraId="2CA4390A" w14:textId="0AF888AA" w:rsidR="009F4C5F" w:rsidRPr="009F4C5F" w:rsidRDefault="009F4C5F" w:rsidP="009F4C5F">
      <w:pPr>
        <w:pStyle w:val="ListParagraph"/>
        <w:numPr>
          <w:ilvl w:val="0"/>
          <w:numId w:val="1"/>
        </w:numPr>
        <w:rPr>
          <w:b/>
          <w:bCs/>
          <w:sz w:val="24"/>
          <w:szCs w:val="24"/>
        </w:rPr>
      </w:pPr>
      <w:r>
        <w:rPr>
          <w:sz w:val="24"/>
          <w:szCs w:val="24"/>
        </w:rPr>
        <w:t>F84 – Pervasive developmental disorders, containing:</w:t>
      </w:r>
    </w:p>
    <w:p w14:paraId="7B9FA7F6" w14:textId="7996921E" w:rsidR="009F4C5F" w:rsidRPr="009F4C5F" w:rsidRDefault="009F4C5F" w:rsidP="009F4C5F">
      <w:pPr>
        <w:pStyle w:val="ListParagraph"/>
        <w:numPr>
          <w:ilvl w:val="1"/>
          <w:numId w:val="1"/>
        </w:numPr>
        <w:rPr>
          <w:b/>
          <w:bCs/>
          <w:sz w:val="24"/>
          <w:szCs w:val="24"/>
        </w:rPr>
      </w:pPr>
      <w:r>
        <w:rPr>
          <w:sz w:val="24"/>
          <w:szCs w:val="24"/>
        </w:rPr>
        <w:t>F84.0 – Childhood autism</w:t>
      </w:r>
    </w:p>
    <w:p w14:paraId="207088F4" w14:textId="198371E3" w:rsidR="009F4C5F" w:rsidRPr="009F4C5F" w:rsidRDefault="009F4C5F" w:rsidP="009F4C5F">
      <w:pPr>
        <w:pStyle w:val="ListParagraph"/>
        <w:numPr>
          <w:ilvl w:val="1"/>
          <w:numId w:val="1"/>
        </w:numPr>
        <w:rPr>
          <w:b/>
          <w:bCs/>
          <w:sz w:val="24"/>
          <w:szCs w:val="24"/>
        </w:rPr>
      </w:pPr>
      <w:r>
        <w:rPr>
          <w:sz w:val="24"/>
          <w:szCs w:val="24"/>
        </w:rPr>
        <w:t>F84.1 – Atypical autism</w:t>
      </w:r>
    </w:p>
    <w:p w14:paraId="62B4C34A" w14:textId="2C038E1C" w:rsidR="009F4C5F" w:rsidRPr="009F4C5F" w:rsidRDefault="009F4C5F" w:rsidP="009F4C5F">
      <w:pPr>
        <w:pStyle w:val="ListParagraph"/>
        <w:numPr>
          <w:ilvl w:val="1"/>
          <w:numId w:val="1"/>
        </w:numPr>
        <w:rPr>
          <w:b/>
          <w:bCs/>
          <w:sz w:val="24"/>
          <w:szCs w:val="24"/>
        </w:rPr>
      </w:pPr>
      <w:r>
        <w:rPr>
          <w:sz w:val="24"/>
          <w:szCs w:val="24"/>
        </w:rPr>
        <w:t>F84.2 – Rett’s syndrome</w:t>
      </w:r>
    </w:p>
    <w:p w14:paraId="1F6F895D" w14:textId="6631C34F" w:rsidR="009F4C5F" w:rsidRPr="009F4C5F" w:rsidRDefault="009F4C5F" w:rsidP="009F4C5F">
      <w:pPr>
        <w:pStyle w:val="ListParagraph"/>
        <w:numPr>
          <w:ilvl w:val="1"/>
          <w:numId w:val="1"/>
        </w:numPr>
        <w:rPr>
          <w:b/>
          <w:bCs/>
          <w:sz w:val="24"/>
          <w:szCs w:val="24"/>
        </w:rPr>
      </w:pPr>
      <w:r>
        <w:rPr>
          <w:sz w:val="24"/>
          <w:szCs w:val="24"/>
        </w:rPr>
        <w:t>F84.3 – Other childhood disintegrative disorder</w:t>
      </w:r>
    </w:p>
    <w:p w14:paraId="1E1EA536" w14:textId="24C79464" w:rsidR="009F4C5F" w:rsidRPr="009F4C5F" w:rsidRDefault="009F4C5F" w:rsidP="009F4C5F">
      <w:pPr>
        <w:pStyle w:val="ListParagraph"/>
        <w:numPr>
          <w:ilvl w:val="1"/>
          <w:numId w:val="1"/>
        </w:numPr>
        <w:rPr>
          <w:b/>
          <w:bCs/>
          <w:sz w:val="24"/>
          <w:szCs w:val="24"/>
        </w:rPr>
      </w:pPr>
      <w:r>
        <w:rPr>
          <w:sz w:val="24"/>
          <w:szCs w:val="24"/>
        </w:rPr>
        <w:t>F84.4 – Overactive disorder associated with mental retardation and stereotyped movements</w:t>
      </w:r>
    </w:p>
    <w:p w14:paraId="17947CF3" w14:textId="4FA64409" w:rsidR="009F4C5F" w:rsidRPr="009F4C5F" w:rsidRDefault="009F4C5F" w:rsidP="009F4C5F">
      <w:pPr>
        <w:pStyle w:val="ListParagraph"/>
        <w:numPr>
          <w:ilvl w:val="1"/>
          <w:numId w:val="1"/>
        </w:numPr>
        <w:rPr>
          <w:b/>
          <w:bCs/>
          <w:sz w:val="24"/>
          <w:szCs w:val="24"/>
        </w:rPr>
      </w:pPr>
      <w:r>
        <w:rPr>
          <w:sz w:val="24"/>
          <w:szCs w:val="24"/>
        </w:rPr>
        <w:t>F84.5 – Asperger’s syndrome</w:t>
      </w:r>
    </w:p>
    <w:p w14:paraId="388CDE0B" w14:textId="3B78B4B7" w:rsidR="009F4C5F" w:rsidRPr="009F4C5F" w:rsidRDefault="009F4C5F" w:rsidP="009F4C5F">
      <w:pPr>
        <w:pStyle w:val="ListParagraph"/>
        <w:numPr>
          <w:ilvl w:val="1"/>
          <w:numId w:val="1"/>
        </w:numPr>
        <w:rPr>
          <w:b/>
          <w:bCs/>
          <w:sz w:val="24"/>
          <w:szCs w:val="24"/>
        </w:rPr>
      </w:pPr>
      <w:r>
        <w:rPr>
          <w:sz w:val="24"/>
          <w:szCs w:val="24"/>
        </w:rPr>
        <w:t>F84.8 – Other pervasive developmental disorders</w:t>
      </w:r>
    </w:p>
    <w:p w14:paraId="20B99E55" w14:textId="7BBECEE3" w:rsidR="009F4C5F" w:rsidRPr="009F4C5F" w:rsidRDefault="009F4C5F" w:rsidP="009F4C5F">
      <w:pPr>
        <w:pStyle w:val="ListParagraph"/>
        <w:numPr>
          <w:ilvl w:val="1"/>
          <w:numId w:val="1"/>
        </w:numPr>
        <w:rPr>
          <w:b/>
          <w:bCs/>
          <w:sz w:val="24"/>
          <w:szCs w:val="24"/>
        </w:rPr>
      </w:pPr>
      <w:r>
        <w:rPr>
          <w:sz w:val="24"/>
          <w:szCs w:val="24"/>
        </w:rPr>
        <w:t>F84.9 – Pervasive developmental disorders, unspecified</w:t>
      </w:r>
    </w:p>
    <w:p w14:paraId="3A9BAA71" w14:textId="77777777" w:rsidR="00466B21" w:rsidRDefault="00466B21" w:rsidP="009F4C5F">
      <w:pPr>
        <w:rPr>
          <w:b/>
          <w:bCs/>
          <w:sz w:val="24"/>
          <w:szCs w:val="24"/>
        </w:rPr>
      </w:pPr>
    </w:p>
    <w:p w14:paraId="6213CED4" w14:textId="2631CC99" w:rsidR="009F4C5F" w:rsidRPr="00B86EF4" w:rsidRDefault="00466B21" w:rsidP="000D0706">
      <w:pPr>
        <w:pStyle w:val="Heading2"/>
      </w:pPr>
      <w:bookmarkStart w:id="6" w:name="_Toc109994168"/>
      <w:r w:rsidRPr="00B86EF4">
        <w:t>Read Codes v2:</w:t>
      </w:r>
      <w:bookmarkEnd w:id="6"/>
    </w:p>
    <w:p w14:paraId="399DF774" w14:textId="77777777" w:rsidR="00466B21" w:rsidRDefault="00466B21" w:rsidP="009F4C5F">
      <w:pPr>
        <w:rPr>
          <w:sz w:val="24"/>
          <w:szCs w:val="24"/>
        </w:rPr>
      </w:pPr>
      <w:r w:rsidRPr="00E96A6C">
        <w:rPr>
          <w:sz w:val="24"/>
          <w:szCs w:val="24"/>
        </w:rPr>
        <w:t xml:space="preserve">The following Read Codes v2 were selected to mirror the ICD-10 diagnostic coding: </w:t>
      </w:r>
    </w:p>
    <w:p w14:paraId="4C9A506F" w14:textId="24176910" w:rsidR="00476C4E" w:rsidRPr="00476C4E" w:rsidRDefault="00466B21" w:rsidP="00476C4E">
      <w:pPr>
        <w:pStyle w:val="ListParagraph"/>
        <w:numPr>
          <w:ilvl w:val="0"/>
          <w:numId w:val="1"/>
        </w:numPr>
        <w:rPr>
          <w:b/>
          <w:bCs/>
          <w:sz w:val="24"/>
          <w:szCs w:val="24"/>
        </w:rPr>
      </w:pPr>
      <w:r w:rsidRPr="00476C4E">
        <w:rPr>
          <w:sz w:val="24"/>
          <w:szCs w:val="24"/>
        </w:rPr>
        <w:t>E140.</w:t>
      </w:r>
      <w:r w:rsidR="00476C4E">
        <w:rPr>
          <w:sz w:val="24"/>
          <w:szCs w:val="24"/>
        </w:rPr>
        <w:t xml:space="preserve"> – Autism/ </w:t>
      </w:r>
      <w:r w:rsidR="00F94756">
        <w:rPr>
          <w:sz w:val="24"/>
          <w:szCs w:val="24"/>
        </w:rPr>
        <w:t>i</w:t>
      </w:r>
      <w:r w:rsidR="00476C4E">
        <w:rPr>
          <w:sz w:val="24"/>
          <w:szCs w:val="24"/>
        </w:rPr>
        <w:t xml:space="preserve">nfantile </w:t>
      </w:r>
      <w:r w:rsidR="00F94756">
        <w:rPr>
          <w:sz w:val="24"/>
          <w:szCs w:val="24"/>
        </w:rPr>
        <w:t>a</w:t>
      </w:r>
      <w:r w:rsidR="00476C4E">
        <w:rPr>
          <w:sz w:val="24"/>
          <w:szCs w:val="24"/>
        </w:rPr>
        <w:t>utism</w:t>
      </w:r>
    </w:p>
    <w:p w14:paraId="79B05EAE" w14:textId="72C48996" w:rsidR="00476C4E" w:rsidRPr="00476C4E" w:rsidRDefault="00466B21" w:rsidP="00476C4E">
      <w:pPr>
        <w:pStyle w:val="ListParagraph"/>
        <w:numPr>
          <w:ilvl w:val="0"/>
          <w:numId w:val="1"/>
        </w:numPr>
        <w:rPr>
          <w:b/>
          <w:bCs/>
          <w:sz w:val="24"/>
          <w:szCs w:val="24"/>
        </w:rPr>
      </w:pPr>
      <w:r w:rsidRPr="00476C4E">
        <w:rPr>
          <w:sz w:val="24"/>
          <w:szCs w:val="24"/>
        </w:rPr>
        <w:t>E1400</w:t>
      </w:r>
      <w:r w:rsidR="00476C4E">
        <w:rPr>
          <w:sz w:val="24"/>
          <w:szCs w:val="24"/>
        </w:rPr>
        <w:t xml:space="preserve"> – Active </w:t>
      </w:r>
      <w:r w:rsidR="00F94756">
        <w:rPr>
          <w:sz w:val="24"/>
          <w:szCs w:val="24"/>
        </w:rPr>
        <w:t>i</w:t>
      </w:r>
      <w:r w:rsidR="00476C4E">
        <w:rPr>
          <w:sz w:val="24"/>
          <w:szCs w:val="24"/>
        </w:rPr>
        <w:t xml:space="preserve">nfantile </w:t>
      </w:r>
      <w:r w:rsidR="00F94756">
        <w:rPr>
          <w:sz w:val="24"/>
          <w:szCs w:val="24"/>
        </w:rPr>
        <w:t>a</w:t>
      </w:r>
      <w:r w:rsidR="00476C4E">
        <w:rPr>
          <w:sz w:val="24"/>
          <w:szCs w:val="24"/>
        </w:rPr>
        <w:t>utism</w:t>
      </w:r>
    </w:p>
    <w:p w14:paraId="70788496" w14:textId="7F5A6DC0" w:rsidR="00476C4E" w:rsidRPr="00476C4E" w:rsidRDefault="00466B21" w:rsidP="00476C4E">
      <w:pPr>
        <w:pStyle w:val="ListParagraph"/>
        <w:numPr>
          <w:ilvl w:val="0"/>
          <w:numId w:val="1"/>
        </w:numPr>
        <w:rPr>
          <w:b/>
          <w:bCs/>
          <w:sz w:val="24"/>
          <w:szCs w:val="24"/>
        </w:rPr>
      </w:pPr>
      <w:r w:rsidRPr="00476C4E">
        <w:rPr>
          <w:sz w:val="24"/>
          <w:szCs w:val="24"/>
        </w:rPr>
        <w:t>E1401</w:t>
      </w:r>
      <w:r w:rsidR="00476C4E">
        <w:rPr>
          <w:sz w:val="24"/>
          <w:szCs w:val="24"/>
        </w:rPr>
        <w:t xml:space="preserve"> – Residual </w:t>
      </w:r>
      <w:r w:rsidR="00F94756">
        <w:rPr>
          <w:sz w:val="24"/>
          <w:szCs w:val="24"/>
        </w:rPr>
        <w:t>i</w:t>
      </w:r>
      <w:r w:rsidR="00476C4E">
        <w:rPr>
          <w:sz w:val="24"/>
          <w:szCs w:val="24"/>
        </w:rPr>
        <w:t xml:space="preserve">nfantile </w:t>
      </w:r>
      <w:r w:rsidR="00F94756">
        <w:rPr>
          <w:sz w:val="24"/>
          <w:szCs w:val="24"/>
        </w:rPr>
        <w:t>a</w:t>
      </w:r>
      <w:r w:rsidR="00476C4E">
        <w:rPr>
          <w:sz w:val="24"/>
          <w:szCs w:val="24"/>
        </w:rPr>
        <w:t>utism</w:t>
      </w:r>
    </w:p>
    <w:p w14:paraId="671E8F14" w14:textId="1846AA1A" w:rsidR="00476C4E" w:rsidRPr="00864628" w:rsidRDefault="00466B21" w:rsidP="00476C4E">
      <w:pPr>
        <w:pStyle w:val="ListParagraph"/>
        <w:numPr>
          <w:ilvl w:val="0"/>
          <w:numId w:val="1"/>
        </w:numPr>
        <w:rPr>
          <w:b/>
          <w:bCs/>
          <w:sz w:val="24"/>
          <w:szCs w:val="24"/>
        </w:rPr>
      </w:pPr>
      <w:r w:rsidRPr="00476C4E">
        <w:rPr>
          <w:sz w:val="24"/>
          <w:szCs w:val="24"/>
        </w:rPr>
        <w:t>E140z</w:t>
      </w:r>
      <w:r w:rsidR="00476C4E">
        <w:rPr>
          <w:sz w:val="24"/>
          <w:szCs w:val="24"/>
        </w:rPr>
        <w:t xml:space="preserve"> – Infantile </w:t>
      </w:r>
      <w:r w:rsidR="00F94756">
        <w:rPr>
          <w:sz w:val="24"/>
          <w:szCs w:val="24"/>
        </w:rPr>
        <w:t>a</w:t>
      </w:r>
      <w:r w:rsidR="00476C4E">
        <w:rPr>
          <w:sz w:val="24"/>
          <w:szCs w:val="24"/>
        </w:rPr>
        <w:t>utism NOS</w:t>
      </w:r>
    </w:p>
    <w:p w14:paraId="69F8681B" w14:textId="69B974B3" w:rsidR="00864628" w:rsidRPr="00476C4E" w:rsidRDefault="00864628" w:rsidP="00476C4E">
      <w:pPr>
        <w:pStyle w:val="ListParagraph"/>
        <w:numPr>
          <w:ilvl w:val="0"/>
          <w:numId w:val="1"/>
        </w:numPr>
        <w:rPr>
          <w:b/>
          <w:bCs/>
          <w:sz w:val="24"/>
          <w:szCs w:val="24"/>
        </w:rPr>
      </w:pPr>
      <w:r>
        <w:rPr>
          <w:sz w:val="24"/>
          <w:szCs w:val="24"/>
        </w:rPr>
        <w:t>E141. – Disintegrative psychosis</w:t>
      </w:r>
    </w:p>
    <w:p w14:paraId="29035FB3" w14:textId="482B5607" w:rsidR="00CD439C" w:rsidRPr="00CD439C" w:rsidRDefault="00CD439C" w:rsidP="00CD439C">
      <w:pPr>
        <w:pStyle w:val="ListParagraph"/>
        <w:numPr>
          <w:ilvl w:val="0"/>
          <w:numId w:val="1"/>
        </w:numPr>
        <w:rPr>
          <w:b/>
          <w:bCs/>
          <w:sz w:val="24"/>
          <w:szCs w:val="24"/>
        </w:rPr>
      </w:pPr>
      <w:r w:rsidRPr="00476C4E">
        <w:rPr>
          <w:sz w:val="24"/>
          <w:szCs w:val="24"/>
        </w:rPr>
        <w:t>1J</w:t>
      </w:r>
      <w:proofErr w:type="gramStart"/>
      <w:r w:rsidRPr="00476C4E">
        <w:rPr>
          <w:sz w:val="24"/>
          <w:szCs w:val="24"/>
        </w:rPr>
        <w:t>9..</w:t>
      </w:r>
      <w:proofErr w:type="gramEnd"/>
      <w:r>
        <w:rPr>
          <w:sz w:val="24"/>
          <w:szCs w:val="24"/>
        </w:rPr>
        <w:t xml:space="preserve"> – Suspected autism</w:t>
      </w:r>
    </w:p>
    <w:p w14:paraId="60C3A782" w14:textId="56A0DB1E" w:rsidR="00476C4E" w:rsidRPr="00476C4E" w:rsidRDefault="00466B21" w:rsidP="00476C4E">
      <w:pPr>
        <w:pStyle w:val="ListParagraph"/>
        <w:numPr>
          <w:ilvl w:val="0"/>
          <w:numId w:val="1"/>
        </w:numPr>
        <w:rPr>
          <w:b/>
          <w:bCs/>
          <w:sz w:val="24"/>
          <w:szCs w:val="24"/>
        </w:rPr>
      </w:pPr>
      <w:r w:rsidRPr="00476C4E">
        <w:rPr>
          <w:sz w:val="24"/>
          <w:szCs w:val="24"/>
        </w:rPr>
        <w:t>E141.</w:t>
      </w:r>
      <w:r w:rsidR="00476C4E">
        <w:rPr>
          <w:sz w:val="24"/>
          <w:szCs w:val="24"/>
        </w:rPr>
        <w:t xml:space="preserve"> – Childhood </w:t>
      </w:r>
      <w:r w:rsidR="00F94756">
        <w:rPr>
          <w:sz w:val="24"/>
          <w:szCs w:val="24"/>
        </w:rPr>
        <w:t>d</w:t>
      </w:r>
      <w:r w:rsidR="00476C4E">
        <w:rPr>
          <w:sz w:val="24"/>
          <w:szCs w:val="24"/>
        </w:rPr>
        <w:t xml:space="preserve">isintegrative </w:t>
      </w:r>
      <w:r w:rsidR="00F94756">
        <w:rPr>
          <w:sz w:val="24"/>
          <w:szCs w:val="24"/>
        </w:rPr>
        <w:t>d</w:t>
      </w:r>
      <w:r w:rsidR="00476C4E">
        <w:rPr>
          <w:sz w:val="24"/>
          <w:szCs w:val="24"/>
        </w:rPr>
        <w:t>isorder</w:t>
      </w:r>
    </w:p>
    <w:p w14:paraId="106938FB" w14:textId="12D79397" w:rsidR="00476C4E" w:rsidRPr="00864628" w:rsidRDefault="00466B21" w:rsidP="00476C4E">
      <w:pPr>
        <w:pStyle w:val="ListParagraph"/>
        <w:numPr>
          <w:ilvl w:val="0"/>
          <w:numId w:val="1"/>
        </w:numPr>
        <w:rPr>
          <w:b/>
          <w:bCs/>
          <w:sz w:val="24"/>
          <w:szCs w:val="24"/>
        </w:rPr>
      </w:pPr>
      <w:r w:rsidRPr="00476C4E">
        <w:rPr>
          <w:sz w:val="24"/>
          <w:szCs w:val="24"/>
        </w:rPr>
        <w:t>Eu84.</w:t>
      </w:r>
      <w:r w:rsidR="00476C4E">
        <w:rPr>
          <w:sz w:val="24"/>
          <w:szCs w:val="24"/>
        </w:rPr>
        <w:t xml:space="preserve"> – Pervasive developmental disorder</w:t>
      </w:r>
    </w:p>
    <w:p w14:paraId="582D1B26" w14:textId="77777777" w:rsidR="00864628" w:rsidRPr="00476C4E" w:rsidRDefault="00864628" w:rsidP="00864628">
      <w:pPr>
        <w:pStyle w:val="ListParagraph"/>
        <w:numPr>
          <w:ilvl w:val="0"/>
          <w:numId w:val="1"/>
        </w:numPr>
        <w:rPr>
          <w:b/>
          <w:bCs/>
          <w:sz w:val="24"/>
          <w:szCs w:val="24"/>
        </w:rPr>
      </w:pPr>
      <w:r w:rsidRPr="00476C4E">
        <w:rPr>
          <w:sz w:val="24"/>
          <w:szCs w:val="24"/>
        </w:rPr>
        <w:t>Eu840</w:t>
      </w:r>
      <w:r>
        <w:rPr>
          <w:sz w:val="24"/>
          <w:szCs w:val="24"/>
        </w:rPr>
        <w:t xml:space="preserve"> – Childhood autism/ infantile autism</w:t>
      </w:r>
    </w:p>
    <w:p w14:paraId="55776A87" w14:textId="77777777" w:rsidR="00864628" w:rsidRPr="00476C4E" w:rsidRDefault="00864628" w:rsidP="00864628">
      <w:pPr>
        <w:pStyle w:val="ListParagraph"/>
        <w:numPr>
          <w:ilvl w:val="0"/>
          <w:numId w:val="1"/>
        </w:numPr>
        <w:rPr>
          <w:b/>
          <w:bCs/>
          <w:sz w:val="24"/>
          <w:szCs w:val="24"/>
        </w:rPr>
      </w:pPr>
      <w:r w:rsidRPr="00476C4E">
        <w:rPr>
          <w:sz w:val="24"/>
          <w:szCs w:val="24"/>
        </w:rPr>
        <w:t>Eu841</w:t>
      </w:r>
      <w:r>
        <w:rPr>
          <w:sz w:val="24"/>
          <w:szCs w:val="24"/>
        </w:rPr>
        <w:t xml:space="preserve"> – Atypical autism</w:t>
      </w:r>
    </w:p>
    <w:p w14:paraId="7345CF42" w14:textId="56D08337" w:rsidR="00864628" w:rsidRPr="00864628" w:rsidRDefault="00864628" w:rsidP="00864628">
      <w:pPr>
        <w:pStyle w:val="ListParagraph"/>
        <w:numPr>
          <w:ilvl w:val="0"/>
          <w:numId w:val="1"/>
        </w:numPr>
        <w:rPr>
          <w:b/>
          <w:bCs/>
          <w:sz w:val="24"/>
          <w:szCs w:val="24"/>
        </w:rPr>
      </w:pPr>
      <w:r w:rsidRPr="00476C4E">
        <w:rPr>
          <w:sz w:val="24"/>
          <w:szCs w:val="24"/>
        </w:rPr>
        <w:t>Eu845</w:t>
      </w:r>
      <w:r>
        <w:rPr>
          <w:sz w:val="24"/>
          <w:szCs w:val="24"/>
        </w:rPr>
        <w:t xml:space="preserve"> – Asperger syndrome</w:t>
      </w:r>
    </w:p>
    <w:p w14:paraId="1E7FE70E" w14:textId="69A7EE5C" w:rsidR="00476C4E" w:rsidRPr="00476C4E" w:rsidRDefault="00466B21" w:rsidP="00476C4E">
      <w:pPr>
        <w:pStyle w:val="ListParagraph"/>
        <w:numPr>
          <w:ilvl w:val="0"/>
          <w:numId w:val="1"/>
        </w:numPr>
        <w:rPr>
          <w:b/>
          <w:bCs/>
          <w:sz w:val="24"/>
          <w:szCs w:val="24"/>
        </w:rPr>
      </w:pPr>
      <w:r w:rsidRPr="00476C4E">
        <w:rPr>
          <w:sz w:val="24"/>
          <w:szCs w:val="24"/>
        </w:rPr>
        <w:t>Eu842</w:t>
      </w:r>
      <w:r w:rsidR="00476C4E">
        <w:rPr>
          <w:sz w:val="24"/>
          <w:szCs w:val="24"/>
        </w:rPr>
        <w:t xml:space="preserve"> –</w:t>
      </w:r>
      <w:r w:rsidRPr="00476C4E">
        <w:rPr>
          <w:sz w:val="24"/>
          <w:szCs w:val="24"/>
        </w:rPr>
        <w:t xml:space="preserve"> </w:t>
      </w:r>
      <w:r w:rsidR="00476C4E">
        <w:rPr>
          <w:sz w:val="24"/>
          <w:szCs w:val="24"/>
        </w:rPr>
        <w:t>Rett syndrome</w:t>
      </w:r>
    </w:p>
    <w:p w14:paraId="6A2055F0" w14:textId="7D4B4B64" w:rsidR="00476C4E" w:rsidRPr="00476C4E" w:rsidRDefault="00466B21" w:rsidP="00476C4E">
      <w:pPr>
        <w:pStyle w:val="ListParagraph"/>
        <w:numPr>
          <w:ilvl w:val="0"/>
          <w:numId w:val="1"/>
        </w:numPr>
        <w:rPr>
          <w:b/>
          <w:bCs/>
          <w:sz w:val="24"/>
          <w:szCs w:val="24"/>
        </w:rPr>
      </w:pPr>
      <w:r w:rsidRPr="00476C4E">
        <w:rPr>
          <w:sz w:val="24"/>
          <w:szCs w:val="24"/>
        </w:rPr>
        <w:t>Eu843</w:t>
      </w:r>
      <w:r w:rsidR="00476C4E">
        <w:rPr>
          <w:sz w:val="24"/>
          <w:szCs w:val="24"/>
        </w:rPr>
        <w:t xml:space="preserve"> – Other childhood disintegrative disorder</w:t>
      </w:r>
    </w:p>
    <w:p w14:paraId="73CE1805" w14:textId="37BB87A3" w:rsidR="00476C4E" w:rsidRPr="00476C4E" w:rsidRDefault="00466B21" w:rsidP="00476C4E">
      <w:pPr>
        <w:pStyle w:val="ListParagraph"/>
        <w:numPr>
          <w:ilvl w:val="0"/>
          <w:numId w:val="1"/>
        </w:numPr>
        <w:rPr>
          <w:b/>
          <w:bCs/>
          <w:sz w:val="24"/>
          <w:szCs w:val="24"/>
        </w:rPr>
      </w:pPr>
      <w:r w:rsidRPr="00476C4E">
        <w:rPr>
          <w:sz w:val="24"/>
          <w:szCs w:val="24"/>
        </w:rPr>
        <w:t>Eu844</w:t>
      </w:r>
      <w:r w:rsidR="00476C4E">
        <w:rPr>
          <w:sz w:val="24"/>
          <w:szCs w:val="24"/>
        </w:rPr>
        <w:t xml:space="preserve"> –</w:t>
      </w:r>
      <w:r w:rsidRPr="00476C4E">
        <w:rPr>
          <w:sz w:val="24"/>
          <w:szCs w:val="24"/>
        </w:rPr>
        <w:t xml:space="preserve"> </w:t>
      </w:r>
      <w:r w:rsidR="00476C4E">
        <w:rPr>
          <w:sz w:val="24"/>
          <w:szCs w:val="24"/>
        </w:rPr>
        <w:t>Overactive disorder associated with mental retardation and stereotyped movements</w:t>
      </w:r>
    </w:p>
    <w:p w14:paraId="7D887C92" w14:textId="0ABEF1D7" w:rsidR="00476C4E" w:rsidRPr="00864628" w:rsidRDefault="00466B21" w:rsidP="00476C4E">
      <w:pPr>
        <w:pStyle w:val="ListParagraph"/>
        <w:numPr>
          <w:ilvl w:val="0"/>
          <w:numId w:val="1"/>
        </w:numPr>
        <w:rPr>
          <w:b/>
          <w:bCs/>
          <w:sz w:val="24"/>
          <w:szCs w:val="24"/>
        </w:rPr>
      </w:pPr>
      <w:r w:rsidRPr="00476C4E">
        <w:rPr>
          <w:sz w:val="24"/>
          <w:szCs w:val="24"/>
        </w:rPr>
        <w:t>Eu84</w:t>
      </w:r>
      <w:r w:rsidR="00476C4E">
        <w:rPr>
          <w:sz w:val="24"/>
          <w:szCs w:val="24"/>
        </w:rPr>
        <w:t xml:space="preserve">5 – Asperger </w:t>
      </w:r>
      <w:r w:rsidR="00F94756">
        <w:rPr>
          <w:sz w:val="24"/>
          <w:szCs w:val="24"/>
        </w:rPr>
        <w:t>s</w:t>
      </w:r>
      <w:r w:rsidR="00476C4E">
        <w:rPr>
          <w:sz w:val="24"/>
          <w:szCs w:val="24"/>
        </w:rPr>
        <w:t>yndrome</w:t>
      </w:r>
    </w:p>
    <w:p w14:paraId="5A506D6A" w14:textId="2945782C" w:rsidR="00864628" w:rsidRPr="00476C4E" w:rsidRDefault="00864628" w:rsidP="00476C4E">
      <w:pPr>
        <w:pStyle w:val="ListParagraph"/>
        <w:numPr>
          <w:ilvl w:val="0"/>
          <w:numId w:val="1"/>
        </w:numPr>
        <w:rPr>
          <w:b/>
          <w:bCs/>
          <w:sz w:val="24"/>
          <w:szCs w:val="24"/>
        </w:rPr>
      </w:pPr>
      <w:r>
        <w:rPr>
          <w:sz w:val="24"/>
          <w:szCs w:val="24"/>
        </w:rPr>
        <w:t>Eu846 – Pathological demand avoidance</w:t>
      </w:r>
    </w:p>
    <w:p w14:paraId="6A5DF117" w14:textId="6E802CF5" w:rsidR="00476C4E" w:rsidRPr="00476C4E" w:rsidRDefault="00466B21" w:rsidP="00476C4E">
      <w:pPr>
        <w:pStyle w:val="ListParagraph"/>
        <w:numPr>
          <w:ilvl w:val="0"/>
          <w:numId w:val="1"/>
        </w:numPr>
        <w:rPr>
          <w:b/>
          <w:bCs/>
          <w:sz w:val="24"/>
          <w:szCs w:val="24"/>
        </w:rPr>
      </w:pPr>
      <w:r w:rsidRPr="00476C4E">
        <w:rPr>
          <w:sz w:val="24"/>
          <w:szCs w:val="24"/>
        </w:rPr>
        <w:t>Eu84y</w:t>
      </w:r>
      <w:r w:rsidR="00476C4E">
        <w:rPr>
          <w:sz w:val="24"/>
          <w:szCs w:val="24"/>
        </w:rPr>
        <w:t xml:space="preserve"> – Other pervasive developmental disorder</w:t>
      </w:r>
    </w:p>
    <w:p w14:paraId="6B2EED46" w14:textId="15F22F56" w:rsidR="00F31583" w:rsidRPr="00D93846" w:rsidRDefault="00466B21" w:rsidP="00F31583">
      <w:pPr>
        <w:pStyle w:val="ListParagraph"/>
        <w:numPr>
          <w:ilvl w:val="0"/>
          <w:numId w:val="1"/>
        </w:numPr>
        <w:rPr>
          <w:b/>
          <w:bCs/>
          <w:sz w:val="24"/>
          <w:szCs w:val="24"/>
        </w:rPr>
      </w:pPr>
      <w:r w:rsidRPr="00476C4E">
        <w:rPr>
          <w:sz w:val="24"/>
          <w:szCs w:val="24"/>
        </w:rPr>
        <w:t>Eu84z</w:t>
      </w:r>
      <w:r w:rsidR="00476C4E">
        <w:rPr>
          <w:sz w:val="24"/>
          <w:szCs w:val="24"/>
        </w:rPr>
        <w:t xml:space="preserve"> – Pervasive developmental disorder, unspecified</w:t>
      </w:r>
      <w:r w:rsidR="00476C4E" w:rsidRPr="00476C4E">
        <w:rPr>
          <w:sz w:val="24"/>
          <w:szCs w:val="24"/>
        </w:rPr>
        <w:t xml:space="preserve"> </w:t>
      </w:r>
    </w:p>
    <w:p w14:paraId="070EB4E3" w14:textId="35D2F24E" w:rsidR="00D93846" w:rsidRDefault="00D93846" w:rsidP="00D93846">
      <w:pPr>
        <w:rPr>
          <w:b/>
          <w:bCs/>
          <w:sz w:val="24"/>
          <w:szCs w:val="24"/>
        </w:rPr>
      </w:pPr>
    </w:p>
    <w:p w14:paraId="20E89F1D" w14:textId="3D5B4444" w:rsidR="00B307CF" w:rsidRDefault="00B307CF" w:rsidP="000D0706">
      <w:pPr>
        <w:pStyle w:val="Heading1"/>
      </w:pPr>
      <w:bookmarkStart w:id="7" w:name="_Toc109994169"/>
      <w:r w:rsidRPr="00B307CF">
        <w:lastRenderedPageBreak/>
        <w:t>International Classification of Diseases 10</w:t>
      </w:r>
      <w:r w:rsidRPr="00B307CF">
        <w:rPr>
          <w:vertAlign w:val="superscript"/>
        </w:rPr>
        <w:t>th</w:t>
      </w:r>
      <w:r w:rsidRPr="00B307CF">
        <w:t xml:space="preserve"> revision and Read Code version 2 coding list for co-occurring diagnoses:</w:t>
      </w:r>
      <w:bookmarkEnd w:id="7"/>
    </w:p>
    <w:p w14:paraId="7156C8E1" w14:textId="77777777" w:rsidR="000D0706" w:rsidRPr="000D0706" w:rsidRDefault="000D0706" w:rsidP="000D0706"/>
    <w:p w14:paraId="172CEE7C" w14:textId="77777777" w:rsidR="00B307CF" w:rsidRDefault="00B307CF" w:rsidP="00B307CF">
      <w:pPr>
        <w:rPr>
          <w:sz w:val="24"/>
          <w:szCs w:val="24"/>
        </w:rPr>
      </w:pPr>
      <w:r>
        <w:rPr>
          <w:sz w:val="24"/>
          <w:szCs w:val="24"/>
        </w:rPr>
        <w:t xml:space="preserve">Please note, ‘% </w:t>
      </w:r>
      <w:proofErr w:type="gramStart"/>
      <w:r>
        <w:rPr>
          <w:sz w:val="24"/>
          <w:szCs w:val="24"/>
        </w:rPr>
        <w:t>‘ is</w:t>
      </w:r>
      <w:proofErr w:type="gramEnd"/>
      <w:r>
        <w:rPr>
          <w:sz w:val="24"/>
          <w:szCs w:val="24"/>
        </w:rPr>
        <w:t xml:space="preserve"> a wildcard character to refer to the parent code and all its children in the hierarchy:</w:t>
      </w:r>
    </w:p>
    <w:p w14:paraId="31C5C172" w14:textId="2FF6E745" w:rsidR="00B307CF" w:rsidRDefault="00B307CF" w:rsidP="00B307CF">
      <w:pPr>
        <w:pStyle w:val="ListParagraph"/>
        <w:numPr>
          <w:ilvl w:val="0"/>
          <w:numId w:val="2"/>
        </w:numPr>
        <w:suppressAutoHyphens/>
        <w:rPr>
          <w:sz w:val="24"/>
          <w:szCs w:val="24"/>
        </w:rPr>
      </w:pPr>
      <w:r>
        <w:rPr>
          <w:sz w:val="24"/>
          <w:szCs w:val="24"/>
        </w:rPr>
        <w:t xml:space="preserve">ADHD: ICD-10 and Read codes from a </w:t>
      </w:r>
      <w:r w:rsidRPr="00026650">
        <w:rPr>
          <w:sz w:val="24"/>
          <w:szCs w:val="24"/>
        </w:rPr>
        <w:t>list created for Langley e</w:t>
      </w:r>
      <w:r w:rsidRPr="00026650">
        <w:rPr>
          <w:i/>
          <w:iCs/>
          <w:sz w:val="24"/>
          <w:szCs w:val="24"/>
        </w:rPr>
        <w:t>t al</w:t>
      </w:r>
      <w:r>
        <w:rPr>
          <w:i/>
          <w:iCs/>
          <w:sz w:val="24"/>
          <w:szCs w:val="24"/>
        </w:rPr>
        <w:t>.</w:t>
      </w:r>
      <w:r w:rsidRPr="00026650">
        <w:rPr>
          <w:i/>
          <w:iCs/>
          <w:sz w:val="24"/>
          <w:szCs w:val="24"/>
        </w:rPr>
        <w:t xml:space="preserve"> </w:t>
      </w:r>
      <w:r w:rsidRPr="00026650">
        <w:rPr>
          <w:sz w:val="24"/>
          <w:szCs w:val="24"/>
        </w:rPr>
        <w:t xml:space="preserve">as part of the All Wales Neurodevelopmental Disorder e-cohort (unpublished work) </w:t>
      </w:r>
      <w:r w:rsidRPr="00026650">
        <w:rPr>
          <w:sz w:val="24"/>
          <w:szCs w:val="24"/>
        </w:rPr>
        <w:fldChar w:fldCharType="begin" w:fldLock="1"/>
      </w:r>
      <w:r w:rsidR="003549F9">
        <w:rPr>
          <w:sz w:val="24"/>
          <w:szCs w:val="24"/>
        </w:rPr>
        <w:instrText>ADDIN CSL_CITATION {"citationItems":[{"id":"ITEM-1","itemData":{"URL":"https://www.cardiff.ac.uk/mrc-centre-neuropsychiatric-genetics-genomics/research/current-projects/all-wales-neurodevelopmental-disorder-e-cohort","accessed":{"date-parts":[["2020","11","10"]]},"id":"ITEM-1","issued":{"date-parts":[["0"]]},"title":"All Wales Neurodevelopmental Disorder e-cohort - MRC Centre for Neuropsychiatric Genetics and Genomics - Cardiff University","type":"webpage"},"uris":["http://www.mendeley.com/documents/?uuid=10f55d98-13df-3919-b9c5-abb816fb4a0c"]}],"mendeley":{"formattedCitation":"(&lt;i&gt;All Wales Neurodevelopmental Disorder E-Cohort - MRC Centre for Neuropsychiatric Genetics and Genomics - Cardiff University&lt;/i&gt;, n.d.)","plainTextFormattedCitation":"(All Wales Neurodevelopmental Disorder E-Cohort - MRC Centre for Neuropsychiatric Genetics and Genomics - Cardiff University, n.d.)","previouslyFormattedCitation":"(&lt;i&gt;All Wales Neurodevelopmental Disorder e-cohort - MRC Centre for Neuropsychiatric Genetics and Genomics - Cardiff University&lt;/i&gt;, n.d.)"},"properties":{"noteIndex":0},"schema":"https://github.com/citation-style-language/schema/raw/master/csl-citation.json"}</w:instrText>
      </w:r>
      <w:r w:rsidRPr="00026650">
        <w:rPr>
          <w:sz w:val="24"/>
          <w:szCs w:val="24"/>
        </w:rPr>
        <w:fldChar w:fldCharType="separate"/>
      </w:r>
      <w:r w:rsidR="003549F9" w:rsidRPr="003549F9">
        <w:rPr>
          <w:noProof/>
          <w:sz w:val="24"/>
          <w:szCs w:val="24"/>
        </w:rPr>
        <w:t>(</w:t>
      </w:r>
      <w:r w:rsidR="003549F9" w:rsidRPr="003549F9">
        <w:rPr>
          <w:i/>
          <w:noProof/>
          <w:sz w:val="24"/>
          <w:szCs w:val="24"/>
        </w:rPr>
        <w:t>All Wales Neurodevelopmental Disorder E-Cohort - MRC Centre for Neuropsychiatric Genetics and Genomics - Cardiff University</w:t>
      </w:r>
      <w:r w:rsidR="003549F9" w:rsidRPr="003549F9">
        <w:rPr>
          <w:noProof/>
          <w:sz w:val="24"/>
          <w:szCs w:val="24"/>
        </w:rPr>
        <w:t>, n.d.)</w:t>
      </w:r>
      <w:r w:rsidRPr="00026650">
        <w:rPr>
          <w:sz w:val="24"/>
          <w:szCs w:val="24"/>
        </w:rPr>
        <w:fldChar w:fldCharType="end"/>
      </w:r>
      <w:r w:rsidRPr="00026650">
        <w:rPr>
          <w:sz w:val="24"/>
          <w:szCs w:val="24"/>
        </w:rPr>
        <w:t>.</w:t>
      </w:r>
    </w:p>
    <w:p w14:paraId="0A9B0750" w14:textId="77777777" w:rsidR="00B307CF" w:rsidRDefault="00B307CF" w:rsidP="00B307CF">
      <w:pPr>
        <w:pStyle w:val="ListParagraph"/>
        <w:numPr>
          <w:ilvl w:val="0"/>
          <w:numId w:val="2"/>
        </w:numPr>
        <w:suppressAutoHyphens/>
        <w:rPr>
          <w:sz w:val="24"/>
          <w:szCs w:val="24"/>
        </w:rPr>
      </w:pPr>
      <w:r>
        <w:rPr>
          <w:sz w:val="24"/>
          <w:szCs w:val="24"/>
        </w:rPr>
        <w:t xml:space="preserve">ALCOHOL MISUSE: ICD-10 and Read code lists from </w:t>
      </w:r>
      <w:proofErr w:type="spellStart"/>
      <w:r>
        <w:rPr>
          <w:sz w:val="24"/>
          <w:szCs w:val="24"/>
        </w:rPr>
        <w:t>DelPozo</w:t>
      </w:r>
      <w:proofErr w:type="spellEnd"/>
      <w:r>
        <w:rPr>
          <w:sz w:val="24"/>
          <w:szCs w:val="24"/>
        </w:rPr>
        <w:t xml:space="preserve">-Banos </w:t>
      </w:r>
      <w:r w:rsidRPr="00E906BF">
        <w:rPr>
          <w:i/>
          <w:iCs/>
          <w:sz w:val="24"/>
          <w:szCs w:val="24"/>
        </w:rPr>
        <w:t>et al</w:t>
      </w:r>
      <w:r>
        <w:rPr>
          <w:sz w:val="24"/>
          <w:szCs w:val="24"/>
        </w:rPr>
        <w:t xml:space="preserve">. (2018) </w:t>
      </w:r>
      <w:r>
        <w:fldChar w:fldCharType="begin" w:fldLock="1"/>
      </w:r>
      <w:r>
        <w:rPr>
          <w:sz w:val="24"/>
          <w:szCs w:val="24"/>
        </w:rPr>
        <w:instrText>ADDIN CSL_CITATION {"citationItems":[{"id":"ITEM-1","itemData":{"DOI":"10.2196/10144","ISSN":"2368-7959","abstract":"Background: Each year, approximately 800,000 people die by suicide worldwide, accounting for 1-2 in every 100 deaths. It is always a tragic event with a huge impact on family, friends, the community and health professionals. Unfortunately, suicide prevention and the development of risk assessment tools have been hindered by the complexity of the underlying mechanisms and the dynamic nature of a person's motivation and intent. Many of those who die by suicide had contact with health services in the preceding year but identifying those most at risk remains a challenge.","author":[{"dropping-particle":"","family":"DelPozo-Banos","given":"Marcos","non-dropping-particle":"","parse-names":false,"suffix":""},{"dropping-particle":"","family":"John","given":"Ann","non-dropping-particle":"","parse-names":false,"suffix":""},{"dropping-particle":"","family":"Petkov","given":"Nicolai","non-dropping-particle":"","parse-names":false,"suffix":""},{"dropping-particle":"","family":"Berridge","given":"Damon Mark","non-dropping-particle":"","parse-names":false,"suffix":""},{"dropping-particle":"","family":"Southern","given":"Kate","non-dropping-particle":"","parse-names":false,"suffix":""},{"dropping-particle":"","family":"LLoyd","given":"Keith","non-dropping-particle":"","parse-names":false,"suffix":""},{"dropping-particle":"","family":"Jones","given":"Caroline","non-dropping-particle":"","parse-names":false,"suffix":""},{"dropping-particle":"","family":"Spencer","given":"Sarah","non-dropping-particle":"","parse-names":false,"suffix":""},{"dropping-particle":"","family":"Travieso","given":"Carlos Manuel","non-dropping-particle":"","parse-names":false,"suffix":""}],"container-title":"JMIR Mental Health","id":"ITEM-1","issue":"2","issued":{"date-parts":[["2018","6","22"]]},"page":"e10144","publisher":"JMIR Publications Inc.","title":"Using Neural Networks with Routine Health Records to Identify Suicide Risk: Feasibility Study","type":"article-journal","volume":"5"},"uris":["http://www.mendeley.com/documents/?uuid=bee91905-1de6-3ea9-abc5-fba1fb132d63"]}],"mendeley":{"formattedCitation":"(DelPozo-Banos et al., 2018)","plainTextFormattedCitation":"(DelPozo-Banos et al., 2018)","previouslyFormattedCitation":"(DelPozo-Banos et al., 2018)"},"properties":{"noteIndex":0},"schema":"https://github.com/citation-style-language/schema/raw/master/csl-citation.json"}</w:instrText>
      </w:r>
      <w:r>
        <w:rPr>
          <w:sz w:val="24"/>
          <w:szCs w:val="24"/>
        </w:rPr>
        <w:fldChar w:fldCharType="separate"/>
      </w:r>
      <w:r w:rsidRPr="00026650">
        <w:rPr>
          <w:noProof/>
          <w:sz w:val="24"/>
          <w:szCs w:val="24"/>
        </w:rPr>
        <w:t xml:space="preserve">(DelPozo-Banos </w:t>
      </w:r>
      <w:r w:rsidRPr="00E906BF">
        <w:rPr>
          <w:i/>
          <w:iCs/>
          <w:noProof/>
          <w:sz w:val="24"/>
          <w:szCs w:val="24"/>
        </w:rPr>
        <w:t>et al.</w:t>
      </w:r>
      <w:r w:rsidRPr="00026650">
        <w:rPr>
          <w:noProof/>
          <w:sz w:val="24"/>
          <w:szCs w:val="24"/>
        </w:rPr>
        <w:t>, 2018)</w:t>
      </w:r>
      <w:r>
        <w:rPr>
          <w:sz w:val="24"/>
          <w:szCs w:val="24"/>
        </w:rPr>
        <w:fldChar w:fldCharType="end"/>
      </w:r>
    </w:p>
    <w:p w14:paraId="787433D1" w14:textId="77777777" w:rsidR="00B307CF" w:rsidRDefault="00B307CF" w:rsidP="00B307CF">
      <w:pPr>
        <w:pStyle w:val="ListParagraph"/>
        <w:numPr>
          <w:ilvl w:val="0"/>
          <w:numId w:val="2"/>
        </w:numPr>
        <w:suppressAutoHyphens/>
        <w:rPr>
          <w:sz w:val="24"/>
          <w:szCs w:val="24"/>
        </w:rPr>
      </w:pPr>
      <w:r>
        <w:rPr>
          <w:sz w:val="24"/>
          <w:szCs w:val="24"/>
        </w:rPr>
        <w:t>ANXIETY</w:t>
      </w:r>
    </w:p>
    <w:p w14:paraId="1CF4DC21" w14:textId="77777777" w:rsidR="00B307CF" w:rsidRDefault="00B307CF" w:rsidP="00B307CF">
      <w:pPr>
        <w:pStyle w:val="ListParagraph"/>
        <w:numPr>
          <w:ilvl w:val="1"/>
          <w:numId w:val="2"/>
        </w:numPr>
        <w:suppressAutoHyphens/>
        <w:rPr>
          <w:sz w:val="24"/>
          <w:szCs w:val="24"/>
        </w:rPr>
      </w:pPr>
      <w:r>
        <w:rPr>
          <w:sz w:val="24"/>
          <w:szCs w:val="24"/>
        </w:rPr>
        <w:t>ICD-10 codes: F40% (Phobic anxiety disorders) and F41% (Other anxiety disorders)</w:t>
      </w:r>
    </w:p>
    <w:p w14:paraId="78AD938F" w14:textId="77777777" w:rsidR="00B307CF" w:rsidRDefault="00B307CF" w:rsidP="00B307CF">
      <w:pPr>
        <w:pStyle w:val="ListParagraph"/>
        <w:numPr>
          <w:ilvl w:val="1"/>
          <w:numId w:val="2"/>
        </w:numPr>
        <w:suppressAutoHyphens/>
        <w:rPr>
          <w:sz w:val="24"/>
          <w:szCs w:val="24"/>
        </w:rPr>
      </w:pPr>
      <w:r>
        <w:rPr>
          <w:sz w:val="24"/>
          <w:szCs w:val="24"/>
        </w:rPr>
        <w:t xml:space="preserve">Read codes from a revised list from Cornish </w:t>
      </w:r>
      <w:r w:rsidRPr="00E906BF">
        <w:rPr>
          <w:i/>
          <w:iCs/>
          <w:sz w:val="24"/>
          <w:szCs w:val="24"/>
        </w:rPr>
        <w:t>et al</w:t>
      </w:r>
      <w:r>
        <w:rPr>
          <w:sz w:val="24"/>
          <w:szCs w:val="24"/>
        </w:rPr>
        <w:t>. (2016)</w:t>
      </w:r>
      <w:r>
        <w:fldChar w:fldCharType="begin" w:fldLock="1"/>
      </w:r>
      <w:r>
        <w:rPr>
          <w:sz w:val="24"/>
          <w:szCs w:val="24"/>
        </w:rPr>
        <w:instrText>ADDIN CSL_CITATION {"citationItems":[{"id":"ITEM-1","itemData":{"DOI":"10.1136/bmjopen-2016","abstract":"Objective: To compare the prevalence of common mental disorders (CMDs) derived from data held in primary care records with that measured using the revised Clinical Interview Schedule (CIS-R) in order to assess the potential robustness of findings based only on routinely collected data. Design and setting: Comparison study using linkage between the Avon Longitudinal Study of Parents and Children (ALSPAC) and electronic primary care records. Participants: We studied 1562 adolescents who had completed the CIS-R in ALSPAC at age 17-18 years and had linkage established to their primary care records. Outcome measures: Outcome measures from ALSPAC were whether or not an individual met International Classification of Diseases-10 criteria for a diagnosis of (1) a CMD or, specifically, (2) depression. Lists of Read codes corresponding to diagnoses, symptoms and treatments were used to create 12 definitions of CMD and depression alone using the primary care data. We calculated sensitivities and specificities of these, using CIS-R definitions as the reference standard. Results: Sensitivities ranged from 5.2% to 24.3% for depression and from 3.8% to 19.2% for CMD. The specificities of all definitions were above 98% for depression and above 96% for CMD. For both outcomes, the definition that included current diagnosis, treatment or symptoms identified the highest proportion of CIS-R cases.","author":[{"dropping-particle":"","family":"Cornish","given":"Rosie P","non-dropping-particle":"","parse-names":false,"suffix":""},{"dropping-particle":"","family":"John","given":"Ann","non-dropping-particle":"","parse-names":false,"suffix":""},{"dropping-particle":"","family":"Boyd","given":"Andy","non-dropping-particle":"","parse-names":false,"suffix":""},{"dropping-particle":"","family":"Tilling","given":"Kate","non-dropping-particle":"","parse-names":false,"suffix":""},{"dropping-particle":"","family":"Macleod","given":"John","non-dropping-particle":"","parse-names":false,"suffix":""}],"container-title":"BMJ Open","id":"ITEM-1","issued":{"date-parts":[["2016"]]},"page":"13167","title":"Defining adolescent common mental disorders using electronic primary care data: a comparison with outcomes measured using the CIS-R","type":"article-journal","volume":"6"},"uris":["http://www.mendeley.com/documents/?uuid=c002c304-6692-3dc8-965d-233814e12573"]}],"mendeley":{"formattedCitation":"(Cornish et al., 2016)","plainTextFormattedCitation":"(Cornish et al., 2016)","previouslyFormattedCitation":"(Cornish et al., 2016)"},"properties":{"noteIndex":0},"schema":"https://github.com/citation-style-language/schema/raw/master/csl-citation.json"}</w:instrText>
      </w:r>
      <w:r>
        <w:rPr>
          <w:sz w:val="24"/>
          <w:szCs w:val="24"/>
        </w:rPr>
        <w:fldChar w:fldCharType="separate"/>
      </w:r>
      <w:r w:rsidRPr="00026650">
        <w:rPr>
          <w:noProof/>
          <w:sz w:val="24"/>
          <w:szCs w:val="24"/>
        </w:rPr>
        <w:t xml:space="preserve">(Cornish </w:t>
      </w:r>
      <w:r w:rsidRPr="00E906BF">
        <w:rPr>
          <w:i/>
          <w:iCs/>
          <w:noProof/>
          <w:sz w:val="24"/>
          <w:szCs w:val="24"/>
        </w:rPr>
        <w:t>et al.</w:t>
      </w:r>
      <w:r w:rsidRPr="00026650">
        <w:rPr>
          <w:noProof/>
          <w:sz w:val="24"/>
          <w:szCs w:val="24"/>
        </w:rPr>
        <w:t>, 2016)</w:t>
      </w:r>
      <w:r>
        <w:rPr>
          <w:sz w:val="24"/>
          <w:szCs w:val="24"/>
        </w:rPr>
        <w:fldChar w:fldCharType="end"/>
      </w:r>
      <w:r>
        <w:rPr>
          <w:sz w:val="24"/>
          <w:szCs w:val="24"/>
        </w:rPr>
        <w:t xml:space="preserve"> (only diagnosis and symptoms) with addition of phobia codes (Eu40%, E202%) </w:t>
      </w:r>
    </w:p>
    <w:p w14:paraId="3602D048" w14:textId="15CEFE14" w:rsidR="00B307CF" w:rsidRDefault="00B307CF" w:rsidP="00B307CF">
      <w:pPr>
        <w:pStyle w:val="ListParagraph"/>
        <w:numPr>
          <w:ilvl w:val="0"/>
          <w:numId w:val="2"/>
        </w:numPr>
        <w:suppressAutoHyphens/>
        <w:rPr>
          <w:sz w:val="24"/>
          <w:szCs w:val="24"/>
        </w:rPr>
      </w:pPr>
      <w:r>
        <w:rPr>
          <w:sz w:val="24"/>
          <w:szCs w:val="24"/>
        </w:rPr>
        <w:t xml:space="preserve">BIPOLAR DISORDER, PSYCHOSIS and SCHIZOPHRENIA </w:t>
      </w:r>
      <w:r>
        <w:rPr>
          <w:rFonts w:ascii="Wingdings" w:eastAsia="Wingdings" w:hAnsi="Wingdings" w:cs="Wingdings"/>
          <w:sz w:val="24"/>
          <w:szCs w:val="24"/>
        </w:rPr>
        <w:t></w:t>
      </w:r>
      <w:r>
        <w:rPr>
          <w:sz w:val="24"/>
          <w:szCs w:val="24"/>
        </w:rPr>
        <w:t xml:space="preserve"> ICD-10 and Read code lists were created using as reference John </w:t>
      </w:r>
      <w:r w:rsidRPr="00E906BF">
        <w:rPr>
          <w:i/>
          <w:iCs/>
          <w:sz w:val="24"/>
          <w:szCs w:val="24"/>
        </w:rPr>
        <w:t>et al</w:t>
      </w:r>
      <w:r>
        <w:rPr>
          <w:sz w:val="24"/>
          <w:szCs w:val="24"/>
        </w:rPr>
        <w:t xml:space="preserve">. (2018) </w:t>
      </w:r>
      <w:r>
        <w:fldChar w:fldCharType="begin" w:fldLock="1"/>
      </w:r>
      <w:r w:rsidR="003549F9">
        <w:rPr>
          <w:sz w:val="24"/>
          <w:szCs w:val="24"/>
        </w:rPr>
        <w:instrText>ADDIN CSL_CITATION {"citationItems":[{"id":"ITEM-1","itemData":{"DOI":"10.1016/J.SCHRES.2018.04.009","ISSN":"0920-9964","PMID":"29728293","abstract":"Studies assessing premature mortality in people with severe mental illness (SMI) are usually based in one setting, hospital (secondary care inpatients and/or outpatients) or community (primary care). This may lead to ascertainment bias. This study aimed to estimate standardised mortality ratios (SMRs) for all-cause and cause-specific mortality in people with SMI drawn from linked primary and secondary care populations compared to the general population. SMRs were calculated using the indirect method for a United Kingdom population of almost four million between 2004 and 2013. The all-cause SMR was higher in the cohort identified from secondary care hospital admissions (SMR: 2.9; 95% CI: 2.8–3.0) than from primary care (SMR: 2.2; 95% CI: 2.1–2.3) when compared to the general population. The SMR for the combined cohort was 2.6 (95% CI: 2.5–2.6). Cause specific SMRs in the combined cohort were particularly elevated in those with SMI relative to the general population for ill-defined and unknown causes, suicide, substance abuse, Parkinson's disease, accidents, dementia, infections and respiratory disorders (particularly pneumonia), and Alzheimer's disease. Solely hospital admission based studies, which have dominated the literature hitherto, somewhat over-estimate premature mortality in those with SMI. People with SMI are more likely to die by ill-defined and unknown causes, suicide and other less common and often under-reported causes. Comprehensive characterisation of mortality is important to inform policy and practice and to discriminate settings to allow for proportionate interventions to address this health injustice.","author":[{"dropping-particle":"","family":"John","given":"Ann","non-dropping-particle":"","parse-names":false,"suffix":""},{"dropping-particle":"","family":"McGregor","given":"Joanna","non-dropping-particle":"","parse-names":false,"suffix":""},{"dropping-particle":"","family":"Jones","given":"Ian","non-dropping-particle":"","parse-names":false,"suffix":""},{"dropping-particle":"","family":"Lee","given":"Sze Chim","non-dropping-particle":"","parse-names":false,"suffix":""},{"dropping-particle":"","family":"Walters","given":"James T.R. R","non-dropping-particle":"","parse-names":false,"suffix":""},{"dropping-particle":"","family":"Owen","given":"Michael J.","non-dropping-particle":"","parse-names":false,"suffix":""},{"dropping-particle":"","family":"O'donovan","given":"Michael","non-dropping-particle":"","parse-names":false,"suffix":""},{"dropping-particle":"","family":"DelPozo-Banos","given":"Marcos","non-dropping-particle":"","parse-names":false,"suffix":""},{"dropping-particle":"","family":"Berridge","given":"Damon","non-dropping-particle":"","parse-names":false,"suffix":""},{"dropping-particle":"","family":"Lloyd","given":"Keith","non-dropping-particle":"","parse-names":false,"suffix":""}],"container-title":"Schizophrenia Research","id":"ITEM-1","issued":{"date-parts":[["2018","5","2"]]},"page":"154-162","publisher":"Elsevier","title":"Premature mortality among people with severe mental illness - New evidence from linked primary care data","type":"article-journal","volume":"199"},"uris":["http://www.mendeley.com/documents/?uuid=875639f2-33e7-490e-b274-4aa292193292"]}],"mendeley":{"formattedCitation":"(John et al., 2018)","plainTextFormattedCitation":"(John et al., 2018)","previouslyFormattedCitation":"(John et al., 2018)"},"properties":{"noteIndex":0},"schema":"https://github.com/citation-style-language/schema/raw/master/csl-citation.json"}</w:instrText>
      </w:r>
      <w:r>
        <w:rPr>
          <w:sz w:val="24"/>
          <w:szCs w:val="24"/>
        </w:rPr>
        <w:fldChar w:fldCharType="separate"/>
      </w:r>
      <w:r w:rsidRPr="00026650">
        <w:rPr>
          <w:noProof/>
          <w:sz w:val="24"/>
          <w:szCs w:val="24"/>
        </w:rPr>
        <w:t xml:space="preserve">(John </w:t>
      </w:r>
      <w:r w:rsidRPr="00E906BF">
        <w:rPr>
          <w:i/>
          <w:iCs/>
          <w:noProof/>
          <w:sz w:val="24"/>
          <w:szCs w:val="24"/>
        </w:rPr>
        <w:t>et al.</w:t>
      </w:r>
      <w:r w:rsidRPr="00026650">
        <w:rPr>
          <w:noProof/>
          <w:sz w:val="24"/>
          <w:szCs w:val="24"/>
        </w:rPr>
        <w:t>, 2018)</w:t>
      </w:r>
      <w:r>
        <w:rPr>
          <w:sz w:val="24"/>
          <w:szCs w:val="24"/>
        </w:rPr>
        <w:fldChar w:fldCharType="end"/>
      </w:r>
      <w:r>
        <w:rPr>
          <w:sz w:val="24"/>
          <w:szCs w:val="24"/>
        </w:rPr>
        <w:t>; definition for ‘psychosis’ included codes for ‘bipolar disorder’, ‘schizophrenia’ and ‘other psychotic symptoms’.</w:t>
      </w:r>
    </w:p>
    <w:p w14:paraId="24FD3366" w14:textId="77777777" w:rsidR="00B307CF" w:rsidRDefault="00B307CF" w:rsidP="00B307CF">
      <w:pPr>
        <w:pStyle w:val="ListParagraph"/>
        <w:numPr>
          <w:ilvl w:val="0"/>
          <w:numId w:val="2"/>
        </w:numPr>
        <w:suppressAutoHyphens/>
        <w:rPr>
          <w:sz w:val="24"/>
          <w:szCs w:val="24"/>
        </w:rPr>
      </w:pPr>
      <w:r>
        <w:rPr>
          <w:sz w:val="24"/>
          <w:szCs w:val="24"/>
        </w:rPr>
        <w:t>DEPRESSION</w:t>
      </w:r>
    </w:p>
    <w:p w14:paraId="20A99058" w14:textId="77777777" w:rsidR="00B307CF" w:rsidRDefault="00B307CF" w:rsidP="00B307CF">
      <w:pPr>
        <w:pStyle w:val="ListParagraph"/>
        <w:numPr>
          <w:ilvl w:val="1"/>
          <w:numId w:val="2"/>
        </w:numPr>
        <w:suppressAutoHyphens/>
        <w:rPr>
          <w:sz w:val="24"/>
          <w:szCs w:val="24"/>
        </w:rPr>
      </w:pPr>
      <w:r>
        <w:rPr>
          <w:sz w:val="24"/>
          <w:szCs w:val="24"/>
        </w:rPr>
        <w:t>ICD-10 codes: F32% (Major depressive disorder single episode) and F33% (Major depressive disorder recurrent), excluding F323 and F333 because they refer to presence of psychotic symptoms; F341 (dysthymic disorder) and F412 (Mixed anxiety and depressive disorder).</w:t>
      </w:r>
    </w:p>
    <w:p w14:paraId="241353F7" w14:textId="77777777" w:rsidR="00B307CF" w:rsidRDefault="00B307CF" w:rsidP="00B307CF">
      <w:pPr>
        <w:pStyle w:val="ListParagraph"/>
        <w:numPr>
          <w:ilvl w:val="1"/>
          <w:numId w:val="2"/>
        </w:numPr>
        <w:suppressAutoHyphens/>
        <w:rPr>
          <w:sz w:val="24"/>
          <w:szCs w:val="24"/>
        </w:rPr>
      </w:pPr>
      <w:r>
        <w:rPr>
          <w:sz w:val="24"/>
          <w:szCs w:val="24"/>
        </w:rPr>
        <w:t xml:space="preserve">Read codes from a revised list from Cornish </w:t>
      </w:r>
      <w:r w:rsidRPr="00E906BF">
        <w:rPr>
          <w:i/>
          <w:iCs/>
          <w:sz w:val="24"/>
          <w:szCs w:val="24"/>
        </w:rPr>
        <w:t>et al.</w:t>
      </w:r>
      <w:r>
        <w:rPr>
          <w:sz w:val="24"/>
          <w:szCs w:val="24"/>
        </w:rPr>
        <w:t xml:space="preserve"> (2016) </w:t>
      </w:r>
      <w:r>
        <w:fldChar w:fldCharType="begin" w:fldLock="1"/>
      </w:r>
      <w:r>
        <w:rPr>
          <w:sz w:val="24"/>
          <w:szCs w:val="24"/>
        </w:rPr>
        <w:instrText>ADDIN CSL_CITATION {"citationItems":[{"id":"ITEM-1","itemData":{"DOI":"10.1136/bmjopen-2016","abstract":"Objective: To compare the prevalence of common mental disorders (CMDs) derived from data held in primary care records with that measured using the revised Clinical Interview Schedule (CIS-R) in order to assess the potential robustness of findings based only on routinely collected data. Design and setting: Comparison study using linkage between the Avon Longitudinal Study of Parents and Children (ALSPAC) and electronic primary care records. Participants: We studied 1562 adolescents who had completed the CIS-R in ALSPAC at age 17-18 years and had linkage established to their primary care records. Outcome measures: Outcome measures from ALSPAC were whether or not an individual met International Classification of Diseases-10 criteria for a diagnosis of (1) a CMD or, specifically, (2) depression. Lists of Read codes corresponding to diagnoses, symptoms and treatments were used to create 12 definitions of CMD and depression alone using the primary care data. We calculated sensitivities and specificities of these, using CIS-R definitions as the reference standard. Results: Sensitivities ranged from 5.2% to 24.3% for depression and from 3.8% to 19.2% for CMD. The specificities of all definitions were above 98% for depression and above 96% for CMD. For both outcomes, the definition that included current diagnosis, treatment or symptoms identified the highest proportion of CIS-R cases.","author":[{"dropping-particle":"","family":"Cornish","given":"Rosie P","non-dropping-particle":"","parse-names":false,"suffix":""},{"dropping-particle":"","family":"John","given":"Ann","non-dropping-particle":"","parse-names":false,"suffix":""},{"dropping-particle":"","family":"Boyd","given":"Andy","non-dropping-particle":"","parse-names":false,"suffix":""},{"dropping-particle":"","family":"Tilling","given":"Kate","non-dropping-particle":"","parse-names":false,"suffix":""},{"dropping-particle":"","family":"Macleod","given":"John","non-dropping-particle":"","parse-names":false,"suffix":""}],"container-title":"BMJ Open","id":"ITEM-1","issued":{"date-parts":[["2016"]]},"page":"13167","title":"Defining adolescent common mental disorders using electronic primary care data: a comparison with outcomes measured using the CIS-R","type":"article-journal","volume":"6"},"uris":["http://www.mendeley.com/documents/?uuid=c002c304-6692-3dc8-965d-233814e12573"]}],"mendeley":{"formattedCitation":"(Cornish et al., 2016)","plainTextFormattedCitation":"(Cornish et al., 2016)","previouslyFormattedCitation":"(Cornish et al., 2016)"},"properties":{"noteIndex":0},"schema":"https://github.com/citation-style-language/schema/raw/master/csl-citation.json"}</w:instrText>
      </w:r>
      <w:r>
        <w:rPr>
          <w:sz w:val="24"/>
          <w:szCs w:val="24"/>
        </w:rPr>
        <w:fldChar w:fldCharType="separate"/>
      </w:r>
      <w:r w:rsidRPr="00026650">
        <w:rPr>
          <w:noProof/>
          <w:sz w:val="24"/>
          <w:szCs w:val="24"/>
        </w:rPr>
        <w:t xml:space="preserve">(Cornish </w:t>
      </w:r>
      <w:r w:rsidRPr="00E906BF">
        <w:rPr>
          <w:i/>
          <w:iCs/>
          <w:noProof/>
          <w:sz w:val="24"/>
          <w:szCs w:val="24"/>
        </w:rPr>
        <w:t>et al.</w:t>
      </w:r>
      <w:r w:rsidRPr="00026650">
        <w:rPr>
          <w:noProof/>
          <w:sz w:val="24"/>
          <w:szCs w:val="24"/>
        </w:rPr>
        <w:t>, 2016)</w:t>
      </w:r>
      <w:r>
        <w:rPr>
          <w:sz w:val="24"/>
          <w:szCs w:val="24"/>
        </w:rPr>
        <w:fldChar w:fldCharType="end"/>
      </w:r>
      <w:r>
        <w:rPr>
          <w:sz w:val="24"/>
          <w:szCs w:val="24"/>
        </w:rPr>
        <w:t xml:space="preserve"> (diagnosis and symptoms), plus extra codes </w:t>
      </w:r>
      <w:r>
        <w:rPr>
          <w:rFonts w:eastAsia="Times New Roman" w:cs="Times New Roman"/>
          <w:color w:val="000000"/>
          <w:sz w:val="24"/>
          <w:szCs w:val="24"/>
        </w:rPr>
        <w:t xml:space="preserve">1BP0., Eu325, Eu326, Eu327, Eu32B </w:t>
      </w:r>
    </w:p>
    <w:p w14:paraId="1488F5F6" w14:textId="77777777" w:rsidR="00B307CF" w:rsidRDefault="00B307CF" w:rsidP="00B307CF">
      <w:pPr>
        <w:pStyle w:val="ListParagraph"/>
        <w:numPr>
          <w:ilvl w:val="0"/>
          <w:numId w:val="2"/>
        </w:numPr>
        <w:suppressAutoHyphens/>
        <w:rPr>
          <w:sz w:val="24"/>
          <w:szCs w:val="24"/>
        </w:rPr>
      </w:pPr>
      <w:r>
        <w:rPr>
          <w:sz w:val="24"/>
          <w:szCs w:val="24"/>
        </w:rPr>
        <w:t xml:space="preserve">DRUGS MISUSE: ICD-10 and Read code lists from </w:t>
      </w:r>
      <w:proofErr w:type="spellStart"/>
      <w:r>
        <w:rPr>
          <w:sz w:val="24"/>
          <w:szCs w:val="24"/>
        </w:rPr>
        <w:t>DelPozo</w:t>
      </w:r>
      <w:proofErr w:type="spellEnd"/>
      <w:r>
        <w:rPr>
          <w:sz w:val="24"/>
          <w:szCs w:val="24"/>
        </w:rPr>
        <w:t xml:space="preserve">-Banos </w:t>
      </w:r>
      <w:r w:rsidRPr="00E906BF">
        <w:rPr>
          <w:i/>
          <w:iCs/>
          <w:sz w:val="24"/>
          <w:szCs w:val="24"/>
        </w:rPr>
        <w:t>et al.</w:t>
      </w:r>
      <w:r>
        <w:rPr>
          <w:sz w:val="24"/>
          <w:szCs w:val="24"/>
        </w:rPr>
        <w:t xml:space="preserve"> (2018)</w:t>
      </w:r>
      <w:r>
        <w:fldChar w:fldCharType="begin" w:fldLock="1"/>
      </w:r>
      <w:r>
        <w:rPr>
          <w:sz w:val="24"/>
          <w:szCs w:val="24"/>
        </w:rPr>
        <w:instrText>ADDIN CSL_CITATION {"citationItems":[{"id":"ITEM-1","itemData":{"DOI":"10.2196/10144","ISSN":"2368-7959","abstract":"Background: Each year, approximately 800,000 people die by suicide worldwide, accounting for 1-2 in every 100 deaths. It is always a tragic event with a huge impact on family, friends, the community and health professionals. Unfortunately, suicide prevention and the development of risk assessment tools have been hindered by the complexity of the underlying mechanisms and the dynamic nature of a person's motivation and intent. Many of those who die by suicide had contact with health services in the preceding year but identifying those most at risk remains a challenge.","author":[{"dropping-particle":"","family":"DelPozo-Banos","given":"Marcos","non-dropping-particle":"","parse-names":false,"suffix":""},{"dropping-particle":"","family":"John","given":"Ann","non-dropping-particle":"","parse-names":false,"suffix":""},{"dropping-particle":"","family":"Petkov","given":"Nicolai","non-dropping-particle":"","parse-names":false,"suffix":""},{"dropping-particle":"","family":"Berridge","given":"Damon Mark","non-dropping-particle":"","parse-names":false,"suffix":""},{"dropping-particle":"","family":"Southern","given":"Kate","non-dropping-particle":"","parse-names":false,"suffix":""},{"dropping-particle":"","family":"LLoyd","given":"Keith","non-dropping-particle":"","parse-names":false,"suffix":""},{"dropping-particle":"","family":"Jones","given":"Caroline","non-dropping-particle":"","parse-names":false,"suffix":""},{"dropping-particle":"","family":"Spencer","given":"Sarah","non-dropping-particle":"","parse-names":false,"suffix":""},{"dropping-particle":"","family":"Travieso","given":"Carlos Manuel","non-dropping-particle":"","parse-names":false,"suffix":""}],"container-title":"JMIR Mental Health","id":"ITEM-1","issue":"2","issued":{"date-parts":[["2018","6","22"]]},"page":"e10144","publisher":"JMIR Publications Inc.","title":"Using Neural Networks with Routine Health Records to Identify Suicide Risk: Feasibility Study","type":"article-journal","volume":"5"},"uris":["http://www.mendeley.com/documents/?uuid=bee91905-1de6-3ea9-abc5-fba1fb132d63"]}],"mendeley":{"formattedCitation":"(DelPozo-Banos et al., 2018)","plainTextFormattedCitation":"(DelPozo-Banos et al., 2018)","previouslyFormattedCitation":"(DelPozo-Banos et al., 2018)"},"properties":{"noteIndex":0},"schema":"https://github.com/citation-style-language/schema/raw/master/csl-citation.json"}</w:instrText>
      </w:r>
      <w:r>
        <w:rPr>
          <w:sz w:val="24"/>
          <w:szCs w:val="24"/>
        </w:rPr>
        <w:fldChar w:fldCharType="separate"/>
      </w:r>
      <w:r w:rsidRPr="00026650">
        <w:rPr>
          <w:noProof/>
          <w:sz w:val="24"/>
          <w:szCs w:val="24"/>
        </w:rPr>
        <w:t xml:space="preserve">(DelPozo-Banos </w:t>
      </w:r>
      <w:r w:rsidRPr="00E906BF">
        <w:rPr>
          <w:i/>
          <w:iCs/>
          <w:noProof/>
          <w:sz w:val="24"/>
          <w:szCs w:val="24"/>
        </w:rPr>
        <w:t>et al</w:t>
      </w:r>
      <w:r w:rsidRPr="00026650">
        <w:rPr>
          <w:noProof/>
          <w:sz w:val="24"/>
          <w:szCs w:val="24"/>
        </w:rPr>
        <w:t>., 2018)</w:t>
      </w:r>
      <w:r>
        <w:rPr>
          <w:sz w:val="24"/>
          <w:szCs w:val="24"/>
        </w:rPr>
        <w:fldChar w:fldCharType="end"/>
      </w:r>
    </w:p>
    <w:p w14:paraId="65509FED" w14:textId="77777777" w:rsidR="00B307CF" w:rsidRDefault="00B307CF" w:rsidP="00B307CF">
      <w:pPr>
        <w:pStyle w:val="ListParagraph"/>
        <w:numPr>
          <w:ilvl w:val="0"/>
          <w:numId w:val="2"/>
        </w:numPr>
        <w:suppressAutoHyphens/>
        <w:spacing w:after="0"/>
        <w:rPr>
          <w:sz w:val="24"/>
          <w:szCs w:val="24"/>
        </w:rPr>
      </w:pPr>
      <w:r>
        <w:rPr>
          <w:sz w:val="24"/>
          <w:szCs w:val="24"/>
        </w:rPr>
        <w:t xml:space="preserve">EPILEPSY </w:t>
      </w:r>
    </w:p>
    <w:p w14:paraId="611444D3" w14:textId="46332B57" w:rsidR="00B307CF" w:rsidRPr="00E906BF" w:rsidRDefault="00B307CF" w:rsidP="00B307CF">
      <w:pPr>
        <w:pStyle w:val="ListParagraph"/>
        <w:numPr>
          <w:ilvl w:val="1"/>
          <w:numId w:val="2"/>
        </w:numPr>
        <w:suppressAutoHyphens/>
        <w:spacing w:after="0"/>
        <w:rPr>
          <w:bCs/>
          <w:sz w:val="24"/>
          <w:szCs w:val="24"/>
        </w:rPr>
      </w:pPr>
      <w:r w:rsidRPr="00E906BF">
        <w:rPr>
          <w:rFonts w:cs="Times New Roman"/>
          <w:bCs/>
          <w:color w:val="000000"/>
          <w:sz w:val="24"/>
          <w:szCs w:val="24"/>
        </w:rPr>
        <w:t xml:space="preserve">ICD-10 list was created referring to </w:t>
      </w:r>
      <w:proofErr w:type="spellStart"/>
      <w:r w:rsidRPr="00E906BF">
        <w:rPr>
          <w:rFonts w:cs="Times New Roman"/>
          <w:bCs/>
          <w:color w:val="000000"/>
          <w:sz w:val="24"/>
          <w:szCs w:val="24"/>
        </w:rPr>
        <w:t>Jette</w:t>
      </w:r>
      <w:proofErr w:type="spellEnd"/>
      <w:r w:rsidRPr="00E906BF">
        <w:rPr>
          <w:rFonts w:cs="Times New Roman"/>
          <w:bCs/>
          <w:color w:val="000000"/>
          <w:sz w:val="24"/>
          <w:szCs w:val="24"/>
        </w:rPr>
        <w:t xml:space="preserve"> </w:t>
      </w:r>
      <w:r w:rsidRPr="00E906BF">
        <w:rPr>
          <w:rFonts w:cs="Times New Roman"/>
          <w:bCs/>
          <w:i/>
          <w:iCs/>
          <w:color w:val="000000"/>
          <w:sz w:val="24"/>
          <w:szCs w:val="24"/>
        </w:rPr>
        <w:t>et al.</w:t>
      </w:r>
      <w:r w:rsidRPr="00E906BF">
        <w:rPr>
          <w:rFonts w:cs="Times New Roman"/>
          <w:bCs/>
          <w:color w:val="000000"/>
          <w:sz w:val="24"/>
          <w:szCs w:val="24"/>
        </w:rPr>
        <w:t xml:space="preserve"> (2010) </w:t>
      </w:r>
      <w:r w:rsidRPr="00E906BF">
        <w:rPr>
          <w:bCs/>
        </w:rPr>
        <w:fldChar w:fldCharType="begin" w:fldLock="1"/>
      </w:r>
      <w:r w:rsidR="003549F9">
        <w:rPr>
          <w:rFonts w:cs="Times New Roman"/>
          <w:bCs/>
          <w:color w:val="000000"/>
          <w:sz w:val="24"/>
          <w:szCs w:val="24"/>
        </w:rPr>
        <w:instrText>ADDIN CSL_CITATION {"citationItems":[{"id":"ITEM-1","itemData":{"DOI":"10.1111/j.1528-1167.2009.02201.x","ISSN":"00139580","author":[{"dropping-particle":"","family":"Jetté","given":"Nathalie","non-dropping-particle":"","parse-names":false,"suffix":""},{"dropping-particle":"","family":"Reid","given":"Aylin Y.","non-dropping-particle":"","parse-names":false,"suffix":""},{"dropping-particle":"","family":"Quan","given":"Hude","non-dropping-particle":"","parse-names":false,"suffix":""},{"dropping-particle":"","family":"Hill","given":"Michael D.","non-dropping-particle":"","parse-names":false,"suffix":""},{"dropping-particle":"","family":"Wiebe","given":"Samuel","non-dropping-particle":"","parse-names":false,"suffix":""}],"container-title":"Epilepsia","id":"ITEM-1","issue":"1","issued":{"date-parts":[["2010","1"]]},"page":"62-69","title":"How accurate is ICD coding for epilepsy?","type":"article-journal","volume":"51"},"uris":["http://www.mendeley.com/documents/?uuid=8f5d0a11-232f-32f6-bf55-79ee23407785"]}],"mendeley":{"formattedCitation":"(Jetté et al., 2010)","manualFormatting":"(Jette et al., 2010)","plainTextFormattedCitation":"(Jetté et al., 2010)","previouslyFormattedCitation":"(JettÃ© et al., 2010)"},"properties":{"noteIndex":0},"schema":"https://github.com/citation-style-language/schema/raw/master/csl-citation.json"}</w:instrText>
      </w:r>
      <w:r w:rsidRPr="00E906BF">
        <w:rPr>
          <w:rFonts w:cs="Times New Roman"/>
          <w:bCs/>
          <w:color w:val="000000"/>
          <w:sz w:val="24"/>
          <w:szCs w:val="24"/>
        </w:rPr>
        <w:fldChar w:fldCharType="separate"/>
      </w:r>
      <w:r w:rsidRPr="00E906BF">
        <w:rPr>
          <w:rFonts w:cs="Times New Roman"/>
          <w:bCs/>
          <w:noProof/>
          <w:color w:val="000000"/>
          <w:sz w:val="24"/>
          <w:szCs w:val="24"/>
        </w:rPr>
        <w:t xml:space="preserve">(Jette </w:t>
      </w:r>
      <w:r w:rsidRPr="00E906BF">
        <w:rPr>
          <w:rFonts w:cs="Times New Roman"/>
          <w:bCs/>
          <w:i/>
          <w:iCs/>
          <w:noProof/>
          <w:color w:val="000000"/>
          <w:sz w:val="24"/>
          <w:szCs w:val="24"/>
        </w:rPr>
        <w:t>et al.</w:t>
      </w:r>
      <w:r w:rsidRPr="00E906BF">
        <w:rPr>
          <w:rFonts w:cs="Times New Roman"/>
          <w:bCs/>
          <w:noProof/>
          <w:color w:val="000000"/>
          <w:sz w:val="24"/>
          <w:szCs w:val="24"/>
        </w:rPr>
        <w:t>, 2010)</w:t>
      </w:r>
      <w:r w:rsidRPr="00E906BF">
        <w:rPr>
          <w:rFonts w:cs="Times New Roman"/>
          <w:bCs/>
          <w:color w:val="000000"/>
          <w:sz w:val="24"/>
          <w:szCs w:val="24"/>
        </w:rPr>
        <w:fldChar w:fldCharType="end"/>
      </w:r>
      <w:r w:rsidRPr="00E906BF">
        <w:rPr>
          <w:rFonts w:cs="Times New Roman"/>
          <w:bCs/>
          <w:color w:val="000000"/>
          <w:sz w:val="24"/>
          <w:szCs w:val="24"/>
        </w:rPr>
        <w:t xml:space="preserve"> and contains chapters ‘G40.’ (Epilepsy) And ‘G41.’ (Status Epilepticus). </w:t>
      </w:r>
    </w:p>
    <w:p w14:paraId="61A14AE9" w14:textId="77777777" w:rsidR="00B307CF" w:rsidRDefault="00B307CF" w:rsidP="00B307CF">
      <w:pPr>
        <w:pStyle w:val="ListParagraph"/>
        <w:numPr>
          <w:ilvl w:val="1"/>
          <w:numId w:val="2"/>
        </w:numPr>
        <w:suppressAutoHyphens/>
        <w:spacing w:after="0"/>
        <w:rPr>
          <w:sz w:val="24"/>
          <w:szCs w:val="24"/>
        </w:rPr>
      </w:pPr>
      <w:r w:rsidRPr="00E906BF">
        <w:rPr>
          <w:rFonts w:cs="Times New Roman"/>
          <w:bCs/>
          <w:color w:val="000000"/>
          <w:sz w:val="24"/>
          <w:szCs w:val="24"/>
        </w:rPr>
        <w:t xml:space="preserve">Read codes </w:t>
      </w:r>
      <w:r w:rsidRPr="00E906BF">
        <w:rPr>
          <w:bCs/>
          <w:color w:val="000000"/>
          <w:sz w:val="24"/>
          <w:szCs w:val="24"/>
        </w:rPr>
        <w:t>referred</w:t>
      </w:r>
      <w:r>
        <w:rPr>
          <w:color w:val="000000"/>
          <w:sz w:val="24"/>
          <w:szCs w:val="24"/>
        </w:rPr>
        <w:t xml:space="preserve"> to </w:t>
      </w:r>
      <w:r>
        <w:rPr>
          <w:rFonts w:cs="Times New Roman"/>
          <w:color w:val="000000"/>
          <w:sz w:val="24"/>
          <w:szCs w:val="24"/>
        </w:rPr>
        <w:t xml:space="preserve">Gorton </w:t>
      </w:r>
      <w:r w:rsidRPr="00E906BF">
        <w:rPr>
          <w:rFonts w:cs="Times New Roman"/>
          <w:i/>
          <w:iCs/>
          <w:color w:val="000000"/>
          <w:sz w:val="24"/>
          <w:szCs w:val="24"/>
        </w:rPr>
        <w:t>et al.</w:t>
      </w:r>
      <w:r>
        <w:rPr>
          <w:rFonts w:cs="Times New Roman"/>
          <w:color w:val="000000"/>
          <w:sz w:val="24"/>
          <w:szCs w:val="24"/>
        </w:rPr>
        <w:t xml:space="preserve"> (2018) </w:t>
      </w:r>
      <w:r>
        <w:fldChar w:fldCharType="begin" w:fldLock="1"/>
      </w:r>
      <w:r>
        <w:rPr>
          <w:rFonts w:cs="Times New Roman"/>
          <w:color w:val="000000"/>
          <w:sz w:val="24"/>
          <w:szCs w:val="24"/>
        </w:rPr>
        <w:instrText>ADDIN CSL_CITATION {"citationItems":[{"id":"ITEM-1","itemData":{"DOI":"10.1001/jamaneurol.2018.0333","ISSN":"21686149","abstract":"IMPORTANCE People with epilepsy are at increased risk of mortality, but, to date, the cause-specific risks of all unnatural causes have not been reported. OBJECTIVE To estimate cause-specific unnatural mortality risks in people with epilepsy and to identify the medication types involved in poisoning deaths. DESIGN, SETTING, AND PARTICIPANTS This population-based cohort study used 2 electronic primary care data sets linked to hospitalization and mortality records, the Clinical Practice Research Datalink (CPRD) in England (from January 1, 1998, to March 31, 2014) and the Secure Anonymised Information Linkage (SAIL) Databank inWales (from January 1, 2001, to December 31, 2014). Each person with epilepsy was matched on age (within 2 years), sex, and general practice with up to 20 individuals without epilepsy. Unnatural mortality was determined using International Statistical Classification of Diseases and Related Health Problems, Tenth Revision codes V01 through Y98 in the Office for National Statistics mortality records. Hazard ratios (HRs) were estimated in each data set using a stratified Cox proportional hazards model, and meta-analyses were conducted using DerSimonian and Laird random-effects models. The analysis was performed from January 5, 2016, to November 16, 2017. EXPOSURES People with epilepsy were identified using primary care epilepsy diagnoses and associated antiepileptic drug prescriptions. MAIN OUTCOMES AND MEASURES Hazard ratios (HRs) for unnatural mortality and the frequency of each involved medication type estimated as a percentage of all medication poisoning deaths. RESULTS In total, 44 678 individuals in the CPRD and 14 051 individuals in the SAIL Databank were identified in the prevalent epilepsy cohorts, and 891 429 (CPRD) and 279 365 (SAIL) individuals were identified in the comparison cohorts. In both data sets, 51%of the epilepsy and comparison cohorts were male, and the median age at entry was 40 years (interquartile range, 25-60 years) in the CPRD cohorts and 43 years (interquartile range, 24-64 years) in the SAIL cohorts. People with epilepsy were significantly more likely to die of any unnatural cause (HR, 2.77; 95%CI, 2.43-3.16), unintentional injury or poisoning (HR, 2.97; 95%CI, 2.54-3.48) or suicide (HR, 2.15; 95%CI, 1.51-3.07) than people in the comparison cohort. Particularly large risk increases were observed in the epilepsy cohorts for unintentional medication poisoning (HR, 4.99; 95%CI, 3.22-7.74) and intentional self…","author":[{"dropping-particle":"","family":"Gorton","given":"Hayley C.","non-dropping-particle":"","parse-names":false,"suffix":""},{"dropping-particle":"","family":"Webb","given":"Roger T.","non-dropping-particle":"","parse-names":false,"suffix":""},{"dropping-particle":"","family":"Carr","given":"Matthew J.","non-dropping-particle":"","parse-names":false,"suffix":""},{"dropping-particle":"","family":"DelPozo-Banos","given":"Marcos","non-dropping-particle":"","parse-names":false,"suffix":""},{"dropping-particle":"","family":"John","given":"Ann","non-dropping-particle":"","parse-names":false,"suffix":""},{"dropping-particle":"","family":"Ashcroft","given":"Darren M.","non-dropping-particle":"","parse-names":false,"suffix":""}],"container-title":"JAMA Neurology","id":"ITEM-1","issue":"8","issued":{"date-parts":[["2018","8","1"]]},"page":"929-938","publisher":"American Medical Association","title":"Risk of unnatural mortality in people with epilepsy","type":"article-journal","volume":"75"},"uris":["http://www.mendeley.com/documents/?uuid=1dcd69f4-b23c-34d4-be04-b6a30211e782"]}],"mendeley":{"formattedCitation":"(Gorton et al., 2018)","plainTextFormattedCitation":"(Gorton et al., 2018)","previouslyFormattedCitation":"(Gorton et al., 2018)"},"properties":{"noteIndex":0},"schema":"https://github.com/citation-style-language/schema/raw/master/csl-citation.json"}</w:instrText>
      </w:r>
      <w:r>
        <w:rPr>
          <w:rFonts w:cs="Times New Roman"/>
          <w:color w:val="000000"/>
          <w:sz w:val="24"/>
          <w:szCs w:val="24"/>
        </w:rPr>
        <w:fldChar w:fldCharType="separate"/>
      </w:r>
      <w:r w:rsidRPr="00026650">
        <w:rPr>
          <w:rFonts w:cs="Times New Roman"/>
          <w:noProof/>
          <w:color w:val="000000"/>
          <w:sz w:val="24"/>
          <w:szCs w:val="24"/>
        </w:rPr>
        <w:t xml:space="preserve">(Gorton </w:t>
      </w:r>
      <w:r w:rsidRPr="00E906BF">
        <w:rPr>
          <w:rFonts w:cs="Times New Roman"/>
          <w:i/>
          <w:iCs/>
          <w:noProof/>
          <w:color w:val="000000"/>
          <w:sz w:val="24"/>
          <w:szCs w:val="24"/>
        </w:rPr>
        <w:t>et al.</w:t>
      </w:r>
      <w:r w:rsidRPr="00026650">
        <w:rPr>
          <w:rFonts w:cs="Times New Roman"/>
          <w:noProof/>
          <w:color w:val="000000"/>
          <w:sz w:val="24"/>
          <w:szCs w:val="24"/>
        </w:rPr>
        <w:t>, 2018)</w:t>
      </w:r>
      <w:r>
        <w:rPr>
          <w:rFonts w:cs="Times New Roman"/>
          <w:color w:val="000000"/>
          <w:sz w:val="24"/>
          <w:szCs w:val="24"/>
        </w:rPr>
        <w:fldChar w:fldCharType="end"/>
      </w:r>
      <w:r>
        <w:rPr>
          <w:rFonts w:cs="Times New Roman"/>
          <w:color w:val="000000"/>
          <w:sz w:val="24"/>
          <w:szCs w:val="24"/>
        </w:rPr>
        <w:t xml:space="preserve">. Code lists were produced by searching for epilepsy-related terms in the CPRD medical dictionary. This list was refined following discussion with a neurologist </w:t>
      </w:r>
      <w:proofErr w:type="gramStart"/>
      <w:r>
        <w:rPr>
          <w:rFonts w:cs="Times New Roman"/>
          <w:color w:val="000000"/>
          <w:sz w:val="24"/>
          <w:szCs w:val="24"/>
        </w:rPr>
        <w:t xml:space="preserve">and in comparison </w:t>
      </w:r>
      <w:proofErr w:type="gramEnd"/>
      <w:r>
        <w:rPr>
          <w:rFonts w:cs="Times New Roman"/>
          <w:color w:val="000000"/>
          <w:sz w:val="24"/>
          <w:szCs w:val="24"/>
        </w:rPr>
        <w:t xml:space="preserve">with studies previously conducted in the CPRD and the SAIL Databank. The epilepsy index date was defined as the latest date at which a person had received </w:t>
      </w:r>
      <w:proofErr w:type="gramStart"/>
      <w:r>
        <w:rPr>
          <w:rFonts w:cs="Times New Roman"/>
          <w:color w:val="000000"/>
          <w:sz w:val="24"/>
          <w:szCs w:val="24"/>
        </w:rPr>
        <w:t>both an</w:t>
      </w:r>
      <w:proofErr w:type="gramEnd"/>
      <w:r>
        <w:rPr>
          <w:rFonts w:cs="Times New Roman"/>
          <w:color w:val="000000"/>
          <w:sz w:val="24"/>
          <w:szCs w:val="24"/>
        </w:rPr>
        <w:t xml:space="preserve"> epilepsy diagnostic code plus an associated AED prescription. The AED prescription could be issued in the month before or up to 6 months after the date of the diagnostic code. </w:t>
      </w:r>
    </w:p>
    <w:p w14:paraId="03C3BAF1" w14:textId="77777777" w:rsidR="00B307CF" w:rsidRDefault="00B307CF" w:rsidP="00B307CF">
      <w:pPr>
        <w:pStyle w:val="ListParagraph"/>
        <w:spacing w:after="0"/>
        <w:ind w:left="1440"/>
        <w:rPr>
          <w:sz w:val="24"/>
          <w:szCs w:val="24"/>
        </w:rPr>
      </w:pPr>
    </w:p>
    <w:p w14:paraId="06E7716B" w14:textId="77777777" w:rsidR="00B307CF" w:rsidRPr="00E906BF" w:rsidRDefault="00B307CF" w:rsidP="00B307CF">
      <w:pPr>
        <w:pStyle w:val="ListParagraph"/>
        <w:numPr>
          <w:ilvl w:val="0"/>
          <w:numId w:val="2"/>
        </w:numPr>
        <w:suppressAutoHyphens/>
        <w:rPr>
          <w:sz w:val="24"/>
          <w:szCs w:val="24"/>
        </w:rPr>
      </w:pPr>
      <w:r>
        <w:rPr>
          <w:sz w:val="24"/>
          <w:szCs w:val="24"/>
        </w:rPr>
        <w:t xml:space="preserve">HEADACHE (subgroups: CLUSTER HEADACHE, MIGRAINE, TYPE-TENSION HEADACHE, VASCULAR </w:t>
      </w:r>
      <w:r w:rsidRPr="00E906BF">
        <w:rPr>
          <w:sz w:val="24"/>
          <w:szCs w:val="24"/>
        </w:rPr>
        <w:t>HEADACHE):</w:t>
      </w:r>
    </w:p>
    <w:p w14:paraId="77F6BC62" w14:textId="77777777" w:rsidR="00B307CF" w:rsidRPr="00E906BF" w:rsidRDefault="00B307CF" w:rsidP="00B307CF">
      <w:pPr>
        <w:pStyle w:val="ListParagraph"/>
        <w:numPr>
          <w:ilvl w:val="1"/>
          <w:numId w:val="2"/>
        </w:numPr>
        <w:suppressAutoHyphens/>
        <w:rPr>
          <w:sz w:val="24"/>
          <w:szCs w:val="24"/>
        </w:rPr>
      </w:pPr>
      <w:r w:rsidRPr="00E906BF">
        <w:rPr>
          <w:sz w:val="24"/>
          <w:szCs w:val="24"/>
        </w:rPr>
        <w:t xml:space="preserve">ICD-10 codes were based on Berg and further validated by a clinician </w:t>
      </w:r>
      <w:r w:rsidRPr="00E906BF">
        <w:fldChar w:fldCharType="begin" w:fldLock="1"/>
      </w:r>
      <w:r w:rsidRPr="00E906BF">
        <w:rPr>
          <w:sz w:val="24"/>
          <w:szCs w:val="24"/>
        </w:rPr>
        <w:instrText>ADDIN CSL_CITATION {"citationItems":[{"id":"ITEM-1","itemData":{"DOI":"10.1007/s10198-005-0288-z","ISSN":"16187598","author":[{"dropping-particle":"","family":"Berg","given":"Jenny","non-dropping-particle":"","parse-names":false,"suffix":""}],"container-title":"European Journal of Health Economics","id":"ITEM-1","issue":"SUPPL. 1","issued":{"date-parts":[["2004","10"]]},"title":"Economic evidence in migraine and other headaches: A review","type":"article","volume":"5"},"uris":["http://www.mendeley.com/documents/?uuid=dbe90845-4ef3-3d5d-a707-4af00a4e3075"]}],"mendeley":{"formattedCitation":"(Berg, 2004)","plainTextFormattedCitation":"(Berg, 2004)","previouslyFormattedCitation":"(Berg, 2004)"},"properties":{"noteIndex":0},"schema":"https://github.com/citation-style-language/schema/raw/master/csl-citation.json"}</w:instrText>
      </w:r>
      <w:r w:rsidRPr="00E906BF">
        <w:rPr>
          <w:sz w:val="24"/>
          <w:szCs w:val="24"/>
        </w:rPr>
        <w:fldChar w:fldCharType="separate"/>
      </w:r>
      <w:r w:rsidRPr="00E906BF">
        <w:rPr>
          <w:noProof/>
          <w:sz w:val="24"/>
          <w:szCs w:val="24"/>
        </w:rPr>
        <w:t>(Berg, 2004)</w:t>
      </w:r>
      <w:r w:rsidRPr="00E906BF">
        <w:rPr>
          <w:sz w:val="24"/>
          <w:szCs w:val="24"/>
        </w:rPr>
        <w:fldChar w:fldCharType="end"/>
      </w:r>
      <w:r w:rsidRPr="00E906BF">
        <w:rPr>
          <w:sz w:val="24"/>
          <w:szCs w:val="24"/>
        </w:rPr>
        <w:t>.</w:t>
      </w:r>
    </w:p>
    <w:p w14:paraId="4FA5E360" w14:textId="77777777" w:rsidR="00B307CF" w:rsidRDefault="00B307CF" w:rsidP="00B307CF">
      <w:pPr>
        <w:pStyle w:val="ListParagraph"/>
        <w:numPr>
          <w:ilvl w:val="1"/>
          <w:numId w:val="2"/>
        </w:numPr>
        <w:suppressAutoHyphens/>
        <w:rPr>
          <w:sz w:val="24"/>
          <w:szCs w:val="24"/>
        </w:rPr>
      </w:pPr>
      <w:r w:rsidRPr="00E906BF">
        <w:rPr>
          <w:rFonts w:eastAsia="Times New Roman" w:cs="Times New Roman"/>
          <w:color w:val="000000"/>
          <w:sz w:val="24"/>
          <w:szCs w:val="24"/>
        </w:rPr>
        <w:t>Read codes were pulled out from the Read Browser v2 using as key words ‘headache’, ‘migraine’ and ‘cephalgia’. Following</w:t>
      </w:r>
      <w:r>
        <w:rPr>
          <w:rFonts w:eastAsia="Times New Roman" w:cs="Times New Roman"/>
          <w:color w:val="000000"/>
          <w:sz w:val="24"/>
          <w:szCs w:val="24"/>
        </w:rPr>
        <w:t xml:space="preserve"> the indications of a clinician, codes denoting all iatrogenic type of headaches, psychogenic headaches and trigeminal headaches were excluded.</w:t>
      </w:r>
    </w:p>
    <w:p w14:paraId="2A10C9BF" w14:textId="6B34FC07" w:rsidR="00B307CF" w:rsidRDefault="00B307CF" w:rsidP="00B307CF">
      <w:pPr>
        <w:pStyle w:val="ListParagraph"/>
        <w:numPr>
          <w:ilvl w:val="0"/>
          <w:numId w:val="2"/>
        </w:numPr>
        <w:suppressAutoHyphens/>
        <w:rPr>
          <w:sz w:val="24"/>
          <w:szCs w:val="24"/>
        </w:rPr>
      </w:pPr>
      <w:r>
        <w:rPr>
          <w:sz w:val="24"/>
          <w:szCs w:val="24"/>
        </w:rPr>
        <w:t xml:space="preserve">OBSESSIVE-COMPULSIVE DISORDER: ICD-10 and Read code lists from </w:t>
      </w:r>
      <w:proofErr w:type="spellStart"/>
      <w:r>
        <w:rPr>
          <w:sz w:val="24"/>
          <w:szCs w:val="24"/>
        </w:rPr>
        <w:t>DelPozo</w:t>
      </w:r>
      <w:proofErr w:type="spellEnd"/>
      <w:r>
        <w:rPr>
          <w:sz w:val="24"/>
          <w:szCs w:val="24"/>
        </w:rPr>
        <w:t xml:space="preserve">-Banos </w:t>
      </w:r>
      <w:r w:rsidRPr="00E906BF">
        <w:rPr>
          <w:i/>
          <w:iCs/>
          <w:sz w:val="24"/>
          <w:szCs w:val="24"/>
        </w:rPr>
        <w:t>et al</w:t>
      </w:r>
      <w:r>
        <w:rPr>
          <w:sz w:val="24"/>
          <w:szCs w:val="24"/>
        </w:rPr>
        <w:t xml:space="preserve"> </w:t>
      </w:r>
      <w:r>
        <w:fldChar w:fldCharType="begin" w:fldLock="1"/>
      </w:r>
      <w:r>
        <w:rPr>
          <w:sz w:val="24"/>
          <w:szCs w:val="24"/>
        </w:rPr>
        <w:instrText>ADDIN CSL_CITATION {"citationItems":[{"id":"ITEM-1","itemData":{"DOI":"10.2196/10144","ISSN":"2368-7959","abstract":"Background: Each year, approximately 800,000 people die by suicide worldwide, accounting for 1-2 in every 100 deaths. It is always a tragic event with a huge impact on family, friends, the community and health professionals. Unfortunately, suicide prevention and the development of risk assessment tools have been hindered by the complexity of the underlying mechanisms and the dynamic nature of a person's motivation and intent. Many of those who die by suicide had contact with health services in the preceding year but identifying those most at risk remains a challenge.","author":[{"dropping-particle":"","family":"DelPozo-Banos","given":"Marcos","non-dropping-particle":"","parse-names":false,"suffix":""},{"dropping-particle":"","family":"John","given":"Ann","non-dropping-particle":"","parse-names":false,"suffix":""},{"dropping-particle":"","family":"Petkov","given":"Nicolai","non-dropping-particle":"","parse-names":false,"suffix":""},{"dropping-particle":"","family":"Berridge","given":"Damon Mark","non-dropping-particle":"","parse-names":false,"suffix":""},{"dropping-particle":"","family":"Southern","given":"Kate","non-dropping-particle":"","parse-names":false,"suffix":""},{"dropping-particle":"","family":"LLoyd","given":"Keith","non-dropping-particle":"","parse-names":false,"suffix":""},{"dropping-particle":"","family":"Jones","given":"Caroline","non-dropping-particle":"","parse-names":false,"suffix":""},{"dropping-particle":"","family":"Spencer","given":"Sarah","non-dropping-particle":"","parse-names":false,"suffix":""},{"dropping-particle":"","family":"Travieso","given":"Carlos Manuel","non-dropping-particle":"","parse-names":false,"suffix":""}],"container-title":"JMIR Mental Health","id":"ITEM-1","issue":"2","issued":{"date-parts":[["2018","6","22"]]},"page":"e10144","publisher":"JMIR Publications Inc.","title":"Using Neural Networks with Routine Health Records to Identify Suicide Risk: Feasibility Study","type":"article-journal","volume":"5"},"uris":["http://www.mendeley.com/documents/?uuid=bee91905-1de6-3ea9-abc5-fba1fb132d63"]}],"mendeley":{"formattedCitation":"(DelPozo-Banos et al., 2018)","plainTextFormattedCitation":"(DelPozo-Banos et al., 2018)","previouslyFormattedCitation":"(DelPozo-Banos et al., 2018)"},"properties":{"noteIndex":0},"schema":"https://github.com/citation-style-language/schema/raw/master/csl-citation.json"}</w:instrText>
      </w:r>
      <w:r>
        <w:rPr>
          <w:sz w:val="24"/>
          <w:szCs w:val="24"/>
        </w:rPr>
        <w:fldChar w:fldCharType="separate"/>
      </w:r>
      <w:r w:rsidRPr="00026650">
        <w:rPr>
          <w:noProof/>
          <w:sz w:val="24"/>
          <w:szCs w:val="24"/>
        </w:rPr>
        <w:t xml:space="preserve">(DelPozo-Banos </w:t>
      </w:r>
      <w:r w:rsidRPr="00E906BF">
        <w:rPr>
          <w:i/>
          <w:iCs/>
          <w:noProof/>
          <w:sz w:val="24"/>
          <w:szCs w:val="24"/>
        </w:rPr>
        <w:t>et al.</w:t>
      </w:r>
      <w:r w:rsidRPr="00026650">
        <w:rPr>
          <w:noProof/>
          <w:sz w:val="24"/>
          <w:szCs w:val="24"/>
        </w:rPr>
        <w:t>, 2018)</w:t>
      </w:r>
      <w:r>
        <w:rPr>
          <w:sz w:val="24"/>
          <w:szCs w:val="24"/>
        </w:rPr>
        <w:fldChar w:fldCharType="end"/>
      </w:r>
    </w:p>
    <w:p w14:paraId="72DC9752" w14:textId="69C3CF99" w:rsidR="00051D7F" w:rsidRDefault="00051D7F" w:rsidP="006C7037">
      <w:pPr>
        <w:suppressAutoHyphens/>
        <w:rPr>
          <w:sz w:val="24"/>
          <w:szCs w:val="24"/>
        </w:rPr>
      </w:pPr>
    </w:p>
    <w:p w14:paraId="7FE79F0C" w14:textId="77777777" w:rsidR="00191A0C" w:rsidRPr="00E803BA" w:rsidRDefault="00191A0C" w:rsidP="000D0706">
      <w:pPr>
        <w:pStyle w:val="Heading1"/>
      </w:pPr>
      <w:r w:rsidRPr="00E803BA">
        <w:t>References:</w:t>
      </w:r>
    </w:p>
    <w:p w14:paraId="73CD79C1" w14:textId="77777777" w:rsidR="00191A0C" w:rsidRPr="003549F9" w:rsidRDefault="00191A0C" w:rsidP="00191A0C">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Pr="003549F9">
        <w:rPr>
          <w:rFonts w:ascii="Calibri" w:hAnsi="Calibri" w:cs="Calibri"/>
          <w:i/>
          <w:iCs/>
          <w:noProof/>
          <w:szCs w:val="24"/>
        </w:rPr>
        <w:t>All Wales Neurodevelopmental Disorder e-cohort - MRC Centre for Neuropsychiatric Genetics and Genomics - Cardiff University</w:t>
      </w:r>
      <w:r w:rsidRPr="003549F9">
        <w:rPr>
          <w:rFonts w:ascii="Calibri" w:hAnsi="Calibri" w:cs="Calibri"/>
          <w:noProof/>
          <w:szCs w:val="24"/>
        </w:rPr>
        <w:t>. (n.d.). Retrieved November 10, 2020, from https://www.cardiff.ac.uk/mrc-centre-neuropsychiatric-genetics-genomics/research/current-projects/all-wales-neurodevelopmental-disorder-e-cohort</w:t>
      </w:r>
    </w:p>
    <w:p w14:paraId="2CC4DE9F" w14:textId="77777777" w:rsidR="00191A0C" w:rsidRPr="003549F9" w:rsidRDefault="00191A0C" w:rsidP="00191A0C">
      <w:pPr>
        <w:widowControl w:val="0"/>
        <w:autoSpaceDE w:val="0"/>
        <w:autoSpaceDN w:val="0"/>
        <w:adjustRightInd w:val="0"/>
        <w:spacing w:line="240" w:lineRule="auto"/>
        <w:ind w:left="480" w:hanging="480"/>
        <w:rPr>
          <w:rFonts w:ascii="Calibri" w:hAnsi="Calibri" w:cs="Calibri"/>
          <w:noProof/>
          <w:szCs w:val="24"/>
        </w:rPr>
      </w:pPr>
      <w:r w:rsidRPr="003549F9">
        <w:rPr>
          <w:rFonts w:ascii="Calibri" w:hAnsi="Calibri" w:cs="Calibri"/>
          <w:noProof/>
          <w:szCs w:val="24"/>
        </w:rPr>
        <w:t xml:space="preserve">Berg, J. (2004). Economic evidence in migraine and other headaches: A review. In </w:t>
      </w:r>
      <w:r w:rsidRPr="003549F9">
        <w:rPr>
          <w:rFonts w:ascii="Calibri" w:hAnsi="Calibri" w:cs="Calibri"/>
          <w:i/>
          <w:iCs/>
          <w:noProof/>
          <w:szCs w:val="24"/>
        </w:rPr>
        <w:t>European Journal of Health Economics</w:t>
      </w:r>
      <w:r w:rsidRPr="003549F9">
        <w:rPr>
          <w:rFonts w:ascii="Calibri" w:hAnsi="Calibri" w:cs="Calibri"/>
          <w:noProof/>
          <w:szCs w:val="24"/>
        </w:rPr>
        <w:t xml:space="preserve"> (Vol. 5, Issue SUPPL. 1). https://doi.org/10.1007/s10198-005-0288-z</w:t>
      </w:r>
    </w:p>
    <w:p w14:paraId="179D36D5" w14:textId="77777777" w:rsidR="00191A0C" w:rsidRPr="003549F9" w:rsidRDefault="00191A0C" w:rsidP="00191A0C">
      <w:pPr>
        <w:widowControl w:val="0"/>
        <w:autoSpaceDE w:val="0"/>
        <w:autoSpaceDN w:val="0"/>
        <w:adjustRightInd w:val="0"/>
        <w:spacing w:line="240" w:lineRule="auto"/>
        <w:ind w:left="480" w:hanging="480"/>
        <w:rPr>
          <w:rFonts w:ascii="Calibri" w:hAnsi="Calibri" w:cs="Calibri"/>
          <w:noProof/>
          <w:szCs w:val="24"/>
        </w:rPr>
      </w:pPr>
      <w:r w:rsidRPr="003549F9">
        <w:rPr>
          <w:rFonts w:ascii="Calibri" w:hAnsi="Calibri" w:cs="Calibri"/>
          <w:noProof/>
          <w:szCs w:val="24"/>
        </w:rPr>
        <w:t xml:space="preserve">Cornish, R. P., John, A., Boyd, A., Tilling, K., &amp; Macleod, J. (2016). Defining adolescent common mental disorders using electronic primary care data: a comparison with outcomes measured using the CIS-R. </w:t>
      </w:r>
      <w:r w:rsidRPr="003549F9">
        <w:rPr>
          <w:rFonts w:ascii="Calibri" w:hAnsi="Calibri" w:cs="Calibri"/>
          <w:i/>
          <w:iCs/>
          <w:noProof/>
          <w:szCs w:val="24"/>
        </w:rPr>
        <w:t>BMJ Open</w:t>
      </w:r>
      <w:r w:rsidRPr="003549F9">
        <w:rPr>
          <w:rFonts w:ascii="Calibri" w:hAnsi="Calibri" w:cs="Calibri"/>
          <w:noProof/>
          <w:szCs w:val="24"/>
        </w:rPr>
        <w:t xml:space="preserve">, </w:t>
      </w:r>
      <w:r w:rsidRPr="003549F9">
        <w:rPr>
          <w:rFonts w:ascii="Calibri" w:hAnsi="Calibri" w:cs="Calibri"/>
          <w:i/>
          <w:iCs/>
          <w:noProof/>
          <w:szCs w:val="24"/>
        </w:rPr>
        <w:t>6</w:t>
      </w:r>
      <w:r w:rsidRPr="003549F9">
        <w:rPr>
          <w:rFonts w:ascii="Calibri" w:hAnsi="Calibri" w:cs="Calibri"/>
          <w:noProof/>
          <w:szCs w:val="24"/>
        </w:rPr>
        <w:t>, 13167. https://doi.org/10.1136/bmjopen-2016</w:t>
      </w:r>
    </w:p>
    <w:p w14:paraId="054D3E48" w14:textId="77777777" w:rsidR="00191A0C" w:rsidRPr="003549F9" w:rsidRDefault="00191A0C" w:rsidP="00191A0C">
      <w:pPr>
        <w:widowControl w:val="0"/>
        <w:autoSpaceDE w:val="0"/>
        <w:autoSpaceDN w:val="0"/>
        <w:adjustRightInd w:val="0"/>
        <w:spacing w:line="240" w:lineRule="auto"/>
        <w:ind w:left="480" w:hanging="480"/>
        <w:rPr>
          <w:rFonts w:ascii="Calibri" w:hAnsi="Calibri" w:cs="Calibri"/>
          <w:noProof/>
          <w:szCs w:val="24"/>
        </w:rPr>
      </w:pPr>
      <w:r w:rsidRPr="003549F9">
        <w:rPr>
          <w:rFonts w:ascii="Calibri" w:hAnsi="Calibri" w:cs="Calibri"/>
          <w:noProof/>
          <w:szCs w:val="24"/>
        </w:rPr>
        <w:t xml:space="preserve">DelPozo-Banos, M., John, A., Petkov, N., Berridge, D. M., Southern, K., LLoyd, K., Jones, C., Spencer, S., &amp; Travieso, C. M. (2018). Using Neural Networks with Routine Health Records to Identify Suicide Risk: Feasibility Study. </w:t>
      </w:r>
      <w:r w:rsidRPr="003549F9">
        <w:rPr>
          <w:rFonts w:ascii="Calibri" w:hAnsi="Calibri" w:cs="Calibri"/>
          <w:i/>
          <w:iCs/>
          <w:noProof/>
          <w:szCs w:val="24"/>
        </w:rPr>
        <w:t>JMIR Mental Health</w:t>
      </w:r>
      <w:r w:rsidRPr="003549F9">
        <w:rPr>
          <w:rFonts w:ascii="Calibri" w:hAnsi="Calibri" w:cs="Calibri"/>
          <w:noProof/>
          <w:szCs w:val="24"/>
        </w:rPr>
        <w:t xml:space="preserve">, </w:t>
      </w:r>
      <w:r w:rsidRPr="003549F9">
        <w:rPr>
          <w:rFonts w:ascii="Calibri" w:hAnsi="Calibri" w:cs="Calibri"/>
          <w:i/>
          <w:iCs/>
          <w:noProof/>
          <w:szCs w:val="24"/>
        </w:rPr>
        <w:t>5</w:t>
      </w:r>
      <w:r w:rsidRPr="003549F9">
        <w:rPr>
          <w:rFonts w:ascii="Calibri" w:hAnsi="Calibri" w:cs="Calibri"/>
          <w:noProof/>
          <w:szCs w:val="24"/>
        </w:rPr>
        <w:t>(2), e10144. https://doi.org/10.2196/10144</w:t>
      </w:r>
    </w:p>
    <w:p w14:paraId="7F5B0CC5" w14:textId="77777777" w:rsidR="00191A0C" w:rsidRPr="003549F9" w:rsidRDefault="00191A0C" w:rsidP="00191A0C">
      <w:pPr>
        <w:widowControl w:val="0"/>
        <w:autoSpaceDE w:val="0"/>
        <w:autoSpaceDN w:val="0"/>
        <w:adjustRightInd w:val="0"/>
        <w:spacing w:line="240" w:lineRule="auto"/>
        <w:ind w:left="480" w:hanging="480"/>
        <w:rPr>
          <w:rFonts w:ascii="Calibri" w:hAnsi="Calibri" w:cs="Calibri"/>
          <w:noProof/>
          <w:szCs w:val="24"/>
        </w:rPr>
      </w:pPr>
      <w:r w:rsidRPr="003549F9">
        <w:rPr>
          <w:rFonts w:ascii="Calibri" w:hAnsi="Calibri" w:cs="Calibri"/>
          <w:noProof/>
          <w:szCs w:val="24"/>
        </w:rPr>
        <w:t xml:space="preserve">Gorton, H. C., Webb, R. T., Carr, M. J., DelPozo-Banos, M., John, A., &amp; Ashcroft, D. M. (2018). Risk of unnatural mortality in people with epilepsy. </w:t>
      </w:r>
      <w:r w:rsidRPr="003549F9">
        <w:rPr>
          <w:rFonts w:ascii="Calibri" w:hAnsi="Calibri" w:cs="Calibri"/>
          <w:i/>
          <w:iCs/>
          <w:noProof/>
          <w:szCs w:val="24"/>
        </w:rPr>
        <w:t>JAMA Neurology</w:t>
      </w:r>
      <w:r w:rsidRPr="003549F9">
        <w:rPr>
          <w:rFonts w:ascii="Calibri" w:hAnsi="Calibri" w:cs="Calibri"/>
          <w:noProof/>
          <w:szCs w:val="24"/>
        </w:rPr>
        <w:t xml:space="preserve">, </w:t>
      </w:r>
      <w:r w:rsidRPr="003549F9">
        <w:rPr>
          <w:rFonts w:ascii="Calibri" w:hAnsi="Calibri" w:cs="Calibri"/>
          <w:i/>
          <w:iCs/>
          <w:noProof/>
          <w:szCs w:val="24"/>
        </w:rPr>
        <w:t>75</w:t>
      </w:r>
      <w:r w:rsidRPr="003549F9">
        <w:rPr>
          <w:rFonts w:ascii="Calibri" w:hAnsi="Calibri" w:cs="Calibri"/>
          <w:noProof/>
          <w:szCs w:val="24"/>
        </w:rPr>
        <w:t>(8), 929–938. https://doi.org/10.1001/jamaneurol.2018.0333</w:t>
      </w:r>
    </w:p>
    <w:p w14:paraId="6305DFBE" w14:textId="77777777" w:rsidR="00191A0C" w:rsidRPr="003549F9" w:rsidRDefault="00191A0C" w:rsidP="00191A0C">
      <w:pPr>
        <w:widowControl w:val="0"/>
        <w:autoSpaceDE w:val="0"/>
        <w:autoSpaceDN w:val="0"/>
        <w:adjustRightInd w:val="0"/>
        <w:spacing w:line="240" w:lineRule="auto"/>
        <w:ind w:left="480" w:hanging="480"/>
        <w:rPr>
          <w:rFonts w:ascii="Calibri" w:hAnsi="Calibri" w:cs="Calibri"/>
          <w:noProof/>
          <w:szCs w:val="24"/>
        </w:rPr>
      </w:pPr>
      <w:r w:rsidRPr="003549F9">
        <w:rPr>
          <w:rFonts w:ascii="Calibri" w:hAnsi="Calibri" w:cs="Calibri"/>
          <w:noProof/>
          <w:szCs w:val="24"/>
        </w:rPr>
        <w:t xml:space="preserve">Jetté, N., Reid, A. Y., Quan, H., Hill, M. D., &amp; Wiebe, S. (2010). How accurate is ICD coding for epilepsy? </w:t>
      </w:r>
      <w:r w:rsidRPr="003549F9">
        <w:rPr>
          <w:rFonts w:ascii="Calibri" w:hAnsi="Calibri" w:cs="Calibri"/>
          <w:i/>
          <w:iCs/>
          <w:noProof/>
          <w:szCs w:val="24"/>
        </w:rPr>
        <w:t>Epilepsia</w:t>
      </w:r>
      <w:r w:rsidRPr="003549F9">
        <w:rPr>
          <w:rFonts w:ascii="Calibri" w:hAnsi="Calibri" w:cs="Calibri"/>
          <w:noProof/>
          <w:szCs w:val="24"/>
        </w:rPr>
        <w:t xml:space="preserve">, </w:t>
      </w:r>
      <w:r w:rsidRPr="003549F9">
        <w:rPr>
          <w:rFonts w:ascii="Calibri" w:hAnsi="Calibri" w:cs="Calibri"/>
          <w:i/>
          <w:iCs/>
          <w:noProof/>
          <w:szCs w:val="24"/>
        </w:rPr>
        <w:t>51</w:t>
      </w:r>
      <w:r w:rsidRPr="003549F9">
        <w:rPr>
          <w:rFonts w:ascii="Calibri" w:hAnsi="Calibri" w:cs="Calibri"/>
          <w:noProof/>
          <w:szCs w:val="24"/>
        </w:rPr>
        <w:t>(1), 62–69. https://doi.org/10.1111/j.1528-1167.2009.02201.x</w:t>
      </w:r>
    </w:p>
    <w:p w14:paraId="736577BA" w14:textId="77777777" w:rsidR="00191A0C" w:rsidRPr="003549F9" w:rsidRDefault="00191A0C" w:rsidP="00191A0C">
      <w:pPr>
        <w:widowControl w:val="0"/>
        <w:autoSpaceDE w:val="0"/>
        <w:autoSpaceDN w:val="0"/>
        <w:adjustRightInd w:val="0"/>
        <w:spacing w:line="240" w:lineRule="auto"/>
        <w:ind w:left="480" w:hanging="480"/>
        <w:rPr>
          <w:rFonts w:ascii="Calibri" w:hAnsi="Calibri" w:cs="Calibri"/>
          <w:noProof/>
        </w:rPr>
      </w:pPr>
      <w:r w:rsidRPr="003549F9">
        <w:rPr>
          <w:rFonts w:ascii="Calibri" w:hAnsi="Calibri" w:cs="Calibri"/>
          <w:noProof/>
          <w:szCs w:val="24"/>
        </w:rPr>
        <w:t xml:space="preserve">John, A., McGregor, J., Jones, I., Lee, S. C., Walters, J. T. R. R., Owen, M. J., O’donovan, M., DelPozo-Banos, M., Berridge, D., &amp; Lloyd, K. (2018). Premature mortality among people with severe mental illness - New evidence from linked primary care data. </w:t>
      </w:r>
      <w:r w:rsidRPr="003549F9">
        <w:rPr>
          <w:rFonts w:ascii="Calibri" w:hAnsi="Calibri" w:cs="Calibri"/>
          <w:i/>
          <w:iCs/>
          <w:noProof/>
          <w:szCs w:val="24"/>
        </w:rPr>
        <w:t>Schizophrenia Research</w:t>
      </w:r>
      <w:r w:rsidRPr="003549F9">
        <w:rPr>
          <w:rFonts w:ascii="Calibri" w:hAnsi="Calibri" w:cs="Calibri"/>
          <w:noProof/>
          <w:szCs w:val="24"/>
        </w:rPr>
        <w:t xml:space="preserve">, </w:t>
      </w:r>
      <w:r w:rsidRPr="003549F9">
        <w:rPr>
          <w:rFonts w:ascii="Calibri" w:hAnsi="Calibri" w:cs="Calibri"/>
          <w:i/>
          <w:iCs/>
          <w:noProof/>
          <w:szCs w:val="24"/>
        </w:rPr>
        <w:t>199</w:t>
      </w:r>
      <w:r w:rsidRPr="003549F9">
        <w:rPr>
          <w:rFonts w:ascii="Calibri" w:hAnsi="Calibri" w:cs="Calibri"/>
          <w:noProof/>
          <w:szCs w:val="24"/>
        </w:rPr>
        <w:t>, 154–162. https://doi.org/10.1016/J.SCHRES.2018.04.009</w:t>
      </w:r>
    </w:p>
    <w:p w14:paraId="16AF1681" w14:textId="77777777" w:rsidR="00191A0C" w:rsidRPr="00D93846" w:rsidRDefault="00191A0C" w:rsidP="00191A0C">
      <w:pPr>
        <w:rPr>
          <w:b/>
          <w:bCs/>
          <w:sz w:val="24"/>
          <w:szCs w:val="24"/>
        </w:rPr>
      </w:pPr>
      <w:r>
        <w:fldChar w:fldCharType="end"/>
      </w:r>
    </w:p>
    <w:p w14:paraId="18001267" w14:textId="55CEA985" w:rsidR="00191A0C" w:rsidRDefault="00191A0C" w:rsidP="006C7037">
      <w:pPr>
        <w:suppressAutoHyphens/>
        <w:rPr>
          <w:sz w:val="24"/>
          <w:szCs w:val="24"/>
        </w:rPr>
      </w:pPr>
    </w:p>
    <w:p w14:paraId="6AE45487" w14:textId="77777777" w:rsidR="00D0273F" w:rsidRPr="00051D7F" w:rsidRDefault="00D0273F" w:rsidP="006C7037">
      <w:pPr>
        <w:suppressAutoHyphens/>
        <w:rPr>
          <w:b/>
          <w:bCs/>
          <w:sz w:val="24"/>
          <w:szCs w:val="24"/>
        </w:rPr>
      </w:pPr>
    </w:p>
    <w:p w14:paraId="37661561" w14:textId="77777777" w:rsidR="006C7037" w:rsidRPr="006C7037" w:rsidRDefault="006C7037" w:rsidP="006C7037">
      <w:pPr>
        <w:suppressAutoHyphens/>
        <w:rPr>
          <w:sz w:val="24"/>
          <w:szCs w:val="24"/>
        </w:rPr>
      </w:pPr>
    </w:p>
    <w:p w14:paraId="14C2D584" w14:textId="77777777" w:rsidR="00F31583" w:rsidRPr="00F31583" w:rsidRDefault="00F31583" w:rsidP="00F31583">
      <w:pPr>
        <w:rPr>
          <w:b/>
          <w:bCs/>
          <w:sz w:val="24"/>
          <w:szCs w:val="24"/>
        </w:rPr>
      </w:pPr>
    </w:p>
    <w:sectPr w:rsidR="00F31583" w:rsidRPr="00F315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A695" w14:textId="77777777" w:rsidR="006D5138" w:rsidRDefault="006D5138" w:rsidP="00DF6E12">
      <w:pPr>
        <w:spacing w:after="0" w:line="240" w:lineRule="auto"/>
      </w:pPr>
      <w:r>
        <w:separator/>
      </w:r>
    </w:p>
  </w:endnote>
  <w:endnote w:type="continuationSeparator" w:id="0">
    <w:p w14:paraId="1EDC9751" w14:textId="77777777" w:rsidR="006D5138" w:rsidRDefault="006D5138" w:rsidP="00DF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066779"/>
      <w:docPartObj>
        <w:docPartGallery w:val="Page Numbers (Bottom of Page)"/>
        <w:docPartUnique/>
      </w:docPartObj>
    </w:sdtPr>
    <w:sdtEndPr>
      <w:rPr>
        <w:noProof/>
      </w:rPr>
    </w:sdtEndPr>
    <w:sdtContent>
      <w:p w14:paraId="4869786A" w14:textId="443FFDE3" w:rsidR="00DF6E12" w:rsidRDefault="00DF6E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7F84D5" w14:textId="77777777" w:rsidR="00DF6E12" w:rsidRDefault="00DF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E110" w14:textId="77777777" w:rsidR="006D5138" w:rsidRDefault="006D5138" w:rsidP="00DF6E12">
      <w:pPr>
        <w:spacing w:after="0" w:line="240" w:lineRule="auto"/>
      </w:pPr>
      <w:r>
        <w:separator/>
      </w:r>
    </w:p>
  </w:footnote>
  <w:footnote w:type="continuationSeparator" w:id="0">
    <w:p w14:paraId="79BD337C" w14:textId="77777777" w:rsidR="006D5138" w:rsidRDefault="006D5138" w:rsidP="00DF6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72C87"/>
    <w:multiLevelType w:val="hybridMultilevel"/>
    <w:tmpl w:val="EA649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E5780"/>
    <w:multiLevelType w:val="multilevel"/>
    <w:tmpl w:val="055E2D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05709948">
    <w:abstractNumId w:val="0"/>
  </w:num>
  <w:num w:numId="2" w16cid:durableId="446000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5F"/>
    <w:rsid w:val="00051D7F"/>
    <w:rsid w:val="000A7A25"/>
    <w:rsid w:val="000D0706"/>
    <w:rsid w:val="000F1D78"/>
    <w:rsid w:val="00133004"/>
    <w:rsid w:val="001530CB"/>
    <w:rsid w:val="001530EF"/>
    <w:rsid w:val="00191A0C"/>
    <w:rsid w:val="001935DF"/>
    <w:rsid w:val="001E7239"/>
    <w:rsid w:val="00222694"/>
    <w:rsid w:val="00240B85"/>
    <w:rsid w:val="0028292F"/>
    <w:rsid w:val="002B008D"/>
    <w:rsid w:val="002B063B"/>
    <w:rsid w:val="0031559E"/>
    <w:rsid w:val="003549F9"/>
    <w:rsid w:val="003B4D26"/>
    <w:rsid w:val="00415BDF"/>
    <w:rsid w:val="00466B21"/>
    <w:rsid w:val="00476C4E"/>
    <w:rsid w:val="00485B9E"/>
    <w:rsid w:val="00486F37"/>
    <w:rsid w:val="00497C45"/>
    <w:rsid w:val="005510DF"/>
    <w:rsid w:val="005747F7"/>
    <w:rsid w:val="00624111"/>
    <w:rsid w:val="0063125C"/>
    <w:rsid w:val="006B04D5"/>
    <w:rsid w:val="006B57C3"/>
    <w:rsid w:val="006C7037"/>
    <w:rsid w:val="006D5138"/>
    <w:rsid w:val="00740A78"/>
    <w:rsid w:val="00743E03"/>
    <w:rsid w:val="007445F3"/>
    <w:rsid w:val="007474A5"/>
    <w:rsid w:val="00781B79"/>
    <w:rsid w:val="0079352B"/>
    <w:rsid w:val="007A3291"/>
    <w:rsid w:val="007E31E5"/>
    <w:rsid w:val="0080546B"/>
    <w:rsid w:val="00864628"/>
    <w:rsid w:val="008B4F85"/>
    <w:rsid w:val="008C3F23"/>
    <w:rsid w:val="00964631"/>
    <w:rsid w:val="00994B9C"/>
    <w:rsid w:val="009C55C9"/>
    <w:rsid w:val="009D56E6"/>
    <w:rsid w:val="009F4C5F"/>
    <w:rsid w:val="00A15C51"/>
    <w:rsid w:val="00A548D6"/>
    <w:rsid w:val="00AE08BA"/>
    <w:rsid w:val="00B307CF"/>
    <w:rsid w:val="00B64D40"/>
    <w:rsid w:val="00B86EF4"/>
    <w:rsid w:val="00C6134C"/>
    <w:rsid w:val="00CD439C"/>
    <w:rsid w:val="00CE1938"/>
    <w:rsid w:val="00D0273F"/>
    <w:rsid w:val="00D668AA"/>
    <w:rsid w:val="00D77067"/>
    <w:rsid w:val="00D93846"/>
    <w:rsid w:val="00DF6E12"/>
    <w:rsid w:val="00DF7476"/>
    <w:rsid w:val="00F07A08"/>
    <w:rsid w:val="00F31583"/>
    <w:rsid w:val="00F3722B"/>
    <w:rsid w:val="00F94756"/>
    <w:rsid w:val="00FF1C3B"/>
    <w:rsid w:val="00FF422E"/>
    <w:rsid w:val="00FF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CA9E"/>
  <w15:chartTrackingRefBased/>
  <w15:docId w15:val="{5D03445B-EAAC-48A4-A627-936FA8E9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706"/>
    <w:pPr>
      <w:keepNext/>
      <w:keepLines/>
      <w:spacing w:before="240" w:after="0"/>
      <w:outlineLvl w:val="0"/>
    </w:pPr>
    <w:rPr>
      <w:rFonts w:asciiTheme="majorHAnsi" w:eastAsiaTheme="majorEastAsia" w:hAnsiTheme="majorHAnsi" w:cstheme="majorBidi"/>
      <w:sz w:val="28"/>
      <w:szCs w:val="32"/>
      <w:u w:val="single"/>
    </w:rPr>
  </w:style>
  <w:style w:type="paragraph" w:styleId="Heading2">
    <w:name w:val="heading 2"/>
    <w:basedOn w:val="Normal"/>
    <w:next w:val="Normal"/>
    <w:link w:val="Heading2Char"/>
    <w:uiPriority w:val="9"/>
    <w:unhideWhenUsed/>
    <w:qFormat/>
    <w:rsid w:val="000D0706"/>
    <w:pPr>
      <w:keepNext/>
      <w:keepLines/>
      <w:spacing w:before="40" w:after="0"/>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5F"/>
    <w:pPr>
      <w:ind w:left="720"/>
      <w:contextualSpacing/>
    </w:pPr>
  </w:style>
  <w:style w:type="paragraph" w:styleId="Header">
    <w:name w:val="header"/>
    <w:basedOn w:val="Normal"/>
    <w:link w:val="HeaderChar"/>
    <w:uiPriority w:val="99"/>
    <w:unhideWhenUsed/>
    <w:rsid w:val="00DF6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12"/>
  </w:style>
  <w:style w:type="paragraph" w:styleId="Footer">
    <w:name w:val="footer"/>
    <w:basedOn w:val="Normal"/>
    <w:link w:val="FooterChar"/>
    <w:uiPriority w:val="99"/>
    <w:unhideWhenUsed/>
    <w:rsid w:val="00DF6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E12"/>
  </w:style>
  <w:style w:type="character" w:customStyle="1" w:styleId="Heading1Char">
    <w:name w:val="Heading 1 Char"/>
    <w:basedOn w:val="DefaultParagraphFont"/>
    <w:link w:val="Heading1"/>
    <w:uiPriority w:val="9"/>
    <w:rsid w:val="000D0706"/>
    <w:rPr>
      <w:rFonts w:asciiTheme="majorHAnsi" w:eastAsiaTheme="majorEastAsia" w:hAnsiTheme="majorHAnsi" w:cstheme="majorBidi"/>
      <w:sz w:val="28"/>
      <w:szCs w:val="32"/>
      <w:u w:val="single"/>
    </w:rPr>
  </w:style>
  <w:style w:type="paragraph" w:styleId="TOCHeading">
    <w:name w:val="TOC Heading"/>
    <w:basedOn w:val="Heading1"/>
    <w:next w:val="Normal"/>
    <w:uiPriority w:val="39"/>
    <w:unhideWhenUsed/>
    <w:qFormat/>
    <w:rsid w:val="00B86EF4"/>
    <w:pPr>
      <w:outlineLvl w:val="9"/>
    </w:pPr>
    <w:rPr>
      <w:lang w:val="en-US"/>
    </w:rPr>
  </w:style>
  <w:style w:type="paragraph" w:styleId="Title">
    <w:name w:val="Title"/>
    <w:basedOn w:val="Normal"/>
    <w:next w:val="Normal"/>
    <w:link w:val="TitleChar"/>
    <w:uiPriority w:val="10"/>
    <w:qFormat/>
    <w:rsid w:val="00B86EF4"/>
    <w:pPr>
      <w:spacing w:after="0" w:line="240" w:lineRule="auto"/>
      <w:contextualSpacing/>
    </w:pPr>
    <w:rPr>
      <w:rFonts w:eastAsiaTheme="majorEastAsia" w:cstheme="majorBidi"/>
      <w:spacing w:val="-10"/>
      <w:kern w:val="28"/>
      <w:sz w:val="28"/>
      <w:szCs w:val="56"/>
      <w:u w:val="single"/>
    </w:rPr>
  </w:style>
  <w:style w:type="character" w:customStyle="1" w:styleId="TitleChar">
    <w:name w:val="Title Char"/>
    <w:basedOn w:val="DefaultParagraphFont"/>
    <w:link w:val="Title"/>
    <w:uiPriority w:val="10"/>
    <w:rsid w:val="00B86EF4"/>
    <w:rPr>
      <w:rFonts w:eastAsiaTheme="majorEastAsia" w:cstheme="majorBidi"/>
      <w:spacing w:val="-10"/>
      <w:kern w:val="28"/>
      <w:sz w:val="28"/>
      <w:szCs w:val="56"/>
      <w:u w:val="single"/>
    </w:rPr>
  </w:style>
  <w:style w:type="paragraph" w:styleId="Subtitle">
    <w:name w:val="Subtitle"/>
    <w:basedOn w:val="Normal"/>
    <w:next w:val="Normal"/>
    <w:link w:val="SubtitleChar"/>
    <w:uiPriority w:val="11"/>
    <w:qFormat/>
    <w:rsid w:val="00B86EF4"/>
    <w:pPr>
      <w:numPr>
        <w:ilvl w:val="1"/>
      </w:numPr>
    </w:pPr>
    <w:rPr>
      <w:rFonts w:eastAsiaTheme="minorEastAsia"/>
      <w:spacing w:val="15"/>
      <w:sz w:val="24"/>
    </w:rPr>
  </w:style>
  <w:style w:type="character" w:customStyle="1" w:styleId="SubtitleChar">
    <w:name w:val="Subtitle Char"/>
    <w:basedOn w:val="DefaultParagraphFont"/>
    <w:link w:val="Subtitle"/>
    <w:uiPriority w:val="11"/>
    <w:rsid w:val="00B86EF4"/>
    <w:rPr>
      <w:rFonts w:eastAsiaTheme="minorEastAsia"/>
      <w:spacing w:val="15"/>
      <w:sz w:val="24"/>
    </w:rPr>
  </w:style>
  <w:style w:type="character" w:customStyle="1" w:styleId="Heading2Char">
    <w:name w:val="Heading 2 Char"/>
    <w:basedOn w:val="DefaultParagraphFont"/>
    <w:link w:val="Heading2"/>
    <w:uiPriority w:val="9"/>
    <w:rsid w:val="000D0706"/>
    <w:rPr>
      <w:rFonts w:eastAsiaTheme="majorEastAsia" w:cstheme="majorBidi"/>
      <w:sz w:val="24"/>
      <w:szCs w:val="26"/>
    </w:rPr>
  </w:style>
  <w:style w:type="paragraph" w:styleId="TOC1">
    <w:name w:val="toc 1"/>
    <w:basedOn w:val="Normal"/>
    <w:next w:val="Normal"/>
    <w:autoRedefine/>
    <w:uiPriority w:val="39"/>
    <w:unhideWhenUsed/>
    <w:rsid w:val="000D0706"/>
    <w:pPr>
      <w:spacing w:after="100"/>
    </w:pPr>
  </w:style>
  <w:style w:type="paragraph" w:styleId="TOC2">
    <w:name w:val="toc 2"/>
    <w:basedOn w:val="Normal"/>
    <w:next w:val="Normal"/>
    <w:autoRedefine/>
    <w:uiPriority w:val="39"/>
    <w:unhideWhenUsed/>
    <w:rsid w:val="000D0706"/>
    <w:pPr>
      <w:spacing w:after="100"/>
      <w:ind w:left="220"/>
    </w:pPr>
  </w:style>
  <w:style w:type="character" w:styleId="Hyperlink">
    <w:name w:val="Hyperlink"/>
    <w:basedOn w:val="DefaultParagraphFont"/>
    <w:uiPriority w:val="99"/>
    <w:unhideWhenUsed/>
    <w:rsid w:val="000D0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01335">
      <w:bodyDiv w:val="1"/>
      <w:marLeft w:val="0"/>
      <w:marRight w:val="0"/>
      <w:marTop w:val="0"/>
      <w:marBottom w:val="0"/>
      <w:divBdr>
        <w:top w:val="none" w:sz="0" w:space="0" w:color="auto"/>
        <w:left w:val="none" w:sz="0" w:space="0" w:color="auto"/>
        <w:bottom w:val="none" w:sz="0" w:space="0" w:color="auto"/>
        <w:right w:val="none" w:sz="0" w:space="0" w:color="auto"/>
      </w:divBdr>
    </w:div>
    <w:div w:id="1025136621">
      <w:bodyDiv w:val="1"/>
      <w:marLeft w:val="0"/>
      <w:marRight w:val="0"/>
      <w:marTop w:val="0"/>
      <w:marBottom w:val="0"/>
      <w:divBdr>
        <w:top w:val="none" w:sz="0" w:space="0" w:color="auto"/>
        <w:left w:val="none" w:sz="0" w:space="0" w:color="auto"/>
        <w:bottom w:val="none" w:sz="0" w:space="0" w:color="auto"/>
        <w:right w:val="none" w:sz="0" w:space="0" w:color="auto"/>
      </w:divBdr>
    </w:div>
    <w:div w:id="1703819538">
      <w:bodyDiv w:val="1"/>
      <w:marLeft w:val="0"/>
      <w:marRight w:val="0"/>
      <w:marTop w:val="0"/>
      <w:marBottom w:val="0"/>
      <w:divBdr>
        <w:top w:val="none" w:sz="0" w:space="0" w:color="auto"/>
        <w:left w:val="none" w:sz="0" w:space="0" w:color="auto"/>
        <w:bottom w:val="none" w:sz="0" w:space="0" w:color="auto"/>
        <w:right w:val="none" w:sz="0" w:space="0" w:color="auto"/>
      </w:divBdr>
    </w:div>
    <w:div w:id="17168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50C33C-769B-4C1E-88D2-F73155C2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Underwood</dc:creator>
  <cp:keywords/>
  <dc:description/>
  <cp:lastModifiedBy>Jack Underwood</cp:lastModifiedBy>
  <cp:revision>63</cp:revision>
  <dcterms:created xsi:type="dcterms:W3CDTF">2022-01-06T15:32:00Z</dcterms:created>
  <dcterms:modified xsi:type="dcterms:W3CDTF">2022-07-29T12:36:00Z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http://www.zotero.org/styles/springer-vancouver-brackets</vt:lpwstr>
  </property>
  <property fmtid="{D5CDD505-2E9C-101B-9397-08002B2CF9AE}" pid="19" name="Mendeley Recent Style Name 8_1">
    <vt:lpwstr>Springer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09968fb3-3e13-3e13-9f4f-812f69eedd01</vt:lpwstr>
  </property>
</Properties>
</file>