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9F98A" w14:textId="77777777" w:rsidR="00074854" w:rsidRDefault="00074854" w:rsidP="00074854">
      <w:pPr>
        <w:spacing w:line="480" w:lineRule="auto"/>
        <w:jc w:val="both"/>
        <w:rPr>
          <w:rFonts w:ascii="Arial" w:hAnsi="Arial" w:cs="Arial"/>
          <w:b/>
          <w:szCs w:val="21"/>
        </w:rPr>
      </w:pPr>
      <w:r w:rsidRPr="00501920">
        <w:rPr>
          <w:rFonts w:ascii="Arial" w:hAnsi="Arial" w:cs="Arial"/>
          <w:b/>
          <w:szCs w:val="21"/>
        </w:rPr>
        <w:t>Supplementary Information</w:t>
      </w:r>
    </w:p>
    <w:p w14:paraId="05770DC2" w14:textId="77777777" w:rsidR="00074854" w:rsidRPr="00011A51" w:rsidRDefault="00074854" w:rsidP="00074854">
      <w:pPr>
        <w:spacing w:line="480" w:lineRule="auto"/>
        <w:jc w:val="both"/>
        <w:rPr>
          <w:rFonts w:ascii="Arial" w:hAnsi="Arial" w:cs="Arial"/>
          <w:b/>
          <w:bCs/>
          <w:sz w:val="20"/>
          <w:szCs w:val="20"/>
        </w:rPr>
      </w:pPr>
      <w:r>
        <w:rPr>
          <w:rFonts w:ascii="Arial" w:hAnsi="Arial" w:cs="Arial"/>
          <w:b/>
          <w:bCs/>
          <w:sz w:val="20"/>
          <w:szCs w:val="20"/>
        </w:rPr>
        <w:t>Task procedure t</w:t>
      </w:r>
      <w:r w:rsidRPr="00011A51">
        <w:rPr>
          <w:rFonts w:ascii="Arial" w:hAnsi="Arial" w:cs="Arial"/>
          <w:b/>
          <w:bCs/>
          <w:sz w:val="20"/>
          <w:szCs w:val="20"/>
        </w:rPr>
        <w:t>raining</w:t>
      </w:r>
    </w:p>
    <w:p w14:paraId="43579129" w14:textId="766E3BBE" w:rsidR="00074854" w:rsidRDefault="00074854" w:rsidP="00074854">
      <w:pPr>
        <w:spacing w:line="480" w:lineRule="auto"/>
        <w:jc w:val="both"/>
        <w:rPr>
          <w:rFonts w:ascii="Arial" w:hAnsi="Arial" w:cs="Arial"/>
          <w:sz w:val="20"/>
          <w:szCs w:val="20"/>
        </w:rPr>
      </w:pPr>
      <w:r w:rsidRPr="00011A51">
        <w:rPr>
          <w:rFonts w:ascii="Arial" w:hAnsi="Arial" w:cs="Arial"/>
          <w:sz w:val="20"/>
          <w:szCs w:val="20"/>
        </w:rPr>
        <w:t xml:space="preserve">Participants were trained in three sessions for each of the two tasks </w:t>
      </w:r>
      <w:r w:rsidR="007505A4">
        <w:rPr>
          <w:rFonts w:ascii="Arial" w:hAnsi="Arial" w:cs="Arial"/>
          <w:sz w:val="20"/>
          <w:szCs w:val="20"/>
        </w:rPr>
        <w:fldChar w:fldCharType="begin" w:fldLock="1"/>
      </w:r>
      <w:r w:rsidR="00281CE4">
        <w:rPr>
          <w:rFonts w:ascii="Arial" w:hAnsi="Arial" w:cs="Arial"/>
          <w:sz w:val="20"/>
          <w:szCs w:val="20"/>
        </w:rPr>
        <w:instrText>ADDIN CSL_CITATION {"citationItems":[{"id":"ITEM-1","itemData":{"DOI":"10.1016/j.neuron.2007.07.022","ISSN":"08966273","PMID":"17698008","abstract":"The prefrontal cortex (PFC) receives substantial anatomical input from the amygdala, and these two structures have long been implicated in reward-related learning and decision making. Yet little is known about how these regions interact, especially in humans. We investigated the contribution of the amygdala to reward-related signals in PFC by scanning two rare subjects with focal bilateral amygdala lesions using fMRI. The subjects performed a reversal learning task in which they first had to learn which of two choices was the more rewarding, and then flexibly switch their choices when contingencies changed. Compared with healthy controls, both amygdala lesion subjects showed a profound change in ventromedial prefrontal cortex (vmPFC) activity associated with reward expectation and behavioral choice. These findings support a critical role for the human amygdala in establishing expected reward representations in PFC, which in turn may be used to guide behavioral choice. © 2007 Elsevier Inc. All rights reserved.","author":[{"dropping-particle":"","family":"Hampton","given":"Alan N.","non-dropping-particle":"","parse-names":false,"suffix":""},{"dropping-particle":"","family":"Adolphs","given":"Ralph","non-dropping-particle":"","parse-names":false,"suffix":""},{"dropping-particle":"","family":"Tyszka","given":"Michael J.","non-dropping-particle":"","parse-names":false,"suffix":""},{"dropping-particle":"","family":"O'Doherty","given":"John P.","non-dropping-particle":"","parse-names":false,"suffix":""}],"container-title":"Neuron","id":"ITEM-1","issue":"4","issued":{"date-parts":[["2007"]]},"page":"545-555","title":"Contributions of the Amygdala to Reward Expectancy and Choice Signals in Human Prefrontal Cortex","type":"article-journal","volume":"55"},"uris":["http://www.mendeley.com/documents/?uuid=82b088f3-3ee0-4d2a-89ea-fca01ad8643f"]},{"id":"ITEM-2","itemData":{"DOI":"10.1097/00001756-200312190-00037","ISSN":"1473558X","PMID":"14663214","author":[{"dropping-particle":"","family":"Holroyd","given":"Clay B.","non-dropping-particle":"","parse-names":false,"suffix":""},{"dropping-particle":"","family":"Nieuwenhuis","given":"Sander","non-dropping-particle":"","parse-names":false,"suffix":""},{"dropping-particle":"","family":"Yeung","given":"Nick","non-dropping-particle":"","parse-names":false,"suffix":""},{"dropping-particle":"","family":"Cohen","given":"Jonathan D.","non-dropping-particle":"","parse-names":false,"suffix":""}],"container-title":"NeuroReport","id":"ITEM-2","issue":"18","issued":{"date-parts":[["2003"]]},"page":"2481-2484","title":"Errors in reward prediction are reflected in the event-related brain potential","type":"article-journal","volume":"14"},"uris":["http://www.mendeley.com/documents/?uuid=9715f10a-5b09-4138-95d5-5c5df574d820"]}],"mendeley":{"formattedCitation":"(Hampton, Adolphs, Tyszka, &amp; O’Doherty, 2007; Holroyd, Nieuwenhuis, Yeung, &amp; Cohen, 2003)","plainTextFormattedCitation":"(Hampton, Adolphs, Tyszka, &amp; O’Doherty, 2007; Holroyd, Nieuwenhuis, Yeung, &amp; Cohen, 2003)","previouslyFormattedCitation":"(Hampton, Adolphs, Tyszka, &amp; O’Doherty, 2007; Holroyd, Nieuwenhuis, Yeung, &amp; Cohen, 2003)"},"properties":{"noteIndex":0},"schema":"https://github.com/citation-style-language/schema/raw/master/csl-citation.json"}</w:instrText>
      </w:r>
      <w:r w:rsidR="007505A4">
        <w:rPr>
          <w:rFonts w:ascii="Arial" w:hAnsi="Arial" w:cs="Arial"/>
          <w:sz w:val="20"/>
          <w:szCs w:val="20"/>
        </w:rPr>
        <w:fldChar w:fldCharType="separate"/>
      </w:r>
      <w:r w:rsidR="007505A4" w:rsidRPr="007505A4">
        <w:rPr>
          <w:rFonts w:ascii="Arial" w:hAnsi="Arial" w:cs="Arial"/>
          <w:noProof/>
          <w:sz w:val="20"/>
          <w:szCs w:val="20"/>
        </w:rPr>
        <w:t>(Hampton, Adolphs, Tyszka, &amp; O’Doherty, 2007; Holroyd, Nieuwenhuis, Yeung, &amp; Cohen, 2003)</w:t>
      </w:r>
      <w:r w:rsidR="007505A4">
        <w:rPr>
          <w:rFonts w:ascii="Arial" w:hAnsi="Arial" w:cs="Arial"/>
          <w:sz w:val="20"/>
          <w:szCs w:val="20"/>
        </w:rPr>
        <w:fldChar w:fldCharType="end"/>
      </w:r>
      <w:r w:rsidRPr="00011A51">
        <w:rPr>
          <w:rFonts w:ascii="Arial" w:hAnsi="Arial" w:cs="Arial"/>
          <w:sz w:val="20"/>
          <w:szCs w:val="20"/>
        </w:rPr>
        <w:t>. The first was a deterministic reversal, in which the two option were associated 100% with a reward and a punishment, respectively. The two options then reversed based on the criteria in the formal experiment. This training session ended after participants successfully completed two sequential reversals. The second training session was a probabilistic reward or punishment learning, where the contingencies were not reversed. This training phase ended after participants consecutively chose the “optimal” option 7 times, or after 60 trials, whichever came first. The last training session was same with the formal experiment but ended after participants successfully completed 2 sequential reversals, or after 60 trials, whichever came first. Different stimuli of the options were used in the training session from those used in the formal experiment. Participants were informed that they would not receive any payment for their performance during the training session.</w:t>
      </w:r>
    </w:p>
    <w:p w14:paraId="1168A8E4" w14:textId="77777777" w:rsidR="00074854" w:rsidRDefault="00074854" w:rsidP="00074854">
      <w:pPr>
        <w:spacing w:line="480" w:lineRule="auto"/>
        <w:jc w:val="both"/>
        <w:rPr>
          <w:rFonts w:ascii="Arial" w:hAnsi="Arial" w:cs="Arial"/>
          <w:sz w:val="20"/>
          <w:szCs w:val="20"/>
        </w:rPr>
      </w:pPr>
    </w:p>
    <w:p w14:paraId="7723E1E1" w14:textId="77777777" w:rsidR="00074854" w:rsidRPr="00011A51" w:rsidRDefault="00074854" w:rsidP="00074854">
      <w:pPr>
        <w:spacing w:line="480" w:lineRule="auto"/>
        <w:jc w:val="both"/>
        <w:rPr>
          <w:rFonts w:ascii="Arial" w:hAnsi="Arial" w:cs="Arial"/>
          <w:b/>
          <w:bCs/>
          <w:sz w:val="20"/>
          <w:szCs w:val="20"/>
        </w:rPr>
      </w:pPr>
      <w:r w:rsidRPr="00011A51">
        <w:rPr>
          <w:rFonts w:ascii="Arial" w:hAnsi="Arial" w:cs="Arial"/>
          <w:b/>
          <w:bCs/>
          <w:sz w:val="20"/>
          <w:szCs w:val="20"/>
        </w:rPr>
        <w:t>Model computation</w:t>
      </w:r>
    </w:p>
    <w:p w14:paraId="369D77A4" w14:textId="70AA9897" w:rsidR="00074854" w:rsidRPr="00011A51" w:rsidRDefault="00074854" w:rsidP="00074854">
      <w:pPr>
        <w:spacing w:line="480" w:lineRule="auto"/>
        <w:jc w:val="both"/>
        <w:rPr>
          <w:rFonts w:ascii="Arial" w:hAnsi="Arial" w:cs="Arial"/>
          <w:sz w:val="20"/>
          <w:szCs w:val="20"/>
        </w:rPr>
      </w:pPr>
      <w:r w:rsidRPr="00011A51">
        <w:rPr>
          <w:rFonts w:ascii="Arial" w:hAnsi="Arial" w:cs="Arial"/>
          <w:sz w:val="20"/>
          <w:szCs w:val="20"/>
        </w:rPr>
        <w:t>We next used three reinforcement learning computational models to examine the mechanisms of behavioral adaptations</w:t>
      </w:r>
      <w:r w:rsidR="0050706F">
        <w:rPr>
          <w:rFonts w:ascii="Arial" w:hAnsi="Arial" w:cs="Arial"/>
          <w:sz w:val="20"/>
          <w:szCs w:val="20"/>
        </w:rPr>
        <w:t xml:space="preserve"> by hBayesDM package</w:t>
      </w:r>
      <w:r w:rsidR="00281CE4">
        <w:rPr>
          <w:rFonts w:ascii="Arial" w:hAnsi="Arial" w:cs="Arial"/>
          <w:sz w:val="20"/>
          <w:szCs w:val="20"/>
        </w:rPr>
        <w:t xml:space="preserve"> </w:t>
      </w:r>
      <w:r w:rsidR="00281CE4">
        <w:rPr>
          <w:rFonts w:ascii="Arial" w:hAnsi="Arial" w:cs="Arial"/>
          <w:sz w:val="20"/>
          <w:szCs w:val="20"/>
        </w:rPr>
        <w:fldChar w:fldCharType="begin" w:fldLock="1"/>
      </w:r>
      <w:r w:rsidR="00281CE4">
        <w:rPr>
          <w:rFonts w:ascii="Arial" w:hAnsi="Arial" w:cs="Arial"/>
          <w:sz w:val="20"/>
          <w:szCs w:val="20"/>
        </w:rPr>
        <w:instrText>ADDIN CSL_CITATION {"citationItems":[{"id":"ITEM-1","itemData":{"DOI":"10.1162/cpsy_a_00002","abstract":"applicability for this approach.","author":[{"dropping-particle":"","family":"Ahn","given":"Woo-Young","non-dropping-particle":"","parse-names":false,"suffix":""},{"dropping-particle":"","family":"Haines","given":"Nathaniel","non-dropping-particle":"","parse-names":false,"suffix":""},{"dropping-particle":"","family":"Zhang","given":"Lei","non-dropping-particle":"","parse-names":false,"suffix":""}],"container-title":"Computational Psychiatry","id":"ITEM-1","issue":"0","issued":{"date-parts":[["2017"]]},"page":"24","title":"Revealing Neurocomputational Mechanisms of Reinforcement Learning and Decision-Making With the hBayesDM Package","type":"article-journal","volume":"1"},"uris":["http://www.mendeley.com/documents/?uuid=956d5ab0-47cc-49c4-a3d2-13630275d2b2"]}],"mendeley":{"formattedCitation":"(Ahn, Haines, &amp; Zhang, 2017)","plainTextFormattedCitation":"(Ahn, Haines, &amp; Zhang, 2017)"},"properties":{"noteIndex":0},"schema":"https://github.com/citation-style-language/schema/raw/master/csl-citation.json"}</w:instrText>
      </w:r>
      <w:r w:rsidR="00281CE4">
        <w:rPr>
          <w:rFonts w:ascii="Arial" w:hAnsi="Arial" w:cs="Arial"/>
          <w:sz w:val="20"/>
          <w:szCs w:val="20"/>
        </w:rPr>
        <w:fldChar w:fldCharType="separate"/>
      </w:r>
      <w:r w:rsidR="00281CE4" w:rsidRPr="00281CE4">
        <w:rPr>
          <w:rFonts w:ascii="Arial" w:hAnsi="Arial" w:cs="Arial"/>
          <w:noProof/>
          <w:sz w:val="20"/>
          <w:szCs w:val="20"/>
        </w:rPr>
        <w:t>(Ahn, Haines, &amp; Zhang, 2017)</w:t>
      </w:r>
      <w:r w:rsidR="00281CE4">
        <w:rPr>
          <w:rFonts w:ascii="Arial" w:hAnsi="Arial" w:cs="Arial"/>
          <w:sz w:val="20"/>
          <w:szCs w:val="20"/>
        </w:rPr>
        <w:fldChar w:fldCharType="end"/>
      </w:r>
      <w:r w:rsidRPr="00011A51">
        <w:rPr>
          <w:rFonts w:ascii="Arial" w:hAnsi="Arial" w:cs="Arial"/>
          <w:sz w:val="20"/>
          <w:szCs w:val="20"/>
        </w:rPr>
        <w:t>.</w:t>
      </w:r>
      <w:r w:rsidR="0050706F">
        <w:rPr>
          <w:rFonts w:ascii="Arial" w:hAnsi="Arial" w:cs="Arial"/>
          <w:sz w:val="20"/>
          <w:szCs w:val="20"/>
        </w:rPr>
        <w:t xml:space="preserve"> </w:t>
      </w:r>
      <w:r w:rsidR="0050706F">
        <w:rPr>
          <w:rFonts w:ascii="Arial" w:hAnsi="Arial" w:cs="Arial"/>
          <w:sz w:val="20"/>
          <w:szCs w:val="20"/>
        </w:rPr>
        <w:t xml:space="preserve">Four MCMC chains were used, with </w:t>
      </w:r>
      <w:r w:rsidR="009472FD">
        <w:rPr>
          <w:rFonts w:ascii="Arial" w:hAnsi="Arial" w:cs="Arial"/>
          <w:sz w:val="20"/>
          <w:szCs w:val="20"/>
        </w:rPr>
        <w:t>2</w:t>
      </w:r>
      <w:r w:rsidR="0050706F">
        <w:rPr>
          <w:rFonts w:ascii="Arial" w:hAnsi="Arial" w:cs="Arial"/>
          <w:sz w:val="20"/>
          <w:szCs w:val="20"/>
        </w:rPr>
        <w:t xml:space="preserve">,000 post-warmup iterations per chain, resulting in </w:t>
      </w:r>
      <w:r w:rsidR="009472FD">
        <w:rPr>
          <w:rFonts w:ascii="Arial" w:hAnsi="Arial" w:cs="Arial"/>
          <w:sz w:val="20"/>
          <w:szCs w:val="20"/>
        </w:rPr>
        <w:t>8</w:t>
      </w:r>
      <w:r w:rsidR="0050706F">
        <w:rPr>
          <w:rFonts w:ascii="Arial" w:hAnsi="Arial" w:cs="Arial"/>
          <w:sz w:val="20"/>
          <w:szCs w:val="20"/>
        </w:rPr>
        <w:t>,000 valid MCMC samples.</w:t>
      </w:r>
      <w:r w:rsidRPr="00011A51">
        <w:rPr>
          <w:rFonts w:ascii="Arial" w:hAnsi="Arial" w:cs="Arial"/>
          <w:sz w:val="20"/>
          <w:szCs w:val="20"/>
        </w:rPr>
        <w:t xml:space="preserve"> All models were extended from Rescorla-Wagner value update </w:t>
      </w:r>
      <w:bookmarkStart w:id="0" w:name="_Hlk108622474"/>
      <w:r w:rsidR="00002E22">
        <w:rPr>
          <w:rFonts w:ascii="Arial" w:hAnsi="Arial" w:cs="Arial"/>
          <w:sz w:val="20"/>
          <w:szCs w:val="20"/>
        </w:rPr>
        <w:fldChar w:fldCharType="begin" w:fldLock="1"/>
      </w:r>
      <w:r w:rsidR="00A661F9">
        <w:rPr>
          <w:rFonts w:ascii="Arial" w:hAnsi="Arial" w:cs="Arial"/>
          <w:sz w:val="20"/>
          <w:szCs w:val="20"/>
        </w:rPr>
        <w:instrText>ADDIN CSL_CITATION {"citationItems":[{"id":"ITEM-1","itemData":{"author":[{"dropping-particle":"","family":"Rescorla","given":"Robert A","non-dropping-particle":"","parse-names":false,"suffix":""},{"dropping-particle":"","family":"Wagner","given":"Allan R","non-dropping-particle":"","parse-names":false,"suffix":""}],"container-title":"Classical conditioning II: Current research and theory","editor":[{"dropping-particle":"","family":"Black","given":"Abraham H","non-dropping-particle":"","parse-names":false,"suffix":""},{"dropping-particle":"","family":"Prokasy","given":"William F","non-dropping-particle":"","parse-names":false,"suffix":""}],"id":"ITEM-1","issued":{"date-parts":[["1972"]]},"page":"64-99","publisher":"Appleton-Century-Crofts","title":"A theory of Pavlovian conditioning: Variations in the effectiveness of reinforcement and nonreinforcement","type":"chapter"},"uris":["http://www.mendeley.com/documents/?uuid=7de066e5-3990-4826-bfe3-9d46105d5ada"]}],"mendeley":{"formattedCitation":"(Rescorla &amp; Wagner, 1972)","plainTextFormattedCitation":"(Rescorla &amp; Wagner, 1972)","previouslyFormattedCitation":"(Rescorla &amp; Wagner, 1972)"},"properties":{"noteIndex":0},"schema":"https://github.com/citation-style-language/schema/raw/master/csl-citation.json"}</w:instrText>
      </w:r>
      <w:r w:rsidR="00002E22">
        <w:rPr>
          <w:rFonts w:ascii="Arial" w:hAnsi="Arial" w:cs="Arial"/>
          <w:sz w:val="20"/>
          <w:szCs w:val="20"/>
        </w:rPr>
        <w:fldChar w:fldCharType="separate"/>
      </w:r>
      <w:r w:rsidR="00F23E2A" w:rsidRPr="00F23E2A">
        <w:rPr>
          <w:rFonts w:ascii="Arial" w:hAnsi="Arial" w:cs="Arial"/>
          <w:noProof/>
          <w:sz w:val="20"/>
          <w:szCs w:val="20"/>
        </w:rPr>
        <w:t>(Rescorla &amp; Wagner, 1972)</w:t>
      </w:r>
      <w:r w:rsidR="00002E22">
        <w:rPr>
          <w:rFonts w:ascii="Arial" w:hAnsi="Arial" w:cs="Arial"/>
          <w:sz w:val="20"/>
          <w:szCs w:val="20"/>
        </w:rPr>
        <w:fldChar w:fldCharType="end"/>
      </w:r>
      <w:bookmarkEnd w:id="0"/>
      <w:r w:rsidRPr="00011A51">
        <w:rPr>
          <w:rFonts w:ascii="Arial" w:hAnsi="Arial" w:cs="Arial"/>
          <w:sz w:val="20"/>
          <w:szCs w:val="20"/>
        </w:rPr>
        <w:t xml:space="preserve">, but with different assumptions on the way that information was integrated </w:t>
      </w:r>
      <w:r w:rsidR="006A68CE">
        <w:rPr>
          <w:rFonts w:ascii="Arial" w:hAnsi="Arial" w:cs="Arial"/>
          <w:sz w:val="20"/>
          <w:szCs w:val="20"/>
        </w:rPr>
        <w:fldChar w:fldCharType="begin" w:fldLock="1"/>
      </w:r>
      <w:r w:rsidR="00DE3E4A">
        <w:rPr>
          <w:rFonts w:ascii="Arial" w:hAnsi="Arial" w:cs="Arial"/>
          <w:sz w:val="20"/>
          <w:szCs w:val="20"/>
        </w:rPr>
        <w:instrText>ADDIN CSL_CITATION {"citationItems":[{"id":"ITEM-1","itemData":{"DOI":"10.1371/journal.pbio.3000908","ISBN":"1111111111","ISSN":"15457885","PMID":"33108370","abstract":"Flexible behavior is critical for everyday decision-making and has been implicated in restricted, repetitive behaviors (RRB) in autism spectrum disorder (ASD). However, how flexible behavior changes developmentally in ASD remains largely unknown. Here, we used a developmental approach and examined flexible behavior on a probabilistic reversal learning task in 572 children, adolescents, and adults (ASD N = 321; typical development [TD] N = 251). Using computational modeling, we quantified latent variables that index mechanisms underlying perseveration and feedback sensitivity. We then assessed these variables in relation to diagnosis, developmental stage, core autism symptomatology, and associated psychiatric symptoms. Autistic individuals showed on average more perseveration and less feedback sensitivity than TD individuals, and, across cases and controls, older age groups showed more feedback sensitivity than younger age groups. Computational modeling revealed that dominant learning mechanisms underpinning flexible behavior differed across developmental stages and reduced flexible behavior in ASD was driven by less optimal learning on average within each age group. In autistic children, perseverative errors were positively related to anxiety symptoms, and in autistic adults, perseveration (indexed by both task errors and model parameter estimates) was positively related to RRB. These findings provide novel insights into reduced flexible behavior in relation to clinical symptoms in ASD.","author":[{"dropping-particle":"","family":"Crawley","given":"Daisy","non-dropping-particle":"","parse-names":false,"suffix":""},{"dropping-particle":"","family":"Zhang","given":"Lei","non-dropping-particle":"","parse-names":false,"suffix":""},{"dropping-particle":"","family":"Jones","given":"Emily J.H.","non-dropping-particle":"","parse-names":false,"suffix":""},{"dropping-particle":"","family":"Ahmad","given":"Jumana","non-dropping-particle":"","parse-names":false,"suffix":""},{"dropping-particle":"","family":"Oakley","given":"Bethany","non-dropping-particle":"","parse-names":false,"suffix":""},{"dropping-particle":"","family":"Cáceres","given":"Antonia San José","non-dropping-particle":"","parse-names":false,"suffix":""},{"dropping-particle":"","family":"Charman","given":"Tony","non-dropping-particle":"","parse-names":false,"suffix":""},{"dropping-particle":"","family":"Buitelaar","given":"Jan K.","non-dropping-particle":"","parse-names":false,"suffix":""},{"dropping-particle":"","family":"Murphy","given":"Declan G.M.","non-dropping-particle":"","parse-names":false,"suffix":""},{"dropping-particle":"","family":"Chatham","given":"Christopher","non-dropping-particle":"","parse-names":false,"suffix":""},{"dropping-particle":"","family":"Ouden","given":"Hanneke","non-dropping-particle":"den","parse-names":false,"suffix":""},{"dropping-particle":"","family":"Loth","given":"Eva","non-dropping-particle":"","parse-names":false,"suffix":""}],"container-title":"PLoS Biology","id":"ITEM-1","issue":"10","issued":{"date-parts":[["2020"]]},"page":"1-25","title":"Modeling flexible behavior in childhood to adulthood shows age-dependent learning mechanisms and less optimal learning in autism in each age group","type":"article-journal","volume":"18"},"uris":["http://www.mendeley.com/documents/?uuid=475f57e4-096b-4020-9c50-103bf28977f8"]}],"mendeley":{"formattedCitation":"(Crawley et al., 2020)","plainTextFormattedCitation":"(Crawley et al., 2020)","previouslyFormattedCitation":"(Crawley et al., 2020)"},"properties":{"noteIndex":0},"schema":"https://github.com/citation-style-language/schema/raw/master/csl-citation.json"}</w:instrText>
      </w:r>
      <w:r w:rsidR="006A68CE">
        <w:rPr>
          <w:rFonts w:ascii="Arial" w:hAnsi="Arial" w:cs="Arial"/>
          <w:sz w:val="20"/>
          <w:szCs w:val="20"/>
        </w:rPr>
        <w:fldChar w:fldCharType="separate"/>
      </w:r>
      <w:r w:rsidR="006A68CE" w:rsidRPr="006A68CE">
        <w:rPr>
          <w:rFonts w:ascii="Arial" w:hAnsi="Arial" w:cs="Arial"/>
          <w:noProof/>
          <w:sz w:val="20"/>
          <w:szCs w:val="20"/>
        </w:rPr>
        <w:t>(Crawley et al., 2020)</w:t>
      </w:r>
      <w:r w:rsidR="006A68CE">
        <w:rPr>
          <w:rFonts w:ascii="Arial" w:hAnsi="Arial" w:cs="Arial"/>
          <w:sz w:val="20"/>
          <w:szCs w:val="20"/>
        </w:rPr>
        <w:fldChar w:fldCharType="end"/>
      </w:r>
      <w:r w:rsidRPr="00011A51">
        <w:rPr>
          <w:rFonts w:ascii="Arial" w:hAnsi="Arial" w:cs="Arial"/>
          <w:sz w:val="20"/>
          <w:szCs w:val="20"/>
        </w:rPr>
        <w:t>.</w:t>
      </w:r>
    </w:p>
    <w:p w14:paraId="52038EA4" w14:textId="77777777" w:rsidR="00074854" w:rsidRPr="00011A51" w:rsidRDefault="00074854" w:rsidP="00074854">
      <w:pPr>
        <w:spacing w:line="480" w:lineRule="auto"/>
        <w:jc w:val="both"/>
        <w:rPr>
          <w:rFonts w:ascii="Arial" w:hAnsi="Arial" w:cs="Arial"/>
          <w:sz w:val="20"/>
          <w:szCs w:val="20"/>
        </w:rPr>
      </w:pPr>
    </w:p>
    <w:p w14:paraId="6D840F07" w14:textId="1A07E940" w:rsidR="00074854" w:rsidRPr="00011A51" w:rsidRDefault="00074854" w:rsidP="00074854">
      <w:pPr>
        <w:spacing w:line="480" w:lineRule="auto"/>
        <w:jc w:val="both"/>
        <w:rPr>
          <w:rFonts w:ascii="Arial" w:hAnsi="Arial" w:cs="Arial"/>
          <w:sz w:val="20"/>
          <w:szCs w:val="20"/>
        </w:rPr>
      </w:pPr>
      <w:r w:rsidRPr="00011A51">
        <w:rPr>
          <w:rFonts w:ascii="Arial" w:hAnsi="Arial" w:cs="Arial"/>
          <w:b/>
          <w:bCs/>
          <w:i/>
          <w:sz w:val="20"/>
          <w:szCs w:val="20"/>
        </w:rPr>
        <w:t>Fictitious update model.</w:t>
      </w:r>
      <w:r w:rsidRPr="00011A51">
        <w:rPr>
          <w:rFonts w:ascii="Arial" w:hAnsi="Arial" w:cs="Arial"/>
          <w:sz w:val="20"/>
          <w:szCs w:val="20"/>
        </w:rPr>
        <w:t xml:space="preserve"> Participants may not only update the value of the chosen option, but also update the value of unchosen option simultaneously to estimate the optimal one, by using the </w:t>
      </w:r>
      <w:r w:rsidRPr="00011A51">
        <w:rPr>
          <w:rFonts w:ascii="Arial" w:hAnsi="Arial" w:cs="Arial"/>
          <w:sz w:val="20"/>
          <w:szCs w:val="20"/>
        </w:rPr>
        <w:lastRenderedPageBreak/>
        <w:t xml:space="preserve">counterfactual update model to capture the anti-correlations between options. This model updates the value of both options using the following rule </w:t>
      </w:r>
      <w:r w:rsidR="00DE3E4A">
        <w:rPr>
          <w:rFonts w:ascii="Arial" w:hAnsi="Arial" w:cs="Arial"/>
          <w:sz w:val="20"/>
          <w:szCs w:val="20"/>
        </w:rPr>
        <w:fldChar w:fldCharType="begin" w:fldLock="1"/>
      </w:r>
      <w:r w:rsidR="00CC7D0C">
        <w:rPr>
          <w:rFonts w:ascii="Arial" w:hAnsi="Arial" w:cs="Arial"/>
          <w:sz w:val="20"/>
          <w:szCs w:val="20"/>
        </w:rPr>
        <w:instrText>ADDIN CSL_CITATION {"citationItems":[{"id":"ITEM-1","itemData":{"DOI":"10.1016/j.neuron.2007.07.022","ISSN":"08966273","PMID":"17698008","abstract":"The prefrontal cortex (PFC) receives substantial anatomical input from the amygdala, and these two structures have long been implicated in reward-related learning and decision making. Yet little is known about how these regions interact, especially in humans. We investigated the contribution of the amygdala to reward-related signals in PFC by scanning two rare subjects with focal bilateral amygdala lesions using fMRI. The subjects performed a reversal learning task in which they first had to learn which of two choices was the more rewarding, and then flexibly switch their choices when contingencies changed. Compared with healthy controls, both amygdala lesion subjects showed a profound change in ventromedial prefrontal cortex (vmPFC) activity associated with reward expectation and behavioral choice. These findings support a critical role for the human amygdala in establishing expected reward representations in PFC, which in turn may be used to guide behavioral choice. © 2007 Elsevier Inc. All rights reserved.","author":[{"dropping-particle":"","family":"Hampton","given":"Alan N.","non-dropping-particle":"","parse-names":false,"suffix":""},{"dropping-particle":"","family":"Adolphs","given":"Ralph","non-dropping-particle":"","parse-names":false,"suffix":""},{"dropping-particle":"","family":"Tyszka","given":"Michael J.","non-dropping-particle":"","parse-names":false,"suffix":""},{"dropping-particle":"","family":"O'Doherty","given":"John P.","non-dropping-particle":"","parse-names":false,"suffix":""}],"container-title":"Neuron","id":"ITEM-1","issue":"4","issued":{"date-parts":[["2007"]]},"page":"545-555","title":"Contributions of the Amygdala to Reward Expectancy and Choice Signals in Human Prefrontal Cortex","type":"article-journal","volume":"55"},"uris":["http://www.mendeley.com/documents/?uuid=82b088f3-3ee0-4d2a-89ea-fca01ad8643f"]}],"mendeley":{"formattedCitation":"(Hampton et al., 2007)","plainTextFormattedCitation":"(Hampton et al., 2007)","previouslyFormattedCitation":"(Hampton et al., 2007)"},"properties":{"noteIndex":0},"schema":"https://github.com/citation-style-language/schema/raw/master/csl-citation.json"}</w:instrText>
      </w:r>
      <w:r w:rsidR="00DE3E4A">
        <w:rPr>
          <w:rFonts w:ascii="Arial" w:hAnsi="Arial" w:cs="Arial"/>
          <w:sz w:val="20"/>
          <w:szCs w:val="20"/>
        </w:rPr>
        <w:fldChar w:fldCharType="separate"/>
      </w:r>
      <w:r w:rsidR="00DE3E4A" w:rsidRPr="00DE3E4A">
        <w:rPr>
          <w:rFonts w:ascii="Arial" w:hAnsi="Arial" w:cs="Arial"/>
          <w:noProof/>
          <w:sz w:val="20"/>
          <w:szCs w:val="20"/>
        </w:rPr>
        <w:t>(Hampton et al., 2007)</w:t>
      </w:r>
      <w:r w:rsidR="00DE3E4A">
        <w:rPr>
          <w:rFonts w:ascii="Arial" w:hAnsi="Arial" w:cs="Arial"/>
          <w:sz w:val="20"/>
          <w:szCs w:val="20"/>
        </w:rPr>
        <w:fldChar w:fldCharType="end"/>
      </w:r>
      <w:r w:rsidRPr="00011A51">
        <w:rPr>
          <w:rFonts w:ascii="Arial" w:hAnsi="Arial" w:cs="Arial"/>
          <w:sz w:val="20"/>
          <w:szCs w:val="20"/>
        </w:rPr>
        <w:t>:</w:t>
      </w:r>
    </w:p>
    <w:p w14:paraId="7E417D7E" w14:textId="6EE3A891" w:rsidR="00074854" w:rsidRDefault="00000000" w:rsidP="00074854">
      <w:pPr>
        <w:spacing w:line="480" w:lineRule="auto"/>
        <w:ind w:firstLineChars="100" w:firstLine="240"/>
        <w:jc w:val="right"/>
        <w:rPr>
          <w:rFonts w:ascii="Times New Roman" w:hAnsi="Times New Roman" w:cs="Times New Roman"/>
          <w:sz w:val="24"/>
        </w:rPr>
      </w:pPr>
      <m:oMath>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 η(</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 xml:space="preserve"> </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m:t>
        </m:r>
      </m:oMath>
      <w:r w:rsidR="00074854">
        <w:rPr>
          <w:rFonts w:ascii="Times New Roman" w:hAnsi="Times New Roman" w:cs="Times New Roman"/>
          <w:sz w:val="24"/>
        </w:rPr>
        <w:t xml:space="preserve">                      (</w:t>
      </w:r>
      <w:r w:rsidR="00AD0430">
        <w:rPr>
          <w:rFonts w:ascii="Times New Roman" w:hAnsi="Times New Roman" w:cs="Times New Roman"/>
          <w:sz w:val="24"/>
        </w:rPr>
        <w:t>1</w:t>
      </w:r>
      <w:r w:rsidR="00074854">
        <w:rPr>
          <w:rFonts w:ascii="Times New Roman" w:hAnsi="Times New Roman" w:cs="Times New Roman"/>
          <w:sz w:val="24"/>
        </w:rPr>
        <w:t>)</w:t>
      </w:r>
    </w:p>
    <w:p w14:paraId="31785804" w14:textId="2108FCB1" w:rsidR="00074854" w:rsidRDefault="00000000" w:rsidP="00074854">
      <w:pPr>
        <w:tabs>
          <w:tab w:val="left" w:pos="6930"/>
          <w:tab w:val="left" w:pos="7560"/>
        </w:tabs>
        <w:spacing w:line="480" w:lineRule="auto"/>
        <w:jc w:val="right"/>
        <w:rPr>
          <w:rFonts w:ascii="Times New Roman" w:hAnsi="Times New Roman" w:cs="Times New Roman"/>
          <w:sz w:val="24"/>
        </w:rPr>
      </w:pPr>
      <m:oMath>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nc,t</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nc,t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 η(</m:t>
        </m:r>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 xml:space="preserve">1 </m:t>
            </m:r>
          </m:sub>
        </m:sSub>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 xml:space="preserve"> </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nc,t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m:t>
        </m:r>
      </m:oMath>
      <w:r w:rsidR="00074854">
        <w:rPr>
          <w:rFonts w:ascii="Times New Roman" w:hAnsi="Times New Roman" w:cs="Times New Roman"/>
          <w:position w:val="-12"/>
          <w:sz w:val="24"/>
        </w:rPr>
        <w:t xml:space="preserve">                    </w:t>
      </w:r>
      <w:r w:rsidR="00074854">
        <w:rPr>
          <w:rFonts w:ascii="Times New Roman" w:hAnsi="Times New Roman" w:cs="Times New Roman"/>
          <w:sz w:val="24"/>
        </w:rPr>
        <w:t>(</w:t>
      </w:r>
      <w:r w:rsidR="00AD0430">
        <w:rPr>
          <w:rFonts w:ascii="Times New Roman" w:hAnsi="Times New Roman" w:cs="Times New Roman"/>
          <w:sz w:val="24"/>
        </w:rPr>
        <w:t>2</w:t>
      </w:r>
      <w:r w:rsidR="00074854">
        <w:rPr>
          <w:rFonts w:ascii="Times New Roman" w:hAnsi="Times New Roman" w:cs="Times New Roman"/>
          <w:sz w:val="24"/>
        </w:rPr>
        <w:t>)</w:t>
      </w:r>
    </w:p>
    <w:p w14:paraId="70D55410" w14:textId="77777777" w:rsidR="00074854" w:rsidRDefault="00074854" w:rsidP="00074854">
      <w:pPr>
        <w:spacing w:line="480" w:lineRule="auto"/>
        <w:ind w:firstLineChars="200" w:firstLine="400"/>
        <w:jc w:val="both"/>
        <w:rPr>
          <w:rFonts w:ascii="Arial" w:hAnsi="Arial" w:cs="Arial"/>
          <w:sz w:val="20"/>
          <w:szCs w:val="20"/>
        </w:rPr>
      </w:pPr>
      <w:r w:rsidRPr="006E3273">
        <w:rPr>
          <w:rFonts w:ascii="Arial" w:hAnsi="Arial" w:cs="Arial"/>
          <w:sz w:val="20"/>
          <w:szCs w:val="20"/>
        </w:rPr>
        <w:t xml:space="preserve">Thus, the value </w:t>
      </w:r>
      <m:oMath>
        <m:r>
          <w:rPr>
            <w:rFonts w:ascii="Cambria Math" w:eastAsiaTheme="minorEastAsia" w:hAnsi="Cambria Math" w:cs="Arial"/>
            <w:kern w:val="2"/>
            <w:sz w:val="20"/>
            <w:szCs w:val="20"/>
            <w:lang w:eastAsia="zh-CN"/>
          </w:rPr>
          <m:t>V</m:t>
        </m:r>
      </m:oMath>
      <w:r w:rsidRPr="006E3273">
        <w:rPr>
          <w:rFonts w:ascii="Arial" w:hAnsi="Arial" w:cs="Arial"/>
          <w:sz w:val="20"/>
          <w:szCs w:val="20"/>
        </w:rPr>
        <w:t xml:space="preserve"> at each trial </w:t>
      </w:r>
      <w:r w:rsidRPr="00011A51">
        <w:rPr>
          <w:rFonts w:ascii="Times New Roman" w:hAnsi="Times New Roman" w:cs="Times New Roman"/>
          <w:i/>
          <w:iCs/>
          <w:sz w:val="20"/>
          <w:szCs w:val="20"/>
        </w:rPr>
        <w:t>t</w:t>
      </w:r>
      <w:r w:rsidRPr="006E3273">
        <w:rPr>
          <w:rFonts w:ascii="Arial" w:hAnsi="Arial" w:cs="Arial"/>
          <w:sz w:val="20"/>
          <w:szCs w:val="20"/>
        </w:rPr>
        <w:t xml:space="preserve"> for the chosen option </w:t>
      </w:r>
      <w:r w:rsidRPr="00011A51">
        <w:rPr>
          <w:rFonts w:ascii="Times New Roman" w:hAnsi="Times New Roman" w:cs="Times New Roman"/>
          <w:i/>
          <w:iCs/>
          <w:sz w:val="20"/>
          <w:szCs w:val="20"/>
        </w:rPr>
        <w:t>c</w:t>
      </w:r>
      <w:r w:rsidRPr="006E3273">
        <w:rPr>
          <w:rFonts w:ascii="Arial" w:hAnsi="Arial" w:cs="Arial"/>
          <w:i/>
          <w:iCs/>
          <w:sz w:val="20"/>
          <w:szCs w:val="20"/>
        </w:rPr>
        <w:t xml:space="preserve"> </w:t>
      </w:r>
      <w:r w:rsidRPr="006E3273">
        <w:rPr>
          <w:rFonts w:ascii="Arial" w:hAnsi="Arial" w:cs="Arial"/>
          <w:sz w:val="20"/>
          <w:szCs w:val="20"/>
        </w:rPr>
        <w:t>(</w:t>
      </w:r>
      <m:oMath>
        <m:sSub>
          <m:sSubPr>
            <m:ctrlPr>
              <w:rPr>
                <w:rFonts w:ascii="Cambria Math" w:eastAsiaTheme="minorEastAsia" w:hAnsi="Cambria Math" w:cs="Arial"/>
                <w:i/>
                <w:kern w:val="2"/>
                <w:sz w:val="20"/>
                <w:szCs w:val="20"/>
                <w:lang w:eastAsia="zh-CN"/>
              </w:rPr>
            </m:ctrlPr>
          </m:sSubPr>
          <m:e>
            <m:r>
              <w:rPr>
                <w:rFonts w:ascii="Cambria Math" w:eastAsiaTheme="minorEastAsia" w:hAnsi="Cambria Math" w:cs="Arial"/>
                <w:kern w:val="2"/>
                <w:sz w:val="20"/>
                <w:szCs w:val="20"/>
                <w:lang w:eastAsia="zh-CN"/>
              </w:rPr>
              <m:t>V</m:t>
            </m:r>
          </m:e>
          <m:sub>
            <m:r>
              <w:rPr>
                <w:rFonts w:ascii="Cambria Math" w:eastAsiaTheme="minorEastAsia" w:hAnsi="Cambria Math" w:cs="Arial"/>
                <w:kern w:val="2"/>
                <w:sz w:val="20"/>
                <w:szCs w:val="20"/>
                <w:lang w:eastAsia="zh-CN"/>
              </w:rPr>
              <m:t>c,t</m:t>
            </m:r>
          </m:sub>
        </m:sSub>
      </m:oMath>
      <w:r w:rsidRPr="006E3273">
        <w:rPr>
          <w:rFonts w:ascii="Arial" w:hAnsi="Arial" w:cs="Arial"/>
          <w:sz w:val="20"/>
          <w:szCs w:val="20"/>
        </w:rPr>
        <w:t>) is updated with the actual prediction error (</w:t>
      </w:r>
      <m:oMath>
        <m:sSub>
          <m:sSubPr>
            <m:ctrlPr>
              <w:rPr>
                <w:rFonts w:ascii="Cambria Math" w:eastAsiaTheme="minorEastAsia" w:hAnsi="Cambria Math" w:cs="Times New Roman"/>
                <w:i/>
                <w:kern w:val="2"/>
                <w:sz w:val="20"/>
                <w:szCs w:val="20"/>
                <w:lang w:eastAsia="zh-CN"/>
              </w:rPr>
            </m:ctrlPr>
          </m:sSubPr>
          <m:e>
            <m:r>
              <w:rPr>
                <w:rFonts w:ascii="Cambria Math" w:eastAsiaTheme="minorEastAsia" w:hAnsi="Cambria Math" w:cs="Times New Roman"/>
                <w:kern w:val="2"/>
                <w:sz w:val="20"/>
                <w:szCs w:val="20"/>
                <w:lang w:eastAsia="zh-CN"/>
              </w:rPr>
              <m:t>O</m:t>
            </m:r>
          </m:e>
          <m:sub>
            <m:r>
              <w:rPr>
                <w:rFonts w:ascii="Cambria Math" w:eastAsiaTheme="minorEastAsia" w:hAnsi="Cambria Math" w:cs="Times New Roman"/>
                <w:kern w:val="2"/>
                <w:sz w:val="20"/>
                <w:szCs w:val="20"/>
                <w:lang w:eastAsia="zh-CN"/>
              </w:rPr>
              <m:t>t-1</m:t>
            </m:r>
          </m:sub>
        </m:sSub>
        <m:r>
          <w:rPr>
            <w:rFonts w:ascii="Cambria Math" w:eastAsiaTheme="minorEastAsia" w:hAnsi="Cambria Math" w:cs="Times New Roman"/>
            <w:kern w:val="2"/>
            <w:sz w:val="20"/>
            <w:szCs w:val="20"/>
            <w:lang w:eastAsia="zh-CN"/>
          </w:rPr>
          <m:t xml:space="preserve">- </m:t>
        </m:r>
        <m:sSub>
          <m:sSubPr>
            <m:ctrlPr>
              <w:rPr>
                <w:rFonts w:ascii="Cambria Math" w:eastAsiaTheme="minorEastAsia" w:hAnsi="Cambria Math" w:cs="Times New Roman"/>
                <w:i/>
                <w:kern w:val="2"/>
                <w:sz w:val="20"/>
                <w:szCs w:val="20"/>
                <w:lang w:eastAsia="zh-CN"/>
              </w:rPr>
            </m:ctrlPr>
          </m:sSubPr>
          <m:e>
            <m:r>
              <w:rPr>
                <w:rFonts w:ascii="Cambria Math" w:eastAsiaTheme="minorEastAsia" w:hAnsi="Cambria Math" w:cs="Times New Roman"/>
                <w:kern w:val="2"/>
                <w:sz w:val="20"/>
                <w:szCs w:val="20"/>
                <w:lang w:eastAsia="zh-CN"/>
              </w:rPr>
              <m:t>V</m:t>
            </m:r>
          </m:e>
          <m:sub>
            <m:r>
              <w:rPr>
                <w:rFonts w:ascii="Cambria Math" w:eastAsiaTheme="minorEastAsia" w:hAnsi="Cambria Math" w:cs="Times New Roman"/>
                <w:kern w:val="2"/>
                <w:sz w:val="20"/>
                <w:szCs w:val="20"/>
                <w:lang w:eastAsia="zh-CN"/>
              </w:rPr>
              <m:t>c,t-1</m:t>
            </m:r>
          </m:sub>
        </m:sSub>
      </m:oMath>
      <w:r w:rsidRPr="006E3273">
        <w:rPr>
          <w:rFonts w:ascii="Arial" w:hAnsi="Arial" w:cs="Arial"/>
          <w:sz w:val="20"/>
          <w:szCs w:val="20"/>
        </w:rPr>
        <w:t xml:space="preserve">), whereas the value for unchosen </w:t>
      </w:r>
      <w:r w:rsidRPr="00011A51">
        <w:rPr>
          <w:rFonts w:ascii="Times New Roman" w:hAnsi="Times New Roman" w:cs="Times New Roman"/>
          <w:i/>
          <w:iCs/>
          <w:sz w:val="20"/>
          <w:szCs w:val="20"/>
        </w:rPr>
        <w:t>nc</w:t>
      </w:r>
      <w:r w:rsidRPr="006E3273">
        <w:rPr>
          <w:rFonts w:ascii="Arial" w:hAnsi="Arial" w:cs="Arial"/>
          <w:sz w:val="20"/>
          <w:szCs w:val="20"/>
        </w:rPr>
        <w:t xml:space="preserve"> stimulus is updated with the fictitious prediction error (</w:t>
      </w:r>
      <m:oMath>
        <m:sSub>
          <m:sSubPr>
            <m:ctrlPr>
              <w:rPr>
                <w:rFonts w:ascii="Cambria Math" w:eastAsiaTheme="minorEastAsia" w:hAnsi="Cambria Math" w:cs="Times New Roman"/>
                <w:i/>
                <w:kern w:val="2"/>
                <w:sz w:val="20"/>
                <w:szCs w:val="20"/>
                <w:lang w:eastAsia="zh-CN"/>
              </w:rPr>
            </m:ctrlPr>
          </m:sSubPr>
          <m:e>
            <m:r>
              <w:rPr>
                <w:rFonts w:ascii="Cambria Math" w:eastAsiaTheme="minorEastAsia" w:hAnsi="Cambria Math" w:cs="Times New Roman"/>
                <w:kern w:val="2"/>
                <w:sz w:val="20"/>
                <w:szCs w:val="20"/>
                <w:lang w:eastAsia="zh-CN"/>
              </w:rPr>
              <m:t>-O</m:t>
            </m:r>
          </m:e>
          <m:sub>
            <m:r>
              <w:rPr>
                <w:rFonts w:ascii="Cambria Math" w:eastAsiaTheme="minorEastAsia" w:hAnsi="Cambria Math" w:cs="Times New Roman"/>
                <w:kern w:val="2"/>
                <w:sz w:val="20"/>
                <w:szCs w:val="20"/>
                <w:lang w:eastAsia="zh-CN"/>
              </w:rPr>
              <m:t>t-1</m:t>
            </m:r>
          </m:sub>
        </m:sSub>
        <m:r>
          <w:rPr>
            <w:rFonts w:ascii="Cambria Math" w:eastAsiaTheme="minorEastAsia" w:hAnsi="Cambria Math" w:cs="Times New Roman"/>
            <w:kern w:val="2"/>
            <w:sz w:val="20"/>
            <w:szCs w:val="20"/>
            <w:lang w:eastAsia="zh-CN"/>
          </w:rPr>
          <m:t xml:space="preserve">- </m:t>
        </m:r>
        <m:sSub>
          <m:sSubPr>
            <m:ctrlPr>
              <w:rPr>
                <w:rFonts w:ascii="Cambria Math" w:eastAsiaTheme="minorEastAsia" w:hAnsi="Cambria Math" w:cs="Times New Roman"/>
                <w:i/>
                <w:kern w:val="2"/>
                <w:sz w:val="20"/>
                <w:szCs w:val="20"/>
                <w:lang w:eastAsia="zh-CN"/>
              </w:rPr>
            </m:ctrlPr>
          </m:sSubPr>
          <m:e>
            <m:r>
              <w:rPr>
                <w:rFonts w:ascii="Cambria Math" w:eastAsiaTheme="minorEastAsia" w:hAnsi="Cambria Math" w:cs="Times New Roman"/>
                <w:kern w:val="2"/>
                <w:sz w:val="20"/>
                <w:szCs w:val="20"/>
                <w:lang w:eastAsia="zh-CN"/>
              </w:rPr>
              <m:t>V</m:t>
            </m:r>
          </m:e>
          <m:sub>
            <m:r>
              <w:rPr>
                <w:rFonts w:ascii="Cambria Math" w:eastAsiaTheme="minorEastAsia" w:hAnsi="Cambria Math" w:cs="Times New Roman"/>
                <w:kern w:val="2"/>
                <w:sz w:val="20"/>
                <w:szCs w:val="20"/>
                <w:lang w:eastAsia="zh-CN"/>
              </w:rPr>
              <m:t>nc,t-1</m:t>
            </m:r>
          </m:sub>
        </m:sSub>
      </m:oMath>
      <w:r w:rsidRPr="006E3273">
        <w:rPr>
          <w:rFonts w:ascii="Arial" w:hAnsi="Arial" w:cs="Arial"/>
          <w:sz w:val="20"/>
          <w:szCs w:val="20"/>
        </w:rPr>
        <w:t>). In this model,</w:t>
      </w:r>
      <w:r>
        <w:rPr>
          <w:rFonts w:ascii="Arial" w:hAnsi="Arial" w:cs="Arial"/>
          <w:sz w:val="20"/>
          <w:szCs w:val="20"/>
        </w:rPr>
        <w:t xml:space="preserve"> </w:t>
      </w:r>
      <m:oMath>
        <m:r>
          <w:rPr>
            <w:rFonts w:ascii="Cambria Math" w:hAnsi="Cambria Math" w:cs="Arial"/>
            <w:sz w:val="20"/>
            <w:szCs w:val="20"/>
          </w:rPr>
          <m:t xml:space="preserve">η </m:t>
        </m:r>
      </m:oMath>
      <w:r>
        <w:rPr>
          <w:rFonts w:ascii="Arial" w:hAnsi="Arial" w:cs="Arial"/>
          <w:sz w:val="20"/>
          <w:szCs w:val="20"/>
        </w:rPr>
        <w:t>is</w:t>
      </w:r>
      <w:r w:rsidRPr="006E3273">
        <w:rPr>
          <w:rFonts w:ascii="Arial" w:hAnsi="Arial" w:cs="Arial"/>
          <w:sz w:val="20"/>
          <w:szCs w:val="20"/>
        </w:rPr>
        <w:t xml:space="preserve"> the learning rate that reflects the influence of two prediction errors on the value update. In other words, it controls the speed of learning (i.e.</w:t>
      </w:r>
      <w:r>
        <w:rPr>
          <w:rFonts w:ascii="Arial" w:hAnsi="Arial" w:cs="Arial"/>
          <w:sz w:val="20"/>
          <w:szCs w:val="20"/>
        </w:rPr>
        <w:t>,</w:t>
      </w:r>
      <w:r w:rsidRPr="006E3273">
        <w:rPr>
          <w:rFonts w:ascii="Arial" w:hAnsi="Arial" w:cs="Arial"/>
          <w:sz w:val="20"/>
          <w:szCs w:val="20"/>
        </w:rPr>
        <w:t xml:space="preserve"> individuals with high learning rate can learn and capture the information of outcomes faster than those with low learning rate). In this framework, the value estimation and updating of two options can be quantified under RLT and PLT frames and affected by self-other biases. </w:t>
      </w:r>
    </w:p>
    <w:p w14:paraId="4306D602" w14:textId="77777777" w:rsidR="00074854" w:rsidRPr="006E3273" w:rsidRDefault="00074854" w:rsidP="00074854">
      <w:pPr>
        <w:spacing w:line="480" w:lineRule="auto"/>
        <w:ind w:firstLineChars="200" w:firstLine="400"/>
        <w:jc w:val="both"/>
        <w:rPr>
          <w:rFonts w:ascii="Arial" w:hAnsi="Arial" w:cs="Arial"/>
          <w:sz w:val="20"/>
          <w:szCs w:val="20"/>
        </w:rPr>
      </w:pPr>
    </w:p>
    <w:p w14:paraId="784CEFA7" w14:textId="3D291560" w:rsidR="00074854" w:rsidRPr="006E3273" w:rsidRDefault="00074854" w:rsidP="00074854">
      <w:pPr>
        <w:spacing w:line="480" w:lineRule="auto"/>
        <w:jc w:val="both"/>
        <w:rPr>
          <w:rFonts w:ascii="Arial" w:hAnsi="Arial" w:cs="Arial"/>
          <w:sz w:val="20"/>
          <w:szCs w:val="20"/>
        </w:rPr>
      </w:pPr>
      <w:r w:rsidRPr="006E3273">
        <w:rPr>
          <w:rFonts w:ascii="Arial" w:hAnsi="Arial" w:cs="Arial"/>
          <w:b/>
          <w:bCs/>
          <w:i/>
          <w:sz w:val="20"/>
          <w:szCs w:val="20"/>
        </w:rPr>
        <w:t>Experience-weighted attraction model.</w:t>
      </w:r>
      <w:r w:rsidRPr="006E3273">
        <w:rPr>
          <w:rFonts w:ascii="Arial" w:hAnsi="Arial" w:cs="Arial"/>
          <w:b/>
          <w:bCs/>
          <w:sz w:val="20"/>
          <w:szCs w:val="20"/>
        </w:rPr>
        <w:t xml:space="preserve"> </w:t>
      </w:r>
      <w:r w:rsidRPr="006E3273">
        <w:rPr>
          <w:rFonts w:ascii="Arial" w:hAnsi="Arial" w:cs="Arial"/>
          <w:sz w:val="20"/>
          <w:szCs w:val="20"/>
        </w:rPr>
        <w:t xml:space="preserve">Alternatively, </w:t>
      </w:r>
      <w:bookmarkStart w:id="1" w:name="OLE_LINK45"/>
      <w:bookmarkStart w:id="2" w:name="OLE_LINK44"/>
      <w:r w:rsidRPr="006E3273">
        <w:rPr>
          <w:rFonts w:ascii="Arial" w:hAnsi="Arial" w:cs="Arial"/>
          <w:sz w:val="20"/>
          <w:szCs w:val="20"/>
        </w:rPr>
        <w:t xml:space="preserve">diversity </w:t>
      </w:r>
      <w:bookmarkEnd w:id="1"/>
      <w:bookmarkEnd w:id="2"/>
      <w:r w:rsidRPr="006E3273">
        <w:rPr>
          <w:rFonts w:ascii="Arial" w:hAnsi="Arial" w:cs="Arial"/>
          <w:sz w:val="20"/>
          <w:szCs w:val="20"/>
        </w:rPr>
        <w:t xml:space="preserve">of social preferences may influence perceptions of the past experience and current choices during the reinforcement learning with different outcome valences, which makes individuals insensitive to novel information and unable to switch to the correct option. An experience-related parameter which weights the learning is the key feature of this model. Poorly accuracy of decisions may be due to a failure to update the value of choices based on new information. We examined this hypothesis using the experience-weight parameter from a simplified version of the experience-weighted attraction (EWA) model of Camerer and Ho </w:t>
      </w:r>
      <w:r w:rsidR="00CC7D0C">
        <w:rPr>
          <w:rFonts w:ascii="Arial" w:hAnsi="Arial" w:cs="Arial"/>
          <w:sz w:val="20"/>
          <w:szCs w:val="20"/>
        </w:rPr>
        <w:fldChar w:fldCharType="begin" w:fldLock="1"/>
      </w:r>
      <w:r w:rsidR="00937AA3">
        <w:rPr>
          <w:rFonts w:ascii="Arial" w:hAnsi="Arial" w:cs="Arial"/>
          <w:sz w:val="20"/>
          <w:szCs w:val="20"/>
        </w:rPr>
        <w:instrText>ADDIN CSL_CITATION {"citationItems":[{"id":"ITEM-1","itemData":{"author":[{"dropping-particle":"","family":"Camerer","given":"Colin","non-dropping-particle":"","parse-names":false,"suffix":""},{"dropping-particle":"","family":"Ho","given":"Teck-Hua","non-dropping-particle":"","parse-names":false,"suffix":""}],"container-title":"Econometrica","id":"ITEM-1","issue":"4","issued":{"date-parts":[["1999"]]},"page":"827-874","title":"Experience-weighted attraction learning in normal form games","type":"article-journal","volume":"67"},"uris":["http://www.mendeley.com/documents/?uuid=1778199a-e441-4a3c-bc87-f0a63d366823"]}],"mendeley":{"formattedCitation":"(Camerer &amp; Ho, 1999)","plainTextFormattedCitation":"(Camerer &amp; Ho, 1999)","previouslyFormattedCitation":"(Camerer &amp; Ho, 1999)"},"properties":{"noteIndex":0},"schema":"https://github.com/citation-style-language/schema/raw/master/csl-citation.json"}</w:instrText>
      </w:r>
      <w:r w:rsidR="00CC7D0C">
        <w:rPr>
          <w:rFonts w:ascii="Arial" w:hAnsi="Arial" w:cs="Arial"/>
          <w:sz w:val="20"/>
          <w:szCs w:val="20"/>
        </w:rPr>
        <w:fldChar w:fldCharType="separate"/>
      </w:r>
      <w:r w:rsidR="00CC7D0C" w:rsidRPr="00CC7D0C">
        <w:rPr>
          <w:rFonts w:ascii="Arial" w:hAnsi="Arial" w:cs="Arial"/>
          <w:noProof/>
          <w:sz w:val="20"/>
          <w:szCs w:val="20"/>
        </w:rPr>
        <w:t>(Camerer &amp; Ho, 1999)</w:t>
      </w:r>
      <w:r w:rsidR="00CC7D0C">
        <w:rPr>
          <w:rFonts w:ascii="Arial" w:hAnsi="Arial" w:cs="Arial"/>
          <w:sz w:val="20"/>
          <w:szCs w:val="20"/>
        </w:rPr>
        <w:fldChar w:fldCharType="end"/>
      </w:r>
      <w:r w:rsidRPr="006E3273">
        <w:rPr>
          <w:rFonts w:ascii="Arial" w:hAnsi="Arial" w:cs="Arial"/>
          <w:sz w:val="20"/>
          <w:szCs w:val="20"/>
        </w:rPr>
        <w:t xml:space="preserve">, in which features unrelated to the present study were excluded. The EWA model with the experience weight </w:t>
      </w:r>
      <m:oMath>
        <m:r>
          <w:rPr>
            <w:rFonts w:ascii="Cambria Math" w:eastAsiaTheme="minorEastAsia" w:hAnsi="Cambria Math" w:cs="Arial"/>
            <w:kern w:val="2"/>
            <w:sz w:val="20"/>
            <w:szCs w:val="20"/>
            <w:lang w:eastAsia="zh-CN"/>
          </w:rPr>
          <m:t>n</m:t>
        </m:r>
      </m:oMath>
      <w:r w:rsidRPr="006E3273">
        <w:rPr>
          <w:rFonts w:ascii="Arial" w:eastAsiaTheme="minorEastAsia" w:hAnsi="Arial" w:cs="Arial"/>
          <w:kern w:val="2"/>
          <w:sz w:val="20"/>
          <w:szCs w:val="20"/>
          <w:lang w:eastAsia="zh-CN"/>
        </w:rPr>
        <w:t xml:space="preserve"> </w:t>
      </w:r>
      <w:r w:rsidRPr="006E3273">
        <w:rPr>
          <w:rFonts w:ascii="Arial" w:hAnsi="Arial" w:cs="Arial"/>
          <w:sz w:val="20"/>
          <w:szCs w:val="20"/>
        </w:rPr>
        <w:t xml:space="preserve">and update of the stimulus value </w:t>
      </w:r>
      <m:oMath>
        <m:r>
          <w:rPr>
            <w:rFonts w:ascii="Cambria Math" w:eastAsiaTheme="minorEastAsia" w:hAnsi="Cambria Math" w:cs="Arial"/>
            <w:kern w:val="2"/>
            <w:sz w:val="20"/>
            <w:szCs w:val="20"/>
            <w:lang w:eastAsia="zh-CN"/>
          </w:rPr>
          <m:t>V</m:t>
        </m:r>
      </m:oMath>
      <w:r w:rsidRPr="006E3273">
        <w:rPr>
          <w:rFonts w:ascii="Arial" w:eastAsiaTheme="minorEastAsia" w:hAnsi="Arial" w:cs="Arial"/>
          <w:kern w:val="2"/>
          <w:sz w:val="20"/>
          <w:szCs w:val="20"/>
          <w:lang w:eastAsia="zh-CN"/>
        </w:rPr>
        <w:t xml:space="preserve"> </w:t>
      </w:r>
      <w:r w:rsidRPr="006E3273">
        <w:rPr>
          <w:rFonts w:ascii="Arial" w:hAnsi="Arial" w:cs="Arial"/>
          <w:sz w:val="20"/>
          <w:szCs w:val="20"/>
        </w:rPr>
        <w:t>is described by the following equations:</w:t>
      </w:r>
    </w:p>
    <w:p w14:paraId="3A92CD35" w14:textId="43811735" w:rsidR="00074854" w:rsidRDefault="00000000" w:rsidP="00074854">
      <w:pPr>
        <w:spacing w:line="480" w:lineRule="auto"/>
        <w:ind w:firstLineChars="100" w:firstLine="240"/>
        <w:jc w:val="right"/>
        <w:rPr>
          <w:rFonts w:ascii="Times New Roman" w:hAnsi="Times New Roman" w:cs="Times New Roman"/>
          <w:sz w:val="24"/>
        </w:rPr>
      </w:pPr>
      <m:oMath>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n</m:t>
            </m:r>
          </m:e>
          <m:sub>
            <m:r>
              <w:rPr>
                <w:rFonts w:ascii="Cambria Math" w:eastAsiaTheme="minorEastAsia" w:hAnsi="Times New Roman" w:cs="Times New Roman"/>
                <w:kern w:val="2"/>
                <w:sz w:val="24"/>
                <w:szCs w:val="24"/>
                <w:lang w:eastAsia="zh-CN"/>
              </w:rPr>
              <m:t>c,t</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n</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ρ+1</m:t>
        </m:r>
      </m:oMath>
      <w:r w:rsidR="00074854">
        <w:rPr>
          <w:rFonts w:ascii="Times New Roman" w:hAnsi="Times New Roman" w:cs="Times New Roman"/>
          <w:position w:val="-12"/>
          <w:sz w:val="24"/>
        </w:rPr>
        <w:t xml:space="preserve">                           </w:t>
      </w:r>
      <w:r w:rsidR="00074854">
        <w:rPr>
          <w:rFonts w:ascii="Times New Roman" w:hAnsi="Times New Roman" w:cs="Times New Roman"/>
          <w:sz w:val="24"/>
        </w:rPr>
        <w:t>(</w:t>
      </w:r>
      <w:r w:rsidR="00AD0430">
        <w:rPr>
          <w:rFonts w:ascii="Times New Roman" w:hAnsi="Times New Roman" w:cs="Times New Roman"/>
          <w:sz w:val="24"/>
        </w:rPr>
        <w:t>3</w:t>
      </w:r>
      <w:r w:rsidR="00074854">
        <w:rPr>
          <w:rFonts w:ascii="Times New Roman" w:hAnsi="Times New Roman" w:cs="Times New Roman"/>
          <w:sz w:val="24"/>
        </w:rPr>
        <w:t>)</w:t>
      </w:r>
    </w:p>
    <w:p w14:paraId="2CD747B1" w14:textId="7E9AD188" w:rsidR="00074854" w:rsidRDefault="00000000" w:rsidP="00074854">
      <w:pPr>
        <w:spacing w:line="480" w:lineRule="auto"/>
        <w:ind w:firstLineChars="100" w:firstLine="240"/>
        <w:jc w:val="right"/>
        <w:rPr>
          <w:rFonts w:ascii="Times New Roman" w:hAnsi="Times New Roman" w:cs="Times New Roman"/>
          <w:sz w:val="24"/>
        </w:rPr>
      </w:pPr>
      <m:oMath>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ϕ</m:t>
        </m:r>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n</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n</m:t>
            </m:r>
          </m:e>
          <m:sub>
            <m:r>
              <w:rPr>
                <w:rFonts w:ascii="Cambria Math" w:eastAsiaTheme="minorEastAsia" w:hAnsi="Times New Roman" w:cs="Times New Roman"/>
                <w:kern w:val="2"/>
                <w:sz w:val="24"/>
                <w:szCs w:val="24"/>
                <w:lang w:eastAsia="zh-CN"/>
              </w:rPr>
              <m:t>c,t</m:t>
            </m:r>
          </m:sub>
        </m:sSub>
      </m:oMath>
      <w:r w:rsidR="00074854">
        <w:rPr>
          <w:rFonts w:ascii="Times New Roman" w:hAnsi="Times New Roman" w:cs="Times New Roman"/>
          <w:position w:val="-12"/>
          <w:sz w:val="24"/>
        </w:rPr>
        <w:t xml:space="preserve">                  </w:t>
      </w:r>
      <w:r w:rsidR="00074854">
        <w:rPr>
          <w:rFonts w:ascii="Times New Roman" w:hAnsi="Times New Roman" w:cs="Times New Roman"/>
          <w:sz w:val="24"/>
        </w:rPr>
        <w:t>(</w:t>
      </w:r>
      <w:r w:rsidR="00AD0430">
        <w:rPr>
          <w:rFonts w:ascii="Times New Roman" w:hAnsi="Times New Roman" w:cs="Times New Roman"/>
          <w:sz w:val="24"/>
        </w:rPr>
        <w:t>4</w:t>
      </w:r>
      <w:r w:rsidR="00074854">
        <w:rPr>
          <w:rFonts w:ascii="Times New Roman" w:hAnsi="Times New Roman" w:cs="Times New Roman"/>
          <w:sz w:val="24"/>
        </w:rPr>
        <w:t>)</w:t>
      </w:r>
    </w:p>
    <w:p w14:paraId="59E6182F" w14:textId="16763AA7" w:rsidR="00074854" w:rsidRPr="004172B0" w:rsidRDefault="00074854" w:rsidP="00074854">
      <w:pPr>
        <w:spacing w:line="480" w:lineRule="auto"/>
        <w:ind w:firstLineChars="200" w:firstLine="400"/>
        <w:jc w:val="both"/>
        <w:rPr>
          <w:rFonts w:ascii="Arial" w:hAnsi="Arial" w:cs="Arial"/>
          <w:sz w:val="20"/>
          <w:szCs w:val="20"/>
        </w:rPr>
      </w:pPr>
      <w:r w:rsidRPr="004172B0">
        <w:rPr>
          <w:rFonts w:ascii="Arial" w:hAnsi="Arial" w:cs="Arial"/>
          <w:sz w:val="20"/>
          <w:szCs w:val="20"/>
        </w:rPr>
        <w:lastRenderedPageBreak/>
        <w:t xml:space="preserve">Here, </w:t>
      </w:r>
      <m:oMath>
        <m:sSub>
          <m:sSubPr>
            <m:ctrlPr>
              <w:rPr>
                <w:rFonts w:ascii="Cambria Math" w:eastAsiaTheme="minorEastAsia" w:hAnsi="Cambria Math" w:cs="Arial"/>
                <w:i/>
                <w:kern w:val="2"/>
                <w:sz w:val="20"/>
                <w:szCs w:val="20"/>
                <w:lang w:eastAsia="zh-CN"/>
              </w:rPr>
            </m:ctrlPr>
          </m:sSubPr>
          <m:e>
            <m:r>
              <w:rPr>
                <w:rFonts w:ascii="Cambria Math" w:eastAsiaTheme="minorEastAsia" w:hAnsi="Cambria Math" w:cs="Arial"/>
                <w:kern w:val="2"/>
                <w:sz w:val="20"/>
                <w:szCs w:val="20"/>
                <w:lang w:eastAsia="zh-CN"/>
              </w:rPr>
              <m:t>n</m:t>
            </m:r>
          </m:e>
          <m:sub>
            <m:r>
              <w:rPr>
                <w:rFonts w:ascii="Cambria Math" w:eastAsiaTheme="minorEastAsia" w:hAnsi="Cambria Math" w:cs="Arial"/>
                <w:kern w:val="2"/>
                <w:sz w:val="20"/>
                <w:szCs w:val="20"/>
                <w:lang w:eastAsia="zh-CN"/>
              </w:rPr>
              <m:t>c,t</m:t>
            </m:r>
          </m:sub>
        </m:sSub>
      </m:oMath>
      <w:r>
        <w:rPr>
          <w:rFonts w:ascii="Arial" w:eastAsiaTheme="minorEastAsia" w:hAnsi="Arial" w:cs="Arial"/>
          <w:kern w:val="2"/>
          <w:sz w:val="20"/>
          <w:szCs w:val="20"/>
          <w:lang w:eastAsia="zh-CN"/>
        </w:rPr>
        <w:t xml:space="preserve"> </w:t>
      </w:r>
      <w:r w:rsidRPr="004172B0">
        <w:rPr>
          <w:rFonts w:ascii="Arial" w:hAnsi="Arial" w:cs="Arial"/>
          <w:sz w:val="20"/>
          <w:szCs w:val="20"/>
        </w:rPr>
        <w:t xml:space="preserve">is the “experience weight” of the choice at trial </w:t>
      </w:r>
      <m:oMath>
        <m:r>
          <w:rPr>
            <w:rFonts w:ascii="Cambria Math" w:hAnsi="Cambria Math" w:cs="Arial"/>
            <w:sz w:val="20"/>
            <w:szCs w:val="20"/>
          </w:rPr>
          <m:t>t</m:t>
        </m:r>
      </m:oMath>
      <w:r w:rsidRPr="004172B0">
        <w:rPr>
          <w:rFonts w:ascii="Arial" w:hAnsi="Arial" w:cs="Arial"/>
          <w:sz w:val="20"/>
          <w:szCs w:val="20"/>
        </w:rPr>
        <w:t>, which is updated on each trial using the experience decay factor</w:t>
      </w:r>
      <w:r>
        <w:rPr>
          <w:rFonts w:ascii="Arial" w:hAnsi="Arial" w:cs="Arial"/>
          <w:sz w:val="20"/>
          <w:szCs w:val="20"/>
        </w:rPr>
        <w:t xml:space="preserve"> </w:t>
      </w:r>
      <m:oMath>
        <m:r>
          <w:rPr>
            <w:rFonts w:ascii="Cambria Math" w:hAnsi="Cambria Math" w:cs="Arial"/>
            <w:sz w:val="20"/>
            <w:szCs w:val="20"/>
          </w:rPr>
          <m:t>ρ</m:t>
        </m:r>
      </m:oMath>
      <w:r w:rsidRPr="004172B0">
        <w:rPr>
          <w:rFonts w:ascii="Arial" w:hAnsi="Arial" w:cs="Arial"/>
          <w:sz w:val="20"/>
          <w:szCs w:val="20"/>
        </w:rPr>
        <w:t xml:space="preserve">. </w:t>
      </w:r>
      <m:oMath>
        <m:sSub>
          <m:sSubPr>
            <m:ctrlPr>
              <w:rPr>
                <w:rFonts w:ascii="Cambria Math" w:eastAsiaTheme="minorEastAsia" w:hAnsi="Cambria Math" w:cs="Arial"/>
                <w:i/>
                <w:kern w:val="2"/>
                <w:sz w:val="20"/>
                <w:szCs w:val="20"/>
                <w:lang w:eastAsia="zh-CN"/>
              </w:rPr>
            </m:ctrlPr>
          </m:sSubPr>
          <m:e>
            <m:r>
              <w:rPr>
                <w:rFonts w:ascii="Cambria Math" w:eastAsiaTheme="minorEastAsia" w:hAnsi="Cambria Math" w:cs="Arial"/>
                <w:kern w:val="2"/>
                <w:sz w:val="20"/>
                <w:szCs w:val="20"/>
                <w:lang w:eastAsia="zh-CN"/>
              </w:rPr>
              <m:t>V</m:t>
            </m:r>
          </m:e>
          <m:sub>
            <m:r>
              <w:rPr>
                <w:rFonts w:ascii="Cambria Math" w:eastAsiaTheme="minorEastAsia" w:hAnsi="Cambria Math" w:cs="Arial"/>
                <w:kern w:val="2"/>
                <w:sz w:val="20"/>
                <w:szCs w:val="20"/>
                <w:lang w:eastAsia="zh-CN"/>
              </w:rPr>
              <m:t>c,t</m:t>
            </m:r>
          </m:sub>
        </m:sSub>
        <m:r>
          <w:rPr>
            <w:rFonts w:ascii="Cambria Math" w:eastAsiaTheme="minorEastAsia" w:hAnsi="Cambria Math" w:cs="Arial"/>
            <w:kern w:val="2"/>
            <w:sz w:val="20"/>
            <w:szCs w:val="20"/>
            <w:lang w:eastAsia="zh-CN"/>
          </w:rPr>
          <m:t xml:space="preserve"> </m:t>
        </m:r>
      </m:oMath>
      <w:r w:rsidRPr="004172B0">
        <w:rPr>
          <w:rFonts w:ascii="Arial" w:hAnsi="Arial" w:cs="Arial"/>
          <w:sz w:val="20"/>
          <w:szCs w:val="20"/>
        </w:rPr>
        <w:t>is the value of choice</w:t>
      </w:r>
      <m:oMath>
        <m:r>
          <w:rPr>
            <w:rFonts w:ascii="Cambria Math" w:eastAsiaTheme="minorEastAsia" w:hAnsi="Arial" w:cs="Arial"/>
            <w:kern w:val="2"/>
            <w:sz w:val="20"/>
            <w:szCs w:val="20"/>
            <w:lang w:eastAsia="zh-CN"/>
          </w:rPr>
          <m:t>c</m:t>
        </m:r>
      </m:oMath>
      <w:r w:rsidRPr="004172B0">
        <w:rPr>
          <w:rFonts w:ascii="Arial" w:hAnsi="Arial" w:cs="Arial"/>
          <w:sz w:val="20"/>
          <w:szCs w:val="20"/>
        </w:rPr>
        <w:t xml:space="preserve">on trial </w:t>
      </w:r>
      <w:r w:rsidRPr="004172B0">
        <w:rPr>
          <w:rFonts w:ascii="Arial" w:hAnsi="Arial" w:cs="Arial"/>
          <w:i/>
          <w:iCs/>
          <w:sz w:val="20"/>
          <w:szCs w:val="20"/>
        </w:rPr>
        <w:t>t</w:t>
      </w:r>
      <w:r w:rsidRPr="004172B0">
        <w:rPr>
          <w:rFonts w:ascii="Arial" w:hAnsi="Arial" w:cs="Arial"/>
          <w:sz w:val="20"/>
          <w:szCs w:val="20"/>
        </w:rPr>
        <w:t xml:space="preserve">, and </w:t>
      </w:r>
      <m:oMath>
        <m:r>
          <w:rPr>
            <w:rFonts w:ascii="Cambria Math" w:eastAsiaTheme="minorEastAsia" w:hAnsi="Cambria Math" w:cs="Arial"/>
            <w:kern w:val="2"/>
            <w:sz w:val="20"/>
            <w:szCs w:val="20"/>
            <w:lang w:eastAsia="zh-CN"/>
          </w:rPr>
          <m:t xml:space="preserve">O </m:t>
        </m:r>
      </m:oMath>
      <w:r w:rsidRPr="004172B0">
        <w:rPr>
          <w:rFonts w:ascii="Arial" w:hAnsi="Arial" w:cs="Arial"/>
          <w:sz w:val="20"/>
          <w:szCs w:val="20"/>
        </w:rPr>
        <w:t xml:space="preserve">is outcome of the choice. </w:t>
      </w:r>
      <m:oMath>
        <m:r>
          <w:rPr>
            <w:rFonts w:ascii="Cambria Math" w:eastAsiaTheme="minorEastAsia" w:hAnsi="Cambria Math" w:cs="Arial"/>
            <w:kern w:val="2"/>
            <w:sz w:val="20"/>
            <w:szCs w:val="20"/>
            <w:lang w:eastAsia="zh-CN"/>
          </w:rPr>
          <m:t xml:space="preserve">ϕ </m:t>
        </m:r>
      </m:oMath>
      <w:r w:rsidRPr="004172B0">
        <w:rPr>
          <w:rFonts w:ascii="Arial" w:hAnsi="Arial" w:cs="Arial"/>
          <w:sz w:val="20"/>
          <w:szCs w:val="20"/>
        </w:rPr>
        <w:t>is the decay factor for the previous payoffs, equivalent to the inverse of the learning rate in the Rescorla-Wagner model (1-α,</w:t>
      </w:r>
      <w:r>
        <w:rPr>
          <w:rFonts w:ascii="Arial" w:hAnsi="Arial" w:cs="Arial"/>
          <w:sz w:val="20"/>
          <w:szCs w:val="20"/>
        </w:rPr>
        <w:t xml:space="preserve"> </w:t>
      </w:r>
      <w:r w:rsidRPr="004172B0">
        <w:rPr>
          <w:rFonts w:ascii="Arial" w:hAnsi="Arial" w:cs="Arial"/>
          <w:sz w:val="20"/>
          <w:szCs w:val="20"/>
        </w:rPr>
        <w:t>α</w:t>
      </w:r>
      <w:r>
        <w:rPr>
          <w:rFonts w:ascii="Arial" w:hAnsi="Arial" w:cs="Arial"/>
          <w:sz w:val="20"/>
          <w:szCs w:val="20"/>
        </w:rPr>
        <w:t xml:space="preserve"> </w:t>
      </w:r>
      <w:r w:rsidRPr="004172B0">
        <w:rPr>
          <w:rFonts w:ascii="Arial" w:hAnsi="Arial" w:cs="Arial"/>
          <w:sz w:val="20"/>
          <w:szCs w:val="20"/>
        </w:rPr>
        <w:t>is the Rescorla-Wagner learning rate here). Particularly, for</w:t>
      </w:r>
      <m:oMath>
        <m:r>
          <w:rPr>
            <w:rFonts w:ascii="Cambria Math" w:hAnsi="Cambria Math" w:cs="Arial"/>
            <w:sz w:val="20"/>
            <w:szCs w:val="20"/>
          </w:rPr>
          <m:t xml:space="preserve"> </m:t>
        </m:r>
        <m:r>
          <w:rPr>
            <w:rFonts w:ascii="Cambria Math" w:eastAsiaTheme="minorEastAsia" w:hAnsi="Arial" w:cs="Arial"/>
            <w:kern w:val="2"/>
            <w:sz w:val="20"/>
            <w:szCs w:val="20"/>
            <w:lang w:eastAsia="zh-CN"/>
          </w:rPr>
          <m:t>ρ</m:t>
        </m:r>
      </m:oMath>
      <w:r w:rsidRPr="004172B0">
        <w:rPr>
          <w:rFonts w:ascii="Arial" w:hAnsi="Arial" w:cs="Arial"/>
          <w:sz w:val="20"/>
          <w:szCs w:val="20"/>
        </w:rPr>
        <w:t xml:space="preserve"> &gt; 0, the experience weights promote more </w:t>
      </w:r>
      <w:bookmarkStart w:id="3" w:name="OLE_LINK47"/>
      <w:bookmarkStart w:id="4" w:name="OLE_LINK46"/>
      <w:r w:rsidRPr="004172B0">
        <w:rPr>
          <w:rFonts w:ascii="Arial" w:hAnsi="Arial" w:cs="Arial"/>
          <w:sz w:val="20"/>
          <w:szCs w:val="20"/>
        </w:rPr>
        <w:t xml:space="preserve">sluggish </w:t>
      </w:r>
      <w:bookmarkEnd w:id="3"/>
      <w:bookmarkEnd w:id="4"/>
      <w:r w:rsidRPr="004172B0">
        <w:rPr>
          <w:rFonts w:ascii="Arial" w:hAnsi="Arial" w:cs="Arial"/>
          <w:sz w:val="20"/>
          <w:szCs w:val="20"/>
        </w:rPr>
        <w:t xml:space="preserve">updating with time. The EWA model captures the attribution of significance to past experience over and above new information as an individual progress through the task. This effectively reduces the learning rate over time. Thus, in this framework, </w:t>
      </w:r>
      <w:bookmarkStart w:id="5" w:name="OLE_LINK49"/>
      <w:bookmarkStart w:id="6" w:name="OLE_LINK48"/>
      <w:bookmarkStart w:id="7" w:name="OLE_LINK50"/>
      <w:r w:rsidRPr="004172B0">
        <w:rPr>
          <w:rFonts w:ascii="Arial" w:hAnsi="Arial" w:cs="Arial"/>
          <w:sz w:val="20"/>
          <w:szCs w:val="20"/>
        </w:rPr>
        <w:t xml:space="preserve">perseveration </w:t>
      </w:r>
      <w:bookmarkEnd w:id="5"/>
      <w:bookmarkEnd w:id="6"/>
      <w:bookmarkEnd w:id="7"/>
      <w:r w:rsidRPr="004172B0">
        <w:rPr>
          <w:rFonts w:ascii="Arial" w:hAnsi="Arial" w:cs="Arial"/>
          <w:sz w:val="20"/>
          <w:szCs w:val="20"/>
        </w:rPr>
        <w:t>to the incorrect option would be different when making decisions for self or other, in particular on diverse learning frames.</w:t>
      </w:r>
    </w:p>
    <w:p w14:paraId="6B3A9678" w14:textId="77777777" w:rsidR="00074854" w:rsidRPr="004172B0" w:rsidRDefault="00074854" w:rsidP="00074854">
      <w:pPr>
        <w:spacing w:line="480" w:lineRule="auto"/>
        <w:jc w:val="both"/>
        <w:rPr>
          <w:rFonts w:ascii="Arial" w:hAnsi="Arial" w:cs="Arial"/>
          <w:sz w:val="20"/>
          <w:szCs w:val="20"/>
        </w:rPr>
      </w:pPr>
    </w:p>
    <w:p w14:paraId="41AB59CD" w14:textId="5965B214" w:rsidR="00074854" w:rsidRPr="004172B0" w:rsidRDefault="00074854" w:rsidP="00074854">
      <w:pPr>
        <w:spacing w:line="480" w:lineRule="auto"/>
        <w:jc w:val="both"/>
        <w:rPr>
          <w:rFonts w:ascii="Arial" w:hAnsi="Arial" w:cs="Arial"/>
          <w:sz w:val="20"/>
          <w:szCs w:val="20"/>
        </w:rPr>
      </w:pPr>
      <w:r w:rsidRPr="004172B0">
        <w:rPr>
          <w:rFonts w:ascii="Arial" w:hAnsi="Arial" w:cs="Arial"/>
          <w:b/>
          <w:bCs/>
          <w:i/>
          <w:iCs/>
          <w:sz w:val="20"/>
          <w:szCs w:val="20"/>
        </w:rPr>
        <w:t>Positive-Negative model.</w:t>
      </w:r>
      <w:r w:rsidRPr="004172B0">
        <w:rPr>
          <w:rFonts w:ascii="Arial" w:hAnsi="Arial" w:cs="Arial"/>
          <w:sz w:val="20"/>
          <w:szCs w:val="20"/>
        </w:rPr>
        <w:t xml:space="preserve"> Adequate adaptation to the environment depends on the ability to flexibly adjust our choices in response to changes in reward and punishment contingencies. Individuals may update the values estimation by learning from positive and negative outcomes separately.</w:t>
      </w:r>
      <w:r>
        <w:rPr>
          <w:rFonts w:ascii="Arial" w:hAnsi="Arial" w:cs="Arial"/>
          <w:sz w:val="20"/>
          <w:szCs w:val="20"/>
        </w:rPr>
        <w:t xml:space="preserve"> </w:t>
      </w:r>
      <w:r w:rsidRPr="004172B0">
        <w:rPr>
          <w:rFonts w:ascii="Arial" w:hAnsi="Arial" w:cs="Arial"/>
          <w:sz w:val="20"/>
          <w:szCs w:val="20"/>
        </w:rPr>
        <w:t xml:space="preserve">The Positive-Negative model (P-N), a different extension of the Rescorla-Wagner model, has been shown to be the winning model in neurotypical adults in a similar probability reversal learning task </w:t>
      </w:r>
      <w:r w:rsidR="00574689">
        <w:rPr>
          <w:rFonts w:ascii="Arial" w:hAnsi="Arial" w:cs="Arial"/>
          <w:sz w:val="20"/>
          <w:szCs w:val="20"/>
        </w:rPr>
        <w:fldChar w:fldCharType="begin" w:fldLock="1"/>
      </w:r>
      <w:r w:rsidR="00AE5578">
        <w:rPr>
          <w:rFonts w:ascii="Arial" w:hAnsi="Arial" w:cs="Arial"/>
          <w:sz w:val="20"/>
          <w:szCs w:val="20"/>
        </w:rPr>
        <w:instrText>ADDIN CSL_CITATION {"citationItems":[{"id":"ITEM-1","itemData":{"ISSN":"0027-8424","author":[{"dropping-particle":"","family":"Frank","given":"Michael J","non-dropping-particle":"","parse-names":false,"suffix":""},{"dropping-particle":"","family":"Moustafa","given":"Ahmed A","non-dropping-particle":"","parse-names":false,"suffix":""},{"dropping-particle":"","family":"Haughey","given":"Heather M","non-dropping-particle":"","parse-names":false,"suffix":""},{"dropping-particle":"","family":"Curran","given":"Tim","non-dropping-particle":"","parse-names":false,"suffix":""},{"dropping-particle":"","family":"Hutchison","given":"Kent E","non-dropping-particle":"","parse-names":false,"suffix":""}],"container-title":"Proceedings of the National Academy of Sciences","id":"ITEM-1","issue":"41","issued":{"date-parts":[["2007"]]},"page":"16311-16316","publisher":"National Acad Sciences","title":"Genetic triple dissociation reveals multiple roles for dopamine in reinforcement learning","type":"article-journal","volume":"104"},"uris":["http://www.mendeley.com/documents/?uuid=e5e98143-3c99-4396-a216-a7bf418fa3f9"]}],"mendeley":{"formattedCitation":"(Frank, Moustafa, Haughey, Curran, &amp; Hutchison, 2007)","plainTextFormattedCitation":"(Frank, Moustafa, Haughey, Curran, &amp; Hutchison, 2007)","previouslyFormattedCitation":"(Frank, Moustafa, Haughey, Curran, &amp; Hutchison, 2007)"},"properties":{"noteIndex":0},"schema":"https://github.com/citation-style-language/schema/raw/master/csl-citation.json"}</w:instrText>
      </w:r>
      <w:r w:rsidR="00574689">
        <w:rPr>
          <w:rFonts w:ascii="Arial" w:hAnsi="Arial" w:cs="Arial"/>
          <w:sz w:val="20"/>
          <w:szCs w:val="20"/>
        </w:rPr>
        <w:fldChar w:fldCharType="separate"/>
      </w:r>
      <w:r w:rsidR="00574689" w:rsidRPr="00574689">
        <w:rPr>
          <w:rFonts w:ascii="Arial" w:hAnsi="Arial" w:cs="Arial"/>
          <w:noProof/>
          <w:sz w:val="20"/>
          <w:szCs w:val="20"/>
        </w:rPr>
        <w:t>(Frank, Moustafa, Haughey, Curran, &amp; Hutchison, 2007)</w:t>
      </w:r>
      <w:r w:rsidR="00574689">
        <w:rPr>
          <w:rFonts w:ascii="Arial" w:hAnsi="Arial" w:cs="Arial"/>
          <w:sz w:val="20"/>
          <w:szCs w:val="20"/>
        </w:rPr>
        <w:fldChar w:fldCharType="end"/>
      </w:r>
      <w:r w:rsidRPr="004172B0">
        <w:rPr>
          <w:rFonts w:ascii="Arial" w:hAnsi="Arial" w:cs="Arial"/>
          <w:sz w:val="20"/>
          <w:szCs w:val="20"/>
        </w:rPr>
        <w:t xml:space="preserve">. To access how self-other biases influences outcome evaluation of participants, we used the P-N to capture dissociable learning effects under specific learning frames. </w:t>
      </w:r>
    </w:p>
    <w:p w14:paraId="65A0F000" w14:textId="724205F8" w:rsidR="00074854" w:rsidRDefault="00000000" w:rsidP="00074854">
      <w:pPr>
        <w:spacing w:line="480" w:lineRule="auto"/>
        <w:jc w:val="right"/>
        <w:rPr>
          <w:rFonts w:ascii="Times New Roman" w:hAnsi="Times New Roman" w:cs="Times New Roman"/>
          <w:sz w:val="24"/>
        </w:rPr>
      </w:pPr>
      <m:oMath>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sub>
        </m:sSub>
        <m:r>
          <w:rPr>
            <w:rFonts w:ascii="Cambria Math" w:eastAsiaTheme="minorEastAsia" w:hAnsi="Times New Roman" w:cs="Times New Roman"/>
            <w:kern w:val="2"/>
            <w:sz w:val="24"/>
            <w:szCs w:val="24"/>
            <w:lang w:eastAsia="zh-CN"/>
          </w:rPr>
          <m:t>=</m:t>
        </m:r>
        <m:d>
          <m:dPr>
            <m:begChr m:val="{"/>
            <m:endChr m:val=""/>
            <m:ctrlPr>
              <w:rPr>
                <w:rFonts w:ascii="Cambria Math" w:eastAsiaTheme="minorEastAsia" w:hAnsi="Times New Roman" w:cs="Times New Roman"/>
                <w:i/>
                <w:kern w:val="2"/>
                <w:sz w:val="24"/>
                <w:szCs w:val="24"/>
                <w:lang w:eastAsia="zh-CN"/>
              </w:rPr>
            </m:ctrlPr>
          </m:dPr>
          <m:e>
            <m:m>
              <m:mPr>
                <m:mcs>
                  <m:mc>
                    <m:mcPr>
                      <m:count m:val="1"/>
                      <m:mcJc m:val="center"/>
                    </m:mcPr>
                  </m:mc>
                </m:mcs>
                <m:ctrlPr>
                  <w:rPr>
                    <w:rFonts w:ascii="Cambria Math" w:eastAsiaTheme="minorEastAsia" w:hAnsi="Times New Roman" w:cs="Times New Roman"/>
                    <w:i/>
                    <w:kern w:val="2"/>
                    <w:sz w:val="24"/>
                    <w:szCs w:val="24"/>
                    <w:lang w:eastAsia="zh-CN"/>
                  </w:rPr>
                </m:ctrlPr>
              </m:mPr>
              <m:mr>
                <m:e>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m:t>
                  </m:r>
                  <m:sSup>
                    <m:sSupPr>
                      <m:ctrlPr>
                        <w:rPr>
                          <w:rFonts w:ascii="Cambria Math" w:eastAsiaTheme="minorEastAsia" w:hAnsi="Cambria Math" w:cs="Times New Roman"/>
                          <w:i/>
                          <w:kern w:val="2"/>
                          <w:sz w:val="24"/>
                          <w:szCs w:val="24"/>
                          <w:lang w:eastAsia="zh-CN"/>
                        </w:rPr>
                      </m:ctrlPr>
                    </m:sSupPr>
                    <m:e>
                      <m:r>
                        <w:rPr>
                          <w:rFonts w:ascii="Cambria Math" w:eastAsiaTheme="minorEastAsia" w:hAnsi="Times New Roman" w:cs="Times New Roman"/>
                          <w:kern w:val="2"/>
                          <w:sz w:val="24"/>
                          <w:szCs w:val="24"/>
                          <w:lang w:eastAsia="zh-CN"/>
                        </w:rPr>
                        <m:t>η</m:t>
                      </m:r>
                    </m:e>
                    <m:sup>
                      <m:r>
                        <w:rPr>
                          <w:rFonts w:ascii="Cambria Math" w:eastAsiaTheme="minorEastAsia" w:hAnsi="Times New Roman" w:cs="Times New Roman"/>
                          <w:kern w:val="2"/>
                          <w:sz w:val="24"/>
                          <w:szCs w:val="24"/>
                          <w:lang w:eastAsia="zh-CN"/>
                        </w:rPr>
                        <m:t>pos</m:t>
                      </m:r>
                      <m:ctrlPr>
                        <w:rPr>
                          <w:rFonts w:ascii="Cambria Math" w:eastAsiaTheme="minorEastAsia" w:hAnsi="Times New Roman" w:cs="Times New Roman"/>
                          <w:i/>
                          <w:kern w:val="2"/>
                          <w:sz w:val="24"/>
                          <w:szCs w:val="24"/>
                          <w:lang w:eastAsia="zh-CN"/>
                        </w:rPr>
                      </m:ctrlPr>
                    </m:sup>
                  </m:sSup>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 xml:space="preserve"> </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if  </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&gt; 0</m:t>
                  </m:r>
                </m:e>
              </m:mr>
              <m:mr>
                <m:e>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 xml:space="preserve">1 </m:t>
                      </m:r>
                    </m:sub>
                  </m:sSub>
                  <m:r>
                    <w:rPr>
                      <w:rFonts w:ascii="Cambria Math" w:eastAsiaTheme="minorEastAsia" w:hAnsi="Times New Roman" w:cs="Times New Roman"/>
                      <w:kern w:val="2"/>
                      <w:sz w:val="24"/>
                      <w:szCs w:val="24"/>
                      <w:lang w:eastAsia="zh-CN"/>
                    </w:rPr>
                    <m:t xml:space="preserve">+ </m:t>
                  </m:r>
                  <m:sSup>
                    <m:sSupPr>
                      <m:ctrlPr>
                        <w:rPr>
                          <w:rFonts w:ascii="Cambria Math" w:eastAsiaTheme="minorEastAsia" w:hAnsi="Cambria Math" w:cs="Times New Roman"/>
                          <w:i/>
                          <w:kern w:val="2"/>
                          <w:sz w:val="24"/>
                          <w:szCs w:val="24"/>
                          <w:lang w:eastAsia="zh-CN"/>
                        </w:rPr>
                      </m:ctrlPr>
                    </m:sSupPr>
                    <m:e>
                      <m:r>
                        <w:rPr>
                          <w:rFonts w:ascii="Cambria Math" w:eastAsiaTheme="minorEastAsia" w:hAnsi="Times New Roman" w:cs="Times New Roman"/>
                          <w:kern w:val="2"/>
                          <w:sz w:val="24"/>
                          <w:szCs w:val="24"/>
                          <w:lang w:eastAsia="zh-CN"/>
                        </w:rPr>
                        <m:t>η</m:t>
                      </m:r>
                    </m:e>
                    <m:sup>
                      <m:r>
                        <w:rPr>
                          <w:rFonts w:ascii="Cambria Math" w:eastAsiaTheme="minorEastAsia" w:hAnsi="Times New Roman" w:cs="Times New Roman"/>
                          <w:kern w:val="2"/>
                          <w:sz w:val="24"/>
                          <w:szCs w:val="24"/>
                          <w:lang w:eastAsia="zh-CN"/>
                        </w:rPr>
                        <m:t>neg</m:t>
                      </m:r>
                      <m:ctrlPr>
                        <w:rPr>
                          <w:rFonts w:ascii="Cambria Math" w:eastAsiaTheme="minorEastAsia" w:hAnsi="Times New Roman" w:cs="Times New Roman"/>
                          <w:i/>
                          <w:kern w:val="2"/>
                          <w:sz w:val="24"/>
                          <w:szCs w:val="24"/>
                          <w:lang w:eastAsia="zh-CN"/>
                        </w:rPr>
                      </m:ctrlPr>
                    </m:sup>
                  </m:sSup>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 xml:space="preserve"> </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c,t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if  </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O</m:t>
                      </m:r>
                    </m:e>
                    <m:sub>
                      <m:r>
                        <w:rPr>
                          <w:rFonts w:ascii="Cambria Math" w:eastAsiaTheme="minorEastAsia" w:hAnsi="Times New Roman" w:cs="Times New Roman"/>
                          <w:kern w:val="2"/>
                          <w:sz w:val="24"/>
                          <w:szCs w:val="24"/>
                          <w:lang w:eastAsia="zh-CN"/>
                        </w:rPr>
                        <m:t>t</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1</m:t>
                      </m:r>
                    </m:sub>
                  </m:sSub>
                  <m:r>
                    <w:rPr>
                      <w:rFonts w:ascii="Cambria Math" w:eastAsiaTheme="minorEastAsia" w:hAnsi="Times New Roman" w:cs="Times New Roman"/>
                      <w:kern w:val="2"/>
                      <w:sz w:val="24"/>
                      <w:szCs w:val="24"/>
                      <w:lang w:eastAsia="zh-CN"/>
                    </w:rPr>
                    <m:t xml:space="preserve"> &lt; 0</m:t>
                  </m:r>
                </m:e>
              </m:mr>
            </m:m>
            <m:ctrlPr>
              <w:rPr>
                <w:rFonts w:ascii="Cambria Math" w:eastAsiaTheme="minorEastAsia" w:hAnsi="Cambria Math" w:cs="Times New Roman"/>
                <w:i/>
                <w:kern w:val="2"/>
                <w:sz w:val="24"/>
                <w:szCs w:val="24"/>
                <w:lang w:eastAsia="zh-CN"/>
              </w:rPr>
            </m:ctrlPr>
          </m:e>
        </m:d>
      </m:oMath>
      <w:r w:rsidR="00074854">
        <w:rPr>
          <w:rFonts w:ascii="Times New Roman" w:hAnsi="Times New Roman" w:cs="Times New Roman"/>
          <w:position w:val="-34"/>
          <w:sz w:val="24"/>
        </w:rPr>
        <w:t xml:space="preserve">              </w:t>
      </w:r>
      <w:r w:rsidR="00074854">
        <w:rPr>
          <w:rFonts w:ascii="Times New Roman" w:hAnsi="Times New Roman" w:cs="Times New Roman"/>
          <w:sz w:val="24"/>
        </w:rPr>
        <w:t>(</w:t>
      </w:r>
      <w:r w:rsidR="00AD0430">
        <w:rPr>
          <w:rFonts w:ascii="Times New Roman" w:hAnsi="Times New Roman" w:cs="Times New Roman"/>
          <w:sz w:val="24"/>
        </w:rPr>
        <w:t>5</w:t>
      </w:r>
      <w:r w:rsidR="00074854">
        <w:rPr>
          <w:rFonts w:ascii="Times New Roman" w:hAnsi="Times New Roman" w:cs="Times New Roman"/>
          <w:sz w:val="24"/>
        </w:rPr>
        <w:t>)</w:t>
      </w:r>
    </w:p>
    <w:p w14:paraId="6A242ABB" w14:textId="77777777" w:rsidR="00074854" w:rsidRPr="00E620B7" w:rsidRDefault="00074854" w:rsidP="00074854">
      <w:pPr>
        <w:spacing w:line="480" w:lineRule="auto"/>
        <w:ind w:firstLineChars="200" w:firstLine="400"/>
        <w:jc w:val="both"/>
        <w:rPr>
          <w:rFonts w:ascii="Arial" w:hAnsi="Arial" w:cs="Arial"/>
          <w:sz w:val="20"/>
          <w:szCs w:val="20"/>
        </w:rPr>
      </w:pPr>
      <w:r w:rsidRPr="00E620B7">
        <w:rPr>
          <w:rFonts w:ascii="Arial" w:hAnsi="Arial" w:cs="Arial"/>
          <w:sz w:val="20"/>
          <w:szCs w:val="20"/>
        </w:rPr>
        <w:t>This model is described by above equations, where</w:t>
      </w:r>
      <w:r>
        <w:rPr>
          <w:rFonts w:ascii="Arial" w:eastAsiaTheme="minorEastAsia" w:hAnsi="Arial" w:cs="Arial"/>
          <w:kern w:val="2"/>
          <w:sz w:val="20"/>
          <w:szCs w:val="20"/>
          <w:lang w:eastAsia="zh-CN"/>
        </w:rPr>
        <w:t xml:space="preserve"> </w:t>
      </w:r>
      <m:oMath>
        <m:sSup>
          <m:sSupPr>
            <m:ctrlPr>
              <w:rPr>
                <w:rFonts w:ascii="Cambria Math" w:eastAsiaTheme="minorEastAsia" w:hAnsi="Cambria Math" w:cs="Arial"/>
                <w:i/>
                <w:kern w:val="2"/>
                <w:sz w:val="20"/>
                <w:szCs w:val="20"/>
                <w:lang w:eastAsia="zh-CN"/>
              </w:rPr>
            </m:ctrlPr>
          </m:sSupPr>
          <m:e>
            <m:r>
              <w:rPr>
                <w:rFonts w:ascii="Cambria Math" w:eastAsiaTheme="minorEastAsia" w:hAnsi="Cambria Math" w:cs="Arial"/>
                <w:kern w:val="2"/>
                <w:sz w:val="20"/>
                <w:szCs w:val="20"/>
                <w:lang w:eastAsia="zh-CN"/>
              </w:rPr>
              <m:t>η</m:t>
            </m:r>
          </m:e>
          <m:sup>
            <m:r>
              <w:rPr>
                <w:rFonts w:ascii="Cambria Math" w:eastAsiaTheme="minorEastAsia" w:hAnsi="Cambria Math" w:cs="Arial"/>
                <w:kern w:val="2"/>
                <w:sz w:val="20"/>
                <w:szCs w:val="20"/>
                <w:lang w:eastAsia="zh-CN"/>
              </w:rPr>
              <m:t>neg</m:t>
            </m:r>
          </m:sup>
        </m:sSup>
      </m:oMath>
      <w:r>
        <w:rPr>
          <w:rFonts w:ascii="Arial" w:eastAsiaTheme="minorEastAsia" w:hAnsi="Arial" w:cs="Arial"/>
          <w:kern w:val="2"/>
          <w:sz w:val="20"/>
          <w:szCs w:val="20"/>
          <w:lang w:eastAsia="zh-CN"/>
        </w:rPr>
        <w:t xml:space="preserve"> </w:t>
      </w:r>
      <w:r w:rsidRPr="00E620B7">
        <w:rPr>
          <w:rFonts w:ascii="Arial" w:hAnsi="Arial" w:cs="Arial"/>
          <w:sz w:val="20"/>
          <w:szCs w:val="20"/>
        </w:rPr>
        <w:t>is the reward learning rate (0 in negative feedback trials), and</w:t>
      </w:r>
      <w:r>
        <w:rPr>
          <w:rFonts w:ascii="Arial" w:eastAsiaTheme="minorEastAsia" w:hAnsi="Arial" w:cs="Arial"/>
          <w:kern w:val="2"/>
          <w:sz w:val="20"/>
          <w:szCs w:val="20"/>
          <w:lang w:eastAsia="zh-CN"/>
        </w:rPr>
        <w:t xml:space="preserve"> </w:t>
      </w:r>
      <m:oMath>
        <m:sSup>
          <m:sSupPr>
            <m:ctrlPr>
              <w:rPr>
                <w:rFonts w:ascii="Cambria Math" w:eastAsiaTheme="minorEastAsia" w:hAnsi="Cambria Math" w:cs="Arial"/>
                <w:i/>
                <w:kern w:val="2"/>
                <w:sz w:val="20"/>
                <w:szCs w:val="20"/>
                <w:lang w:eastAsia="zh-CN"/>
              </w:rPr>
            </m:ctrlPr>
          </m:sSupPr>
          <m:e>
            <m:r>
              <w:rPr>
                <w:rFonts w:ascii="Cambria Math" w:eastAsiaTheme="minorEastAsia" w:hAnsi="Cambria Math" w:cs="Arial"/>
                <w:kern w:val="2"/>
                <w:sz w:val="20"/>
                <w:szCs w:val="20"/>
                <w:lang w:eastAsia="zh-CN"/>
              </w:rPr>
              <m:t>η</m:t>
            </m:r>
          </m:e>
          <m:sup>
            <m:r>
              <w:rPr>
                <w:rFonts w:ascii="Cambria Math" w:eastAsiaTheme="minorEastAsia" w:hAnsi="Cambria Math" w:cs="Arial"/>
                <w:kern w:val="2"/>
                <w:sz w:val="20"/>
                <w:szCs w:val="20"/>
                <w:lang w:eastAsia="zh-CN"/>
              </w:rPr>
              <m:t>neg</m:t>
            </m:r>
          </m:sup>
        </m:sSup>
      </m:oMath>
      <w:r>
        <w:rPr>
          <w:rFonts w:ascii="Arial" w:eastAsiaTheme="minorEastAsia" w:hAnsi="Arial" w:cs="Arial"/>
          <w:kern w:val="2"/>
          <w:sz w:val="20"/>
          <w:szCs w:val="20"/>
          <w:lang w:eastAsia="zh-CN"/>
        </w:rPr>
        <w:t xml:space="preserve"> </w:t>
      </w:r>
      <w:r w:rsidRPr="00E620B7">
        <w:rPr>
          <w:rFonts w:ascii="Arial" w:hAnsi="Arial" w:cs="Arial"/>
          <w:sz w:val="20"/>
          <w:szCs w:val="20"/>
        </w:rPr>
        <w:t>is the learning rate for negative feedback (0 in positive feedback trials);</w:t>
      </w:r>
      <m:oMath>
        <m:r>
          <w:rPr>
            <w:rFonts w:ascii="Cambria Math" w:hAnsi="Cambria Math" w:cs="Arial"/>
            <w:sz w:val="20"/>
            <w:szCs w:val="20"/>
          </w:rPr>
          <m:t xml:space="preserve"> </m:t>
        </m:r>
        <m:r>
          <w:rPr>
            <w:rFonts w:ascii="Cambria Math" w:eastAsiaTheme="minorEastAsia" w:hAnsi="Arial" w:cs="Arial"/>
            <w:kern w:val="2"/>
            <w:sz w:val="20"/>
            <w:szCs w:val="20"/>
            <w:lang w:eastAsia="zh-CN"/>
          </w:rPr>
          <m:t xml:space="preserve">O </m:t>
        </m:r>
      </m:oMath>
      <w:r w:rsidRPr="00E620B7">
        <w:rPr>
          <w:rFonts w:ascii="Arial" w:hAnsi="Arial" w:cs="Arial"/>
          <w:sz w:val="20"/>
          <w:szCs w:val="20"/>
        </w:rPr>
        <w:t xml:space="preserve">is the received outcome. </w:t>
      </w:r>
    </w:p>
    <w:p w14:paraId="08883602" w14:textId="77777777" w:rsidR="00074854" w:rsidRPr="00E620B7" w:rsidRDefault="00074854" w:rsidP="00074854">
      <w:pPr>
        <w:spacing w:line="480" w:lineRule="auto"/>
        <w:jc w:val="both"/>
        <w:rPr>
          <w:rFonts w:ascii="Arial" w:hAnsi="Arial" w:cs="Arial"/>
          <w:sz w:val="20"/>
          <w:szCs w:val="20"/>
        </w:rPr>
      </w:pPr>
    </w:p>
    <w:p w14:paraId="6C8C97AE" w14:textId="77777777" w:rsidR="00074854" w:rsidRPr="00E620B7" w:rsidRDefault="00074854" w:rsidP="00074854">
      <w:pPr>
        <w:spacing w:line="480" w:lineRule="auto"/>
        <w:jc w:val="both"/>
        <w:rPr>
          <w:rFonts w:ascii="Arial" w:hAnsi="Arial" w:cs="Arial"/>
          <w:b/>
          <w:bCs/>
          <w:sz w:val="20"/>
          <w:szCs w:val="20"/>
        </w:rPr>
      </w:pPr>
      <w:r w:rsidRPr="00E620B7">
        <w:rPr>
          <w:rFonts w:ascii="Arial" w:hAnsi="Arial" w:cs="Arial"/>
          <w:b/>
          <w:bCs/>
          <w:sz w:val="20"/>
          <w:szCs w:val="20"/>
        </w:rPr>
        <w:t>Softmax action selection</w:t>
      </w:r>
    </w:p>
    <w:p w14:paraId="68A3EDD0" w14:textId="622E2B14" w:rsidR="00074854" w:rsidRPr="00E620B7" w:rsidRDefault="00074854" w:rsidP="00074854">
      <w:pPr>
        <w:spacing w:line="480" w:lineRule="auto"/>
        <w:jc w:val="both"/>
        <w:rPr>
          <w:rFonts w:ascii="Arial" w:hAnsi="Arial" w:cs="Arial"/>
          <w:sz w:val="20"/>
          <w:szCs w:val="20"/>
        </w:rPr>
      </w:pPr>
      <w:r w:rsidRPr="00E620B7">
        <w:rPr>
          <w:rFonts w:ascii="Arial" w:hAnsi="Arial" w:cs="Arial"/>
          <w:sz w:val="20"/>
          <w:szCs w:val="20"/>
        </w:rPr>
        <w:lastRenderedPageBreak/>
        <w:t xml:space="preserve">For above models, these values are then translated into action probabilities using a softmax choice function </w:t>
      </w:r>
      <w:r w:rsidR="00AE5578">
        <w:rPr>
          <w:rFonts w:ascii="Arial" w:hAnsi="Arial" w:cs="Arial"/>
          <w:sz w:val="20"/>
          <w:szCs w:val="20"/>
        </w:rPr>
        <w:fldChar w:fldCharType="begin" w:fldLock="1"/>
      </w:r>
      <w:r w:rsidR="00897F58">
        <w:rPr>
          <w:rFonts w:ascii="Arial" w:hAnsi="Arial" w:cs="Arial"/>
          <w:sz w:val="20"/>
          <w:szCs w:val="20"/>
        </w:rPr>
        <w:instrText>ADDIN CSL_CITATION {"citationItems":[{"id":"ITEM-1","itemData":{"ISBN":"0262352702","author":[{"dropping-particle":"","family":"Sutton","given":"Richard S","non-dropping-particle":"","parse-names":false,"suffix":""},{"dropping-particle":"","family":"Barto","given":"Andrew G","non-dropping-particle":"","parse-names":false,"suffix":""}],"id":"ITEM-1","issued":{"date-parts":[["2018"]]},"publisher":"MIT press","title":"Reinforcement learning: An introduction","type":"book"},"uris":["http://www.mendeley.com/documents/?uuid=c4520212-5924-4b40-92b6-a7473c4b9a35"]}],"mendeley":{"formattedCitation":"(Sutton &amp; Barto, 2018)","plainTextFormattedCitation":"(Sutton &amp; Barto, 2018)","previouslyFormattedCitation":"(Sutton &amp; Barto, 2018)"},"properties":{"noteIndex":0},"schema":"https://github.com/citation-style-language/schema/raw/master/csl-citation.json"}</w:instrText>
      </w:r>
      <w:r w:rsidR="00AE5578">
        <w:rPr>
          <w:rFonts w:ascii="Arial" w:hAnsi="Arial" w:cs="Arial"/>
          <w:sz w:val="20"/>
          <w:szCs w:val="20"/>
        </w:rPr>
        <w:fldChar w:fldCharType="separate"/>
      </w:r>
      <w:r w:rsidR="00AE5578" w:rsidRPr="00AE5578">
        <w:rPr>
          <w:rFonts w:ascii="Arial" w:hAnsi="Arial" w:cs="Arial"/>
          <w:noProof/>
          <w:sz w:val="20"/>
          <w:szCs w:val="20"/>
        </w:rPr>
        <w:t>(Sutton &amp; Barto, 2018)</w:t>
      </w:r>
      <w:r w:rsidR="00AE5578">
        <w:rPr>
          <w:rFonts w:ascii="Arial" w:hAnsi="Arial" w:cs="Arial"/>
          <w:sz w:val="20"/>
          <w:szCs w:val="20"/>
        </w:rPr>
        <w:fldChar w:fldCharType="end"/>
      </w:r>
      <w:r w:rsidRPr="00E620B7">
        <w:rPr>
          <w:rFonts w:ascii="Arial" w:hAnsi="Arial" w:cs="Arial"/>
          <w:sz w:val="20"/>
          <w:szCs w:val="20"/>
        </w:rPr>
        <w:t xml:space="preserve">. In each trial </w:t>
      </w:r>
      <w:r w:rsidRPr="00E620B7">
        <w:rPr>
          <w:rFonts w:ascii="Arial" w:hAnsi="Arial" w:cs="Arial"/>
          <w:i/>
          <w:iCs/>
          <w:sz w:val="20"/>
          <w:szCs w:val="20"/>
        </w:rPr>
        <w:t>t</w:t>
      </w:r>
      <w:r w:rsidRPr="00E620B7">
        <w:rPr>
          <w:rFonts w:ascii="Arial" w:hAnsi="Arial" w:cs="Arial"/>
          <w:sz w:val="20"/>
          <w:szCs w:val="20"/>
        </w:rPr>
        <w:t>, the action probabilities of selecting option A (over B) were defined as follows:</w:t>
      </w:r>
    </w:p>
    <w:p w14:paraId="73E72B49" w14:textId="15AA0AAE" w:rsidR="00074854" w:rsidRDefault="00074854" w:rsidP="00074854">
      <w:pPr>
        <w:spacing w:line="480" w:lineRule="auto"/>
        <w:ind w:firstLineChars="100" w:firstLine="240"/>
        <w:jc w:val="right"/>
        <w:rPr>
          <w:rFonts w:ascii="Times New Roman" w:hAnsi="Times New Roman" w:cs="Times New Roman"/>
          <w:sz w:val="24"/>
        </w:rPr>
      </w:pPr>
      <m:oMath>
        <m:r>
          <w:rPr>
            <w:rFonts w:ascii="Cambria Math" w:eastAsiaTheme="minorEastAsia" w:hAnsi="Times New Roman" w:cs="Times New Roman"/>
            <w:kern w:val="2"/>
            <w:sz w:val="24"/>
            <w:szCs w:val="24"/>
            <w:lang w:eastAsia="zh-CN"/>
          </w:rPr>
          <m:t>p(A)=</m:t>
        </m:r>
        <m:f>
          <m:fPr>
            <m:ctrlPr>
              <w:rPr>
                <w:rFonts w:ascii="Cambria Math" w:eastAsiaTheme="minorEastAsia" w:hAnsi="Times New Roman" w:cs="Times New Roman"/>
                <w:i/>
                <w:kern w:val="2"/>
                <w:sz w:val="24"/>
                <w:szCs w:val="24"/>
                <w:lang w:eastAsia="zh-CN"/>
              </w:rPr>
            </m:ctrlPr>
          </m:fPr>
          <m:num>
            <m:r>
              <w:rPr>
                <w:rFonts w:ascii="Cambria Math" w:eastAsiaTheme="minorEastAsia" w:hAnsi="Times New Roman" w:cs="Times New Roman"/>
                <w:kern w:val="2"/>
                <w:sz w:val="24"/>
                <w:szCs w:val="24"/>
                <w:lang w:eastAsia="zh-CN"/>
              </w:rPr>
              <m:t>1</m:t>
            </m:r>
          </m:num>
          <m:den>
            <m:r>
              <w:rPr>
                <w:rFonts w:ascii="Cambria Math" w:eastAsiaTheme="minorEastAsia" w:hAnsi="Times New Roman" w:cs="Times New Roman"/>
                <w:kern w:val="2"/>
                <w:sz w:val="24"/>
                <w:szCs w:val="24"/>
                <w:lang w:eastAsia="zh-CN"/>
              </w:rPr>
              <m:t>1+</m:t>
            </m:r>
            <m:sSup>
              <m:sSupPr>
                <m:ctrlPr>
                  <w:rPr>
                    <w:rFonts w:ascii="Cambria Math" w:eastAsiaTheme="minorEastAsia" w:hAnsi="Times New Roman" w:cs="Times New Roman"/>
                    <w:i/>
                    <w:kern w:val="2"/>
                    <w:sz w:val="24"/>
                    <w:szCs w:val="24"/>
                    <w:lang w:eastAsia="zh-CN"/>
                  </w:rPr>
                </m:ctrlPr>
              </m:sSupPr>
              <m:e>
                <m:r>
                  <w:rPr>
                    <w:rFonts w:ascii="Cambria Math" w:eastAsiaTheme="minorEastAsia" w:hAnsi="Times New Roman" w:cs="Times New Roman"/>
                    <w:kern w:val="2"/>
                    <w:sz w:val="24"/>
                    <w:szCs w:val="24"/>
                    <w:lang w:eastAsia="zh-CN"/>
                  </w:rPr>
                  <m:t>e</m:t>
                </m:r>
              </m:e>
              <m:sup>
                <m:r>
                  <w:rPr>
                    <w:rFonts w:ascii="Cambria Math" w:eastAsiaTheme="minorEastAsia" w:hAnsi="Times New Roman" w:cs="Times New Roman"/>
                    <w:kern w:val="2"/>
                    <w:sz w:val="24"/>
                    <w:szCs w:val="24"/>
                    <w:lang w:eastAsia="zh-CN"/>
                  </w:rPr>
                  <m:t>β(</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A</m:t>
                    </m:r>
                  </m:sub>
                </m:sSub>
                <m:r>
                  <w:rPr>
                    <w:rFonts w:ascii="Cambria Math" w:eastAsiaTheme="minorEastAsia" w:hAnsi="Times New Roman" w:cs="Times New Roman"/>
                    <w:kern w:val="2"/>
                    <w:sz w:val="24"/>
                    <w:szCs w:val="24"/>
                    <w:lang w:eastAsia="zh-CN"/>
                  </w:rPr>
                  <m:t>-</m:t>
                </m:r>
                <m:sSub>
                  <m:sSubPr>
                    <m:ctrlPr>
                      <w:rPr>
                        <w:rFonts w:ascii="Cambria Math" w:eastAsiaTheme="minorEastAsia" w:hAnsi="Times New Roman" w:cs="Times New Roman"/>
                        <w:i/>
                        <w:kern w:val="2"/>
                        <w:sz w:val="24"/>
                        <w:szCs w:val="24"/>
                        <w:lang w:eastAsia="zh-CN"/>
                      </w:rPr>
                    </m:ctrlPr>
                  </m:sSubPr>
                  <m:e>
                    <m:r>
                      <w:rPr>
                        <w:rFonts w:ascii="Cambria Math" w:eastAsiaTheme="minorEastAsia" w:hAnsi="Times New Roman" w:cs="Times New Roman"/>
                        <w:kern w:val="2"/>
                        <w:sz w:val="24"/>
                        <w:szCs w:val="24"/>
                        <w:lang w:eastAsia="zh-CN"/>
                      </w:rPr>
                      <m:t>V</m:t>
                    </m:r>
                  </m:e>
                  <m:sub>
                    <m:r>
                      <w:rPr>
                        <w:rFonts w:ascii="Cambria Math" w:eastAsiaTheme="minorEastAsia" w:hAnsi="Times New Roman" w:cs="Times New Roman"/>
                        <w:kern w:val="2"/>
                        <w:sz w:val="24"/>
                        <w:szCs w:val="24"/>
                        <w:lang w:eastAsia="zh-CN"/>
                      </w:rPr>
                      <m:t>B</m:t>
                    </m:r>
                  </m:sub>
                </m:sSub>
                <m:r>
                  <w:rPr>
                    <w:rFonts w:ascii="Cambria Math" w:eastAsiaTheme="minorEastAsia" w:hAnsi="Times New Roman" w:cs="Times New Roman"/>
                    <w:kern w:val="2"/>
                    <w:sz w:val="24"/>
                    <w:szCs w:val="24"/>
                    <w:lang w:eastAsia="zh-CN"/>
                  </w:rPr>
                  <m:t>))</m:t>
                </m:r>
              </m:sup>
            </m:sSup>
            <m:ctrlPr>
              <w:rPr>
                <w:rFonts w:ascii="Cambria Math" w:eastAsiaTheme="minorEastAsia" w:hAnsi="Cambria Math" w:cs="Times New Roman"/>
                <w:i/>
                <w:kern w:val="2"/>
                <w:sz w:val="24"/>
                <w:szCs w:val="24"/>
                <w:lang w:eastAsia="zh-CN"/>
              </w:rPr>
            </m:ctrlPr>
          </m:den>
        </m:f>
        <m:r>
          <w:rPr>
            <w:rFonts w:ascii="Cambria Math" w:eastAsiaTheme="minorEastAsia" w:hAnsi="Times New Roman" w:cs="Times New Roman"/>
            <w:kern w:val="2"/>
            <w:sz w:val="24"/>
            <w:szCs w:val="24"/>
            <w:lang w:eastAsia="zh-CN"/>
          </w:rPr>
          <m:t>, p(B)=1</m:t>
        </m:r>
        <m:r>
          <w:rPr>
            <w:rFonts w:ascii="Cambria Math" w:eastAsiaTheme="minorEastAsia" w:hAnsi="Times New Roman" w:cs="Times New Roman"/>
            <w:kern w:val="2"/>
            <w:sz w:val="24"/>
            <w:szCs w:val="24"/>
            <w:lang w:eastAsia="zh-CN"/>
          </w:rPr>
          <m:t>-</m:t>
        </m:r>
        <m:r>
          <w:rPr>
            <w:rFonts w:ascii="Cambria Math" w:eastAsiaTheme="minorEastAsia" w:hAnsi="Times New Roman" w:cs="Times New Roman"/>
            <w:kern w:val="2"/>
            <w:sz w:val="24"/>
            <w:szCs w:val="24"/>
            <w:lang w:eastAsia="zh-CN"/>
          </w:rPr>
          <m:t>p(A)</m:t>
        </m:r>
      </m:oMath>
      <w:r>
        <w:rPr>
          <w:rFonts w:ascii="Times New Roman" w:hAnsi="Times New Roman" w:cs="Times New Roman"/>
          <w:position w:val="-24"/>
          <w:sz w:val="24"/>
        </w:rPr>
        <w:t xml:space="preserve">                 </w:t>
      </w:r>
      <w:r>
        <w:rPr>
          <w:rFonts w:ascii="Times New Roman" w:hAnsi="Times New Roman" w:cs="Times New Roman"/>
          <w:sz w:val="24"/>
        </w:rPr>
        <w:t>(6)</w:t>
      </w:r>
    </w:p>
    <w:p w14:paraId="067490DA" w14:textId="77777777" w:rsidR="00074854" w:rsidRPr="00011A51" w:rsidRDefault="00074854" w:rsidP="00074854">
      <w:pPr>
        <w:spacing w:line="480" w:lineRule="auto"/>
        <w:ind w:firstLineChars="200" w:firstLine="400"/>
        <w:jc w:val="both"/>
        <w:rPr>
          <w:rFonts w:ascii="Arial" w:hAnsi="Arial" w:cs="Arial"/>
          <w:sz w:val="20"/>
          <w:szCs w:val="20"/>
        </w:rPr>
      </w:pPr>
      <w:r w:rsidRPr="00377E38">
        <w:rPr>
          <w:rFonts w:ascii="Arial" w:hAnsi="Arial" w:cs="Arial"/>
          <w:sz w:val="20"/>
          <w:szCs w:val="20"/>
        </w:rPr>
        <w:t>In this selection rule,</w:t>
      </w:r>
      <m:oMath>
        <m:r>
          <w:rPr>
            <w:rFonts w:ascii="Cambria Math" w:hAnsi="Cambria Math" w:cs="Arial"/>
            <w:sz w:val="20"/>
            <w:szCs w:val="20"/>
          </w:rPr>
          <m:t xml:space="preserve"> </m:t>
        </m:r>
        <m:r>
          <w:rPr>
            <w:rFonts w:ascii="Cambria Math" w:eastAsiaTheme="minorEastAsia" w:hAnsi="Cambria Math" w:cs="Arial"/>
            <w:kern w:val="2"/>
            <w:sz w:val="20"/>
            <w:szCs w:val="20"/>
            <w:lang w:eastAsia="zh-CN"/>
          </w:rPr>
          <m:t xml:space="preserve">α </m:t>
        </m:r>
      </m:oMath>
      <w:r w:rsidRPr="00377E38">
        <w:rPr>
          <w:rFonts w:ascii="Arial" w:hAnsi="Arial" w:cs="Arial"/>
          <w:sz w:val="20"/>
          <w:szCs w:val="20"/>
        </w:rPr>
        <w:t xml:space="preserve">is the indecision point, which systematically improved performance of all models. Particularly, </w:t>
      </w:r>
      <m:oMath>
        <m:r>
          <w:rPr>
            <w:rFonts w:ascii="Cambria Math" w:eastAsiaTheme="minorEastAsia" w:hAnsi="Cambria Math" w:cs="Arial"/>
            <w:kern w:val="2"/>
            <w:sz w:val="20"/>
            <w:szCs w:val="20"/>
            <w:lang w:eastAsia="zh-CN"/>
          </w:rPr>
          <m:t xml:space="preserve">α </m:t>
        </m:r>
      </m:oMath>
      <w:r w:rsidRPr="00377E38">
        <w:rPr>
          <w:rFonts w:ascii="Arial" w:hAnsi="Arial" w:cs="Arial"/>
          <w:sz w:val="20"/>
          <w:szCs w:val="20"/>
        </w:rPr>
        <w:t>represents a bias for participants’ decision making. When</w:t>
      </w:r>
      <m:oMath>
        <m:r>
          <w:rPr>
            <w:rFonts w:ascii="Cambria Math" w:eastAsiaTheme="minorEastAsia" w:hAnsi="Cambria Math" w:cs="Arial"/>
            <w:kern w:val="2"/>
            <w:sz w:val="20"/>
            <w:szCs w:val="20"/>
            <w:lang w:eastAsia="zh-CN"/>
          </w:rPr>
          <m:t>α</m:t>
        </m:r>
      </m:oMath>
      <w:r w:rsidRPr="00377E38">
        <w:rPr>
          <w:rFonts w:ascii="Arial" w:hAnsi="Arial" w:cs="Arial"/>
          <w:sz w:val="20"/>
          <w:szCs w:val="20"/>
        </w:rPr>
        <w:t xml:space="preserve"> = 0, both options are equally likely to be chosen. Mathematically, this corresponds to the mid-point on the sigmoid function.</w:t>
      </w:r>
      <m:oMath>
        <m:r>
          <w:rPr>
            <w:rFonts w:ascii="Cambria Math" w:hAnsi="Cambria Math" w:cs="Arial"/>
            <w:sz w:val="20"/>
            <w:szCs w:val="20"/>
          </w:rPr>
          <m:t xml:space="preserve"> </m:t>
        </m:r>
        <m:r>
          <w:rPr>
            <w:rFonts w:ascii="Cambria Math" w:eastAsiaTheme="minorEastAsia" w:hAnsi="Arial" w:cs="Arial"/>
            <w:kern w:val="2"/>
            <w:sz w:val="20"/>
            <w:szCs w:val="20"/>
            <w:lang w:eastAsia="zh-CN"/>
          </w:rPr>
          <m:t xml:space="preserve">β </m:t>
        </m:r>
      </m:oMath>
      <w:r w:rsidRPr="00377E38">
        <w:rPr>
          <w:rFonts w:ascii="Arial" w:hAnsi="Arial" w:cs="Arial"/>
          <w:sz w:val="20"/>
          <w:szCs w:val="20"/>
        </w:rPr>
        <w:t>is the inverse temperature parameter that governs the stochasticity of the selection, computed using inverse logit transfer, i.e.</w:t>
      </w:r>
      <w:r>
        <w:rPr>
          <w:rFonts w:ascii="Arial" w:hAnsi="Arial" w:cs="Arial"/>
          <w:sz w:val="20"/>
          <w:szCs w:val="20"/>
        </w:rPr>
        <w:t>,</w:t>
      </w:r>
      <w:r w:rsidRPr="00377E38">
        <w:rPr>
          <w:rFonts w:ascii="Arial" w:hAnsi="Arial" w:cs="Arial"/>
          <w:sz w:val="20"/>
          <w:szCs w:val="20"/>
        </w:rPr>
        <w:t xml:space="preserve"> the slope of the sigmoid. </w:t>
      </w:r>
    </w:p>
    <w:p w14:paraId="40E59C17" w14:textId="77777777" w:rsidR="00074854" w:rsidRPr="00501920" w:rsidRDefault="00074854" w:rsidP="00074854">
      <w:pPr>
        <w:spacing w:line="480" w:lineRule="auto"/>
        <w:jc w:val="both"/>
        <w:rPr>
          <w:rFonts w:ascii="Arial" w:hAnsi="Arial" w:cs="Arial"/>
          <w:b/>
          <w:szCs w:val="21"/>
        </w:rPr>
      </w:pPr>
    </w:p>
    <w:p w14:paraId="43A1EE3B" w14:textId="77777777" w:rsidR="00074854" w:rsidRPr="00501920" w:rsidRDefault="00074854" w:rsidP="00074854">
      <w:pPr>
        <w:spacing w:line="480" w:lineRule="auto"/>
        <w:jc w:val="both"/>
        <w:rPr>
          <w:rFonts w:ascii="Arial" w:hAnsi="Arial" w:cs="Arial"/>
          <w:b/>
          <w:bCs/>
          <w:sz w:val="20"/>
          <w:szCs w:val="20"/>
        </w:rPr>
      </w:pPr>
      <w:r w:rsidRPr="00501920">
        <w:rPr>
          <w:rFonts w:ascii="Arial" w:hAnsi="Arial" w:cs="Arial" w:hint="eastAsia"/>
          <w:b/>
          <w:bCs/>
          <w:sz w:val="20"/>
          <w:szCs w:val="20"/>
        </w:rPr>
        <w:t>F</w:t>
      </w:r>
      <w:r w:rsidRPr="00501920">
        <w:rPr>
          <w:rFonts w:ascii="Arial" w:hAnsi="Arial" w:cs="Arial"/>
          <w:b/>
          <w:bCs/>
          <w:sz w:val="20"/>
          <w:szCs w:val="20"/>
        </w:rPr>
        <w:t>RN measurement</w:t>
      </w:r>
    </w:p>
    <w:p w14:paraId="363D190A" w14:textId="357B8B64" w:rsidR="00074854" w:rsidRDefault="00074854" w:rsidP="00074854">
      <w:pPr>
        <w:spacing w:line="480" w:lineRule="auto"/>
        <w:jc w:val="both"/>
        <w:rPr>
          <w:rFonts w:ascii="Arial" w:hAnsi="Arial" w:cs="Arial"/>
          <w:sz w:val="20"/>
          <w:szCs w:val="20"/>
        </w:rPr>
      </w:pPr>
      <w:r w:rsidRPr="00377E38">
        <w:rPr>
          <w:rFonts w:ascii="Arial" w:hAnsi="Arial" w:cs="Arial"/>
          <w:sz w:val="20"/>
          <w:szCs w:val="20"/>
        </w:rPr>
        <w:t xml:space="preserve">Based on previous studies, we used a peak-to-peak method to measure the FRN </w:t>
      </w:r>
      <w:r w:rsidR="00897F58">
        <w:rPr>
          <w:rFonts w:ascii="Arial" w:hAnsi="Arial" w:cs="Arial"/>
          <w:sz w:val="20"/>
          <w:szCs w:val="20"/>
        </w:rPr>
        <w:fldChar w:fldCharType="begin" w:fldLock="1"/>
      </w:r>
      <w:r w:rsidR="00897F58">
        <w:rPr>
          <w:rFonts w:ascii="Arial" w:hAnsi="Arial" w:cs="Arial"/>
          <w:sz w:val="20"/>
          <w:szCs w:val="20"/>
        </w:rPr>
        <w:instrText>ADDIN CSL_CITATION {"citationItems":[{"id":"ITEM-1","itemData":{"DOI":"10.1111/j.1469-8986.2012.01473.x","ISSN":"14698986","PMID":"23066877","abstract":"The feedback negativity (FN) has been repeatedly linked to expectancies about decision outcomes. Sequential outcome order is likely to influence such expectancies but has been widely disregarded. We therefore investigated whether the three-trial order of decision outcomes in a gambling task influences the FN as well as the P200 and P300. All three deflections were not only influenced by the outcome valence of the current trial but also by the outcomes of the two preceding trials. In detail, the FN and P300 to any current trial outcome were largest when the outcomes in the two preceding trials had an opposite valence. The P200 was highest in the context of two directly preceding wins, indicating that it may reflect representations of local outcome history. Our findings demonstrate that neural systems involved in decision outcome processing dynamically and continuously integrate the local outcome history for the evaluation of present outcomes. © 2012 Society for Psychophysiological Research.","author":[{"dropping-particle":"","family":"Osinsky","given":"Roman","non-dropping-particle":"","parse-names":false,"suffix":""},{"dropping-particle":"","family":"Mussel","given":"Patrick","non-dropping-particle":"","parse-names":false,"suffix":""},{"dropping-particle":"","family":"Hewig","given":"Johannes","non-dropping-particle":"","parse-names":false,"suffix":""}],"container-title":"Psychophysiology","id":"ITEM-1","issue":"12","issued":{"date-parts":[["2012"]]},"page":"1579-1589","title":"Feedback-related potentials are sensitive to sequential order of decision outcomes in a gambling task","type":"article-journal","volume":"49"},"uris":["http://www.mendeley.com/documents/?uuid=5e70cbbc-1a5c-4de0-bead-6d3c86f5398e"]},{"id":"ITEM-2","itemData":{"DOI":"10.1111/psyp.12221","ISSN":"14698986","PMID":"24749988","abstract":"Prior research indicates that the feedback-related negativity (FRN) reflects a good versus bad evaluation of decision outcomes, which is insensitive to the local utilitarian relation between chosen and unchosen outcomes. We tested whether this negative finding holds when the chosen outcome has an objective value of zero and therefore a comparison with the unchosen outcome is needed to identify overall choice valence. Participants completed a gambling task in which chosen and unchosen options could result in monetary wins, losses, or breaking even. Results show that the FRN does not reflect local favorableness but rather a dichotomy of gain versus no-gain for both chosen and unchosen outcomes. In contrast, P300 amplitude appears to reflect motivational salience derived from counterfactual comparisons of chosen and unchosen outcomes. Based on our and prior findings, we propose a threefold taxonomy of contextual factors and their relation to the FRN. © 2014 Society for Psychophysiological Research.","author":[{"dropping-particle":"","family":"Osinsky","given":"Roman","non-dropping-particle":"","parse-names":false,"suffix":""},{"dropping-particle":"","family":"Walter","given":"Helen","non-dropping-particle":"","parse-names":false,"suffix":""},{"dropping-particle":"","family":"Hewig","given":"Johannes","non-dropping-particle":"","parse-names":false,"suffix":""}],"container-title":"Psychophysiology","id":"ITEM-2","issue":"8","issued":{"date-parts":[["2014"]]},"page":"773-781","title":"What is and what could have been: An ERP study on counterfactual comparisons","type":"article-journal","volume":"51"},"uris":["http://www.mendeley.com/documents/?uuid=f626e09d-75f4-4d07-9da5-9d2bb7d3811c"]}],"mendeley":{"formattedCitation":"(Osinsky, Mussel, &amp; Hewig, 2012; Osinsky, Walter, &amp; Hewig, 2014)","plainTextFormattedCitation":"(Osinsky, Mussel, &amp; Hewig, 2012; Osinsky, Walter, &amp; Hewig, 2014)","previouslyFormattedCitation":"(Osinsky, Mussel, &amp; Hewig, 2012; Osinsky, Walter, &amp; Hewig, 2014)"},"properties":{"noteIndex":0},"schema":"https://github.com/citation-style-language/schema/raw/master/csl-citation.json"}</w:instrText>
      </w:r>
      <w:r w:rsidR="00897F58">
        <w:rPr>
          <w:rFonts w:ascii="Arial" w:hAnsi="Arial" w:cs="Arial"/>
          <w:sz w:val="20"/>
          <w:szCs w:val="20"/>
        </w:rPr>
        <w:fldChar w:fldCharType="separate"/>
      </w:r>
      <w:r w:rsidR="00897F58" w:rsidRPr="00897F58">
        <w:rPr>
          <w:rFonts w:ascii="Arial" w:hAnsi="Arial" w:cs="Arial"/>
          <w:noProof/>
          <w:sz w:val="20"/>
          <w:szCs w:val="20"/>
        </w:rPr>
        <w:t>(Osinsky, Mussel, &amp; Hewig, 2012; Osinsky, Walter, &amp; Hewig, 2014)</w:t>
      </w:r>
      <w:r w:rsidR="00897F58">
        <w:rPr>
          <w:rFonts w:ascii="Arial" w:hAnsi="Arial" w:cs="Arial"/>
          <w:sz w:val="20"/>
          <w:szCs w:val="20"/>
        </w:rPr>
        <w:fldChar w:fldCharType="end"/>
      </w:r>
      <w:r w:rsidRPr="00377E38">
        <w:rPr>
          <w:rFonts w:ascii="Arial" w:hAnsi="Arial" w:cs="Arial"/>
          <w:sz w:val="20"/>
          <w:szCs w:val="20"/>
        </w:rPr>
        <w:t>. Specifically, we first identified the sample associated with the most positive value of the P2 within a 150 – 250 ms window following the presentation of the feedback. Then, we identified the sample associated with the most negative amplitude of the FRN within a 200 – 300 ms window following the presentation of the feedback stimulus. Finally, the peak-to-peak value of FRN was defined by the difference between FRN and P2. The amplitude of FRN was taken as 0</w:t>
      </w:r>
      <w:r>
        <w:rPr>
          <w:rFonts w:ascii="Arial" w:eastAsiaTheme="minorEastAsia" w:hAnsi="Arial" w:cs="Arial"/>
          <w:kern w:val="2"/>
          <w:sz w:val="20"/>
          <w:szCs w:val="20"/>
          <w:lang w:eastAsia="zh-CN"/>
        </w:rPr>
        <w:t xml:space="preserve"> </w:t>
      </w:r>
      <m:oMath>
        <m:r>
          <w:rPr>
            <w:rFonts w:ascii="Cambria Math" w:eastAsiaTheme="minorEastAsia" w:hAnsi="Cambria Math" w:cs="Arial"/>
            <w:kern w:val="2"/>
            <w:sz w:val="20"/>
            <w:szCs w:val="20"/>
            <w:lang w:eastAsia="zh-CN"/>
          </w:rPr>
          <m:t>μV</m:t>
        </m:r>
      </m:oMath>
      <w:r w:rsidRPr="00377E38">
        <w:rPr>
          <w:rFonts w:ascii="Arial" w:hAnsi="Arial" w:cs="Arial"/>
          <w:sz w:val="20"/>
          <w:szCs w:val="20"/>
        </w:rPr>
        <w:t xml:space="preserve">, if the peak-to-peak value of FRN was a nonnegative value </w:t>
      </w:r>
      <w:r w:rsidR="00897F58">
        <w:rPr>
          <w:rFonts w:ascii="Arial" w:hAnsi="Arial" w:cs="Arial"/>
          <w:sz w:val="20"/>
          <w:szCs w:val="20"/>
        </w:rPr>
        <w:fldChar w:fldCharType="begin" w:fldLock="1"/>
      </w:r>
      <w:r w:rsidR="00281CE4">
        <w:rPr>
          <w:rFonts w:ascii="Arial" w:hAnsi="Arial" w:cs="Arial"/>
          <w:sz w:val="20"/>
          <w:szCs w:val="20"/>
        </w:rPr>
        <w:instrText>ADDIN CSL_CITATION {"citationItems":[{"id":"ITEM-1","itemData":{"DOI":"10.1097/00001756-200312190-00037","ISSN":"1473558X","PMID":"14663214","author":[{"dropping-particle":"","family":"Holroyd","given":"Clay B.","non-dropping-particle":"","parse-names":false,"suffix":""},{"dropping-particle":"","family":"Nieuwenhuis","given":"Sander","non-dropping-particle":"","parse-names":false,"suffix":""},{"dropping-particle":"","family":"Yeung","given":"Nick","non-dropping-particle":"","parse-names":false,"suffix":""},{"dropping-particle":"","family":"Cohen","given":"Jonathan D.","non-dropping-particle":"","parse-names":false,"suffix":""}],"container-title":"NeuroReport","id":"ITEM-1","issue":"18","issued":{"date-parts":[["2003"]]},"page":"2481-2484","title":"Errors in reward prediction are reflected in the event-related brain potential","type":"article-journal","volume":"14"},"uris":["http://www.mendeley.com/documents/?uuid=9715f10a-5b09-4138-95d5-5c5df574d820"]}],"mendeley":{"formattedCitation":"(Holroyd et al., 2003)","plainTextFormattedCitation":"(Holroyd et al., 2003)","previouslyFormattedCitation":"(Holroyd et al., 2003)"},"properties":{"noteIndex":0},"schema":"https://github.com/citation-style-language/schema/raw/master/csl-citation.json"}</w:instrText>
      </w:r>
      <w:r w:rsidR="00897F58">
        <w:rPr>
          <w:rFonts w:ascii="Arial" w:hAnsi="Arial" w:cs="Arial"/>
          <w:sz w:val="20"/>
          <w:szCs w:val="20"/>
        </w:rPr>
        <w:fldChar w:fldCharType="separate"/>
      </w:r>
      <w:r w:rsidR="00897F58" w:rsidRPr="00897F58">
        <w:rPr>
          <w:rFonts w:ascii="Arial" w:hAnsi="Arial" w:cs="Arial"/>
          <w:noProof/>
          <w:sz w:val="20"/>
          <w:szCs w:val="20"/>
        </w:rPr>
        <w:t>(Holroyd et al., 2003)</w:t>
      </w:r>
      <w:r w:rsidR="00897F58">
        <w:rPr>
          <w:rFonts w:ascii="Arial" w:hAnsi="Arial" w:cs="Arial"/>
          <w:sz w:val="20"/>
          <w:szCs w:val="20"/>
        </w:rPr>
        <w:fldChar w:fldCharType="end"/>
      </w:r>
      <w:r w:rsidRPr="00377E38">
        <w:rPr>
          <w:rFonts w:ascii="Arial" w:hAnsi="Arial" w:cs="Arial"/>
          <w:sz w:val="20"/>
          <w:szCs w:val="20"/>
        </w:rPr>
        <w:t>.</w:t>
      </w:r>
    </w:p>
    <w:p w14:paraId="60F652AC" w14:textId="77777777" w:rsidR="00074854" w:rsidRDefault="00074854" w:rsidP="00074854">
      <w:pPr>
        <w:spacing w:line="480" w:lineRule="auto"/>
        <w:jc w:val="both"/>
        <w:rPr>
          <w:rFonts w:ascii="Arial" w:hAnsi="Arial" w:cs="Arial"/>
          <w:sz w:val="20"/>
          <w:szCs w:val="20"/>
        </w:rPr>
      </w:pPr>
    </w:p>
    <w:p w14:paraId="64CE799B" w14:textId="77777777" w:rsidR="00074854" w:rsidRPr="00D03A7B" w:rsidRDefault="00074854" w:rsidP="00074854">
      <w:pPr>
        <w:spacing w:line="480" w:lineRule="auto"/>
        <w:jc w:val="both"/>
        <w:rPr>
          <w:rFonts w:ascii="Arial" w:hAnsi="Arial" w:cs="Arial"/>
          <w:b/>
          <w:bCs/>
          <w:sz w:val="20"/>
          <w:szCs w:val="20"/>
        </w:rPr>
      </w:pPr>
      <w:r>
        <w:rPr>
          <w:rFonts w:ascii="Arial" w:hAnsi="Arial" w:cs="Arial"/>
          <w:b/>
          <w:bCs/>
          <w:sz w:val="20"/>
          <w:szCs w:val="20"/>
        </w:rPr>
        <w:t>Delta-band oscillation</w:t>
      </w:r>
    </w:p>
    <w:p w14:paraId="601C2971" w14:textId="3A11BCD8" w:rsidR="00074854" w:rsidRDefault="00074854" w:rsidP="00074854">
      <w:pPr>
        <w:spacing w:line="480" w:lineRule="auto"/>
        <w:jc w:val="both"/>
        <w:rPr>
          <w:rFonts w:ascii="Arial" w:hAnsi="Arial" w:cs="Arial"/>
          <w:sz w:val="20"/>
          <w:szCs w:val="20"/>
        </w:rPr>
      </w:pPr>
      <w:r w:rsidRPr="00320001">
        <w:rPr>
          <w:rFonts w:ascii="Arial" w:hAnsi="Arial" w:cs="Arial" w:hint="eastAsia"/>
          <w:sz w:val="20"/>
          <w:szCs w:val="20"/>
        </w:rPr>
        <w:t>Delta-band oscillations of negative feedback at Cz position modulated by AVP was associated to the social behavioral adjustment in four conditions (SR, SP, OR, OP). To explore the relationship between brain oscillations and behavioral adjustments, we correlated the negative feedback-</w:t>
      </w:r>
      <w:r w:rsidRPr="00320001">
        <w:rPr>
          <w:rFonts w:ascii="Arial" w:hAnsi="Arial" w:cs="Arial" w:hint="eastAsia"/>
          <w:sz w:val="20"/>
          <w:szCs w:val="20"/>
        </w:rPr>
        <w:lastRenderedPageBreak/>
        <w:t xml:space="preserve">related delta-band power (NDP) and RT. </w:t>
      </w:r>
      <w:r w:rsidRPr="00320001">
        <w:rPr>
          <w:rFonts w:ascii="Arial" w:hAnsi="Arial" w:cs="Arial"/>
          <w:sz w:val="20"/>
          <w:szCs w:val="20"/>
        </w:rPr>
        <w:t xml:space="preserve">Correlational analyses showed that </w:t>
      </w:r>
      <w:r w:rsidRPr="00320001">
        <w:rPr>
          <w:rFonts w:ascii="Arial" w:hAnsi="Arial" w:cs="Arial" w:hint="eastAsia"/>
          <w:sz w:val="20"/>
          <w:szCs w:val="20"/>
        </w:rPr>
        <w:t>average delta band oscillation of negative feedback was correlated with RT in SR, SP,</w:t>
      </w:r>
      <w:r w:rsidRPr="00320001">
        <w:rPr>
          <w:rFonts w:ascii="Arial" w:hAnsi="Arial" w:cs="Arial"/>
          <w:sz w:val="20"/>
          <w:szCs w:val="20"/>
        </w:rPr>
        <w:t xml:space="preserve"> </w:t>
      </w:r>
      <w:r w:rsidRPr="00320001">
        <w:rPr>
          <w:rFonts w:ascii="Arial" w:hAnsi="Arial" w:cs="Arial" w:hint="eastAsia"/>
          <w:sz w:val="20"/>
          <w:szCs w:val="20"/>
        </w:rPr>
        <w:t xml:space="preserve">OP </w:t>
      </w:r>
      <w:r w:rsidRPr="00320001">
        <w:rPr>
          <w:rFonts w:ascii="Arial" w:hAnsi="Arial" w:cs="Arial"/>
          <w:sz w:val="20"/>
          <w:szCs w:val="20"/>
        </w:rPr>
        <w:t xml:space="preserve">in AVP group (SR: </w:t>
      </w:r>
      <w:r w:rsidRPr="00320001">
        <w:rPr>
          <w:rFonts w:ascii="Arial" w:hAnsi="Arial" w:cs="Arial"/>
          <w:i/>
          <w:iCs/>
          <w:sz w:val="20"/>
          <w:szCs w:val="20"/>
        </w:rPr>
        <w:t>r</w:t>
      </w:r>
      <w:r w:rsidRPr="00320001">
        <w:rPr>
          <w:rFonts w:ascii="Arial" w:hAnsi="Arial" w:cs="Arial"/>
          <w:sz w:val="20"/>
          <w:szCs w:val="20"/>
          <w:vertAlign w:val="subscript"/>
        </w:rPr>
        <w:t>AV</w:t>
      </w:r>
      <w:r>
        <w:rPr>
          <w:rFonts w:ascii="Arial" w:hAnsi="Arial" w:cs="Arial"/>
          <w:sz w:val="20"/>
          <w:szCs w:val="20"/>
          <w:vertAlign w:val="subscript"/>
        </w:rPr>
        <w:t>p =</w:t>
      </w:r>
      <w:r w:rsidRPr="00320001">
        <w:rPr>
          <w:rFonts w:ascii="Arial" w:hAnsi="Arial" w:cs="Arial"/>
          <w:sz w:val="20"/>
          <w:szCs w:val="20"/>
        </w:rPr>
        <w:t xml:space="preserve"> -.429, </w:t>
      </w:r>
      <w:r>
        <w:rPr>
          <w:rFonts w:ascii="Arial" w:hAnsi="Arial" w:cs="Arial"/>
          <w:i/>
          <w:iCs/>
          <w:sz w:val="20"/>
          <w:szCs w:val="20"/>
        </w:rPr>
        <w:t>p =</w:t>
      </w:r>
      <w:r w:rsidRPr="00320001">
        <w:rPr>
          <w:rFonts w:ascii="Arial" w:hAnsi="Arial" w:cs="Arial"/>
          <w:sz w:val="20"/>
          <w:szCs w:val="20"/>
        </w:rPr>
        <w:t xml:space="preserve"> .002; OR: </w:t>
      </w:r>
      <w:r w:rsidRPr="00320001">
        <w:rPr>
          <w:rFonts w:ascii="Arial" w:hAnsi="Arial" w:cs="Arial"/>
          <w:i/>
          <w:iCs/>
          <w:sz w:val="20"/>
          <w:szCs w:val="20"/>
        </w:rPr>
        <w:t>r</w:t>
      </w:r>
      <w:r w:rsidRPr="00320001">
        <w:rPr>
          <w:rFonts w:ascii="Arial" w:hAnsi="Arial" w:cs="Arial"/>
          <w:sz w:val="20"/>
          <w:szCs w:val="20"/>
          <w:vertAlign w:val="subscript"/>
        </w:rPr>
        <w:t>AV</w:t>
      </w:r>
      <w:r>
        <w:rPr>
          <w:rFonts w:ascii="Arial" w:hAnsi="Arial" w:cs="Arial"/>
          <w:sz w:val="20"/>
          <w:szCs w:val="20"/>
          <w:vertAlign w:val="subscript"/>
        </w:rPr>
        <w:t>p =</w:t>
      </w:r>
      <w:r w:rsidRPr="00320001">
        <w:rPr>
          <w:rFonts w:ascii="Arial" w:hAnsi="Arial" w:cs="Arial"/>
          <w:sz w:val="20"/>
          <w:szCs w:val="20"/>
        </w:rPr>
        <w:t xml:space="preserve"> -.352, </w:t>
      </w:r>
      <w:r>
        <w:rPr>
          <w:rFonts w:ascii="Arial" w:hAnsi="Arial" w:cs="Arial"/>
          <w:i/>
          <w:iCs/>
          <w:sz w:val="20"/>
          <w:szCs w:val="20"/>
        </w:rPr>
        <w:t>p =</w:t>
      </w:r>
      <w:r w:rsidRPr="00320001">
        <w:rPr>
          <w:rFonts w:ascii="Arial" w:hAnsi="Arial" w:cs="Arial"/>
          <w:sz w:val="20"/>
          <w:szCs w:val="20"/>
        </w:rPr>
        <w:t xml:space="preserve"> .011; SP: </w:t>
      </w:r>
      <w:r w:rsidRPr="00320001">
        <w:rPr>
          <w:rFonts w:ascii="Arial" w:hAnsi="Arial" w:cs="Arial"/>
          <w:i/>
          <w:iCs/>
          <w:sz w:val="20"/>
          <w:szCs w:val="20"/>
        </w:rPr>
        <w:t>r</w:t>
      </w:r>
      <w:r w:rsidRPr="00320001">
        <w:rPr>
          <w:rFonts w:ascii="Arial" w:hAnsi="Arial" w:cs="Arial"/>
          <w:sz w:val="20"/>
          <w:szCs w:val="20"/>
          <w:vertAlign w:val="subscript"/>
        </w:rPr>
        <w:t>AV</w:t>
      </w:r>
      <w:r>
        <w:rPr>
          <w:rFonts w:ascii="Arial" w:hAnsi="Arial" w:cs="Arial"/>
          <w:sz w:val="20"/>
          <w:szCs w:val="20"/>
          <w:vertAlign w:val="subscript"/>
        </w:rPr>
        <w:t>p =</w:t>
      </w:r>
      <w:r w:rsidRPr="00320001">
        <w:rPr>
          <w:rFonts w:ascii="Arial" w:hAnsi="Arial" w:cs="Arial"/>
          <w:sz w:val="20"/>
          <w:szCs w:val="20"/>
        </w:rPr>
        <w:t xml:space="preserve"> -.364, </w:t>
      </w:r>
      <w:r>
        <w:rPr>
          <w:rFonts w:ascii="Arial" w:hAnsi="Arial" w:cs="Arial"/>
          <w:i/>
          <w:iCs/>
          <w:sz w:val="20"/>
          <w:szCs w:val="20"/>
        </w:rPr>
        <w:t>p =</w:t>
      </w:r>
      <w:r w:rsidRPr="00320001">
        <w:rPr>
          <w:rFonts w:ascii="Arial" w:hAnsi="Arial" w:cs="Arial"/>
          <w:sz w:val="20"/>
          <w:szCs w:val="20"/>
        </w:rPr>
        <w:t xml:space="preserve"> .009; OP: </w:t>
      </w:r>
      <w:r w:rsidRPr="00320001">
        <w:rPr>
          <w:rFonts w:ascii="Arial" w:hAnsi="Arial" w:cs="Arial"/>
          <w:i/>
          <w:iCs/>
          <w:sz w:val="20"/>
          <w:szCs w:val="20"/>
        </w:rPr>
        <w:t>r</w:t>
      </w:r>
      <w:r w:rsidRPr="00320001">
        <w:rPr>
          <w:rFonts w:ascii="Arial" w:hAnsi="Arial" w:cs="Arial"/>
          <w:sz w:val="20"/>
          <w:szCs w:val="20"/>
          <w:vertAlign w:val="subscript"/>
        </w:rPr>
        <w:t>AV</w:t>
      </w:r>
      <w:r>
        <w:rPr>
          <w:rFonts w:ascii="Arial" w:hAnsi="Arial" w:cs="Arial"/>
          <w:sz w:val="20"/>
          <w:szCs w:val="20"/>
          <w:vertAlign w:val="subscript"/>
        </w:rPr>
        <w:t>p =</w:t>
      </w:r>
      <w:r w:rsidRPr="00320001">
        <w:rPr>
          <w:rFonts w:ascii="Arial" w:hAnsi="Arial" w:cs="Arial"/>
          <w:sz w:val="20"/>
          <w:szCs w:val="20"/>
        </w:rPr>
        <w:t xml:space="preserve"> -.318, </w:t>
      </w:r>
      <w:r>
        <w:rPr>
          <w:rFonts w:ascii="Arial" w:hAnsi="Arial" w:cs="Arial"/>
          <w:i/>
          <w:iCs/>
          <w:sz w:val="20"/>
          <w:szCs w:val="20"/>
        </w:rPr>
        <w:t>p =</w:t>
      </w:r>
      <w:r w:rsidRPr="00320001">
        <w:rPr>
          <w:rFonts w:ascii="Arial" w:hAnsi="Arial" w:cs="Arial"/>
          <w:sz w:val="20"/>
          <w:szCs w:val="20"/>
        </w:rPr>
        <w:t xml:space="preserve"> .023; Supplementary Fig.1) but not in PBO (SR: </w:t>
      </w:r>
      <w:r w:rsidRPr="00320001">
        <w:rPr>
          <w:rFonts w:ascii="Arial" w:hAnsi="Arial" w:cs="Arial"/>
          <w:i/>
          <w:iCs/>
          <w:sz w:val="20"/>
          <w:szCs w:val="20"/>
        </w:rPr>
        <w:t>r</w:t>
      </w:r>
      <w:r w:rsidRPr="00320001">
        <w:rPr>
          <w:rFonts w:ascii="Arial" w:hAnsi="Arial" w:cs="Arial"/>
          <w:sz w:val="20"/>
          <w:szCs w:val="20"/>
          <w:vertAlign w:val="subscript"/>
        </w:rPr>
        <w:t>PBO</w:t>
      </w:r>
      <w:r w:rsidRPr="00320001">
        <w:rPr>
          <w:rFonts w:ascii="Arial" w:hAnsi="Arial" w:cs="Arial"/>
          <w:sz w:val="20"/>
          <w:szCs w:val="20"/>
        </w:rPr>
        <w:t xml:space="preserve"> = .097, </w:t>
      </w:r>
      <w:r>
        <w:rPr>
          <w:rFonts w:ascii="Arial" w:hAnsi="Arial" w:cs="Arial"/>
          <w:i/>
          <w:iCs/>
          <w:sz w:val="20"/>
          <w:szCs w:val="20"/>
        </w:rPr>
        <w:t>p =</w:t>
      </w:r>
      <w:r w:rsidRPr="00320001">
        <w:rPr>
          <w:rFonts w:ascii="Arial" w:hAnsi="Arial" w:cs="Arial"/>
          <w:sz w:val="20"/>
          <w:szCs w:val="20"/>
        </w:rPr>
        <w:t xml:space="preserve"> .515; OR: </w:t>
      </w:r>
      <w:r w:rsidRPr="00320001">
        <w:rPr>
          <w:rFonts w:ascii="Arial" w:hAnsi="Arial" w:cs="Arial"/>
          <w:i/>
          <w:iCs/>
          <w:sz w:val="20"/>
          <w:szCs w:val="20"/>
        </w:rPr>
        <w:t>r</w:t>
      </w:r>
      <w:r w:rsidRPr="00320001">
        <w:rPr>
          <w:rFonts w:ascii="Arial" w:hAnsi="Arial" w:cs="Arial"/>
          <w:sz w:val="20"/>
          <w:szCs w:val="20"/>
          <w:vertAlign w:val="subscript"/>
        </w:rPr>
        <w:t>PBO</w:t>
      </w:r>
      <w:r w:rsidRPr="00320001">
        <w:rPr>
          <w:rFonts w:ascii="Arial" w:hAnsi="Arial" w:cs="Arial"/>
          <w:sz w:val="20"/>
          <w:szCs w:val="20"/>
        </w:rPr>
        <w:t xml:space="preserve"> = .049, </w:t>
      </w:r>
      <w:r>
        <w:rPr>
          <w:rFonts w:ascii="Arial" w:hAnsi="Arial" w:cs="Arial"/>
          <w:i/>
          <w:iCs/>
          <w:sz w:val="20"/>
          <w:szCs w:val="20"/>
        </w:rPr>
        <w:t>p =</w:t>
      </w:r>
      <w:r w:rsidRPr="00320001">
        <w:rPr>
          <w:rFonts w:ascii="Arial" w:hAnsi="Arial" w:cs="Arial"/>
          <w:sz w:val="20"/>
          <w:szCs w:val="20"/>
        </w:rPr>
        <w:t xml:space="preserve"> .4; SP: </w:t>
      </w:r>
      <w:r w:rsidRPr="00320001">
        <w:rPr>
          <w:rFonts w:ascii="Arial" w:hAnsi="Arial" w:cs="Arial"/>
          <w:i/>
          <w:iCs/>
          <w:sz w:val="20"/>
          <w:szCs w:val="20"/>
        </w:rPr>
        <w:t>r</w:t>
      </w:r>
      <w:r w:rsidRPr="00320001">
        <w:rPr>
          <w:rFonts w:ascii="Arial" w:hAnsi="Arial" w:cs="Arial"/>
          <w:sz w:val="20"/>
          <w:szCs w:val="20"/>
          <w:vertAlign w:val="subscript"/>
        </w:rPr>
        <w:t>PBO</w:t>
      </w:r>
      <w:r w:rsidRPr="00320001">
        <w:rPr>
          <w:rFonts w:ascii="Arial" w:hAnsi="Arial" w:cs="Arial"/>
          <w:sz w:val="20"/>
          <w:szCs w:val="20"/>
        </w:rPr>
        <w:t xml:space="preserve"> = -.108 </w:t>
      </w:r>
      <w:r>
        <w:rPr>
          <w:rFonts w:ascii="Arial" w:hAnsi="Arial" w:cs="Arial"/>
          <w:i/>
          <w:iCs/>
          <w:sz w:val="20"/>
          <w:szCs w:val="20"/>
        </w:rPr>
        <w:t>p =</w:t>
      </w:r>
      <w:r w:rsidRPr="00320001">
        <w:rPr>
          <w:rFonts w:ascii="Arial" w:hAnsi="Arial" w:cs="Arial"/>
          <w:sz w:val="20"/>
          <w:szCs w:val="20"/>
        </w:rPr>
        <w:t xml:space="preserve"> .468; OP: </w:t>
      </w:r>
      <w:r w:rsidRPr="00320001">
        <w:rPr>
          <w:rFonts w:ascii="Arial" w:hAnsi="Arial" w:cs="Arial"/>
          <w:i/>
          <w:iCs/>
          <w:sz w:val="20"/>
          <w:szCs w:val="20"/>
        </w:rPr>
        <w:t>r</w:t>
      </w:r>
      <w:r w:rsidRPr="00320001">
        <w:rPr>
          <w:rFonts w:ascii="Arial" w:hAnsi="Arial" w:cs="Arial"/>
          <w:sz w:val="20"/>
          <w:szCs w:val="20"/>
          <w:vertAlign w:val="subscript"/>
        </w:rPr>
        <w:t xml:space="preserve">PBO </w:t>
      </w:r>
      <w:r w:rsidRPr="00320001">
        <w:rPr>
          <w:rFonts w:ascii="Arial" w:hAnsi="Arial" w:cs="Arial"/>
          <w:sz w:val="20"/>
          <w:szCs w:val="20"/>
        </w:rPr>
        <w:t xml:space="preserve">= -.106, </w:t>
      </w:r>
      <w:r>
        <w:rPr>
          <w:rFonts w:ascii="Arial" w:hAnsi="Arial" w:cs="Arial"/>
          <w:i/>
          <w:iCs/>
          <w:sz w:val="20"/>
          <w:szCs w:val="20"/>
        </w:rPr>
        <w:t>p =</w:t>
      </w:r>
      <w:r w:rsidRPr="00320001">
        <w:rPr>
          <w:rFonts w:ascii="Arial" w:hAnsi="Arial" w:cs="Arial"/>
          <w:sz w:val="20"/>
          <w:szCs w:val="20"/>
        </w:rPr>
        <w:t xml:space="preserve"> .479). The former SR and OR correlations was significantly higher than the later one (</w:t>
      </w:r>
      <w:r w:rsidRPr="00320001">
        <w:rPr>
          <w:rFonts w:ascii="Arial" w:hAnsi="Arial" w:cs="Arial"/>
          <w:i/>
          <w:iCs/>
          <w:sz w:val="20"/>
          <w:szCs w:val="20"/>
        </w:rPr>
        <w:t>z</w:t>
      </w:r>
      <w:r w:rsidRPr="00320001">
        <w:rPr>
          <w:rFonts w:ascii="Arial" w:hAnsi="Arial" w:cs="Arial"/>
          <w:sz w:val="20"/>
          <w:szCs w:val="20"/>
          <w:vertAlign w:val="subscript"/>
        </w:rPr>
        <w:t>SR</w:t>
      </w:r>
      <w:r w:rsidRPr="00320001">
        <w:rPr>
          <w:rFonts w:ascii="Arial" w:hAnsi="Arial" w:cs="Arial"/>
          <w:sz w:val="20"/>
          <w:szCs w:val="20"/>
        </w:rPr>
        <w:t xml:space="preserve"> = -2.664, </w:t>
      </w:r>
      <w:r w:rsidR="00880B85">
        <w:rPr>
          <w:rFonts w:ascii="Arial" w:hAnsi="Arial" w:cs="Arial"/>
          <w:i/>
          <w:iCs/>
          <w:sz w:val="20"/>
          <w:szCs w:val="20"/>
        </w:rPr>
        <w:t>p</w:t>
      </w:r>
      <w:r w:rsidRPr="00320001">
        <w:rPr>
          <w:rFonts w:ascii="Arial" w:hAnsi="Arial" w:cs="Arial"/>
          <w:sz w:val="20"/>
          <w:szCs w:val="20"/>
          <w:vertAlign w:val="subscript"/>
        </w:rPr>
        <w:t>SR</w:t>
      </w:r>
      <w:r w:rsidRPr="00320001">
        <w:rPr>
          <w:rFonts w:ascii="Arial" w:hAnsi="Arial" w:cs="Arial"/>
          <w:sz w:val="20"/>
          <w:szCs w:val="20"/>
        </w:rPr>
        <w:t xml:space="preserve"> = .008; </w:t>
      </w:r>
      <w:r w:rsidRPr="00320001">
        <w:rPr>
          <w:rFonts w:ascii="Arial" w:hAnsi="Arial" w:cs="Arial"/>
          <w:i/>
          <w:iCs/>
          <w:sz w:val="20"/>
          <w:szCs w:val="20"/>
        </w:rPr>
        <w:t>z</w:t>
      </w:r>
      <w:r w:rsidRPr="00320001">
        <w:rPr>
          <w:rFonts w:ascii="Arial" w:hAnsi="Arial" w:cs="Arial"/>
          <w:sz w:val="20"/>
          <w:szCs w:val="20"/>
          <w:vertAlign w:val="subscript"/>
        </w:rPr>
        <w:t>OR</w:t>
      </w:r>
      <w:r w:rsidRPr="00320001">
        <w:rPr>
          <w:rFonts w:ascii="Arial" w:hAnsi="Arial" w:cs="Arial"/>
          <w:sz w:val="20"/>
          <w:szCs w:val="20"/>
        </w:rPr>
        <w:t xml:space="preserve"> = -1.997, </w:t>
      </w:r>
      <w:r w:rsidR="00880B85">
        <w:rPr>
          <w:rFonts w:ascii="Arial" w:hAnsi="Arial" w:cs="Arial"/>
          <w:i/>
          <w:iCs/>
          <w:sz w:val="20"/>
          <w:szCs w:val="20"/>
        </w:rPr>
        <w:t>p</w:t>
      </w:r>
      <w:r w:rsidRPr="00320001">
        <w:rPr>
          <w:rFonts w:ascii="Arial" w:hAnsi="Arial" w:cs="Arial"/>
          <w:sz w:val="20"/>
          <w:szCs w:val="20"/>
          <w:vertAlign w:val="subscript"/>
        </w:rPr>
        <w:t>OR</w:t>
      </w:r>
      <w:r w:rsidRPr="00320001">
        <w:rPr>
          <w:rFonts w:ascii="Arial" w:hAnsi="Arial" w:cs="Arial"/>
          <w:sz w:val="20"/>
          <w:szCs w:val="20"/>
        </w:rPr>
        <w:t xml:space="preserve"> = .046), though there were no significant between PBO and AVP correlations in other two conditions (</w:t>
      </w:r>
      <w:r w:rsidRPr="00320001">
        <w:rPr>
          <w:rFonts w:ascii="Arial" w:hAnsi="Arial" w:cs="Arial"/>
          <w:i/>
          <w:iCs/>
          <w:sz w:val="20"/>
          <w:szCs w:val="20"/>
        </w:rPr>
        <w:t>z</w:t>
      </w:r>
      <w:r w:rsidRPr="00320001">
        <w:rPr>
          <w:rFonts w:ascii="Arial" w:hAnsi="Arial" w:cs="Arial"/>
          <w:sz w:val="20"/>
          <w:szCs w:val="20"/>
          <w:vertAlign w:val="subscript"/>
        </w:rPr>
        <w:t>S</w:t>
      </w:r>
      <w:r>
        <w:rPr>
          <w:rFonts w:ascii="Arial" w:hAnsi="Arial" w:cs="Arial"/>
          <w:sz w:val="20"/>
          <w:szCs w:val="20"/>
          <w:vertAlign w:val="subscript"/>
        </w:rPr>
        <w:t>P =</w:t>
      </w:r>
      <w:r w:rsidRPr="00320001">
        <w:rPr>
          <w:rFonts w:ascii="Arial" w:hAnsi="Arial" w:cs="Arial"/>
          <w:sz w:val="20"/>
          <w:szCs w:val="20"/>
        </w:rPr>
        <w:t xml:space="preserve"> -1.308, </w:t>
      </w:r>
      <w:r w:rsidR="00880B85">
        <w:rPr>
          <w:rFonts w:ascii="Arial" w:hAnsi="Arial" w:cs="Arial"/>
          <w:i/>
          <w:iCs/>
          <w:sz w:val="20"/>
          <w:szCs w:val="20"/>
        </w:rPr>
        <w:t>p</w:t>
      </w:r>
      <w:r w:rsidRPr="00320001">
        <w:rPr>
          <w:rFonts w:ascii="Arial" w:hAnsi="Arial" w:cs="Arial"/>
          <w:sz w:val="20"/>
          <w:szCs w:val="20"/>
          <w:vertAlign w:val="subscript"/>
        </w:rPr>
        <w:t>SP</w:t>
      </w:r>
      <w:r w:rsidRPr="00320001">
        <w:rPr>
          <w:rFonts w:ascii="Arial" w:hAnsi="Arial" w:cs="Arial"/>
          <w:sz w:val="20"/>
          <w:szCs w:val="20"/>
        </w:rPr>
        <w:t xml:space="preserve"> = .191; </w:t>
      </w:r>
      <w:r w:rsidRPr="00320001">
        <w:rPr>
          <w:rFonts w:ascii="Arial" w:hAnsi="Arial" w:cs="Arial"/>
          <w:i/>
          <w:iCs/>
          <w:sz w:val="20"/>
          <w:szCs w:val="20"/>
        </w:rPr>
        <w:t>z</w:t>
      </w:r>
      <w:r w:rsidRPr="00320001">
        <w:rPr>
          <w:rFonts w:ascii="Arial" w:hAnsi="Arial" w:cs="Arial"/>
          <w:sz w:val="20"/>
          <w:szCs w:val="20"/>
          <w:vertAlign w:val="subscript"/>
        </w:rPr>
        <w:t>OP</w:t>
      </w:r>
      <w:r w:rsidRPr="00320001">
        <w:rPr>
          <w:rFonts w:ascii="Arial" w:hAnsi="Arial" w:cs="Arial"/>
          <w:sz w:val="20"/>
          <w:szCs w:val="20"/>
        </w:rPr>
        <w:t xml:space="preserve"> = -1.069, </w:t>
      </w:r>
      <w:r w:rsidR="00880B85">
        <w:rPr>
          <w:rFonts w:ascii="Arial" w:hAnsi="Arial" w:cs="Arial"/>
          <w:i/>
          <w:iCs/>
          <w:sz w:val="20"/>
          <w:szCs w:val="20"/>
        </w:rPr>
        <w:t>p</w:t>
      </w:r>
      <w:r w:rsidRPr="00320001">
        <w:rPr>
          <w:rFonts w:ascii="Arial" w:hAnsi="Arial" w:cs="Arial"/>
          <w:sz w:val="20"/>
          <w:szCs w:val="20"/>
          <w:vertAlign w:val="subscript"/>
        </w:rPr>
        <w:t>OP</w:t>
      </w:r>
      <w:r w:rsidRPr="00320001">
        <w:rPr>
          <w:rFonts w:ascii="Arial" w:hAnsi="Arial" w:cs="Arial"/>
          <w:sz w:val="20"/>
          <w:szCs w:val="20"/>
        </w:rPr>
        <w:t xml:space="preserve"> = .285</w:t>
      </w:r>
      <w:r w:rsidRPr="00320001">
        <w:rPr>
          <w:rFonts w:ascii="Arial" w:hAnsi="Arial" w:cs="Arial" w:hint="eastAsia"/>
          <w:sz w:val="20"/>
          <w:szCs w:val="20"/>
        </w:rPr>
        <w:t xml:space="preserve">). Previous studies have shown that delta power increases with aversive outcomes in negative reinforcement </w:t>
      </w:r>
      <w:r w:rsidR="00A01C75">
        <w:rPr>
          <w:rFonts w:ascii="Arial" w:hAnsi="Arial" w:cs="Arial"/>
          <w:sz w:val="20"/>
          <w:szCs w:val="20"/>
        </w:rPr>
        <w:fldChar w:fldCharType="begin" w:fldLock="1"/>
      </w:r>
      <w:r w:rsidR="00A01C75">
        <w:rPr>
          <w:rFonts w:ascii="Arial" w:hAnsi="Arial" w:cs="Arial"/>
          <w:sz w:val="20"/>
          <w:szCs w:val="20"/>
        </w:rPr>
        <w:instrText>ADDIN CSL_CITATION {"citationItems":[{"id":"ITEM-1","itemData":{"DOI":"10.1016/j.cortex.2021.03.012","ISSN":"19738102","PMID":"33905968","abstract":"Reinforcement learning capitalizes on prediction errors (PEs), representing the deviation of received outcomes from expected outcomes. Mediofrontal event-related potentials (ERPs), in particular the feedback-related negativity (FRN)/reward positivity (RewP), are related to PE signaling, but there is disagreement as to whether the FRN/RewP encode signed or unsigned PEs. PE encoding can potentially be dissected by time-frequency analysis, as frontal theta [4–8 Hz] might represent poor outcomes, while central delta [1–3 Hz] might instead represent rewarding outcomes. However, cortical PE signaling in negative reinforcement is still poorly understood, and the role of cortical PE representations in behavioral reinforcement learning following negative reinforcement is relatively unexplored. We recorded EEG while participants completed a task with matched positive and negative reinforcement outcome modalities, with parametrically manipulated single-trial outcomes producing positive and negative PEs. We first demonstrated that PEs systematically influence future behavior in both positive and negative reinforcement conditions. In negative reinforcement conditions, mediofrontal ERPs positively signaled unsigned PEs in a time window encompassing the P2 potential, and negatively signaled signed PEs for a time window encompassing the FRN/RewP and frontal P3 (an “aversion positivity”). Central delta power increased parametrically with increasingly aversive outcomes, contributing to the “aversion positivity”. Finally, negative reinforcement ERPs correlated with RTs on the following trial, suggesting cortical PEs guide behavioral adaptations. Positive reinforcement PEs did not influence ERP or time-frequency activity, despite significant behavioral effects. These results demonstrate that mediofrontal PE signals are a mechanism underlying negative reinforcement learning, and that delta power increases for aversive outcomes might contribute to the “aversion positivity.”","author":[{"dropping-particle":"","family":"Rawls","given":"Eric","non-dropping-particle":"","parse-names":false,"suffix":""},{"dropping-particle":"","family":"Lamm","given":"Connie","non-dropping-particle":"","parse-names":false,"suffix":""}],"container-title":"Cortex","id":"ITEM-1","issued":{"date-parts":[["2021"]]},"page":"26-39","publisher":"Elsevier Ltd","title":"The aversion positivity: Mediofrontal cortical potentials reflect parametric aversive prediction errors and drive behavioral modification following negative reinforcement","type":"article-journal","volume":"140"},"uris":["http://www.mendeley.com/documents/?uuid=efd849d8-231c-4e14-876b-4f587c5fe58c"]}],"mendeley":{"formattedCitation":"(Rawls &amp; Lamm, 2021)","plainTextFormattedCitation":"(Rawls &amp; Lamm, 2021)","previouslyFormattedCitation":"(Rawls &amp; Lamm, 2021)"},"properties":{"noteIndex":0},"schema":"https://github.com/citation-style-language/schema/raw/master/csl-citation.json"}</w:instrText>
      </w:r>
      <w:r w:rsidR="00A01C75">
        <w:rPr>
          <w:rFonts w:ascii="Arial" w:hAnsi="Arial" w:cs="Arial"/>
          <w:sz w:val="20"/>
          <w:szCs w:val="20"/>
        </w:rPr>
        <w:fldChar w:fldCharType="separate"/>
      </w:r>
      <w:r w:rsidR="00A01C75" w:rsidRPr="00A01C75">
        <w:rPr>
          <w:rFonts w:ascii="Arial" w:hAnsi="Arial" w:cs="Arial"/>
          <w:noProof/>
          <w:sz w:val="20"/>
          <w:szCs w:val="20"/>
        </w:rPr>
        <w:t>(Rawls &amp; Lamm, 2021)</w:t>
      </w:r>
      <w:r w:rsidR="00A01C75">
        <w:rPr>
          <w:rFonts w:ascii="Arial" w:hAnsi="Arial" w:cs="Arial"/>
          <w:sz w:val="20"/>
          <w:szCs w:val="20"/>
        </w:rPr>
        <w:fldChar w:fldCharType="end"/>
      </w:r>
      <w:r w:rsidR="00A01C75">
        <w:rPr>
          <w:rFonts w:ascii="Arial" w:hAnsi="Arial" w:cs="Arial"/>
          <w:sz w:val="20"/>
          <w:szCs w:val="20"/>
        </w:rPr>
        <w:t xml:space="preserve"> </w:t>
      </w:r>
      <w:r w:rsidRPr="00320001">
        <w:rPr>
          <w:rFonts w:ascii="Arial" w:hAnsi="Arial" w:cs="Arial"/>
          <w:sz w:val="20"/>
          <w:szCs w:val="20"/>
        </w:rPr>
        <w:t>and</w:t>
      </w:r>
      <w:r w:rsidRPr="00320001">
        <w:rPr>
          <w:rFonts w:ascii="Arial" w:hAnsi="Arial" w:cs="Arial" w:hint="eastAsia"/>
          <w:sz w:val="20"/>
          <w:szCs w:val="20"/>
        </w:rPr>
        <w:t xml:space="preserve"> reflects motivational salience and negatively related to dopamine releases in the reward brain network</w:t>
      </w:r>
      <w:r w:rsidR="00A02495">
        <w:rPr>
          <w:rFonts w:ascii="Arial" w:hAnsi="Arial" w:cs="Arial"/>
          <w:sz w:val="20"/>
          <w:szCs w:val="20"/>
        </w:rPr>
        <w:t xml:space="preserve"> </w:t>
      </w:r>
      <w:r w:rsidR="000E70E1">
        <w:rPr>
          <w:rFonts w:ascii="Arial" w:hAnsi="Arial" w:cs="Arial"/>
          <w:sz w:val="20"/>
          <w:szCs w:val="20"/>
        </w:rPr>
        <w:fldChar w:fldCharType="begin" w:fldLock="1"/>
      </w:r>
      <w:r w:rsidR="00A01C75">
        <w:rPr>
          <w:rFonts w:ascii="Arial" w:hAnsi="Arial" w:cs="Arial"/>
          <w:sz w:val="20"/>
          <w:szCs w:val="20"/>
        </w:rPr>
        <w:instrText>ADDIN CSL_CITATION {"citationItems":[{"id":"ITEM-1","itemData":{"DOI":"10.1016/j.neubiorev.2011.10.002","ISSN":"01497634","PMID":"22020231","abstract":"Functional significance of delta oscillations is not fully understood. One way to approach this question would be from an evolutionary perspective. Delta oscillations dominate the EEG of waking reptiles. In humans, they are prominent only in early developmental stages and during slow-wave sleep. Increase of delta power has been documented in a wide array of developmental disorders and pathological conditions. Considerable evidence on the association between delta waves and autonomic and metabolic processes hints that they may be involved in integration of cerebral activity with homeostatic processes. Much evidence suggests the involvement of delta oscillations in motivation. They increase during hunger, sexual arousal, and in substance users. They also increase during panic attacks and sustained pain. In cognitive domain, they are implicated in attention, salience detection, and subliminal perception. This evidence shows that delta oscillations are associated with evolutionary old basic processes, which in waking adults are overshadowed by more advanced processes associated with higher frequency oscillations. The former processes rise in activity, however, when the latter are dysfunctional. © 2011 Elsevier Ltd.","author":[{"dropping-particle":"","family":"Knyazev","given":"Gennady G.","non-dropping-particle":"","parse-names":false,"suffix":""}],"container-title":"Neuroscience and Biobehavioral Reviews","id":"ITEM-1","issue":"1","issued":{"date-parts":[["2012"]]},"page":"677-695","publisher":"Elsevier Ltd","title":"EEG delta oscillations as a correlate of basic homeostatic and motivational processes","type":"article-journal","volume":"36"},"uris":["http://www.mendeley.com/documents/?uuid=c002cb53-e63d-449e-a62a-26b9b1d146fd"]}],"mendeley":{"formattedCitation":"(Knyazev, 2012)","plainTextFormattedCitation":"(Knyazev, 2012)","previouslyFormattedCitation":"(Knyazev, 2012)"},"properties":{"noteIndex":0},"schema":"https://github.com/citation-style-language/schema/raw/master/csl-citation.json"}</w:instrText>
      </w:r>
      <w:r w:rsidR="000E70E1">
        <w:rPr>
          <w:rFonts w:ascii="Arial" w:hAnsi="Arial" w:cs="Arial"/>
          <w:sz w:val="20"/>
          <w:szCs w:val="20"/>
        </w:rPr>
        <w:fldChar w:fldCharType="separate"/>
      </w:r>
      <w:r w:rsidR="00A01C75" w:rsidRPr="00A01C75">
        <w:rPr>
          <w:rFonts w:ascii="Arial" w:hAnsi="Arial" w:cs="Arial"/>
          <w:noProof/>
          <w:sz w:val="20"/>
          <w:szCs w:val="20"/>
        </w:rPr>
        <w:t>(Knyazev, 2012)</w:t>
      </w:r>
      <w:r w:rsidR="000E70E1">
        <w:rPr>
          <w:rFonts w:ascii="Arial" w:hAnsi="Arial" w:cs="Arial"/>
          <w:sz w:val="20"/>
          <w:szCs w:val="20"/>
        </w:rPr>
        <w:fldChar w:fldCharType="end"/>
      </w:r>
      <w:r w:rsidRPr="00320001">
        <w:rPr>
          <w:rFonts w:ascii="Arial" w:hAnsi="Arial" w:cs="Arial" w:hint="eastAsia"/>
          <w:sz w:val="20"/>
          <w:szCs w:val="20"/>
        </w:rPr>
        <w:t xml:space="preserve">. Compatibly, under AVP administration, delta-band oscillations of negative outcome were correlated with behavioral reaction time, an objective marker of decision </w:t>
      </w:r>
      <w:bookmarkStart w:id="8" w:name="OLE_LINK79"/>
      <w:bookmarkStart w:id="9" w:name="OLE_LINK78"/>
      <w:r w:rsidRPr="00320001">
        <w:rPr>
          <w:rFonts w:ascii="Arial" w:hAnsi="Arial" w:cs="Arial" w:hint="eastAsia"/>
          <w:sz w:val="20"/>
          <w:szCs w:val="20"/>
        </w:rPr>
        <w:t xml:space="preserve">execution </w:t>
      </w:r>
      <w:bookmarkEnd w:id="8"/>
      <w:bookmarkEnd w:id="9"/>
      <w:r w:rsidRPr="00320001">
        <w:rPr>
          <w:rFonts w:ascii="Arial" w:hAnsi="Arial" w:cs="Arial" w:hint="eastAsia"/>
          <w:sz w:val="20"/>
          <w:szCs w:val="20"/>
        </w:rPr>
        <w:t>and decision confidence</w:t>
      </w:r>
      <w:r w:rsidR="00A02495">
        <w:rPr>
          <w:rFonts w:ascii="Arial" w:hAnsi="Arial" w:cs="Arial"/>
          <w:sz w:val="20"/>
          <w:szCs w:val="20"/>
        </w:rPr>
        <w:t xml:space="preserve"> </w:t>
      </w:r>
      <w:r w:rsidR="000B1D8B">
        <w:rPr>
          <w:rFonts w:ascii="Arial" w:hAnsi="Arial" w:cs="Arial"/>
          <w:sz w:val="20"/>
          <w:szCs w:val="20"/>
        </w:rPr>
        <w:fldChar w:fldCharType="begin" w:fldLock="1"/>
      </w:r>
      <w:r w:rsidR="00822CBE">
        <w:rPr>
          <w:rFonts w:ascii="Arial" w:hAnsi="Arial" w:cs="Arial"/>
          <w:sz w:val="20"/>
          <w:szCs w:val="20"/>
        </w:rPr>
        <w:instrText>ADDIN CSL_CITATION {"citationItems":[{"id":"ITEM-1","itemData":{"DOI":"10.1016/j.neuron.2013.07.006","ISSN":"08966273","PMID":"24050408","abstract":"The ability to learn not only from experienced but alsofrom merely fictive outcomes without direct rewarding or punishing consequences should improve learning and resulting value-guided choice. Using an instrumental learning task in combination with multiple single-trial regression of predictions derived from a computational reinforcement-learning model on human EEG, we found an early temporospatial double dissociation in the processing of fictive and real feedback. Thereafter, real and fictive feedback processing converged at a common final path, reflected in parietal EEG activity that was predictive of future choices. In the choice phase, similar parietal EEG activity related to certainty of the impending response was predictive for the decision on the next trial as well. These parietal EEG effects may reflect a common adaptive cortical mechanism of updating or strengthening of stimulus values by integrating outcomes, learning rate, and certainty, which is active during both decision making and evaluation. Neuronal processing of real (rewarding, punishing) and fictive action outcomes (which would have happened had one acted differently) differs for 400ms and then converges on a common adaptive mechanism driving future decision making and learning","author":[{"dropping-particle":"","family":"Fischer","given":"Adrian G.","non-dropping-particle":"","parse-names":false,"suffix":""},{"dropping-particle":"","family":"Ullsperger","given":"Markus","non-dropping-particle":"","parse-names":false,"suffix":""}],"container-title":"Neuron","id":"ITEM-1","issue":"6","issued":{"date-parts":[["2013"]]},"page":"1243-1255","publisher":"Elsevier Inc.","title":"Real and fictive outcomes are processed differently but converge on a common adaptive mechanism","type":"article-journal","volume":"79"},"uris":["http://www.mendeley.com/documents/?uuid=a100af76-9b1c-440f-b53e-754e655bf038"]}],"mendeley":{"formattedCitation":"(Fischer &amp; Ullsperger, 2013)","plainTextFormattedCitation":"(Fischer &amp; Ullsperger, 2013)","previouslyFormattedCitation":"(Fischer &amp; Ullsperger, 2013)"},"properties":{"noteIndex":0},"schema":"https://github.com/citation-style-language/schema/raw/master/csl-citation.json"}</w:instrText>
      </w:r>
      <w:r w:rsidR="000B1D8B">
        <w:rPr>
          <w:rFonts w:ascii="Arial" w:hAnsi="Arial" w:cs="Arial"/>
          <w:sz w:val="20"/>
          <w:szCs w:val="20"/>
        </w:rPr>
        <w:fldChar w:fldCharType="separate"/>
      </w:r>
      <w:r w:rsidR="00A01C75" w:rsidRPr="00A01C75">
        <w:rPr>
          <w:rFonts w:ascii="Arial" w:hAnsi="Arial" w:cs="Arial"/>
          <w:noProof/>
          <w:sz w:val="20"/>
          <w:szCs w:val="20"/>
        </w:rPr>
        <w:t>(Fischer &amp; Ullsperger, 2013)</w:t>
      </w:r>
      <w:r w:rsidR="000B1D8B">
        <w:rPr>
          <w:rFonts w:ascii="Arial" w:hAnsi="Arial" w:cs="Arial"/>
          <w:sz w:val="20"/>
          <w:szCs w:val="20"/>
        </w:rPr>
        <w:fldChar w:fldCharType="end"/>
      </w:r>
      <w:r w:rsidRPr="00320001">
        <w:rPr>
          <w:rFonts w:ascii="Arial" w:hAnsi="Arial" w:cs="Arial" w:hint="eastAsia"/>
          <w:sz w:val="20"/>
          <w:szCs w:val="20"/>
        </w:rPr>
        <w:t>, suggesting that AVP controlled the relationship between brain oscillation and individuals</w:t>
      </w:r>
      <w:r w:rsidRPr="00320001">
        <w:rPr>
          <w:rFonts w:ascii="Arial" w:hAnsi="Arial" w:cs="Arial"/>
          <w:sz w:val="20"/>
          <w:szCs w:val="20"/>
        </w:rPr>
        <w:t>’</w:t>
      </w:r>
      <w:r w:rsidRPr="00320001">
        <w:rPr>
          <w:rFonts w:ascii="Arial" w:hAnsi="Arial" w:cs="Arial" w:hint="eastAsia"/>
          <w:sz w:val="20"/>
          <w:szCs w:val="20"/>
        </w:rPr>
        <w:t xml:space="preserve"> behavioral adjustments on aversive learning. Moreover, we found a significant moderating effect of AVP on relation between NDP and RT in SR condition (</w:t>
      </w:r>
      <w:r w:rsidRPr="00DE3F18">
        <w:rPr>
          <w:rFonts w:ascii="Arial" w:hAnsi="Arial" w:cs="Arial"/>
          <w:i/>
          <w:iCs/>
          <w:sz w:val="20"/>
          <w:szCs w:val="20"/>
        </w:rPr>
        <w:t>b</w:t>
      </w:r>
      <w:r w:rsidRPr="00DE3F18">
        <w:rPr>
          <w:rFonts w:ascii="Arial" w:hAnsi="Arial" w:cs="Arial"/>
          <w:sz w:val="20"/>
          <w:szCs w:val="20"/>
        </w:rPr>
        <w:t xml:space="preserve"> = 19.522, </w:t>
      </w:r>
      <w:r>
        <w:rPr>
          <w:rFonts w:ascii="Arial" w:hAnsi="Arial" w:cs="Arial"/>
          <w:i/>
          <w:iCs/>
          <w:sz w:val="20"/>
          <w:szCs w:val="20"/>
        </w:rPr>
        <w:t>p =</w:t>
      </w:r>
      <w:r w:rsidRPr="00DE3F18">
        <w:rPr>
          <w:rFonts w:ascii="Arial" w:hAnsi="Arial" w:cs="Arial"/>
          <w:sz w:val="20"/>
          <w:szCs w:val="20"/>
        </w:rPr>
        <w:t xml:space="preserve"> .017, </w:t>
      </w:r>
      <w:r w:rsidRPr="00DE3F18">
        <w:rPr>
          <w:rFonts w:ascii="Arial" w:hAnsi="Arial" w:cs="Arial"/>
          <w:i/>
          <w:iCs/>
          <w:sz w:val="20"/>
          <w:szCs w:val="20"/>
        </w:rPr>
        <w:t>R</w:t>
      </w:r>
      <w:r w:rsidRPr="00DE3F18">
        <w:rPr>
          <w:rFonts w:ascii="Arial" w:hAnsi="Arial" w:cs="Arial"/>
          <w:sz w:val="20"/>
          <w:szCs w:val="20"/>
          <w:vertAlign w:val="superscript"/>
        </w:rPr>
        <w:t>2</w:t>
      </w:r>
      <w:r w:rsidRPr="00DE3F18">
        <w:rPr>
          <w:rFonts w:ascii="Arial" w:hAnsi="Arial" w:cs="Arial"/>
          <w:sz w:val="20"/>
          <w:szCs w:val="20"/>
        </w:rPr>
        <w:t xml:space="preserve"> = .056</w:t>
      </w:r>
      <w:r w:rsidRPr="00320001">
        <w:rPr>
          <w:rFonts w:ascii="Arial" w:hAnsi="Arial" w:cs="Arial" w:hint="eastAsia"/>
          <w:sz w:val="20"/>
          <w:szCs w:val="20"/>
        </w:rPr>
        <w:t>), suggesting that AVP moderated relation between NDP and RT to adjust the self-related reward-seeking on social learning.</w:t>
      </w:r>
    </w:p>
    <w:p w14:paraId="28A68E20" w14:textId="16B20FED" w:rsidR="009B6399" w:rsidRDefault="009B6399" w:rsidP="00074854">
      <w:pPr>
        <w:spacing w:line="480" w:lineRule="auto"/>
        <w:jc w:val="both"/>
        <w:rPr>
          <w:rFonts w:ascii="Arial" w:hAnsi="Arial" w:cs="Arial"/>
          <w:sz w:val="20"/>
          <w:szCs w:val="20"/>
        </w:rPr>
      </w:pPr>
    </w:p>
    <w:p w14:paraId="31A9C28E" w14:textId="2BCB08BE" w:rsidR="009B6399" w:rsidRPr="00D03A7B" w:rsidRDefault="00547CE1" w:rsidP="009B6399">
      <w:pPr>
        <w:spacing w:line="480" w:lineRule="auto"/>
        <w:jc w:val="both"/>
        <w:rPr>
          <w:rFonts w:ascii="Arial" w:hAnsi="Arial" w:cs="Arial"/>
          <w:b/>
          <w:bCs/>
          <w:sz w:val="20"/>
          <w:szCs w:val="20"/>
        </w:rPr>
      </w:pPr>
      <w:r>
        <w:rPr>
          <w:rFonts w:ascii="Arial" w:hAnsi="Arial" w:cs="Arial"/>
          <w:b/>
          <w:bCs/>
          <w:sz w:val="20"/>
          <w:szCs w:val="20"/>
        </w:rPr>
        <w:t>C</w:t>
      </w:r>
      <w:r w:rsidRPr="00547CE1">
        <w:rPr>
          <w:rFonts w:ascii="Arial" w:hAnsi="Arial" w:cs="Arial"/>
          <w:b/>
          <w:bCs/>
          <w:sz w:val="20"/>
          <w:szCs w:val="20"/>
        </w:rPr>
        <w:t>urrent source density analysis</w:t>
      </w:r>
    </w:p>
    <w:p w14:paraId="7108707E" w14:textId="16AE69A1" w:rsidR="000C57D9" w:rsidRDefault="000C57D9" w:rsidP="00250348">
      <w:pPr>
        <w:spacing w:after="0" w:line="480" w:lineRule="auto"/>
        <w:jc w:val="both"/>
        <w:rPr>
          <w:rFonts w:ascii="Arial" w:hAnsi="Arial" w:cs="Arial"/>
          <w:sz w:val="20"/>
          <w:szCs w:val="20"/>
        </w:rPr>
      </w:pPr>
      <w:r w:rsidRPr="008D37BA">
        <w:rPr>
          <w:rFonts w:ascii="Arial" w:hAnsi="Arial" w:cs="Arial"/>
          <w:sz w:val="20"/>
          <w:szCs w:val="20"/>
        </w:rPr>
        <w:t xml:space="preserve">We conducted the analyses based on priori hypothesis about specific loci for examining reinforcement learning at anticipation stage (SPN) </w:t>
      </w:r>
      <w:r w:rsidR="00822CBE">
        <w:rPr>
          <w:rFonts w:ascii="Arial" w:hAnsi="Arial" w:cs="Arial"/>
          <w:sz w:val="20"/>
          <w:szCs w:val="20"/>
        </w:rPr>
        <w:fldChar w:fldCharType="begin" w:fldLock="1"/>
      </w:r>
      <w:r w:rsidR="00101BE8">
        <w:rPr>
          <w:rFonts w:ascii="Arial" w:hAnsi="Arial" w:cs="Arial"/>
          <w:sz w:val="20"/>
          <w:szCs w:val="20"/>
        </w:rPr>
        <w:instrText>ADDIN CSL_CITATION {"citationItems":[{"id":"ITEM-1","itemData":{"DOI":"10.1016/0013-4694(88)90132-0","ISSN":"00134694","PMID":"2450004","abstract":"Subjects had to press a button at regular intervals of 20 sec. Two seconds after each button press a stimulus was presented indicating the length of the past interval. EEG was analysed from 2500 msec preceding the buttom press until the presentation of the stimulus. Preceding the button press a readiness potential (RP) was recorded with amplitudes that were larger over the hemisphere contralateral to the movement side. Preceding the stimulus negative waves were recorded which were larger over the right hemisphere, irrespective of the movement side. In a warned reaction time experiment, the CNV late wave represents both motor preparation and stimulus anticipation. In the present study motor preparation and stimulus anticipation are no longer confounded factors. Thus, it is shown that stimulus anticipation is indeed reflected by negative activity, as is motor preparation. The potential distribution of the RP, however, is different from the stimulus-preceding negativity (SPN), pointing to a different electrophysiological source. The potential distribution of the SPN has been investigated and a right hemisphere preponderance of the SPN has been found. © 1988.","author":[{"dropping-particle":"","family":"Brunia","given":"C. H.M.","non-dropping-particle":"","parse-names":false,"suffix":""},{"dropping-particle":"","family":"Damen","given":"E. J.P.","non-dropping-particle":"","parse-names":false,"suffix":""}],"container-title":"Electroencephalography and Clinical Neurophysiology","id":"ITEM-1","issue":"3","issued":{"date-parts":[["1988"]]},"page":"234-243","title":"Distribution of slow brain potentials related to motor preparation and stimulus anticipation in a time estimation task","type":"article-journal","volume":"69"},"uris":["http://www.mendeley.com/documents/?uuid=5695b142-5be3-4284-8b8b-73ddebc0ceea"]},{"id":"ITEM-2","itemData":{"DOI":"10.1016/B978-0-12-398451-7.00017-8","ISBN":"9780123984517","abstract":"Investigation of the reward system by means of noninvasive electrophysiological methods has focused on the feedback-related negativity and probe startle. These measure index processing that occurs when the outcome of an action is better or worse than expected. According to evidence reviewed in the present paper, that expectation is reflected in an electrophysiological measure, the stimulus-preceding negativity. This slow wave crescendos in amplitude as receipt of performance feedback and monetary reward or penalty draws near. Comparisons with functional magnetic resonance imaging data have identified a number of likely sources, including the anterior insula and parietal cortices. The relation to sensory attention, dopaminergic disorders, instrumental learning and other functional properties are discussed. © 2014 Elsevier Inc. All rights reserved.","author":[{"dropping-particle":"","family":"Hackley","given":"Steven A.","non-dropping-particle":"","parse-names":false,"suffix":""},{"dropping-particle":"","family":"Valle-Inclán","given":"Fernando","non-dropping-particle":"","parse-names":false,"suffix":""},{"dropping-particle":"","family":"Masaki","given":"Hiroaki","non-dropping-particle":"","parse-names":false,"suffix":""},{"dropping-particle":"","family":"Hebert","given":"Karen","non-dropping-particle":"","parse-names":false,"suffix":""}],"container-title":"Cognitive Electrophysiology of Attention: Signals of the Mind","id":"ITEM-2","issued":{"date-parts":[["2014"]]},"page":"216-225","publisher":"Elsevier","title":"Stimulus-Preceding Negativity (SPN) and Attention to Rewards","type":"chapter"},"uris":["http://www.mendeley.com/documents/?uuid=942b4b34-5e56-4e91-a667-851859b0f62d"]}],"mendeley":{"formattedCitation":"(Brunia &amp; Damen, 1988; Hackley, Valle-Inclán, Masaki, &amp; Hebert, 2014)","plainTextFormattedCitation":"(Brunia &amp; Damen, 1988; Hackley, Valle-Inclán, Masaki, &amp; Hebert, 2014)","previouslyFormattedCitation":"(Brunia &amp; Damen, 1988; Hackley, Valle-Inclán, Masaki, &amp; Hebert, 2014)"},"properties":{"noteIndex":0},"schema":"https://github.com/citation-style-language/schema/raw/master/csl-citation.json"}</w:instrText>
      </w:r>
      <w:r w:rsidR="00822CBE">
        <w:rPr>
          <w:rFonts w:ascii="Arial" w:hAnsi="Arial" w:cs="Arial"/>
          <w:sz w:val="20"/>
          <w:szCs w:val="20"/>
        </w:rPr>
        <w:fldChar w:fldCharType="separate"/>
      </w:r>
      <w:r w:rsidR="00822CBE" w:rsidRPr="00822CBE">
        <w:rPr>
          <w:rFonts w:ascii="Arial" w:hAnsi="Arial" w:cs="Arial"/>
          <w:noProof/>
          <w:sz w:val="20"/>
          <w:szCs w:val="20"/>
        </w:rPr>
        <w:t>(Brunia &amp; Damen, 1988; Hackley, Valle-Inclán, Masaki, &amp; Hebert, 2014)</w:t>
      </w:r>
      <w:r w:rsidR="00822CBE">
        <w:rPr>
          <w:rFonts w:ascii="Arial" w:hAnsi="Arial" w:cs="Arial"/>
          <w:sz w:val="20"/>
          <w:szCs w:val="20"/>
        </w:rPr>
        <w:fldChar w:fldCharType="end"/>
      </w:r>
      <w:r w:rsidRPr="008D37BA">
        <w:rPr>
          <w:rFonts w:ascii="Arial" w:hAnsi="Arial" w:cs="Arial"/>
          <w:sz w:val="20"/>
          <w:szCs w:val="20"/>
        </w:rPr>
        <w:t xml:space="preserve"> and at outcome evaluation stage (FRN, P300 and theta oscillation) </w:t>
      </w:r>
      <w:r w:rsidR="00101BE8">
        <w:rPr>
          <w:rFonts w:ascii="Arial" w:hAnsi="Arial" w:cs="Arial"/>
          <w:sz w:val="20"/>
          <w:szCs w:val="20"/>
        </w:rPr>
        <w:fldChar w:fldCharType="begin" w:fldLock="1"/>
      </w:r>
      <w:r w:rsidR="00281CE4">
        <w:rPr>
          <w:rFonts w:ascii="Arial" w:hAnsi="Arial" w:cs="Arial"/>
          <w:sz w:val="20"/>
          <w:szCs w:val="20"/>
        </w:rPr>
        <w:instrText>ADDIN CSL_CITATION {"citationItems":[{"id":"ITEM-1","itemData":{"DOI":"10.1016/j.tics.2014.04.012","ISSN":"1879307X","PMID":"24835663","abstract":"Recent advancements in cognitive neuroscience have afforded a description of neural responses in terms of latent algorithmic operations. However, the adoption of this approach to human scalp electroencephalography (EEG) has been more limited, despite the ability of this methodology to quantify canonical neuronal processes. Here, we provide evidence that theta band activities over the midfrontal cortex appear to reflect a common computation used for realizing the need for cognitive control. Moreover, by virtue of inherent properties of field oscillations, these theta band processes may be used to communicate this need and subsequently implement such control across disparate brain regions. Thus, frontal theta is a compelling candidate mechanism by which emergent processes, such as 'cognitive control', may be biophysically realized. © 2014 Elsevier Ltd.","author":[{"dropping-particle":"","family":"Cavanagh","given":"James F.","non-dropping-particle":"","parse-names":false,"suffix":""},{"dropping-particle":"","family":"Frank","given":"Michael J.","non-dropping-particle":"","parse-names":false,"suffix":""}],"container-title":"Trends in Cognitive Sciences","id":"ITEM-1","issue":"8","issued":{"date-parts":[["2014"]]},"page":"414-421","publisher":"Elsevier Ltd","title":"Frontal theta as a mechanism for cognitive control","type":"article-journal","volume":"18"},"uris":["http://www.mendeley.com/documents/?uuid=28023880-c61f-457a-b213-0abe3aa90ebc"]},{"id":"ITEM-2","itemData":{"DOI":"10.1016/j.neuroimage.2013.08.028","ISSN":"10538119","PMID":"23973408","abstract":"Changes in response contingencies require adjusting ones assumptions about outcomes of behaviors. Such adaptation processes are driven by reward prediction error (RPE) signals which reflect the inadequacy of expectations. Signals resembling RPEs are known to be encoded by mesencephalic dopamine neurons projecting to the striatum and frontal regions. Although regions that process RPEs, such as the dorsal anterior cingulate cortex (dACC), have been identified, only indirect evidence links timing and network organization of RPE processing in humans. In electroencephalography (EEG), which is well known for its high temporal resolution, the feedback-related negativity (FRN) has been suggested to reflect RPE processing. Recent studies, however, suggested that the FRN might reflect surprise, which would correspond to the absolute, rather than the signed RPE signals. Furthermore, the localization of the FRN remains a matter of debate.In this simultaneous EEG-functional magnetic resonance imaging (fMRI) study, we localized the FRN directly using the superior spatial resolution of fMRI without relying on any spatial constraint or other assumption. Using two different single-trial approaches, we consistently found a cluster within the dACC. One analysis revealed additional activations of the salience network. Furthermore, we evaluated the effect of signed RPEs and surprise signals on the FRN amplitude. We considered that both signals are usually correlated and found that only surprise signals modulate the FRN amplitude. Last, we explored the pathway of RPE signals using dynamic causal modeling (DCM). We found that the surprise signals are directly projected to the source region of the FRN. This finding contradicts earlier theories about the network organization of the FRN, but is in line with a recent theory stating that dopamine neurons also encode surprise-like saliency signals.Our findings crucially advance the understanding of the FRN. We found compelling evidence that the FRN originates from the dACC. Furthermore, we clarified the functional role of the FRN, and determined the role of the dACC within the RPE network. These findings should enable us to study the processing of surprise and adjustment signals in the dACC in healthy and also in psychiatric patients. © 2013 Elsevier Inc.","author":[{"dropping-particle":"","family":"Hauser","given":"Tobias U.","non-dropping-particle":"","parse-names":false,"suffix":""},{"dropping-particle":"","family":"Iannaccone","given":"Reto","non-dropping-particle":"","parse-names":false,"suffix":""},{"dropping-particle":"","family":"St</w:instrText>
      </w:r>
      <w:r w:rsidR="00281CE4">
        <w:rPr>
          <w:rFonts w:ascii="Arial" w:hAnsi="Arial" w:cs="Arial" w:hint="eastAsia"/>
          <w:sz w:val="20"/>
          <w:szCs w:val="20"/>
        </w:rPr>
        <w:instrText>ä</w:instrText>
      </w:r>
      <w:r w:rsidR="00281CE4">
        <w:rPr>
          <w:rFonts w:ascii="Arial" w:hAnsi="Arial" w:cs="Arial"/>
          <w:sz w:val="20"/>
          <w:szCs w:val="20"/>
        </w:rPr>
        <w:instrText>mpfli","given":"Philipp","non-dropping-particle":"","parse-names":false,"suffix":""},{"dropping-particle":"","family":"Drechsler","given":"Renate","non-dropping-particle":"","parse-names":false,"suffix":""},{"dropping-particle":"","family":"Brandeis","given":"Daniel","non-dropping-particle":"","parse-names":false,"suffix":""},{"dropping-particle":"","family":"Walitza","given":"Susanne","non-dropping-particle":"","parse-names":false,"suffix":""},{"dropping-particle":"","family":"Brem","given":"Silvia","non-dropping-particle":"","parse-names":false,"suffix":""}],"container-title":"NeuroImage","id":"ITEM-2","issued":{"date-parts":[["2014"]]},"page":"159-168","title":"The feedback-related negativity (FRN) revisited: New insights into the localization, meaning and network organization","type":"article-journal","volume":"84"},"uris":["http://www.mendeley.com/documents/?uuid=36288e2a-dbc9-491c-bd0c-ce4bf6b099dc"]},{"id":"ITEM-3","itemData":{"DOI":"10.1097/00001756-200312190-00037","ISSN":"1473558X","PMID":"14663214","author":[{"dropping-particle":"","family":"Holroyd","given":"Clay B.","non-dropping-particle":"","parse-names":false,"suffix":""},{"dropping-particle":"","family":"Nieuwenhuis","given":"Sander","non-dropping-particle":"","parse-names":false,"suffix":""},{"dropping-particle":"","family":"Yeung","given":"Nick","non-dropping-particle":"","parse-names":false,"suffix":""},{"dropping-particle":"","family":"Cohen","given":"Jonathan D.","non-dropping-particle":"","parse-names":false,"suffix":""}],"container-title":"NeuroReport","id":"ITEM-3","issue":"18","issued":{"date-parts":[["2003"]]},"page":"2481-2484","title":"Errors in reward prediction are reflected in the event-related brain potential","type":"article-journal","volume":"14"},"uris":["http://www.mendeley.com/documents/?uuid=9715f10a-5b09-4138-95d5-5c5df574d820"]},{"id":"ITEM-4","itemData":{"DOI":"10.1037/0033-2909.131.4.510","ISSN":"00332909","PMID":"16060800","abstract":"Psychologists and neuroscientists have had a long-standing interest in the P3, a prominent component of the event-related brain potential. This review aims to integrate knowledge regarding the neural basis of the P3 and to elucidate its functional role in information processing. The authors review evidence suggesting that the P3 reflects phasic activity of the neuromodulatory locus coeruleus-norepinephrine (LC-NE) system. They discuss the P3 literature in the light of empirical findings and a recent theory regarding the information-processing function of the LC-NE phasic response. The theoretical framework emerging from this research synthesis suggests that the P3 reflects the response of the LC-NE system to the outcome of internal decision-making processes and the consequent effects of noradrenergic potentiation of information processing. Copyright 2005 by the American Psychological Association.","author":[{"dropping-particle":"","family":"Nieuwenhuis","given":"Sander","non-dropping-particle":"","parse-names":false,"suffix":""},{"dropping-particle":"","family":"Aston-Jones","given":"Gary","non-dropping-particle":"","parse-names":false,"suffix":""},{"dropping-particle":"","family":"Cohen","given":"Jonathan D.","non-dropping-particle":"","parse-names":false,"suffix":""}],"container-title":"Psychological Bulletin","id":"ITEM-4","issue":"4","issued":{"date-parts":[["2005"]]},"page":"510-532","title":"Decision making, the P3, and the locus coeruleus-norepinephrine system","type":"article-journal","volume":"131"},"uris":["http://www.mendeley.com/documents/?uuid=f66399ff-a818-4754-abc1-4118852be2ad"]},{"id":"ITEM-5","itemData":{"DOI":"10.1111/j.1469-8986.2012.01473.x","ISSN":"14698986","PMID":"23066877","abstract":"The feedback negativity (FN) has been repeatedly linked to expectancies about decision outcomes. Sequential outcome order is likely to influence such expectancies but has been widely disregarded. We therefore investigated whether the three-trial order of decision outcomes in a gambling task influences the FN as well as the P200 and P300. All three deflections were not only influenced by the outcome valence of the current trial but also by the outcomes of the two preceding trials. In detail, the FN and P300 to any current trial outcome were largest when the outcomes in the two preceding trials had an opposite valence. The P200 was highest in the context of two directly preceding wins, indicating that it may reflect representations of local outcome history. Our findings demonstrate that neural systems involved in decision outcome processing dynamically and continuously integrate the local outcome history for the evaluation of present outcomes. © 2012 Society for Psychophysiological Research.","author":[{"dropping-particle":"","family":"Osinsky","given":"Roman","non-dropping-particle":"","parse-names":false,"suffix":""},{"dropping-particle":"","family":"Mussel","given":"Patrick","non-dropping-particle":"","parse-names":false,"suffix":""},{"dropping-particle":"","family":"Hewig","given":"Johannes","non-dropping-particle":"","parse-names":false,"suffix":""}],"container-title":"Psychophysiology","id":"ITEM-5","issue":"12","issued":{"date-parts":[["2012"]]},"page":"1579-1589","title":"Feedback-related potentials are sensitive to sequential order of decision outcomes in a gambling task","type":"article-journal","volume":"49"},"uris":["http://www.mendeley.com/documents/?uuid=5e70cbbc-1a5c-4de0-bead-6d3c86f5398e"]},{"id":"ITEM-6","itemData":{"DOI":"10.1093/cercor/bhh153","ISSN":"10473211","PMID":"15319308","abstract":"The feedback negativity is a component of the event-related brain potential that is elicited by feedback stimuli associated with unfavorable outcomes. The present research investigated whether this component reflects an evaluation of the valence of experienced outcomes or a process of learning about actions that led to those outcomes. The latter hypothesis predicts that the feedback negativity should be observed only when negative outcomes are experienced in relation to executed actions. Contrary to this prediction, feedback negativities were observed in simple monetary gambling tasks in which participants made no active choices (experiment 1) and no overt actions (experiment 2). However, the amplitude of the component was reduced in these tasks relative to a gambling task in which the outcomes appeared to be contingent upon participants' response choices. This reduction was correlated with changes in participants' subjective ratings of involvement in the tasks, suggesting that the evaluative process indexed by the feedback negativity is sensitive to the motivational significance of ongoing events. © Oxford University Press 2004; all rights reserved.","author":[{"dropping-particle":"","family":"Yeung","given":"Nick","non-dropping-particle":"","parse-names":false,"suffix":""},{"dropping-particle":"","family":"Holroyd","given":"Clay B.","non-dropping-particle":"","parse-names":false,"suffix":""},{"dropping-particle":"","family":"Cohen","given":"Jonathan D.","non-dropping-particle":"","parse-names":false,"suffix":""}],"container-title":"Cerebral Cortex","id":"ITEM-6","issue":"5","issued":{"date-parts":[["2005"]]},"page":"535-544","title":"ERP correlates of feedback and reward processing in the presence and absence of response choice","type":"article-journal","volume":"15"},"uris":["http://www.mendeley.com/documents/?uuid=5b42c92b-52cd-412f-8d79-1cfd50ae60df"]}],"mendeley":{"formattedCitation":"(Cavanagh &amp; Frank, 2014; Hauser et al., 2014; Holroyd et al., 2003; Nieuwenhuis, Aston-Jones, &amp; Cohen, 2005; Osinsky et al., 2012; Yeung, Holroyd, &amp; Cohen, 2005)","plainTextFormattedCitation":"(Cavanagh &amp; Frank, 2014; Hauser et al., 2014; Holroyd et al., 2003; Nieuwenhuis, Aston-Jones, &amp; Cohen, 2005; Osinsky et al., 2012; Yeung, Holroyd, &amp; Cohen, 2005)","previouslyFormattedCitation":"(Cavanagh &amp; Frank, 2014; Hauser et al., 2014; Holroyd et al., 2003; Nieuwenhuis, Aston-Jones, &amp; Cohen, 2005; Osinsky et al., 2012; Yeung, Holroyd, &amp; Cohen, 2005)"},"properties":{"noteIndex":0},"schema":"https://github.com/citation-style-language/schema/raw/master/csl-citation.json"}</w:instrText>
      </w:r>
      <w:r w:rsidR="00101BE8">
        <w:rPr>
          <w:rFonts w:ascii="Arial" w:hAnsi="Arial" w:cs="Arial"/>
          <w:sz w:val="20"/>
          <w:szCs w:val="20"/>
        </w:rPr>
        <w:fldChar w:fldCharType="separate"/>
      </w:r>
      <w:r w:rsidR="00101BE8" w:rsidRPr="00101BE8">
        <w:rPr>
          <w:rFonts w:ascii="Arial" w:hAnsi="Arial" w:cs="Arial"/>
          <w:noProof/>
          <w:sz w:val="20"/>
          <w:szCs w:val="20"/>
        </w:rPr>
        <w:t>(Cavanagh &amp; Frank, 2014; Hauser et al., 2014; Holroyd et al., 2003; Nieuwenhuis, Aston-Jones, &amp; Cohen, 2005; Osinsky et al., 2012; Yeung, Holroyd, &amp; Cohen, 2005)</w:t>
      </w:r>
      <w:r w:rsidR="00101BE8">
        <w:rPr>
          <w:rFonts w:ascii="Arial" w:hAnsi="Arial" w:cs="Arial"/>
          <w:sz w:val="20"/>
          <w:szCs w:val="20"/>
        </w:rPr>
        <w:fldChar w:fldCharType="end"/>
      </w:r>
      <w:r w:rsidRPr="008D37BA">
        <w:rPr>
          <w:rFonts w:ascii="Arial" w:hAnsi="Arial" w:cs="Arial"/>
          <w:sz w:val="20"/>
          <w:szCs w:val="20"/>
        </w:rPr>
        <w:t xml:space="preserve">. Therefore, we extracted the specific electrode sites, i.e. SPN at bilateral FC5/6 and F5/6 </w:t>
      </w:r>
      <w:r w:rsidR="00F40CEB">
        <w:rPr>
          <w:rFonts w:ascii="Arial" w:hAnsi="Arial" w:cs="Arial"/>
          <w:sz w:val="20"/>
          <w:szCs w:val="20"/>
        </w:rPr>
        <w:fldChar w:fldCharType="begin" w:fldLock="1"/>
      </w:r>
      <w:r w:rsidR="005A2FE6">
        <w:rPr>
          <w:rFonts w:ascii="Arial" w:hAnsi="Arial" w:cs="Arial"/>
          <w:sz w:val="20"/>
          <w:szCs w:val="20"/>
        </w:rPr>
        <w:instrText>ADDIN CSL_CITATION {"citationItems":[{"id":"ITEM-1","itemData":{"DOI":"10.1111/psyp.12415","ISSN":"14698986","PMID":"25664392","abstract":"A well-known bias in risky decision making is that most people tend to be risk averse when gains are salient but risk seeking when losses are salient. The present study addressed the neural dynamics of this process by recording ERPs during a gambling task in a gain and a loss context. Behaviorally, participants were found to be risk averse in the gain context but risk neutral in the loss context. During the anticipation stage, an increased stimulus-preceding negativity was elicited by high- versus low-risk choices in the gain but not the loss context. During the outcome-appraisal stage, the feedback-related negativity was larger after high- versus low-risk choices in the gain instead of the loss context. For the P300, an outcome valence effect (a larger P300 for gain vs. loss outcomes) emerged following the high- versus low-risk decisions in the gain but not the loss context. Our findings suggest that risk processing can be modulated by the context of valence during the anticipation stage and by both the contextual valence and the outcome valence during the outcome-appraisal stage, which may be driven by the motivational salience imposed by the context of valence.","author":[{"dropping-particle":"","family":"Zheng","given":"Ya","non-dropping-particle":"","parse-names":false,"suffix":""},{"dropping-particle":"","family":"Li","given":"Qi","non-dropping-particle":"","parse-names":false,"suffix":""},{"dropping-particle":"","family":"Wang","given":"Kai","non-dropping-particle":"","parse-names":false,"suffix":""},{"dropping-particle":"","family":"Wu","given":"Haiyan","non-dropping-particle":"","parse-names":false,"suffix":""},{"dropping-particle":"","family":"Liu","given":"Xun","non-dropping-particle":"","parse-names":false,"suffix":""}],"container-title":"Psychophysiology","id":"ITEM-1","issue":"7","issued":{"date-parts":[["2015"]]},"page":"895-904","title":"Contextual valence modulates the neural dynamics of risk processing","type":"article-journal","volume":"52"},"uris":["http://www.mendeley.com/documents/?uuid=a6d34ba5-6e38-4b3a-b4a7-26aae23e3a8f"]}],"mendeley":{"formattedCitation":"(Zheng, Li, Wang, Wu, &amp; Liu, 2015)","plainTextFormattedCitation":"(Zheng, Li, Wang, Wu, &amp; Liu, 2015)","previouslyFormattedCitation":"(Zheng, Li, Wang, Wu, &amp; Liu, 2015)"},"properties":{"noteIndex":0},"schema":"https://github.com/citation-style-language/schema/raw/master/csl-citation.json"}</w:instrText>
      </w:r>
      <w:r w:rsidR="00F40CEB">
        <w:rPr>
          <w:rFonts w:ascii="Arial" w:hAnsi="Arial" w:cs="Arial"/>
          <w:sz w:val="20"/>
          <w:szCs w:val="20"/>
        </w:rPr>
        <w:fldChar w:fldCharType="separate"/>
      </w:r>
      <w:r w:rsidR="00F40CEB" w:rsidRPr="00F40CEB">
        <w:rPr>
          <w:rFonts w:ascii="Arial" w:hAnsi="Arial" w:cs="Arial"/>
          <w:noProof/>
          <w:sz w:val="20"/>
          <w:szCs w:val="20"/>
        </w:rPr>
        <w:t>(Zheng, Li, Wang, Wu, &amp; Liu, 2015)</w:t>
      </w:r>
      <w:r w:rsidR="00F40CEB">
        <w:rPr>
          <w:rFonts w:ascii="Arial" w:hAnsi="Arial" w:cs="Arial"/>
          <w:sz w:val="20"/>
          <w:szCs w:val="20"/>
        </w:rPr>
        <w:fldChar w:fldCharType="end"/>
      </w:r>
      <w:r w:rsidRPr="008D37BA">
        <w:rPr>
          <w:rFonts w:ascii="Arial" w:hAnsi="Arial" w:cs="Arial"/>
          <w:sz w:val="20"/>
          <w:szCs w:val="20"/>
        </w:rPr>
        <w:t xml:space="preserve">; FRN at FCz </w:t>
      </w:r>
      <w:r w:rsidR="005A2FE6">
        <w:rPr>
          <w:rFonts w:ascii="Arial" w:hAnsi="Arial" w:cs="Arial"/>
          <w:sz w:val="20"/>
          <w:szCs w:val="20"/>
        </w:rPr>
        <w:fldChar w:fldCharType="begin" w:fldLock="1"/>
      </w:r>
      <w:r w:rsidR="00270470">
        <w:rPr>
          <w:rFonts w:ascii="Arial" w:hAnsi="Arial" w:cs="Arial"/>
          <w:sz w:val="20"/>
          <w:szCs w:val="20"/>
        </w:rPr>
        <w:instrText>ADDIN CSL_CITATION {"citationItems":[{"id":"ITEM-1","itemData":{"DOI":"10.1016/j.neuroimage.2013.08.028","ISSN":"10538119","PMID":"23973408","abstract":"Changes in response contingencies require adjusting ones assumptions about outcomes of behaviors. Such adaptation processes are driven by reward prediction error (RPE) signals which reflect the inadequacy of expectations. Signals resembling RPEs are known to be encoded by mesencephalic dopamine neurons projecting to the striatum and frontal regions. Although regions that process RPEs, such as the dorsal anterior cingulate cortex (dACC), have been identified, only indirect evidence links timing and network organization of RPE processing in humans. In electroencephalography (EEG), which is well known for its high temporal resolution, the feedback-related negativity (FRN) has been suggested to reflect RPE processing. Recent studies, however, suggested that the FRN might reflect surprise, which would correspond to the absolute, rather than the signed RPE signals. Furthermore, the localization of the FRN remains a matter of debate.In this simultaneous EEG-functional magnetic resonance imaging (fMRI) study, we localized the FRN directly using the superior spatial resolution of fMRI without relying on any spatial constraint or other assumption. Using two different single-trial approaches, we consistently found a cluster within the dACC. One analysis revealed additional activations of the salience network. Furthermore, we evaluated the effect of signed RPEs and surprise signals on the FRN amplitude. We considered that both signals are usually correlated and found that only surprise signals modulate the FRN amplitude. Last, we explored the pathway of RPE signals using dynamic causal modeling (DCM). We found that the surprise signals are directly projected to the source region of the FRN. This finding contradicts earlier theories about the network organization of the FRN, but is in line with a recent theory stating that dopamine neurons also encode surprise-like saliency signals.Our findings crucially advance the understanding of the FRN. We found compelling evidence that the FRN originates from the dACC. Furthermore, we clarified the functional role of the FRN, and determined the role of the dACC within the RPE network. These findings should enable us to study the processing of surprise and adjustment signals in the dACC in healthy and also in psychiatric patients. © 2013 Elsevier Inc.","author":[{"dropping-particle":"","family":"Hauser","given":"Tobias U.","non-dropping-particle":"","parse-names":false,"suffix":""},{"dropping-particle":"","family":"Iannaccone","given":"Reto","non-dropping-particle":"","parse-names":false,"suffix":""},{"dropping-particle":"","family":"Stämpfli","given":"Philipp","non-dropping-particle":"","parse-names":false,"suffix":""},{"dropping-particle":"","family":"Drechsler","given":"Renate","non-dropping-particle":"","parse-names":false,"suffix":""},{"dropping-particle":"","family":"Brandeis","given":"Daniel","non-dropping-particle":"","parse-names":false,"suffix":""},{"dropping-particle":"","family":"Walitza","given":"Susanne","non-dropping-particle":"","parse-names":false,"suffix":""},{"dropping-particle":"","family":"Brem","given":"Silvia","non-dropping-particle":"","parse-names":false,"suffix":""}],"container-title":"NeuroImage","id":"ITEM-1","issued":{"date-parts":[["2014"]]},"page":"159-168","title":"The feedback-related negativity (FRN) revisited: New insights into the localization, meaning and network organization","type":"article-journal","volume":"84"},"uris":["http://www.mendeley.com/documents/?uuid=36288e2a-dbc9-491c-bd0c-ce4bf6b099dc"]},{"id":"ITEM-2","itemData":{"DOI":"10.3758/CABN.9.1.59","ISSN":"15307026","PMID":"19246327","abstract":"A recent theory holds that the anterior cingulate cortex (ACC) uses reinforcement learning signals conveyed by the midbrain dopamine system to facilitate flexible action selection. According to this position, the impact of reward prediction error signals on ACC modulates the amplitude of a component of the event-related brain potential called the error-related negativity (ERN). The theory predicts that ERN amplitude is monotonically related to the expectedness of the event: It is larger for unexpected outcomes than for expected outcomes. However, a recent failure to confirm this prediction has called the theory into question. In the present article, we investigated this discrepancy in three trial-and-error learning experiments. All three experiments provided support for the theory, but the effect sizes were largest when an optimal response strategy could actually be learned. This observation suggests that ACC utilizes dopamine reward prediction error signals for adaptive decision making when the optimal behavior is, in fact, learnable. © 2009 The Psychonomic Society, Inc.","author":[{"dropping-particle":"","family":"Holroyd","given":"Clay B.","non-dropping-particle":"","parse-names":false,"suffix":""},{"dropping-particle":"","family":"Krigolson","given":"Olave E.","non-dropping-particle":"","parse-names":false,"suffix":""},{"dropping-particle":"","family":"Baker","given":"Robert","non-dropping-particle":"","parse-names":false,"suffix":""},{"dropping-particle":"","family":"Lee","given":"Seung","non-dropping-particle":"","parse-names":false,"suffix":""},{"dropping-particle":"","family":"Gibson","given":"Jessica","non-dropping-particle":"","parse-names":false,"suffix":""}],"container-title":"Cognitive, Affective and Behavioral Neuroscience","id":"ITEM-2","issue":"1","issued":{"date-parts":[["2009"]]},"page":"59-70","title":"When is an error not a prediction error? An electrophysiological investigation","type":"article-journal","volume":"9"},"uris":["http://www.mendeley.com/documents/?uuid=b8b6ef44-cdbd-434b-9372-5b61f9b468f8"]}],"mendeley":{"formattedCitation":"(Hauser et al., 2014; Holroyd, Krigolson, Baker, Lee, &amp; Gibson, 2009)","plainTextFormattedCitation":"(Hauser et al., 2014; Holroyd, Krigolson, Baker, Lee, &amp; Gibson, 2009)","previouslyFormattedCitation":"(Hauser et al., 2014; Holroyd, Krigolson, Baker, Lee, &amp; Gibson, 2009)"},"properties":{"noteIndex":0},"schema":"https://github.com/citation-style-language/schema/raw/master/csl-citation.json"}</w:instrText>
      </w:r>
      <w:r w:rsidR="005A2FE6">
        <w:rPr>
          <w:rFonts w:ascii="Arial" w:hAnsi="Arial" w:cs="Arial"/>
          <w:sz w:val="20"/>
          <w:szCs w:val="20"/>
        </w:rPr>
        <w:fldChar w:fldCharType="separate"/>
      </w:r>
      <w:r w:rsidR="005A2FE6" w:rsidRPr="005A2FE6">
        <w:rPr>
          <w:rFonts w:ascii="Arial" w:hAnsi="Arial" w:cs="Arial"/>
          <w:noProof/>
          <w:sz w:val="20"/>
          <w:szCs w:val="20"/>
        </w:rPr>
        <w:t>(Hauser et al., 2014; Holroyd, Krigolson, Baker, Lee, &amp; Gibson, 2009)</w:t>
      </w:r>
      <w:r w:rsidR="005A2FE6">
        <w:rPr>
          <w:rFonts w:ascii="Arial" w:hAnsi="Arial" w:cs="Arial"/>
          <w:sz w:val="20"/>
          <w:szCs w:val="20"/>
        </w:rPr>
        <w:fldChar w:fldCharType="end"/>
      </w:r>
      <w:r w:rsidRPr="008D37BA">
        <w:rPr>
          <w:rFonts w:ascii="Arial" w:hAnsi="Arial" w:cs="Arial"/>
          <w:sz w:val="20"/>
          <w:szCs w:val="20"/>
        </w:rPr>
        <w:t xml:space="preserve">; P300 at CPz </w:t>
      </w:r>
      <w:r w:rsidR="00270470">
        <w:rPr>
          <w:rFonts w:ascii="Arial" w:hAnsi="Arial" w:cs="Arial"/>
          <w:sz w:val="20"/>
          <w:szCs w:val="20"/>
        </w:rPr>
        <w:lastRenderedPageBreak/>
        <w:fldChar w:fldCharType="begin" w:fldLock="1"/>
      </w:r>
      <w:r w:rsidR="00270470">
        <w:rPr>
          <w:rFonts w:ascii="Arial" w:hAnsi="Arial" w:cs="Arial"/>
          <w:sz w:val="20"/>
          <w:szCs w:val="20"/>
        </w:rPr>
        <w:instrText>ADDIN CSL_CITATION {"citationItems":[{"id":"ITEM-1","itemData":{"DOI":"10.1016/j.neuroimage.2015.02.007","ISSN":"10959572","PMID":"25676913","abstract":"Recent work has suggested that reward prediction errors elicit a positive voltage deflection in the scalp-recorded electroencephalogram (EEG); an event sometimes termed a reward positivity. However, a strong test of this proposed relationship remains to be defined. Other important questions remain unaddressed: such as the role of the reward positivity in predicting future behavioral adjustments that maximize reward. To answer these questions, a three-armed bandit task was used to investigate the role of positive prediction errors during trial-by-trial exploration and task-set based exploitation. The feedback-locked reward positivity was characterized by delta band activities, and these related EEG features scaled with the degree of a computationally derived positive prediction error. However, these phenomena were also dissociated: the computational model predicted exploitative action selection and related response time speeding whereas the feedback-locked EEG features did not. Compellingly, delta band dynamics time-locked to the subsequent bandit (the P3) successfully predicted these behaviors. These bandit-locked findings included an enhanced parietal to motor cortex delta phase lag that correlated with the degree of response time speeding, suggesting a mechanistic role for delta band activities in motivating action selection. This dissociation in feedback vs. bandit locked EEG signals is interpreted as a differentiation in hierarchically distinct types of prediction error, yielding novel predictions about these dissociable delta band phenomena during reinforcement learning and decision making.","author":[{"dropping-particle":"","family":"Cavanagh","given":"James F.","non-dropping-particle":"","parse-names":false,"suffix":""}],"container-title":"NeuroImage","id":"ITEM-1","issued":{"date-parts":[["2015"]]},"page":"205-216","publisher":"Elsevier Inc.","title":"Cortical delta activity reflects reward prediction error and related behavioral adjustments, but at different times","type":"article-journal","volume":"110"},"uris":["http://www.mendeley.com/documents/?uuid=da28c994-58b3-4b7f-b3f5-0cd13fd55014"]}],"mendeley":{"formattedCitation":"(Cavanagh, 2015)","plainTextFormattedCitation":"(Cavanagh, 2015)","previouslyFormattedCitation":"(Cavanagh, 2015)"},"properties":{"noteIndex":0},"schema":"https://github.com/citation-style-language/schema/raw/master/csl-citation.json"}</w:instrText>
      </w:r>
      <w:r w:rsidR="00270470">
        <w:rPr>
          <w:rFonts w:ascii="Arial" w:hAnsi="Arial" w:cs="Arial"/>
          <w:sz w:val="20"/>
          <w:szCs w:val="20"/>
        </w:rPr>
        <w:fldChar w:fldCharType="separate"/>
      </w:r>
      <w:r w:rsidR="00270470" w:rsidRPr="00270470">
        <w:rPr>
          <w:rFonts w:ascii="Arial" w:hAnsi="Arial" w:cs="Arial"/>
          <w:noProof/>
          <w:sz w:val="20"/>
          <w:szCs w:val="20"/>
        </w:rPr>
        <w:t>(Cavanagh, 2015)</w:t>
      </w:r>
      <w:r w:rsidR="00270470">
        <w:rPr>
          <w:rFonts w:ascii="Arial" w:hAnsi="Arial" w:cs="Arial"/>
          <w:sz w:val="20"/>
          <w:szCs w:val="20"/>
        </w:rPr>
        <w:fldChar w:fldCharType="end"/>
      </w:r>
      <w:r w:rsidRPr="008D37BA">
        <w:rPr>
          <w:rFonts w:ascii="Arial" w:hAnsi="Arial" w:cs="Arial"/>
          <w:sz w:val="20"/>
          <w:szCs w:val="20"/>
        </w:rPr>
        <w:t xml:space="preserve">; theta at FCz </w:t>
      </w:r>
      <w:r w:rsidR="00270470">
        <w:rPr>
          <w:rFonts w:ascii="Arial" w:hAnsi="Arial" w:cs="Arial"/>
          <w:sz w:val="20"/>
          <w:szCs w:val="20"/>
        </w:rPr>
        <w:fldChar w:fldCharType="begin" w:fldLock="1"/>
      </w:r>
      <w:r w:rsidR="006C553E">
        <w:rPr>
          <w:rFonts w:ascii="Arial" w:hAnsi="Arial" w:cs="Arial"/>
          <w:sz w:val="20"/>
          <w:szCs w:val="20"/>
        </w:rPr>
        <w:instrText>ADDIN CSL_CITATION {"citationItems":[{"id":"ITEM-1","itemData":{"DOI":"10.1016/j.tics.2014.04.012","ISSN":"1879307X","PMID":"24835663","abstract":"Recent advancements in cognitive neuroscience have afforded a description of neural responses in terms of latent algorithmic operations. However, the adoption of this approach to human scalp electroencephalography (EEG) has been more limited, despite the ability of this methodology to quantify canonical neuronal processes. Here, we provide evidence that theta band activities over the midfrontal cortex appear to reflect a common computation used for realizing the need for cognitive control. Moreover, by virtue of inherent properties of field oscillations, these theta band processes may be used to communicate this need and subsequently implement such control across disparate brain regions. Thus, frontal theta is a compelling candidate mechanism by which emergent processes, such as 'cognitive control', may be biophysically realized. © 2014 Elsevier Ltd.","author":[{"dropping-particle":"","family":"Cavanagh","given":"James F.","non-dropping-particle":"","parse-names":false,"suffix":""},{"dropping-particle":"","family":"Frank","given":"Michael J.","non-dropping-particle":"","parse-names":false,"suffix":""}],"container-title":"Trends in Cognitive Sciences","id":"ITEM-1","issue":"8","issued":{"date-parts":[["2014"]]},"page":"414-421","publisher":"Elsevier Ltd","title":"Frontal theta as a mechanism for cognitive control","type":"article-journal","volume":"18"},"uris":["http://www.mendeley.com/documents/?uuid=28023880-c61f-457a-b213-0abe3aa90ebc"]},{"id":"ITEM-2","itemData":{"DOI":"10.1016/j.neuroimage.2009.11.080","ISSN":"10538119","PMID":"19969093","abstract":"Investigations into action monitoring have consistently detailed a frontocentral voltage deflection in the event-related potential (ERP) following the presentation of negatively valenced feedback, sometimes termed the feedback-related negativity (FRN). The FRN has been proposed to reflect a neural response to prediction errors during reinforcement learning, yet the single-trial relationship between neural activity and the quanta of expectation violation remains untested. Although ERP methods are not well suited to single-trial analyses, the FRN has been associated with theta band oscillatory perturbations in the medial prefrontal cortex. Mediofrontal theta oscillations have been previously associated with expectation violation and behavioral adaptation and are well suited to single-trial analysis. Here, we recorded EEG activity during a probabilistic reinforcement learning task and fit the performance data to an abstract computational model (Q-learning) for calculation of single-trial reward prediction errors. Single-trial theta oscillatory activities following feedback were investigated within the context of expectation (prediction error) and adaptation (subsequent reaction time change). Results indicate that interactive medial and lateral frontal theta activities reflect the degree of negative and positive reward prediction error in the service of behavioral adaptation. These different brain areas use prediction error calculations for different behavioral adaptations, with medial frontal theta reflecting the utilization of prediction errors for reaction time slowing (specifically following errors), but lateral frontal theta reflecting prediction errors leading to working memory-related reaction time speeding for the correct choice. © 2009 Elsevier Inc. All rights reserved.","author":[{"dropping-particle":"","family":"Cavanagh","given":"James F.","non-dropping-particle":"","parse-names":false,"suffix":""},{"dropping-particle":"","family":"Frank","given":"Michael J.","non-dropping-particle":"","parse-names":false,"suffix":""},{"dropping-particle":"","family":"Klein","given":"Theresa J.","non-dropping-particle":"","parse-names":false,"suffix":""},{"dropping-particle":"","family":"Allen","given":"John J.B.","non-dropping-particle":"","parse-names":false,"suffix":""}],"container-title":"NeuroImage","id":"ITEM-2","issue":"4","issued":{"date-parts":[["2010"]]},"page":"3198-3209","title":"Frontal theta links prediction errors to behavioral adaptation in reinforcement learning","type":"article-journal","volume":"49"},"uris":["http://www.mendeley.com/documents/?uuid=64ec088a-286a-44bf-9c4a-476300aecd72"]}],"mendeley":{"formattedCitation":"(Cavanagh &amp; Frank, 2014; Cavanagh, Frank, Klein, &amp; Allen, 2010)","plainTextFormattedCitation":"(Cavanagh &amp; Frank, 2014; Cavanagh, Frank, Klein, &amp; Allen, 2010)","previouslyFormattedCitation":"(Cavanagh &amp; Frank, 2014; Cavanagh, Frank, Klein, &amp; Allen, 2010)"},"properties":{"noteIndex":0},"schema":"https://github.com/citation-style-language/schema/raw/master/csl-citation.json"}</w:instrText>
      </w:r>
      <w:r w:rsidR="00270470">
        <w:rPr>
          <w:rFonts w:ascii="Arial" w:hAnsi="Arial" w:cs="Arial"/>
          <w:sz w:val="20"/>
          <w:szCs w:val="20"/>
        </w:rPr>
        <w:fldChar w:fldCharType="separate"/>
      </w:r>
      <w:r w:rsidR="00270470" w:rsidRPr="00270470">
        <w:rPr>
          <w:rFonts w:ascii="Arial" w:hAnsi="Arial" w:cs="Arial"/>
          <w:noProof/>
          <w:sz w:val="20"/>
          <w:szCs w:val="20"/>
        </w:rPr>
        <w:t>(Cavanagh &amp; Frank, 2014; Cavanagh, Frank, Klein, &amp; Allen, 2010)</w:t>
      </w:r>
      <w:r w:rsidR="00270470">
        <w:rPr>
          <w:rFonts w:ascii="Arial" w:hAnsi="Arial" w:cs="Arial"/>
          <w:sz w:val="20"/>
          <w:szCs w:val="20"/>
        </w:rPr>
        <w:fldChar w:fldCharType="end"/>
      </w:r>
      <w:r w:rsidRPr="008D37BA">
        <w:rPr>
          <w:rFonts w:ascii="Arial" w:hAnsi="Arial" w:cs="Arial"/>
          <w:sz w:val="20"/>
          <w:szCs w:val="20"/>
        </w:rPr>
        <w:t xml:space="preserve"> for the corresponding analyses.</w:t>
      </w:r>
    </w:p>
    <w:p w14:paraId="426CF636" w14:textId="3C0A4511" w:rsidR="00C61BCA" w:rsidRDefault="00AC5F5A" w:rsidP="00250348">
      <w:pPr>
        <w:spacing w:after="0" w:line="480" w:lineRule="auto"/>
        <w:ind w:firstLine="420"/>
        <w:jc w:val="both"/>
        <w:rPr>
          <w:rFonts w:ascii="Arial" w:hAnsi="Arial" w:cs="Arial"/>
          <w:sz w:val="20"/>
          <w:szCs w:val="20"/>
        </w:rPr>
      </w:pPr>
      <w:r>
        <w:rPr>
          <w:rFonts w:ascii="Arial" w:hAnsi="Arial" w:cs="Arial"/>
          <w:sz w:val="20"/>
          <w:szCs w:val="20"/>
        </w:rPr>
        <w:t>W</w:t>
      </w:r>
      <w:r w:rsidRPr="00AC5F5A">
        <w:rPr>
          <w:rFonts w:ascii="Arial" w:hAnsi="Arial" w:cs="Arial"/>
          <w:sz w:val="20"/>
          <w:szCs w:val="20"/>
        </w:rPr>
        <w:t>e additionally applied the current source density analysis to diminish volume conduction and identify the locations of sources and sinks of electrical currents on the head (Hu and Zhang, 2019), which can support our extraction of specific electrode.</w:t>
      </w:r>
    </w:p>
    <w:p w14:paraId="3F05E498" w14:textId="77777777" w:rsidR="00C61BCA" w:rsidRDefault="00C61BCA" w:rsidP="00074854">
      <w:pPr>
        <w:spacing w:after="0"/>
        <w:rPr>
          <w:rFonts w:ascii="Arial" w:hAnsi="Arial" w:cs="Arial"/>
          <w:sz w:val="20"/>
          <w:szCs w:val="20"/>
        </w:rPr>
      </w:pPr>
    </w:p>
    <w:p w14:paraId="336EB0BD" w14:textId="6285B88D" w:rsidR="00074854" w:rsidRDefault="00AC5F5A" w:rsidP="00074854">
      <w:pPr>
        <w:spacing w:after="0"/>
        <w:rPr>
          <w:rFonts w:ascii="Arial" w:hAnsi="Arial" w:cs="Arial"/>
          <w:sz w:val="20"/>
          <w:szCs w:val="20"/>
        </w:rPr>
      </w:pPr>
      <w:r w:rsidRPr="00AC5F5A">
        <w:rPr>
          <w:rFonts w:ascii="Arial" w:hAnsi="Arial" w:cs="Arial"/>
          <w:sz w:val="20"/>
          <w:szCs w:val="20"/>
        </w:rPr>
        <w:t xml:space="preserve"> </w:t>
      </w:r>
      <w:r w:rsidR="00074854">
        <w:rPr>
          <w:rFonts w:ascii="Arial" w:hAnsi="Arial" w:cs="Arial"/>
          <w:sz w:val="20"/>
          <w:szCs w:val="20"/>
        </w:rPr>
        <w:br w:type="page"/>
      </w:r>
    </w:p>
    <w:p w14:paraId="387F1096" w14:textId="77777777" w:rsidR="00074854" w:rsidRPr="00842503" w:rsidRDefault="00074854" w:rsidP="00074854">
      <w:pPr>
        <w:spacing w:line="480" w:lineRule="auto"/>
        <w:jc w:val="both"/>
        <w:rPr>
          <w:rFonts w:ascii="Times New Roman" w:hAnsi="Times New Roman" w:cs="Times New Roman"/>
          <w:b/>
          <w:szCs w:val="21"/>
        </w:rPr>
      </w:pPr>
      <w:r>
        <w:rPr>
          <w:rFonts w:ascii="Times New Roman" w:hAnsi="Times New Roman" w:cs="Times New Roman" w:hint="eastAsia"/>
          <w:b/>
          <w:szCs w:val="21"/>
        </w:rPr>
        <w:lastRenderedPageBreak/>
        <w:t xml:space="preserve">Supplementary </w:t>
      </w:r>
      <w:r>
        <w:rPr>
          <w:rFonts w:ascii="Times New Roman" w:hAnsi="Times New Roman" w:cs="Times New Roman"/>
          <w:b/>
          <w:szCs w:val="21"/>
        </w:rPr>
        <w:t>F</w:t>
      </w:r>
      <w:r>
        <w:rPr>
          <w:rFonts w:ascii="Times New Roman" w:hAnsi="Times New Roman" w:cs="Times New Roman" w:hint="eastAsia"/>
          <w:b/>
          <w:szCs w:val="21"/>
        </w:rPr>
        <w:t>igure</w:t>
      </w:r>
      <w:r>
        <w:rPr>
          <w:rFonts w:ascii="Times New Roman" w:hAnsi="Times New Roman" w:cs="Times New Roman"/>
          <w:b/>
          <w:szCs w:val="21"/>
        </w:rPr>
        <w:t>s</w:t>
      </w:r>
    </w:p>
    <w:p w14:paraId="7DAC20BB" w14:textId="77777777" w:rsidR="00074854" w:rsidRPr="00320001" w:rsidRDefault="00074854" w:rsidP="00074854">
      <w:pPr>
        <w:spacing w:after="0"/>
        <w:rPr>
          <w:rFonts w:ascii="Arial" w:hAnsi="Arial" w:cs="Arial"/>
          <w:sz w:val="20"/>
          <w:szCs w:val="20"/>
        </w:rPr>
      </w:pPr>
    </w:p>
    <w:p w14:paraId="4F70A8C2" w14:textId="77777777" w:rsidR="00074854" w:rsidRDefault="00074854" w:rsidP="00074854">
      <w:pPr>
        <w:jc w:val="both"/>
        <w:rPr>
          <w:rFonts w:ascii="Times New Roman" w:hAnsi="Times New Roman" w:cs="Times New Roman"/>
          <w:b/>
          <w:szCs w:val="21"/>
        </w:rPr>
      </w:pPr>
      <w:r>
        <w:rPr>
          <w:rFonts w:ascii="Times New Roman" w:hAnsi="Times New Roman" w:cs="Times New Roman"/>
          <w:b/>
          <w:noProof/>
          <w:szCs w:val="21"/>
        </w:rPr>
        <w:drawing>
          <wp:inline distT="0" distB="0" distL="114300" distR="114300" wp14:anchorId="0740BFE6" wp14:editId="5A0E8D34">
            <wp:extent cx="5272405" cy="2244725"/>
            <wp:effectExtent l="0" t="0" r="4445" b="3175"/>
            <wp:docPr id="6" name="图片 6" descr="Fig6_new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6_new_500"/>
                    <pic:cNvPicPr>
                      <a:picLocks noChangeAspect="1"/>
                    </pic:cNvPicPr>
                  </pic:nvPicPr>
                  <pic:blipFill>
                    <a:blip r:embed="rId5"/>
                    <a:stretch>
                      <a:fillRect/>
                    </a:stretch>
                  </pic:blipFill>
                  <pic:spPr>
                    <a:xfrm>
                      <a:off x="0" y="0"/>
                      <a:ext cx="5272405" cy="2244725"/>
                    </a:xfrm>
                    <a:prstGeom prst="rect">
                      <a:avLst/>
                    </a:prstGeom>
                  </pic:spPr>
                </pic:pic>
              </a:graphicData>
            </a:graphic>
          </wp:inline>
        </w:drawing>
      </w:r>
    </w:p>
    <w:p w14:paraId="3006FA03" w14:textId="3F3D2D99" w:rsidR="00074854" w:rsidRDefault="00074854" w:rsidP="00074854">
      <w:pPr>
        <w:spacing w:line="480" w:lineRule="auto"/>
        <w:jc w:val="both"/>
        <w:rPr>
          <w:rFonts w:ascii="Arial" w:hAnsi="Arial" w:cs="Arial"/>
          <w:sz w:val="20"/>
          <w:szCs w:val="20"/>
        </w:rPr>
      </w:pPr>
      <w:r w:rsidRPr="00DE3F18">
        <w:rPr>
          <w:rFonts w:ascii="Arial" w:hAnsi="Arial" w:cs="Arial"/>
          <w:b/>
          <w:sz w:val="20"/>
          <w:szCs w:val="20"/>
        </w:rPr>
        <w:t xml:space="preserve">Supplementary Fig. 1. </w:t>
      </w:r>
      <w:bookmarkStart w:id="10" w:name="OLE_LINK1"/>
      <w:r w:rsidRPr="00DE3F18">
        <w:rPr>
          <w:rFonts w:ascii="Arial" w:hAnsi="Arial" w:cs="Arial"/>
          <w:sz w:val="20"/>
          <w:szCs w:val="20"/>
        </w:rPr>
        <w:t>Delta-band oscillation results. (a) Correlations between delta band power for negative feedback condition and RT in four conditions (SR, SP, OR, OP) by two groups (PBO  vs. AVP). (b) The proposed moderation model. NDP, negative feedback-related delta band power; RT, reaction time (c) RT among participants as a function of drug and NDP. Functions are graphed for two levels of the drug administration (PBO vs. AVP) in SR condition. SR, making decisions for self in RLT session</w:t>
      </w:r>
      <w:r w:rsidR="000D7EB3" w:rsidRPr="00DE3F18">
        <w:rPr>
          <w:rFonts w:ascii="Arial" w:hAnsi="Arial" w:cs="Arial"/>
          <w:sz w:val="20"/>
          <w:szCs w:val="20"/>
        </w:rPr>
        <w:t>;</w:t>
      </w:r>
      <w:r w:rsidRPr="00DE3F18">
        <w:rPr>
          <w:rFonts w:ascii="Arial" w:hAnsi="Arial" w:cs="Arial"/>
          <w:sz w:val="20"/>
          <w:szCs w:val="20"/>
        </w:rPr>
        <w:t xml:space="preserve"> SP, making decisions for self in PLT session; OR, making decisions for other in RLT session; OP making decisions for other in PLT session.</w:t>
      </w:r>
      <w:bookmarkEnd w:id="10"/>
    </w:p>
    <w:p w14:paraId="16B20F46" w14:textId="41D2ACF0" w:rsidR="00074854" w:rsidRDefault="00074854" w:rsidP="00074854">
      <w:pPr>
        <w:jc w:val="both"/>
        <w:rPr>
          <w:rFonts w:ascii="Arial" w:hAnsi="Arial" w:cs="Arial"/>
          <w:color w:val="000000"/>
          <w:sz w:val="20"/>
          <w:szCs w:val="20"/>
        </w:rPr>
      </w:pPr>
      <w:r>
        <w:rPr>
          <w:rFonts w:ascii="Arial" w:hAnsi="Arial" w:cs="Arial"/>
          <w:color w:val="000000"/>
          <w:sz w:val="20"/>
          <w:szCs w:val="20"/>
        </w:rPr>
        <w:br w:type="page"/>
      </w:r>
    </w:p>
    <w:p w14:paraId="585E8B9C" w14:textId="55A2F343" w:rsidR="00643B5F" w:rsidRDefault="005B2BEA" w:rsidP="00643B5F">
      <w:pPr>
        <w:jc w:val="center"/>
        <w:rPr>
          <w:rFonts w:ascii="Arial" w:hAnsi="Arial" w:cs="Arial"/>
          <w:b/>
          <w:sz w:val="20"/>
          <w:szCs w:val="20"/>
        </w:rPr>
      </w:pPr>
      <w:r>
        <w:rPr>
          <w:rFonts w:ascii="Arial" w:hAnsi="Arial" w:cs="Arial"/>
          <w:b/>
          <w:noProof/>
          <w:sz w:val="20"/>
          <w:szCs w:val="20"/>
        </w:rPr>
        <w:lastRenderedPageBreak/>
        <w:drawing>
          <wp:inline distT="0" distB="0" distL="0" distR="0" wp14:anchorId="3957D6C3" wp14:editId="071F44E7">
            <wp:extent cx="2289810" cy="24307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89810" cy="2430780"/>
                    </a:xfrm>
                    <a:prstGeom prst="rect">
                      <a:avLst/>
                    </a:prstGeom>
                    <a:noFill/>
                    <a:ln>
                      <a:noFill/>
                    </a:ln>
                  </pic:spPr>
                </pic:pic>
              </a:graphicData>
            </a:graphic>
          </wp:inline>
        </w:drawing>
      </w:r>
    </w:p>
    <w:p w14:paraId="4A415AE3" w14:textId="07C44D73" w:rsidR="00F72F97" w:rsidRDefault="00F72F97" w:rsidP="00643B5F">
      <w:pPr>
        <w:spacing w:line="480" w:lineRule="auto"/>
        <w:jc w:val="both"/>
        <w:rPr>
          <w:rFonts w:ascii="Arial" w:hAnsi="Arial" w:cs="Arial"/>
          <w:sz w:val="20"/>
          <w:szCs w:val="20"/>
        </w:rPr>
      </w:pPr>
      <w:r w:rsidRPr="00DE3F18">
        <w:rPr>
          <w:rFonts w:ascii="Arial" w:hAnsi="Arial" w:cs="Arial"/>
          <w:b/>
          <w:sz w:val="20"/>
          <w:szCs w:val="20"/>
        </w:rPr>
        <w:t xml:space="preserve">Supplementary Fig. </w:t>
      </w:r>
      <w:r w:rsidR="00643B5F">
        <w:rPr>
          <w:rFonts w:ascii="Arial" w:hAnsi="Arial" w:cs="Arial"/>
          <w:b/>
          <w:sz w:val="20"/>
          <w:szCs w:val="20"/>
        </w:rPr>
        <w:t>2.</w:t>
      </w:r>
      <w:r w:rsidR="00643B5F" w:rsidRPr="00643B5F">
        <w:rPr>
          <w:rFonts w:ascii="Arial" w:hAnsi="Arial" w:cs="Arial"/>
          <w:sz w:val="20"/>
          <w:szCs w:val="20"/>
        </w:rPr>
        <w:t xml:space="preserve"> </w:t>
      </w:r>
      <w:r w:rsidR="00643B5F">
        <w:rPr>
          <w:rFonts w:ascii="Arial" w:hAnsi="Arial" w:cs="Arial"/>
          <w:sz w:val="20"/>
          <w:szCs w:val="20"/>
        </w:rPr>
        <w:t>R</w:t>
      </w:r>
      <w:r w:rsidR="00643B5F" w:rsidRPr="00DE3F18">
        <w:rPr>
          <w:rFonts w:ascii="Arial" w:hAnsi="Arial" w:cs="Arial"/>
          <w:sz w:val="20"/>
          <w:szCs w:val="20"/>
        </w:rPr>
        <w:t>esult</w:t>
      </w:r>
      <w:r w:rsidR="00643B5F">
        <w:rPr>
          <w:rFonts w:ascii="Arial" w:hAnsi="Arial" w:cs="Arial"/>
          <w:sz w:val="20"/>
          <w:szCs w:val="20"/>
        </w:rPr>
        <w:t xml:space="preserve"> of positive learning rate</w:t>
      </w:r>
      <w:r w:rsidR="00CF5D10">
        <w:rPr>
          <w:rFonts w:ascii="Arial" w:hAnsi="Arial" w:cs="Arial"/>
          <w:sz w:val="20"/>
          <w:szCs w:val="20"/>
        </w:rPr>
        <w:t xml:space="preserve"> of PBO group</w:t>
      </w:r>
      <w:r w:rsidR="00643B5F">
        <w:rPr>
          <w:rFonts w:ascii="Arial" w:hAnsi="Arial" w:cs="Arial"/>
          <w:sz w:val="20"/>
          <w:szCs w:val="20"/>
        </w:rPr>
        <w:t xml:space="preserve"> on reward learning</w:t>
      </w:r>
      <w:r w:rsidR="00643B5F" w:rsidRPr="00DE3F18">
        <w:rPr>
          <w:rFonts w:ascii="Arial" w:hAnsi="Arial" w:cs="Arial"/>
          <w:sz w:val="20"/>
          <w:szCs w:val="20"/>
        </w:rPr>
        <w:t xml:space="preserve">. </w:t>
      </w:r>
      <w:r w:rsidR="003222F3">
        <w:rPr>
          <w:rFonts w:ascii="Arial" w:hAnsi="Arial" w:cs="Arial"/>
          <w:sz w:val="20"/>
          <w:szCs w:val="20"/>
        </w:rPr>
        <w:t>The positive leaning rate was</w:t>
      </w:r>
      <w:r w:rsidR="00AE4C0D">
        <w:rPr>
          <w:rFonts w:ascii="Arial" w:hAnsi="Arial" w:cs="Arial"/>
          <w:sz w:val="20"/>
          <w:szCs w:val="20"/>
        </w:rPr>
        <w:t xml:space="preserve"> calculated </w:t>
      </w:r>
      <w:r w:rsidR="003222F3">
        <w:rPr>
          <w:rFonts w:ascii="Arial" w:hAnsi="Arial" w:cs="Arial"/>
          <w:sz w:val="20"/>
          <w:szCs w:val="20"/>
        </w:rPr>
        <w:t>by the winning model, Positive-negative model</w:t>
      </w:r>
      <w:r w:rsidR="00F1549E">
        <w:rPr>
          <w:rFonts w:ascii="Arial" w:hAnsi="Arial" w:cs="Arial"/>
          <w:sz w:val="20"/>
          <w:szCs w:val="20"/>
        </w:rPr>
        <w:t>. On reward learning, participant’s positive learning rate when they learned for themselves was significantly higer than learning for others (</w:t>
      </w:r>
      <w:r w:rsidR="005B2BEA">
        <w:rPr>
          <w:rFonts w:ascii="Arial" w:hAnsi="Arial" w:cs="Arial"/>
          <w:i/>
          <w:iCs/>
          <w:sz w:val="20"/>
          <w:szCs w:val="20"/>
        </w:rPr>
        <w:t>t</w:t>
      </w:r>
      <w:r w:rsidR="005701E0" w:rsidRPr="005701E0">
        <w:rPr>
          <w:rFonts w:ascii="Arial" w:hAnsi="Arial" w:cs="Arial"/>
          <w:sz w:val="20"/>
          <w:szCs w:val="20"/>
        </w:rPr>
        <w:t xml:space="preserve"> = </w:t>
      </w:r>
      <w:r w:rsidR="005B2BEA">
        <w:rPr>
          <w:rFonts w:ascii="Arial" w:eastAsia="宋体" w:hAnsi="Arial" w:cs="Arial"/>
          <w:sz w:val="20"/>
          <w:szCs w:val="20"/>
          <w:lang w:eastAsia="zh-CN"/>
        </w:rPr>
        <w:t>3.041</w:t>
      </w:r>
      <w:r w:rsidR="005701E0" w:rsidRPr="005701E0">
        <w:rPr>
          <w:rFonts w:ascii="Arial" w:hAnsi="Arial" w:cs="Arial"/>
          <w:sz w:val="20"/>
          <w:szCs w:val="20"/>
        </w:rPr>
        <w:t xml:space="preserve">, </w:t>
      </w:r>
      <w:r w:rsidR="005B2BEA" w:rsidRPr="005B2BEA">
        <w:rPr>
          <w:rFonts w:ascii="Arial" w:hAnsi="Arial" w:cs="Arial"/>
          <w:i/>
          <w:iCs/>
          <w:sz w:val="20"/>
          <w:szCs w:val="20"/>
        </w:rPr>
        <w:t>df</w:t>
      </w:r>
      <w:r w:rsidR="005B2BEA">
        <w:rPr>
          <w:rFonts w:ascii="Arial" w:hAnsi="Arial" w:cs="Arial"/>
          <w:sz w:val="20"/>
          <w:szCs w:val="20"/>
        </w:rPr>
        <w:t xml:space="preserve"> = 101, </w:t>
      </w:r>
      <w:r w:rsidR="005701E0" w:rsidRPr="005701E0">
        <w:rPr>
          <w:rFonts w:ascii="Arial" w:hAnsi="Arial" w:cs="Arial"/>
          <w:i/>
          <w:iCs/>
          <w:sz w:val="20"/>
          <w:szCs w:val="20"/>
        </w:rPr>
        <w:t>P</w:t>
      </w:r>
      <w:r w:rsidR="005701E0" w:rsidRPr="005701E0">
        <w:rPr>
          <w:rFonts w:ascii="Arial" w:hAnsi="Arial" w:cs="Arial"/>
          <w:sz w:val="20"/>
          <w:szCs w:val="20"/>
        </w:rPr>
        <w:t xml:space="preserve"> </w:t>
      </w:r>
      <w:r w:rsidR="005701E0" w:rsidRPr="005701E0">
        <w:rPr>
          <w:rFonts w:ascii="Arial" w:eastAsia="宋体" w:hAnsi="Arial" w:cs="Arial" w:hint="eastAsia"/>
          <w:sz w:val="20"/>
          <w:szCs w:val="20"/>
          <w:lang w:eastAsia="zh-CN"/>
        </w:rPr>
        <w:t>=</w:t>
      </w:r>
      <w:r w:rsidR="005701E0" w:rsidRPr="005701E0">
        <w:rPr>
          <w:rFonts w:ascii="Arial" w:hAnsi="Arial" w:cs="Arial"/>
          <w:sz w:val="20"/>
          <w:szCs w:val="20"/>
        </w:rPr>
        <w:t xml:space="preserve"> .</w:t>
      </w:r>
      <w:r w:rsidR="005B2BEA">
        <w:rPr>
          <w:rFonts w:ascii="Arial" w:eastAsia="宋体" w:hAnsi="Arial" w:cs="Arial"/>
          <w:sz w:val="20"/>
          <w:szCs w:val="20"/>
          <w:lang w:eastAsia="zh-CN"/>
        </w:rPr>
        <w:t>003</w:t>
      </w:r>
      <w:r w:rsidR="00F1549E">
        <w:rPr>
          <w:rFonts w:ascii="Arial" w:hAnsi="Arial" w:cs="Arial"/>
          <w:sz w:val="20"/>
          <w:szCs w:val="20"/>
        </w:rPr>
        <w:t>).</w:t>
      </w:r>
      <w:r w:rsidR="002D03E1">
        <w:rPr>
          <w:rFonts w:ascii="Arial" w:hAnsi="Arial" w:cs="Arial"/>
          <w:sz w:val="20"/>
          <w:szCs w:val="20"/>
        </w:rPr>
        <w:t xml:space="preserve"> </w:t>
      </w:r>
      <w:r w:rsidR="00C001B7" w:rsidRPr="00AF22E0">
        <w:rPr>
          <w:rFonts w:ascii="Arial" w:hAnsi="Arial" w:cs="Arial"/>
          <w:sz w:val="20"/>
          <w:szCs w:val="20"/>
        </w:rPr>
        <w:t xml:space="preserve">Mean </w:t>
      </w:r>
      <m:oMath>
        <m:r>
          <w:rPr>
            <w:rFonts w:ascii="Cambria Math" w:hAnsi="Arial" w:cs="Arial"/>
            <w:sz w:val="20"/>
            <w:szCs w:val="20"/>
          </w:rPr>
          <m:t>±</m:t>
        </m:r>
      </m:oMath>
      <w:r w:rsidR="00C001B7" w:rsidRPr="00AF22E0">
        <w:rPr>
          <w:rFonts w:ascii="Arial" w:hAnsi="Arial" w:cs="Arial"/>
          <w:sz w:val="20"/>
          <w:szCs w:val="20"/>
        </w:rPr>
        <w:t xml:space="preserve">SE. </w:t>
      </w:r>
      <w:r w:rsidR="00C001B7" w:rsidRPr="00AF22E0">
        <w:rPr>
          <w:rFonts w:ascii="宋体" w:eastAsia="宋体" w:hAnsi="宋体" w:cs="宋体" w:hint="eastAsia"/>
          <w:sz w:val="20"/>
          <w:szCs w:val="20"/>
          <w:vertAlign w:val="superscript"/>
        </w:rPr>
        <w:t>＊＊</w:t>
      </w:r>
      <w:r w:rsidR="00C001B7" w:rsidRPr="00D75D49">
        <w:rPr>
          <w:rFonts w:ascii="Arial" w:hAnsi="Arial" w:cs="Arial"/>
          <w:i/>
          <w:iCs/>
          <w:sz w:val="20"/>
          <w:szCs w:val="20"/>
        </w:rPr>
        <w:t>p</w:t>
      </w:r>
      <w:r w:rsidR="00C001B7" w:rsidRPr="00AF22E0">
        <w:rPr>
          <w:rFonts w:ascii="Arial" w:hAnsi="Arial" w:cs="Arial"/>
          <w:sz w:val="20"/>
          <w:szCs w:val="20"/>
        </w:rPr>
        <w:t xml:space="preserve"> &lt; .01</w:t>
      </w:r>
      <w:r w:rsidR="00DA44E9">
        <w:rPr>
          <w:rFonts w:ascii="Arial" w:hAnsi="Arial" w:cs="Arial"/>
          <w:sz w:val="20"/>
          <w:szCs w:val="20"/>
        </w:rPr>
        <w:t>.</w:t>
      </w:r>
    </w:p>
    <w:p w14:paraId="29D09A47" w14:textId="1E257667" w:rsidR="009D771E" w:rsidRPr="009D771E" w:rsidRDefault="009D771E" w:rsidP="009D771E">
      <w:pPr>
        <w:spacing w:after="0"/>
        <w:rPr>
          <w:rFonts w:ascii="Arial" w:hAnsi="Arial" w:cs="Arial"/>
          <w:sz w:val="20"/>
          <w:szCs w:val="20"/>
        </w:rPr>
      </w:pPr>
      <w:r>
        <w:rPr>
          <w:rFonts w:ascii="Arial" w:hAnsi="Arial" w:cs="Arial"/>
          <w:sz w:val="20"/>
          <w:szCs w:val="20"/>
        </w:rPr>
        <w:br w:type="page"/>
      </w:r>
    </w:p>
    <w:p w14:paraId="42BB4D64" w14:textId="77777777" w:rsidR="009D771E" w:rsidRPr="00980575" w:rsidRDefault="009D771E" w:rsidP="009D771E">
      <w:pPr>
        <w:spacing w:line="360" w:lineRule="auto"/>
        <w:rPr>
          <w:rFonts w:ascii="Times New Roman" w:eastAsia="宋体" w:hAnsi="Times New Roman" w:cs="Times New Roman"/>
          <w:color w:val="000000"/>
          <w:sz w:val="24"/>
          <w:shd w:val="clear" w:color="auto" w:fill="FFFFFF"/>
        </w:rPr>
      </w:pPr>
      <w:r w:rsidRPr="00980575">
        <w:rPr>
          <w:rFonts w:ascii="Times New Roman" w:eastAsia="宋体" w:hAnsi="Times New Roman" w:cs="Times New Roman"/>
          <w:noProof/>
          <w:color w:val="000000"/>
          <w:sz w:val="24"/>
          <w:shd w:val="clear" w:color="auto" w:fill="FFFFFF"/>
        </w:rPr>
        <w:lastRenderedPageBreak/>
        <w:drawing>
          <wp:inline distT="0" distB="0" distL="114300" distR="114300" wp14:anchorId="198499B2" wp14:editId="0F090601">
            <wp:extent cx="5271770" cy="2632075"/>
            <wp:effectExtent l="0" t="0" r="1270" b="4445"/>
            <wp:docPr id="1" name="图片 1" descr="FRN_c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RN_csd"/>
                    <pic:cNvPicPr>
                      <a:picLocks noChangeAspect="1"/>
                    </pic:cNvPicPr>
                  </pic:nvPicPr>
                  <pic:blipFill>
                    <a:blip r:embed="rId7"/>
                    <a:stretch>
                      <a:fillRect/>
                    </a:stretch>
                  </pic:blipFill>
                  <pic:spPr>
                    <a:xfrm>
                      <a:off x="0" y="0"/>
                      <a:ext cx="5271770" cy="2632075"/>
                    </a:xfrm>
                    <a:prstGeom prst="rect">
                      <a:avLst/>
                    </a:prstGeom>
                  </pic:spPr>
                </pic:pic>
              </a:graphicData>
            </a:graphic>
          </wp:inline>
        </w:drawing>
      </w:r>
    </w:p>
    <w:p w14:paraId="2694C6A1" w14:textId="52837A3C" w:rsidR="009D771E" w:rsidRPr="001D1EE9" w:rsidRDefault="00E94670" w:rsidP="009D771E">
      <w:pPr>
        <w:spacing w:line="360" w:lineRule="auto"/>
        <w:rPr>
          <w:rFonts w:ascii="Arial" w:eastAsia="宋体" w:hAnsi="Arial" w:cs="Arial"/>
          <w:color w:val="000000"/>
          <w:sz w:val="20"/>
          <w:szCs w:val="20"/>
          <w:shd w:val="clear" w:color="auto" w:fill="FFFFFF"/>
        </w:rPr>
      </w:pPr>
      <w:r w:rsidRPr="001D1EE9">
        <w:rPr>
          <w:rFonts w:ascii="Arial" w:hAnsi="Arial" w:cs="Arial"/>
          <w:b/>
          <w:sz w:val="20"/>
          <w:szCs w:val="20"/>
        </w:rPr>
        <w:t>Supplementary Fig. 3</w:t>
      </w:r>
      <w:r w:rsidR="009D771E" w:rsidRPr="001D1EE9">
        <w:rPr>
          <w:rFonts w:ascii="Arial" w:hAnsi="Arial" w:cs="Arial"/>
          <w:b/>
          <w:sz w:val="20"/>
          <w:szCs w:val="20"/>
        </w:rPr>
        <w:t xml:space="preserve">. Current source density analysis of FRN. </w:t>
      </w:r>
      <w:r w:rsidR="009D771E" w:rsidRPr="001D1EE9">
        <w:rPr>
          <w:rFonts w:ascii="Arial" w:eastAsia="宋体" w:hAnsi="Arial" w:cs="Arial"/>
          <w:color w:val="000000"/>
          <w:sz w:val="20"/>
          <w:szCs w:val="20"/>
          <w:shd w:val="clear" w:color="auto" w:fill="FFFFFF"/>
        </w:rPr>
        <w:t>Current source density of FRN for PBO and AVP groups at the stage of outcome evaluation in condition SR, OR, SP and OP. Scalp map (220 - 320 ms) depicted the topography for the difference waveforms, where magenta triangles showed the FCz electrode selected for analysis. SR, making decisions for self in RLT session: SP, making decisions for self in PLT session; OR, making decisions for other in RLT session; OP making decisions for other in PLT session.</w:t>
      </w:r>
    </w:p>
    <w:p w14:paraId="3494C509" w14:textId="1B8CC84A" w:rsidR="009D771E" w:rsidRPr="00B63956" w:rsidRDefault="00B63956" w:rsidP="00B63956">
      <w:pPr>
        <w:spacing w:after="0"/>
        <w:rPr>
          <w:rFonts w:ascii="Times New Roman" w:eastAsia="宋体" w:hAnsi="Times New Roman" w:cs="Times New Roman"/>
          <w:color w:val="000000"/>
          <w:szCs w:val="21"/>
          <w:shd w:val="clear" w:color="auto" w:fill="FFFFFF"/>
        </w:rPr>
      </w:pPr>
      <w:r>
        <w:rPr>
          <w:rFonts w:ascii="Times New Roman" w:eastAsia="宋体" w:hAnsi="Times New Roman" w:cs="Times New Roman"/>
          <w:color w:val="000000"/>
          <w:szCs w:val="21"/>
          <w:shd w:val="clear" w:color="auto" w:fill="FFFFFF"/>
        </w:rPr>
        <w:br w:type="page"/>
      </w:r>
    </w:p>
    <w:p w14:paraId="4A57CD1A" w14:textId="77777777" w:rsidR="009D771E" w:rsidRPr="00980575" w:rsidRDefault="009D771E" w:rsidP="009D771E">
      <w:pPr>
        <w:spacing w:line="360" w:lineRule="auto"/>
        <w:rPr>
          <w:rFonts w:ascii="Times New Roman" w:eastAsia="宋体" w:hAnsi="Times New Roman" w:cs="Times New Roman"/>
          <w:color w:val="000000"/>
          <w:sz w:val="24"/>
          <w:shd w:val="clear" w:color="auto" w:fill="FFFFFF"/>
        </w:rPr>
      </w:pPr>
      <w:r w:rsidRPr="00980575">
        <w:rPr>
          <w:rFonts w:ascii="Times New Roman" w:eastAsia="宋体" w:hAnsi="Times New Roman" w:cs="Times New Roman"/>
          <w:noProof/>
          <w:color w:val="000000"/>
          <w:sz w:val="24"/>
          <w:shd w:val="clear" w:color="auto" w:fill="FFFFFF"/>
        </w:rPr>
        <w:lastRenderedPageBreak/>
        <w:drawing>
          <wp:inline distT="0" distB="0" distL="114300" distR="114300" wp14:anchorId="6837FAA6" wp14:editId="4697AB8A">
            <wp:extent cx="5268595" cy="2780030"/>
            <wp:effectExtent l="0" t="0" r="4445" b="8890"/>
            <wp:docPr id="2" name="图片 2" descr="P300_c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300_csd"/>
                    <pic:cNvPicPr>
                      <a:picLocks noChangeAspect="1"/>
                    </pic:cNvPicPr>
                  </pic:nvPicPr>
                  <pic:blipFill>
                    <a:blip r:embed="rId8"/>
                    <a:stretch>
                      <a:fillRect/>
                    </a:stretch>
                  </pic:blipFill>
                  <pic:spPr>
                    <a:xfrm>
                      <a:off x="0" y="0"/>
                      <a:ext cx="5268595" cy="2780030"/>
                    </a:xfrm>
                    <a:prstGeom prst="rect">
                      <a:avLst/>
                    </a:prstGeom>
                  </pic:spPr>
                </pic:pic>
              </a:graphicData>
            </a:graphic>
          </wp:inline>
        </w:drawing>
      </w:r>
    </w:p>
    <w:p w14:paraId="25642854" w14:textId="4ED386CC" w:rsidR="009D771E" w:rsidRPr="001D1EE9" w:rsidRDefault="00B63956" w:rsidP="009D771E">
      <w:pPr>
        <w:spacing w:line="360" w:lineRule="auto"/>
        <w:rPr>
          <w:rFonts w:ascii="Arial" w:eastAsia="宋体" w:hAnsi="Arial" w:cs="Arial"/>
          <w:color w:val="000000"/>
          <w:sz w:val="20"/>
          <w:szCs w:val="18"/>
          <w:shd w:val="clear" w:color="auto" w:fill="FFFFFF"/>
        </w:rPr>
      </w:pPr>
      <w:r w:rsidRPr="001D1EE9">
        <w:rPr>
          <w:rFonts w:ascii="Arial" w:eastAsia="宋体" w:hAnsi="Arial" w:cs="Arial"/>
          <w:b/>
          <w:bCs/>
          <w:color w:val="000000"/>
          <w:sz w:val="20"/>
          <w:szCs w:val="18"/>
          <w:shd w:val="clear" w:color="auto" w:fill="FFFFFF"/>
        </w:rPr>
        <w:t>Supplementary Fig. 4</w:t>
      </w:r>
      <w:r w:rsidR="009D771E" w:rsidRPr="001D1EE9">
        <w:rPr>
          <w:rFonts w:ascii="Arial" w:eastAsia="宋体" w:hAnsi="Arial" w:cs="Arial"/>
          <w:b/>
          <w:bCs/>
          <w:color w:val="000000"/>
          <w:sz w:val="20"/>
          <w:szCs w:val="18"/>
          <w:shd w:val="clear" w:color="auto" w:fill="FFFFFF"/>
        </w:rPr>
        <w:t>. Current source density analysis of P300.</w:t>
      </w:r>
      <w:r w:rsidR="009D771E" w:rsidRPr="001D1EE9">
        <w:rPr>
          <w:rFonts w:ascii="Times New Roman" w:eastAsia="宋体" w:hAnsi="Times New Roman" w:cs="Times New Roman"/>
          <w:b/>
          <w:bCs/>
          <w:color w:val="000000"/>
          <w:sz w:val="20"/>
          <w:szCs w:val="18"/>
          <w:shd w:val="clear" w:color="auto" w:fill="FFFFFF"/>
        </w:rPr>
        <w:t xml:space="preserve"> </w:t>
      </w:r>
      <w:r w:rsidR="009D771E" w:rsidRPr="001D1EE9">
        <w:rPr>
          <w:rFonts w:ascii="Arial" w:eastAsia="宋体" w:hAnsi="Arial" w:cs="Arial"/>
          <w:color w:val="000000"/>
          <w:sz w:val="20"/>
          <w:szCs w:val="18"/>
          <w:shd w:val="clear" w:color="auto" w:fill="FFFFFF"/>
        </w:rPr>
        <w:t>Current source density of P300 for PBO and AVP groups at the stage of outcome evaluation in condition SR, OR, SP and OP. Scalp map (320 - 420 ms) depicted the topography for the mean waveforms, where white triangles showed the CPz electrode selected for analysis. SR, making decisions for self in RLT session: SP, making decisions for self in PLT session; OR, making decisions for other in RLT session; OP making decisions for other in PLT session.</w:t>
      </w:r>
    </w:p>
    <w:p w14:paraId="0E6BD5BE" w14:textId="08A010E4" w:rsidR="009E352F" w:rsidRDefault="009E352F">
      <w:pPr>
        <w:spacing w:after="0"/>
        <w:rPr>
          <w:rFonts w:ascii="Times New Roman" w:eastAsia="宋体" w:hAnsi="Times New Roman" w:cs="Times New Roman"/>
          <w:b/>
          <w:bCs/>
          <w:color w:val="000000"/>
          <w:sz w:val="24"/>
          <w:shd w:val="clear" w:color="auto" w:fill="FFFFFF"/>
        </w:rPr>
      </w:pPr>
      <w:r>
        <w:rPr>
          <w:rFonts w:ascii="Times New Roman" w:eastAsia="宋体" w:hAnsi="Times New Roman" w:cs="Times New Roman"/>
          <w:b/>
          <w:bCs/>
          <w:color w:val="000000"/>
          <w:sz w:val="24"/>
          <w:shd w:val="clear" w:color="auto" w:fill="FFFFFF"/>
        </w:rPr>
        <w:br w:type="page"/>
      </w:r>
    </w:p>
    <w:p w14:paraId="6EC7A1D6" w14:textId="77777777" w:rsidR="009D771E" w:rsidRPr="00980575" w:rsidRDefault="009D771E" w:rsidP="009D771E">
      <w:pPr>
        <w:spacing w:line="360" w:lineRule="auto"/>
        <w:rPr>
          <w:rFonts w:ascii="Times New Roman" w:eastAsia="宋体" w:hAnsi="Times New Roman" w:cs="Times New Roman"/>
          <w:b/>
          <w:bCs/>
          <w:color w:val="000000"/>
          <w:sz w:val="24"/>
          <w:shd w:val="clear" w:color="auto" w:fill="FFFFFF"/>
        </w:rPr>
      </w:pPr>
      <w:r w:rsidRPr="00980575">
        <w:rPr>
          <w:rFonts w:ascii="Times New Roman" w:eastAsia="宋体" w:hAnsi="Times New Roman" w:cs="Times New Roman"/>
          <w:b/>
          <w:bCs/>
          <w:noProof/>
          <w:color w:val="000000"/>
          <w:sz w:val="24"/>
          <w:shd w:val="clear" w:color="auto" w:fill="FFFFFF"/>
        </w:rPr>
        <w:lastRenderedPageBreak/>
        <w:drawing>
          <wp:inline distT="0" distB="0" distL="114300" distR="114300" wp14:anchorId="439CA2ED" wp14:editId="6B23371C">
            <wp:extent cx="5271135" cy="2713990"/>
            <wp:effectExtent l="0" t="0" r="1905" b="13970"/>
            <wp:docPr id="5" name="图片 5" descr="SPN_c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PN_csd"/>
                    <pic:cNvPicPr>
                      <a:picLocks noChangeAspect="1"/>
                    </pic:cNvPicPr>
                  </pic:nvPicPr>
                  <pic:blipFill>
                    <a:blip r:embed="rId9"/>
                    <a:stretch>
                      <a:fillRect/>
                    </a:stretch>
                  </pic:blipFill>
                  <pic:spPr>
                    <a:xfrm>
                      <a:off x="0" y="0"/>
                      <a:ext cx="5271135" cy="2713990"/>
                    </a:xfrm>
                    <a:prstGeom prst="rect">
                      <a:avLst/>
                    </a:prstGeom>
                  </pic:spPr>
                </pic:pic>
              </a:graphicData>
            </a:graphic>
          </wp:inline>
        </w:drawing>
      </w:r>
    </w:p>
    <w:p w14:paraId="7B986FB2" w14:textId="06F02AB9" w:rsidR="009D771E" w:rsidRPr="0047363A" w:rsidRDefault="009E352F" w:rsidP="009D771E">
      <w:pPr>
        <w:spacing w:line="360" w:lineRule="auto"/>
        <w:rPr>
          <w:rFonts w:ascii="Arial" w:eastAsia="宋体" w:hAnsi="Arial" w:cs="Arial"/>
          <w:b/>
          <w:bCs/>
          <w:color w:val="000000"/>
          <w:sz w:val="20"/>
          <w:szCs w:val="18"/>
          <w:shd w:val="clear" w:color="auto" w:fill="FFFFFF"/>
        </w:rPr>
      </w:pPr>
      <w:r w:rsidRPr="0047363A">
        <w:rPr>
          <w:rFonts w:ascii="Arial" w:eastAsia="宋体" w:hAnsi="Arial" w:cs="Arial"/>
          <w:b/>
          <w:bCs/>
          <w:color w:val="000000"/>
          <w:sz w:val="20"/>
          <w:szCs w:val="18"/>
          <w:shd w:val="clear" w:color="auto" w:fill="FFFFFF"/>
        </w:rPr>
        <w:t xml:space="preserve">Supplementary Fig. </w:t>
      </w:r>
      <w:r w:rsidR="0082521D">
        <w:rPr>
          <w:rFonts w:ascii="Arial" w:eastAsia="宋体" w:hAnsi="Arial" w:cs="Arial"/>
          <w:b/>
          <w:bCs/>
          <w:color w:val="000000"/>
          <w:sz w:val="20"/>
          <w:szCs w:val="18"/>
          <w:shd w:val="clear" w:color="auto" w:fill="FFFFFF"/>
        </w:rPr>
        <w:t>5</w:t>
      </w:r>
      <w:r w:rsidR="009D771E" w:rsidRPr="0047363A">
        <w:rPr>
          <w:rFonts w:ascii="Arial" w:eastAsia="宋体" w:hAnsi="Arial" w:cs="Arial"/>
          <w:b/>
          <w:bCs/>
          <w:color w:val="000000"/>
          <w:sz w:val="20"/>
          <w:szCs w:val="18"/>
          <w:shd w:val="clear" w:color="auto" w:fill="FFFFFF"/>
        </w:rPr>
        <w:t xml:space="preserve">. Current source density analysis of SPN. </w:t>
      </w:r>
      <w:r w:rsidR="009D771E" w:rsidRPr="0047363A">
        <w:rPr>
          <w:rFonts w:ascii="Arial" w:eastAsia="宋体" w:hAnsi="Arial" w:cs="Arial"/>
          <w:color w:val="000000"/>
          <w:sz w:val="20"/>
          <w:szCs w:val="18"/>
          <w:shd w:val="clear" w:color="auto" w:fill="FFFFFF"/>
        </w:rPr>
        <w:t>Current source density of SPN for PBO and AVP groups at the stage of anticipation in condition SR, OR, SP and OP. Scalp map (-200 - 0 ms) depicted the topography for the mean waveforms, where magenta triangles showed the F5/F6 and FC5/FC6 electrodes selected for analysis. SR, making decisions for self in RLT session: SP, making decisions for self in PLT session; OR, making decisions for other in RLT session; OP making decisions for other in PLT session.</w:t>
      </w:r>
    </w:p>
    <w:p w14:paraId="3DAB19AA" w14:textId="31AEF62F" w:rsidR="009D771E" w:rsidRPr="00980575" w:rsidRDefault="001D1EE9" w:rsidP="001D1EE9">
      <w:pPr>
        <w:spacing w:after="0"/>
        <w:rPr>
          <w:rFonts w:ascii="Times New Roman" w:eastAsia="宋体" w:hAnsi="Times New Roman" w:cs="Times New Roman"/>
          <w:b/>
          <w:bCs/>
          <w:color w:val="000000"/>
          <w:sz w:val="24"/>
          <w:shd w:val="clear" w:color="auto" w:fill="FFFFFF"/>
        </w:rPr>
      </w:pPr>
      <w:r>
        <w:rPr>
          <w:rFonts w:ascii="Times New Roman" w:eastAsia="宋体" w:hAnsi="Times New Roman" w:cs="Times New Roman"/>
          <w:b/>
          <w:bCs/>
          <w:color w:val="000000"/>
          <w:sz w:val="24"/>
          <w:shd w:val="clear" w:color="auto" w:fill="FFFFFF"/>
        </w:rPr>
        <w:br w:type="page"/>
      </w:r>
    </w:p>
    <w:p w14:paraId="4206B64B" w14:textId="77777777" w:rsidR="009D771E" w:rsidRPr="00980575" w:rsidRDefault="009D771E" w:rsidP="009D771E">
      <w:pPr>
        <w:spacing w:line="360" w:lineRule="auto"/>
        <w:rPr>
          <w:rFonts w:ascii="Times New Roman" w:eastAsia="宋体" w:hAnsi="Times New Roman" w:cs="Times New Roman"/>
          <w:color w:val="000000"/>
          <w:sz w:val="24"/>
          <w:shd w:val="clear" w:color="auto" w:fill="FFFFFF"/>
        </w:rPr>
      </w:pPr>
      <w:r w:rsidRPr="00980575">
        <w:rPr>
          <w:rFonts w:ascii="Times New Roman" w:eastAsia="宋体" w:hAnsi="Times New Roman" w:cs="Times New Roman"/>
          <w:noProof/>
          <w:color w:val="000000"/>
          <w:sz w:val="24"/>
          <w:shd w:val="clear" w:color="auto" w:fill="FFFFFF"/>
        </w:rPr>
        <w:lastRenderedPageBreak/>
        <w:drawing>
          <wp:inline distT="0" distB="0" distL="114300" distR="114300" wp14:anchorId="41062548" wp14:editId="23D11B97">
            <wp:extent cx="5273675" cy="2907665"/>
            <wp:effectExtent l="0" t="0" r="14605" b="3175"/>
            <wp:docPr id="4" name="图片 4" descr="theta_c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theta_csd"/>
                    <pic:cNvPicPr>
                      <a:picLocks noChangeAspect="1"/>
                    </pic:cNvPicPr>
                  </pic:nvPicPr>
                  <pic:blipFill>
                    <a:blip r:embed="rId10"/>
                    <a:stretch>
                      <a:fillRect/>
                    </a:stretch>
                  </pic:blipFill>
                  <pic:spPr>
                    <a:xfrm>
                      <a:off x="0" y="0"/>
                      <a:ext cx="5273675" cy="2907665"/>
                    </a:xfrm>
                    <a:prstGeom prst="rect">
                      <a:avLst/>
                    </a:prstGeom>
                  </pic:spPr>
                </pic:pic>
              </a:graphicData>
            </a:graphic>
          </wp:inline>
        </w:drawing>
      </w:r>
    </w:p>
    <w:p w14:paraId="168C256E" w14:textId="7B860D00" w:rsidR="009D771E" w:rsidRPr="0047363A" w:rsidRDefault="00376DFC" w:rsidP="009D771E">
      <w:pPr>
        <w:spacing w:line="360" w:lineRule="auto"/>
        <w:rPr>
          <w:rFonts w:ascii="Arial" w:eastAsia="宋体" w:hAnsi="Arial" w:cs="Arial"/>
          <w:b/>
          <w:bCs/>
          <w:color w:val="000000"/>
          <w:sz w:val="20"/>
          <w:szCs w:val="18"/>
          <w:shd w:val="clear" w:color="auto" w:fill="FFFFFF"/>
        </w:rPr>
      </w:pPr>
      <w:r w:rsidRPr="0047363A">
        <w:rPr>
          <w:rFonts w:ascii="Arial" w:eastAsia="宋体" w:hAnsi="Arial" w:cs="Arial"/>
          <w:b/>
          <w:bCs/>
          <w:color w:val="000000"/>
          <w:sz w:val="20"/>
          <w:szCs w:val="18"/>
          <w:shd w:val="clear" w:color="auto" w:fill="FFFFFF"/>
        </w:rPr>
        <w:t xml:space="preserve">Supplementary Fig. </w:t>
      </w:r>
      <w:r w:rsidR="0082521D">
        <w:rPr>
          <w:rFonts w:ascii="Arial" w:eastAsia="宋体" w:hAnsi="Arial" w:cs="Arial"/>
          <w:b/>
          <w:bCs/>
          <w:color w:val="000000"/>
          <w:sz w:val="20"/>
          <w:szCs w:val="18"/>
          <w:shd w:val="clear" w:color="auto" w:fill="FFFFFF"/>
        </w:rPr>
        <w:t>6</w:t>
      </w:r>
      <w:r w:rsidR="009D771E" w:rsidRPr="0047363A">
        <w:rPr>
          <w:rFonts w:ascii="Arial" w:eastAsia="宋体" w:hAnsi="Arial" w:cs="Arial"/>
          <w:b/>
          <w:bCs/>
          <w:color w:val="000000"/>
          <w:sz w:val="20"/>
          <w:szCs w:val="18"/>
          <w:shd w:val="clear" w:color="auto" w:fill="FFFFFF"/>
        </w:rPr>
        <w:t xml:space="preserve">. Current source density analysis of theta oscillation. </w:t>
      </w:r>
      <w:r w:rsidR="009D771E" w:rsidRPr="0047363A">
        <w:rPr>
          <w:rFonts w:ascii="Arial" w:eastAsia="宋体" w:hAnsi="Arial" w:cs="Arial"/>
          <w:color w:val="000000"/>
          <w:sz w:val="20"/>
          <w:szCs w:val="18"/>
          <w:shd w:val="clear" w:color="auto" w:fill="FFFFFF"/>
        </w:rPr>
        <w:t>Time-frequency analysis of theta oscillation (4 - 7 Hz) after current source density transform for PBO and AVP groups at the stage of anticipation in condition SR, OR, SP and OP. Scalp map (100 - 300 ms) depicted the topography for the mean power, where white triangles showed the FCz electrode selected for analysis. SR, making decisions for self in RLT session: SP, making decisions for self in PLT session; OR, making decisions for other in RLT session; OP making decisions for other in PLT session.</w:t>
      </w:r>
    </w:p>
    <w:p w14:paraId="1BFBD320" w14:textId="77777777" w:rsidR="009D771E" w:rsidRDefault="009D771E" w:rsidP="00643B5F">
      <w:pPr>
        <w:spacing w:line="480" w:lineRule="auto"/>
        <w:jc w:val="both"/>
        <w:rPr>
          <w:rFonts w:ascii="Arial" w:hAnsi="Arial" w:cs="Arial"/>
          <w:b/>
          <w:sz w:val="20"/>
          <w:szCs w:val="20"/>
        </w:rPr>
      </w:pPr>
    </w:p>
    <w:p w14:paraId="2CE98726" w14:textId="1B27AD97" w:rsidR="00F72F97" w:rsidRPr="00F72F97" w:rsidRDefault="00F72F97" w:rsidP="00F72F97">
      <w:pPr>
        <w:spacing w:after="0"/>
        <w:rPr>
          <w:rFonts w:ascii="Arial" w:hAnsi="Arial" w:cs="Arial"/>
          <w:b/>
          <w:sz w:val="20"/>
          <w:szCs w:val="20"/>
        </w:rPr>
      </w:pPr>
      <w:r>
        <w:rPr>
          <w:rFonts w:ascii="Arial" w:hAnsi="Arial" w:cs="Arial"/>
          <w:b/>
          <w:sz w:val="20"/>
          <w:szCs w:val="20"/>
        </w:rPr>
        <w:br w:type="page"/>
      </w:r>
    </w:p>
    <w:p w14:paraId="6565FCA8" w14:textId="5AA54769" w:rsidR="00642ADD" w:rsidRPr="00642ADD" w:rsidRDefault="00074854" w:rsidP="00642ADD">
      <w:pPr>
        <w:spacing w:line="480" w:lineRule="auto"/>
        <w:contextualSpacing/>
        <w:rPr>
          <w:rFonts w:ascii="Arial" w:hAnsi="Arial" w:cs="Arial"/>
          <w:color w:val="000000"/>
          <w:sz w:val="20"/>
          <w:szCs w:val="20"/>
        </w:rPr>
      </w:pPr>
      <w:r>
        <w:rPr>
          <w:rFonts w:ascii="Arial" w:hAnsi="Arial" w:cs="Arial"/>
          <w:b/>
          <w:color w:val="000000"/>
          <w:sz w:val="20"/>
          <w:szCs w:val="20"/>
        </w:rPr>
        <w:lastRenderedPageBreak/>
        <w:t>Supplementary references</w:t>
      </w:r>
    </w:p>
    <w:p w14:paraId="79DC949C" w14:textId="6D73B411" w:rsidR="00281CE4" w:rsidRPr="00281CE4" w:rsidRDefault="006C553E" w:rsidP="00281CE4">
      <w:pPr>
        <w:autoSpaceDE w:val="0"/>
        <w:autoSpaceDN w:val="0"/>
        <w:adjustRightInd w:val="0"/>
        <w:spacing w:after="0"/>
        <w:ind w:left="480" w:hanging="480"/>
        <w:rPr>
          <w:rFonts w:ascii="Arial" w:hAnsi="Arial" w:cs="Arial"/>
          <w:noProof/>
          <w:sz w:val="20"/>
          <w:szCs w:val="24"/>
        </w:rPr>
      </w:pPr>
      <w:r w:rsidRPr="006C553E">
        <w:rPr>
          <w:rFonts w:ascii="Arial" w:hAnsi="Arial" w:cs="Arial"/>
          <w:sz w:val="20"/>
          <w:szCs w:val="20"/>
        </w:rPr>
        <w:fldChar w:fldCharType="begin" w:fldLock="1"/>
      </w:r>
      <w:r w:rsidRPr="006C553E">
        <w:rPr>
          <w:rFonts w:ascii="Arial" w:hAnsi="Arial" w:cs="Arial"/>
          <w:sz w:val="20"/>
          <w:szCs w:val="20"/>
        </w:rPr>
        <w:instrText xml:space="preserve">ADDIN Mendeley Bibliography CSL_BIBLIOGRAPHY </w:instrText>
      </w:r>
      <w:r w:rsidRPr="006C553E">
        <w:rPr>
          <w:rFonts w:ascii="Arial" w:hAnsi="Arial" w:cs="Arial"/>
          <w:sz w:val="20"/>
          <w:szCs w:val="20"/>
        </w:rPr>
        <w:fldChar w:fldCharType="separate"/>
      </w:r>
      <w:r w:rsidR="00281CE4" w:rsidRPr="00281CE4">
        <w:rPr>
          <w:rFonts w:ascii="Arial" w:hAnsi="Arial" w:cs="Arial"/>
          <w:noProof/>
          <w:sz w:val="20"/>
          <w:szCs w:val="24"/>
        </w:rPr>
        <w:t>Ahn, W.</w:t>
      </w:r>
      <w:r w:rsidR="006800B1">
        <w:rPr>
          <w:rFonts w:ascii="Arial" w:hAnsi="Arial" w:cs="Arial"/>
          <w:noProof/>
          <w:sz w:val="20"/>
          <w:szCs w:val="24"/>
        </w:rPr>
        <w:t xml:space="preserve"> </w:t>
      </w:r>
      <w:r w:rsidR="00281CE4" w:rsidRPr="00281CE4">
        <w:rPr>
          <w:rFonts w:ascii="Arial" w:hAnsi="Arial" w:cs="Arial"/>
          <w:noProof/>
          <w:sz w:val="20"/>
          <w:szCs w:val="24"/>
        </w:rPr>
        <w:t xml:space="preserve">Y., Haines, N., &amp; Zhang, L. (2017). Revealing Neurocomputational Mechanisms of Reinforcement Learning and Decision-Making With the hBayesDM Package. </w:t>
      </w:r>
      <w:r w:rsidR="00281CE4" w:rsidRPr="00281CE4">
        <w:rPr>
          <w:rFonts w:ascii="Arial" w:hAnsi="Arial" w:cs="Arial"/>
          <w:i/>
          <w:iCs/>
          <w:noProof/>
          <w:sz w:val="20"/>
          <w:szCs w:val="24"/>
        </w:rPr>
        <w:t>Computational Psychiatry</w:t>
      </w:r>
      <w:r w:rsidR="00281CE4" w:rsidRPr="00281CE4">
        <w:rPr>
          <w:rFonts w:ascii="Arial" w:hAnsi="Arial" w:cs="Arial"/>
          <w:noProof/>
          <w:sz w:val="20"/>
          <w:szCs w:val="24"/>
        </w:rPr>
        <w:t xml:space="preserve">, </w:t>
      </w:r>
      <w:r w:rsidR="00281CE4" w:rsidRPr="00281CE4">
        <w:rPr>
          <w:rFonts w:ascii="Arial" w:hAnsi="Arial" w:cs="Arial"/>
          <w:i/>
          <w:iCs/>
          <w:noProof/>
          <w:sz w:val="20"/>
          <w:szCs w:val="24"/>
        </w:rPr>
        <w:t>1</w:t>
      </w:r>
      <w:r w:rsidR="00281CE4" w:rsidRPr="00281CE4">
        <w:rPr>
          <w:rFonts w:ascii="Arial" w:hAnsi="Arial" w:cs="Arial"/>
          <w:noProof/>
          <w:sz w:val="20"/>
          <w:szCs w:val="24"/>
        </w:rPr>
        <w:t>, 24. https://doi.org/10.1162/cpsy_a_00002</w:t>
      </w:r>
    </w:p>
    <w:p w14:paraId="1E3E2F5E"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Brunia, C. H. M., &amp; Damen, E. J. P. (1988). Distribution of slow brain potentials related to motor preparation and stimulus anticipation in a time estimation task. </w:t>
      </w:r>
      <w:r w:rsidRPr="00281CE4">
        <w:rPr>
          <w:rFonts w:ascii="Arial" w:hAnsi="Arial" w:cs="Arial"/>
          <w:i/>
          <w:iCs/>
          <w:noProof/>
          <w:sz w:val="20"/>
          <w:szCs w:val="24"/>
        </w:rPr>
        <w:t>Electroencephalography and Clinical Neurophysiology</w:t>
      </w:r>
      <w:r w:rsidRPr="00281CE4">
        <w:rPr>
          <w:rFonts w:ascii="Arial" w:hAnsi="Arial" w:cs="Arial"/>
          <w:noProof/>
          <w:sz w:val="20"/>
          <w:szCs w:val="24"/>
        </w:rPr>
        <w:t xml:space="preserve">, </w:t>
      </w:r>
      <w:r w:rsidRPr="00281CE4">
        <w:rPr>
          <w:rFonts w:ascii="Arial" w:hAnsi="Arial" w:cs="Arial"/>
          <w:i/>
          <w:iCs/>
          <w:noProof/>
          <w:sz w:val="20"/>
          <w:szCs w:val="24"/>
        </w:rPr>
        <w:t>69</w:t>
      </w:r>
      <w:r w:rsidRPr="00281CE4">
        <w:rPr>
          <w:rFonts w:ascii="Arial" w:hAnsi="Arial" w:cs="Arial"/>
          <w:noProof/>
          <w:sz w:val="20"/>
          <w:szCs w:val="24"/>
        </w:rPr>
        <w:t>(3), 234–243. https://doi.org/10.1016/0013-4694(88)90132-0</w:t>
      </w:r>
    </w:p>
    <w:p w14:paraId="52ABE504"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Camerer, C., &amp; Ho, T.-H. (1999). Experience-weighted attraction learning in normal form games. </w:t>
      </w:r>
      <w:r w:rsidRPr="00281CE4">
        <w:rPr>
          <w:rFonts w:ascii="Arial" w:hAnsi="Arial" w:cs="Arial"/>
          <w:i/>
          <w:iCs/>
          <w:noProof/>
          <w:sz w:val="20"/>
          <w:szCs w:val="24"/>
        </w:rPr>
        <w:t>Econometrica</w:t>
      </w:r>
      <w:r w:rsidRPr="00281CE4">
        <w:rPr>
          <w:rFonts w:ascii="Arial" w:hAnsi="Arial" w:cs="Arial"/>
          <w:noProof/>
          <w:sz w:val="20"/>
          <w:szCs w:val="24"/>
        </w:rPr>
        <w:t xml:space="preserve">, </w:t>
      </w:r>
      <w:r w:rsidRPr="00281CE4">
        <w:rPr>
          <w:rFonts w:ascii="Arial" w:hAnsi="Arial" w:cs="Arial"/>
          <w:i/>
          <w:iCs/>
          <w:noProof/>
          <w:sz w:val="20"/>
          <w:szCs w:val="24"/>
        </w:rPr>
        <w:t>67</w:t>
      </w:r>
      <w:r w:rsidRPr="00281CE4">
        <w:rPr>
          <w:rFonts w:ascii="Arial" w:hAnsi="Arial" w:cs="Arial"/>
          <w:noProof/>
          <w:sz w:val="20"/>
          <w:szCs w:val="24"/>
        </w:rPr>
        <w:t>(4), 827–874. Retrieved from https://doi.org/10.1111/1468-0262.00054</w:t>
      </w:r>
    </w:p>
    <w:p w14:paraId="277DA950"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Cavanagh, J. F. (2015). Cortical delta activity reflects reward prediction error and related behavioral adjustments, but at different times. </w:t>
      </w:r>
      <w:r w:rsidRPr="00281CE4">
        <w:rPr>
          <w:rFonts w:ascii="Arial" w:hAnsi="Arial" w:cs="Arial"/>
          <w:i/>
          <w:iCs/>
          <w:noProof/>
          <w:sz w:val="20"/>
          <w:szCs w:val="24"/>
        </w:rPr>
        <w:t>NeuroImage</w:t>
      </w:r>
      <w:r w:rsidRPr="00281CE4">
        <w:rPr>
          <w:rFonts w:ascii="Arial" w:hAnsi="Arial" w:cs="Arial"/>
          <w:noProof/>
          <w:sz w:val="20"/>
          <w:szCs w:val="24"/>
        </w:rPr>
        <w:t xml:space="preserve">, </w:t>
      </w:r>
      <w:r w:rsidRPr="00281CE4">
        <w:rPr>
          <w:rFonts w:ascii="Arial" w:hAnsi="Arial" w:cs="Arial"/>
          <w:i/>
          <w:iCs/>
          <w:noProof/>
          <w:sz w:val="20"/>
          <w:szCs w:val="24"/>
        </w:rPr>
        <w:t>110</w:t>
      </w:r>
      <w:r w:rsidRPr="00281CE4">
        <w:rPr>
          <w:rFonts w:ascii="Arial" w:hAnsi="Arial" w:cs="Arial"/>
          <w:noProof/>
          <w:sz w:val="20"/>
          <w:szCs w:val="24"/>
        </w:rPr>
        <w:t>, 205–216. https://doi.org/10.1016/j.neuroimage.2015.02.007</w:t>
      </w:r>
    </w:p>
    <w:p w14:paraId="1AD53A41"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Cavanagh, J. F., &amp; Frank, M. J. (2014). Frontal theta as a mechanism for cognitive control. </w:t>
      </w:r>
      <w:r w:rsidRPr="00281CE4">
        <w:rPr>
          <w:rFonts w:ascii="Arial" w:hAnsi="Arial" w:cs="Arial"/>
          <w:i/>
          <w:iCs/>
          <w:noProof/>
          <w:sz w:val="20"/>
          <w:szCs w:val="24"/>
        </w:rPr>
        <w:t>Trends in Cognitive Sciences</w:t>
      </w:r>
      <w:r w:rsidRPr="00281CE4">
        <w:rPr>
          <w:rFonts w:ascii="Arial" w:hAnsi="Arial" w:cs="Arial"/>
          <w:noProof/>
          <w:sz w:val="20"/>
          <w:szCs w:val="24"/>
        </w:rPr>
        <w:t xml:space="preserve">, </w:t>
      </w:r>
      <w:r w:rsidRPr="00281CE4">
        <w:rPr>
          <w:rFonts w:ascii="Arial" w:hAnsi="Arial" w:cs="Arial"/>
          <w:i/>
          <w:iCs/>
          <w:noProof/>
          <w:sz w:val="20"/>
          <w:szCs w:val="24"/>
        </w:rPr>
        <w:t>18</w:t>
      </w:r>
      <w:r w:rsidRPr="00281CE4">
        <w:rPr>
          <w:rFonts w:ascii="Arial" w:hAnsi="Arial" w:cs="Arial"/>
          <w:noProof/>
          <w:sz w:val="20"/>
          <w:szCs w:val="24"/>
        </w:rPr>
        <w:t>(8), 414–421. https://doi.org/10.1016/j.tics.2014.04.012</w:t>
      </w:r>
    </w:p>
    <w:p w14:paraId="0128A170"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Cavanagh, J. F., Frank, M. J., Klein, T. J., &amp; Allen, J. J. B. (2010). Frontal theta links prediction errors to behavioral adaptation in reinforcement learning. </w:t>
      </w:r>
      <w:r w:rsidRPr="00281CE4">
        <w:rPr>
          <w:rFonts w:ascii="Arial" w:hAnsi="Arial" w:cs="Arial"/>
          <w:i/>
          <w:iCs/>
          <w:noProof/>
          <w:sz w:val="20"/>
          <w:szCs w:val="24"/>
        </w:rPr>
        <w:t>NeuroImage</w:t>
      </w:r>
      <w:r w:rsidRPr="00281CE4">
        <w:rPr>
          <w:rFonts w:ascii="Arial" w:hAnsi="Arial" w:cs="Arial"/>
          <w:noProof/>
          <w:sz w:val="20"/>
          <w:szCs w:val="24"/>
        </w:rPr>
        <w:t xml:space="preserve">, </w:t>
      </w:r>
      <w:r w:rsidRPr="00281CE4">
        <w:rPr>
          <w:rFonts w:ascii="Arial" w:hAnsi="Arial" w:cs="Arial"/>
          <w:i/>
          <w:iCs/>
          <w:noProof/>
          <w:sz w:val="20"/>
          <w:szCs w:val="24"/>
        </w:rPr>
        <w:t>49</w:t>
      </w:r>
      <w:r w:rsidRPr="00281CE4">
        <w:rPr>
          <w:rFonts w:ascii="Arial" w:hAnsi="Arial" w:cs="Arial"/>
          <w:noProof/>
          <w:sz w:val="20"/>
          <w:szCs w:val="24"/>
        </w:rPr>
        <w:t>(4), 3198–3209. https://doi.org/10.1016/j.neuroimage.2009.11.080</w:t>
      </w:r>
    </w:p>
    <w:p w14:paraId="0EC606A7"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Crawley, D., Zhang, L., Jones, E. J. H., Ahmad, J., Oakley, B., Cáceres, A. S. J., … Loth, E. (2020). Modeling flexible behavior in childhood to adulthood shows age-dependent learning mechanisms and less optimal learning in autism in each age group. </w:t>
      </w:r>
      <w:r w:rsidRPr="00281CE4">
        <w:rPr>
          <w:rFonts w:ascii="Arial" w:hAnsi="Arial" w:cs="Arial"/>
          <w:i/>
          <w:iCs/>
          <w:noProof/>
          <w:sz w:val="20"/>
          <w:szCs w:val="24"/>
        </w:rPr>
        <w:t>PLoS Biology</w:t>
      </w:r>
      <w:r w:rsidRPr="00281CE4">
        <w:rPr>
          <w:rFonts w:ascii="Arial" w:hAnsi="Arial" w:cs="Arial"/>
          <w:noProof/>
          <w:sz w:val="20"/>
          <w:szCs w:val="24"/>
        </w:rPr>
        <w:t xml:space="preserve">, </w:t>
      </w:r>
      <w:r w:rsidRPr="00281CE4">
        <w:rPr>
          <w:rFonts w:ascii="Arial" w:hAnsi="Arial" w:cs="Arial"/>
          <w:i/>
          <w:iCs/>
          <w:noProof/>
          <w:sz w:val="20"/>
          <w:szCs w:val="24"/>
        </w:rPr>
        <w:t>18</w:t>
      </w:r>
      <w:r w:rsidRPr="00281CE4">
        <w:rPr>
          <w:rFonts w:ascii="Arial" w:hAnsi="Arial" w:cs="Arial"/>
          <w:noProof/>
          <w:sz w:val="20"/>
          <w:szCs w:val="24"/>
        </w:rPr>
        <w:t>(10), 1–25. https://doi.org/10.1371/journal.pbio.3000908</w:t>
      </w:r>
    </w:p>
    <w:p w14:paraId="5DF9FAA7"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Fischer, A. G., &amp; Ullsperger, M. (2013). Real and fictive outcomes are processed differently but converge on a common adaptive mechanism. </w:t>
      </w:r>
      <w:r w:rsidRPr="00281CE4">
        <w:rPr>
          <w:rFonts w:ascii="Arial" w:hAnsi="Arial" w:cs="Arial"/>
          <w:i/>
          <w:iCs/>
          <w:noProof/>
          <w:sz w:val="20"/>
          <w:szCs w:val="24"/>
        </w:rPr>
        <w:t>Neuron</w:t>
      </w:r>
      <w:r w:rsidRPr="00281CE4">
        <w:rPr>
          <w:rFonts w:ascii="Arial" w:hAnsi="Arial" w:cs="Arial"/>
          <w:noProof/>
          <w:sz w:val="20"/>
          <w:szCs w:val="24"/>
        </w:rPr>
        <w:t xml:space="preserve">, </w:t>
      </w:r>
      <w:r w:rsidRPr="00281CE4">
        <w:rPr>
          <w:rFonts w:ascii="Arial" w:hAnsi="Arial" w:cs="Arial"/>
          <w:i/>
          <w:iCs/>
          <w:noProof/>
          <w:sz w:val="20"/>
          <w:szCs w:val="24"/>
        </w:rPr>
        <w:t>79</w:t>
      </w:r>
      <w:r w:rsidRPr="00281CE4">
        <w:rPr>
          <w:rFonts w:ascii="Arial" w:hAnsi="Arial" w:cs="Arial"/>
          <w:noProof/>
          <w:sz w:val="20"/>
          <w:szCs w:val="24"/>
        </w:rPr>
        <w:t>(6), 1243–1255. https://doi.org/10.1016/j.neuron.2013.07.006</w:t>
      </w:r>
    </w:p>
    <w:p w14:paraId="5A11B0AC"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Frank, M. J., Moustafa, A. A., Haughey, H. M., Curran, T., &amp; Hutchison, K. E. (2007). Genetic triple dissociation reveals multiple roles for dopamine in reinforcement learning. </w:t>
      </w:r>
      <w:r w:rsidRPr="00281CE4">
        <w:rPr>
          <w:rFonts w:ascii="Arial" w:hAnsi="Arial" w:cs="Arial"/>
          <w:i/>
          <w:iCs/>
          <w:noProof/>
          <w:sz w:val="20"/>
          <w:szCs w:val="24"/>
        </w:rPr>
        <w:t>Proceedings of the National Academy of Sciences</w:t>
      </w:r>
      <w:r w:rsidRPr="00281CE4">
        <w:rPr>
          <w:rFonts w:ascii="Arial" w:hAnsi="Arial" w:cs="Arial"/>
          <w:noProof/>
          <w:sz w:val="20"/>
          <w:szCs w:val="24"/>
        </w:rPr>
        <w:t xml:space="preserve">, </w:t>
      </w:r>
      <w:r w:rsidRPr="00281CE4">
        <w:rPr>
          <w:rFonts w:ascii="Arial" w:hAnsi="Arial" w:cs="Arial"/>
          <w:i/>
          <w:iCs/>
          <w:noProof/>
          <w:sz w:val="20"/>
          <w:szCs w:val="24"/>
        </w:rPr>
        <w:t>104</w:t>
      </w:r>
      <w:r w:rsidRPr="00281CE4">
        <w:rPr>
          <w:rFonts w:ascii="Arial" w:hAnsi="Arial" w:cs="Arial"/>
          <w:noProof/>
          <w:sz w:val="20"/>
          <w:szCs w:val="24"/>
        </w:rPr>
        <w:t>(41), 16311–16316. Retrieved from https://doi.org/10.1073/pnas.0706111104</w:t>
      </w:r>
    </w:p>
    <w:p w14:paraId="73B38A1A"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Hackley, S. A., Valle-Inclán, F., Masaki, H., &amp; Hebert, K. (2014). Stimulus-Preceding Negativity (SPN) and Attention to Rewards. In </w:t>
      </w:r>
      <w:r w:rsidRPr="00281CE4">
        <w:rPr>
          <w:rFonts w:ascii="Arial" w:hAnsi="Arial" w:cs="Arial"/>
          <w:i/>
          <w:iCs/>
          <w:noProof/>
          <w:sz w:val="20"/>
          <w:szCs w:val="24"/>
        </w:rPr>
        <w:t>Cognitive Electrophysiology of Attention: Signals of the Mind</w:t>
      </w:r>
      <w:r w:rsidRPr="00281CE4">
        <w:rPr>
          <w:rFonts w:ascii="Arial" w:hAnsi="Arial" w:cs="Arial"/>
          <w:noProof/>
          <w:sz w:val="20"/>
          <w:szCs w:val="24"/>
        </w:rPr>
        <w:t xml:space="preserve"> (pp. 216–225). Elsevier. https://doi.org/10.1016/B978-0-12-398451-7.00017-8</w:t>
      </w:r>
    </w:p>
    <w:p w14:paraId="49C5FC8F"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Hampton, A. N., Adolphs, R., Tyszka, M. J., &amp; O’Doherty, J. P. (2007). Contributions of the Amygdala to Reward Expectancy and Choice Signals in Human Prefrontal Cortex. </w:t>
      </w:r>
      <w:r w:rsidRPr="00281CE4">
        <w:rPr>
          <w:rFonts w:ascii="Arial" w:hAnsi="Arial" w:cs="Arial"/>
          <w:i/>
          <w:iCs/>
          <w:noProof/>
          <w:sz w:val="20"/>
          <w:szCs w:val="24"/>
        </w:rPr>
        <w:t>Neuron</w:t>
      </w:r>
      <w:r w:rsidRPr="00281CE4">
        <w:rPr>
          <w:rFonts w:ascii="Arial" w:hAnsi="Arial" w:cs="Arial"/>
          <w:noProof/>
          <w:sz w:val="20"/>
          <w:szCs w:val="24"/>
        </w:rPr>
        <w:t xml:space="preserve">, </w:t>
      </w:r>
      <w:r w:rsidRPr="00281CE4">
        <w:rPr>
          <w:rFonts w:ascii="Arial" w:hAnsi="Arial" w:cs="Arial"/>
          <w:i/>
          <w:iCs/>
          <w:noProof/>
          <w:sz w:val="20"/>
          <w:szCs w:val="24"/>
        </w:rPr>
        <w:t>55</w:t>
      </w:r>
      <w:r w:rsidRPr="00281CE4">
        <w:rPr>
          <w:rFonts w:ascii="Arial" w:hAnsi="Arial" w:cs="Arial"/>
          <w:noProof/>
          <w:sz w:val="20"/>
          <w:szCs w:val="24"/>
        </w:rPr>
        <w:t>(4), 545–555. https://doi.org/10.1016/j.neuron.2007.07.022</w:t>
      </w:r>
    </w:p>
    <w:p w14:paraId="4B76D031"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Hauser, T. U., Iannaccone, R., Stämpfli, P., Drechsler, R., Brandeis, D., Walitza, S., &amp; Brem, S. (2014). The feedback-related negativity (FRN) revisited: New insights into the localization, meaning and network organization. </w:t>
      </w:r>
      <w:r w:rsidRPr="00281CE4">
        <w:rPr>
          <w:rFonts w:ascii="Arial" w:hAnsi="Arial" w:cs="Arial"/>
          <w:i/>
          <w:iCs/>
          <w:noProof/>
          <w:sz w:val="20"/>
          <w:szCs w:val="24"/>
        </w:rPr>
        <w:t>NeuroImage</w:t>
      </w:r>
      <w:r w:rsidRPr="00281CE4">
        <w:rPr>
          <w:rFonts w:ascii="Arial" w:hAnsi="Arial" w:cs="Arial"/>
          <w:noProof/>
          <w:sz w:val="20"/>
          <w:szCs w:val="24"/>
        </w:rPr>
        <w:t xml:space="preserve">, </w:t>
      </w:r>
      <w:r w:rsidRPr="00281CE4">
        <w:rPr>
          <w:rFonts w:ascii="Arial" w:hAnsi="Arial" w:cs="Arial"/>
          <w:i/>
          <w:iCs/>
          <w:noProof/>
          <w:sz w:val="20"/>
          <w:szCs w:val="24"/>
        </w:rPr>
        <w:t>84</w:t>
      </w:r>
      <w:r w:rsidRPr="00281CE4">
        <w:rPr>
          <w:rFonts w:ascii="Arial" w:hAnsi="Arial" w:cs="Arial"/>
          <w:noProof/>
          <w:sz w:val="20"/>
          <w:szCs w:val="24"/>
        </w:rPr>
        <w:t>, 159–168. https://doi.org/10.1016/j.neuroimage.2013.08.028</w:t>
      </w:r>
    </w:p>
    <w:p w14:paraId="281DC444"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Holroyd, C. B., Krigolson, O. E., Baker, R., Lee, S., &amp; Gibson, J. (2009). When is an error not a prediction error? An electrophysiological investigation. </w:t>
      </w:r>
      <w:r w:rsidRPr="00281CE4">
        <w:rPr>
          <w:rFonts w:ascii="Arial" w:hAnsi="Arial" w:cs="Arial"/>
          <w:i/>
          <w:iCs/>
          <w:noProof/>
          <w:sz w:val="20"/>
          <w:szCs w:val="24"/>
        </w:rPr>
        <w:t>Cognitive, Affective and Behavioral Neuroscience</w:t>
      </w:r>
      <w:r w:rsidRPr="00281CE4">
        <w:rPr>
          <w:rFonts w:ascii="Arial" w:hAnsi="Arial" w:cs="Arial"/>
          <w:noProof/>
          <w:sz w:val="20"/>
          <w:szCs w:val="24"/>
        </w:rPr>
        <w:t xml:space="preserve">, </w:t>
      </w:r>
      <w:r w:rsidRPr="00281CE4">
        <w:rPr>
          <w:rFonts w:ascii="Arial" w:hAnsi="Arial" w:cs="Arial"/>
          <w:i/>
          <w:iCs/>
          <w:noProof/>
          <w:sz w:val="20"/>
          <w:szCs w:val="24"/>
        </w:rPr>
        <w:t>9</w:t>
      </w:r>
      <w:r w:rsidRPr="00281CE4">
        <w:rPr>
          <w:rFonts w:ascii="Arial" w:hAnsi="Arial" w:cs="Arial"/>
          <w:noProof/>
          <w:sz w:val="20"/>
          <w:szCs w:val="24"/>
        </w:rPr>
        <w:t>(1), 59–70. https://doi.org/10.3758/CABN.9.1.59</w:t>
      </w:r>
    </w:p>
    <w:p w14:paraId="18FF1DBA"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Holroyd, C. B., Nieuwenhuis, S., Yeung, N., &amp; Cohen, J. D. (2003). Errors in reward prediction are reflected in the event-related brain potential. </w:t>
      </w:r>
      <w:r w:rsidRPr="00281CE4">
        <w:rPr>
          <w:rFonts w:ascii="Arial" w:hAnsi="Arial" w:cs="Arial"/>
          <w:i/>
          <w:iCs/>
          <w:noProof/>
          <w:sz w:val="20"/>
          <w:szCs w:val="24"/>
        </w:rPr>
        <w:t>NeuroReport</w:t>
      </w:r>
      <w:r w:rsidRPr="00281CE4">
        <w:rPr>
          <w:rFonts w:ascii="Arial" w:hAnsi="Arial" w:cs="Arial"/>
          <w:noProof/>
          <w:sz w:val="20"/>
          <w:szCs w:val="24"/>
        </w:rPr>
        <w:t xml:space="preserve">, </w:t>
      </w:r>
      <w:r w:rsidRPr="00281CE4">
        <w:rPr>
          <w:rFonts w:ascii="Arial" w:hAnsi="Arial" w:cs="Arial"/>
          <w:i/>
          <w:iCs/>
          <w:noProof/>
          <w:sz w:val="20"/>
          <w:szCs w:val="24"/>
        </w:rPr>
        <w:t>14</w:t>
      </w:r>
      <w:r w:rsidRPr="00281CE4">
        <w:rPr>
          <w:rFonts w:ascii="Arial" w:hAnsi="Arial" w:cs="Arial"/>
          <w:noProof/>
          <w:sz w:val="20"/>
          <w:szCs w:val="24"/>
        </w:rPr>
        <w:t>(18), 2481–2484. https://doi.org/10.1097/00001756-200312190-00037</w:t>
      </w:r>
    </w:p>
    <w:p w14:paraId="0E2424D1"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Knyazev, G. G. (2012). EEG delta oscillations as a correlate of basic homeostatic and motivational processes. </w:t>
      </w:r>
      <w:r w:rsidRPr="00281CE4">
        <w:rPr>
          <w:rFonts w:ascii="Arial" w:hAnsi="Arial" w:cs="Arial"/>
          <w:i/>
          <w:iCs/>
          <w:noProof/>
          <w:sz w:val="20"/>
          <w:szCs w:val="24"/>
        </w:rPr>
        <w:t>Neuroscience and Biobehavioral Reviews</w:t>
      </w:r>
      <w:r w:rsidRPr="00281CE4">
        <w:rPr>
          <w:rFonts w:ascii="Arial" w:hAnsi="Arial" w:cs="Arial"/>
          <w:noProof/>
          <w:sz w:val="20"/>
          <w:szCs w:val="24"/>
        </w:rPr>
        <w:t xml:space="preserve">, </w:t>
      </w:r>
      <w:r w:rsidRPr="00281CE4">
        <w:rPr>
          <w:rFonts w:ascii="Arial" w:hAnsi="Arial" w:cs="Arial"/>
          <w:i/>
          <w:iCs/>
          <w:noProof/>
          <w:sz w:val="20"/>
          <w:szCs w:val="24"/>
        </w:rPr>
        <w:t>36</w:t>
      </w:r>
      <w:r w:rsidRPr="00281CE4">
        <w:rPr>
          <w:rFonts w:ascii="Arial" w:hAnsi="Arial" w:cs="Arial"/>
          <w:noProof/>
          <w:sz w:val="20"/>
          <w:szCs w:val="24"/>
        </w:rPr>
        <w:t>(1), 677–695. https://doi.org/10.1016/j.neubiorev.2011.10.002</w:t>
      </w:r>
    </w:p>
    <w:p w14:paraId="1BA51AE7"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Nieuwenhuis, S., Aston-Jones, G., &amp; Cohen, J. D. (2005). Decision making, the P3, and the locus coeruleus-norepinephrine system. </w:t>
      </w:r>
      <w:r w:rsidRPr="00281CE4">
        <w:rPr>
          <w:rFonts w:ascii="Arial" w:hAnsi="Arial" w:cs="Arial"/>
          <w:i/>
          <w:iCs/>
          <w:noProof/>
          <w:sz w:val="20"/>
          <w:szCs w:val="24"/>
        </w:rPr>
        <w:t>Psychological Bulletin</w:t>
      </w:r>
      <w:r w:rsidRPr="00281CE4">
        <w:rPr>
          <w:rFonts w:ascii="Arial" w:hAnsi="Arial" w:cs="Arial"/>
          <w:noProof/>
          <w:sz w:val="20"/>
          <w:szCs w:val="24"/>
        </w:rPr>
        <w:t xml:space="preserve">, </w:t>
      </w:r>
      <w:r w:rsidRPr="00281CE4">
        <w:rPr>
          <w:rFonts w:ascii="Arial" w:hAnsi="Arial" w:cs="Arial"/>
          <w:i/>
          <w:iCs/>
          <w:noProof/>
          <w:sz w:val="20"/>
          <w:szCs w:val="24"/>
        </w:rPr>
        <w:t>131</w:t>
      </w:r>
      <w:r w:rsidRPr="00281CE4">
        <w:rPr>
          <w:rFonts w:ascii="Arial" w:hAnsi="Arial" w:cs="Arial"/>
          <w:noProof/>
          <w:sz w:val="20"/>
          <w:szCs w:val="24"/>
        </w:rPr>
        <w:t>(4), 510–532. https://doi.org/10.1037/0033-2909.131.4.510</w:t>
      </w:r>
    </w:p>
    <w:p w14:paraId="2805D381"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Osinsky, R., Mussel, P., &amp; Hewig, J. (2012). Feedback-related potentials are sensitive to sequential order of decision outcomes in a gambling task. </w:t>
      </w:r>
      <w:r w:rsidRPr="00281CE4">
        <w:rPr>
          <w:rFonts w:ascii="Arial" w:hAnsi="Arial" w:cs="Arial"/>
          <w:i/>
          <w:iCs/>
          <w:noProof/>
          <w:sz w:val="20"/>
          <w:szCs w:val="24"/>
        </w:rPr>
        <w:t>Psychophysiology</w:t>
      </w:r>
      <w:r w:rsidRPr="00281CE4">
        <w:rPr>
          <w:rFonts w:ascii="Arial" w:hAnsi="Arial" w:cs="Arial"/>
          <w:noProof/>
          <w:sz w:val="20"/>
          <w:szCs w:val="24"/>
        </w:rPr>
        <w:t xml:space="preserve">, </w:t>
      </w:r>
      <w:r w:rsidRPr="00281CE4">
        <w:rPr>
          <w:rFonts w:ascii="Arial" w:hAnsi="Arial" w:cs="Arial"/>
          <w:i/>
          <w:iCs/>
          <w:noProof/>
          <w:sz w:val="20"/>
          <w:szCs w:val="24"/>
        </w:rPr>
        <w:t>49</w:t>
      </w:r>
      <w:r w:rsidRPr="00281CE4">
        <w:rPr>
          <w:rFonts w:ascii="Arial" w:hAnsi="Arial" w:cs="Arial"/>
          <w:noProof/>
          <w:sz w:val="20"/>
          <w:szCs w:val="24"/>
        </w:rPr>
        <w:t>(12), 1579–1589. https://doi.org/10.1111/j.1469-8986.2012.01473.x</w:t>
      </w:r>
    </w:p>
    <w:p w14:paraId="028FCF90"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lastRenderedPageBreak/>
        <w:t xml:space="preserve">Osinsky, R., Walter, H., &amp; Hewig, J. (2014). What is and what could have been: An ERP study on counterfactual comparisons. </w:t>
      </w:r>
      <w:r w:rsidRPr="00281CE4">
        <w:rPr>
          <w:rFonts w:ascii="Arial" w:hAnsi="Arial" w:cs="Arial"/>
          <w:i/>
          <w:iCs/>
          <w:noProof/>
          <w:sz w:val="20"/>
          <w:szCs w:val="24"/>
        </w:rPr>
        <w:t>Psychophysiology</w:t>
      </w:r>
      <w:r w:rsidRPr="00281CE4">
        <w:rPr>
          <w:rFonts w:ascii="Arial" w:hAnsi="Arial" w:cs="Arial"/>
          <w:noProof/>
          <w:sz w:val="20"/>
          <w:szCs w:val="24"/>
        </w:rPr>
        <w:t xml:space="preserve">, </w:t>
      </w:r>
      <w:r w:rsidRPr="00281CE4">
        <w:rPr>
          <w:rFonts w:ascii="Arial" w:hAnsi="Arial" w:cs="Arial"/>
          <w:i/>
          <w:iCs/>
          <w:noProof/>
          <w:sz w:val="20"/>
          <w:szCs w:val="24"/>
        </w:rPr>
        <w:t>51</w:t>
      </w:r>
      <w:r w:rsidRPr="00281CE4">
        <w:rPr>
          <w:rFonts w:ascii="Arial" w:hAnsi="Arial" w:cs="Arial"/>
          <w:noProof/>
          <w:sz w:val="20"/>
          <w:szCs w:val="24"/>
        </w:rPr>
        <w:t>(8), 773–781. https://doi.org/10.1111/psyp.12221</w:t>
      </w:r>
    </w:p>
    <w:p w14:paraId="621A76AA"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Rawls, E., &amp; Lamm, C. (2021). The aversion positivity: Mediofrontal cortical potentials reflect parametric aversive prediction errors and drive behavioral modification following negative reinforcement. </w:t>
      </w:r>
      <w:r w:rsidRPr="00281CE4">
        <w:rPr>
          <w:rFonts w:ascii="Arial" w:hAnsi="Arial" w:cs="Arial"/>
          <w:i/>
          <w:iCs/>
          <w:noProof/>
          <w:sz w:val="20"/>
          <w:szCs w:val="24"/>
        </w:rPr>
        <w:t>Cortex</w:t>
      </w:r>
      <w:r w:rsidRPr="00281CE4">
        <w:rPr>
          <w:rFonts w:ascii="Arial" w:hAnsi="Arial" w:cs="Arial"/>
          <w:noProof/>
          <w:sz w:val="20"/>
          <w:szCs w:val="24"/>
        </w:rPr>
        <w:t xml:space="preserve">, </w:t>
      </w:r>
      <w:r w:rsidRPr="00281CE4">
        <w:rPr>
          <w:rFonts w:ascii="Arial" w:hAnsi="Arial" w:cs="Arial"/>
          <w:i/>
          <w:iCs/>
          <w:noProof/>
          <w:sz w:val="20"/>
          <w:szCs w:val="24"/>
        </w:rPr>
        <w:t>140</w:t>
      </w:r>
      <w:r w:rsidRPr="00281CE4">
        <w:rPr>
          <w:rFonts w:ascii="Arial" w:hAnsi="Arial" w:cs="Arial"/>
          <w:noProof/>
          <w:sz w:val="20"/>
          <w:szCs w:val="24"/>
        </w:rPr>
        <w:t>, 26–39. https://doi.org/10.1016/j.cortex.2021.03.012</w:t>
      </w:r>
    </w:p>
    <w:p w14:paraId="2C47502C"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Rescorla, R. A., &amp; Wagner, A. R. (1972). A theory of Pavlovian conditioning: Variations in the effectiveness of reinforcement and nonreinforcement. In A. H. Black &amp; W. F. Prokasy (Eds.), </w:t>
      </w:r>
      <w:r w:rsidRPr="00281CE4">
        <w:rPr>
          <w:rFonts w:ascii="Arial" w:hAnsi="Arial" w:cs="Arial"/>
          <w:i/>
          <w:iCs/>
          <w:noProof/>
          <w:sz w:val="20"/>
          <w:szCs w:val="24"/>
        </w:rPr>
        <w:t>Classical conditioning II: Current research and theory</w:t>
      </w:r>
      <w:r w:rsidRPr="00281CE4">
        <w:rPr>
          <w:rFonts w:ascii="Arial" w:hAnsi="Arial" w:cs="Arial"/>
          <w:noProof/>
          <w:sz w:val="20"/>
          <w:szCs w:val="24"/>
        </w:rPr>
        <w:t xml:space="preserve"> (pp. 64–99). Appleton-Century-Crofts.</w:t>
      </w:r>
    </w:p>
    <w:p w14:paraId="46DB6E7E"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Sutton, R. S., &amp; Barto, A. G. (2018). </w:t>
      </w:r>
      <w:r w:rsidRPr="00281CE4">
        <w:rPr>
          <w:rFonts w:ascii="Arial" w:hAnsi="Arial" w:cs="Arial"/>
          <w:i/>
          <w:iCs/>
          <w:noProof/>
          <w:sz w:val="20"/>
          <w:szCs w:val="24"/>
        </w:rPr>
        <w:t>Reinforcement learning: An introduction</w:t>
      </w:r>
      <w:r w:rsidRPr="00281CE4">
        <w:rPr>
          <w:rFonts w:ascii="Arial" w:hAnsi="Arial" w:cs="Arial"/>
          <w:noProof/>
          <w:sz w:val="20"/>
          <w:szCs w:val="24"/>
        </w:rPr>
        <w:t>. MIT press.</w:t>
      </w:r>
    </w:p>
    <w:p w14:paraId="6B2AAEB0" w14:textId="77777777" w:rsidR="00281CE4" w:rsidRPr="00281CE4" w:rsidRDefault="00281CE4" w:rsidP="00281CE4">
      <w:pPr>
        <w:autoSpaceDE w:val="0"/>
        <w:autoSpaceDN w:val="0"/>
        <w:adjustRightInd w:val="0"/>
        <w:spacing w:after="0"/>
        <w:ind w:left="480" w:hanging="480"/>
        <w:rPr>
          <w:rFonts w:ascii="Arial" w:hAnsi="Arial" w:cs="Arial"/>
          <w:noProof/>
          <w:sz w:val="20"/>
          <w:szCs w:val="24"/>
        </w:rPr>
      </w:pPr>
      <w:r w:rsidRPr="00281CE4">
        <w:rPr>
          <w:rFonts w:ascii="Arial" w:hAnsi="Arial" w:cs="Arial"/>
          <w:noProof/>
          <w:sz w:val="20"/>
          <w:szCs w:val="24"/>
        </w:rPr>
        <w:t xml:space="preserve">Yeung, N., Holroyd, C. B., &amp; Cohen, J. D. (2005). ERP correlates of feedback and reward processing in the presence and absence of response choice. </w:t>
      </w:r>
      <w:r w:rsidRPr="00281CE4">
        <w:rPr>
          <w:rFonts w:ascii="Arial" w:hAnsi="Arial" w:cs="Arial"/>
          <w:i/>
          <w:iCs/>
          <w:noProof/>
          <w:sz w:val="20"/>
          <w:szCs w:val="24"/>
        </w:rPr>
        <w:t>Cerebral Cortex</w:t>
      </w:r>
      <w:r w:rsidRPr="00281CE4">
        <w:rPr>
          <w:rFonts w:ascii="Arial" w:hAnsi="Arial" w:cs="Arial"/>
          <w:noProof/>
          <w:sz w:val="20"/>
          <w:szCs w:val="24"/>
        </w:rPr>
        <w:t xml:space="preserve">, </w:t>
      </w:r>
      <w:r w:rsidRPr="00281CE4">
        <w:rPr>
          <w:rFonts w:ascii="Arial" w:hAnsi="Arial" w:cs="Arial"/>
          <w:i/>
          <w:iCs/>
          <w:noProof/>
          <w:sz w:val="20"/>
          <w:szCs w:val="24"/>
        </w:rPr>
        <w:t>15</w:t>
      </w:r>
      <w:r w:rsidRPr="00281CE4">
        <w:rPr>
          <w:rFonts w:ascii="Arial" w:hAnsi="Arial" w:cs="Arial"/>
          <w:noProof/>
          <w:sz w:val="20"/>
          <w:szCs w:val="24"/>
        </w:rPr>
        <w:t>(5), 535–544. https://doi.org/10.1093/cercor/bhh153</w:t>
      </w:r>
    </w:p>
    <w:p w14:paraId="5F7C8AC0" w14:textId="77777777" w:rsidR="00281CE4" w:rsidRPr="00281CE4" w:rsidRDefault="00281CE4" w:rsidP="00281CE4">
      <w:pPr>
        <w:autoSpaceDE w:val="0"/>
        <w:autoSpaceDN w:val="0"/>
        <w:adjustRightInd w:val="0"/>
        <w:spacing w:after="0"/>
        <w:ind w:left="480" w:hanging="480"/>
        <w:rPr>
          <w:rFonts w:ascii="Arial" w:hAnsi="Arial" w:cs="Arial"/>
          <w:noProof/>
          <w:sz w:val="20"/>
        </w:rPr>
      </w:pPr>
      <w:r w:rsidRPr="00281CE4">
        <w:rPr>
          <w:rFonts w:ascii="Arial" w:hAnsi="Arial" w:cs="Arial"/>
          <w:noProof/>
          <w:sz w:val="20"/>
          <w:szCs w:val="24"/>
        </w:rPr>
        <w:t xml:space="preserve">Zheng, Y., Li, Q., Wang, K., Wu, H., &amp; Liu, X. (2015). Contextual valence modulates the neural dynamics of risk processing. </w:t>
      </w:r>
      <w:r w:rsidRPr="00281CE4">
        <w:rPr>
          <w:rFonts w:ascii="Arial" w:hAnsi="Arial" w:cs="Arial"/>
          <w:i/>
          <w:iCs/>
          <w:noProof/>
          <w:sz w:val="20"/>
          <w:szCs w:val="24"/>
        </w:rPr>
        <w:t>Psychophysiology</w:t>
      </w:r>
      <w:r w:rsidRPr="00281CE4">
        <w:rPr>
          <w:rFonts w:ascii="Arial" w:hAnsi="Arial" w:cs="Arial"/>
          <w:noProof/>
          <w:sz w:val="20"/>
          <w:szCs w:val="24"/>
        </w:rPr>
        <w:t xml:space="preserve">, </w:t>
      </w:r>
      <w:r w:rsidRPr="00281CE4">
        <w:rPr>
          <w:rFonts w:ascii="Arial" w:hAnsi="Arial" w:cs="Arial"/>
          <w:i/>
          <w:iCs/>
          <w:noProof/>
          <w:sz w:val="20"/>
          <w:szCs w:val="24"/>
        </w:rPr>
        <w:t>52</w:t>
      </w:r>
      <w:r w:rsidRPr="00281CE4">
        <w:rPr>
          <w:rFonts w:ascii="Arial" w:hAnsi="Arial" w:cs="Arial"/>
          <w:noProof/>
          <w:sz w:val="20"/>
          <w:szCs w:val="24"/>
        </w:rPr>
        <w:t>(7), 895–904. https://doi.org/10.1111/psyp.12415</w:t>
      </w:r>
    </w:p>
    <w:p w14:paraId="3419F04C" w14:textId="551AA73D" w:rsidR="00322A25" w:rsidRDefault="006C553E" w:rsidP="006C553E">
      <w:pPr>
        <w:autoSpaceDE w:val="0"/>
        <w:autoSpaceDN w:val="0"/>
        <w:adjustRightInd w:val="0"/>
        <w:spacing w:after="0"/>
        <w:ind w:left="482" w:hanging="482"/>
      </w:pPr>
      <w:r w:rsidRPr="006C553E">
        <w:rPr>
          <w:rFonts w:ascii="Arial" w:hAnsi="Arial" w:cs="Arial"/>
          <w:sz w:val="20"/>
          <w:szCs w:val="20"/>
        </w:rPr>
        <w:fldChar w:fldCharType="end"/>
      </w:r>
    </w:p>
    <w:sectPr w:rsidR="00322A25" w:rsidSect="00074854">
      <w:pgSz w:w="12240" w:h="15840"/>
      <w:pgMar w:top="1440" w:right="1800" w:bottom="1440" w:left="1800" w:header="720" w:footer="720" w:gutter="0"/>
      <w:lnNumType w:countBy="1" w:restart="continuous"/>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PA 6th PSM&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d2xwazvpv5928etvs2xddf1rf9a2evavaaf&quot;&gt;zz_EndNote&lt;record-ids&gt;&lt;item&gt;17&lt;/item&gt;&lt;item&gt;18&lt;/item&gt;&lt;item&gt;19&lt;/item&gt;&lt;item&gt;26&lt;/item&gt;&lt;item&gt;36&lt;/item&gt;&lt;item&gt;45&lt;/item&gt;&lt;item&gt;46&lt;/item&gt;&lt;item&gt;48&lt;/item&gt;&lt;item&gt;51&lt;/item&gt;&lt;item&gt;55&lt;/item&gt;&lt;item&gt;70&lt;/item&gt;&lt;item&gt;72&lt;/item&gt;&lt;item&gt;73&lt;/item&gt;&lt;item&gt;79&lt;/item&gt;&lt;item&gt;105&lt;/item&gt;&lt;item&gt;107&lt;/item&gt;&lt;item&gt;114&lt;/item&gt;&lt;item&gt;115&lt;/item&gt;&lt;item&gt;125&lt;/item&gt;&lt;item&gt;152&lt;/item&gt;&lt;item&gt;326&lt;/item&gt;&lt;item&gt;332&lt;/item&gt;&lt;/record-ids&gt;&lt;/item&gt;&lt;/Libraries&gt;"/>
  </w:docVars>
  <w:rsids>
    <w:rsidRoot w:val="002329A1"/>
    <w:rsid w:val="00002E22"/>
    <w:rsid w:val="00066D0B"/>
    <w:rsid w:val="00074854"/>
    <w:rsid w:val="000B1D8B"/>
    <w:rsid w:val="000C57D9"/>
    <w:rsid w:val="000D7EB3"/>
    <w:rsid w:val="000E51BC"/>
    <w:rsid w:val="000E70E1"/>
    <w:rsid w:val="00101BE8"/>
    <w:rsid w:val="001D1EE9"/>
    <w:rsid w:val="002329A1"/>
    <w:rsid w:val="00250348"/>
    <w:rsid w:val="00267A5F"/>
    <w:rsid w:val="00270470"/>
    <w:rsid w:val="00281CE4"/>
    <w:rsid w:val="002D03E1"/>
    <w:rsid w:val="00306BF1"/>
    <w:rsid w:val="003222F3"/>
    <w:rsid w:val="00322A25"/>
    <w:rsid w:val="003529B3"/>
    <w:rsid w:val="00376DFC"/>
    <w:rsid w:val="004660F4"/>
    <w:rsid w:val="00472CBB"/>
    <w:rsid w:val="0047363A"/>
    <w:rsid w:val="004D242D"/>
    <w:rsid w:val="004D4A0C"/>
    <w:rsid w:val="004F55A6"/>
    <w:rsid w:val="0050706F"/>
    <w:rsid w:val="00547CE1"/>
    <w:rsid w:val="005701E0"/>
    <w:rsid w:val="005732FE"/>
    <w:rsid w:val="00574689"/>
    <w:rsid w:val="005826AA"/>
    <w:rsid w:val="005A2FE6"/>
    <w:rsid w:val="005B2BEA"/>
    <w:rsid w:val="005C0BBA"/>
    <w:rsid w:val="005D1BA1"/>
    <w:rsid w:val="00642ADD"/>
    <w:rsid w:val="00643B5F"/>
    <w:rsid w:val="00652632"/>
    <w:rsid w:val="00655E64"/>
    <w:rsid w:val="006800B1"/>
    <w:rsid w:val="006A68CE"/>
    <w:rsid w:val="006C553E"/>
    <w:rsid w:val="00725D95"/>
    <w:rsid w:val="007505A4"/>
    <w:rsid w:val="00822CBE"/>
    <w:rsid w:val="0082521D"/>
    <w:rsid w:val="00860D6D"/>
    <w:rsid w:val="00880B85"/>
    <w:rsid w:val="00897F58"/>
    <w:rsid w:val="008D37BA"/>
    <w:rsid w:val="00937AA3"/>
    <w:rsid w:val="009472FD"/>
    <w:rsid w:val="00953B82"/>
    <w:rsid w:val="00966A90"/>
    <w:rsid w:val="009B6399"/>
    <w:rsid w:val="009D771E"/>
    <w:rsid w:val="009E352F"/>
    <w:rsid w:val="00A00773"/>
    <w:rsid w:val="00A01C75"/>
    <w:rsid w:val="00A02495"/>
    <w:rsid w:val="00A661F9"/>
    <w:rsid w:val="00AC5F5A"/>
    <w:rsid w:val="00AD0430"/>
    <w:rsid w:val="00AE4C0D"/>
    <w:rsid w:val="00AE5578"/>
    <w:rsid w:val="00AF5998"/>
    <w:rsid w:val="00AF6222"/>
    <w:rsid w:val="00B63956"/>
    <w:rsid w:val="00BF3675"/>
    <w:rsid w:val="00C001B7"/>
    <w:rsid w:val="00C61BCA"/>
    <w:rsid w:val="00C82442"/>
    <w:rsid w:val="00CA7093"/>
    <w:rsid w:val="00CC3DDD"/>
    <w:rsid w:val="00CC7D0C"/>
    <w:rsid w:val="00CF5D10"/>
    <w:rsid w:val="00D52EE9"/>
    <w:rsid w:val="00D6293B"/>
    <w:rsid w:val="00DA44E9"/>
    <w:rsid w:val="00DE3E4A"/>
    <w:rsid w:val="00DE7C5A"/>
    <w:rsid w:val="00E15907"/>
    <w:rsid w:val="00E94670"/>
    <w:rsid w:val="00EA28B4"/>
    <w:rsid w:val="00F1549E"/>
    <w:rsid w:val="00F23E2A"/>
    <w:rsid w:val="00F40CEB"/>
    <w:rsid w:val="00F72F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62D346"/>
  <w15:chartTrackingRefBased/>
  <w15:docId w15:val="{C2648E00-FB2A-4F05-A2B0-674BFD73D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4854"/>
    <w:pPr>
      <w:spacing w:after="200"/>
    </w:pPr>
    <w:rPr>
      <w:rFonts w:asciiTheme="minorHAnsi" w:eastAsiaTheme="minorHAnsi" w:hAnsiTheme="minorHAnsi" w:cstheme="minorBid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未处理的提及1"/>
    <w:basedOn w:val="a0"/>
    <w:uiPriority w:val="99"/>
    <w:semiHidden/>
    <w:unhideWhenUsed/>
    <w:qFormat/>
    <w:rsid w:val="00AF6222"/>
    <w:rPr>
      <w:color w:val="605E5C"/>
      <w:shd w:val="clear" w:color="auto" w:fill="E1DFDD"/>
    </w:rPr>
  </w:style>
  <w:style w:type="character" w:customStyle="1" w:styleId="2">
    <w:name w:val="未处理的提及2"/>
    <w:basedOn w:val="a0"/>
    <w:uiPriority w:val="99"/>
    <w:semiHidden/>
    <w:unhideWhenUsed/>
    <w:qFormat/>
    <w:rsid w:val="00AF6222"/>
    <w:rPr>
      <w:color w:val="605E5C"/>
      <w:shd w:val="clear" w:color="auto" w:fill="E1DFDD"/>
    </w:rPr>
  </w:style>
  <w:style w:type="paragraph" w:styleId="a3">
    <w:name w:val="annotation text"/>
    <w:link w:val="a4"/>
    <w:qFormat/>
    <w:rsid w:val="00AF6222"/>
    <w:pPr>
      <w:widowControl w:val="0"/>
      <w:spacing w:after="160" w:line="259" w:lineRule="auto"/>
    </w:pPr>
    <w:rPr>
      <w:rFonts w:asciiTheme="minorHAnsi" w:eastAsiaTheme="minorEastAsia" w:hAnsiTheme="minorHAnsi" w:cstheme="minorBidi"/>
      <w:kern w:val="2"/>
      <w:sz w:val="21"/>
      <w:szCs w:val="24"/>
    </w:rPr>
  </w:style>
  <w:style w:type="character" w:customStyle="1" w:styleId="a4">
    <w:name w:val="批注文字 字符"/>
    <w:basedOn w:val="a0"/>
    <w:link w:val="a3"/>
    <w:qFormat/>
    <w:rsid w:val="00AF6222"/>
    <w:rPr>
      <w:rFonts w:asciiTheme="minorHAnsi" w:eastAsiaTheme="minorEastAsia" w:hAnsiTheme="minorHAnsi" w:cstheme="minorBidi"/>
      <w:kern w:val="2"/>
      <w:sz w:val="21"/>
      <w:szCs w:val="24"/>
    </w:rPr>
  </w:style>
  <w:style w:type="character" w:styleId="a5">
    <w:name w:val="annotation reference"/>
    <w:qFormat/>
    <w:rsid w:val="00AF6222"/>
    <w:rPr>
      <w:sz w:val="21"/>
      <w:szCs w:val="21"/>
    </w:rPr>
  </w:style>
  <w:style w:type="character" w:styleId="a6">
    <w:name w:val="Hyperlink"/>
    <w:basedOn w:val="a0"/>
    <w:uiPriority w:val="99"/>
    <w:unhideWhenUsed/>
    <w:qFormat/>
    <w:rsid w:val="00AF6222"/>
    <w:rPr>
      <w:color w:val="0563C1" w:themeColor="hyperlink"/>
      <w:u w:val="single"/>
    </w:rPr>
  </w:style>
  <w:style w:type="character" w:styleId="a7">
    <w:name w:val="FollowedHyperlink"/>
    <w:basedOn w:val="a0"/>
    <w:qFormat/>
    <w:rsid w:val="00AF6222"/>
    <w:rPr>
      <w:color w:val="954F72" w:themeColor="followedHyperlink"/>
      <w:u w:val="single"/>
    </w:rPr>
  </w:style>
  <w:style w:type="character" w:styleId="a8">
    <w:name w:val="Emphasis"/>
    <w:basedOn w:val="a0"/>
    <w:qFormat/>
    <w:rsid w:val="00AF6222"/>
    <w:rPr>
      <w:i/>
    </w:rPr>
  </w:style>
  <w:style w:type="paragraph" w:styleId="a9">
    <w:name w:val="annotation subject"/>
    <w:basedOn w:val="a3"/>
    <w:next w:val="a3"/>
    <w:link w:val="aa"/>
    <w:qFormat/>
    <w:rsid w:val="00AF6222"/>
    <w:pPr>
      <w:jc w:val="both"/>
    </w:pPr>
    <w:rPr>
      <w:b/>
      <w:bCs/>
    </w:rPr>
  </w:style>
  <w:style w:type="character" w:customStyle="1" w:styleId="aa">
    <w:name w:val="批注主题 字符"/>
    <w:basedOn w:val="a4"/>
    <w:link w:val="a9"/>
    <w:qFormat/>
    <w:rsid w:val="00AF6222"/>
    <w:rPr>
      <w:rFonts w:asciiTheme="minorHAnsi" w:eastAsiaTheme="minorEastAsia" w:hAnsiTheme="minorHAnsi" w:cstheme="minorBidi"/>
      <w:b/>
      <w:bCs/>
      <w:kern w:val="2"/>
      <w:sz w:val="21"/>
      <w:szCs w:val="24"/>
    </w:rPr>
  </w:style>
  <w:style w:type="paragraph" w:styleId="ab">
    <w:name w:val="Balloon Text"/>
    <w:basedOn w:val="a"/>
    <w:link w:val="ac"/>
    <w:qFormat/>
    <w:rsid w:val="00AF6222"/>
    <w:pPr>
      <w:widowControl w:val="0"/>
      <w:spacing w:after="160" w:line="259" w:lineRule="auto"/>
      <w:jc w:val="both"/>
    </w:pPr>
    <w:rPr>
      <w:rFonts w:ascii="Times New Roman" w:eastAsiaTheme="minorEastAsia" w:hAnsi="Times New Roman" w:cs="Times New Roman"/>
      <w:kern w:val="2"/>
      <w:sz w:val="18"/>
      <w:szCs w:val="18"/>
      <w:lang w:eastAsia="zh-CN"/>
    </w:rPr>
  </w:style>
  <w:style w:type="character" w:customStyle="1" w:styleId="ac">
    <w:name w:val="批注框文本 字符"/>
    <w:basedOn w:val="a0"/>
    <w:link w:val="ab"/>
    <w:qFormat/>
    <w:rsid w:val="00AF6222"/>
    <w:rPr>
      <w:rFonts w:eastAsiaTheme="minorEastAsia"/>
      <w:kern w:val="2"/>
      <w:sz w:val="18"/>
      <w:szCs w:val="18"/>
    </w:rPr>
  </w:style>
  <w:style w:type="paragraph" w:styleId="ad">
    <w:name w:val="List Paragraph"/>
    <w:basedOn w:val="a"/>
    <w:uiPriority w:val="99"/>
    <w:qFormat/>
    <w:rsid w:val="00AF6222"/>
    <w:pPr>
      <w:widowControl w:val="0"/>
      <w:spacing w:after="160" w:line="259" w:lineRule="auto"/>
      <w:ind w:firstLineChars="200" w:firstLine="420"/>
      <w:jc w:val="both"/>
    </w:pPr>
    <w:rPr>
      <w:rFonts w:eastAsiaTheme="minorEastAsia"/>
      <w:kern w:val="2"/>
      <w:sz w:val="21"/>
      <w:szCs w:val="24"/>
      <w:lang w:eastAsia="zh-CN"/>
    </w:rPr>
  </w:style>
  <w:style w:type="paragraph" w:customStyle="1" w:styleId="EndNoteBibliography">
    <w:name w:val="EndNote Bibliography"/>
    <w:rsid w:val="00074854"/>
    <w:pPr>
      <w:pBdr>
        <w:top w:val="none" w:sz="8" w:space="0" w:color="auto"/>
        <w:left w:val="none" w:sz="8" w:space="0" w:color="auto"/>
        <w:bottom w:val="none" w:sz="8" w:space="0" w:color="auto"/>
        <w:right w:val="none" w:sz="8" w:space="0" w:color="auto"/>
        <w:between w:val="none" w:sz="8" w:space="0" w:color="auto"/>
      </w:pBdr>
    </w:pPr>
    <w:rPr>
      <w:rFonts w:ascii="Calibri" w:eastAsiaTheme="minorHAnsi" w:hAnsi="Calibri" w:cs="Calibri"/>
      <w:sz w:val="22"/>
      <w:szCs w:val="22"/>
      <w:lang w:eastAsia="en-US"/>
    </w:rPr>
  </w:style>
  <w:style w:type="character" w:styleId="ae">
    <w:name w:val="line number"/>
    <w:basedOn w:val="a0"/>
    <w:uiPriority w:val="99"/>
    <w:semiHidden/>
    <w:unhideWhenUsed/>
    <w:rsid w:val="00074854"/>
  </w:style>
  <w:style w:type="paragraph" w:customStyle="1" w:styleId="EndNoteBibliographyTitle">
    <w:name w:val="EndNote Bibliography Title"/>
    <w:basedOn w:val="a"/>
    <w:link w:val="EndNoteBibliographyTitle0"/>
    <w:rsid w:val="00642ADD"/>
    <w:pPr>
      <w:spacing w:after="0"/>
      <w:jc w:val="center"/>
    </w:pPr>
    <w:rPr>
      <w:rFonts w:ascii="Calibri" w:hAnsi="Calibri" w:cs="Calibri"/>
      <w:noProof/>
    </w:rPr>
  </w:style>
  <w:style w:type="character" w:customStyle="1" w:styleId="EndNoteBibliographyTitle0">
    <w:name w:val="EndNote Bibliography Title 字符"/>
    <w:basedOn w:val="a0"/>
    <w:link w:val="EndNoteBibliographyTitle"/>
    <w:rsid w:val="00642ADD"/>
    <w:rPr>
      <w:rFonts w:ascii="Calibri" w:eastAsiaTheme="minorHAnsi" w:hAnsi="Calibri" w:cs="Calibri"/>
      <w:noProo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7BE20F-6237-401E-9334-44D106BC4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14</Pages>
  <Words>11955</Words>
  <Characters>68144</Characters>
  <Application>Microsoft Office Word</Application>
  <DocSecurity>0</DocSecurity>
  <Lines>567</Lines>
  <Paragraphs>159</Paragraphs>
  <ScaleCrop>false</ScaleCrop>
  <Company/>
  <LinksUpToDate>false</LinksUpToDate>
  <CharactersWithSpaces>79940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Dizon</dc:creator>
  <cp:keywords/>
  <dc:description/>
  <cp:lastModifiedBy>Dizon</cp:lastModifiedBy>
  <cp:revision>79</cp:revision>
  <cp:lastPrinted>2022-06-08T05:39:00Z</cp:lastPrinted>
  <dcterms:created xsi:type="dcterms:W3CDTF">2021-12-22T11:36:00Z</dcterms:created>
  <dcterms:modified xsi:type="dcterms:W3CDTF">2022-07-13T10:08:00Z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04f2c718-f30d-3809-83ba-6007b9ce4691</vt:lpwstr>
  </property>
  <property fmtid="{D5CDD505-2E9C-101B-9397-08002B2CF9AE}" pid="4" name="Mendeley Citation Style_1">
    <vt:lpwstr>http://www.zotero.org/styles/apa-6th-edition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http://www.zotero.org/styles/apa-6th-edition</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7th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 6th edition</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17th edition (author-date)</vt:lpwstr>
  </property>
  <property fmtid="{D5CDD505-2E9C-101B-9397-08002B2CF9AE}" pid="17" name="Mendeley Recent Style Id 6_1">
    <vt:lpwstr>http://www.zotero.org/styles/harvard-cite-them-right</vt:lpwstr>
  </property>
  <property fmtid="{D5CDD505-2E9C-101B-9397-08002B2CF9AE}" pid="18" name="Mendeley Recent Style Name 6_1">
    <vt:lpwstr>Cite Them Right 12th edition - Harvard</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