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14DA" w14:textId="77777777" w:rsidR="006F6088" w:rsidRDefault="006F6088" w:rsidP="006F6088">
      <w:pPr>
        <w:pStyle w:val="Heading2"/>
      </w:pPr>
      <w:r w:rsidRPr="00834A53">
        <w:t>Supplementary</w:t>
      </w:r>
      <w:r>
        <w:t xml:space="preserve"> Material</w:t>
      </w:r>
    </w:p>
    <w:p w14:paraId="615EE967" w14:textId="77777777" w:rsidR="006F6088" w:rsidRDefault="006F6088" w:rsidP="006F6088">
      <w:pPr>
        <w:pStyle w:val="Heading2"/>
      </w:pPr>
      <w:r>
        <w:t>Health technology program</w:t>
      </w:r>
    </w:p>
    <w:p w14:paraId="112CF827" w14:textId="77777777" w:rsidR="006F6088" w:rsidRDefault="006F6088" w:rsidP="006F6088">
      <w:r>
        <w:t>The 6-month HTP program consisted of medication treatment guided by a computer decision support system for the prescriber, a smartphone application for patients that supported medication adherence and other coping strategies, a web-based patient and family psycho-educational intervention, and web-accessed cognitive behavioral therapy for paranoia and hallucinations. A mental health technology coach provided technical support, and developed a personalized, structured, relapse prevention plan with each participant that identified individual relapse precipitants and determined which HTP components should be employed to address them. Access to the interventions was insured by providing computers and Android smartphones to all patients.</w:t>
      </w:r>
    </w:p>
    <w:p w14:paraId="05389A95" w14:textId="77777777" w:rsidR="006F6088" w:rsidRDefault="006F6088" w:rsidP="006F6088">
      <w:pPr>
        <w:pStyle w:val="Heading3"/>
      </w:pPr>
      <w:r>
        <w:t xml:space="preserve">Inverse probability of treatment </w:t>
      </w:r>
      <w:r w:rsidRPr="00834A53">
        <w:t>weighting</w:t>
      </w:r>
    </w:p>
    <w:p w14:paraId="678EF242" w14:textId="77777777" w:rsidR="006F6088" w:rsidRDefault="006F6088" w:rsidP="006F6088">
      <w:r>
        <w:t xml:space="preserve">Weighting by the inverse probabilities of treatment is a method based on propensity scores (Austin &amp; Stuart, 2015), which are defined as the probability of receiving a treatment given measures of baseline covariates: </w:t>
      </w:r>
    </w:p>
    <w:p w14:paraId="71F0CDA7" w14:textId="77777777" w:rsidR="006F6088" w:rsidRDefault="006F6088" w:rsidP="006F6088">
      <w:pPr>
        <w:pStyle w:val="equationAlignNum"/>
        <w:tabs>
          <w:tab w:val="right" w:pos="4096"/>
          <w:tab w:val="left" w:pos="4552"/>
          <w:tab w:val="right" w:pos="9104"/>
        </w:tabs>
        <w:spacing w:line="240" w:lineRule="auto"/>
      </w:pPr>
      <w:r>
        <w:rPr>
          <w:noProof/>
        </w:rPr>
        <w:drawing>
          <wp:anchor distT="0" distB="0" distL="0" distR="0" simplePos="0" relativeHeight="251659264" behindDoc="0" locked="0" layoutInCell="1" allowOverlap="1" wp14:anchorId="2A1D5262" wp14:editId="41EE4D26">
            <wp:simplePos x="0" y="0"/>
            <wp:positionH relativeFrom="column">
              <wp:align>center</wp:align>
            </wp:positionH>
            <wp:positionV relativeFrom="paragraph">
              <wp:align>top</wp:align>
            </wp:positionV>
            <wp:extent cx="1450340" cy="218440"/>
            <wp:effectExtent l="0" t="0" r="0" b="0"/>
            <wp:wrapTopAndBottom/>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340" cy="218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t>(1)</w:t>
      </w:r>
    </w:p>
    <w:p w14:paraId="3E0E6D4A" w14:textId="77777777" w:rsidR="006F6088" w:rsidRDefault="006F6088" w:rsidP="006F6088">
      <w:r>
        <w:t xml:space="preserve">where </w:t>
      </w:r>
      <w:r>
        <w:rPr>
          <w:i/>
        </w:rPr>
        <w:t>T</w:t>
      </w:r>
      <w:r>
        <w:t xml:space="preserve"> is an indicator variable that denotes the treatment received (</w:t>
      </w:r>
      <w:r>
        <w:rPr>
          <w:i/>
        </w:rPr>
        <w:t>T</w:t>
      </w:r>
      <w:r>
        <w:t xml:space="preserve">=0 for control treatment and </w:t>
      </w:r>
      <w:r>
        <w:rPr>
          <w:i/>
        </w:rPr>
        <w:t>T</w:t>
      </w:r>
      <w:r>
        <w:t xml:space="preserve">=1 for active treatment) and </w:t>
      </w:r>
      <w:r>
        <w:rPr>
          <w:i/>
        </w:rPr>
        <w:t>x</w:t>
      </w:r>
      <w:r>
        <w:t xml:space="preserve"> is a vector of baseline covariates. Thus, the propensity score expresses the probability of receiving a treatment given a set of observed baseline covariates. Propensity scores are a way to address the confounding of the treatment effect that is often observed in quasi-experimental studies: treated participants will often differ systematically </w:t>
      </w:r>
      <w:r>
        <w:lastRenderedPageBreak/>
        <w:t xml:space="preserve">from untreated participants. This means that we cannot compute an unbiased estimate of the treatment effect simply by comparing outcomes between the two treatment groups: </w:t>
      </w:r>
    </w:p>
    <w:p w14:paraId="4A837FD5" w14:textId="77777777" w:rsidR="006F6088" w:rsidRDefault="006F6088" w:rsidP="006F6088">
      <w:pPr>
        <w:pStyle w:val="equationAlignNum"/>
        <w:tabs>
          <w:tab w:val="right" w:pos="4096"/>
          <w:tab w:val="left" w:pos="4552"/>
          <w:tab w:val="right" w:pos="9104"/>
        </w:tabs>
        <w:spacing w:line="240" w:lineRule="auto"/>
      </w:pPr>
      <w:r>
        <w:rPr>
          <w:noProof/>
        </w:rPr>
        <w:drawing>
          <wp:anchor distT="0" distB="0" distL="0" distR="0" simplePos="0" relativeHeight="251660288" behindDoc="0" locked="0" layoutInCell="1" allowOverlap="1" wp14:anchorId="6E127295" wp14:editId="54C2BEC8">
            <wp:simplePos x="0" y="0"/>
            <wp:positionH relativeFrom="column">
              <wp:align>center</wp:align>
            </wp:positionH>
            <wp:positionV relativeFrom="paragraph">
              <wp:align>top</wp:align>
            </wp:positionV>
            <wp:extent cx="1785620" cy="474345"/>
            <wp:effectExtent l="0" t="0" r="0" b="0"/>
            <wp:wrapTopAndBottom/>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5620" cy="474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t>(2)</w:t>
      </w:r>
    </w:p>
    <w:p w14:paraId="31CBE0F3" w14:textId="77777777" w:rsidR="006F6088" w:rsidRDefault="006F6088" w:rsidP="006F6088">
      <w:r>
        <w:t xml:space="preserve">where </w:t>
      </w:r>
      <w:r>
        <w:rPr>
          <w:i/>
        </w:rPr>
        <w:t>n</w:t>
      </w:r>
      <w:r>
        <w:rPr>
          <w:i/>
          <w:position w:val="-5"/>
          <w:sz w:val="16"/>
        </w:rPr>
        <w:t>T</w:t>
      </w:r>
      <w:r>
        <w:t xml:space="preserve"> and </w:t>
      </w:r>
      <w:r>
        <w:rPr>
          <w:i/>
        </w:rPr>
        <w:t>n</w:t>
      </w:r>
      <w:r>
        <w:rPr>
          <w:i/>
          <w:position w:val="-5"/>
          <w:sz w:val="16"/>
        </w:rPr>
        <w:t>C</w:t>
      </w:r>
      <w:r>
        <w:t xml:space="preserve"> are the number of participants in the treatment and control group, respectively. When baseline confounders are present, the above treatment effect   </w:t>
      </w:r>
      <w:r>
        <w:rPr>
          <w:rFonts w:ascii="STIXGeneral" w:hAnsi="STIXGeneral"/>
        </w:rPr>
        <w:t>̂</w:t>
      </w:r>
      <w:r>
        <w:t xml:space="preserve">τ will not be unbiased for the true population treatment effect. Under conditional </w:t>
      </w:r>
      <w:proofErr w:type="spellStart"/>
      <w:r>
        <w:t>exchangability</w:t>
      </w:r>
      <w:proofErr w:type="spellEnd"/>
      <w:r>
        <w:t xml:space="preserve">, i.e., when </w:t>
      </w:r>
      <w:r>
        <w:rPr>
          <w:i/>
        </w:rPr>
        <w:t>Y</w:t>
      </w:r>
      <w:r>
        <w:t>(1</w:t>
      </w:r>
      <w:proofErr w:type="gramStart"/>
      <w:r>
        <w:t>),</w:t>
      </w:r>
      <w:r>
        <w:rPr>
          <w:i/>
        </w:rPr>
        <w:t>Y</w:t>
      </w:r>
      <w:proofErr w:type="gramEnd"/>
      <w:r>
        <w:t>(0)</w:t>
      </w:r>
      <w:r>
        <w:rPr>
          <w:rFonts w:ascii="STIXGeneral" w:hAnsi="STIXGeneral"/>
        </w:rPr>
        <w:t>⊥</w:t>
      </w:r>
      <w:r>
        <w:rPr>
          <w:i/>
        </w:rPr>
        <w:t>T</w:t>
      </w:r>
      <w:r>
        <w:t>|</w:t>
      </w:r>
      <w:r>
        <w:rPr>
          <w:i/>
        </w:rPr>
        <w:t>X</w:t>
      </w:r>
      <w:r>
        <w:t xml:space="preserve">, we assume that when we condition on all the necessary confounders </w:t>
      </w:r>
      <w:r>
        <w:rPr>
          <w:i/>
        </w:rPr>
        <w:t>X</w:t>
      </w:r>
      <w:r>
        <w:t xml:space="preserve"> that have been measured at baseline, the treatment assignment </w:t>
      </w:r>
      <w:r>
        <w:rPr>
          <w:i/>
        </w:rPr>
        <w:t>T</w:t>
      </w:r>
      <w:r>
        <w:t xml:space="preserve"> is independent of the potential outcome </w:t>
      </w:r>
      <w:r>
        <w:rPr>
          <w:i/>
        </w:rPr>
        <w:t>Y</w:t>
      </w:r>
      <w:r>
        <w:t>. Thus, by conditioning on propensity scores, it is possible to balance the measured baseline covariates so that the treatment and control groups are similar with respect to these covariates.</w:t>
      </w:r>
    </w:p>
    <w:p w14:paraId="7581AA8F" w14:textId="77777777" w:rsidR="006F6088" w:rsidRDefault="006F6088" w:rsidP="006F6088">
      <w:r>
        <w:t xml:space="preserve">Inverse probability weights are one way of applying propensity scores. They are derived by taking the inverse of the propensity score: </w:t>
      </w:r>
    </w:p>
    <w:p w14:paraId="0A791974" w14:textId="77777777" w:rsidR="006F6088" w:rsidRDefault="006F6088" w:rsidP="006F6088">
      <w:pPr>
        <w:pStyle w:val="equationAlignNum"/>
        <w:tabs>
          <w:tab w:val="right" w:pos="4096"/>
          <w:tab w:val="left" w:pos="4552"/>
          <w:tab w:val="right" w:pos="9104"/>
        </w:tabs>
        <w:spacing w:line="240" w:lineRule="auto"/>
      </w:pPr>
      <w:r>
        <w:rPr>
          <w:noProof/>
        </w:rPr>
        <w:drawing>
          <wp:anchor distT="0" distB="0" distL="0" distR="0" simplePos="0" relativeHeight="251661312" behindDoc="0" locked="0" layoutInCell="1" allowOverlap="1" wp14:anchorId="4E1DD3D9" wp14:editId="695519D3">
            <wp:simplePos x="0" y="0"/>
            <wp:positionH relativeFrom="column">
              <wp:align>center</wp:align>
            </wp:positionH>
            <wp:positionV relativeFrom="paragraph">
              <wp:align>top</wp:align>
            </wp:positionV>
            <wp:extent cx="1944370" cy="389255"/>
            <wp:effectExtent l="0" t="0" r="0" b="0"/>
            <wp:wrapTopAndBottom/>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370"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t>(3)</w:t>
      </w:r>
    </w:p>
    <w:p w14:paraId="62D22106" w14:textId="77777777" w:rsidR="006F6088" w:rsidRDefault="006F6088" w:rsidP="006F6088">
      <w:r>
        <w:t xml:space="preserve">for treated individuals and </w:t>
      </w:r>
    </w:p>
    <w:p w14:paraId="3249D1A0" w14:textId="77777777" w:rsidR="006F6088" w:rsidRDefault="006F6088" w:rsidP="006F6088">
      <w:pPr>
        <w:pStyle w:val="equationAlignNum"/>
        <w:tabs>
          <w:tab w:val="right" w:pos="4096"/>
          <w:tab w:val="left" w:pos="4552"/>
          <w:tab w:val="right" w:pos="9104"/>
        </w:tabs>
        <w:spacing w:line="240" w:lineRule="auto"/>
      </w:pPr>
      <w:r>
        <w:rPr>
          <w:noProof/>
        </w:rPr>
        <w:drawing>
          <wp:anchor distT="0" distB="0" distL="0" distR="0" simplePos="0" relativeHeight="251662336" behindDoc="0" locked="0" layoutInCell="1" allowOverlap="1" wp14:anchorId="00CCA65F" wp14:editId="46174182">
            <wp:simplePos x="0" y="0"/>
            <wp:positionH relativeFrom="column">
              <wp:align>center</wp:align>
            </wp:positionH>
            <wp:positionV relativeFrom="paragraph">
              <wp:align>top</wp:align>
            </wp:positionV>
            <wp:extent cx="2383155" cy="389255"/>
            <wp:effectExtent l="0" t="0" r="0" b="0"/>
            <wp:wrapTopAndBottom/>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155"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t>(4)</w:t>
      </w:r>
    </w:p>
    <w:p w14:paraId="54FBB6EC" w14:textId="77777777" w:rsidR="006F6088" w:rsidRDefault="006F6088" w:rsidP="006F6088">
      <w:r>
        <w:t xml:space="preserve">for untreated individuals. They create a synthetic sample in which the distribution of measured baseline covariates is independent of treatment assignment. To avoid </w:t>
      </w:r>
      <w:proofErr w:type="gramStart"/>
      <w:r>
        <w:t>that individuals</w:t>
      </w:r>
      <w:proofErr w:type="gramEnd"/>
      <w:r>
        <w:t xml:space="preserve"> with a </w:t>
      </w:r>
      <w:r>
        <w:lastRenderedPageBreak/>
        <w:t xml:space="preserve">propensity score close to 0 (i.e., those very unlikely to be treated) wound end up with overly large weights (which would make the weighted estimator unstable) we used stabilized IPTW. For treated individuals, the stabilized weights are calculated as follows: </w:t>
      </w:r>
    </w:p>
    <w:p w14:paraId="57A566BB" w14:textId="77777777" w:rsidR="006F6088" w:rsidRDefault="006F6088" w:rsidP="006F6088">
      <w:pPr>
        <w:pStyle w:val="equationAlignNum"/>
        <w:tabs>
          <w:tab w:val="right" w:pos="4096"/>
          <w:tab w:val="left" w:pos="4552"/>
          <w:tab w:val="right" w:pos="9104"/>
        </w:tabs>
        <w:spacing w:line="240" w:lineRule="auto"/>
      </w:pPr>
      <w:r>
        <w:rPr>
          <w:noProof/>
        </w:rPr>
        <w:drawing>
          <wp:anchor distT="0" distB="0" distL="0" distR="0" simplePos="0" relativeHeight="251663360" behindDoc="0" locked="0" layoutInCell="1" allowOverlap="1" wp14:anchorId="0538FE82" wp14:editId="76887DD7">
            <wp:simplePos x="0" y="0"/>
            <wp:positionH relativeFrom="column">
              <wp:align>center</wp:align>
            </wp:positionH>
            <wp:positionV relativeFrom="paragraph">
              <wp:align>top</wp:align>
            </wp:positionV>
            <wp:extent cx="2230755" cy="389255"/>
            <wp:effectExtent l="0" t="0" r="0" b="0"/>
            <wp:wrapTopAndBottom/>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t>(5)</w:t>
      </w:r>
    </w:p>
    <w:p w14:paraId="7F62FC74" w14:textId="77777777" w:rsidR="006F6088" w:rsidRDefault="006F6088" w:rsidP="006F6088">
      <w:r>
        <w:t xml:space="preserve">whereas for untreated subjects, they are given by </w:t>
      </w:r>
    </w:p>
    <w:p w14:paraId="137BFD42" w14:textId="77777777" w:rsidR="006F6088" w:rsidRDefault="006F6088" w:rsidP="006F6088">
      <w:pPr>
        <w:pStyle w:val="equationAlignNum"/>
        <w:tabs>
          <w:tab w:val="right" w:pos="4096"/>
          <w:tab w:val="left" w:pos="4552"/>
          <w:tab w:val="right" w:pos="9104"/>
        </w:tabs>
        <w:spacing w:line="240" w:lineRule="auto"/>
      </w:pPr>
      <w:r>
        <w:rPr>
          <w:noProof/>
        </w:rPr>
        <w:drawing>
          <wp:anchor distT="0" distB="0" distL="0" distR="0" simplePos="0" relativeHeight="251664384" behindDoc="0" locked="0" layoutInCell="1" allowOverlap="1" wp14:anchorId="6D509F48" wp14:editId="48FB88DD">
            <wp:simplePos x="0" y="0"/>
            <wp:positionH relativeFrom="column">
              <wp:align>center</wp:align>
            </wp:positionH>
            <wp:positionV relativeFrom="paragraph">
              <wp:align>top</wp:align>
            </wp:positionV>
            <wp:extent cx="2669540" cy="389255"/>
            <wp:effectExtent l="0" t="0" r="0" b="0"/>
            <wp:wrapTopAndBottom/>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540"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t>(6)</w:t>
      </w:r>
    </w:p>
    <w:p w14:paraId="16AF7E0F" w14:textId="77777777" w:rsidR="006F6088" w:rsidRDefault="006F6088" w:rsidP="006F6088">
      <w:pPr>
        <w:spacing w:line="240" w:lineRule="auto"/>
      </w:pPr>
    </w:p>
    <w:p w14:paraId="6583B7F3" w14:textId="77777777" w:rsidR="006F6088" w:rsidRDefault="006F6088" w:rsidP="006F6088">
      <w:pPr>
        <w:suppressAutoHyphens w:val="0"/>
        <w:spacing w:after="0" w:line="240" w:lineRule="auto"/>
        <w:contextualSpacing w:val="0"/>
        <w:jc w:val="left"/>
        <w:rPr>
          <w:b/>
          <w:sz w:val="32"/>
        </w:rPr>
      </w:pPr>
      <w:r>
        <w:br w:type="page"/>
      </w:r>
    </w:p>
    <w:p w14:paraId="4A075760" w14:textId="429E68BA" w:rsidR="006F6088" w:rsidRPr="00480713" w:rsidRDefault="006F6088" w:rsidP="006F6088">
      <w:pPr>
        <w:pStyle w:val="Heading2"/>
      </w:pPr>
      <w:r>
        <w:lastRenderedPageBreak/>
        <w:t>Supplementary Tables</w:t>
      </w:r>
    </w:p>
    <w:tbl>
      <w:tblPr>
        <w:tblW w:w="0" w:type="auto"/>
        <w:tblLayout w:type="fixed"/>
        <w:tblCellMar>
          <w:left w:w="0" w:type="dxa"/>
          <w:right w:w="0" w:type="dxa"/>
        </w:tblCellMar>
        <w:tblLook w:val="0000" w:firstRow="0" w:lastRow="0" w:firstColumn="0" w:lastColumn="0" w:noHBand="0" w:noVBand="0"/>
      </w:tblPr>
      <w:tblGrid>
        <w:gridCol w:w="2077"/>
        <w:gridCol w:w="1087"/>
        <w:gridCol w:w="2078"/>
        <w:gridCol w:w="1087"/>
        <w:gridCol w:w="693"/>
        <w:gridCol w:w="2078"/>
      </w:tblGrid>
      <w:tr w:rsidR="006F6088" w:rsidRPr="00480713" w14:paraId="0F4E4680" w14:textId="77777777" w:rsidTr="0025563E">
        <w:tc>
          <w:tcPr>
            <w:tcW w:w="2077" w:type="dxa"/>
            <w:shd w:val="clear" w:color="auto" w:fill="auto"/>
          </w:tcPr>
          <w:p w14:paraId="16AFED99" w14:textId="77777777" w:rsidR="006F6088" w:rsidRPr="00480713" w:rsidRDefault="006F6088" w:rsidP="0025563E">
            <w:pPr>
              <w:spacing w:after="0" w:line="240" w:lineRule="auto"/>
              <w:jc w:val="left"/>
              <w:rPr>
                <w:rFonts w:cs="Times New Roman"/>
                <w:b/>
                <w:bCs/>
                <w:sz w:val="20"/>
                <w:szCs w:val="20"/>
              </w:rPr>
            </w:pPr>
            <w:r w:rsidRPr="00480713">
              <w:rPr>
                <w:rFonts w:cs="Times New Roman"/>
                <w:b/>
                <w:bCs/>
                <w:sz w:val="20"/>
                <w:szCs w:val="20"/>
              </w:rPr>
              <w:t>Treatment</w:t>
            </w:r>
          </w:p>
        </w:tc>
        <w:tc>
          <w:tcPr>
            <w:tcW w:w="1087" w:type="dxa"/>
            <w:shd w:val="clear" w:color="auto" w:fill="auto"/>
          </w:tcPr>
          <w:p w14:paraId="763AB363" w14:textId="77777777" w:rsidR="006F6088" w:rsidRPr="00480713" w:rsidRDefault="006F6088" w:rsidP="0025563E">
            <w:pPr>
              <w:pStyle w:val="Table"/>
              <w:spacing w:before="0" w:line="240" w:lineRule="auto"/>
              <w:jc w:val="left"/>
              <w:rPr>
                <w:rFonts w:cs="Times New Roman"/>
                <w:b/>
                <w:bCs/>
                <w:szCs w:val="20"/>
              </w:rPr>
            </w:pPr>
            <w:r w:rsidRPr="00480713">
              <w:rPr>
                <w:rFonts w:cs="Times New Roman"/>
                <w:b/>
                <w:bCs/>
                <w:szCs w:val="20"/>
              </w:rPr>
              <w:t>Time</w:t>
            </w:r>
          </w:p>
        </w:tc>
        <w:tc>
          <w:tcPr>
            <w:tcW w:w="2078" w:type="dxa"/>
            <w:shd w:val="clear" w:color="auto" w:fill="auto"/>
          </w:tcPr>
          <w:p w14:paraId="4500CEA2" w14:textId="77777777" w:rsidR="006F6088" w:rsidRPr="00480713" w:rsidRDefault="006F6088" w:rsidP="0025563E">
            <w:pPr>
              <w:pStyle w:val="Table"/>
              <w:spacing w:before="0" w:line="240" w:lineRule="auto"/>
              <w:jc w:val="left"/>
              <w:rPr>
                <w:rFonts w:cs="Times New Roman"/>
                <w:b/>
                <w:bCs/>
                <w:szCs w:val="20"/>
              </w:rPr>
            </w:pPr>
            <w:r w:rsidRPr="00480713">
              <w:rPr>
                <w:rFonts w:cs="Times New Roman"/>
                <w:b/>
                <w:bCs/>
                <w:szCs w:val="20"/>
              </w:rPr>
              <w:t>Medication</w:t>
            </w:r>
          </w:p>
        </w:tc>
        <w:tc>
          <w:tcPr>
            <w:tcW w:w="1087" w:type="dxa"/>
            <w:shd w:val="clear" w:color="auto" w:fill="auto"/>
          </w:tcPr>
          <w:p w14:paraId="4B03E575" w14:textId="77777777" w:rsidR="006F6088" w:rsidRPr="00480713" w:rsidRDefault="006F6088" w:rsidP="0025563E">
            <w:pPr>
              <w:pStyle w:val="Table"/>
              <w:spacing w:before="0" w:line="240" w:lineRule="auto"/>
              <w:jc w:val="right"/>
              <w:rPr>
                <w:rFonts w:cs="Times New Roman"/>
                <w:b/>
                <w:bCs/>
                <w:szCs w:val="20"/>
              </w:rPr>
            </w:pPr>
            <w:r w:rsidRPr="00480713">
              <w:rPr>
                <w:rFonts w:cs="Times New Roman"/>
                <w:b/>
                <w:bCs/>
                <w:szCs w:val="20"/>
              </w:rPr>
              <w:t>Count</w:t>
            </w:r>
          </w:p>
        </w:tc>
        <w:tc>
          <w:tcPr>
            <w:tcW w:w="693" w:type="dxa"/>
            <w:shd w:val="clear" w:color="auto" w:fill="auto"/>
          </w:tcPr>
          <w:p w14:paraId="6F8693B7" w14:textId="77777777" w:rsidR="006F6088" w:rsidRPr="00480713" w:rsidRDefault="006F6088" w:rsidP="0025563E">
            <w:pPr>
              <w:pStyle w:val="Table"/>
              <w:spacing w:before="0" w:line="240" w:lineRule="auto"/>
              <w:jc w:val="right"/>
              <w:rPr>
                <w:rFonts w:cs="Times New Roman"/>
                <w:b/>
                <w:bCs/>
                <w:szCs w:val="20"/>
              </w:rPr>
            </w:pPr>
            <w:r w:rsidRPr="00480713">
              <w:rPr>
                <w:rFonts w:cs="Times New Roman"/>
                <w:b/>
                <w:bCs/>
                <w:szCs w:val="20"/>
              </w:rPr>
              <w:t>N</w:t>
            </w:r>
          </w:p>
        </w:tc>
        <w:tc>
          <w:tcPr>
            <w:tcW w:w="2078" w:type="dxa"/>
            <w:shd w:val="clear" w:color="auto" w:fill="auto"/>
          </w:tcPr>
          <w:p w14:paraId="18DDC7FF" w14:textId="77777777" w:rsidR="006F6088" w:rsidRPr="00480713" w:rsidRDefault="006F6088" w:rsidP="0025563E">
            <w:pPr>
              <w:pStyle w:val="Table"/>
              <w:spacing w:before="0" w:line="240" w:lineRule="auto"/>
              <w:jc w:val="right"/>
              <w:rPr>
                <w:rFonts w:cs="Times New Roman"/>
                <w:b/>
                <w:bCs/>
                <w:szCs w:val="20"/>
              </w:rPr>
            </w:pPr>
            <w:r w:rsidRPr="00480713">
              <w:rPr>
                <w:rFonts w:cs="Times New Roman"/>
                <w:b/>
                <w:bCs/>
                <w:szCs w:val="20"/>
              </w:rPr>
              <w:t>Percentage</w:t>
            </w:r>
          </w:p>
        </w:tc>
      </w:tr>
      <w:tr w:rsidR="006F6088" w:rsidRPr="00480713" w14:paraId="777348EF" w14:textId="77777777" w:rsidTr="0025563E">
        <w:tc>
          <w:tcPr>
            <w:tcW w:w="2077" w:type="dxa"/>
            <w:shd w:val="clear" w:color="auto" w:fill="auto"/>
          </w:tcPr>
          <w:p w14:paraId="48F34D34"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38E5A047" w14:textId="5F799450" w:rsidR="006F6088" w:rsidRPr="00480713" w:rsidRDefault="00CB793B" w:rsidP="0025563E">
            <w:pPr>
              <w:pStyle w:val="Table"/>
              <w:spacing w:before="0" w:line="240" w:lineRule="auto"/>
              <w:jc w:val="left"/>
              <w:rPr>
                <w:rFonts w:cs="Times New Roman"/>
                <w:szCs w:val="20"/>
              </w:rPr>
            </w:pPr>
            <w:r w:rsidRPr="00480713">
              <w:rPr>
                <w:rFonts w:cs="Times New Roman"/>
                <w:szCs w:val="20"/>
              </w:rPr>
              <w:t>E</w:t>
            </w:r>
            <w:r w:rsidR="006F6088" w:rsidRPr="00480713">
              <w:rPr>
                <w:rFonts w:cs="Times New Roman"/>
                <w:szCs w:val="20"/>
              </w:rPr>
              <w:t>ntry</w:t>
            </w:r>
          </w:p>
        </w:tc>
        <w:tc>
          <w:tcPr>
            <w:tcW w:w="2078" w:type="dxa"/>
            <w:shd w:val="clear" w:color="auto" w:fill="auto"/>
          </w:tcPr>
          <w:p w14:paraId="5C429C35"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any</w:t>
            </w:r>
          </w:p>
        </w:tc>
        <w:tc>
          <w:tcPr>
            <w:tcW w:w="1087" w:type="dxa"/>
            <w:shd w:val="clear" w:color="auto" w:fill="auto"/>
          </w:tcPr>
          <w:p w14:paraId="026F83FC"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77</w:t>
            </w:r>
          </w:p>
        </w:tc>
        <w:tc>
          <w:tcPr>
            <w:tcW w:w="693" w:type="dxa"/>
            <w:shd w:val="clear" w:color="auto" w:fill="auto"/>
          </w:tcPr>
          <w:p w14:paraId="0B270F2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85</w:t>
            </w:r>
          </w:p>
        </w:tc>
        <w:tc>
          <w:tcPr>
            <w:tcW w:w="2078" w:type="dxa"/>
            <w:shd w:val="clear" w:color="auto" w:fill="auto"/>
          </w:tcPr>
          <w:p w14:paraId="747CEBE9"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0.9</w:t>
            </w:r>
          </w:p>
        </w:tc>
      </w:tr>
      <w:tr w:rsidR="006F6088" w:rsidRPr="00480713" w14:paraId="3EE45D84" w14:textId="77777777" w:rsidTr="0025563E">
        <w:tc>
          <w:tcPr>
            <w:tcW w:w="2077" w:type="dxa"/>
            <w:shd w:val="clear" w:color="auto" w:fill="auto"/>
          </w:tcPr>
          <w:p w14:paraId="1CC2011F"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59B1C552" w14:textId="49674DEF" w:rsidR="006F6088" w:rsidRPr="00480713" w:rsidRDefault="00CB793B" w:rsidP="0025563E">
            <w:pPr>
              <w:pStyle w:val="Table"/>
              <w:spacing w:before="0" w:line="240" w:lineRule="auto"/>
              <w:jc w:val="left"/>
              <w:rPr>
                <w:rFonts w:cs="Times New Roman"/>
                <w:szCs w:val="20"/>
              </w:rPr>
            </w:pPr>
            <w:r w:rsidRPr="00480713">
              <w:rPr>
                <w:rFonts w:cs="Times New Roman"/>
                <w:szCs w:val="20"/>
              </w:rPr>
              <w:t>E</w:t>
            </w:r>
            <w:r w:rsidR="006F6088" w:rsidRPr="00480713">
              <w:rPr>
                <w:rFonts w:cs="Times New Roman"/>
                <w:szCs w:val="20"/>
              </w:rPr>
              <w:t>ntry</w:t>
            </w:r>
          </w:p>
        </w:tc>
        <w:tc>
          <w:tcPr>
            <w:tcW w:w="2078" w:type="dxa"/>
            <w:shd w:val="clear" w:color="auto" w:fill="auto"/>
          </w:tcPr>
          <w:p w14:paraId="13EBCA6F"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any</w:t>
            </w:r>
          </w:p>
        </w:tc>
        <w:tc>
          <w:tcPr>
            <w:tcW w:w="1087" w:type="dxa"/>
            <w:shd w:val="clear" w:color="auto" w:fill="auto"/>
          </w:tcPr>
          <w:p w14:paraId="57C1D08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324</w:t>
            </w:r>
          </w:p>
        </w:tc>
        <w:tc>
          <w:tcPr>
            <w:tcW w:w="693" w:type="dxa"/>
            <w:shd w:val="clear" w:color="auto" w:fill="auto"/>
          </w:tcPr>
          <w:p w14:paraId="41699A78"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356</w:t>
            </w:r>
          </w:p>
        </w:tc>
        <w:tc>
          <w:tcPr>
            <w:tcW w:w="2078" w:type="dxa"/>
            <w:shd w:val="clear" w:color="auto" w:fill="auto"/>
          </w:tcPr>
          <w:p w14:paraId="0B57B5C1"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0.9</w:t>
            </w:r>
          </w:p>
        </w:tc>
      </w:tr>
      <w:tr w:rsidR="006F6088" w:rsidRPr="00480713" w14:paraId="717800F1" w14:textId="77777777" w:rsidTr="0025563E">
        <w:tc>
          <w:tcPr>
            <w:tcW w:w="2077" w:type="dxa"/>
            <w:shd w:val="clear" w:color="auto" w:fill="auto"/>
          </w:tcPr>
          <w:p w14:paraId="59E477D4"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2CD5E8EB" w14:textId="0C1058F0" w:rsidR="006F6088" w:rsidRPr="00480713" w:rsidRDefault="00CB793B" w:rsidP="0025563E">
            <w:pPr>
              <w:pStyle w:val="Table"/>
              <w:spacing w:before="0" w:line="240" w:lineRule="auto"/>
              <w:jc w:val="left"/>
              <w:rPr>
                <w:rFonts w:cs="Times New Roman"/>
                <w:szCs w:val="20"/>
              </w:rPr>
            </w:pPr>
            <w:r w:rsidRPr="00480713">
              <w:rPr>
                <w:rFonts w:cs="Times New Roman"/>
                <w:szCs w:val="20"/>
              </w:rPr>
              <w:t>E</w:t>
            </w:r>
            <w:r w:rsidR="006F6088" w:rsidRPr="00480713">
              <w:rPr>
                <w:rFonts w:cs="Times New Roman"/>
                <w:szCs w:val="20"/>
              </w:rPr>
              <w:t>ntry</w:t>
            </w:r>
          </w:p>
        </w:tc>
        <w:tc>
          <w:tcPr>
            <w:tcW w:w="2078" w:type="dxa"/>
            <w:shd w:val="clear" w:color="auto" w:fill="auto"/>
          </w:tcPr>
          <w:p w14:paraId="25553E3D"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clozapine</w:t>
            </w:r>
          </w:p>
        </w:tc>
        <w:tc>
          <w:tcPr>
            <w:tcW w:w="1087" w:type="dxa"/>
            <w:shd w:val="clear" w:color="auto" w:fill="auto"/>
          </w:tcPr>
          <w:p w14:paraId="52416CD8"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w:t>
            </w:r>
          </w:p>
        </w:tc>
        <w:tc>
          <w:tcPr>
            <w:tcW w:w="693" w:type="dxa"/>
            <w:shd w:val="clear" w:color="auto" w:fill="auto"/>
          </w:tcPr>
          <w:p w14:paraId="32F98DA2"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85</w:t>
            </w:r>
          </w:p>
        </w:tc>
        <w:tc>
          <w:tcPr>
            <w:tcW w:w="2078" w:type="dxa"/>
            <w:shd w:val="clear" w:color="auto" w:fill="auto"/>
          </w:tcPr>
          <w:p w14:paraId="2ABB60A9"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0.1</w:t>
            </w:r>
          </w:p>
        </w:tc>
      </w:tr>
      <w:tr w:rsidR="006F6088" w:rsidRPr="00480713" w14:paraId="5E7F9032" w14:textId="77777777" w:rsidTr="0025563E">
        <w:tc>
          <w:tcPr>
            <w:tcW w:w="2077" w:type="dxa"/>
            <w:shd w:val="clear" w:color="auto" w:fill="auto"/>
          </w:tcPr>
          <w:p w14:paraId="23C91DAE"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75846710" w14:textId="6505BAA3" w:rsidR="006F6088" w:rsidRPr="00480713" w:rsidRDefault="00CB793B" w:rsidP="0025563E">
            <w:pPr>
              <w:pStyle w:val="Table"/>
              <w:spacing w:before="0" w:line="240" w:lineRule="auto"/>
              <w:jc w:val="left"/>
              <w:rPr>
                <w:rFonts w:cs="Times New Roman"/>
                <w:szCs w:val="20"/>
              </w:rPr>
            </w:pPr>
            <w:r w:rsidRPr="00480713">
              <w:rPr>
                <w:rFonts w:cs="Times New Roman"/>
                <w:szCs w:val="20"/>
              </w:rPr>
              <w:t>E</w:t>
            </w:r>
            <w:r w:rsidR="006F6088" w:rsidRPr="00480713">
              <w:rPr>
                <w:rFonts w:cs="Times New Roman"/>
                <w:szCs w:val="20"/>
              </w:rPr>
              <w:t>ntry</w:t>
            </w:r>
          </w:p>
        </w:tc>
        <w:tc>
          <w:tcPr>
            <w:tcW w:w="2078" w:type="dxa"/>
            <w:shd w:val="clear" w:color="auto" w:fill="auto"/>
          </w:tcPr>
          <w:p w14:paraId="7372BC42"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clozapine</w:t>
            </w:r>
          </w:p>
        </w:tc>
        <w:tc>
          <w:tcPr>
            <w:tcW w:w="1087" w:type="dxa"/>
            <w:shd w:val="clear" w:color="auto" w:fill="auto"/>
          </w:tcPr>
          <w:p w14:paraId="13AD1C1A"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35</w:t>
            </w:r>
          </w:p>
        </w:tc>
        <w:tc>
          <w:tcPr>
            <w:tcW w:w="693" w:type="dxa"/>
            <w:shd w:val="clear" w:color="auto" w:fill="auto"/>
          </w:tcPr>
          <w:p w14:paraId="731BC91D"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356</w:t>
            </w:r>
          </w:p>
        </w:tc>
        <w:tc>
          <w:tcPr>
            <w:tcW w:w="2078" w:type="dxa"/>
            <w:shd w:val="clear" w:color="auto" w:fill="auto"/>
          </w:tcPr>
          <w:p w14:paraId="0BFF5C2B"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0.1</w:t>
            </w:r>
          </w:p>
        </w:tc>
      </w:tr>
      <w:tr w:rsidR="006F6088" w:rsidRPr="00480713" w14:paraId="6F381A44" w14:textId="77777777" w:rsidTr="0025563E">
        <w:tc>
          <w:tcPr>
            <w:tcW w:w="2077" w:type="dxa"/>
            <w:shd w:val="clear" w:color="auto" w:fill="auto"/>
          </w:tcPr>
          <w:p w14:paraId="5ECBBF4E"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4976F7D1" w14:textId="556FD7AA" w:rsidR="006F6088" w:rsidRPr="00480713" w:rsidRDefault="00CB793B" w:rsidP="0025563E">
            <w:pPr>
              <w:pStyle w:val="Table"/>
              <w:spacing w:before="0" w:line="240" w:lineRule="auto"/>
              <w:jc w:val="left"/>
              <w:rPr>
                <w:rFonts w:cs="Times New Roman"/>
                <w:szCs w:val="20"/>
              </w:rPr>
            </w:pPr>
            <w:r w:rsidRPr="00480713">
              <w:rPr>
                <w:rFonts w:cs="Times New Roman"/>
                <w:szCs w:val="20"/>
              </w:rPr>
              <w:t>E</w:t>
            </w:r>
            <w:r w:rsidR="006F6088" w:rsidRPr="00480713">
              <w:rPr>
                <w:rFonts w:cs="Times New Roman"/>
                <w:szCs w:val="20"/>
              </w:rPr>
              <w:t>ntry</w:t>
            </w:r>
          </w:p>
        </w:tc>
        <w:tc>
          <w:tcPr>
            <w:tcW w:w="2078" w:type="dxa"/>
            <w:shd w:val="clear" w:color="auto" w:fill="auto"/>
          </w:tcPr>
          <w:p w14:paraId="740DD6A7"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LAI</w:t>
            </w:r>
          </w:p>
        </w:tc>
        <w:tc>
          <w:tcPr>
            <w:tcW w:w="1087" w:type="dxa"/>
            <w:shd w:val="clear" w:color="auto" w:fill="auto"/>
          </w:tcPr>
          <w:p w14:paraId="51F0BAAE"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27</w:t>
            </w:r>
          </w:p>
        </w:tc>
        <w:tc>
          <w:tcPr>
            <w:tcW w:w="693" w:type="dxa"/>
            <w:shd w:val="clear" w:color="auto" w:fill="auto"/>
          </w:tcPr>
          <w:p w14:paraId="1B368259"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85</w:t>
            </w:r>
          </w:p>
        </w:tc>
        <w:tc>
          <w:tcPr>
            <w:tcW w:w="2078" w:type="dxa"/>
            <w:shd w:val="clear" w:color="auto" w:fill="auto"/>
          </w:tcPr>
          <w:p w14:paraId="153361B5"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0.3</w:t>
            </w:r>
          </w:p>
        </w:tc>
      </w:tr>
      <w:tr w:rsidR="006F6088" w:rsidRPr="00480713" w14:paraId="21403AF2" w14:textId="77777777" w:rsidTr="0025563E">
        <w:tc>
          <w:tcPr>
            <w:tcW w:w="2077" w:type="dxa"/>
            <w:shd w:val="clear" w:color="auto" w:fill="auto"/>
          </w:tcPr>
          <w:p w14:paraId="5654A7C6"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08B5478D" w14:textId="3BE087BB" w:rsidR="006F6088" w:rsidRPr="00480713" w:rsidRDefault="00CB793B" w:rsidP="0025563E">
            <w:pPr>
              <w:pStyle w:val="Table"/>
              <w:spacing w:before="0" w:line="240" w:lineRule="auto"/>
              <w:jc w:val="left"/>
              <w:rPr>
                <w:rFonts w:cs="Times New Roman"/>
                <w:szCs w:val="20"/>
              </w:rPr>
            </w:pPr>
            <w:r w:rsidRPr="00480713">
              <w:rPr>
                <w:rFonts w:cs="Times New Roman"/>
                <w:szCs w:val="20"/>
              </w:rPr>
              <w:t>E</w:t>
            </w:r>
            <w:r w:rsidR="006F6088" w:rsidRPr="00480713">
              <w:rPr>
                <w:rFonts w:cs="Times New Roman"/>
                <w:szCs w:val="20"/>
              </w:rPr>
              <w:t>ntry</w:t>
            </w:r>
          </w:p>
        </w:tc>
        <w:tc>
          <w:tcPr>
            <w:tcW w:w="2078" w:type="dxa"/>
            <w:shd w:val="clear" w:color="auto" w:fill="auto"/>
          </w:tcPr>
          <w:p w14:paraId="2D869FED"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LAI</w:t>
            </w:r>
          </w:p>
        </w:tc>
        <w:tc>
          <w:tcPr>
            <w:tcW w:w="1087" w:type="dxa"/>
            <w:shd w:val="clear" w:color="auto" w:fill="auto"/>
          </w:tcPr>
          <w:p w14:paraId="20B20750"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110</w:t>
            </w:r>
          </w:p>
        </w:tc>
        <w:tc>
          <w:tcPr>
            <w:tcW w:w="693" w:type="dxa"/>
            <w:shd w:val="clear" w:color="auto" w:fill="auto"/>
          </w:tcPr>
          <w:p w14:paraId="68CF551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356</w:t>
            </w:r>
          </w:p>
        </w:tc>
        <w:tc>
          <w:tcPr>
            <w:tcW w:w="2078" w:type="dxa"/>
            <w:shd w:val="clear" w:color="auto" w:fill="auto"/>
          </w:tcPr>
          <w:p w14:paraId="750022B4"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0.3</w:t>
            </w:r>
          </w:p>
        </w:tc>
      </w:tr>
      <w:tr w:rsidR="006F6088" w:rsidRPr="00480713" w14:paraId="1107357C" w14:textId="77777777" w:rsidTr="0025563E">
        <w:tc>
          <w:tcPr>
            <w:tcW w:w="2077" w:type="dxa"/>
            <w:shd w:val="clear" w:color="auto" w:fill="auto"/>
          </w:tcPr>
          <w:p w14:paraId="38220A97"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0CFD10EF"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3mo</w:t>
            </w:r>
          </w:p>
        </w:tc>
        <w:tc>
          <w:tcPr>
            <w:tcW w:w="2078" w:type="dxa"/>
            <w:shd w:val="clear" w:color="auto" w:fill="auto"/>
          </w:tcPr>
          <w:p w14:paraId="637F5EA3"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any</w:t>
            </w:r>
          </w:p>
        </w:tc>
        <w:tc>
          <w:tcPr>
            <w:tcW w:w="1087" w:type="dxa"/>
            <w:shd w:val="clear" w:color="auto" w:fill="auto"/>
          </w:tcPr>
          <w:p w14:paraId="285E8DCD"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64</w:t>
            </w:r>
          </w:p>
        </w:tc>
        <w:tc>
          <w:tcPr>
            <w:tcW w:w="693" w:type="dxa"/>
            <w:shd w:val="clear" w:color="auto" w:fill="auto"/>
          </w:tcPr>
          <w:p w14:paraId="4E72AB3E"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80</w:t>
            </w:r>
          </w:p>
        </w:tc>
        <w:tc>
          <w:tcPr>
            <w:tcW w:w="2078" w:type="dxa"/>
            <w:shd w:val="clear" w:color="auto" w:fill="auto"/>
          </w:tcPr>
          <w:p w14:paraId="20204517"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0.8</w:t>
            </w:r>
          </w:p>
        </w:tc>
      </w:tr>
      <w:tr w:rsidR="006F6088" w:rsidRPr="00480713" w14:paraId="39D93F43" w14:textId="77777777" w:rsidTr="0025563E">
        <w:tc>
          <w:tcPr>
            <w:tcW w:w="2077" w:type="dxa"/>
            <w:shd w:val="clear" w:color="auto" w:fill="auto"/>
          </w:tcPr>
          <w:p w14:paraId="5C9B9D61"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58F16914"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3mo</w:t>
            </w:r>
          </w:p>
        </w:tc>
        <w:tc>
          <w:tcPr>
            <w:tcW w:w="2078" w:type="dxa"/>
            <w:shd w:val="clear" w:color="auto" w:fill="auto"/>
          </w:tcPr>
          <w:p w14:paraId="4059121C"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any</w:t>
            </w:r>
          </w:p>
        </w:tc>
        <w:tc>
          <w:tcPr>
            <w:tcW w:w="1087" w:type="dxa"/>
            <w:shd w:val="clear" w:color="auto" w:fill="auto"/>
          </w:tcPr>
          <w:p w14:paraId="3418A0F4"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272</w:t>
            </w:r>
          </w:p>
        </w:tc>
        <w:tc>
          <w:tcPr>
            <w:tcW w:w="693" w:type="dxa"/>
            <w:shd w:val="clear" w:color="auto" w:fill="auto"/>
          </w:tcPr>
          <w:p w14:paraId="2FE36FE2"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308</w:t>
            </w:r>
          </w:p>
        </w:tc>
        <w:tc>
          <w:tcPr>
            <w:tcW w:w="2078" w:type="dxa"/>
            <w:shd w:val="clear" w:color="auto" w:fill="auto"/>
          </w:tcPr>
          <w:p w14:paraId="4347F044"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0.9</w:t>
            </w:r>
          </w:p>
        </w:tc>
      </w:tr>
      <w:tr w:rsidR="006F6088" w:rsidRPr="00480713" w14:paraId="232E84F8" w14:textId="77777777" w:rsidTr="0025563E">
        <w:tc>
          <w:tcPr>
            <w:tcW w:w="2077" w:type="dxa"/>
            <w:shd w:val="clear" w:color="auto" w:fill="auto"/>
          </w:tcPr>
          <w:p w14:paraId="5E5CD005"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29A53220"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3mo</w:t>
            </w:r>
          </w:p>
        </w:tc>
        <w:tc>
          <w:tcPr>
            <w:tcW w:w="2078" w:type="dxa"/>
            <w:shd w:val="clear" w:color="auto" w:fill="auto"/>
          </w:tcPr>
          <w:p w14:paraId="4180B517"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clozapine</w:t>
            </w:r>
          </w:p>
        </w:tc>
        <w:tc>
          <w:tcPr>
            <w:tcW w:w="1087" w:type="dxa"/>
            <w:shd w:val="clear" w:color="auto" w:fill="auto"/>
          </w:tcPr>
          <w:p w14:paraId="01B0076E"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6</w:t>
            </w:r>
          </w:p>
        </w:tc>
        <w:tc>
          <w:tcPr>
            <w:tcW w:w="693" w:type="dxa"/>
            <w:shd w:val="clear" w:color="auto" w:fill="auto"/>
          </w:tcPr>
          <w:p w14:paraId="5919B2CB"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80</w:t>
            </w:r>
          </w:p>
        </w:tc>
        <w:tc>
          <w:tcPr>
            <w:tcW w:w="2078" w:type="dxa"/>
            <w:shd w:val="clear" w:color="auto" w:fill="auto"/>
          </w:tcPr>
          <w:p w14:paraId="49ECF98D"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0.1</w:t>
            </w:r>
          </w:p>
        </w:tc>
      </w:tr>
      <w:tr w:rsidR="006F6088" w:rsidRPr="00480713" w14:paraId="7ADC3C8F" w14:textId="77777777" w:rsidTr="0025563E">
        <w:tc>
          <w:tcPr>
            <w:tcW w:w="2077" w:type="dxa"/>
            <w:shd w:val="clear" w:color="auto" w:fill="auto"/>
          </w:tcPr>
          <w:p w14:paraId="4AAFE367"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58B3C0EE"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3mo</w:t>
            </w:r>
          </w:p>
        </w:tc>
        <w:tc>
          <w:tcPr>
            <w:tcW w:w="2078" w:type="dxa"/>
            <w:shd w:val="clear" w:color="auto" w:fill="auto"/>
          </w:tcPr>
          <w:p w14:paraId="02FD547D"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clozapine</w:t>
            </w:r>
          </w:p>
        </w:tc>
        <w:tc>
          <w:tcPr>
            <w:tcW w:w="1087" w:type="dxa"/>
            <w:shd w:val="clear" w:color="auto" w:fill="auto"/>
          </w:tcPr>
          <w:p w14:paraId="4B9EF3B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37</w:t>
            </w:r>
          </w:p>
        </w:tc>
        <w:tc>
          <w:tcPr>
            <w:tcW w:w="693" w:type="dxa"/>
            <w:shd w:val="clear" w:color="auto" w:fill="auto"/>
          </w:tcPr>
          <w:p w14:paraId="2BF85EB8"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308</w:t>
            </w:r>
          </w:p>
        </w:tc>
        <w:tc>
          <w:tcPr>
            <w:tcW w:w="2078" w:type="dxa"/>
            <w:shd w:val="clear" w:color="auto" w:fill="auto"/>
          </w:tcPr>
          <w:p w14:paraId="72567BE7"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0.1</w:t>
            </w:r>
          </w:p>
        </w:tc>
      </w:tr>
      <w:tr w:rsidR="006F6088" w:rsidRPr="00480713" w14:paraId="68F76486" w14:textId="77777777" w:rsidTr="0025563E">
        <w:tc>
          <w:tcPr>
            <w:tcW w:w="2077" w:type="dxa"/>
            <w:shd w:val="clear" w:color="auto" w:fill="auto"/>
          </w:tcPr>
          <w:p w14:paraId="6E0C2CA9"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641A5331"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3mo</w:t>
            </w:r>
          </w:p>
        </w:tc>
        <w:tc>
          <w:tcPr>
            <w:tcW w:w="2078" w:type="dxa"/>
            <w:shd w:val="clear" w:color="auto" w:fill="auto"/>
          </w:tcPr>
          <w:p w14:paraId="60F66C1F"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LAI</w:t>
            </w:r>
          </w:p>
        </w:tc>
        <w:tc>
          <w:tcPr>
            <w:tcW w:w="1087" w:type="dxa"/>
            <w:shd w:val="clear" w:color="auto" w:fill="auto"/>
          </w:tcPr>
          <w:p w14:paraId="689EBBA0"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28</w:t>
            </w:r>
          </w:p>
        </w:tc>
        <w:tc>
          <w:tcPr>
            <w:tcW w:w="693" w:type="dxa"/>
            <w:shd w:val="clear" w:color="auto" w:fill="auto"/>
          </w:tcPr>
          <w:p w14:paraId="2C90C537"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80</w:t>
            </w:r>
          </w:p>
        </w:tc>
        <w:tc>
          <w:tcPr>
            <w:tcW w:w="2078" w:type="dxa"/>
            <w:shd w:val="clear" w:color="auto" w:fill="auto"/>
          </w:tcPr>
          <w:p w14:paraId="48EA8B8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0.3</w:t>
            </w:r>
          </w:p>
        </w:tc>
      </w:tr>
      <w:tr w:rsidR="006F6088" w:rsidRPr="00480713" w14:paraId="37CFFD10" w14:textId="77777777" w:rsidTr="0025563E">
        <w:tc>
          <w:tcPr>
            <w:tcW w:w="2077" w:type="dxa"/>
            <w:shd w:val="clear" w:color="auto" w:fill="auto"/>
          </w:tcPr>
          <w:p w14:paraId="75D86881"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0A2E186C"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3mo</w:t>
            </w:r>
          </w:p>
        </w:tc>
        <w:tc>
          <w:tcPr>
            <w:tcW w:w="2078" w:type="dxa"/>
            <w:shd w:val="clear" w:color="auto" w:fill="auto"/>
          </w:tcPr>
          <w:p w14:paraId="256BAEF1"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LAI</w:t>
            </w:r>
          </w:p>
        </w:tc>
        <w:tc>
          <w:tcPr>
            <w:tcW w:w="1087" w:type="dxa"/>
            <w:shd w:val="clear" w:color="auto" w:fill="auto"/>
          </w:tcPr>
          <w:p w14:paraId="2F2326DF"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89</w:t>
            </w:r>
          </w:p>
        </w:tc>
        <w:tc>
          <w:tcPr>
            <w:tcW w:w="693" w:type="dxa"/>
            <w:shd w:val="clear" w:color="auto" w:fill="auto"/>
          </w:tcPr>
          <w:p w14:paraId="72971240"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308</w:t>
            </w:r>
          </w:p>
        </w:tc>
        <w:tc>
          <w:tcPr>
            <w:tcW w:w="2078" w:type="dxa"/>
            <w:shd w:val="clear" w:color="auto" w:fill="auto"/>
          </w:tcPr>
          <w:p w14:paraId="28A407E7"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0.3</w:t>
            </w:r>
          </w:p>
        </w:tc>
      </w:tr>
      <w:tr w:rsidR="006F6088" w:rsidRPr="00480713" w14:paraId="4932EF3D" w14:textId="77777777" w:rsidTr="0025563E">
        <w:tc>
          <w:tcPr>
            <w:tcW w:w="2077" w:type="dxa"/>
            <w:shd w:val="clear" w:color="auto" w:fill="auto"/>
          </w:tcPr>
          <w:p w14:paraId="412C27FA"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56068181"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6mo</w:t>
            </w:r>
          </w:p>
        </w:tc>
        <w:tc>
          <w:tcPr>
            <w:tcW w:w="2078" w:type="dxa"/>
            <w:shd w:val="clear" w:color="auto" w:fill="auto"/>
          </w:tcPr>
          <w:p w14:paraId="52A309FA"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any</w:t>
            </w:r>
          </w:p>
        </w:tc>
        <w:tc>
          <w:tcPr>
            <w:tcW w:w="1087" w:type="dxa"/>
            <w:shd w:val="clear" w:color="auto" w:fill="auto"/>
          </w:tcPr>
          <w:p w14:paraId="53C2AD09"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68</w:t>
            </w:r>
          </w:p>
        </w:tc>
        <w:tc>
          <w:tcPr>
            <w:tcW w:w="693" w:type="dxa"/>
            <w:shd w:val="clear" w:color="auto" w:fill="auto"/>
          </w:tcPr>
          <w:p w14:paraId="6E751DB7"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81</w:t>
            </w:r>
          </w:p>
        </w:tc>
        <w:tc>
          <w:tcPr>
            <w:tcW w:w="2078" w:type="dxa"/>
            <w:shd w:val="clear" w:color="auto" w:fill="auto"/>
          </w:tcPr>
          <w:p w14:paraId="1E01E174"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0.8</w:t>
            </w:r>
          </w:p>
        </w:tc>
      </w:tr>
      <w:tr w:rsidR="006F6088" w:rsidRPr="00480713" w14:paraId="287E3EFE" w14:textId="77777777" w:rsidTr="0025563E">
        <w:tc>
          <w:tcPr>
            <w:tcW w:w="2077" w:type="dxa"/>
            <w:shd w:val="clear" w:color="auto" w:fill="auto"/>
          </w:tcPr>
          <w:p w14:paraId="4210D7AB"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1B2E932A"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6mo</w:t>
            </w:r>
          </w:p>
        </w:tc>
        <w:tc>
          <w:tcPr>
            <w:tcW w:w="2078" w:type="dxa"/>
            <w:shd w:val="clear" w:color="auto" w:fill="auto"/>
          </w:tcPr>
          <w:p w14:paraId="64D07624"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any</w:t>
            </w:r>
          </w:p>
        </w:tc>
        <w:tc>
          <w:tcPr>
            <w:tcW w:w="1087" w:type="dxa"/>
            <w:shd w:val="clear" w:color="auto" w:fill="auto"/>
          </w:tcPr>
          <w:p w14:paraId="2C5132A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289</w:t>
            </w:r>
          </w:p>
        </w:tc>
        <w:tc>
          <w:tcPr>
            <w:tcW w:w="693" w:type="dxa"/>
            <w:shd w:val="clear" w:color="auto" w:fill="auto"/>
          </w:tcPr>
          <w:p w14:paraId="4210CF8A"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330</w:t>
            </w:r>
          </w:p>
        </w:tc>
        <w:tc>
          <w:tcPr>
            <w:tcW w:w="2078" w:type="dxa"/>
            <w:shd w:val="clear" w:color="auto" w:fill="auto"/>
          </w:tcPr>
          <w:p w14:paraId="19F6B4AE"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0.9</w:t>
            </w:r>
          </w:p>
        </w:tc>
      </w:tr>
      <w:tr w:rsidR="006F6088" w:rsidRPr="00480713" w14:paraId="190E0C02" w14:textId="77777777" w:rsidTr="0025563E">
        <w:tc>
          <w:tcPr>
            <w:tcW w:w="2077" w:type="dxa"/>
            <w:shd w:val="clear" w:color="auto" w:fill="auto"/>
          </w:tcPr>
          <w:p w14:paraId="0E437091"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4C42196E"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6mo</w:t>
            </w:r>
          </w:p>
        </w:tc>
        <w:tc>
          <w:tcPr>
            <w:tcW w:w="2078" w:type="dxa"/>
            <w:shd w:val="clear" w:color="auto" w:fill="auto"/>
          </w:tcPr>
          <w:p w14:paraId="1ED677FD"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clozapine</w:t>
            </w:r>
          </w:p>
        </w:tc>
        <w:tc>
          <w:tcPr>
            <w:tcW w:w="1087" w:type="dxa"/>
            <w:shd w:val="clear" w:color="auto" w:fill="auto"/>
          </w:tcPr>
          <w:p w14:paraId="24C5F563"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9</w:t>
            </w:r>
          </w:p>
        </w:tc>
        <w:tc>
          <w:tcPr>
            <w:tcW w:w="693" w:type="dxa"/>
            <w:shd w:val="clear" w:color="auto" w:fill="auto"/>
          </w:tcPr>
          <w:p w14:paraId="59638D9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81</w:t>
            </w:r>
          </w:p>
        </w:tc>
        <w:tc>
          <w:tcPr>
            <w:tcW w:w="2078" w:type="dxa"/>
            <w:shd w:val="clear" w:color="auto" w:fill="auto"/>
          </w:tcPr>
          <w:p w14:paraId="5B3B9D4A"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0.1</w:t>
            </w:r>
          </w:p>
        </w:tc>
      </w:tr>
      <w:tr w:rsidR="006F6088" w:rsidRPr="00480713" w14:paraId="409C518F" w14:textId="77777777" w:rsidTr="0025563E">
        <w:tc>
          <w:tcPr>
            <w:tcW w:w="2077" w:type="dxa"/>
            <w:shd w:val="clear" w:color="auto" w:fill="auto"/>
          </w:tcPr>
          <w:p w14:paraId="4AEF6053"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5C4F2173"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6mo</w:t>
            </w:r>
          </w:p>
        </w:tc>
        <w:tc>
          <w:tcPr>
            <w:tcW w:w="2078" w:type="dxa"/>
            <w:shd w:val="clear" w:color="auto" w:fill="auto"/>
          </w:tcPr>
          <w:p w14:paraId="62C315B0"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clozapine</w:t>
            </w:r>
          </w:p>
        </w:tc>
        <w:tc>
          <w:tcPr>
            <w:tcW w:w="1087" w:type="dxa"/>
            <w:shd w:val="clear" w:color="auto" w:fill="auto"/>
          </w:tcPr>
          <w:p w14:paraId="7123E3C4"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48</w:t>
            </w:r>
          </w:p>
        </w:tc>
        <w:tc>
          <w:tcPr>
            <w:tcW w:w="693" w:type="dxa"/>
            <w:shd w:val="clear" w:color="auto" w:fill="auto"/>
          </w:tcPr>
          <w:p w14:paraId="08E5C673"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330</w:t>
            </w:r>
          </w:p>
        </w:tc>
        <w:tc>
          <w:tcPr>
            <w:tcW w:w="2078" w:type="dxa"/>
            <w:shd w:val="clear" w:color="auto" w:fill="auto"/>
          </w:tcPr>
          <w:p w14:paraId="71FAE126"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0.1</w:t>
            </w:r>
          </w:p>
        </w:tc>
      </w:tr>
      <w:tr w:rsidR="006F6088" w:rsidRPr="00480713" w14:paraId="7B1FF03F" w14:textId="77777777" w:rsidTr="0025563E">
        <w:tc>
          <w:tcPr>
            <w:tcW w:w="2077" w:type="dxa"/>
            <w:shd w:val="clear" w:color="auto" w:fill="auto"/>
          </w:tcPr>
          <w:p w14:paraId="47F1C460"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SRG</w:t>
            </w:r>
          </w:p>
        </w:tc>
        <w:tc>
          <w:tcPr>
            <w:tcW w:w="1087" w:type="dxa"/>
            <w:shd w:val="clear" w:color="auto" w:fill="auto"/>
          </w:tcPr>
          <w:p w14:paraId="21076028"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6mo</w:t>
            </w:r>
          </w:p>
        </w:tc>
        <w:tc>
          <w:tcPr>
            <w:tcW w:w="2078" w:type="dxa"/>
            <w:shd w:val="clear" w:color="auto" w:fill="auto"/>
          </w:tcPr>
          <w:p w14:paraId="3300AABC"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LAI</w:t>
            </w:r>
          </w:p>
        </w:tc>
        <w:tc>
          <w:tcPr>
            <w:tcW w:w="1087" w:type="dxa"/>
            <w:shd w:val="clear" w:color="auto" w:fill="auto"/>
          </w:tcPr>
          <w:p w14:paraId="3BA2BDB9"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24</w:t>
            </w:r>
          </w:p>
        </w:tc>
        <w:tc>
          <w:tcPr>
            <w:tcW w:w="693" w:type="dxa"/>
            <w:shd w:val="clear" w:color="auto" w:fill="auto"/>
          </w:tcPr>
          <w:p w14:paraId="6D552A5C"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81</w:t>
            </w:r>
          </w:p>
        </w:tc>
        <w:tc>
          <w:tcPr>
            <w:tcW w:w="2078" w:type="dxa"/>
            <w:shd w:val="clear" w:color="auto" w:fill="auto"/>
          </w:tcPr>
          <w:p w14:paraId="7747088D"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0.3</w:t>
            </w:r>
          </w:p>
        </w:tc>
      </w:tr>
      <w:tr w:rsidR="006F6088" w:rsidRPr="00480713" w14:paraId="40E1A352" w14:textId="77777777" w:rsidTr="0025563E">
        <w:tc>
          <w:tcPr>
            <w:tcW w:w="2077" w:type="dxa"/>
            <w:shd w:val="clear" w:color="auto" w:fill="auto"/>
          </w:tcPr>
          <w:p w14:paraId="135097CD" w14:textId="77777777" w:rsidR="006F6088" w:rsidRPr="00480713" w:rsidRDefault="006F6088" w:rsidP="0025563E">
            <w:pPr>
              <w:spacing w:after="0" w:line="240" w:lineRule="auto"/>
              <w:jc w:val="left"/>
              <w:rPr>
                <w:rFonts w:cs="Times New Roman"/>
                <w:sz w:val="20"/>
                <w:szCs w:val="20"/>
              </w:rPr>
            </w:pPr>
            <w:r w:rsidRPr="00480713">
              <w:rPr>
                <w:rFonts w:cs="Times New Roman"/>
                <w:sz w:val="20"/>
                <w:szCs w:val="20"/>
              </w:rPr>
              <w:t>HTP</w:t>
            </w:r>
          </w:p>
        </w:tc>
        <w:tc>
          <w:tcPr>
            <w:tcW w:w="1087" w:type="dxa"/>
            <w:shd w:val="clear" w:color="auto" w:fill="auto"/>
          </w:tcPr>
          <w:p w14:paraId="15DC5124"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6mo</w:t>
            </w:r>
          </w:p>
        </w:tc>
        <w:tc>
          <w:tcPr>
            <w:tcW w:w="2078" w:type="dxa"/>
            <w:shd w:val="clear" w:color="auto" w:fill="auto"/>
          </w:tcPr>
          <w:p w14:paraId="4021985C" w14:textId="77777777" w:rsidR="006F6088" w:rsidRPr="00480713" w:rsidRDefault="006F6088" w:rsidP="0025563E">
            <w:pPr>
              <w:pStyle w:val="Table"/>
              <w:spacing w:before="0" w:line="240" w:lineRule="auto"/>
              <w:jc w:val="left"/>
              <w:rPr>
                <w:rFonts w:cs="Times New Roman"/>
                <w:szCs w:val="20"/>
              </w:rPr>
            </w:pPr>
            <w:r w:rsidRPr="00480713">
              <w:rPr>
                <w:rFonts w:cs="Times New Roman"/>
                <w:szCs w:val="20"/>
              </w:rPr>
              <w:t>LAI</w:t>
            </w:r>
          </w:p>
        </w:tc>
        <w:tc>
          <w:tcPr>
            <w:tcW w:w="1087" w:type="dxa"/>
            <w:shd w:val="clear" w:color="auto" w:fill="auto"/>
          </w:tcPr>
          <w:p w14:paraId="63DEE9CC"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93</w:t>
            </w:r>
          </w:p>
        </w:tc>
        <w:tc>
          <w:tcPr>
            <w:tcW w:w="693" w:type="dxa"/>
            <w:shd w:val="clear" w:color="auto" w:fill="auto"/>
          </w:tcPr>
          <w:p w14:paraId="79BC11EB"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330</w:t>
            </w:r>
          </w:p>
        </w:tc>
        <w:tc>
          <w:tcPr>
            <w:tcW w:w="2078" w:type="dxa"/>
            <w:shd w:val="clear" w:color="auto" w:fill="auto"/>
          </w:tcPr>
          <w:p w14:paraId="3F086A45" w14:textId="77777777" w:rsidR="006F6088" w:rsidRPr="00480713" w:rsidRDefault="006F6088" w:rsidP="0025563E">
            <w:pPr>
              <w:pStyle w:val="Table"/>
              <w:spacing w:before="0" w:line="240" w:lineRule="auto"/>
              <w:jc w:val="right"/>
              <w:rPr>
                <w:rFonts w:cs="Times New Roman"/>
                <w:szCs w:val="20"/>
              </w:rPr>
            </w:pPr>
            <w:r w:rsidRPr="00480713">
              <w:rPr>
                <w:rFonts w:cs="Times New Roman"/>
                <w:szCs w:val="20"/>
              </w:rPr>
              <w:t>0.3</w:t>
            </w:r>
          </w:p>
        </w:tc>
      </w:tr>
    </w:tbl>
    <w:p w14:paraId="520143C5" w14:textId="23C36507" w:rsidR="006F6088" w:rsidRDefault="006F6088" w:rsidP="006F6088">
      <w:pPr>
        <w:pStyle w:val="caption"/>
        <w:spacing w:line="240" w:lineRule="auto"/>
        <w:rPr>
          <w:b/>
          <w:sz w:val="32"/>
        </w:rPr>
      </w:pPr>
      <w:r>
        <w:rPr>
          <w:b/>
        </w:rPr>
        <w:t xml:space="preserve">Table </w:t>
      </w:r>
      <w:r w:rsidR="00304B47">
        <w:rPr>
          <w:b/>
        </w:rPr>
        <w:t>S</w:t>
      </w:r>
      <w:r>
        <w:rPr>
          <w:b/>
        </w:rPr>
        <w:t>1:</w:t>
      </w:r>
      <w:r>
        <w:t xml:space="preserve"> </w:t>
      </w:r>
      <w:r>
        <w:rPr>
          <w:b/>
        </w:rPr>
        <w:t>Medication overview</w:t>
      </w:r>
      <w:r>
        <w:fldChar w:fldCharType="begin"/>
      </w:r>
      <w:r>
        <w:instrText xml:space="preserve"> TC "1 Medication overview" \l 1 </w:instrText>
      </w:r>
      <w:r>
        <w:fldChar w:fldCharType="end"/>
      </w:r>
    </w:p>
    <w:p w14:paraId="1591CFF5" w14:textId="77777777" w:rsidR="006F6088" w:rsidRDefault="006F6088" w:rsidP="006F6088">
      <w:pPr>
        <w:suppressAutoHyphens w:val="0"/>
        <w:spacing w:after="0" w:line="240" w:lineRule="auto"/>
        <w:contextualSpacing w:val="0"/>
        <w:jc w:val="left"/>
        <w:rPr>
          <w:b/>
          <w:sz w:val="32"/>
        </w:rPr>
      </w:pPr>
      <w:r>
        <w:br w:type="page"/>
      </w:r>
    </w:p>
    <w:p w14:paraId="15E3B95B" w14:textId="77777777" w:rsidR="006F6088" w:rsidRDefault="006F6088" w:rsidP="006F6088">
      <w:pPr>
        <w:pStyle w:val="Heading3"/>
        <w:spacing w:before="360" w:after="120" w:line="240" w:lineRule="auto"/>
      </w:pPr>
      <w:r>
        <w:lastRenderedPageBreak/>
        <w:t>Supplementary Figures</w:t>
      </w:r>
    </w:p>
    <w:p w14:paraId="5C4A993F" w14:textId="77777777" w:rsidR="006F6088" w:rsidRDefault="006F6088" w:rsidP="006F6088">
      <w:pPr>
        <w:pStyle w:val="Figure"/>
        <w:spacing w:before="300" w:line="240" w:lineRule="auto"/>
      </w:pPr>
    </w:p>
    <w:p w14:paraId="34E5E0C7" w14:textId="77777777" w:rsidR="006F6088" w:rsidRDefault="006F6088" w:rsidP="006F6088">
      <w:pPr>
        <w:pStyle w:val="centerpar"/>
        <w:spacing w:line="240" w:lineRule="auto"/>
        <w:rPr>
          <w:b/>
        </w:rPr>
      </w:pPr>
      <w:r>
        <w:rPr>
          <w:noProof/>
        </w:rPr>
        <w:drawing>
          <wp:inline distT="0" distB="0" distL="0" distR="0" wp14:anchorId="74BE5BED" wp14:editId="45D9848A">
            <wp:extent cx="5816600" cy="49784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600" cy="4978400"/>
                    </a:xfrm>
                    <a:prstGeom prst="rect">
                      <a:avLst/>
                    </a:prstGeom>
                    <a:solidFill>
                      <a:srgbClr val="FFFFFF"/>
                    </a:solidFill>
                    <a:ln>
                      <a:noFill/>
                    </a:ln>
                  </pic:spPr>
                </pic:pic>
              </a:graphicData>
            </a:graphic>
          </wp:inline>
        </w:drawing>
      </w:r>
    </w:p>
    <w:p w14:paraId="054B9AB5" w14:textId="36F854BA" w:rsidR="00C22ADB" w:rsidRPr="006F6088" w:rsidRDefault="006F6088" w:rsidP="006F6088">
      <w:pPr>
        <w:spacing w:line="240" w:lineRule="auto"/>
        <w:rPr>
          <w:lang w:val="en-CH"/>
        </w:rPr>
      </w:pPr>
      <w:r>
        <w:rPr>
          <w:b/>
        </w:rPr>
        <w:t>Figure S1:</w:t>
      </w:r>
      <w:r>
        <w:t xml:space="preserve"> </w:t>
      </w:r>
      <w:r>
        <w:rPr>
          <w:b/>
        </w:rPr>
        <w:t>Balance diagnostics confirm removal of confounding.</w:t>
      </w:r>
      <w:r>
        <w:t xml:space="preserve"> </w:t>
      </w:r>
      <w:proofErr w:type="gramStart"/>
      <w:r>
        <w:rPr>
          <w:b/>
        </w:rPr>
        <w:t>a,</w:t>
      </w:r>
      <w:proofErr w:type="gramEnd"/>
      <w:r>
        <w:rPr>
          <w:b/>
        </w:rPr>
        <w:t xml:space="preserve"> b.</w:t>
      </w:r>
      <w:r>
        <w:t xml:space="preserve"> Continuous and categorical covariates were more similar after applying inverse propensity weights, indicated by weighted values being sma</w:t>
      </w:r>
      <w:r>
        <w:t>ller</w:t>
      </w:r>
      <w:r w:rsidR="000842AC">
        <w:t xml:space="preserve"> t</w:t>
      </w:r>
      <w:r w:rsidRPr="006F6088">
        <w:t>han the cutoffs (indicated with dashed lines).</w:t>
      </w:r>
    </w:p>
    <w:sectPr w:rsidR="00C22ADB" w:rsidRPr="006F6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IXGeneral">
    <w:panose1 w:val="00000000000000000000"/>
    <w:charset w:val="00"/>
    <w:family w:val="auto"/>
    <w:notTrueType/>
    <w:pitch w:val="variable"/>
    <w:sig w:usb0="A00002FF" w:usb1="4203FDFF" w:usb2="02000020"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88"/>
    <w:rsid w:val="00046FC9"/>
    <w:rsid w:val="000842AC"/>
    <w:rsid w:val="00304B47"/>
    <w:rsid w:val="006F6088"/>
    <w:rsid w:val="008750B2"/>
    <w:rsid w:val="00BB187E"/>
    <w:rsid w:val="00C22ADB"/>
    <w:rsid w:val="00CB793B"/>
    <w:rsid w:val="00CF06B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9C90"/>
  <w15:chartTrackingRefBased/>
  <w15:docId w15:val="{BDF004A5-AF74-6444-83A2-351AEAD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88"/>
    <w:pPr>
      <w:suppressAutoHyphens/>
      <w:spacing w:after="576" w:line="480" w:lineRule="auto"/>
      <w:contextualSpacing/>
      <w:jc w:val="both"/>
    </w:pPr>
    <w:rPr>
      <w:rFonts w:ascii="Times New Roman" w:eastAsia="Arial" w:hAnsi="Times New Roman" w:cs="Courier New"/>
      <w:kern w:val="2"/>
      <w:lang w:val="en-US" w:eastAsia="zh-CN" w:bidi="hi-IN"/>
    </w:rPr>
  </w:style>
  <w:style w:type="paragraph" w:styleId="Heading2">
    <w:name w:val="heading 2"/>
    <w:basedOn w:val="Normal"/>
    <w:link w:val="Heading2Char"/>
    <w:qFormat/>
    <w:rsid w:val="006F6088"/>
    <w:pPr>
      <w:keepNext/>
      <w:spacing w:after="0"/>
      <w:jc w:val="left"/>
      <w:outlineLvl w:val="1"/>
    </w:pPr>
    <w:rPr>
      <w:b/>
      <w:sz w:val="32"/>
    </w:rPr>
  </w:style>
  <w:style w:type="paragraph" w:styleId="Heading3">
    <w:name w:val="heading 3"/>
    <w:basedOn w:val="Normal"/>
    <w:link w:val="Heading3Char"/>
    <w:qFormat/>
    <w:rsid w:val="006F6088"/>
    <w:pPr>
      <w:keepNext/>
      <w:spacing w:after="0"/>
      <w:jc w:val="lef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6088"/>
    <w:rPr>
      <w:rFonts w:ascii="Times New Roman" w:eastAsia="Arial" w:hAnsi="Times New Roman" w:cs="Courier New"/>
      <w:b/>
      <w:kern w:val="2"/>
      <w:sz w:val="32"/>
      <w:lang w:val="en-US" w:eastAsia="zh-CN" w:bidi="hi-IN"/>
    </w:rPr>
  </w:style>
  <w:style w:type="character" w:customStyle="1" w:styleId="Heading3Char">
    <w:name w:val="Heading 3 Char"/>
    <w:basedOn w:val="DefaultParagraphFont"/>
    <w:link w:val="Heading3"/>
    <w:rsid w:val="006F6088"/>
    <w:rPr>
      <w:rFonts w:ascii="Times New Roman" w:eastAsia="Arial" w:hAnsi="Times New Roman" w:cs="Courier New"/>
      <w:b/>
      <w:kern w:val="2"/>
      <w:sz w:val="32"/>
      <w:lang w:val="en-US" w:eastAsia="zh-CN" w:bidi="hi-IN"/>
    </w:rPr>
  </w:style>
  <w:style w:type="paragraph" w:customStyle="1" w:styleId="centerpar">
    <w:name w:val="centerpar"/>
    <w:basedOn w:val="Normal"/>
    <w:rsid w:val="006F6088"/>
    <w:pPr>
      <w:keepLines/>
      <w:spacing w:before="120" w:after="120"/>
      <w:jc w:val="center"/>
    </w:pPr>
  </w:style>
  <w:style w:type="paragraph" w:customStyle="1" w:styleId="equationAlignNum">
    <w:name w:val="equationAlignNum"/>
    <w:basedOn w:val="Normal"/>
    <w:rsid w:val="006F6088"/>
    <w:pPr>
      <w:keepLines/>
      <w:spacing w:before="120" w:after="120"/>
      <w:jc w:val="left"/>
    </w:pPr>
  </w:style>
  <w:style w:type="paragraph" w:customStyle="1" w:styleId="caption">
    <w:name w:val="caption"/>
    <w:basedOn w:val="Normal"/>
    <w:rsid w:val="006F6088"/>
    <w:pPr>
      <w:keepLines/>
      <w:spacing w:before="120" w:after="120" w:line="276" w:lineRule="auto"/>
    </w:pPr>
  </w:style>
  <w:style w:type="paragraph" w:customStyle="1" w:styleId="Figure">
    <w:name w:val="Figure"/>
    <w:basedOn w:val="Normal"/>
    <w:rsid w:val="006F6088"/>
    <w:pPr>
      <w:keepLines/>
      <w:spacing w:before="120" w:after="0"/>
      <w:jc w:val="center"/>
    </w:pPr>
    <w:rPr>
      <w:sz w:val="20"/>
    </w:rPr>
  </w:style>
  <w:style w:type="paragraph" w:customStyle="1" w:styleId="Table">
    <w:name w:val="Table"/>
    <w:basedOn w:val="Normal"/>
    <w:rsid w:val="006F6088"/>
    <w:pPr>
      <w:keepLines/>
      <w:spacing w:before="120" w:after="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497">
      <w:bodyDiv w:val="1"/>
      <w:marLeft w:val="0"/>
      <w:marRight w:val="0"/>
      <w:marTop w:val="0"/>
      <w:marBottom w:val="0"/>
      <w:divBdr>
        <w:top w:val="none" w:sz="0" w:space="0" w:color="auto"/>
        <w:left w:val="none" w:sz="0" w:space="0" w:color="auto"/>
        <w:bottom w:val="none" w:sz="0" w:space="0" w:color="auto"/>
        <w:right w:val="none" w:sz="0" w:space="0" w:color="auto"/>
      </w:divBdr>
      <w:divsChild>
        <w:div w:id="1582831021">
          <w:marLeft w:val="0"/>
          <w:marRight w:val="0"/>
          <w:marTop w:val="0"/>
          <w:marBottom w:val="0"/>
          <w:divBdr>
            <w:top w:val="none" w:sz="0" w:space="0" w:color="auto"/>
            <w:left w:val="none" w:sz="0" w:space="0" w:color="auto"/>
            <w:bottom w:val="none" w:sz="0" w:space="0" w:color="auto"/>
            <w:right w:val="none" w:sz="0" w:space="0" w:color="auto"/>
          </w:divBdr>
          <w:divsChild>
            <w:div w:id="2126583962">
              <w:marLeft w:val="0"/>
              <w:marRight w:val="0"/>
              <w:marTop w:val="0"/>
              <w:marBottom w:val="0"/>
              <w:divBdr>
                <w:top w:val="none" w:sz="0" w:space="0" w:color="auto"/>
                <w:left w:val="none" w:sz="0" w:space="0" w:color="auto"/>
                <w:bottom w:val="none" w:sz="0" w:space="0" w:color="auto"/>
                <w:right w:val="none" w:sz="0" w:space="0" w:color="auto"/>
              </w:divBdr>
              <w:divsChild>
                <w:div w:id="16152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Homan</dc:creator>
  <cp:keywords/>
  <dc:description/>
  <cp:lastModifiedBy>Philipp Homan</cp:lastModifiedBy>
  <cp:revision>5</cp:revision>
  <dcterms:created xsi:type="dcterms:W3CDTF">2022-03-01T21:27:00Z</dcterms:created>
  <dcterms:modified xsi:type="dcterms:W3CDTF">2022-03-01T21:28:00Z</dcterms:modified>
</cp:coreProperties>
</file>