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A30A" w14:textId="1C92B262" w:rsidR="006B3A90" w:rsidRPr="00F74CEE" w:rsidRDefault="006B3A90" w:rsidP="00F74CEE">
      <w:pPr>
        <w:widowControl/>
        <w:autoSpaceDE w:val="0"/>
        <w:autoSpaceDN w:val="0"/>
        <w:adjustRightInd w:val="0"/>
        <w:spacing w:afterLines="100" w:after="312" w:line="480" w:lineRule="auto"/>
        <w:jc w:val="center"/>
        <w:rPr>
          <w:rFonts w:ascii="Times New Roman" w:eastAsia="宋体" w:hAnsi="Times New Roman" w:cs="Times New Roman"/>
          <w:b/>
          <w:sz w:val="32"/>
          <w:szCs w:val="32"/>
        </w:rPr>
      </w:pPr>
      <w:bookmarkStart w:id="0" w:name="_Hlk48408492"/>
      <w:r>
        <w:rPr>
          <w:rFonts w:ascii="Times New Roman" w:eastAsia="宋体" w:hAnsi="Times New Roman" w:cs="Times New Roman"/>
          <w:b/>
          <w:sz w:val="32"/>
          <w:szCs w:val="32"/>
        </w:rPr>
        <w:t>O</w:t>
      </w:r>
      <w:r>
        <w:rPr>
          <w:rFonts w:ascii="Times New Roman" w:eastAsia="宋体" w:hAnsi="Times New Roman" w:cs="Times New Roman" w:hint="eastAsia"/>
          <w:b/>
          <w:sz w:val="32"/>
          <w:szCs w:val="32"/>
        </w:rPr>
        <w:t>nl</w:t>
      </w:r>
      <w:r>
        <w:rPr>
          <w:rFonts w:ascii="Times New Roman" w:eastAsia="宋体" w:hAnsi="Times New Roman" w:cs="Times New Roman"/>
          <w:b/>
          <w:sz w:val="32"/>
          <w:szCs w:val="32"/>
        </w:rPr>
        <w:t xml:space="preserve">ine </w:t>
      </w:r>
      <w:r w:rsidRPr="00FE72E4">
        <w:rPr>
          <w:rFonts w:ascii="Times New Roman" w:eastAsia="宋体" w:hAnsi="Times New Roman" w:cs="Times New Roman" w:hint="eastAsia"/>
          <w:b/>
          <w:sz w:val="32"/>
          <w:szCs w:val="32"/>
        </w:rPr>
        <w:t>S</w:t>
      </w:r>
      <w:r w:rsidRPr="00FE72E4">
        <w:rPr>
          <w:rFonts w:ascii="Times New Roman" w:eastAsia="宋体" w:hAnsi="Times New Roman" w:cs="Times New Roman"/>
          <w:b/>
          <w:sz w:val="32"/>
          <w:szCs w:val="32"/>
        </w:rPr>
        <w:t>upplementa</w:t>
      </w:r>
      <w:r>
        <w:rPr>
          <w:rFonts w:ascii="Times New Roman" w:eastAsia="宋体" w:hAnsi="Times New Roman" w:cs="Times New Roman"/>
          <w:b/>
          <w:sz w:val="32"/>
          <w:szCs w:val="32"/>
        </w:rPr>
        <w:t>ry Materials</w:t>
      </w:r>
    </w:p>
    <w:p w14:paraId="15B8E5A8" w14:textId="03830A83" w:rsidR="006B3A90" w:rsidRPr="000D0A66" w:rsidRDefault="006B3A90" w:rsidP="000D0A66">
      <w:pPr>
        <w:widowControl/>
        <w:spacing w:line="480" w:lineRule="auto"/>
        <w:jc w:val="left"/>
        <w:rPr>
          <w:rFonts w:ascii="Times New Roman" w:hAnsi="Times New Roman" w:cs="Times New Roman"/>
          <w:b/>
          <w:bCs/>
          <w:sz w:val="22"/>
        </w:rPr>
      </w:pPr>
      <w:r>
        <w:rPr>
          <w:rFonts w:ascii="Times New Roman" w:hAnsi="Times New Roman" w:cs="Times New Roman"/>
          <w:b/>
          <w:bCs/>
          <w:sz w:val="22"/>
        </w:rPr>
        <w:t>Materials and Methods</w:t>
      </w:r>
      <w:bookmarkEnd w:id="0"/>
    </w:p>
    <w:p w14:paraId="714F2E20" w14:textId="4E8C9E00" w:rsidR="006B3A90" w:rsidRPr="008751D6" w:rsidRDefault="000D0A66" w:rsidP="008751D6">
      <w:pPr>
        <w:pStyle w:val="1"/>
        <w:rPr>
          <w:sz w:val="22"/>
          <w:szCs w:val="22"/>
        </w:rPr>
      </w:pPr>
      <w:r>
        <w:rPr>
          <w:sz w:val="22"/>
          <w:szCs w:val="22"/>
        </w:rPr>
        <w:t>1</w:t>
      </w:r>
      <w:r w:rsidR="006B3A90" w:rsidRPr="008751D6">
        <w:rPr>
          <w:sz w:val="22"/>
          <w:szCs w:val="22"/>
        </w:rPr>
        <w:t xml:space="preserve">. Processing of structural MRI </w:t>
      </w:r>
      <w:r w:rsidR="006B3A90">
        <w:rPr>
          <w:sz w:val="22"/>
          <w:szCs w:val="22"/>
        </w:rPr>
        <w:t>scans</w:t>
      </w:r>
    </w:p>
    <w:p w14:paraId="05A98880" w14:textId="77777777" w:rsidR="006B3A90" w:rsidRPr="008751D6" w:rsidRDefault="006B3A90" w:rsidP="00440706">
      <w:pPr>
        <w:spacing w:line="480" w:lineRule="auto"/>
        <w:rPr>
          <w:rFonts w:ascii="Times New Roman" w:hAnsi="Times New Roman" w:cs="Times New Roman"/>
          <w:sz w:val="22"/>
        </w:rPr>
      </w:pPr>
      <w:r w:rsidRPr="008751D6">
        <w:rPr>
          <w:rFonts w:ascii="Times New Roman" w:hAnsi="Times New Roman" w:cs="Times New Roman"/>
          <w:sz w:val="22"/>
        </w:rPr>
        <w:t>All MRI scans were processed on the same workstation using FreeSurfer image analysis suite v6.0.0 (http://surfer.nmr.mgh.harvard.edu/). FreeSurfer is a well-validated neuroimaging processing protocol that has previously been described in detail</w:t>
      </w:r>
      <w:r>
        <w:rPr>
          <w:rFonts w:ascii="Times New Roman" w:hAnsi="Times New Roman" w:cs="Times New Roman"/>
          <w:sz w:val="22"/>
        </w:rPr>
        <w:t xml:space="preserve"> </w:t>
      </w:r>
      <w:r>
        <w:rPr>
          <w:rFonts w:ascii="Times New Roman" w:hAnsi="Times New Roman" w:cs="Times New Roman"/>
          <w:noProof/>
          <w:sz w:val="22"/>
        </w:rPr>
        <w:t>(1, 2)</w:t>
      </w:r>
      <w:r w:rsidRPr="008751D6">
        <w:rPr>
          <w:rFonts w:ascii="Times New Roman" w:hAnsi="Times New Roman" w:cs="Times New Roman"/>
          <w:sz w:val="22"/>
        </w:rPr>
        <w:t xml:space="preserve">. Briefly, raw structural images undergo </w:t>
      </w:r>
      <w:r w:rsidRPr="008751D6">
        <w:rPr>
          <w:rFonts w:ascii="Times New Roman" w:hAnsi="Times New Roman" w:cs="Times New Roman" w:hint="eastAsia"/>
          <w:sz w:val="22"/>
        </w:rPr>
        <w:t>seve</w:t>
      </w:r>
      <w:r w:rsidRPr="008751D6">
        <w:rPr>
          <w:rFonts w:ascii="Times New Roman" w:hAnsi="Times New Roman" w:cs="Times New Roman"/>
          <w:sz w:val="22"/>
        </w:rPr>
        <w:t>ral preprocessing steps encompassing motion correction, skull stripping, Talairach transformation and intensity harmonization. Individual reconstructed maps are subsequently obtained following segmentation, tessellation and deformation, and finally registered to the standard spherical space via inflation to project gyrus and sulcus divisions onto the surface. All reconstructed images were manually inspected and fixed for topological deficits. Based on reconstructed images, the surface area at each vertex was calculated as the average area of surrounding triangles mapped in a prior cortical surface tessellation. The cortical thickness was defined as the shortest distance between the gray-white matter boundary and pial surface at each vertex. The subcortical volume resulted from an alternative volume-based pipeline which extracted average gray matter probability of voxels in labeled subcortical structures. To obtain unbiased estimates of these morphological measures, images are further processed with the FreeSurfer longitudinal stream after cross-sectional processing. Longitudinal stream initializes the same processing steps with common information from an unbiased within-subject template created by robust and inverse consistent registration</w:t>
      </w:r>
      <w:r>
        <w:rPr>
          <w:rFonts w:ascii="Times New Roman" w:hAnsi="Times New Roman" w:cs="Times New Roman"/>
          <w:sz w:val="22"/>
        </w:rPr>
        <w:t xml:space="preserve"> </w:t>
      </w:r>
      <w:r>
        <w:rPr>
          <w:rFonts w:ascii="Times New Roman" w:hAnsi="Times New Roman" w:cs="Times New Roman"/>
          <w:noProof/>
          <w:sz w:val="22"/>
        </w:rPr>
        <w:t>(3, 4)</w:t>
      </w:r>
      <w:r w:rsidRPr="008751D6">
        <w:rPr>
          <w:rFonts w:ascii="Times New Roman" w:hAnsi="Times New Roman" w:cs="Times New Roman"/>
          <w:sz w:val="22"/>
        </w:rPr>
        <w:t>, significantly increasing reliability and statistical power</w:t>
      </w:r>
      <w:r w:rsidRPr="001B65BE">
        <w:rPr>
          <w:rFonts w:ascii="Times New Roman" w:hAnsi="Times New Roman" w:cs="Times New Roman"/>
          <w:noProof/>
          <w:sz w:val="22"/>
        </w:rPr>
        <w:t xml:space="preserve"> (5)</w:t>
      </w:r>
      <w:r w:rsidRPr="008751D6">
        <w:rPr>
          <w:rFonts w:ascii="Times New Roman" w:hAnsi="Times New Roman" w:cs="Times New Roman"/>
          <w:sz w:val="22"/>
        </w:rPr>
        <w:t>.</w:t>
      </w:r>
    </w:p>
    <w:p w14:paraId="53E6482D" w14:textId="77777777" w:rsidR="006B3A90" w:rsidRPr="00284762" w:rsidRDefault="006B3A90" w:rsidP="002835A3">
      <w:pPr>
        <w:spacing w:line="480" w:lineRule="auto"/>
        <w:rPr>
          <w:rFonts w:ascii="Times New Roman" w:hAnsi="Times New Roman" w:cs="Times New Roman"/>
          <w:sz w:val="24"/>
          <w:szCs w:val="24"/>
        </w:rPr>
      </w:pPr>
    </w:p>
    <w:p w14:paraId="446BD099" w14:textId="368C07BC" w:rsidR="006B3A90" w:rsidRPr="008751D6" w:rsidRDefault="000D0A66" w:rsidP="008751D6">
      <w:pPr>
        <w:pStyle w:val="1"/>
        <w:rPr>
          <w:sz w:val="22"/>
          <w:szCs w:val="22"/>
        </w:rPr>
      </w:pPr>
      <w:r>
        <w:rPr>
          <w:sz w:val="22"/>
          <w:szCs w:val="22"/>
        </w:rPr>
        <w:lastRenderedPageBreak/>
        <w:t>2</w:t>
      </w:r>
      <w:r w:rsidR="006B3A90" w:rsidRPr="008751D6">
        <w:rPr>
          <w:sz w:val="22"/>
          <w:szCs w:val="22"/>
        </w:rPr>
        <w:t>. Two-stage prediction model</w:t>
      </w:r>
    </w:p>
    <w:p w14:paraId="772E46C9" w14:textId="7CD1AAB4" w:rsidR="006B3A90" w:rsidRPr="008751D6" w:rsidRDefault="000D0A66" w:rsidP="008751D6">
      <w:pPr>
        <w:pStyle w:val="2"/>
        <w:rPr>
          <w:sz w:val="22"/>
          <w:szCs w:val="22"/>
        </w:rPr>
      </w:pPr>
      <w:r>
        <w:rPr>
          <w:sz w:val="22"/>
          <w:szCs w:val="22"/>
        </w:rPr>
        <w:t>2</w:t>
      </w:r>
      <w:r w:rsidR="006B3A90" w:rsidRPr="008751D6">
        <w:rPr>
          <w:sz w:val="22"/>
          <w:szCs w:val="22"/>
        </w:rPr>
        <w:t>.1 The rationale for two-stage prediction model based on deep learning</w:t>
      </w:r>
    </w:p>
    <w:p w14:paraId="455E789E" w14:textId="77777777" w:rsidR="006B3A90" w:rsidRPr="00520173" w:rsidRDefault="006B3A90" w:rsidP="008751D6">
      <w:pPr>
        <w:spacing w:line="480" w:lineRule="auto"/>
        <w:rPr>
          <w:rFonts w:ascii="Times New Roman" w:hAnsi="Times New Roman" w:cs="Times New Roman"/>
          <w:sz w:val="22"/>
        </w:rPr>
      </w:pPr>
      <w:r w:rsidRPr="008751D6">
        <w:rPr>
          <w:rFonts w:ascii="Times New Roman" w:hAnsi="Times New Roman" w:cs="Times New Roman"/>
          <w:sz w:val="22"/>
        </w:rPr>
        <w:t xml:space="preserve">Previous studies have suggested that deep learning, a type of machine learning capable of capturing high orders of complexity and abstraction </w:t>
      </w:r>
      <w:r>
        <w:rPr>
          <w:rFonts w:ascii="Times New Roman" w:hAnsi="Times New Roman" w:cs="Times New Roman"/>
          <w:noProof/>
          <w:sz w:val="22"/>
        </w:rPr>
        <w:t>(6)</w:t>
      </w:r>
      <w:r w:rsidRPr="008751D6">
        <w:rPr>
          <w:rFonts w:ascii="Times New Roman" w:hAnsi="Times New Roman" w:cs="Times New Roman"/>
          <w:sz w:val="22"/>
        </w:rPr>
        <w:t xml:space="preserve">, may yield higher classifier accuracy than the current widely adopted traditional machine learning models </w:t>
      </w:r>
      <w:r>
        <w:rPr>
          <w:rFonts w:ascii="Times New Roman" w:hAnsi="Times New Roman" w:cs="Times New Roman"/>
          <w:noProof/>
          <w:sz w:val="22"/>
        </w:rPr>
        <w:t>(7, 8)</w:t>
      </w:r>
      <w:r w:rsidRPr="008751D6">
        <w:rPr>
          <w:rFonts w:ascii="Times New Roman" w:hAnsi="Times New Roman" w:cs="Times New Roman"/>
          <w:sz w:val="22"/>
        </w:rPr>
        <w:t>. It has been reported that brain structure is undergoing a variety of alterations in typically developing youth</w:t>
      </w:r>
      <w:r>
        <w:rPr>
          <w:rFonts w:ascii="Times New Roman" w:hAnsi="Times New Roman" w:cs="Times New Roman"/>
          <w:sz w:val="22"/>
        </w:rPr>
        <w:t xml:space="preserve"> </w:t>
      </w:r>
      <w:r>
        <w:rPr>
          <w:rFonts w:ascii="Times New Roman" w:hAnsi="Times New Roman" w:cs="Times New Roman"/>
          <w:noProof/>
          <w:sz w:val="22"/>
        </w:rPr>
        <w:t>(9, 10)</w:t>
      </w:r>
      <w:r w:rsidRPr="008751D6">
        <w:rPr>
          <w:rFonts w:ascii="Times New Roman" w:hAnsi="Times New Roman" w:cs="Times New Roman"/>
          <w:sz w:val="22"/>
        </w:rPr>
        <w:t xml:space="preserve">. Considering the additional psychiatric condition and medication effects on the patients, the complexity of brain structural patterns, especially in longitudinal occasions of a prospective study, may be far beyond what linear methods (e.g., principal component analysis, sparse learning) can extract </w:t>
      </w:r>
      <w:r>
        <w:rPr>
          <w:rFonts w:ascii="Times New Roman" w:hAnsi="Times New Roman" w:cs="Times New Roman"/>
          <w:noProof/>
          <w:sz w:val="22"/>
        </w:rPr>
        <w:t>(11)</w:t>
      </w:r>
      <w:r w:rsidRPr="008751D6">
        <w:rPr>
          <w:rFonts w:ascii="Times New Roman" w:hAnsi="Times New Roman" w:cs="Times New Roman"/>
          <w:sz w:val="22"/>
        </w:rPr>
        <w:t>. Deep neural network can precisely recognize the most differentiable features related to medication response from the complex longitudinal structural patterns in a non-linear way. Compared with other non-linear methods, deep neural network facilitates the extraction of optimal low-dimensional representations for clinicians unequipped with expert feature engineering knowledge, which are intensively required in most models.</w:t>
      </w:r>
      <w:r>
        <w:rPr>
          <w:rFonts w:ascii="Times New Roman" w:hAnsi="Times New Roman" w:cs="Times New Roman"/>
          <w:sz w:val="22"/>
        </w:rPr>
        <w:t xml:space="preserve"> </w:t>
      </w:r>
      <w:r w:rsidRPr="00520173">
        <w:rPr>
          <w:rFonts w:ascii="Times New Roman" w:eastAsia="黑体" w:hAnsi="Times New Roman" w:cs="Times New Roman"/>
          <w:bCs/>
          <w:color w:val="000000" w:themeColor="text1"/>
          <w:sz w:val="22"/>
        </w:rPr>
        <w:t>Though the traditional neural network can solely implement classification, combin</w:t>
      </w:r>
      <w:r>
        <w:rPr>
          <w:rFonts w:ascii="Times New Roman" w:eastAsia="黑体" w:hAnsi="Times New Roman" w:cs="Times New Roman"/>
          <w:bCs/>
          <w:color w:val="000000" w:themeColor="text1"/>
          <w:sz w:val="22"/>
        </w:rPr>
        <w:t>in</w:t>
      </w:r>
      <w:r w:rsidRPr="00520173">
        <w:rPr>
          <w:rFonts w:ascii="Times New Roman" w:eastAsia="黑体" w:hAnsi="Times New Roman" w:cs="Times New Roman"/>
          <w:bCs/>
          <w:color w:val="000000" w:themeColor="text1"/>
          <w:sz w:val="22"/>
        </w:rPr>
        <w:t xml:space="preserve">g neural network and an additional classifier increases the model flexibility and have been reported to outperform the single classification neural network </w:t>
      </w:r>
      <w:r>
        <w:rPr>
          <w:rFonts w:ascii="Times New Roman" w:eastAsia="黑体" w:hAnsi="Times New Roman" w:cs="Times New Roman"/>
          <w:bCs/>
          <w:noProof/>
          <w:color w:val="000000" w:themeColor="text1"/>
          <w:sz w:val="22"/>
        </w:rPr>
        <w:t>(11)</w:t>
      </w:r>
      <w:r w:rsidRPr="00520173">
        <w:rPr>
          <w:rFonts w:ascii="Times New Roman" w:eastAsia="黑体" w:hAnsi="Times New Roman" w:cs="Times New Roman"/>
          <w:bCs/>
          <w:color w:val="000000" w:themeColor="text1"/>
          <w:sz w:val="22"/>
        </w:rPr>
        <w:t>.</w:t>
      </w:r>
      <w:r>
        <w:rPr>
          <w:rFonts w:eastAsia="黑体"/>
          <w:bCs/>
          <w:color w:val="000000" w:themeColor="text1"/>
          <w:sz w:val="22"/>
        </w:rPr>
        <w:t xml:space="preserve"> </w:t>
      </w:r>
      <w:r w:rsidRPr="008751D6">
        <w:rPr>
          <w:rFonts w:ascii="Times New Roman" w:hAnsi="Times New Roman" w:cs="Times New Roman"/>
          <w:sz w:val="22"/>
        </w:rPr>
        <w:t xml:space="preserve">We therefore utilized a two-stage prediction pipeline that includes a deep neural network component for non-linear dimensionality followed by an additional support vector machine (SVM) classifier as described in a previous </w:t>
      </w:r>
      <w:r>
        <w:rPr>
          <w:rFonts w:ascii="Times New Roman" w:hAnsi="Times New Roman" w:cs="Times New Roman"/>
          <w:sz w:val="22"/>
        </w:rPr>
        <w:t xml:space="preserve">prospective </w:t>
      </w:r>
      <w:r w:rsidRPr="008751D6">
        <w:rPr>
          <w:rFonts w:ascii="Times New Roman" w:hAnsi="Times New Roman" w:cs="Times New Roman"/>
          <w:sz w:val="22"/>
        </w:rPr>
        <w:t>study</w:t>
      </w:r>
      <w:r>
        <w:rPr>
          <w:rFonts w:ascii="Times New Roman" w:hAnsi="Times New Roman" w:cs="Times New Roman"/>
          <w:sz w:val="22"/>
        </w:rPr>
        <w:t xml:space="preserve"> </w:t>
      </w:r>
      <w:r>
        <w:rPr>
          <w:rFonts w:ascii="Times New Roman" w:hAnsi="Times New Roman" w:cs="Times New Roman"/>
          <w:noProof/>
          <w:sz w:val="22"/>
        </w:rPr>
        <w:t>(11)</w:t>
      </w:r>
      <w:r w:rsidRPr="008751D6">
        <w:rPr>
          <w:rFonts w:ascii="Times New Roman" w:hAnsi="Times New Roman" w:cs="Times New Roman"/>
          <w:sz w:val="22"/>
        </w:rPr>
        <w:t>.</w:t>
      </w:r>
    </w:p>
    <w:p w14:paraId="544618F1" w14:textId="77777777" w:rsidR="006B3A90" w:rsidRPr="008751D6" w:rsidRDefault="006B3A90" w:rsidP="008751D6">
      <w:pPr>
        <w:rPr>
          <w:rFonts w:ascii="Times New Roman" w:hAnsi="Times New Roman" w:cs="Times New Roman"/>
          <w:i/>
          <w:iCs/>
          <w:sz w:val="24"/>
          <w:szCs w:val="24"/>
        </w:rPr>
      </w:pPr>
    </w:p>
    <w:p w14:paraId="2037C3B3" w14:textId="090D248D" w:rsidR="006B3A90" w:rsidRPr="008751D6" w:rsidRDefault="000D0A66" w:rsidP="008751D6">
      <w:pPr>
        <w:pStyle w:val="2"/>
        <w:rPr>
          <w:sz w:val="22"/>
          <w:szCs w:val="22"/>
        </w:rPr>
      </w:pPr>
      <w:bookmarkStart w:id="1" w:name="_Toc66560842"/>
      <w:bookmarkStart w:id="2" w:name="_Toc66560841"/>
      <w:r>
        <w:rPr>
          <w:sz w:val="22"/>
          <w:szCs w:val="22"/>
        </w:rPr>
        <w:t>2</w:t>
      </w:r>
      <w:r w:rsidR="006B3A90" w:rsidRPr="008751D6">
        <w:rPr>
          <w:sz w:val="22"/>
          <w:szCs w:val="22"/>
        </w:rPr>
        <w:t>.2 Neural network architecture</w:t>
      </w:r>
      <w:bookmarkEnd w:id="1"/>
    </w:p>
    <w:p w14:paraId="165B5DF5" w14:textId="77777777" w:rsidR="006B3A90" w:rsidRDefault="006B3A90" w:rsidP="008751D6">
      <w:pPr>
        <w:spacing w:line="480" w:lineRule="auto"/>
        <w:rPr>
          <w:rFonts w:ascii="Times New Roman" w:hAnsi="Times New Roman" w:cs="Times New Roman"/>
          <w:sz w:val="24"/>
          <w:szCs w:val="24"/>
        </w:rPr>
      </w:pPr>
      <w:bookmarkStart w:id="3" w:name="_Hlk78983381"/>
      <w:r w:rsidRPr="008751D6">
        <w:rPr>
          <w:rFonts w:ascii="Times New Roman" w:hAnsi="Times New Roman" w:cs="Times New Roman"/>
          <w:sz w:val="22"/>
        </w:rPr>
        <w:t xml:space="preserve">The core of our medication response prediction is the implementation of the neural network for </w:t>
      </w:r>
      <w:r w:rsidRPr="008751D6">
        <w:rPr>
          <w:rFonts w:ascii="Times New Roman" w:hAnsi="Times New Roman" w:cs="Times New Roman"/>
          <w:sz w:val="22"/>
        </w:rPr>
        <w:lastRenderedPageBreak/>
        <w:t>non-linear dimensionality reduction</w:t>
      </w:r>
      <w:bookmarkEnd w:id="3"/>
      <w:r>
        <w:rPr>
          <w:rFonts w:ascii="Times New Roman" w:hAnsi="Times New Roman" w:cs="Times New Roman"/>
          <w:sz w:val="22"/>
        </w:rPr>
        <w:t xml:space="preserve"> </w:t>
      </w:r>
      <w:r>
        <w:rPr>
          <w:rFonts w:ascii="Times New Roman" w:hAnsi="Times New Roman" w:cs="Times New Roman"/>
          <w:noProof/>
          <w:sz w:val="22"/>
        </w:rPr>
        <w:t>(12)</w:t>
      </w:r>
      <w:r w:rsidRPr="008751D6">
        <w:rPr>
          <w:rFonts w:ascii="Times New Roman" w:hAnsi="Times New Roman" w:cs="Times New Roman"/>
          <w:sz w:val="22"/>
        </w:rPr>
        <w:t xml:space="preserve">. The multi-layer neural network generally includes one input layer, several hidden layers and one output layer. Each layer contains a set of artificial neurons which exactly correspond to the feature representations at different level. The feature representations at different levels are associated by fully connections between neurons of two consecutive layers. These connections between neurons indicate the strength and direction from input to output, enabling the level-by-level information flow via weighted combination. Non-linear activation function (i.e., ReLU, Sigmoid) is additionally applied between two consecutive layers to handle the potential linear inseparability. The neural network iteratively updates weights by backpropagation to minimize the loss between the network outputs and true labels. Therefore, deep neural networks can </w:t>
      </w:r>
      <w:bookmarkStart w:id="4" w:name="_Hlk78983581"/>
      <w:r w:rsidRPr="008751D6">
        <w:rPr>
          <w:rFonts w:ascii="Times New Roman" w:hAnsi="Times New Roman" w:cs="Times New Roman"/>
          <w:sz w:val="22"/>
        </w:rPr>
        <w:t>automatically abstract optimal low-dimensional information from raw features via hierarchical architecture with consecutively decreased neurons in each layer</w:t>
      </w:r>
      <w:bookmarkEnd w:id="4"/>
      <w:r>
        <w:rPr>
          <w:rFonts w:ascii="Times New Roman" w:hAnsi="Times New Roman" w:cs="Times New Roman"/>
          <w:sz w:val="22"/>
        </w:rPr>
        <w:t xml:space="preserve"> </w:t>
      </w:r>
      <w:r>
        <w:rPr>
          <w:rFonts w:ascii="Times New Roman" w:hAnsi="Times New Roman" w:cs="Times New Roman"/>
          <w:noProof/>
          <w:sz w:val="22"/>
        </w:rPr>
        <w:t>(6)</w:t>
      </w:r>
      <w:r w:rsidRPr="008751D6">
        <w:rPr>
          <w:rFonts w:ascii="Times New Roman" w:hAnsi="Times New Roman" w:cs="Times New Roman"/>
          <w:sz w:val="22"/>
        </w:rPr>
        <w:t>. Herein, we implemented a five-layer neural network for non-linear dimensionality reduction in each model. For the baseline model or one-week change model, the numbers of units in hidden layers were set to 75, 15 and 3. Given the longitudinally joint model doubled the number of input features, hidden units were set to 150, 30, 6, which were likewise doubled.</w:t>
      </w:r>
    </w:p>
    <w:p w14:paraId="4A302EC2" w14:textId="77777777" w:rsidR="006B3A90" w:rsidRDefault="006B3A90" w:rsidP="008751D6">
      <w:pPr>
        <w:spacing w:line="480" w:lineRule="auto"/>
        <w:rPr>
          <w:rFonts w:ascii="Times New Roman" w:hAnsi="Times New Roman" w:cs="Times New Roman"/>
          <w:sz w:val="24"/>
          <w:szCs w:val="24"/>
        </w:rPr>
      </w:pPr>
    </w:p>
    <w:p w14:paraId="357EAF81" w14:textId="2966EED4" w:rsidR="006B3A90" w:rsidRPr="008751D6" w:rsidRDefault="000D0A66" w:rsidP="002A5C9C">
      <w:pPr>
        <w:pStyle w:val="2"/>
        <w:rPr>
          <w:sz w:val="22"/>
          <w:szCs w:val="22"/>
        </w:rPr>
      </w:pPr>
      <w:r>
        <w:rPr>
          <w:sz w:val="22"/>
          <w:szCs w:val="22"/>
        </w:rPr>
        <w:t>2</w:t>
      </w:r>
      <w:r w:rsidR="006B3A90" w:rsidRPr="008751D6">
        <w:rPr>
          <w:sz w:val="22"/>
          <w:szCs w:val="22"/>
        </w:rPr>
        <w:t xml:space="preserve">.3 </w:t>
      </w:r>
      <w:r w:rsidR="006B3A90" w:rsidRPr="008751D6">
        <w:rPr>
          <w:rFonts w:hint="eastAsia"/>
          <w:sz w:val="22"/>
          <w:szCs w:val="22"/>
        </w:rPr>
        <w:t>B</w:t>
      </w:r>
      <w:r w:rsidR="006B3A90" w:rsidRPr="008751D6">
        <w:rPr>
          <w:sz w:val="22"/>
          <w:szCs w:val="22"/>
        </w:rPr>
        <w:t>inary preprocessing of raw features</w:t>
      </w:r>
      <w:bookmarkEnd w:id="2"/>
    </w:p>
    <w:p w14:paraId="581FB856" w14:textId="77777777" w:rsidR="006B3A90" w:rsidRDefault="006B3A90" w:rsidP="008C491A">
      <w:pPr>
        <w:spacing w:line="480" w:lineRule="auto"/>
        <w:rPr>
          <w:rFonts w:ascii="Times New Roman" w:eastAsia="黑体" w:hAnsi="Times New Roman" w:cs="Times New Roman"/>
          <w:color w:val="000000"/>
          <w:sz w:val="24"/>
        </w:rPr>
      </w:pPr>
      <w:r w:rsidRPr="008751D6">
        <w:rPr>
          <w:rFonts w:ascii="Times New Roman" w:eastAsia="黑体" w:hAnsi="Times New Roman" w:cs="Times New Roman"/>
          <w:color w:val="000000"/>
          <w:sz w:val="22"/>
        </w:rPr>
        <w:t xml:space="preserve">The raw high dimensional features were represented as a matrix </w:t>
      </w:r>
      <m:oMath>
        <m:r>
          <w:rPr>
            <w:rFonts w:ascii="Cambria Math" w:eastAsia="黑体" w:hAnsi="Cambria Math" w:cs="Times New Roman"/>
            <w:color w:val="000000"/>
            <w:sz w:val="22"/>
          </w:rPr>
          <m:t>X∈</m:t>
        </m:r>
        <m:sSup>
          <m:sSupPr>
            <m:ctrlPr>
              <w:rPr>
                <w:rFonts w:ascii="Cambria Math" w:eastAsia="黑体" w:hAnsi="Cambria Math" w:cs="Times New Roman"/>
                <w:i/>
                <w:color w:val="000000"/>
                <w:sz w:val="22"/>
              </w:rPr>
            </m:ctrlPr>
          </m:sSupPr>
          <m:e>
            <m:r>
              <m:rPr>
                <m:scr m:val="double-struck"/>
              </m:rPr>
              <w:rPr>
                <w:rFonts w:ascii="Cambria Math" w:eastAsia="黑体" w:hAnsi="Cambria Math" w:cs="Times New Roman"/>
                <w:color w:val="000000"/>
                <w:sz w:val="22"/>
              </w:rPr>
              <m:t>R</m:t>
            </m:r>
          </m:e>
          <m:sup>
            <m:r>
              <w:rPr>
                <w:rFonts w:ascii="Cambria Math" w:eastAsia="黑体" w:hAnsi="Cambria Math" w:cs="Times New Roman"/>
                <w:color w:val="000000"/>
                <w:sz w:val="22"/>
              </w:rPr>
              <m:t>m×d</m:t>
            </m:r>
          </m:sup>
        </m:sSup>
      </m:oMath>
      <w:r w:rsidRPr="008751D6">
        <w:rPr>
          <w:rFonts w:ascii="Times New Roman" w:eastAsia="黑体" w:hAnsi="Times New Roman" w:cs="Times New Roman"/>
          <w:color w:val="000000"/>
          <w:sz w:val="22"/>
        </w:rPr>
        <w:t xml:space="preserve"> where the element </w:t>
      </w:r>
      <m:oMath>
        <m:sSub>
          <m:sSubPr>
            <m:ctrlPr>
              <w:rPr>
                <w:rFonts w:ascii="Cambria Math" w:eastAsia="黑体" w:hAnsi="Cambria Math" w:cs="Times New Roman"/>
                <w:color w:val="000000"/>
                <w:sz w:val="22"/>
              </w:rPr>
            </m:ctrlPr>
          </m:sSubPr>
          <m:e>
            <m:r>
              <w:rPr>
                <w:rFonts w:ascii="Cambria Math" w:eastAsia="黑体" w:hAnsi="Cambria Math" w:cs="Times New Roman"/>
                <w:color w:val="000000"/>
                <w:sz w:val="22"/>
              </w:rPr>
              <m:t>x</m:t>
            </m:r>
          </m:e>
          <m:sub>
            <m:r>
              <w:rPr>
                <w:rFonts w:ascii="Cambria Math" w:eastAsia="黑体" w:hAnsi="Cambria Math" w:cs="Times New Roman"/>
                <w:color w:val="000000"/>
                <w:sz w:val="22"/>
              </w:rPr>
              <m:t>ij</m:t>
            </m:r>
          </m:sub>
        </m:sSub>
      </m:oMath>
      <w:r w:rsidRPr="008751D6">
        <w:rPr>
          <w:rFonts w:ascii="Times New Roman" w:eastAsia="黑体" w:hAnsi="Times New Roman" w:cs="Times New Roman"/>
          <w:color w:val="000000"/>
          <w:sz w:val="22"/>
        </w:rPr>
        <w:t xml:space="preserve"> denotes the feature </w:t>
      </w:r>
      <m:oMath>
        <m:r>
          <w:rPr>
            <w:rFonts w:ascii="Cambria Math" w:eastAsia="黑体" w:hAnsi="Cambria Math" w:cs="Times New Roman"/>
            <w:color w:val="000000"/>
            <w:sz w:val="22"/>
          </w:rPr>
          <m:t>j</m:t>
        </m:r>
      </m:oMath>
      <w:r w:rsidRPr="008751D6">
        <w:rPr>
          <w:rFonts w:ascii="Times New Roman" w:eastAsia="黑体" w:hAnsi="Times New Roman" w:cs="Times New Roman"/>
          <w:color w:val="000000"/>
          <w:sz w:val="22"/>
        </w:rPr>
        <w:t xml:space="preserve"> for subject </w:t>
      </w:r>
      <m:oMath>
        <m:r>
          <w:rPr>
            <w:rFonts w:ascii="Cambria Math" w:eastAsia="黑体" w:hAnsi="Cambria Math" w:cs="Times New Roman"/>
            <w:color w:val="000000"/>
            <w:sz w:val="22"/>
          </w:rPr>
          <m:t>i</m:t>
        </m:r>
      </m:oMath>
      <w:r w:rsidRPr="008751D6">
        <w:rPr>
          <w:rFonts w:ascii="Times New Roman" w:eastAsia="黑体" w:hAnsi="Times New Roman" w:cs="Times New Roman"/>
          <w:color w:val="000000"/>
          <w:sz w:val="22"/>
        </w:rPr>
        <w:t xml:space="preserve"> and the labels were represented as a </w:t>
      </w:r>
      <m:oMath>
        <m:r>
          <w:rPr>
            <w:rFonts w:ascii="Cambria Math" w:eastAsia="黑体" w:hAnsi="Cambria Math" w:cs="Times New Roman"/>
            <w:color w:val="000000"/>
            <w:sz w:val="22"/>
          </w:rPr>
          <m:t>m</m:t>
        </m:r>
      </m:oMath>
      <w:r w:rsidRPr="008751D6">
        <w:rPr>
          <w:rFonts w:ascii="Times New Roman" w:eastAsia="黑体" w:hAnsi="Times New Roman" w:cs="Times New Roman"/>
          <w:color w:val="000000"/>
          <w:sz w:val="22"/>
        </w:rPr>
        <w:t xml:space="preserve">-dimensional vector </w:t>
      </w:r>
      <m:oMath>
        <m:r>
          <m:rPr>
            <m:sty m:val="p"/>
          </m:rPr>
          <w:rPr>
            <w:rFonts w:ascii="Cambria Math" w:eastAsia="黑体" w:hAnsi="Cambria Math" w:cs="Times New Roman"/>
            <w:color w:val="000000"/>
            <w:sz w:val="22"/>
          </w:rPr>
          <m:t>Y∈</m:t>
        </m:r>
        <m:sSup>
          <m:sSupPr>
            <m:ctrlPr>
              <w:rPr>
                <w:rFonts w:ascii="Cambria Math" w:eastAsia="黑体" w:hAnsi="Cambria Math" w:cs="Times New Roman"/>
                <w:color w:val="000000"/>
                <w:sz w:val="22"/>
              </w:rPr>
            </m:ctrlPr>
          </m:sSupPr>
          <m:e>
            <m:r>
              <w:rPr>
                <w:rFonts w:ascii="Cambria Math" w:eastAsia="黑体" w:hAnsi="Cambria Math" w:cs="Times New Roman"/>
                <w:color w:val="000000"/>
                <w:sz w:val="22"/>
              </w:rPr>
              <m:t>{0,1}</m:t>
            </m:r>
          </m:e>
          <m:sup>
            <m:r>
              <w:rPr>
                <w:rFonts w:ascii="Cambria Math" w:eastAsia="黑体" w:hAnsi="Cambria Math" w:cs="Times New Roman"/>
                <w:color w:val="000000"/>
                <w:sz w:val="22"/>
              </w:rPr>
              <m:t>m</m:t>
            </m:r>
          </m:sup>
        </m:sSup>
      </m:oMath>
      <w:r w:rsidRPr="008751D6">
        <w:rPr>
          <w:rFonts w:ascii="Times New Roman" w:eastAsia="黑体" w:hAnsi="Times New Roman" w:cs="Times New Roman"/>
          <w:color w:val="000000"/>
          <w:sz w:val="22"/>
        </w:rPr>
        <w:t>, with 1 indicating responders and 0 indicating non-responders. Given the common application of binary input in unsupervised two-layer greedy networks</w:t>
      </w:r>
      <w:r>
        <w:rPr>
          <w:rFonts w:ascii="Times New Roman" w:eastAsia="黑体" w:hAnsi="Times New Roman" w:cs="Times New Roman"/>
          <w:color w:val="000000"/>
          <w:sz w:val="22"/>
        </w:rPr>
        <w:t xml:space="preserve"> </w:t>
      </w:r>
      <w:r>
        <w:rPr>
          <w:rFonts w:ascii="Times New Roman" w:eastAsia="黑体" w:hAnsi="Times New Roman" w:cs="Times New Roman"/>
          <w:noProof/>
          <w:color w:val="000000"/>
          <w:sz w:val="22"/>
        </w:rPr>
        <w:t>(12, 13)</w:t>
      </w:r>
      <w:r w:rsidRPr="008751D6">
        <w:rPr>
          <w:rFonts w:ascii="Times New Roman" w:eastAsia="黑体" w:hAnsi="Times New Roman" w:cs="Times New Roman"/>
          <w:color w:val="000000"/>
          <w:sz w:val="22"/>
        </w:rPr>
        <w:t xml:space="preserve">, we </w:t>
      </w:r>
      <w:r w:rsidRPr="008751D6">
        <w:rPr>
          <w:rFonts w:ascii="Times New Roman" w:eastAsia="黑体" w:hAnsi="Times New Roman" w:cs="Times New Roman"/>
          <w:color w:val="000000"/>
          <w:sz w:val="22"/>
        </w:rPr>
        <w:lastRenderedPageBreak/>
        <w:t xml:space="preserve">applied binary transformation on high-dimensional real-valued features resulting in a binary matrix </w:t>
      </w:r>
      <m:oMath>
        <m:r>
          <w:rPr>
            <w:rFonts w:ascii="Cambria Math" w:eastAsia="黑体" w:hAnsi="Cambria Math" w:cs="Times New Roman"/>
            <w:color w:val="000000"/>
            <w:sz w:val="22"/>
          </w:rPr>
          <m:t>X∈</m:t>
        </m:r>
        <m:sSup>
          <m:sSupPr>
            <m:ctrlPr>
              <w:rPr>
                <w:rFonts w:ascii="Cambria Math" w:eastAsia="黑体" w:hAnsi="Cambria Math" w:cs="Times New Roman"/>
                <w:i/>
                <w:color w:val="000000"/>
                <w:sz w:val="22"/>
              </w:rPr>
            </m:ctrlPr>
          </m:sSupPr>
          <m:e>
            <m:r>
              <w:rPr>
                <w:rFonts w:ascii="Cambria Math" w:eastAsia="黑体" w:hAnsi="Cambria Math" w:cs="Times New Roman"/>
                <w:color w:val="000000"/>
                <w:sz w:val="22"/>
              </w:rPr>
              <m:t>{0,1}</m:t>
            </m:r>
          </m:e>
          <m:sup>
            <m:r>
              <w:rPr>
                <w:rFonts w:ascii="Cambria Math" w:eastAsia="黑体" w:hAnsi="Cambria Math" w:cs="Times New Roman"/>
                <w:color w:val="000000"/>
                <w:sz w:val="22"/>
              </w:rPr>
              <m:t>m×d</m:t>
            </m:r>
          </m:sup>
        </m:sSup>
      </m:oMath>
      <w:r w:rsidRPr="008751D6">
        <w:rPr>
          <w:rFonts w:ascii="Times New Roman" w:eastAsia="黑体" w:hAnsi="Times New Roman" w:cs="Times New Roman"/>
          <w:color w:val="000000"/>
          <w:sz w:val="22"/>
        </w:rPr>
        <w:t xml:space="preserve">. The binary threshold of feature </w:t>
      </w:r>
      <m:oMath>
        <m:r>
          <w:rPr>
            <w:rFonts w:ascii="Cambria Math" w:eastAsia="黑体" w:hAnsi="Cambria Math" w:cs="Times New Roman"/>
            <w:color w:val="000000"/>
            <w:sz w:val="22"/>
          </w:rPr>
          <m:t>j</m:t>
        </m:r>
      </m:oMath>
      <w:r w:rsidRPr="008751D6">
        <w:rPr>
          <w:rFonts w:ascii="Times New Roman" w:eastAsia="黑体" w:hAnsi="Times New Roman" w:cs="Times New Roman"/>
          <w:color w:val="000000"/>
          <w:sz w:val="22"/>
        </w:rPr>
        <w:t xml:space="preserve"> is calculated as </w:t>
      </w:r>
      <m:oMath>
        <m:r>
          <m:rPr>
            <m:sty m:val="p"/>
          </m:rPr>
          <w:rPr>
            <w:rFonts w:ascii="Cambria Math" w:eastAsia="黑体" w:hAnsi="Cambria Math" w:cs="Times New Roman"/>
            <w:color w:val="000000"/>
            <w:sz w:val="22"/>
          </w:rPr>
          <m:t>(</m:t>
        </m:r>
        <m:sSubSup>
          <m:sSubSupPr>
            <m:ctrlPr>
              <w:rPr>
                <w:rFonts w:ascii="Cambria Math" w:eastAsia="黑体" w:hAnsi="Cambria Math" w:cs="Times New Roman"/>
                <w:color w:val="000000"/>
                <w:sz w:val="22"/>
              </w:rPr>
            </m:ctrlPr>
          </m:sSubSupPr>
          <m:e>
            <m:r>
              <m:rPr>
                <m:sty m:val="p"/>
              </m:rPr>
              <w:rPr>
                <w:rFonts w:ascii="Cambria Math" w:eastAsia="黑体" w:hAnsi="Cambria Math" w:cs="Times New Roman"/>
                <w:color w:val="000000"/>
                <w:sz w:val="22"/>
              </w:rPr>
              <m:t>m</m:t>
            </m:r>
          </m:e>
          <m:sub>
            <m:r>
              <m:rPr>
                <m:sty m:val="p"/>
              </m:rPr>
              <w:rPr>
                <w:rFonts w:ascii="Cambria Math" w:eastAsia="黑体" w:hAnsi="Cambria Math" w:cs="Times New Roman"/>
                <w:color w:val="000000"/>
                <w:sz w:val="22"/>
              </w:rPr>
              <m:t>0</m:t>
            </m:r>
          </m:sub>
          <m:sup>
            <m:r>
              <w:rPr>
                <w:rFonts w:ascii="Cambria Math" w:eastAsia="黑体" w:hAnsi="Cambria Math" w:cs="Times New Roman"/>
                <w:color w:val="000000"/>
                <w:sz w:val="22"/>
              </w:rPr>
              <m:t>j</m:t>
            </m:r>
          </m:sup>
        </m:sSubSup>
        <m:r>
          <m:rPr>
            <m:sty m:val="p"/>
          </m:rPr>
          <w:rPr>
            <w:rFonts w:ascii="Cambria Math" w:eastAsia="黑体" w:hAnsi="Cambria Math" w:cs="Times New Roman"/>
            <w:color w:val="000000"/>
            <w:sz w:val="22"/>
          </w:rPr>
          <m:t>+</m:t>
        </m:r>
        <m:sSubSup>
          <m:sSubSupPr>
            <m:ctrlPr>
              <w:rPr>
                <w:rFonts w:ascii="Cambria Math" w:eastAsia="黑体" w:hAnsi="Cambria Math" w:cs="Times New Roman"/>
                <w:color w:val="000000"/>
                <w:sz w:val="22"/>
              </w:rPr>
            </m:ctrlPr>
          </m:sSubSupPr>
          <m:e>
            <m:r>
              <m:rPr>
                <m:sty m:val="p"/>
              </m:rPr>
              <w:rPr>
                <w:rFonts w:ascii="Cambria Math" w:eastAsia="黑体" w:hAnsi="Cambria Math" w:cs="Times New Roman"/>
                <w:color w:val="000000"/>
                <w:sz w:val="22"/>
              </w:rPr>
              <m:t>m</m:t>
            </m:r>
          </m:e>
          <m:sub>
            <m:r>
              <w:rPr>
                <w:rFonts w:ascii="Cambria Math" w:eastAsia="黑体" w:hAnsi="Cambria Math" w:cs="Times New Roman"/>
                <w:color w:val="000000"/>
                <w:sz w:val="22"/>
              </w:rPr>
              <m:t>1</m:t>
            </m:r>
          </m:sub>
          <m:sup>
            <m:r>
              <w:rPr>
                <w:rFonts w:ascii="Cambria Math" w:eastAsia="黑体" w:hAnsi="Cambria Math" w:cs="Times New Roman"/>
                <w:color w:val="000000"/>
                <w:sz w:val="22"/>
              </w:rPr>
              <m:t>j</m:t>
            </m:r>
          </m:sup>
        </m:sSubSup>
        <m:r>
          <m:rPr>
            <m:sty m:val="p"/>
          </m:rPr>
          <w:rPr>
            <w:rFonts w:ascii="Cambria Math" w:eastAsia="黑体" w:hAnsi="Cambria Math" w:cs="Times New Roman"/>
            <w:color w:val="000000"/>
            <w:sz w:val="22"/>
          </w:rPr>
          <m:t>)∕2</m:t>
        </m:r>
      </m:oMath>
      <w:r w:rsidRPr="008751D6">
        <w:rPr>
          <w:rFonts w:ascii="Times New Roman" w:eastAsia="黑体" w:hAnsi="Times New Roman" w:cs="Times New Roman"/>
          <w:color w:val="000000"/>
          <w:sz w:val="22"/>
        </w:rPr>
        <w:t xml:space="preserve"> where </w:t>
      </w:r>
      <m:oMath>
        <m:sSubSup>
          <m:sSubSupPr>
            <m:ctrlPr>
              <w:rPr>
                <w:rFonts w:ascii="Cambria Math" w:eastAsia="黑体" w:hAnsi="Cambria Math" w:cs="Times New Roman"/>
                <w:color w:val="000000"/>
                <w:sz w:val="22"/>
              </w:rPr>
            </m:ctrlPr>
          </m:sSubSupPr>
          <m:e>
            <m:r>
              <m:rPr>
                <m:sty m:val="p"/>
              </m:rPr>
              <w:rPr>
                <w:rFonts w:ascii="Cambria Math" w:eastAsia="黑体" w:hAnsi="Cambria Math" w:cs="Times New Roman"/>
                <w:color w:val="000000"/>
                <w:sz w:val="22"/>
              </w:rPr>
              <m:t>m</m:t>
            </m:r>
          </m:e>
          <m:sub>
            <m:r>
              <m:rPr>
                <m:sty m:val="p"/>
              </m:rPr>
              <w:rPr>
                <w:rFonts w:ascii="Cambria Math" w:eastAsia="黑体" w:hAnsi="Cambria Math" w:cs="Times New Roman"/>
                <w:color w:val="000000"/>
                <w:sz w:val="22"/>
              </w:rPr>
              <m:t>0</m:t>
            </m:r>
          </m:sub>
          <m:sup>
            <m:r>
              <w:rPr>
                <w:rFonts w:ascii="Cambria Math" w:eastAsia="黑体" w:hAnsi="Cambria Math" w:cs="Times New Roman"/>
                <w:color w:val="000000"/>
                <w:sz w:val="22"/>
              </w:rPr>
              <m:t>j</m:t>
            </m:r>
          </m:sup>
        </m:sSubSup>
      </m:oMath>
      <w:r w:rsidRPr="008751D6">
        <w:rPr>
          <w:rFonts w:ascii="Times New Roman" w:eastAsia="黑体" w:hAnsi="Times New Roman" w:cs="Times New Roman"/>
          <w:color w:val="000000"/>
          <w:sz w:val="22"/>
        </w:rPr>
        <w:t xml:space="preserve"> denotes the median value of feature </w:t>
      </w:r>
      <m:oMath>
        <m:r>
          <w:rPr>
            <w:rFonts w:ascii="Cambria Math" w:eastAsia="黑体" w:hAnsi="Cambria Math" w:cs="Times New Roman"/>
            <w:color w:val="000000"/>
            <w:sz w:val="22"/>
          </w:rPr>
          <m:t>j</m:t>
        </m:r>
      </m:oMath>
      <w:r w:rsidRPr="008751D6">
        <w:rPr>
          <w:rFonts w:ascii="Times New Roman" w:eastAsia="黑体" w:hAnsi="Times New Roman" w:cs="Times New Roman"/>
          <w:color w:val="000000"/>
          <w:sz w:val="22"/>
        </w:rPr>
        <w:t xml:space="preserve"> in non-responders and </w:t>
      </w:r>
      <m:oMath>
        <m:sSubSup>
          <m:sSubSupPr>
            <m:ctrlPr>
              <w:rPr>
                <w:rFonts w:ascii="Cambria Math" w:eastAsia="黑体" w:hAnsi="Cambria Math" w:cs="Times New Roman"/>
                <w:color w:val="000000"/>
                <w:sz w:val="22"/>
              </w:rPr>
            </m:ctrlPr>
          </m:sSubSupPr>
          <m:e>
            <m:r>
              <m:rPr>
                <m:sty m:val="p"/>
              </m:rPr>
              <w:rPr>
                <w:rFonts w:ascii="Cambria Math" w:eastAsia="黑体" w:hAnsi="Cambria Math" w:cs="Times New Roman"/>
                <w:color w:val="000000"/>
                <w:sz w:val="22"/>
              </w:rPr>
              <m:t>m</m:t>
            </m:r>
          </m:e>
          <m:sub>
            <m:r>
              <w:rPr>
                <w:rFonts w:ascii="Cambria Math" w:eastAsia="黑体" w:hAnsi="Cambria Math" w:cs="Times New Roman"/>
                <w:color w:val="000000"/>
                <w:sz w:val="22"/>
              </w:rPr>
              <m:t>1</m:t>
            </m:r>
          </m:sub>
          <m:sup>
            <m:r>
              <w:rPr>
                <w:rFonts w:ascii="Cambria Math" w:eastAsia="黑体" w:hAnsi="Cambria Math" w:cs="Times New Roman"/>
                <w:color w:val="000000"/>
                <w:sz w:val="22"/>
              </w:rPr>
              <m:t>j</m:t>
            </m:r>
          </m:sup>
        </m:sSubSup>
      </m:oMath>
      <w:r w:rsidRPr="008751D6">
        <w:rPr>
          <w:rFonts w:ascii="Times New Roman" w:eastAsia="黑体" w:hAnsi="Times New Roman" w:cs="Times New Roman"/>
          <w:color w:val="000000"/>
          <w:sz w:val="22"/>
        </w:rPr>
        <w:t xml:space="preserve"> denotes the median value of feature </w:t>
      </w:r>
      <m:oMath>
        <m:r>
          <w:rPr>
            <w:rFonts w:ascii="Cambria Math" w:eastAsia="黑体" w:hAnsi="Cambria Math" w:cs="Times New Roman"/>
            <w:color w:val="000000"/>
            <w:sz w:val="22"/>
          </w:rPr>
          <m:t>j</m:t>
        </m:r>
      </m:oMath>
      <w:r w:rsidRPr="008751D6">
        <w:rPr>
          <w:rFonts w:ascii="Times New Roman" w:eastAsia="黑体" w:hAnsi="Times New Roman" w:cs="Times New Roman"/>
          <w:color w:val="000000"/>
          <w:sz w:val="22"/>
        </w:rPr>
        <w:t xml:space="preserve"> in responders. The values of feature</w:t>
      </w:r>
      <m:oMath>
        <m:r>
          <w:rPr>
            <w:rFonts w:ascii="Cambria Math" w:eastAsia="黑体" w:hAnsi="Cambria Math" w:cs="Times New Roman"/>
            <w:color w:val="000000"/>
            <w:sz w:val="22"/>
          </w:rPr>
          <m:t xml:space="preserve"> j</m:t>
        </m:r>
      </m:oMath>
      <w:r w:rsidRPr="008751D6">
        <w:rPr>
          <w:rFonts w:ascii="Times New Roman" w:eastAsia="黑体" w:hAnsi="Times New Roman" w:cs="Times New Roman"/>
          <w:color w:val="000000"/>
          <w:sz w:val="22"/>
        </w:rPr>
        <w:t xml:space="preserve"> less than or equal to the threshold are assigned 0, and those larger than the threshold are assigned 1. To ensure the independence between the training and validation set, the binary transformation threshold was estimated from the training set and applied to the validation set in each cross-validation loop.</w:t>
      </w:r>
    </w:p>
    <w:p w14:paraId="53EF983A" w14:textId="77777777" w:rsidR="006B3A90" w:rsidRPr="007306DD" w:rsidRDefault="006B3A90" w:rsidP="008C491A">
      <w:pPr>
        <w:spacing w:line="480" w:lineRule="auto"/>
        <w:rPr>
          <w:rFonts w:ascii="Times New Roman" w:hAnsi="Times New Roman" w:cs="Times New Roman"/>
          <w:b/>
          <w:bCs/>
          <w:sz w:val="24"/>
          <w:szCs w:val="24"/>
        </w:rPr>
      </w:pPr>
    </w:p>
    <w:p w14:paraId="29AFD2DF" w14:textId="269DFDF0" w:rsidR="006B3A90" w:rsidRPr="008751D6" w:rsidRDefault="000D0A66" w:rsidP="002A5C9C">
      <w:pPr>
        <w:pStyle w:val="2"/>
        <w:rPr>
          <w:sz w:val="22"/>
          <w:szCs w:val="22"/>
        </w:rPr>
      </w:pPr>
      <w:bookmarkStart w:id="5" w:name="_Toc66560843"/>
      <w:r>
        <w:rPr>
          <w:sz w:val="22"/>
          <w:szCs w:val="22"/>
        </w:rPr>
        <w:t>2</w:t>
      </w:r>
      <w:r w:rsidR="006B3A90" w:rsidRPr="008751D6">
        <w:rPr>
          <w:sz w:val="22"/>
          <w:szCs w:val="22"/>
        </w:rPr>
        <w:t>.4 Model training</w:t>
      </w:r>
      <w:bookmarkEnd w:id="5"/>
    </w:p>
    <w:p w14:paraId="59397AC5" w14:textId="77777777" w:rsidR="006B3A90" w:rsidRPr="008751D6" w:rsidRDefault="006B3A90" w:rsidP="008C491A">
      <w:pPr>
        <w:spacing w:line="480" w:lineRule="auto"/>
        <w:rPr>
          <w:rFonts w:ascii="Times New Roman" w:hAnsi="Times New Roman" w:cs="Times New Roman"/>
          <w:sz w:val="22"/>
        </w:rPr>
      </w:pPr>
      <w:r w:rsidRPr="008751D6">
        <w:rPr>
          <w:rFonts w:ascii="Times New Roman" w:hAnsi="Times New Roman" w:cs="Times New Roman"/>
          <w:sz w:val="22"/>
        </w:rPr>
        <w:t xml:space="preserve">A two-step protocol performs the training of the neural network. In the first step, pre-training is implemented via another unsupervised DL model called autoencoder (AE) with a typical encoder and decoder structure. Unlike traditional deep neural networks, the number of neurons in consecutive layers does not always decrease. The encoder’s architecture is </w:t>
      </w:r>
      <w:proofErr w:type="gramStart"/>
      <w:r w:rsidRPr="008751D6">
        <w:rPr>
          <w:rFonts w:ascii="Times New Roman" w:hAnsi="Times New Roman" w:cs="Times New Roman"/>
          <w:sz w:val="22"/>
        </w:rPr>
        <w:t>similar to</w:t>
      </w:r>
      <w:proofErr w:type="gramEnd"/>
      <w:r w:rsidRPr="008751D6">
        <w:rPr>
          <w:rFonts w:ascii="Times New Roman" w:hAnsi="Times New Roman" w:cs="Times New Roman"/>
          <w:sz w:val="22"/>
        </w:rPr>
        <w:t xml:space="preserve"> a common neural network, which generates low-dimensional representations, while the decoder utilizes the latent information to reconstruct the original input. Without any given labels, AE takes good advantage of the inherent pattern in data by minimizing the reconstruction error in an unsupervised manner. Moreover, shallow AEs can be stacked into a deeper structure called stacked autoencoders (SAE), enabling the extraction of higher-order latent representations</w:t>
      </w:r>
      <w:r>
        <w:rPr>
          <w:rFonts w:ascii="Times New Roman" w:hAnsi="Times New Roman" w:cs="Times New Roman"/>
          <w:sz w:val="22"/>
        </w:rPr>
        <w:t xml:space="preserve"> </w:t>
      </w:r>
      <w:r>
        <w:rPr>
          <w:rFonts w:ascii="Times New Roman" w:hAnsi="Times New Roman" w:cs="Times New Roman"/>
          <w:noProof/>
          <w:sz w:val="22"/>
        </w:rPr>
        <w:t>(14)</w:t>
      </w:r>
      <w:r w:rsidRPr="008751D6">
        <w:rPr>
          <w:rFonts w:ascii="Times New Roman" w:hAnsi="Times New Roman" w:cs="Times New Roman"/>
          <w:sz w:val="22"/>
        </w:rPr>
        <w:t>. In this case, individual AE is greedily trained, and the optimal latent representation of the previous AE is delivered to the next AE to generate more abstract representation</w:t>
      </w:r>
      <w:r>
        <w:rPr>
          <w:rFonts w:ascii="Times New Roman" w:hAnsi="Times New Roman" w:cs="Times New Roman"/>
          <w:noProof/>
          <w:sz w:val="22"/>
        </w:rPr>
        <w:t xml:space="preserve"> (15)</w:t>
      </w:r>
      <w:r w:rsidRPr="008751D6">
        <w:rPr>
          <w:rFonts w:ascii="Times New Roman" w:hAnsi="Times New Roman" w:cs="Times New Roman"/>
          <w:sz w:val="22"/>
        </w:rPr>
        <w:t xml:space="preserve">. Herein, we trained a SAE model with 4 three-layer AEs (1 input layer, 1 hidden layer and 1 output layer) whose architectures conform to the following supervised deep neural network. Individual AE </w:t>
      </w:r>
      <w:r w:rsidRPr="008751D6">
        <w:rPr>
          <w:rFonts w:ascii="Times New Roman" w:hAnsi="Times New Roman" w:cs="Times New Roman"/>
          <w:sz w:val="22"/>
        </w:rPr>
        <w:lastRenderedPageBreak/>
        <w:t>is thought to be converged when meeting one of the following criteria</w:t>
      </w:r>
      <w:r>
        <w:rPr>
          <w:rFonts w:ascii="Times New Roman" w:hAnsi="Times New Roman" w:cs="Times New Roman"/>
          <w:noProof/>
          <w:sz w:val="22"/>
        </w:rPr>
        <w:t xml:space="preserve"> (11)</w:t>
      </w:r>
      <w:r w:rsidRPr="008751D6">
        <w:rPr>
          <w:rFonts w:ascii="Times New Roman" w:hAnsi="Times New Roman" w:cs="Times New Roman"/>
          <w:sz w:val="22"/>
        </w:rPr>
        <w:t>: (1) default 100 epochs are reached; (2) the reconstructed loss measured by mean square error (MSE) for the last 10 epochs is continuously less than 0.001. To weaken the impact of random weight initialization, the training process of SAE repeated 10000 times. The median values of these fine-tuned weights are transferred to the subsequent deep neural network as initial weights for the next supervised step.</w:t>
      </w:r>
    </w:p>
    <w:p w14:paraId="0D27B588" w14:textId="77777777" w:rsidR="006B3A90" w:rsidRPr="008751D6" w:rsidRDefault="006B3A90" w:rsidP="004152CA">
      <w:pPr>
        <w:spacing w:line="480" w:lineRule="auto"/>
        <w:ind w:firstLine="431"/>
        <w:rPr>
          <w:rFonts w:ascii="Times New Roman" w:hAnsi="Times New Roman" w:cs="Times New Roman"/>
          <w:sz w:val="22"/>
        </w:rPr>
      </w:pPr>
      <w:r w:rsidRPr="008751D6">
        <w:rPr>
          <w:rFonts w:ascii="Times New Roman" w:hAnsi="Times New Roman" w:cs="Times New Roman"/>
          <w:sz w:val="22"/>
        </w:rPr>
        <w:t xml:space="preserve">In the supervised learning part, a five-layer neural network was trained to fine-tune the weights and biases. The </w:t>
      </w:r>
      <w:proofErr w:type="spellStart"/>
      <w:r w:rsidRPr="008751D6">
        <w:rPr>
          <w:rFonts w:ascii="Times New Roman" w:hAnsi="Times New Roman" w:cs="Times New Roman"/>
          <w:sz w:val="22"/>
        </w:rPr>
        <w:t>softmax</w:t>
      </w:r>
      <w:proofErr w:type="spellEnd"/>
      <w:r w:rsidRPr="008751D6">
        <w:rPr>
          <w:rFonts w:ascii="Times New Roman" w:hAnsi="Times New Roman" w:cs="Times New Roman"/>
          <w:sz w:val="22"/>
        </w:rPr>
        <w:t xml:space="preserve"> function is additionally applied to project </w:t>
      </w:r>
      <w:r w:rsidRPr="008751D6">
        <w:rPr>
          <w:rFonts w:ascii="Times New Roman" w:hAnsi="Times New Roman" w:cs="Times New Roman" w:hint="eastAsia"/>
          <w:sz w:val="22"/>
        </w:rPr>
        <w:t>the</w:t>
      </w:r>
      <w:r w:rsidRPr="008751D6">
        <w:rPr>
          <w:rFonts w:ascii="Times New Roman" w:hAnsi="Times New Roman" w:cs="Times New Roman"/>
          <w:sz w:val="22"/>
        </w:rPr>
        <w:t xml:space="preserve"> scalar output into the probability of binary classes for supervised learning. The training loss estimated by cross-entropy function is optimized with an adaptive moment estimation (Adam) optimizer (momentum parameters = [0.9,0.999], initial learning rate = 0.001). Once the training completes, </w:t>
      </w:r>
      <w:bookmarkStart w:id="6" w:name="_Hlk78984784"/>
      <w:r w:rsidRPr="008751D6">
        <w:rPr>
          <w:rFonts w:ascii="Times New Roman" w:hAnsi="Times New Roman" w:cs="Times New Roman"/>
          <w:sz w:val="22"/>
        </w:rPr>
        <w:t>the representations in the layer before the output layer were extracted as the optimal features in low-dimensional space.</w:t>
      </w:r>
      <w:bookmarkEnd w:id="6"/>
      <w:r w:rsidRPr="008751D6">
        <w:rPr>
          <w:rFonts w:ascii="Times New Roman" w:hAnsi="Times New Roman" w:cs="Times New Roman" w:hint="eastAsia"/>
          <w:sz w:val="22"/>
        </w:rPr>
        <w:t xml:space="preserve"> </w:t>
      </w:r>
      <w:r w:rsidRPr="008751D6">
        <w:rPr>
          <w:rFonts w:ascii="Times New Roman" w:eastAsia="黑体" w:hAnsi="Times New Roman" w:cs="Times New Roman"/>
          <w:bCs/>
          <w:color w:val="000000"/>
          <w:sz w:val="22"/>
        </w:rPr>
        <w:t xml:space="preserve">We subsequently fed the resulting low-dimensional features into a binary linear SVM classifier. During the training process at SVM stage, 5-fold nested cross-validation was performed to find the optimal hyperparameter </w:t>
      </w:r>
      <m:oMath>
        <m:r>
          <w:rPr>
            <w:rFonts w:ascii="Cambria Math" w:eastAsia="黑体" w:hAnsi="Cambria Math" w:cs="Times New Roman"/>
            <w:color w:val="000000"/>
            <w:sz w:val="22"/>
          </w:rPr>
          <m:t>C</m:t>
        </m:r>
      </m:oMath>
      <w:r w:rsidRPr="008751D6">
        <w:rPr>
          <w:rFonts w:ascii="Times New Roman" w:eastAsia="黑体" w:hAnsi="Times New Roman" w:cs="Times New Roman"/>
          <w:bCs/>
          <w:color w:val="000000"/>
          <w:sz w:val="22"/>
        </w:rPr>
        <w:t xml:space="preserve"> from </w:t>
      </w:r>
      <m:oMath>
        <m:r>
          <w:rPr>
            <w:rFonts w:ascii="Cambria Math" w:eastAsia="黑体" w:hAnsi="Cambria Math" w:cs="Times New Roman"/>
            <w:color w:val="000000"/>
            <w:sz w:val="22"/>
          </w:rPr>
          <m:t>C=</m:t>
        </m:r>
        <m:sSup>
          <m:sSupPr>
            <m:ctrlPr>
              <w:rPr>
                <w:rFonts w:ascii="Cambria Math" w:eastAsia="黑体" w:hAnsi="Cambria Math" w:cs="Times New Roman"/>
                <w:bCs/>
                <w:i/>
                <w:color w:val="000000"/>
                <w:sz w:val="22"/>
              </w:rPr>
            </m:ctrlPr>
          </m:sSupPr>
          <m:e>
            <m:r>
              <w:rPr>
                <w:rFonts w:ascii="Cambria Math" w:eastAsia="黑体" w:hAnsi="Cambria Math" w:cs="Times New Roman"/>
                <w:color w:val="000000"/>
                <w:sz w:val="22"/>
              </w:rPr>
              <m:t>{10</m:t>
            </m:r>
          </m:e>
          <m:sup>
            <m:r>
              <w:rPr>
                <w:rFonts w:ascii="Cambria Math" w:eastAsia="黑体" w:hAnsi="Cambria Math" w:cs="Times New Roman"/>
                <w:color w:val="000000"/>
                <w:sz w:val="22"/>
              </w:rPr>
              <m:t>-3</m:t>
            </m:r>
          </m:sup>
        </m:sSup>
        <m:r>
          <w:rPr>
            <w:rFonts w:ascii="Cambria Math" w:eastAsia="黑体" w:hAnsi="Cambria Math" w:cs="Times New Roman"/>
            <w:color w:val="000000"/>
            <w:sz w:val="22"/>
          </w:rPr>
          <m:t xml:space="preserve">, </m:t>
        </m:r>
        <m:sSup>
          <m:sSupPr>
            <m:ctrlPr>
              <w:rPr>
                <w:rFonts w:ascii="Cambria Math" w:eastAsia="黑体" w:hAnsi="Cambria Math" w:cs="Times New Roman"/>
                <w:bCs/>
                <w:i/>
                <w:color w:val="000000"/>
                <w:sz w:val="22"/>
              </w:rPr>
            </m:ctrlPr>
          </m:sSupPr>
          <m:e>
            <m:r>
              <w:rPr>
                <w:rFonts w:ascii="Cambria Math" w:eastAsia="黑体" w:hAnsi="Cambria Math" w:cs="Times New Roman"/>
                <w:color w:val="000000"/>
                <w:sz w:val="22"/>
              </w:rPr>
              <m:t>10</m:t>
            </m:r>
          </m:e>
          <m:sup>
            <m:r>
              <w:rPr>
                <w:rFonts w:ascii="Cambria Math" w:eastAsia="黑体" w:hAnsi="Cambria Math" w:cs="Times New Roman"/>
                <w:color w:val="000000"/>
                <w:sz w:val="22"/>
              </w:rPr>
              <m:t>-2</m:t>
            </m:r>
          </m:sup>
        </m:sSup>
        <m:r>
          <w:rPr>
            <w:rFonts w:ascii="Cambria Math" w:eastAsia="黑体" w:hAnsi="Cambria Math" w:cs="Times New Roman"/>
            <w:color w:val="000000"/>
            <w:sz w:val="22"/>
          </w:rPr>
          <m:t>,</m:t>
        </m:r>
        <m:sSup>
          <m:sSupPr>
            <m:ctrlPr>
              <w:rPr>
                <w:rFonts w:ascii="Cambria Math" w:eastAsia="黑体" w:hAnsi="Cambria Math" w:cs="Times New Roman"/>
                <w:bCs/>
                <w:i/>
                <w:color w:val="000000"/>
                <w:sz w:val="22"/>
              </w:rPr>
            </m:ctrlPr>
          </m:sSupPr>
          <m:e>
            <m:r>
              <w:rPr>
                <w:rFonts w:ascii="Cambria Math" w:eastAsia="黑体" w:hAnsi="Cambria Math" w:cs="Times New Roman"/>
                <w:color w:val="000000"/>
                <w:sz w:val="22"/>
              </w:rPr>
              <m:t>10</m:t>
            </m:r>
          </m:e>
          <m:sup>
            <m:r>
              <w:rPr>
                <w:rFonts w:ascii="Cambria Math" w:eastAsia="黑体" w:hAnsi="Cambria Math" w:cs="Times New Roman"/>
                <w:color w:val="000000"/>
                <w:sz w:val="22"/>
              </w:rPr>
              <m:t>-1</m:t>
            </m:r>
          </m:sup>
        </m:sSup>
        <m:r>
          <w:rPr>
            <w:rFonts w:ascii="Cambria Math" w:eastAsia="黑体" w:hAnsi="Cambria Math" w:cs="Times New Roman"/>
            <w:color w:val="000000"/>
            <w:sz w:val="22"/>
          </w:rPr>
          <m:t>,1,</m:t>
        </m:r>
        <m:sSup>
          <m:sSupPr>
            <m:ctrlPr>
              <w:rPr>
                <w:rFonts w:ascii="Cambria Math" w:eastAsia="黑体" w:hAnsi="Cambria Math" w:cs="Times New Roman"/>
                <w:bCs/>
                <w:i/>
                <w:color w:val="000000"/>
                <w:sz w:val="22"/>
              </w:rPr>
            </m:ctrlPr>
          </m:sSupPr>
          <m:e>
            <m:r>
              <w:rPr>
                <w:rFonts w:ascii="Cambria Math" w:eastAsia="黑体" w:hAnsi="Cambria Math" w:cs="Times New Roman"/>
                <w:color w:val="000000"/>
                <w:sz w:val="22"/>
              </w:rPr>
              <m:t>10</m:t>
            </m:r>
          </m:e>
          <m:sup>
            <m:r>
              <w:rPr>
                <w:rFonts w:ascii="Cambria Math" w:eastAsia="黑体" w:hAnsi="Cambria Math" w:cs="Times New Roman"/>
                <w:color w:val="000000"/>
                <w:sz w:val="22"/>
              </w:rPr>
              <m:t>1</m:t>
            </m:r>
          </m:sup>
        </m:sSup>
        <m:r>
          <w:rPr>
            <w:rFonts w:ascii="Cambria Math" w:eastAsia="黑体" w:hAnsi="Cambria Math" w:cs="Times New Roman"/>
            <w:color w:val="000000"/>
            <w:sz w:val="22"/>
          </w:rPr>
          <m:t>,</m:t>
        </m:r>
        <m:sSup>
          <m:sSupPr>
            <m:ctrlPr>
              <w:rPr>
                <w:rFonts w:ascii="Cambria Math" w:eastAsia="黑体" w:hAnsi="Cambria Math" w:cs="Times New Roman"/>
                <w:bCs/>
                <w:i/>
                <w:color w:val="000000"/>
                <w:sz w:val="22"/>
              </w:rPr>
            </m:ctrlPr>
          </m:sSupPr>
          <m:e>
            <m:r>
              <w:rPr>
                <w:rFonts w:ascii="Cambria Math" w:eastAsia="黑体" w:hAnsi="Cambria Math" w:cs="Times New Roman"/>
                <w:color w:val="000000"/>
                <w:sz w:val="22"/>
              </w:rPr>
              <m:t>10</m:t>
            </m:r>
          </m:e>
          <m:sup>
            <m:r>
              <w:rPr>
                <w:rFonts w:ascii="Cambria Math" w:eastAsia="黑体" w:hAnsi="Cambria Math" w:cs="Times New Roman"/>
                <w:color w:val="000000"/>
                <w:sz w:val="22"/>
              </w:rPr>
              <m:t>2</m:t>
            </m:r>
          </m:sup>
        </m:sSup>
        <m:r>
          <w:rPr>
            <w:rFonts w:ascii="Cambria Math" w:eastAsia="黑体" w:hAnsi="Cambria Math" w:cs="Times New Roman"/>
            <w:color w:val="000000"/>
            <w:sz w:val="22"/>
          </w:rPr>
          <m:t>,</m:t>
        </m:r>
        <m:sSup>
          <m:sSupPr>
            <m:ctrlPr>
              <w:rPr>
                <w:rFonts w:ascii="Cambria Math" w:eastAsia="黑体" w:hAnsi="Cambria Math" w:cs="Times New Roman"/>
                <w:bCs/>
                <w:i/>
                <w:color w:val="000000"/>
                <w:sz w:val="22"/>
              </w:rPr>
            </m:ctrlPr>
          </m:sSupPr>
          <m:e>
            <m:r>
              <w:rPr>
                <w:rFonts w:ascii="Cambria Math" w:eastAsia="黑体" w:hAnsi="Cambria Math" w:cs="Times New Roman"/>
                <w:color w:val="000000"/>
                <w:sz w:val="22"/>
              </w:rPr>
              <m:t>10</m:t>
            </m:r>
          </m:e>
          <m:sup>
            <m:r>
              <w:rPr>
                <w:rFonts w:ascii="Cambria Math" w:eastAsia="黑体" w:hAnsi="Cambria Math" w:cs="Times New Roman"/>
                <w:color w:val="000000"/>
                <w:sz w:val="22"/>
              </w:rPr>
              <m:t>3</m:t>
            </m:r>
          </m:sup>
        </m:sSup>
        <m:r>
          <w:rPr>
            <w:rFonts w:ascii="Cambria Math" w:eastAsia="黑体" w:hAnsi="Cambria Math" w:cs="Times New Roman"/>
            <w:color w:val="000000"/>
            <w:sz w:val="22"/>
          </w:rPr>
          <m:t>,</m:t>
        </m:r>
        <m:sSup>
          <m:sSupPr>
            <m:ctrlPr>
              <w:rPr>
                <w:rFonts w:ascii="Cambria Math" w:eastAsia="黑体" w:hAnsi="Cambria Math" w:cs="Times New Roman"/>
                <w:bCs/>
                <w:i/>
                <w:color w:val="000000"/>
                <w:sz w:val="22"/>
              </w:rPr>
            </m:ctrlPr>
          </m:sSupPr>
          <m:e>
            <m:r>
              <w:rPr>
                <w:rFonts w:ascii="Cambria Math" w:eastAsia="黑体" w:hAnsi="Cambria Math" w:cs="Times New Roman"/>
                <w:color w:val="000000"/>
                <w:sz w:val="22"/>
              </w:rPr>
              <m:t>10</m:t>
            </m:r>
          </m:e>
          <m:sup>
            <m:r>
              <w:rPr>
                <w:rFonts w:ascii="Cambria Math" w:eastAsia="黑体" w:hAnsi="Cambria Math" w:cs="Times New Roman"/>
                <w:color w:val="000000"/>
                <w:sz w:val="22"/>
              </w:rPr>
              <m:t>4</m:t>
            </m:r>
          </m:sup>
        </m:sSup>
        <m:r>
          <w:rPr>
            <w:rFonts w:ascii="Cambria Math" w:eastAsia="黑体" w:hAnsi="Cambria Math" w:cs="Times New Roman"/>
            <w:color w:val="000000"/>
            <w:sz w:val="22"/>
          </w:rPr>
          <m:t>}</m:t>
        </m:r>
      </m:oMath>
      <w:r w:rsidRPr="008751D6">
        <w:rPr>
          <w:rFonts w:ascii="Times New Roman" w:eastAsia="黑体" w:hAnsi="Times New Roman" w:cs="Times New Roman"/>
          <w:bCs/>
          <w:color w:val="000000"/>
          <w:sz w:val="22"/>
        </w:rPr>
        <w:t xml:space="preserve"> via grid search. Once the optimal hyperparameter for each fold was determined, SVM was trained again with the whole training set and evaluated on the validation set.</w:t>
      </w:r>
    </w:p>
    <w:p w14:paraId="476BCD57" w14:textId="77777777" w:rsidR="006B3A90" w:rsidRDefault="006B3A90" w:rsidP="005731CE">
      <w:pPr>
        <w:spacing w:line="480" w:lineRule="auto"/>
      </w:pPr>
    </w:p>
    <w:p w14:paraId="0DB15F85" w14:textId="705D15FA" w:rsidR="006B3A90" w:rsidRPr="008751D6" w:rsidRDefault="000D0A66" w:rsidP="008751D6">
      <w:pPr>
        <w:pStyle w:val="1"/>
        <w:rPr>
          <w:sz w:val="22"/>
          <w:szCs w:val="22"/>
        </w:rPr>
      </w:pPr>
      <w:bookmarkStart w:id="7" w:name="_Toc66560844"/>
      <w:r>
        <w:rPr>
          <w:sz w:val="22"/>
          <w:szCs w:val="22"/>
        </w:rPr>
        <w:t>3</w:t>
      </w:r>
      <w:r w:rsidR="006B3A90" w:rsidRPr="008751D6">
        <w:rPr>
          <w:sz w:val="22"/>
          <w:szCs w:val="22"/>
        </w:rPr>
        <w:t xml:space="preserve">. Calculation of </w:t>
      </w:r>
      <w:r w:rsidR="006B3A90" w:rsidRPr="008751D6">
        <w:rPr>
          <w:rFonts w:hint="eastAsia"/>
          <w:sz w:val="22"/>
          <w:szCs w:val="22"/>
        </w:rPr>
        <w:t>f</w:t>
      </w:r>
      <w:r w:rsidR="006B3A90" w:rsidRPr="008751D6">
        <w:rPr>
          <w:sz w:val="22"/>
          <w:szCs w:val="22"/>
        </w:rPr>
        <w:t>eature contribution</w:t>
      </w:r>
      <w:bookmarkEnd w:id="7"/>
    </w:p>
    <w:p w14:paraId="68AA2DC8" w14:textId="7316B63F" w:rsidR="00807EEE" w:rsidRDefault="006B3A90" w:rsidP="00284762">
      <w:pPr>
        <w:spacing w:line="480" w:lineRule="auto"/>
        <w:rPr>
          <w:rFonts w:ascii="Times New Roman" w:eastAsia="黑体" w:hAnsi="Times New Roman" w:cs="Times New Roman"/>
          <w:bCs/>
          <w:color w:val="000000"/>
          <w:sz w:val="22"/>
        </w:rPr>
      </w:pPr>
      <w:r w:rsidRPr="008751D6">
        <w:rPr>
          <w:rFonts w:ascii="Times New Roman" w:eastAsia="黑体" w:hAnsi="Times New Roman" w:cs="Times New Roman"/>
          <w:bCs/>
          <w:color w:val="000000"/>
          <w:sz w:val="22"/>
        </w:rPr>
        <w:t xml:space="preserve">We extracted all the weight matrices </w:t>
      </w:r>
      <m:oMath>
        <m:r>
          <w:rPr>
            <w:rFonts w:ascii="Cambria Math" w:eastAsia="黑体" w:hAnsi="Cambria Math" w:cs="Times New Roman"/>
            <w:color w:val="000000"/>
            <w:sz w:val="22"/>
          </w:rPr>
          <m:t>W={</m:t>
        </m:r>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W</m:t>
            </m:r>
          </m:e>
          <m:sub>
            <m:r>
              <w:rPr>
                <w:rFonts w:ascii="Cambria Math" w:eastAsia="黑体" w:hAnsi="Cambria Math" w:cs="Times New Roman"/>
                <w:color w:val="000000"/>
                <w:sz w:val="22"/>
              </w:rPr>
              <m:t>1</m:t>
            </m:r>
          </m:sub>
        </m:sSub>
        <m:r>
          <w:rPr>
            <w:rFonts w:ascii="Cambria Math" w:eastAsia="黑体" w:hAnsi="Cambria Math" w:cs="Times New Roman"/>
            <w:color w:val="000000"/>
            <w:sz w:val="22"/>
          </w:rPr>
          <m:t>,</m:t>
        </m:r>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W</m:t>
            </m:r>
          </m:e>
          <m:sub>
            <m:r>
              <w:rPr>
                <w:rFonts w:ascii="Cambria Math" w:eastAsia="黑体" w:hAnsi="Cambria Math" w:cs="Times New Roman"/>
                <w:color w:val="000000"/>
                <w:sz w:val="22"/>
              </w:rPr>
              <m:t>2</m:t>
            </m:r>
          </m:sub>
        </m:sSub>
        <m:r>
          <w:rPr>
            <w:rFonts w:ascii="Cambria Math" w:eastAsia="黑体" w:hAnsi="Cambria Math" w:cs="Times New Roman"/>
            <w:color w:val="000000"/>
            <w:sz w:val="22"/>
          </w:rPr>
          <m:t>.</m:t>
        </m:r>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W</m:t>
            </m:r>
          </m:e>
          <m:sub>
            <m:r>
              <w:rPr>
                <w:rFonts w:ascii="Cambria Math" w:eastAsia="黑体" w:hAnsi="Cambria Math" w:cs="Times New Roman"/>
                <w:color w:val="000000"/>
                <w:sz w:val="22"/>
              </w:rPr>
              <m:t>3</m:t>
            </m:r>
          </m:sub>
        </m:sSub>
        <m:r>
          <w:rPr>
            <w:rFonts w:ascii="Cambria Math" w:eastAsia="黑体" w:hAnsi="Cambria Math" w:cs="Times New Roman"/>
            <w:color w:val="000000"/>
            <w:sz w:val="22"/>
          </w:rPr>
          <m:t xml:space="preserve">, </m:t>
        </m:r>
        <m:sSub>
          <m:sSubPr>
            <m:ctrlPr>
              <w:rPr>
                <w:rFonts w:ascii="Cambria Math" w:eastAsia="黑体" w:hAnsi="Cambria Math" w:cs="Times New Roman"/>
                <w:i/>
                <w:color w:val="000000"/>
                <w:sz w:val="22"/>
              </w:rPr>
            </m:ctrlPr>
          </m:sSubPr>
          <m:e>
            <m:r>
              <w:rPr>
                <w:rFonts w:ascii="Cambria Math" w:eastAsia="黑体" w:hAnsi="Cambria Math" w:cs="Times New Roman"/>
                <w:color w:val="000000"/>
                <w:sz w:val="22"/>
              </w:rPr>
              <m:t>W</m:t>
            </m:r>
          </m:e>
          <m:sub>
            <m:r>
              <w:rPr>
                <w:rFonts w:ascii="Cambria Math" w:eastAsia="黑体" w:hAnsi="Cambria Math" w:cs="Times New Roman"/>
                <w:color w:val="000000"/>
                <w:sz w:val="22"/>
              </w:rPr>
              <m:t>4</m:t>
            </m:r>
          </m:sub>
        </m:sSub>
        <m:r>
          <w:rPr>
            <w:rFonts w:ascii="Cambria Math" w:eastAsia="黑体" w:hAnsi="Cambria Math" w:cs="Times New Roman"/>
            <w:color w:val="000000"/>
            <w:sz w:val="22"/>
          </w:rPr>
          <m:t>}</m:t>
        </m:r>
      </m:oMath>
      <w:r w:rsidRPr="008751D6">
        <w:rPr>
          <w:rFonts w:ascii="Times New Roman" w:eastAsia="黑体" w:hAnsi="Times New Roman" w:cs="Times New Roman" w:hint="eastAsia"/>
          <w:bCs/>
          <w:color w:val="000000"/>
          <w:sz w:val="22"/>
        </w:rPr>
        <w:t xml:space="preserve"> </w:t>
      </w:r>
      <w:r w:rsidRPr="008751D6">
        <w:rPr>
          <w:rFonts w:ascii="Times New Roman" w:eastAsia="黑体" w:hAnsi="Times New Roman" w:cs="Times New Roman"/>
          <w:bCs/>
          <w:color w:val="000000"/>
          <w:sz w:val="22"/>
        </w:rPr>
        <w:t xml:space="preserve">connecting consecutive layers </w:t>
      </w:r>
      <m:oMath>
        <m:r>
          <w:rPr>
            <w:rFonts w:ascii="Cambria Math" w:eastAsia="黑体" w:hAnsi="Cambria Math" w:cs="Times New Roman"/>
            <w:color w:val="000000"/>
            <w:sz w:val="22"/>
          </w:rPr>
          <m:t>L={</m:t>
        </m:r>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1</m:t>
            </m:r>
          </m:sub>
        </m:sSub>
        <m:r>
          <w:rPr>
            <w:rFonts w:ascii="Cambria Math" w:eastAsia="黑体" w:hAnsi="Cambria Math" w:cs="Times New Roman"/>
            <w:color w:val="000000"/>
            <w:sz w:val="22"/>
          </w:rPr>
          <m:t>,</m:t>
        </m:r>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2</m:t>
            </m:r>
          </m:sub>
        </m:sSub>
        <m:r>
          <w:rPr>
            <w:rFonts w:ascii="Cambria Math" w:eastAsia="黑体" w:hAnsi="Cambria Math" w:cs="Times New Roman"/>
            <w:color w:val="000000"/>
            <w:sz w:val="22"/>
          </w:rPr>
          <m:t>,</m:t>
        </m:r>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3</m:t>
            </m:r>
          </m:sub>
        </m:sSub>
        <m:r>
          <w:rPr>
            <w:rFonts w:ascii="Cambria Math" w:eastAsia="黑体" w:hAnsi="Cambria Math" w:cs="Times New Roman"/>
            <w:color w:val="000000"/>
            <w:sz w:val="22"/>
          </w:rPr>
          <m:t>,</m:t>
        </m:r>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4</m:t>
            </m:r>
          </m:sub>
        </m:sSub>
        <m:r>
          <w:rPr>
            <w:rFonts w:ascii="Cambria Math" w:eastAsia="黑体" w:hAnsi="Cambria Math" w:cs="Times New Roman"/>
            <w:color w:val="000000"/>
            <w:sz w:val="22"/>
          </w:rPr>
          <m:t xml:space="preserve">, </m:t>
        </m:r>
        <m:sSub>
          <m:sSubPr>
            <m:ctrlPr>
              <w:rPr>
                <w:rFonts w:ascii="Cambria Math" w:eastAsia="黑体" w:hAnsi="Cambria Math" w:cs="Times New Roman"/>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5</m:t>
            </m:r>
          </m:sub>
        </m:sSub>
        <m:r>
          <w:rPr>
            <w:rFonts w:ascii="Cambria Math" w:eastAsia="黑体" w:hAnsi="Cambria Math" w:cs="Times New Roman"/>
            <w:color w:val="000000"/>
            <w:sz w:val="22"/>
          </w:rPr>
          <m:t>}</m:t>
        </m:r>
      </m:oMath>
      <w:r w:rsidRPr="008751D6">
        <w:rPr>
          <w:rFonts w:ascii="Times New Roman" w:eastAsia="黑体" w:hAnsi="Times New Roman" w:cs="Times New Roman" w:hint="eastAsia"/>
          <w:bCs/>
          <w:color w:val="000000"/>
          <w:sz w:val="22"/>
        </w:rPr>
        <w:t xml:space="preserve"> </w:t>
      </w:r>
      <w:r w:rsidRPr="008751D6">
        <w:rPr>
          <w:rFonts w:ascii="Times New Roman" w:eastAsia="黑体" w:hAnsi="Times New Roman" w:cs="Times New Roman"/>
          <w:bCs/>
          <w:color w:val="000000"/>
          <w:sz w:val="22"/>
        </w:rPr>
        <w:t xml:space="preserve">from the fine-tuned network, where </w:t>
      </w:r>
      <m:oMath>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i</m:t>
            </m:r>
          </m:sub>
        </m:sSub>
      </m:oMath>
      <w:r w:rsidRPr="008751D6">
        <w:rPr>
          <w:rFonts w:ascii="Times New Roman" w:eastAsia="黑体" w:hAnsi="Times New Roman" w:cs="Times New Roman" w:hint="eastAsia"/>
          <w:bCs/>
          <w:color w:val="000000"/>
          <w:sz w:val="22"/>
        </w:rPr>
        <w:t xml:space="preserve"> </w:t>
      </w:r>
      <w:r w:rsidRPr="008751D6">
        <w:rPr>
          <w:rFonts w:ascii="Times New Roman" w:eastAsia="黑体" w:hAnsi="Times New Roman" w:cs="Times New Roman"/>
          <w:bCs/>
          <w:color w:val="000000"/>
          <w:sz w:val="22"/>
        </w:rPr>
        <w:t xml:space="preserve">denotes the </w:t>
      </w:r>
      <w:proofErr w:type="spellStart"/>
      <w:r w:rsidRPr="008751D6">
        <w:rPr>
          <w:rFonts w:ascii="Times New Roman" w:eastAsia="黑体" w:hAnsi="Times New Roman" w:cs="Times New Roman"/>
          <w:bCs/>
          <w:i/>
          <w:iCs/>
          <w:color w:val="000000"/>
          <w:sz w:val="22"/>
        </w:rPr>
        <w:t>i-</w:t>
      </w:r>
      <w:r w:rsidRPr="008751D6">
        <w:rPr>
          <w:rFonts w:ascii="Times New Roman" w:eastAsia="黑体" w:hAnsi="Times New Roman" w:cs="Times New Roman"/>
          <w:bCs/>
          <w:color w:val="000000"/>
          <w:sz w:val="22"/>
        </w:rPr>
        <w:t>th</w:t>
      </w:r>
      <w:proofErr w:type="spellEnd"/>
      <w:r w:rsidRPr="008751D6">
        <w:rPr>
          <w:rFonts w:ascii="Times New Roman" w:eastAsia="黑体" w:hAnsi="Times New Roman" w:cs="Times New Roman"/>
          <w:bCs/>
          <w:color w:val="000000"/>
          <w:sz w:val="22"/>
        </w:rPr>
        <w:t xml:space="preserve"> layer and </w:t>
      </w:r>
      <m:oMath>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W</m:t>
            </m:r>
          </m:e>
          <m:sub>
            <m:r>
              <w:rPr>
                <w:rFonts w:ascii="Cambria Math" w:eastAsia="黑体" w:hAnsi="Cambria Math" w:cs="Times New Roman"/>
                <w:color w:val="000000"/>
                <w:sz w:val="22"/>
              </w:rPr>
              <m:t>i</m:t>
            </m:r>
          </m:sub>
        </m:sSub>
      </m:oMath>
      <w:r w:rsidRPr="008751D6">
        <w:rPr>
          <w:rFonts w:ascii="Times New Roman" w:eastAsia="黑体" w:hAnsi="Times New Roman" w:cs="Times New Roman" w:hint="eastAsia"/>
          <w:bCs/>
          <w:color w:val="000000"/>
          <w:sz w:val="22"/>
        </w:rPr>
        <w:t xml:space="preserve"> </w:t>
      </w:r>
      <w:r w:rsidRPr="008751D6">
        <w:rPr>
          <w:rFonts w:ascii="Times New Roman" w:eastAsia="黑体" w:hAnsi="Times New Roman" w:cs="Times New Roman"/>
          <w:bCs/>
          <w:color w:val="000000"/>
          <w:sz w:val="22"/>
        </w:rPr>
        <w:lastRenderedPageBreak/>
        <w:t xml:space="preserve">denotes the weight matrix connecting </w:t>
      </w:r>
      <m:oMath>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i</m:t>
            </m:r>
          </m:sub>
        </m:sSub>
      </m:oMath>
      <w:r w:rsidRPr="008751D6">
        <w:rPr>
          <w:rFonts w:ascii="Times New Roman" w:eastAsia="黑体" w:hAnsi="Times New Roman" w:cs="Times New Roman" w:hint="eastAsia"/>
          <w:bCs/>
          <w:color w:val="000000"/>
          <w:sz w:val="22"/>
        </w:rPr>
        <w:t xml:space="preserve"> </w:t>
      </w:r>
      <w:r w:rsidRPr="008751D6">
        <w:rPr>
          <w:rFonts w:ascii="Times New Roman" w:eastAsia="黑体" w:hAnsi="Times New Roman" w:cs="Times New Roman"/>
          <w:bCs/>
          <w:color w:val="000000"/>
          <w:sz w:val="22"/>
        </w:rPr>
        <w:t xml:space="preserve">and </w:t>
      </w:r>
      <m:oMath>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i+1</m:t>
            </m:r>
          </m:sub>
        </m:sSub>
      </m:oMath>
      <w:r w:rsidRPr="008751D6">
        <w:rPr>
          <w:rFonts w:ascii="Times New Roman" w:eastAsia="黑体" w:hAnsi="Times New Roman" w:cs="Times New Roman" w:hint="eastAsia"/>
          <w:bCs/>
          <w:color w:val="000000"/>
          <w:sz w:val="22"/>
        </w:rPr>
        <w:t>.</w:t>
      </w:r>
      <w:r w:rsidRPr="008751D6">
        <w:rPr>
          <w:rFonts w:ascii="Times New Roman" w:eastAsia="黑体" w:hAnsi="Times New Roman" w:cs="Times New Roman"/>
          <w:bCs/>
          <w:color w:val="000000"/>
          <w:sz w:val="22"/>
        </w:rPr>
        <w:t xml:space="preserve"> As Hazlett et al. described</w:t>
      </w:r>
      <w:r>
        <w:rPr>
          <w:rFonts w:ascii="Times New Roman" w:eastAsia="黑体" w:hAnsi="Times New Roman" w:cs="Times New Roman"/>
          <w:bCs/>
          <w:color w:val="000000"/>
          <w:sz w:val="22"/>
        </w:rPr>
        <w:t xml:space="preserve"> </w:t>
      </w:r>
      <w:r>
        <w:rPr>
          <w:rFonts w:ascii="Times New Roman" w:eastAsia="黑体" w:hAnsi="Times New Roman" w:cs="Times New Roman"/>
          <w:bCs/>
          <w:noProof/>
          <w:color w:val="000000"/>
          <w:sz w:val="22"/>
        </w:rPr>
        <w:t>(11)</w:t>
      </w:r>
      <w:r w:rsidRPr="008751D6">
        <w:rPr>
          <w:rFonts w:ascii="Times New Roman" w:eastAsia="黑体" w:hAnsi="Times New Roman" w:cs="Times New Roman"/>
          <w:bCs/>
          <w:color w:val="000000"/>
          <w:sz w:val="22"/>
        </w:rPr>
        <w:t xml:space="preserve">, the contribution of each node </w:t>
      </w:r>
      <w:proofErr w:type="gramStart"/>
      <w:r w:rsidRPr="008751D6">
        <w:rPr>
          <w:rFonts w:ascii="Times New Roman" w:eastAsia="黑体" w:hAnsi="Times New Roman" w:cs="Times New Roman"/>
          <w:bCs/>
          <w:color w:val="000000"/>
          <w:sz w:val="22"/>
        </w:rPr>
        <w:t>in a given</w:t>
      </w:r>
      <w:proofErr w:type="gramEnd"/>
      <w:r w:rsidRPr="008751D6">
        <w:rPr>
          <w:rFonts w:ascii="Times New Roman" w:eastAsia="黑体" w:hAnsi="Times New Roman" w:cs="Times New Roman"/>
          <w:bCs/>
          <w:color w:val="000000"/>
          <w:sz w:val="22"/>
        </w:rPr>
        <w:t xml:space="preserve"> layer </w:t>
      </w:r>
      <m:oMath>
        <m:r>
          <w:rPr>
            <w:rFonts w:ascii="Cambria Math" w:eastAsia="黑体" w:hAnsi="Cambria Math" w:cs="Times New Roman"/>
            <w:color w:val="000000"/>
            <w:sz w:val="22"/>
          </w:rPr>
          <m:t>i</m:t>
        </m:r>
      </m:oMath>
      <w:r w:rsidRPr="008751D6">
        <w:rPr>
          <w:rFonts w:ascii="Times New Roman" w:eastAsia="黑体" w:hAnsi="Times New Roman" w:cs="Times New Roman"/>
          <w:bCs/>
          <w:color w:val="000000"/>
          <w:sz w:val="22"/>
        </w:rPr>
        <w:t xml:space="preserve"> was estimated from the weight matrix </w:t>
      </w:r>
      <m:oMath>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W</m:t>
            </m:r>
          </m:e>
          <m:sub>
            <m:r>
              <w:rPr>
                <w:rFonts w:ascii="Cambria Math" w:eastAsia="黑体" w:hAnsi="Cambria Math" w:cs="Times New Roman"/>
                <w:color w:val="000000"/>
                <w:sz w:val="22"/>
              </w:rPr>
              <m:t>i</m:t>
            </m:r>
          </m:sub>
        </m:sSub>
      </m:oMath>
      <w:r w:rsidRPr="008751D6">
        <w:rPr>
          <w:rFonts w:ascii="Times New Roman" w:eastAsia="黑体" w:hAnsi="Times New Roman" w:cs="Times New Roman"/>
          <w:bCs/>
          <w:color w:val="000000"/>
          <w:sz w:val="22"/>
        </w:rPr>
        <w:t xml:space="preserve">. We accordingly started from </w:t>
      </w:r>
      <m:oMath>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4</m:t>
            </m:r>
          </m:sub>
        </m:sSub>
      </m:oMath>
      <w:r w:rsidRPr="008751D6">
        <w:rPr>
          <w:rFonts w:ascii="Times New Roman" w:eastAsia="黑体" w:hAnsi="Times New Roman" w:cs="Times New Roman" w:hint="eastAsia"/>
          <w:bCs/>
          <w:color w:val="000000"/>
          <w:sz w:val="22"/>
        </w:rPr>
        <w:t xml:space="preserve"> </w:t>
      </w:r>
      <w:r w:rsidRPr="008751D6">
        <w:rPr>
          <w:rFonts w:ascii="Times New Roman" w:eastAsia="黑体" w:hAnsi="Times New Roman" w:cs="Times New Roman"/>
          <w:bCs/>
          <w:color w:val="000000"/>
          <w:sz w:val="22"/>
        </w:rPr>
        <w:t xml:space="preserve">and work backwards keeping nodes with greatest contributions whose summed contributions represent more than 50% of the weight contribution in </w:t>
      </w:r>
      <m:oMath>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4</m:t>
            </m:r>
          </m:sub>
        </m:sSub>
      </m:oMath>
      <w:r w:rsidRPr="008751D6">
        <w:rPr>
          <w:rFonts w:ascii="Times New Roman" w:eastAsia="黑体" w:hAnsi="Times New Roman" w:cs="Times New Roman"/>
          <w:bCs/>
          <w:color w:val="000000"/>
          <w:sz w:val="22"/>
        </w:rPr>
        <w:t xml:space="preserve">. Next, node contributions in </w:t>
      </w:r>
      <m:oMath>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3</m:t>
            </m:r>
          </m:sub>
        </m:sSub>
      </m:oMath>
      <w:r w:rsidRPr="008751D6">
        <w:rPr>
          <w:rFonts w:ascii="Times New Roman" w:eastAsia="黑体" w:hAnsi="Times New Roman" w:cs="Times New Roman" w:hint="eastAsia"/>
          <w:bCs/>
          <w:color w:val="000000"/>
          <w:sz w:val="22"/>
        </w:rPr>
        <w:t xml:space="preserve"> </w:t>
      </w:r>
      <w:r w:rsidRPr="008751D6">
        <w:rPr>
          <w:rFonts w:ascii="Times New Roman" w:eastAsia="黑体" w:hAnsi="Times New Roman" w:cs="Times New Roman"/>
          <w:bCs/>
          <w:color w:val="000000"/>
          <w:sz w:val="22"/>
        </w:rPr>
        <w:t xml:space="preserve">were estimated using a partition of weight matrix </w:t>
      </w:r>
      <m:oMath>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W</m:t>
            </m:r>
          </m:e>
          <m:sub>
            <m:r>
              <w:rPr>
                <w:rFonts w:ascii="Cambria Math" w:eastAsia="黑体" w:hAnsi="Cambria Math" w:cs="Times New Roman"/>
                <w:color w:val="000000"/>
                <w:sz w:val="22"/>
              </w:rPr>
              <m:t>3</m:t>
            </m:r>
          </m:sub>
        </m:sSub>
      </m:oMath>
      <w:r w:rsidRPr="008751D6">
        <w:rPr>
          <w:rFonts w:ascii="Times New Roman" w:eastAsia="黑体" w:hAnsi="Times New Roman" w:cs="Times New Roman"/>
          <w:bCs/>
          <w:color w:val="000000"/>
          <w:sz w:val="22"/>
        </w:rPr>
        <w:t xml:space="preserve"> restricted to those surviving nodes in </w:t>
      </w:r>
      <m:oMath>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4</m:t>
            </m:r>
          </m:sub>
        </m:sSub>
      </m:oMath>
      <w:r w:rsidRPr="008751D6">
        <w:rPr>
          <w:rFonts w:ascii="Times New Roman" w:eastAsia="黑体" w:hAnsi="Times New Roman" w:cs="Times New Roman"/>
          <w:bCs/>
          <w:color w:val="000000"/>
          <w:sz w:val="22"/>
        </w:rPr>
        <w:t xml:space="preserve">. This calculation was propagated backward until we reached the </w:t>
      </w:r>
      <m:oMath>
        <m:sSub>
          <m:sSubPr>
            <m:ctrlPr>
              <w:rPr>
                <w:rFonts w:ascii="Cambria Math" w:eastAsia="黑体" w:hAnsi="Cambria Math" w:cs="Times New Roman"/>
                <w:bCs/>
                <w:i/>
                <w:color w:val="000000"/>
                <w:sz w:val="22"/>
              </w:rPr>
            </m:ctrlPr>
          </m:sSubPr>
          <m:e>
            <m:r>
              <w:rPr>
                <w:rFonts w:ascii="Cambria Math" w:eastAsia="黑体" w:hAnsi="Cambria Math" w:cs="Times New Roman"/>
                <w:color w:val="000000"/>
                <w:sz w:val="22"/>
              </w:rPr>
              <m:t>l</m:t>
            </m:r>
          </m:e>
          <m:sub>
            <m:r>
              <w:rPr>
                <w:rFonts w:ascii="Cambria Math" w:eastAsia="黑体" w:hAnsi="Cambria Math" w:cs="Times New Roman"/>
                <w:color w:val="000000"/>
                <w:sz w:val="22"/>
              </w:rPr>
              <m:t>1</m:t>
            </m:r>
          </m:sub>
        </m:sSub>
      </m:oMath>
      <w:r w:rsidRPr="008751D6">
        <w:rPr>
          <w:rFonts w:ascii="Times New Roman" w:eastAsia="黑体" w:hAnsi="Times New Roman" w:cs="Times New Roman" w:hint="eastAsia"/>
          <w:bCs/>
          <w:color w:val="000000"/>
          <w:sz w:val="22"/>
        </w:rPr>
        <w:t xml:space="preserve"> </w:t>
      </w:r>
      <w:r w:rsidRPr="008751D6">
        <w:rPr>
          <w:rFonts w:ascii="Times New Roman" w:eastAsia="黑体" w:hAnsi="Times New Roman" w:cs="Times New Roman"/>
          <w:bCs/>
          <w:color w:val="000000"/>
          <w:sz w:val="22"/>
        </w:rPr>
        <w:t>where contributions of raw features are available.</w:t>
      </w:r>
    </w:p>
    <w:p w14:paraId="495A74B7" w14:textId="77777777" w:rsidR="00807EEE" w:rsidRDefault="00807EEE">
      <w:pPr>
        <w:widowControl/>
        <w:jc w:val="left"/>
        <w:rPr>
          <w:rFonts w:ascii="Times New Roman" w:eastAsia="黑体" w:hAnsi="Times New Roman" w:cs="Times New Roman"/>
          <w:bCs/>
          <w:color w:val="000000"/>
          <w:sz w:val="22"/>
        </w:rPr>
      </w:pPr>
      <w:r>
        <w:rPr>
          <w:rFonts w:ascii="Times New Roman" w:eastAsia="黑体" w:hAnsi="Times New Roman" w:cs="Times New Roman"/>
          <w:bCs/>
          <w:color w:val="000000"/>
          <w:sz w:val="22"/>
        </w:rPr>
        <w:br w:type="page"/>
      </w:r>
    </w:p>
    <w:tbl>
      <w:tblPr>
        <w:tblStyle w:val="af1"/>
        <w:tblpPr w:leftFromText="180" w:rightFromText="180" w:vertAnchor="page" w:horzAnchor="margin" w:tblpY="1941"/>
        <w:tblW w:w="8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7"/>
        <w:gridCol w:w="1984"/>
      </w:tblGrid>
      <w:tr w:rsidR="00807EEE" w:rsidRPr="00D80D39" w14:paraId="5075AA50" w14:textId="77777777" w:rsidTr="001153CB">
        <w:trPr>
          <w:trHeight w:val="397"/>
        </w:trPr>
        <w:tc>
          <w:tcPr>
            <w:tcW w:w="3969" w:type="dxa"/>
            <w:tcBorders>
              <w:top w:val="single" w:sz="4" w:space="0" w:color="auto"/>
              <w:bottom w:val="single" w:sz="4" w:space="0" w:color="auto"/>
            </w:tcBorders>
            <w:vAlign w:val="center"/>
          </w:tcPr>
          <w:p w14:paraId="2F2956BD" w14:textId="77777777" w:rsidR="00807EEE" w:rsidRPr="00D80D39" w:rsidRDefault="00807EEE" w:rsidP="001153CB">
            <w:pPr>
              <w:spacing w:line="360" w:lineRule="auto"/>
              <w:rPr>
                <w:color w:val="000000" w:themeColor="text1"/>
                <w:sz w:val="22"/>
                <w:szCs w:val="22"/>
              </w:rPr>
            </w:pPr>
            <w:r w:rsidRPr="00D80D39">
              <w:rPr>
                <w:b/>
                <w:bCs/>
                <w:color w:val="000000" w:themeColor="text1"/>
                <w:sz w:val="22"/>
                <w:szCs w:val="22"/>
              </w:rPr>
              <w:lastRenderedPageBreak/>
              <w:t>Characteristic</w:t>
            </w:r>
          </w:p>
        </w:tc>
        <w:tc>
          <w:tcPr>
            <w:tcW w:w="2127" w:type="dxa"/>
            <w:tcBorders>
              <w:top w:val="single" w:sz="4" w:space="0" w:color="auto"/>
              <w:bottom w:val="single" w:sz="4" w:space="0" w:color="auto"/>
            </w:tcBorders>
            <w:vAlign w:val="center"/>
          </w:tcPr>
          <w:p w14:paraId="5FF14BB4" w14:textId="77777777" w:rsidR="00807EEE" w:rsidRPr="00D80D39" w:rsidRDefault="00807EEE" w:rsidP="001153CB">
            <w:pPr>
              <w:spacing w:line="360" w:lineRule="auto"/>
              <w:rPr>
                <w:color w:val="000000" w:themeColor="text1"/>
                <w:sz w:val="22"/>
                <w:szCs w:val="22"/>
              </w:rPr>
            </w:pPr>
            <w:r w:rsidRPr="00D80D39">
              <w:rPr>
                <w:b/>
                <w:bCs/>
                <w:color w:val="000000" w:themeColor="text1"/>
                <w:sz w:val="22"/>
                <w:szCs w:val="22"/>
              </w:rPr>
              <w:t>Quetiapine (n = 71)</w:t>
            </w:r>
          </w:p>
        </w:tc>
        <w:tc>
          <w:tcPr>
            <w:tcW w:w="1984" w:type="dxa"/>
            <w:tcBorders>
              <w:top w:val="single" w:sz="4" w:space="0" w:color="auto"/>
              <w:bottom w:val="single" w:sz="4" w:space="0" w:color="auto"/>
            </w:tcBorders>
            <w:vAlign w:val="center"/>
          </w:tcPr>
          <w:p w14:paraId="46F21753" w14:textId="77777777" w:rsidR="00807EEE" w:rsidRPr="00D80D39" w:rsidRDefault="00807EEE" w:rsidP="001153CB">
            <w:pPr>
              <w:spacing w:line="360" w:lineRule="auto"/>
              <w:rPr>
                <w:color w:val="000000" w:themeColor="text1"/>
                <w:sz w:val="22"/>
                <w:szCs w:val="22"/>
              </w:rPr>
            </w:pPr>
            <w:r w:rsidRPr="00D80D39">
              <w:rPr>
                <w:b/>
                <w:bCs/>
                <w:color w:val="000000" w:themeColor="text1"/>
                <w:sz w:val="22"/>
                <w:szCs w:val="22"/>
              </w:rPr>
              <w:t>Lithium (n = 50)</w:t>
            </w:r>
          </w:p>
        </w:tc>
      </w:tr>
      <w:tr w:rsidR="00807EEE" w:rsidRPr="00D80D39" w14:paraId="6B1DEF44" w14:textId="77777777" w:rsidTr="001153CB">
        <w:trPr>
          <w:trHeight w:val="397"/>
        </w:trPr>
        <w:tc>
          <w:tcPr>
            <w:tcW w:w="3969" w:type="dxa"/>
            <w:tcBorders>
              <w:top w:val="single" w:sz="4" w:space="0" w:color="auto"/>
            </w:tcBorders>
            <w:vAlign w:val="center"/>
          </w:tcPr>
          <w:p w14:paraId="4D138CC3"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Lifet</w:t>
            </w:r>
            <w:r w:rsidRPr="00D80D39">
              <w:rPr>
                <w:color w:val="000000" w:themeColor="text1"/>
                <w:sz w:val="22"/>
                <w:szCs w:val="22"/>
              </w:rPr>
              <w:t>ime comorbidity, N (%)</w:t>
            </w:r>
          </w:p>
        </w:tc>
        <w:tc>
          <w:tcPr>
            <w:tcW w:w="2127" w:type="dxa"/>
            <w:tcBorders>
              <w:top w:val="single" w:sz="4" w:space="0" w:color="auto"/>
            </w:tcBorders>
            <w:vAlign w:val="center"/>
          </w:tcPr>
          <w:p w14:paraId="020BFC8B" w14:textId="77777777" w:rsidR="00807EEE" w:rsidRPr="00D80D39" w:rsidRDefault="00807EEE" w:rsidP="001153CB">
            <w:pPr>
              <w:spacing w:line="360" w:lineRule="auto"/>
              <w:rPr>
                <w:color w:val="000000" w:themeColor="text1"/>
                <w:sz w:val="22"/>
                <w:szCs w:val="22"/>
              </w:rPr>
            </w:pPr>
          </w:p>
        </w:tc>
        <w:tc>
          <w:tcPr>
            <w:tcW w:w="1984" w:type="dxa"/>
            <w:tcBorders>
              <w:top w:val="single" w:sz="4" w:space="0" w:color="auto"/>
            </w:tcBorders>
            <w:vAlign w:val="center"/>
          </w:tcPr>
          <w:p w14:paraId="20E422F6" w14:textId="77777777" w:rsidR="00807EEE" w:rsidRPr="00D80D39" w:rsidRDefault="00807EEE" w:rsidP="001153CB">
            <w:pPr>
              <w:spacing w:line="360" w:lineRule="auto"/>
              <w:rPr>
                <w:color w:val="000000" w:themeColor="text1"/>
                <w:sz w:val="22"/>
                <w:szCs w:val="22"/>
              </w:rPr>
            </w:pPr>
          </w:p>
        </w:tc>
      </w:tr>
      <w:tr w:rsidR="00807EEE" w:rsidRPr="00D80D39" w14:paraId="1FD6A1EF" w14:textId="77777777" w:rsidTr="001153CB">
        <w:trPr>
          <w:trHeight w:val="397"/>
        </w:trPr>
        <w:tc>
          <w:tcPr>
            <w:tcW w:w="3969" w:type="dxa"/>
            <w:vAlign w:val="center"/>
          </w:tcPr>
          <w:p w14:paraId="7670E183" w14:textId="77777777" w:rsidR="00807EEE" w:rsidRPr="00D80D39" w:rsidRDefault="00807EEE" w:rsidP="001153CB">
            <w:pPr>
              <w:spacing w:line="360" w:lineRule="auto"/>
              <w:rPr>
                <w:color w:val="000000" w:themeColor="text1"/>
                <w:sz w:val="22"/>
                <w:szCs w:val="22"/>
              </w:rPr>
            </w:pPr>
            <w:r w:rsidRPr="00D80D39">
              <w:rPr>
                <w:color w:val="000000" w:themeColor="text1"/>
                <w:sz w:val="22"/>
                <w:szCs w:val="22"/>
              </w:rPr>
              <w:t xml:space="preserve">    Psychosis</w:t>
            </w:r>
          </w:p>
        </w:tc>
        <w:tc>
          <w:tcPr>
            <w:tcW w:w="2127" w:type="dxa"/>
            <w:vAlign w:val="center"/>
          </w:tcPr>
          <w:p w14:paraId="63884850"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7</w:t>
            </w:r>
            <w:r w:rsidRPr="00D80D39">
              <w:rPr>
                <w:color w:val="000000" w:themeColor="text1"/>
                <w:sz w:val="22"/>
                <w:szCs w:val="22"/>
              </w:rPr>
              <w:t xml:space="preserve"> (10.9%)</w:t>
            </w:r>
          </w:p>
        </w:tc>
        <w:tc>
          <w:tcPr>
            <w:tcW w:w="1984" w:type="dxa"/>
            <w:vAlign w:val="center"/>
          </w:tcPr>
          <w:p w14:paraId="7E4B0A4A"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6</w:t>
            </w:r>
            <w:r w:rsidRPr="00D80D39">
              <w:rPr>
                <w:color w:val="000000" w:themeColor="text1"/>
                <w:sz w:val="22"/>
                <w:szCs w:val="22"/>
              </w:rPr>
              <w:t xml:space="preserve"> (12.0%)</w:t>
            </w:r>
          </w:p>
        </w:tc>
      </w:tr>
      <w:tr w:rsidR="00807EEE" w:rsidRPr="00D80D39" w14:paraId="474DEF0B" w14:textId="77777777" w:rsidTr="001153CB">
        <w:trPr>
          <w:trHeight w:val="397"/>
        </w:trPr>
        <w:tc>
          <w:tcPr>
            <w:tcW w:w="3969" w:type="dxa"/>
            <w:vAlign w:val="center"/>
          </w:tcPr>
          <w:p w14:paraId="080F1AC8" w14:textId="77777777" w:rsidR="00807EEE" w:rsidRPr="00D80D39" w:rsidRDefault="00807EEE" w:rsidP="001153CB">
            <w:pPr>
              <w:spacing w:line="360" w:lineRule="auto"/>
              <w:rPr>
                <w:color w:val="000000" w:themeColor="text1"/>
                <w:sz w:val="22"/>
                <w:szCs w:val="22"/>
              </w:rPr>
            </w:pPr>
            <w:r w:rsidRPr="00D80D39">
              <w:rPr>
                <w:color w:val="000000" w:themeColor="text1"/>
                <w:sz w:val="22"/>
                <w:szCs w:val="22"/>
              </w:rPr>
              <w:t xml:space="preserve">    Anxiety disorder</w:t>
            </w:r>
          </w:p>
        </w:tc>
        <w:tc>
          <w:tcPr>
            <w:tcW w:w="2127" w:type="dxa"/>
            <w:vAlign w:val="center"/>
          </w:tcPr>
          <w:p w14:paraId="46830CAC" w14:textId="77777777" w:rsidR="00807EEE" w:rsidRPr="00D80D39" w:rsidRDefault="00807EEE" w:rsidP="001153CB">
            <w:pPr>
              <w:spacing w:line="360" w:lineRule="auto"/>
              <w:rPr>
                <w:color w:val="000000" w:themeColor="text1"/>
                <w:sz w:val="22"/>
                <w:szCs w:val="22"/>
              </w:rPr>
            </w:pPr>
            <w:r w:rsidRPr="00D80D39">
              <w:rPr>
                <w:color w:val="000000" w:themeColor="text1"/>
                <w:sz w:val="22"/>
                <w:szCs w:val="22"/>
              </w:rPr>
              <w:t>14 (19.7%)</w:t>
            </w:r>
          </w:p>
        </w:tc>
        <w:tc>
          <w:tcPr>
            <w:tcW w:w="1984" w:type="dxa"/>
            <w:vAlign w:val="center"/>
          </w:tcPr>
          <w:p w14:paraId="2C8A0E28" w14:textId="77777777" w:rsidR="00807EEE" w:rsidRPr="00D80D39" w:rsidRDefault="00807EEE" w:rsidP="001153CB">
            <w:pPr>
              <w:spacing w:line="360" w:lineRule="auto"/>
              <w:rPr>
                <w:color w:val="000000" w:themeColor="text1"/>
                <w:sz w:val="22"/>
                <w:szCs w:val="22"/>
              </w:rPr>
            </w:pPr>
            <w:r w:rsidRPr="00D80D39">
              <w:rPr>
                <w:color w:val="000000" w:themeColor="text1"/>
                <w:sz w:val="22"/>
                <w:szCs w:val="22"/>
              </w:rPr>
              <w:t>7 (14.0%)</w:t>
            </w:r>
          </w:p>
        </w:tc>
      </w:tr>
      <w:tr w:rsidR="00807EEE" w:rsidRPr="00D80D39" w14:paraId="50E3B5A7" w14:textId="77777777" w:rsidTr="001153CB">
        <w:trPr>
          <w:trHeight w:val="397"/>
        </w:trPr>
        <w:tc>
          <w:tcPr>
            <w:tcW w:w="3969" w:type="dxa"/>
            <w:vAlign w:val="center"/>
          </w:tcPr>
          <w:p w14:paraId="13D86306"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 xml:space="preserve"> </w:t>
            </w:r>
            <w:r w:rsidRPr="00D80D39">
              <w:rPr>
                <w:color w:val="000000" w:themeColor="text1"/>
                <w:sz w:val="22"/>
                <w:szCs w:val="22"/>
              </w:rPr>
              <w:t xml:space="preserve">   ADHD</w:t>
            </w:r>
          </w:p>
        </w:tc>
        <w:tc>
          <w:tcPr>
            <w:tcW w:w="2127" w:type="dxa"/>
            <w:vAlign w:val="center"/>
          </w:tcPr>
          <w:p w14:paraId="6F5B917A"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2</w:t>
            </w:r>
            <w:r w:rsidRPr="00D80D39">
              <w:rPr>
                <w:color w:val="000000" w:themeColor="text1"/>
                <w:sz w:val="22"/>
                <w:szCs w:val="22"/>
              </w:rPr>
              <w:t>6 (36.6%)</w:t>
            </w:r>
          </w:p>
        </w:tc>
        <w:tc>
          <w:tcPr>
            <w:tcW w:w="1984" w:type="dxa"/>
            <w:vAlign w:val="center"/>
          </w:tcPr>
          <w:p w14:paraId="26E8ED48"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1</w:t>
            </w:r>
            <w:r w:rsidRPr="00D80D39">
              <w:rPr>
                <w:color w:val="000000" w:themeColor="text1"/>
                <w:sz w:val="22"/>
                <w:szCs w:val="22"/>
              </w:rPr>
              <w:t>4 (28.0%)</w:t>
            </w:r>
          </w:p>
        </w:tc>
      </w:tr>
      <w:tr w:rsidR="00807EEE" w:rsidRPr="00D80D39" w14:paraId="4919C1B8" w14:textId="77777777" w:rsidTr="001153CB">
        <w:trPr>
          <w:trHeight w:val="397"/>
        </w:trPr>
        <w:tc>
          <w:tcPr>
            <w:tcW w:w="3969" w:type="dxa"/>
            <w:vAlign w:val="center"/>
          </w:tcPr>
          <w:p w14:paraId="4ABCA0FB"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Lifetime</w:t>
            </w:r>
            <w:r w:rsidRPr="00D80D39">
              <w:rPr>
                <w:color w:val="000000" w:themeColor="text1"/>
                <w:sz w:val="22"/>
                <w:szCs w:val="22"/>
              </w:rPr>
              <w:t xml:space="preserve"> substance abuse, N (%)</w:t>
            </w:r>
          </w:p>
        </w:tc>
        <w:tc>
          <w:tcPr>
            <w:tcW w:w="2127" w:type="dxa"/>
            <w:vAlign w:val="center"/>
          </w:tcPr>
          <w:p w14:paraId="4178AACE"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3</w:t>
            </w:r>
            <w:r w:rsidRPr="00D80D39">
              <w:rPr>
                <w:color w:val="000000" w:themeColor="text1"/>
                <w:sz w:val="22"/>
                <w:szCs w:val="22"/>
              </w:rPr>
              <w:t xml:space="preserve"> (4.2%)</w:t>
            </w:r>
          </w:p>
        </w:tc>
        <w:tc>
          <w:tcPr>
            <w:tcW w:w="1984" w:type="dxa"/>
            <w:vAlign w:val="center"/>
          </w:tcPr>
          <w:p w14:paraId="4D3D70B6"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2</w:t>
            </w:r>
            <w:r w:rsidRPr="00D80D39">
              <w:rPr>
                <w:color w:val="000000" w:themeColor="text1"/>
                <w:sz w:val="22"/>
                <w:szCs w:val="22"/>
              </w:rPr>
              <w:t xml:space="preserve"> (4.0%)</w:t>
            </w:r>
          </w:p>
        </w:tc>
      </w:tr>
      <w:tr w:rsidR="00807EEE" w:rsidRPr="00D80D39" w14:paraId="36D5B07B" w14:textId="77777777" w:rsidTr="001153CB">
        <w:trPr>
          <w:trHeight w:val="397"/>
        </w:trPr>
        <w:tc>
          <w:tcPr>
            <w:tcW w:w="3969" w:type="dxa"/>
            <w:vAlign w:val="center"/>
          </w:tcPr>
          <w:p w14:paraId="7C29943F"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F</w:t>
            </w:r>
            <w:r w:rsidRPr="00D80D39">
              <w:rPr>
                <w:color w:val="000000" w:themeColor="text1"/>
                <w:sz w:val="22"/>
                <w:szCs w:val="22"/>
              </w:rPr>
              <w:t xml:space="preserve">amily history of bipolar </w:t>
            </w:r>
            <w:proofErr w:type="spellStart"/>
            <w:r w:rsidRPr="00D80D39">
              <w:rPr>
                <w:color w:val="000000" w:themeColor="text1"/>
                <w:sz w:val="22"/>
                <w:szCs w:val="22"/>
              </w:rPr>
              <w:t>diorder</w:t>
            </w:r>
            <w:r w:rsidRPr="00D80D39">
              <w:rPr>
                <w:color w:val="000000" w:themeColor="text1"/>
                <w:sz w:val="22"/>
                <w:szCs w:val="22"/>
                <w:vertAlign w:val="superscript"/>
              </w:rPr>
              <w:t>a</w:t>
            </w:r>
            <w:proofErr w:type="spellEnd"/>
            <w:r w:rsidRPr="00D80D39">
              <w:rPr>
                <w:color w:val="000000" w:themeColor="text1"/>
                <w:sz w:val="22"/>
                <w:szCs w:val="22"/>
              </w:rPr>
              <w:t>, N (%)</w:t>
            </w:r>
          </w:p>
        </w:tc>
        <w:tc>
          <w:tcPr>
            <w:tcW w:w="2127" w:type="dxa"/>
            <w:vAlign w:val="center"/>
          </w:tcPr>
          <w:p w14:paraId="62291E02"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2</w:t>
            </w:r>
            <w:r w:rsidRPr="00D80D39">
              <w:rPr>
                <w:color w:val="000000" w:themeColor="text1"/>
                <w:sz w:val="22"/>
                <w:szCs w:val="22"/>
              </w:rPr>
              <w:t>0 (40.8%)</w:t>
            </w:r>
          </w:p>
        </w:tc>
        <w:tc>
          <w:tcPr>
            <w:tcW w:w="1984" w:type="dxa"/>
            <w:vAlign w:val="center"/>
          </w:tcPr>
          <w:p w14:paraId="5E712CEF"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1</w:t>
            </w:r>
            <w:r w:rsidRPr="00D80D39">
              <w:rPr>
                <w:color w:val="000000" w:themeColor="text1"/>
                <w:sz w:val="22"/>
                <w:szCs w:val="22"/>
              </w:rPr>
              <w:t>1 (32.4%)</w:t>
            </w:r>
          </w:p>
        </w:tc>
      </w:tr>
      <w:tr w:rsidR="00807EEE" w:rsidRPr="00D80D39" w14:paraId="595DFAD3" w14:textId="77777777" w:rsidTr="001153CB">
        <w:trPr>
          <w:trHeight w:val="397"/>
        </w:trPr>
        <w:tc>
          <w:tcPr>
            <w:tcW w:w="3969" w:type="dxa"/>
            <w:vAlign w:val="center"/>
          </w:tcPr>
          <w:p w14:paraId="3EE0287D" w14:textId="77777777" w:rsidR="00807EEE" w:rsidRPr="00D80D39" w:rsidRDefault="00807EEE" w:rsidP="001153CB">
            <w:pPr>
              <w:spacing w:line="360" w:lineRule="auto"/>
              <w:rPr>
                <w:color w:val="000000" w:themeColor="text1"/>
                <w:sz w:val="22"/>
                <w:szCs w:val="22"/>
              </w:rPr>
            </w:pPr>
            <w:r w:rsidRPr="00D80D39">
              <w:rPr>
                <w:color w:val="000000" w:themeColor="text1"/>
                <w:sz w:val="22"/>
                <w:szCs w:val="22"/>
              </w:rPr>
              <w:t xml:space="preserve">Lifetime medication </w:t>
            </w:r>
            <w:proofErr w:type="spellStart"/>
            <w:r w:rsidRPr="00D80D39">
              <w:rPr>
                <w:color w:val="000000" w:themeColor="text1"/>
                <w:sz w:val="22"/>
                <w:szCs w:val="22"/>
              </w:rPr>
              <w:t>exposure</w:t>
            </w:r>
            <w:r w:rsidRPr="00D80D39">
              <w:rPr>
                <w:color w:val="000000" w:themeColor="text1"/>
                <w:sz w:val="22"/>
                <w:szCs w:val="22"/>
                <w:vertAlign w:val="superscript"/>
              </w:rPr>
              <w:t>a</w:t>
            </w:r>
            <w:proofErr w:type="spellEnd"/>
            <w:r w:rsidRPr="00D80D39">
              <w:rPr>
                <w:color w:val="000000" w:themeColor="text1"/>
                <w:sz w:val="22"/>
                <w:szCs w:val="22"/>
              </w:rPr>
              <w:t>, N (%)</w:t>
            </w:r>
          </w:p>
        </w:tc>
        <w:tc>
          <w:tcPr>
            <w:tcW w:w="2127" w:type="dxa"/>
            <w:vAlign w:val="center"/>
          </w:tcPr>
          <w:p w14:paraId="387E1A07" w14:textId="77777777" w:rsidR="00807EEE" w:rsidRPr="00D80D39" w:rsidRDefault="00807EEE" w:rsidP="001153CB">
            <w:pPr>
              <w:spacing w:line="360" w:lineRule="auto"/>
              <w:rPr>
                <w:color w:val="000000" w:themeColor="text1"/>
                <w:sz w:val="22"/>
                <w:szCs w:val="22"/>
              </w:rPr>
            </w:pPr>
          </w:p>
        </w:tc>
        <w:tc>
          <w:tcPr>
            <w:tcW w:w="1984" w:type="dxa"/>
            <w:vAlign w:val="center"/>
          </w:tcPr>
          <w:p w14:paraId="58B9577B" w14:textId="77777777" w:rsidR="00807EEE" w:rsidRPr="00D80D39" w:rsidRDefault="00807EEE" w:rsidP="001153CB">
            <w:pPr>
              <w:spacing w:line="360" w:lineRule="auto"/>
              <w:rPr>
                <w:color w:val="000000" w:themeColor="text1"/>
                <w:sz w:val="22"/>
                <w:szCs w:val="22"/>
              </w:rPr>
            </w:pPr>
          </w:p>
        </w:tc>
      </w:tr>
      <w:tr w:rsidR="00807EEE" w:rsidRPr="00D80D39" w14:paraId="2DAB9CDB" w14:textId="77777777" w:rsidTr="001153CB">
        <w:trPr>
          <w:trHeight w:val="397"/>
        </w:trPr>
        <w:tc>
          <w:tcPr>
            <w:tcW w:w="3969" w:type="dxa"/>
            <w:vAlign w:val="center"/>
          </w:tcPr>
          <w:p w14:paraId="056C5523"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 xml:space="preserve"> </w:t>
            </w:r>
            <w:r w:rsidRPr="00D80D39">
              <w:rPr>
                <w:color w:val="000000" w:themeColor="text1"/>
                <w:sz w:val="22"/>
                <w:szCs w:val="22"/>
              </w:rPr>
              <w:t xml:space="preserve">   Antidepressant</w:t>
            </w:r>
          </w:p>
        </w:tc>
        <w:tc>
          <w:tcPr>
            <w:tcW w:w="2127" w:type="dxa"/>
            <w:vAlign w:val="center"/>
          </w:tcPr>
          <w:p w14:paraId="280AC315" w14:textId="77777777" w:rsidR="00807EEE" w:rsidRPr="00D80D39" w:rsidRDefault="00807EEE" w:rsidP="001153CB">
            <w:pPr>
              <w:spacing w:line="360" w:lineRule="auto"/>
              <w:rPr>
                <w:color w:val="000000" w:themeColor="text1"/>
                <w:sz w:val="22"/>
                <w:szCs w:val="22"/>
              </w:rPr>
            </w:pPr>
            <w:r w:rsidRPr="00D80D39">
              <w:rPr>
                <w:color w:val="000000" w:themeColor="text1"/>
                <w:sz w:val="22"/>
                <w:szCs w:val="22"/>
              </w:rPr>
              <w:t>20 (40.8%)</w:t>
            </w:r>
          </w:p>
        </w:tc>
        <w:tc>
          <w:tcPr>
            <w:tcW w:w="1984" w:type="dxa"/>
            <w:vAlign w:val="center"/>
          </w:tcPr>
          <w:p w14:paraId="3FEACC47"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1</w:t>
            </w:r>
            <w:r w:rsidRPr="00D80D39">
              <w:rPr>
                <w:color w:val="000000" w:themeColor="text1"/>
                <w:sz w:val="22"/>
                <w:szCs w:val="22"/>
              </w:rPr>
              <w:t>1 (32.4%)</w:t>
            </w:r>
          </w:p>
        </w:tc>
      </w:tr>
      <w:tr w:rsidR="00807EEE" w:rsidRPr="00D80D39" w14:paraId="468116D3" w14:textId="77777777" w:rsidTr="001153CB">
        <w:trPr>
          <w:trHeight w:val="397"/>
        </w:trPr>
        <w:tc>
          <w:tcPr>
            <w:tcW w:w="3969" w:type="dxa"/>
            <w:vAlign w:val="center"/>
          </w:tcPr>
          <w:p w14:paraId="2BAD47F7"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 xml:space="preserve"> </w:t>
            </w:r>
            <w:r w:rsidRPr="00D80D39">
              <w:rPr>
                <w:color w:val="000000" w:themeColor="text1"/>
                <w:sz w:val="22"/>
                <w:szCs w:val="22"/>
              </w:rPr>
              <w:t xml:space="preserve">   Antipsychotics</w:t>
            </w:r>
          </w:p>
        </w:tc>
        <w:tc>
          <w:tcPr>
            <w:tcW w:w="2127" w:type="dxa"/>
            <w:vAlign w:val="center"/>
          </w:tcPr>
          <w:p w14:paraId="31AE905E"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2</w:t>
            </w:r>
            <w:r w:rsidRPr="00D80D39">
              <w:rPr>
                <w:color w:val="000000" w:themeColor="text1"/>
                <w:sz w:val="22"/>
                <w:szCs w:val="22"/>
              </w:rPr>
              <w:t>1 (42.9%)</w:t>
            </w:r>
          </w:p>
        </w:tc>
        <w:tc>
          <w:tcPr>
            <w:tcW w:w="1984" w:type="dxa"/>
            <w:vAlign w:val="center"/>
          </w:tcPr>
          <w:p w14:paraId="10E5447D"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1</w:t>
            </w:r>
            <w:r w:rsidRPr="00D80D39">
              <w:rPr>
                <w:color w:val="000000" w:themeColor="text1"/>
                <w:sz w:val="22"/>
                <w:szCs w:val="22"/>
              </w:rPr>
              <w:t>2 (35.3%)</w:t>
            </w:r>
          </w:p>
        </w:tc>
      </w:tr>
      <w:tr w:rsidR="00807EEE" w:rsidRPr="00D80D39" w14:paraId="0F83AC9E" w14:textId="77777777" w:rsidTr="001153CB">
        <w:trPr>
          <w:trHeight w:val="397"/>
        </w:trPr>
        <w:tc>
          <w:tcPr>
            <w:tcW w:w="3969" w:type="dxa"/>
            <w:vAlign w:val="center"/>
          </w:tcPr>
          <w:p w14:paraId="615564F5"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 xml:space="preserve"> </w:t>
            </w:r>
            <w:r w:rsidRPr="00D80D39">
              <w:rPr>
                <w:color w:val="000000" w:themeColor="text1"/>
                <w:sz w:val="22"/>
                <w:szCs w:val="22"/>
              </w:rPr>
              <w:t xml:space="preserve">   Mood stabilizer</w:t>
            </w:r>
          </w:p>
        </w:tc>
        <w:tc>
          <w:tcPr>
            <w:tcW w:w="2127" w:type="dxa"/>
            <w:vAlign w:val="center"/>
          </w:tcPr>
          <w:p w14:paraId="240EEFB6"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1</w:t>
            </w:r>
            <w:r w:rsidRPr="00D80D39">
              <w:rPr>
                <w:color w:val="000000" w:themeColor="text1"/>
                <w:sz w:val="22"/>
                <w:szCs w:val="22"/>
              </w:rPr>
              <w:t xml:space="preserve"> (2.0%)</w:t>
            </w:r>
          </w:p>
        </w:tc>
        <w:tc>
          <w:tcPr>
            <w:tcW w:w="1984" w:type="dxa"/>
            <w:vAlign w:val="center"/>
          </w:tcPr>
          <w:p w14:paraId="6C0ED163"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0</w:t>
            </w:r>
            <w:r w:rsidRPr="00D80D39">
              <w:rPr>
                <w:color w:val="000000" w:themeColor="text1"/>
                <w:sz w:val="22"/>
                <w:szCs w:val="22"/>
              </w:rPr>
              <w:t xml:space="preserve"> (0.0%)</w:t>
            </w:r>
          </w:p>
        </w:tc>
      </w:tr>
      <w:tr w:rsidR="00807EEE" w:rsidRPr="00D80D39" w14:paraId="0CC85825" w14:textId="77777777" w:rsidTr="001153CB">
        <w:trPr>
          <w:trHeight w:val="397"/>
        </w:trPr>
        <w:tc>
          <w:tcPr>
            <w:tcW w:w="3969" w:type="dxa"/>
            <w:vAlign w:val="center"/>
          </w:tcPr>
          <w:p w14:paraId="4981E15F"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 xml:space="preserve"> </w:t>
            </w:r>
            <w:r w:rsidRPr="00D80D39">
              <w:rPr>
                <w:color w:val="000000" w:themeColor="text1"/>
                <w:sz w:val="22"/>
                <w:szCs w:val="22"/>
              </w:rPr>
              <w:t xml:space="preserve">   Psychostimulants</w:t>
            </w:r>
          </w:p>
        </w:tc>
        <w:tc>
          <w:tcPr>
            <w:tcW w:w="2127" w:type="dxa"/>
            <w:vAlign w:val="center"/>
          </w:tcPr>
          <w:p w14:paraId="16AFC74A"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1</w:t>
            </w:r>
            <w:r w:rsidRPr="00D80D39">
              <w:rPr>
                <w:color w:val="000000" w:themeColor="text1"/>
                <w:sz w:val="22"/>
                <w:szCs w:val="22"/>
              </w:rPr>
              <w:t>9 (38.8%)</w:t>
            </w:r>
          </w:p>
        </w:tc>
        <w:tc>
          <w:tcPr>
            <w:tcW w:w="1984" w:type="dxa"/>
            <w:vAlign w:val="center"/>
          </w:tcPr>
          <w:p w14:paraId="707D2A30"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1</w:t>
            </w:r>
            <w:r w:rsidRPr="00D80D39">
              <w:rPr>
                <w:color w:val="000000" w:themeColor="text1"/>
                <w:sz w:val="22"/>
                <w:szCs w:val="22"/>
              </w:rPr>
              <w:t>3 (38.2%)</w:t>
            </w:r>
          </w:p>
        </w:tc>
      </w:tr>
      <w:tr w:rsidR="00807EEE" w:rsidRPr="00D80D39" w14:paraId="5C72B2E8" w14:textId="77777777" w:rsidTr="001153CB">
        <w:trPr>
          <w:trHeight w:val="397"/>
        </w:trPr>
        <w:tc>
          <w:tcPr>
            <w:tcW w:w="3969" w:type="dxa"/>
            <w:vAlign w:val="center"/>
          </w:tcPr>
          <w:p w14:paraId="7CEA3BB6"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 xml:space="preserve"> </w:t>
            </w:r>
            <w:r w:rsidRPr="00D80D39">
              <w:rPr>
                <w:color w:val="000000" w:themeColor="text1"/>
                <w:sz w:val="22"/>
                <w:szCs w:val="22"/>
              </w:rPr>
              <w:t xml:space="preserve">   Benzodiazepines</w:t>
            </w:r>
          </w:p>
        </w:tc>
        <w:tc>
          <w:tcPr>
            <w:tcW w:w="2127" w:type="dxa"/>
            <w:vAlign w:val="center"/>
          </w:tcPr>
          <w:p w14:paraId="41019EC4"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0</w:t>
            </w:r>
            <w:r w:rsidRPr="00D80D39">
              <w:rPr>
                <w:color w:val="000000" w:themeColor="text1"/>
                <w:sz w:val="22"/>
                <w:szCs w:val="22"/>
              </w:rPr>
              <w:t xml:space="preserve"> (0.0%)</w:t>
            </w:r>
          </w:p>
        </w:tc>
        <w:tc>
          <w:tcPr>
            <w:tcW w:w="1984" w:type="dxa"/>
            <w:vAlign w:val="center"/>
          </w:tcPr>
          <w:p w14:paraId="7634A389" w14:textId="77777777" w:rsidR="00807EEE" w:rsidRPr="00D80D39" w:rsidRDefault="00807EEE" w:rsidP="001153CB">
            <w:pPr>
              <w:spacing w:line="360" w:lineRule="auto"/>
              <w:rPr>
                <w:color w:val="000000" w:themeColor="text1"/>
                <w:sz w:val="22"/>
                <w:szCs w:val="22"/>
              </w:rPr>
            </w:pPr>
            <w:r w:rsidRPr="00D80D39">
              <w:rPr>
                <w:rFonts w:hint="eastAsia"/>
                <w:color w:val="000000" w:themeColor="text1"/>
                <w:sz w:val="22"/>
                <w:szCs w:val="22"/>
              </w:rPr>
              <w:t>2</w:t>
            </w:r>
            <w:r w:rsidRPr="00D80D39">
              <w:rPr>
                <w:color w:val="000000" w:themeColor="text1"/>
                <w:sz w:val="22"/>
                <w:szCs w:val="22"/>
              </w:rPr>
              <w:t xml:space="preserve"> (5.9%)</w:t>
            </w:r>
          </w:p>
        </w:tc>
      </w:tr>
    </w:tbl>
    <w:p w14:paraId="37465D1A" w14:textId="77777777" w:rsidR="00807EEE" w:rsidRPr="00807EEE" w:rsidRDefault="00807EEE" w:rsidP="00807EEE">
      <w:pPr>
        <w:spacing w:line="360" w:lineRule="auto"/>
        <w:rPr>
          <w:rFonts w:ascii="Times New Roman" w:hAnsi="Times New Roman" w:cs="Times New Roman"/>
          <w:sz w:val="22"/>
        </w:rPr>
      </w:pPr>
      <w:r w:rsidRPr="00807EEE">
        <w:rPr>
          <w:rFonts w:ascii="Times New Roman" w:hAnsi="Times New Roman" w:cs="Times New Roman"/>
          <w:b/>
          <w:bCs/>
          <w:sz w:val="22"/>
        </w:rPr>
        <w:t>Table S1</w:t>
      </w:r>
      <w:r w:rsidRPr="00807EEE">
        <w:rPr>
          <w:rFonts w:ascii="Times New Roman" w:hAnsi="Times New Roman" w:cs="Times New Roman"/>
          <w:sz w:val="22"/>
        </w:rPr>
        <w:t xml:space="preserve"> Supplemental clinical information of included participants.</w:t>
      </w:r>
    </w:p>
    <w:p w14:paraId="216E7AB9" w14:textId="77777777" w:rsidR="00807EEE" w:rsidRPr="00807EEE" w:rsidRDefault="00807EEE" w:rsidP="00807EEE">
      <w:pPr>
        <w:spacing w:line="360" w:lineRule="auto"/>
        <w:rPr>
          <w:rFonts w:ascii="Times New Roman" w:hAnsi="Times New Roman" w:cs="Times New Roman"/>
          <w:sz w:val="22"/>
        </w:rPr>
      </w:pPr>
      <w:r w:rsidRPr="00807EEE">
        <w:rPr>
          <w:rFonts w:ascii="Times New Roman" w:hAnsi="Times New Roman" w:cs="Times New Roman"/>
          <w:sz w:val="22"/>
        </w:rPr>
        <w:t>Abbreviations: ADHD, attention-deficit/hyperactivity disorder</w:t>
      </w:r>
    </w:p>
    <w:p w14:paraId="2666E19A" w14:textId="77777777" w:rsidR="00807EEE" w:rsidRPr="00807EEE" w:rsidRDefault="00807EEE" w:rsidP="00807EEE">
      <w:pPr>
        <w:spacing w:line="360" w:lineRule="auto"/>
        <w:rPr>
          <w:rFonts w:ascii="Times New Roman" w:hAnsi="Times New Roman" w:cs="Times New Roman"/>
          <w:sz w:val="22"/>
        </w:rPr>
      </w:pPr>
      <w:proofErr w:type="spellStart"/>
      <w:r w:rsidRPr="00807EEE">
        <w:rPr>
          <w:rFonts w:ascii="Times New Roman" w:hAnsi="Times New Roman" w:cs="Times New Roman"/>
          <w:sz w:val="22"/>
          <w:vertAlign w:val="superscript"/>
        </w:rPr>
        <w:t>a</w:t>
      </w:r>
      <w:r w:rsidRPr="00807EEE">
        <w:rPr>
          <w:rFonts w:ascii="Times New Roman" w:hAnsi="Times New Roman" w:cs="Times New Roman"/>
          <w:sz w:val="22"/>
        </w:rPr>
        <w:t>Data</w:t>
      </w:r>
      <w:proofErr w:type="spellEnd"/>
      <w:r w:rsidRPr="00807EEE">
        <w:rPr>
          <w:rFonts w:ascii="Times New Roman" w:hAnsi="Times New Roman" w:cs="Times New Roman"/>
          <w:sz w:val="22"/>
        </w:rPr>
        <w:t xml:space="preserve"> were available in 83 of 121 participants</w:t>
      </w:r>
    </w:p>
    <w:p w14:paraId="272FE2A6" w14:textId="77777777" w:rsidR="006B3A90" w:rsidRPr="00807EEE" w:rsidRDefault="006B3A90" w:rsidP="00284762">
      <w:pPr>
        <w:spacing w:line="480" w:lineRule="auto"/>
        <w:rPr>
          <w:rFonts w:ascii="Times New Roman" w:eastAsia="黑体" w:hAnsi="Times New Roman" w:cs="Times New Roman"/>
          <w:bCs/>
          <w:color w:val="000000"/>
          <w:sz w:val="22"/>
        </w:rPr>
      </w:pPr>
    </w:p>
    <w:p w14:paraId="2A4EF9B6" w14:textId="77777777" w:rsidR="006B3A90" w:rsidRDefault="006B3A90">
      <w:pPr>
        <w:widowControl/>
        <w:jc w:val="left"/>
        <w:rPr>
          <w:rFonts w:ascii="Times New Roman" w:hAnsi="Times New Roman" w:cs="Times New Roman"/>
          <w:sz w:val="22"/>
        </w:rPr>
      </w:pPr>
      <w:r>
        <w:rPr>
          <w:rFonts w:ascii="Times New Roman" w:hAnsi="Times New Roman" w:cs="Times New Roman"/>
          <w:sz w:val="22"/>
        </w:rPr>
        <w:br w:type="page"/>
      </w:r>
    </w:p>
    <w:p w14:paraId="32CE75B6" w14:textId="5B61E901" w:rsidR="006B3A90" w:rsidRPr="003707F6" w:rsidRDefault="00F74CEE" w:rsidP="00284762">
      <w:pPr>
        <w:spacing w:line="480" w:lineRule="auto"/>
        <w:rPr>
          <w:rFonts w:ascii="Times New Roman" w:hAnsi="Times New Roman" w:cs="Times New Roman"/>
          <w:b/>
          <w:color w:val="000000" w:themeColor="text1"/>
          <w:sz w:val="28"/>
          <w:szCs w:val="28"/>
        </w:rPr>
      </w:pPr>
      <w:r>
        <w:rPr>
          <w:rFonts w:ascii="Times New Roman" w:eastAsia="AdvOTd434b442" w:hAnsi="Times New Roman" w:cs="Times New Roman"/>
          <w:b/>
          <w:color w:val="000000" w:themeColor="text1"/>
          <w:sz w:val="28"/>
          <w:szCs w:val="28"/>
        </w:rPr>
        <w:lastRenderedPageBreak/>
        <w:t xml:space="preserve">Supplemental </w:t>
      </w:r>
      <w:r w:rsidR="006B3A90" w:rsidRPr="003707F6">
        <w:rPr>
          <w:rFonts w:ascii="Times New Roman" w:eastAsia="AdvOTd434b442" w:hAnsi="Times New Roman" w:cs="Times New Roman"/>
          <w:b/>
          <w:color w:val="000000" w:themeColor="text1"/>
          <w:sz w:val="28"/>
          <w:szCs w:val="28"/>
        </w:rPr>
        <w:t xml:space="preserve">References </w:t>
      </w:r>
    </w:p>
    <w:p w14:paraId="3586A29B"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1. Dale AM, Fischl B, Sereno MI. Cortical surface-based analysis. I. Segmentation and surface reconstruction. Neuroimage 1999;9(2):179-194. doi: 10.1006/nimg.1998.0395</w:t>
      </w:r>
    </w:p>
    <w:p w14:paraId="0918E5D6"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2. Fischl B, Sereno MI, Dale AM. Cortical surface-based analysis. II: Inflation, flattening, and a surface-based coordinate system. Neuroimage 1999;9(2):195-207. doi: 10.1006/nimg.1998.0396</w:t>
      </w:r>
    </w:p>
    <w:p w14:paraId="1B35E7D6"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3. Reuter M, Fischl B. Avoiding asymmetry-induced bias in longitudinal image processing. Neuroimage 2011;57(1):19-21. doi: 10.1016/j.neuroimage.2011.02.076</w:t>
      </w:r>
    </w:p>
    <w:p w14:paraId="7E0BACD8"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4. Reuter M, Rosas HD, Fischl B. Highly accurate inverse consistent registration: a robust approach. Neuroimage 2010;53(4):1181-1196. doi: 10.1016/j.neuroimage.2010.07.020</w:t>
      </w:r>
    </w:p>
    <w:p w14:paraId="20F2CBD6"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5. Reuter M, Schmansky NJ, Rosas HD, Fischl B. Within-subject template estimation for unbiased longitudinal image analysis. Neuroimage 2012;61(4):1402-1418. doi: 10.1016/j.neuroimage.2012.02.084</w:t>
      </w:r>
    </w:p>
    <w:p w14:paraId="1D82A3D7"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6. LeCun Y, Bengio Y, Hinton G. Deep learning. Nature 2015;521(7553):436-444. doi: 10.1038/nature14539</w:t>
      </w:r>
    </w:p>
    <w:p w14:paraId="37D43371"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7. Pinaya WH, Gadelha A, Doyle OM, et al. Using deep belief network modelling to characterize differences in brain morphometry in schizophrenia. Sci Rep 2016;6:38897. doi: 10.1038/srep38897</w:t>
      </w:r>
    </w:p>
    <w:p w14:paraId="62C642B3"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8. Vieira S, Pinaya WH, Mechelli A. Using deep learning to investigate the neuroimaging correlates of psychiatric and neurological disorders: Methods and applications. Neurosci Biobehav Rev 2017;74(Pt A):58-75. doi: 10.1016/j.neubiorev.2017.01.002</w:t>
      </w:r>
    </w:p>
    <w:p w14:paraId="6AF9C642"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 xml:space="preserve">9. Giedd JN, Blumenthal J, Jeffries NO, et al. Brain development during childhood and </w:t>
      </w:r>
      <w:r w:rsidRPr="006B3A90">
        <w:rPr>
          <w:rFonts w:ascii="Times New Roman" w:hAnsi="Times New Roman" w:cs="Times New Roman"/>
          <w:sz w:val="22"/>
        </w:rPr>
        <w:lastRenderedPageBreak/>
        <w:t>adolescence: a longitudinal MRI study. Nat Neurosci 1999;2(10):861-863. doi: 10.1038/13158</w:t>
      </w:r>
    </w:p>
    <w:p w14:paraId="0B37CE23"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10. Tamnes CK, Herting MM, Goddings AL, et al. Development of the Cerebral Cortex across Adolescence: A Multisample Study of Inter-Related Longitudinal Changes in Cortical Volume, Surface Area, and Thickness. J Neurosci 2017;37(12):3402-3412. doi: 10.1523/JNEUROSCI.3302-16.2017</w:t>
      </w:r>
    </w:p>
    <w:p w14:paraId="76EBC770"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11. Hazlett HC, Gu H, Munsell BC, et al. Early brain development in infants at high risk for autism spectrum disorder. Nature 2017;542(7641):348-351. doi: 10.1038/nature21369</w:t>
      </w:r>
    </w:p>
    <w:p w14:paraId="4E4F12C4"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12. Hinton GE, Salakhutdinov RR. Reducing the dimensionality of data with neural networks. Science 2006;313(5786):504-507. doi: 10.1126/science.1127647</w:t>
      </w:r>
    </w:p>
    <w:p w14:paraId="4A8FC571"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13. Lee H, Grosse R, Ranganath R, Ng AY. Convolutional deep belief networks for scalable unsupervised learning of hierarchical representations.  Proceedings of the 26th Annual International Conference on Machine Learning, ICML 2009, Montreal, Quebec, Canada, June 14-18, 20092009.</w:t>
      </w:r>
    </w:p>
    <w:p w14:paraId="08964A89"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 xml:space="preserve">14. Vincent P, Larochelle H, Lajoie I, Bengio Y, Manzagol PA. Stacked Denoising Autoencoders: Learning Useful Representations in a Deep Network with a Local Denoising Criterion. Journal of Machine Learning Research 2010;11:3371-3408. </w:t>
      </w:r>
    </w:p>
    <w:p w14:paraId="08B60C04" w14:textId="77777777" w:rsidR="006B3A90" w:rsidRPr="006B3A90" w:rsidRDefault="006B3A90" w:rsidP="006B3A90">
      <w:pPr>
        <w:pStyle w:val="EndNoteBibliography"/>
        <w:spacing w:line="480" w:lineRule="auto"/>
        <w:rPr>
          <w:rFonts w:ascii="Times New Roman" w:hAnsi="Times New Roman" w:cs="Times New Roman"/>
          <w:sz w:val="22"/>
        </w:rPr>
      </w:pPr>
      <w:r w:rsidRPr="006B3A90">
        <w:rPr>
          <w:rFonts w:ascii="Times New Roman" w:hAnsi="Times New Roman" w:cs="Times New Roman"/>
          <w:sz w:val="22"/>
        </w:rPr>
        <w:t>15. Larochelle H, Erhan D, Courville AC, Bergstra J, Bengio Y. An empirical evaluation of deep architectures on problems with many factors of variation.  International Conference on Machine Learning2007.</w:t>
      </w:r>
    </w:p>
    <w:p w14:paraId="4AF7A94E" w14:textId="77777777" w:rsidR="006B3A90" w:rsidRDefault="006B3A90"/>
    <w:p w14:paraId="1A26E37D" w14:textId="77777777" w:rsidR="00132BE3" w:rsidRDefault="009A7779"/>
    <w:sectPr w:rsidR="00132BE3" w:rsidSect="00D941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95E6" w14:textId="77777777" w:rsidR="009A7779" w:rsidRDefault="009A7779">
      <w:r>
        <w:separator/>
      </w:r>
    </w:p>
  </w:endnote>
  <w:endnote w:type="continuationSeparator" w:id="0">
    <w:p w14:paraId="2EBD839C" w14:textId="77777777" w:rsidR="009A7779" w:rsidRDefault="009A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dvOTd434b442">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269743"/>
      <w:docPartObj>
        <w:docPartGallery w:val="Page Numbers (Bottom of Page)"/>
        <w:docPartUnique/>
      </w:docPartObj>
    </w:sdtPr>
    <w:sdtEndPr>
      <w:rPr>
        <w:noProof/>
      </w:rPr>
    </w:sdtEndPr>
    <w:sdtContent>
      <w:p w14:paraId="640599C6" w14:textId="77777777" w:rsidR="006E7BA3" w:rsidRDefault="006B3A90">
        <w:pPr>
          <w:pStyle w:val="a8"/>
          <w:jc w:val="right"/>
        </w:pPr>
        <w:r>
          <w:fldChar w:fldCharType="begin"/>
        </w:r>
        <w:r>
          <w:instrText xml:space="preserve"> PAGE   \* MERGEFORMAT </w:instrText>
        </w:r>
        <w:r>
          <w:fldChar w:fldCharType="separate"/>
        </w:r>
        <w:r>
          <w:rPr>
            <w:noProof/>
          </w:rPr>
          <w:t>1</w:t>
        </w:r>
        <w:r>
          <w:rPr>
            <w:noProof/>
          </w:rPr>
          <w:fldChar w:fldCharType="end"/>
        </w:r>
      </w:p>
    </w:sdtContent>
  </w:sdt>
  <w:p w14:paraId="45E91DC4" w14:textId="77777777" w:rsidR="006E7BA3" w:rsidRDefault="009A77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98EE" w14:textId="77777777" w:rsidR="009A7779" w:rsidRDefault="009A7779">
      <w:r>
        <w:separator/>
      </w:r>
    </w:p>
  </w:footnote>
  <w:footnote w:type="continuationSeparator" w:id="0">
    <w:p w14:paraId="61664D68" w14:textId="77777777" w:rsidR="009A7779" w:rsidRDefault="009A7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744"/>
    <w:multiLevelType w:val="multilevel"/>
    <w:tmpl w:val="7514F266"/>
    <w:lvl w:ilvl="0">
      <w:start w:val="1"/>
      <w:numFmt w:val="decimal"/>
      <w:lvlText w:val="%1."/>
      <w:lvlJc w:val="left"/>
      <w:pPr>
        <w:ind w:left="780" w:hanging="360"/>
      </w:pPr>
      <w:rPr>
        <w:rFonts w:ascii="Times New Roman" w:hAnsi="Times New Roman" w:cs="Times New Roman" w:hint="default"/>
        <w:b w:val="0"/>
        <w:sz w:val="24"/>
        <w:szCs w:val="24"/>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27D43560"/>
    <w:multiLevelType w:val="hybridMultilevel"/>
    <w:tmpl w:val="A77016E2"/>
    <w:lvl w:ilvl="0" w:tplc="6D640C28">
      <w:start w:val="1"/>
      <w:numFmt w:val="decimal"/>
      <w:lvlText w:val="%1."/>
      <w:lvlJc w:val="left"/>
      <w:pPr>
        <w:ind w:left="420" w:hanging="420"/>
      </w:pPr>
      <w:rPr>
        <w:rFonts w:hint="eastAsia"/>
        <w:b w:val="0"/>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E67D68"/>
    <w:multiLevelType w:val="hybridMultilevel"/>
    <w:tmpl w:val="274E3E14"/>
    <w:lvl w:ilvl="0" w:tplc="EEBEA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037013"/>
    <w:multiLevelType w:val="multilevel"/>
    <w:tmpl w:val="D1EAA45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2871080"/>
    <w:multiLevelType w:val="hybridMultilevel"/>
    <w:tmpl w:val="786EAB42"/>
    <w:lvl w:ilvl="0" w:tplc="8E76C656">
      <w:start w:val="1"/>
      <w:numFmt w:val="decimal"/>
      <w:lvlText w:val="%1."/>
      <w:lvlJc w:val="left"/>
      <w:pPr>
        <w:ind w:left="780" w:hanging="360"/>
      </w:pPr>
      <w:rPr>
        <w:rFonts w:asciiTheme="minorHAnsi" w:hAnsiTheme="minorHAnsi" w:cstheme="minorBidi"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B72303E"/>
    <w:multiLevelType w:val="hybridMultilevel"/>
    <w:tmpl w:val="F90A776C"/>
    <w:lvl w:ilvl="0" w:tplc="BD1A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EFD0A71"/>
    <w:multiLevelType w:val="hybridMultilevel"/>
    <w:tmpl w:val="6E041816"/>
    <w:lvl w:ilvl="0" w:tplc="E74279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B3A90"/>
    <w:rsid w:val="000D0A66"/>
    <w:rsid w:val="002F7C0D"/>
    <w:rsid w:val="004837EB"/>
    <w:rsid w:val="0059117C"/>
    <w:rsid w:val="006B3A90"/>
    <w:rsid w:val="00807EEE"/>
    <w:rsid w:val="009A7779"/>
    <w:rsid w:val="00B15AAE"/>
    <w:rsid w:val="00B40583"/>
    <w:rsid w:val="00B93C88"/>
    <w:rsid w:val="00F6477E"/>
    <w:rsid w:val="00F7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134A"/>
  <w15:chartTrackingRefBased/>
  <w15:docId w15:val="{65C9DFD9-71A6-4C9C-B901-CA20C78A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A90"/>
    <w:pPr>
      <w:widowControl w:val="0"/>
      <w:jc w:val="both"/>
    </w:pPr>
  </w:style>
  <w:style w:type="paragraph" w:styleId="1">
    <w:name w:val="heading 1"/>
    <w:basedOn w:val="a"/>
    <w:next w:val="a"/>
    <w:link w:val="10"/>
    <w:uiPriority w:val="9"/>
    <w:qFormat/>
    <w:rsid w:val="006B3A90"/>
    <w:pPr>
      <w:spacing w:line="480" w:lineRule="auto"/>
      <w:outlineLvl w:val="0"/>
    </w:pPr>
    <w:rPr>
      <w:rFonts w:ascii="Times New Roman" w:hAnsi="Times New Roman" w:cs="Times New Roman"/>
      <w:b/>
      <w:bCs/>
      <w:sz w:val="24"/>
      <w:szCs w:val="24"/>
    </w:rPr>
  </w:style>
  <w:style w:type="paragraph" w:styleId="2">
    <w:name w:val="heading 2"/>
    <w:basedOn w:val="a"/>
    <w:next w:val="a"/>
    <w:link w:val="20"/>
    <w:uiPriority w:val="9"/>
    <w:unhideWhenUsed/>
    <w:qFormat/>
    <w:rsid w:val="006B3A90"/>
    <w:pPr>
      <w:spacing w:line="480" w:lineRule="auto"/>
      <w:outlineLvl w:val="1"/>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B3A90"/>
    <w:rPr>
      <w:rFonts w:ascii="Times New Roman" w:hAnsi="Times New Roman" w:cs="Times New Roman"/>
      <w:b/>
      <w:bCs/>
      <w:sz w:val="24"/>
      <w:szCs w:val="24"/>
    </w:rPr>
  </w:style>
  <w:style w:type="character" w:customStyle="1" w:styleId="20">
    <w:name w:val="标题 2 字符"/>
    <w:basedOn w:val="a0"/>
    <w:link w:val="2"/>
    <w:uiPriority w:val="9"/>
    <w:rsid w:val="006B3A90"/>
    <w:rPr>
      <w:rFonts w:ascii="Times New Roman" w:hAnsi="Times New Roman" w:cs="Times New Roman"/>
      <w:i/>
      <w:iCs/>
      <w:sz w:val="24"/>
      <w:szCs w:val="24"/>
    </w:rPr>
  </w:style>
  <w:style w:type="paragraph" w:styleId="a3">
    <w:name w:val="Balloon Text"/>
    <w:basedOn w:val="a"/>
    <w:link w:val="a4"/>
    <w:uiPriority w:val="99"/>
    <w:semiHidden/>
    <w:unhideWhenUsed/>
    <w:rsid w:val="006B3A90"/>
    <w:rPr>
      <w:sz w:val="18"/>
      <w:szCs w:val="18"/>
    </w:rPr>
  </w:style>
  <w:style w:type="character" w:customStyle="1" w:styleId="a4">
    <w:name w:val="批注框文本 字符"/>
    <w:basedOn w:val="a0"/>
    <w:link w:val="a3"/>
    <w:uiPriority w:val="99"/>
    <w:semiHidden/>
    <w:rsid w:val="006B3A90"/>
    <w:rPr>
      <w:sz w:val="18"/>
      <w:szCs w:val="18"/>
    </w:rPr>
  </w:style>
  <w:style w:type="paragraph" w:styleId="a5">
    <w:name w:val="List Paragraph"/>
    <w:basedOn w:val="a"/>
    <w:uiPriority w:val="34"/>
    <w:qFormat/>
    <w:rsid w:val="006B3A90"/>
    <w:pPr>
      <w:ind w:firstLineChars="200" w:firstLine="420"/>
    </w:pPr>
  </w:style>
  <w:style w:type="paragraph" w:styleId="a6">
    <w:name w:val="header"/>
    <w:basedOn w:val="a"/>
    <w:link w:val="a7"/>
    <w:uiPriority w:val="99"/>
    <w:unhideWhenUsed/>
    <w:rsid w:val="006B3A9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B3A90"/>
    <w:rPr>
      <w:sz w:val="18"/>
      <w:szCs w:val="18"/>
    </w:rPr>
  </w:style>
  <w:style w:type="paragraph" w:styleId="a8">
    <w:name w:val="footer"/>
    <w:basedOn w:val="a"/>
    <w:link w:val="a9"/>
    <w:uiPriority w:val="99"/>
    <w:unhideWhenUsed/>
    <w:rsid w:val="006B3A90"/>
    <w:pPr>
      <w:tabs>
        <w:tab w:val="center" w:pos="4153"/>
        <w:tab w:val="right" w:pos="8306"/>
      </w:tabs>
      <w:snapToGrid w:val="0"/>
      <w:jc w:val="left"/>
    </w:pPr>
    <w:rPr>
      <w:sz w:val="18"/>
      <w:szCs w:val="18"/>
    </w:rPr>
  </w:style>
  <w:style w:type="character" w:customStyle="1" w:styleId="a9">
    <w:name w:val="页脚 字符"/>
    <w:basedOn w:val="a0"/>
    <w:link w:val="a8"/>
    <w:uiPriority w:val="99"/>
    <w:rsid w:val="006B3A90"/>
    <w:rPr>
      <w:sz w:val="18"/>
      <w:szCs w:val="18"/>
    </w:rPr>
  </w:style>
  <w:style w:type="character" w:styleId="aa">
    <w:name w:val="Placeholder Text"/>
    <w:basedOn w:val="a0"/>
    <w:uiPriority w:val="99"/>
    <w:semiHidden/>
    <w:rsid w:val="006B3A90"/>
    <w:rPr>
      <w:color w:val="808080"/>
    </w:rPr>
  </w:style>
  <w:style w:type="paragraph" w:customStyle="1" w:styleId="EndNoteBibliographyTitle">
    <w:name w:val="EndNote Bibliography Title"/>
    <w:basedOn w:val="a"/>
    <w:link w:val="EndNoteBibliographyTitleChar"/>
    <w:rsid w:val="006B3A90"/>
    <w:pPr>
      <w:jc w:val="center"/>
    </w:pPr>
    <w:rPr>
      <w:rFonts w:ascii="DengXian" w:eastAsia="DengXian" w:hAnsi="DengXian"/>
      <w:noProof/>
      <w:sz w:val="20"/>
    </w:rPr>
  </w:style>
  <w:style w:type="character" w:customStyle="1" w:styleId="EndNoteBibliographyTitleChar">
    <w:name w:val="EndNote Bibliography Title Char"/>
    <w:basedOn w:val="a0"/>
    <w:link w:val="EndNoteBibliographyTitle"/>
    <w:rsid w:val="006B3A90"/>
    <w:rPr>
      <w:rFonts w:ascii="DengXian" w:eastAsia="DengXian" w:hAnsi="DengXian"/>
      <w:noProof/>
      <w:sz w:val="20"/>
    </w:rPr>
  </w:style>
  <w:style w:type="paragraph" w:customStyle="1" w:styleId="EndNoteBibliography">
    <w:name w:val="EndNote Bibliography"/>
    <w:basedOn w:val="a"/>
    <w:link w:val="EndNoteBibliographyChar"/>
    <w:rsid w:val="006B3A90"/>
    <w:rPr>
      <w:rFonts w:ascii="DengXian" w:eastAsia="DengXian" w:hAnsi="DengXian"/>
      <w:noProof/>
      <w:sz w:val="20"/>
    </w:rPr>
  </w:style>
  <w:style w:type="character" w:customStyle="1" w:styleId="EndNoteBibliographyChar">
    <w:name w:val="EndNote Bibliography Char"/>
    <w:basedOn w:val="a0"/>
    <w:link w:val="EndNoteBibliography"/>
    <w:rsid w:val="006B3A90"/>
    <w:rPr>
      <w:rFonts w:ascii="DengXian" w:eastAsia="DengXian" w:hAnsi="DengXian"/>
      <w:noProof/>
      <w:sz w:val="20"/>
    </w:rPr>
  </w:style>
  <w:style w:type="character" w:styleId="ab">
    <w:name w:val="annotation reference"/>
    <w:basedOn w:val="a0"/>
    <w:uiPriority w:val="99"/>
    <w:semiHidden/>
    <w:unhideWhenUsed/>
    <w:rsid w:val="006B3A90"/>
    <w:rPr>
      <w:sz w:val="16"/>
      <w:szCs w:val="16"/>
    </w:rPr>
  </w:style>
  <w:style w:type="paragraph" w:styleId="ac">
    <w:name w:val="annotation text"/>
    <w:basedOn w:val="a"/>
    <w:link w:val="ad"/>
    <w:uiPriority w:val="99"/>
    <w:semiHidden/>
    <w:unhideWhenUsed/>
    <w:rsid w:val="006B3A90"/>
    <w:rPr>
      <w:sz w:val="20"/>
      <w:szCs w:val="20"/>
    </w:rPr>
  </w:style>
  <w:style w:type="character" w:customStyle="1" w:styleId="ad">
    <w:name w:val="批注文字 字符"/>
    <w:basedOn w:val="a0"/>
    <w:link w:val="ac"/>
    <w:uiPriority w:val="99"/>
    <w:semiHidden/>
    <w:rsid w:val="006B3A90"/>
    <w:rPr>
      <w:sz w:val="20"/>
      <w:szCs w:val="20"/>
    </w:rPr>
  </w:style>
  <w:style w:type="paragraph" w:styleId="ae">
    <w:name w:val="annotation subject"/>
    <w:basedOn w:val="ac"/>
    <w:next w:val="ac"/>
    <w:link w:val="af"/>
    <w:uiPriority w:val="99"/>
    <w:semiHidden/>
    <w:unhideWhenUsed/>
    <w:rsid w:val="006B3A90"/>
    <w:rPr>
      <w:b/>
      <w:bCs/>
    </w:rPr>
  </w:style>
  <w:style w:type="character" w:customStyle="1" w:styleId="af">
    <w:name w:val="批注主题 字符"/>
    <w:basedOn w:val="ad"/>
    <w:link w:val="ae"/>
    <w:uiPriority w:val="99"/>
    <w:semiHidden/>
    <w:rsid w:val="006B3A90"/>
    <w:rPr>
      <w:b/>
      <w:bCs/>
      <w:sz w:val="20"/>
      <w:szCs w:val="20"/>
    </w:rPr>
  </w:style>
  <w:style w:type="character" w:styleId="af0">
    <w:name w:val="Hyperlink"/>
    <w:basedOn w:val="a0"/>
    <w:uiPriority w:val="99"/>
    <w:unhideWhenUsed/>
    <w:rsid w:val="006B3A90"/>
    <w:rPr>
      <w:color w:val="0563C1" w:themeColor="hyperlink"/>
      <w:u w:val="single"/>
    </w:rPr>
  </w:style>
  <w:style w:type="paragraph" w:styleId="TOC">
    <w:name w:val="TOC Heading"/>
    <w:basedOn w:val="1"/>
    <w:next w:val="a"/>
    <w:uiPriority w:val="39"/>
    <w:unhideWhenUsed/>
    <w:qFormat/>
    <w:rsid w:val="006B3A90"/>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styleId="TOC1">
    <w:name w:val="toc 1"/>
    <w:basedOn w:val="a"/>
    <w:next w:val="a"/>
    <w:autoRedefine/>
    <w:uiPriority w:val="39"/>
    <w:unhideWhenUsed/>
    <w:rsid w:val="006B3A90"/>
    <w:pPr>
      <w:spacing w:after="100"/>
    </w:pPr>
  </w:style>
  <w:style w:type="paragraph" w:styleId="TOC2">
    <w:name w:val="toc 2"/>
    <w:basedOn w:val="a"/>
    <w:next w:val="a"/>
    <w:autoRedefine/>
    <w:uiPriority w:val="39"/>
    <w:unhideWhenUsed/>
    <w:rsid w:val="006B3A90"/>
    <w:pPr>
      <w:spacing w:after="100"/>
      <w:ind w:left="210"/>
    </w:pPr>
  </w:style>
  <w:style w:type="table" w:styleId="af1">
    <w:name w:val="Table Grid"/>
    <w:basedOn w:val="a1"/>
    <w:rsid w:val="00807EEE"/>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1773</Words>
  <Characters>11620</Characters>
  <Application>Microsoft Office Word</Application>
  <DocSecurity>0</DocSecurity>
  <Lines>227</Lines>
  <Paragraphs>171</Paragraphs>
  <ScaleCrop>false</ScaleCrop>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Kun</dc:creator>
  <cp:keywords/>
  <dc:description/>
  <cp:lastModifiedBy>Qin Kun</cp:lastModifiedBy>
  <cp:revision>4</cp:revision>
  <dcterms:created xsi:type="dcterms:W3CDTF">2021-09-14T00:30:00Z</dcterms:created>
  <dcterms:modified xsi:type="dcterms:W3CDTF">2021-12-30T00:09:00Z</dcterms:modified>
</cp:coreProperties>
</file>