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ascii="Times New Roman" w:hAnsi="Times New Roman" w:cs="Times New Roman"/>
          <w:b/>
          <w:bCs/>
          <w:i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kern w:val="0"/>
          <w:sz w:val="24"/>
          <w:szCs w:val="24"/>
        </w:rPr>
        <w:t>Supplementary Materials</w:t>
      </w:r>
    </w:p>
    <w:p>
      <w:pPr>
        <w:widowControl/>
        <w:spacing w:line="480" w:lineRule="auto"/>
        <w:rPr>
          <w:rFonts w:ascii="Times New Roman" w:hAnsi="Times New Roman" w:cs="Times New Roman"/>
          <w:b/>
          <w:bCs/>
          <w:i/>
          <w:kern w:val="0"/>
          <w:sz w:val="24"/>
          <w:szCs w:val="24"/>
        </w:rPr>
      </w:pPr>
    </w:p>
    <w:p>
      <w:pPr>
        <w:spacing w:before="100" w:beforeAutospacing="1" w:after="100" w:afterAutospacing="1" w:line="360" w:lineRule="auto"/>
        <w:jc w:val="center"/>
        <w:rPr>
          <w:rFonts w:ascii="Times New Roman" w:hAnsi="Times New Roman" w:eastAsia="等线" w:cs="Times New Roman"/>
          <w:b/>
          <w:bCs/>
          <w:sz w:val="24"/>
          <w:szCs w:val="24"/>
        </w:rPr>
      </w:pPr>
      <w:r>
        <w:rPr>
          <w:rFonts w:ascii="Times New Roman" w:hAnsi="Times New Roman" w:eastAsia="等线" w:cs="Times New Roman"/>
          <w:b/>
          <w:bCs/>
          <w:sz w:val="24"/>
          <w:szCs w:val="24"/>
        </w:rPr>
        <w:t xml:space="preserve">Alterations of Insular Dynamic Functional Connectivity and Psychological Characteristics in </w:t>
      </w:r>
      <w:r>
        <w:rPr>
          <w:rFonts w:hint="eastAsia" w:ascii="Times New Roman" w:hAnsi="Times New Roman" w:eastAsia="等线" w:cs="Times New Roman"/>
          <w:b/>
          <w:bCs/>
          <w:sz w:val="24"/>
          <w:szCs w:val="24"/>
        </w:rPr>
        <w:t xml:space="preserve">Unmedicated </w:t>
      </w:r>
      <w:r>
        <w:rPr>
          <w:rFonts w:ascii="Times New Roman" w:hAnsi="Times New Roman" w:eastAsia="等线" w:cs="Times New Roman"/>
          <w:b/>
          <w:bCs/>
          <w:sz w:val="24"/>
          <w:szCs w:val="24"/>
        </w:rPr>
        <w:t>Bipolar Depression Patients with a Recent Suicide Attempt</w:t>
      </w:r>
    </w:p>
    <w:p>
      <w:pPr>
        <w:widowControl/>
        <w:rPr>
          <w:rFonts w:ascii="Times New Roman" w:hAnsi="Times New Roman" w:cs="Times New Roman"/>
          <w:szCs w:val="21"/>
        </w:rPr>
      </w:pPr>
    </w:p>
    <w:p>
      <w:pPr>
        <w:widowControl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Validation results</w:t>
      </w:r>
    </w:p>
    <w:p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validation results in 30 TRs and 70 TRs sliding window length among the three groups also showed significant differences in dFC variability</w:t>
      </w:r>
      <w:r>
        <w:rPr>
          <w:rFonts w:ascii="Times New Roman" w:hAnsi="Times New Roman" w:eastAsia="Arial Unicode MS" w:cs="Times New Roman"/>
          <w:sz w:val="24"/>
          <w:szCs w:val="24"/>
        </w:rPr>
        <w:t xml:space="preserve"> between the left dAI and the left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anterior cerebellar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(Table S1; Fig S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); in addition, the validation results in 70 TRs showed significant differences in dFC variability between the right dAI and the right middle occipital gyrus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(Table S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; Fig S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). However, there were no significant differences in static FC among the three groups using the 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insular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as the ROIs.</w:t>
      </w:r>
    </w:p>
    <w:p>
      <w:pPr>
        <w:pStyle w:val="12"/>
        <w:spacing w:line="360" w:lineRule="auto"/>
        <w:rPr>
          <w:b/>
          <w:bCs/>
          <w:sz w:val="24"/>
        </w:rPr>
      </w:pPr>
    </w:p>
    <w:p>
      <w:pPr>
        <w:widowControl/>
        <w:jc w:val="left"/>
        <w:rPr>
          <w:rFonts w:ascii="Times New Roman" w:hAnsi="Times New Roman"/>
          <w:b/>
          <w:bCs/>
          <w:kern w:val="0"/>
          <w:sz w:val="24"/>
        </w:rPr>
      </w:pPr>
      <w:r>
        <w:rPr>
          <w:b/>
          <w:bCs/>
          <w:sz w:val="24"/>
        </w:rPr>
        <w:br w:type="page"/>
      </w:r>
    </w:p>
    <w:p>
      <w:pPr>
        <w:pStyle w:val="12"/>
        <w:spacing w:line="360" w:lineRule="auto"/>
        <w:rPr>
          <w:b/>
          <w:bCs/>
          <w:sz w:val="24"/>
        </w:rPr>
      </w:pPr>
    </w:p>
    <w:p>
      <w:pPr>
        <w:pStyle w:val="12"/>
        <w:spacing w:line="360" w:lineRule="auto"/>
        <w:rPr>
          <w:rFonts w:ascii="Arial" w:hAnsi="Arial" w:eastAsia="等线" w:cs="Arial"/>
          <w:b/>
          <w:kern w:val="2"/>
          <w:sz w:val="16"/>
          <w:szCs w:val="16"/>
          <w:lang w:val="en-US" w:eastAsia="zh-CN" w:bidi="ar-SA"/>
        </w:rPr>
      </w:pPr>
      <w:r>
        <w:rPr>
          <w:rFonts w:ascii="Arial" w:hAnsi="Arial" w:eastAsia="等线" w:cs="Arial"/>
          <w:b/>
          <w:kern w:val="2"/>
          <w:sz w:val="16"/>
          <w:szCs w:val="16"/>
          <w:lang w:val="en-US" w:eastAsia="zh-CN" w:bidi="ar-SA"/>
        </w:rPr>
        <w:t>Table S1. The significant dynamic FC variability differences among three groups</w:t>
      </w:r>
    </w:p>
    <w:tbl>
      <w:tblPr>
        <w:tblStyle w:val="11"/>
        <w:tblpPr w:leftFromText="180" w:rightFromText="180" w:vertAnchor="text" w:horzAnchor="margin" w:tblpXSpec="center" w:tblpY="186"/>
        <w:tblW w:w="107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370"/>
        <w:gridCol w:w="567"/>
        <w:gridCol w:w="851"/>
        <w:gridCol w:w="567"/>
        <w:gridCol w:w="567"/>
        <w:gridCol w:w="567"/>
        <w:gridCol w:w="1031"/>
        <w:gridCol w:w="1662"/>
        <w:gridCol w:w="936"/>
        <w:gridCol w:w="5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01" w:type="dxa"/>
            <w:vMerge w:val="restart"/>
            <w:tcBorders>
              <w:top w:val="single" w:color="auto" w:sz="12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seeds</w:t>
            </w:r>
          </w:p>
        </w:tc>
        <w:tc>
          <w:tcPr>
            <w:tcW w:w="5489" w:type="dxa"/>
            <w:gridSpan w:val="6"/>
            <w:tcBorders>
              <w:top w:val="single" w:color="auto" w:sz="12" w:space="0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One-way ANOVA (voxel </w:t>
            </w:r>
            <w:r>
              <w:rPr>
                <w:rFonts w:ascii="Times New Roman" w:hAnsi="Times New Roman" w:eastAsia="宋体" w:cs="Times New Roman"/>
                <w:i/>
                <w:kern w:val="0"/>
                <w:sz w:val="20"/>
                <w:szCs w:val="20"/>
              </w:rPr>
              <w:t>p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&lt; 0.005, cluster </w:t>
            </w:r>
            <w:r>
              <w:rPr>
                <w:rFonts w:ascii="Times New Roman" w:hAnsi="Times New Roman" w:eastAsia="宋体" w:cs="Times New Roman"/>
                <w:i/>
                <w:kern w:val="0"/>
                <w:sz w:val="20"/>
                <w:szCs w:val="20"/>
              </w:rPr>
              <w:t>p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&lt; 0.0083, GRF corrected)</w:t>
            </w:r>
          </w:p>
        </w:tc>
        <w:tc>
          <w:tcPr>
            <w:tcW w:w="1031" w:type="dxa"/>
            <w:tcBorders>
              <w:top w:val="single" w:color="auto" w:sz="12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color="auto" w:sz="12" w:space="0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Post-hoc analysis (Bonferroni correction, </w:t>
            </w:r>
            <w:r>
              <w:rPr>
                <w:rFonts w:hint="eastAsia" w:ascii="Times New Roman" w:hAnsi="Times New Roman" w:eastAsia="宋体" w:cs="Times New Roman"/>
                <w:i/>
                <w:kern w:val="0"/>
                <w:sz w:val="20"/>
                <w:szCs w:val="20"/>
              </w:rPr>
              <w:t>p</w:t>
            </w:r>
            <w:r>
              <w:rPr>
                <w:rFonts w:ascii="Times New Roman" w:hAnsi="Times New Roman" w:eastAsia="宋体" w:cs="Times New Roman"/>
                <w:i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&lt; 0.05)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Merge w:val="continue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vMerge w:val="restart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Significant regions</w:t>
            </w:r>
          </w:p>
        </w:tc>
        <w:tc>
          <w:tcPr>
            <w:tcW w:w="567" w:type="dxa"/>
            <w:vMerge w:val="restart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BA</w:t>
            </w:r>
          </w:p>
        </w:tc>
        <w:tc>
          <w:tcPr>
            <w:tcW w:w="851" w:type="dxa"/>
            <w:vMerge w:val="restart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voxels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</w:tcPr>
          <w:p>
            <w:pPr>
              <w:spacing w:line="480" w:lineRule="auto"/>
              <w:ind w:firstLine="400" w:firstLineChars="20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MNI</w:t>
            </w:r>
          </w:p>
        </w:tc>
        <w:tc>
          <w:tcPr>
            <w:tcW w:w="1031" w:type="dxa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i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kern w:val="0"/>
                <w:sz w:val="20"/>
                <w:szCs w:val="20"/>
              </w:rPr>
              <w:t>F</w:t>
            </w:r>
          </w:p>
        </w:tc>
        <w:tc>
          <w:tcPr>
            <w:tcW w:w="1662" w:type="dxa"/>
            <w:vMerge w:val="restart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Comparisons</w:t>
            </w:r>
          </w:p>
        </w:tc>
        <w:tc>
          <w:tcPr>
            <w:tcW w:w="936" w:type="dxa"/>
            <w:vMerge w:val="restart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i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kern w:val="0"/>
                <w:sz w:val="20"/>
                <w:szCs w:val="20"/>
              </w:rPr>
              <w:t>p</w:t>
            </w:r>
          </w:p>
        </w:tc>
        <w:tc>
          <w:tcPr>
            <w:tcW w:w="519" w:type="dxa"/>
            <w:vMerge w:val="restart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101" w:type="dxa"/>
            <w:vMerge w:val="continue"/>
            <w:tcBorders>
              <w:bottom w:val="single" w:color="auto" w:sz="6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vMerge w:val="continue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bottom w:val="single" w:color="auto" w:sz="6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6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z</w:t>
            </w:r>
          </w:p>
        </w:tc>
        <w:tc>
          <w:tcPr>
            <w:tcW w:w="1031" w:type="dxa"/>
            <w:tcBorders>
              <w:bottom w:val="single" w:color="auto" w:sz="6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Merge w:val="continue"/>
            <w:tcBorders>
              <w:bottom w:val="single" w:color="auto" w:sz="6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 w:val="continue"/>
            <w:tcBorders>
              <w:bottom w:val="single" w:color="auto" w:sz="6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vMerge w:val="continue"/>
            <w:tcBorders>
              <w:bottom w:val="single" w:color="auto" w:sz="6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01" w:type="dxa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L dAI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L anterior cerebellar lobe  </w:t>
            </w:r>
          </w:p>
        </w:tc>
        <w:tc>
          <w:tcPr>
            <w:tcW w:w="567" w:type="dxa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-18</w:t>
            </w:r>
          </w:p>
        </w:tc>
        <w:tc>
          <w:tcPr>
            <w:tcW w:w="567" w:type="dxa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-36</w:t>
            </w:r>
          </w:p>
        </w:tc>
        <w:tc>
          <w:tcPr>
            <w:tcW w:w="567" w:type="dxa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-18</w:t>
            </w:r>
          </w:p>
        </w:tc>
        <w:tc>
          <w:tcPr>
            <w:tcW w:w="1031" w:type="dxa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15.264</w:t>
            </w:r>
          </w:p>
        </w:tc>
        <w:tc>
          <w:tcPr>
            <w:tcW w:w="1662" w:type="dxa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spacing w:line="480" w:lineRule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A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&gt; NS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A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A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&gt; HCs</w:t>
            </w:r>
          </w:p>
        </w:tc>
        <w:tc>
          <w:tcPr>
            <w:tcW w:w="936" w:type="dxa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0.000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0.000</w:t>
            </w:r>
          </w:p>
        </w:tc>
        <w:tc>
          <w:tcPr>
            <w:tcW w:w="519" w:type="dxa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rPr>
          <w:rFonts w:ascii="Times New Roman" w:hAnsi="Times New Roman" w:eastAsia="宋体" w:cs="Times New Roman"/>
          <w:color w:val="00000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sz w:val="20"/>
          <w:szCs w:val="20"/>
        </w:rPr>
        <w:t>FC, functional connectivity; GRF, Gaussian random field; BA, Brodmann Area; MNI, Montreal Neurological coordinate; dAI, dorsal anterior insula; S</w:t>
      </w:r>
      <w:r>
        <w:rPr>
          <w:rFonts w:hint="eastAsia" w:ascii="Times New Roman" w:hAnsi="Times New Roman" w:eastAsia="宋体" w:cs="Times New Roman"/>
          <w:color w:val="000000"/>
          <w:sz w:val="20"/>
          <w:szCs w:val="20"/>
          <w:lang w:val="en-US" w:eastAsia="zh-CN"/>
        </w:rPr>
        <w:t>A</w:t>
      </w:r>
      <w:r>
        <w:rPr>
          <w:rFonts w:ascii="Times New Roman" w:hAnsi="Times New Roman" w:eastAsia="宋体" w:cs="Times New Roman"/>
          <w:color w:val="000000"/>
          <w:sz w:val="20"/>
          <w:szCs w:val="20"/>
        </w:rPr>
        <w:t>, bipolar disorder with attempted suicide; NS</w:t>
      </w:r>
      <w:r>
        <w:rPr>
          <w:rFonts w:hint="eastAsia" w:ascii="Times New Roman" w:hAnsi="Times New Roman" w:eastAsia="宋体" w:cs="Times New Roman"/>
          <w:color w:val="000000"/>
          <w:sz w:val="20"/>
          <w:szCs w:val="20"/>
          <w:lang w:val="en-US" w:eastAsia="zh-CN"/>
        </w:rPr>
        <w:t>A</w:t>
      </w:r>
      <w:r>
        <w:rPr>
          <w:rFonts w:ascii="Times New Roman" w:hAnsi="Times New Roman" w:eastAsia="宋体" w:cs="Times New Roman"/>
          <w:color w:val="000000"/>
          <w:sz w:val="20"/>
          <w:szCs w:val="20"/>
        </w:rPr>
        <w:t>, bipolar disorder without attempted suicide; L (R), left (right) hemisphere.</w:t>
      </w:r>
    </w:p>
    <w:p>
      <w:pPr>
        <w:widowControl/>
      </w:pPr>
      <w:r>
        <w:br w:type="page"/>
      </w:r>
    </w:p>
    <w:p>
      <w:pPr>
        <w:pStyle w:val="12"/>
        <w:spacing w:line="360" w:lineRule="auto"/>
        <w:rPr>
          <w:rFonts w:ascii="Arial" w:hAnsi="Arial" w:cs="Arial" w:eastAsiaTheme="minorEastAsia"/>
          <w:b/>
          <w:bCs/>
          <w:kern w:val="2"/>
          <w:sz w:val="16"/>
          <w:szCs w:val="16"/>
          <w:lang w:val="en-US" w:eastAsia="zh-CN" w:bidi="ar-SA"/>
        </w:rPr>
      </w:pPr>
      <w:r>
        <w:rPr>
          <w:rFonts w:ascii="Arial" w:hAnsi="Arial" w:cs="Arial" w:eastAsiaTheme="minorEastAsia"/>
          <w:b/>
          <w:bCs/>
          <w:kern w:val="2"/>
          <w:sz w:val="16"/>
          <w:szCs w:val="16"/>
          <w:lang w:val="en-US" w:eastAsia="zh-CN" w:bidi="ar-SA"/>
        </w:rPr>
        <w:t>Table S</w:t>
      </w:r>
      <w:r>
        <w:rPr>
          <w:rFonts w:hint="eastAsia" w:ascii="Arial" w:hAnsi="Arial" w:cs="Arial" w:eastAsiaTheme="minorEastAsia"/>
          <w:b/>
          <w:bCs/>
          <w:kern w:val="2"/>
          <w:sz w:val="16"/>
          <w:szCs w:val="16"/>
          <w:lang w:val="en-US" w:eastAsia="zh-CN" w:bidi="ar-SA"/>
        </w:rPr>
        <w:t>2</w:t>
      </w:r>
      <w:r>
        <w:rPr>
          <w:rFonts w:ascii="Arial" w:hAnsi="Arial" w:cs="Arial" w:eastAsiaTheme="minorEastAsia"/>
          <w:b/>
          <w:bCs/>
          <w:kern w:val="2"/>
          <w:sz w:val="16"/>
          <w:szCs w:val="16"/>
          <w:lang w:val="en-US" w:eastAsia="zh-CN" w:bidi="ar-SA"/>
        </w:rPr>
        <w:t>. The significant dynamic FC variability differences among three groups</w:t>
      </w:r>
    </w:p>
    <w:tbl>
      <w:tblPr>
        <w:tblStyle w:val="11"/>
        <w:tblpPr w:leftFromText="180" w:rightFromText="180" w:vertAnchor="text" w:horzAnchor="margin" w:tblpXSpec="center" w:tblpY="186"/>
        <w:tblW w:w="107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370"/>
        <w:gridCol w:w="567"/>
        <w:gridCol w:w="851"/>
        <w:gridCol w:w="567"/>
        <w:gridCol w:w="567"/>
        <w:gridCol w:w="567"/>
        <w:gridCol w:w="1031"/>
        <w:gridCol w:w="1662"/>
        <w:gridCol w:w="936"/>
        <w:gridCol w:w="5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01" w:type="dxa"/>
            <w:vMerge w:val="restart"/>
            <w:tcBorders>
              <w:top w:val="single" w:color="auto" w:sz="12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seeds</w:t>
            </w:r>
          </w:p>
        </w:tc>
        <w:tc>
          <w:tcPr>
            <w:tcW w:w="5489" w:type="dxa"/>
            <w:gridSpan w:val="6"/>
            <w:tcBorders>
              <w:top w:val="single" w:color="auto" w:sz="12" w:space="0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One-way ANOVA (voxel </w:t>
            </w:r>
            <w:r>
              <w:rPr>
                <w:rFonts w:ascii="Times New Roman" w:hAnsi="Times New Roman" w:eastAsia="宋体" w:cs="Times New Roman"/>
                <w:i/>
                <w:kern w:val="0"/>
                <w:sz w:val="20"/>
                <w:szCs w:val="20"/>
              </w:rPr>
              <w:t>p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&lt; 0.005, cluster </w:t>
            </w:r>
            <w:r>
              <w:rPr>
                <w:rFonts w:ascii="Times New Roman" w:hAnsi="Times New Roman" w:eastAsia="宋体" w:cs="Times New Roman"/>
                <w:i/>
                <w:kern w:val="0"/>
                <w:sz w:val="20"/>
                <w:szCs w:val="20"/>
              </w:rPr>
              <w:t>p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&lt; 0.0083, GRF corrected)</w:t>
            </w:r>
          </w:p>
        </w:tc>
        <w:tc>
          <w:tcPr>
            <w:tcW w:w="1031" w:type="dxa"/>
            <w:tcBorders>
              <w:top w:val="single" w:color="auto" w:sz="12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color="auto" w:sz="12" w:space="0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Post-hoc analysis (Bonferroni correction, </w:t>
            </w:r>
            <w:r>
              <w:rPr>
                <w:rFonts w:hint="eastAsia" w:ascii="Times New Roman" w:hAnsi="Times New Roman" w:eastAsia="宋体" w:cs="Times New Roman"/>
                <w:i/>
                <w:kern w:val="0"/>
                <w:sz w:val="20"/>
                <w:szCs w:val="20"/>
              </w:rPr>
              <w:t>p</w:t>
            </w:r>
            <w:r>
              <w:rPr>
                <w:rFonts w:ascii="Times New Roman" w:hAnsi="Times New Roman" w:eastAsia="宋体" w:cs="Times New Roman"/>
                <w:i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&lt; 0.05)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Merge w:val="continue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vMerge w:val="restart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Significant regions</w:t>
            </w:r>
          </w:p>
        </w:tc>
        <w:tc>
          <w:tcPr>
            <w:tcW w:w="567" w:type="dxa"/>
            <w:vMerge w:val="restart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BA</w:t>
            </w:r>
          </w:p>
        </w:tc>
        <w:tc>
          <w:tcPr>
            <w:tcW w:w="851" w:type="dxa"/>
            <w:vMerge w:val="restart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voxels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</w:tcPr>
          <w:p>
            <w:pPr>
              <w:spacing w:line="480" w:lineRule="auto"/>
              <w:ind w:firstLine="400" w:firstLineChars="20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MNI</w:t>
            </w:r>
          </w:p>
        </w:tc>
        <w:tc>
          <w:tcPr>
            <w:tcW w:w="1031" w:type="dxa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i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kern w:val="0"/>
                <w:sz w:val="20"/>
                <w:szCs w:val="20"/>
              </w:rPr>
              <w:t>F</w:t>
            </w:r>
          </w:p>
        </w:tc>
        <w:tc>
          <w:tcPr>
            <w:tcW w:w="1662" w:type="dxa"/>
            <w:vMerge w:val="restart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Comparisons</w:t>
            </w:r>
          </w:p>
        </w:tc>
        <w:tc>
          <w:tcPr>
            <w:tcW w:w="936" w:type="dxa"/>
            <w:vMerge w:val="restart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i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kern w:val="0"/>
                <w:sz w:val="20"/>
                <w:szCs w:val="20"/>
              </w:rPr>
              <w:t>p</w:t>
            </w:r>
          </w:p>
        </w:tc>
        <w:tc>
          <w:tcPr>
            <w:tcW w:w="519" w:type="dxa"/>
            <w:vMerge w:val="restart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101" w:type="dxa"/>
            <w:vMerge w:val="continue"/>
            <w:tcBorders>
              <w:bottom w:val="single" w:color="auto" w:sz="6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370" w:type="dxa"/>
            <w:vMerge w:val="continue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bottom w:val="single" w:color="auto" w:sz="6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6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z</w:t>
            </w:r>
          </w:p>
        </w:tc>
        <w:tc>
          <w:tcPr>
            <w:tcW w:w="1031" w:type="dxa"/>
            <w:tcBorders>
              <w:bottom w:val="single" w:color="auto" w:sz="6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Merge w:val="continue"/>
            <w:tcBorders>
              <w:bottom w:val="single" w:color="auto" w:sz="6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 w:val="continue"/>
            <w:tcBorders>
              <w:bottom w:val="single" w:color="auto" w:sz="6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vMerge w:val="continue"/>
            <w:tcBorders>
              <w:bottom w:val="single" w:color="auto" w:sz="6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01" w:type="dxa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L dAI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line="480" w:lineRule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R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dAI</w:t>
            </w:r>
          </w:p>
        </w:tc>
        <w:tc>
          <w:tcPr>
            <w:tcW w:w="2370" w:type="dxa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L anterior cerebellar lobe  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R middle occipital Gyrus</w:t>
            </w:r>
          </w:p>
        </w:tc>
        <w:tc>
          <w:tcPr>
            <w:tcW w:w="567" w:type="dxa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36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31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-18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-33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-78</w:t>
            </w:r>
          </w:p>
        </w:tc>
        <w:tc>
          <w:tcPr>
            <w:tcW w:w="567" w:type="dxa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-18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031" w:type="dxa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15.018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10.831</w:t>
            </w:r>
          </w:p>
        </w:tc>
        <w:tc>
          <w:tcPr>
            <w:tcW w:w="1662" w:type="dxa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spacing w:line="480" w:lineRule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A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&gt; NS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A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A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&gt; HCs</w:t>
            </w:r>
          </w:p>
          <w:p>
            <w:pPr>
              <w:spacing w:line="480" w:lineRule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A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&gt; NS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A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A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&gt; HCs</w:t>
            </w:r>
          </w:p>
        </w:tc>
        <w:tc>
          <w:tcPr>
            <w:tcW w:w="936" w:type="dxa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0.000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0.000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.000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.000</w:t>
            </w:r>
          </w:p>
        </w:tc>
        <w:tc>
          <w:tcPr>
            <w:tcW w:w="519" w:type="dxa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rPr>
          <w:rFonts w:ascii="Times New Roman" w:hAnsi="Times New Roman" w:eastAsia="宋体" w:cs="Times New Roman"/>
          <w:kern w:val="2"/>
          <w:sz w:val="20"/>
          <w:szCs w:val="20"/>
          <w:lang w:val="en-US" w:eastAsia="zh-CN" w:bidi="ar-SA"/>
        </w:rPr>
      </w:pPr>
      <w:r>
        <w:rPr>
          <w:rFonts w:ascii="Times New Roman" w:hAnsi="Times New Roman" w:eastAsia="宋体" w:cs="Times New Roman"/>
          <w:kern w:val="2"/>
          <w:sz w:val="20"/>
          <w:szCs w:val="20"/>
          <w:lang w:val="en-US" w:eastAsia="zh-CN" w:bidi="ar-SA"/>
        </w:rPr>
        <w:t>FC, functional connectivity; GRF, Gaussian random field; BA, Brodmann Area; MNI, Montreal Neurological coordinate; dAI, dorsal anterior insula; S</w:t>
      </w:r>
      <w:r>
        <w:rPr>
          <w:rFonts w:hint="eastAsia" w:ascii="Times New Roman" w:hAnsi="Times New Roman" w:eastAsia="宋体" w:cs="Times New Roman"/>
          <w:kern w:val="2"/>
          <w:sz w:val="20"/>
          <w:szCs w:val="20"/>
          <w:lang w:val="en-US" w:eastAsia="zh-CN" w:bidi="ar-SA"/>
        </w:rPr>
        <w:t>A</w:t>
      </w:r>
      <w:r>
        <w:rPr>
          <w:rFonts w:ascii="Times New Roman" w:hAnsi="Times New Roman" w:eastAsia="宋体" w:cs="Times New Roman"/>
          <w:kern w:val="2"/>
          <w:sz w:val="20"/>
          <w:szCs w:val="20"/>
          <w:lang w:val="en-US" w:eastAsia="zh-CN" w:bidi="ar-SA"/>
        </w:rPr>
        <w:t>, bipolar disorder with attempted suicide; NS</w:t>
      </w:r>
      <w:r>
        <w:rPr>
          <w:rFonts w:hint="eastAsia" w:ascii="Times New Roman" w:hAnsi="Times New Roman" w:eastAsia="宋体" w:cs="Times New Roman"/>
          <w:kern w:val="2"/>
          <w:sz w:val="20"/>
          <w:szCs w:val="20"/>
          <w:lang w:val="en-US" w:eastAsia="zh-CN" w:bidi="ar-SA"/>
        </w:rPr>
        <w:t>A</w:t>
      </w:r>
      <w:r>
        <w:rPr>
          <w:rFonts w:ascii="Times New Roman" w:hAnsi="Times New Roman" w:eastAsia="宋体" w:cs="Times New Roman"/>
          <w:kern w:val="2"/>
          <w:sz w:val="20"/>
          <w:szCs w:val="20"/>
          <w:lang w:val="en-US" w:eastAsia="zh-CN" w:bidi="ar-SA"/>
        </w:rPr>
        <w:t>, bipolar disorder without attempted suicide; L (R), left (right) hemisphere.</w:t>
      </w:r>
    </w:p>
    <w:p>
      <w:pPr>
        <w:widowControl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br w:type="page"/>
      </w:r>
      <w:bookmarkStart w:id="0" w:name="_GoBack"/>
      <w:bookmarkEnd w:id="0"/>
    </w:p>
    <w:p>
      <w:pPr>
        <w:widowControl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5267325" cy="5243195"/>
            <wp:effectExtent l="0" t="0" r="9525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24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Fig</w:t>
      </w:r>
      <w:r>
        <w:rPr>
          <w:rFonts w:hint="eastAsia"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S</w:t>
      </w:r>
      <w:r>
        <w:rPr>
          <w:rFonts w:hint="eastAsia" w:ascii="Arial" w:hAnsi="Arial" w:cs="Arial"/>
          <w:sz w:val="16"/>
          <w:szCs w:val="16"/>
          <w:lang w:val="en-US" w:eastAsia="zh-CN"/>
        </w:rPr>
        <w:t>1</w:t>
      </w:r>
      <w:r>
        <w:rPr>
          <w:rFonts w:ascii="Arial" w:hAnsi="Arial" w:cs="Arial"/>
          <w:sz w:val="16"/>
          <w:szCs w:val="16"/>
        </w:rPr>
        <w:t xml:space="preserve"> The significant dFC differences </w:t>
      </w:r>
      <w:r>
        <w:rPr>
          <w:rFonts w:hint="eastAsia" w:ascii="Arial" w:hAnsi="Arial" w:cs="Arial"/>
          <w:sz w:val="16"/>
          <w:szCs w:val="16"/>
        </w:rPr>
        <w:t>among</w:t>
      </w:r>
      <w:r>
        <w:rPr>
          <w:rFonts w:ascii="Arial" w:hAnsi="Arial" w:cs="Arial"/>
          <w:sz w:val="16"/>
          <w:szCs w:val="16"/>
        </w:rPr>
        <w:t xml:space="preserve"> the three groups in 30 TRs (A) and 70 TRs (B) for the insula seed (voxel p &lt; 0.005, cluster p &lt; 0.0083, GRF corrected). The color bar indicates the F values from One-Way ANOVA analyses. dFC, dynamic functional connectivity; GRF, Gaussian rando</w:t>
      </w:r>
      <w:r>
        <w:rPr>
          <w:rFonts w:hint="eastAsia" w:ascii="Arial" w:hAnsi="Arial" w:cs="Arial"/>
          <w:sz w:val="16"/>
          <w:szCs w:val="16"/>
        </w:rPr>
        <w:t xml:space="preserve">m field; </w:t>
      </w:r>
      <w:r>
        <w:rPr>
          <w:rFonts w:ascii="Arial" w:hAnsi="Arial" w:cs="Arial"/>
          <w:sz w:val="16"/>
          <w:szCs w:val="16"/>
        </w:rPr>
        <w:t xml:space="preserve">vAI, ventral anterior insula; dAI, dorsal anterior insula; PI, posterior insula; </w:t>
      </w:r>
      <w:r>
        <w:rPr>
          <w:rFonts w:hint="eastAsia" w:ascii="Arial" w:hAnsi="Arial" w:cs="Arial"/>
          <w:sz w:val="16"/>
          <w:szCs w:val="16"/>
        </w:rPr>
        <w:t>L (R), left (right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hint="eastAsia" w:ascii="Arial" w:hAnsi="Arial" w:cs="Arial"/>
          <w:sz w:val="16"/>
          <w:szCs w:val="16"/>
        </w:rPr>
        <w:t>hemisphere.</w:t>
      </w:r>
    </w:p>
    <w:p>
      <w:pPr>
        <w:widowControl/>
        <w:spacing w:line="480" w:lineRule="auto"/>
        <w:rPr>
          <w:rFonts w:ascii="Times New Roman" w:hAnsi="Times New Roman" w:cs="Times New Roman"/>
          <w:szCs w:val="21"/>
        </w:rPr>
      </w:pPr>
    </w:p>
    <w:p>
      <w:pPr>
        <w:widowControl/>
        <w:spacing w:line="480" w:lineRule="auto"/>
        <w:rPr>
          <w:rFonts w:ascii="Times New Roman" w:hAnsi="Times New Roman" w:cs="Times New Roman"/>
          <w:szCs w:val="21"/>
        </w:rPr>
      </w:pPr>
    </w:p>
    <w:p>
      <w:pPr>
        <w:widowControl/>
        <w:rPr>
          <w:rFonts w:hint="eastAsia" w:ascii="Times New Roman" w:hAnsi="Times New Roman" w:eastAsia="宋体" w:cs="Times New Roman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45"/>
    <w:rsid w:val="000C7DB6"/>
    <w:rsid w:val="001015A6"/>
    <w:rsid w:val="00136A36"/>
    <w:rsid w:val="00157CFD"/>
    <w:rsid w:val="00181E55"/>
    <w:rsid w:val="001D1546"/>
    <w:rsid w:val="002017C3"/>
    <w:rsid w:val="002369EC"/>
    <w:rsid w:val="00237F42"/>
    <w:rsid w:val="00252945"/>
    <w:rsid w:val="00264D4F"/>
    <w:rsid w:val="0028073F"/>
    <w:rsid w:val="00297A32"/>
    <w:rsid w:val="002A2607"/>
    <w:rsid w:val="002D0C29"/>
    <w:rsid w:val="002F7A83"/>
    <w:rsid w:val="003168E9"/>
    <w:rsid w:val="0032309A"/>
    <w:rsid w:val="003331CA"/>
    <w:rsid w:val="00335B90"/>
    <w:rsid w:val="00345313"/>
    <w:rsid w:val="00353C30"/>
    <w:rsid w:val="0038160C"/>
    <w:rsid w:val="003A3084"/>
    <w:rsid w:val="003D07FE"/>
    <w:rsid w:val="00427301"/>
    <w:rsid w:val="00492C47"/>
    <w:rsid w:val="004A3850"/>
    <w:rsid w:val="004C6657"/>
    <w:rsid w:val="004C741D"/>
    <w:rsid w:val="005222CF"/>
    <w:rsid w:val="00570639"/>
    <w:rsid w:val="00571DF2"/>
    <w:rsid w:val="00575D7D"/>
    <w:rsid w:val="005A3827"/>
    <w:rsid w:val="005D7F91"/>
    <w:rsid w:val="0074658F"/>
    <w:rsid w:val="008B346D"/>
    <w:rsid w:val="008B3F70"/>
    <w:rsid w:val="00910705"/>
    <w:rsid w:val="00945264"/>
    <w:rsid w:val="00945369"/>
    <w:rsid w:val="009540E7"/>
    <w:rsid w:val="00962C70"/>
    <w:rsid w:val="00971856"/>
    <w:rsid w:val="009949B6"/>
    <w:rsid w:val="009A3569"/>
    <w:rsid w:val="009D21D3"/>
    <w:rsid w:val="00A0215A"/>
    <w:rsid w:val="00A95CD1"/>
    <w:rsid w:val="00AA0D25"/>
    <w:rsid w:val="00AA29ED"/>
    <w:rsid w:val="00B123E3"/>
    <w:rsid w:val="00B22CBD"/>
    <w:rsid w:val="00B24C69"/>
    <w:rsid w:val="00B43F96"/>
    <w:rsid w:val="00B7767A"/>
    <w:rsid w:val="00C25059"/>
    <w:rsid w:val="00C37B58"/>
    <w:rsid w:val="00CA127C"/>
    <w:rsid w:val="00CC3014"/>
    <w:rsid w:val="00D04BC5"/>
    <w:rsid w:val="00D3281A"/>
    <w:rsid w:val="00D34FC7"/>
    <w:rsid w:val="00D551BB"/>
    <w:rsid w:val="00D82BC6"/>
    <w:rsid w:val="00DA547D"/>
    <w:rsid w:val="00DC7AAE"/>
    <w:rsid w:val="00DD6020"/>
    <w:rsid w:val="00DE7449"/>
    <w:rsid w:val="00F94CC5"/>
    <w:rsid w:val="03FC6D99"/>
    <w:rsid w:val="0CDA4C2F"/>
    <w:rsid w:val="31E95844"/>
    <w:rsid w:val="378E3124"/>
    <w:rsid w:val="572839AB"/>
    <w:rsid w:val="72DE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网格型112"/>
    <w:basedOn w:val="4"/>
    <w:uiPriority w:val="59"/>
    <w:rPr>
      <w:rFonts w:eastAsia="微软雅黑"/>
      <w:kern w:val="0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网格型1121"/>
    <w:basedOn w:val="4"/>
    <w:qFormat/>
    <w:uiPriority w:val="59"/>
    <w:rPr>
      <w:rFonts w:eastAsia="微软雅黑"/>
      <w:kern w:val="0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table" w:customStyle="1" w:styleId="11">
    <w:name w:val="网格型1"/>
    <w:basedOn w:val="4"/>
    <w:uiPriority w:val="59"/>
    <w:rPr>
      <w:rFonts w:ascii="Times New Roman" w:hAnsi="Times New Roman" w:eastAsia="微软雅黑" w:cs="Times New Roman"/>
      <w:kern w:val="0"/>
      <w:sz w:val="22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p0"/>
    <w:basedOn w:val="1"/>
    <w:qFormat/>
    <w:uiPriority w:val="0"/>
    <w:pPr>
      <w:widowControl/>
      <w:snapToGrid w:val="0"/>
      <w:spacing w:line="312" w:lineRule="atLeast"/>
    </w:pPr>
    <w:rPr>
      <w:rFonts w:ascii="Times New Roman" w:hAnsi="Times New Roman"/>
      <w:kern w:val="0"/>
    </w:rPr>
  </w:style>
  <w:style w:type="paragraph" w:customStyle="1" w:styleId="13">
    <w:name w:val="正文-medsci-yx"/>
    <w:basedOn w:val="1"/>
    <w:qFormat/>
    <w:uiPriority w:val="0"/>
    <w:pPr>
      <w:spacing w:before="120" w:after="160" w:line="480" w:lineRule="auto"/>
      <w:ind w:firstLine="480"/>
    </w:pPr>
    <w:rPr>
      <w:rFonts w:ascii="Calibri" w:hAnsi="Calibri" w:eastAsia="等线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437</Words>
  <Characters>2492</Characters>
  <Lines>20</Lines>
  <Paragraphs>5</Paragraphs>
  <TotalTime>4</TotalTime>
  <ScaleCrop>false</ScaleCrop>
  <LinksUpToDate>false</LinksUpToDate>
  <CharactersWithSpaces>2924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2021-06-17T13:54:00Z</dcterms:created>
  <dc:creator>Microsoft 帐户</dc:creator>
  <cp:lastModifiedBy>凯子</cp:lastModifiedBy>
  <dcterms:modified xsi:type="dcterms:W3CDTF">2022-01-19T15:02:22Z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0ED292C98C84467CB59B8069CA481D43</vt:lpwstr>
  </property>
</Properties>
</file>