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732F" w14:textId="77777777" w:rsidR="003C3E79" w:rsidRPr="00395C3A" w:rsidRDefault="003C3E79" w:rsidP="003C3E7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395C3A">
        <w:rPr>
          <w:b/>
          <w:bCs/>
          <w:lang w:val="en-US"/>
        </w:rPr>
        <w:t>Supplementary Material</w:t>
      </w:r>
      <w:r>
        <w:rPr>
          <w:b/>
          <w:bCs/>
          <w:lang w:val="en-US"/>
        </w:rPr>
        <w:t xml:space="preserve"> (S5)</w:t>
      </w:r>
    </w:p>
    <w:p w14:paraId="06D0CD43" w14:textId="77777777" w:rsidR="003C3E79" w:rsidRDefault="003C3E79" w:rsidP="003C3E79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14:paraId="135F3F36" w14:textId="77777777" w:rsidR="003C3E79" w:rsidRPr="00DF44D4" w:rsidRDefault="003C3E79" w:rsidP="003C3E7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395C3A">
        <w:rPr>
          <w:b/>
          <w:i/>
          <w:color w:val="000000"/>
        </w:rPr>
        <w:t>Table S</w:t>
      </w:r>
      <w:r>
        <w:rPr>
          <w:b/>
          <w:i/>
          <w:color w:val="000000"/>
        </w:rPr>
        <w:t>5</w:t>
      </w:r>
      <w:r w:rsidRPr="00395C3A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 w:rsidRPr="00395C3A">
        <w:rPr>
          <w:i/>
          <w:iCs/>
          <w:color w:val="000000"/>
        </w:rPr>
        <w:t>Evaluating performance for default vs altered model parameter settings (AN vs BN)</w:t>
      </w:r>
    </w:p>
    <w:p w14:paraId="4808B31D" w14:textId="77777777" w:rsidR="003C3E79" w:rsidRPr="00395C3A" w:rsidRDefault="003C3E79" w:rsidP="003C3E7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3C3E79" w:rsidRPr="00395C3A" w14:paraId="4C5243F5" w14:textId="77777777" w:rsidTr="00C65872"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37BB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  <w:lang w:val="en-US"/>
              </w:rPr>
              <w:t>maxdepth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2AC65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learnrate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C5FA9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penalty.par.val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E7604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Accuracy</w:t>
            </w:r>
          </w:p>
        </w:tc>
      </w:tr>
      <w:tr w:rsidR="003C3E79" w:rsidRPr="00395C3A" w14:paraId="64475D6B" w14:textId="77777777" w:rsidTr="00C65872"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0B05DE68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14:paraId="7B31EB6F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14:paraId="4521EF3E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14:paraId="41E40958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0.635 (0.0475)</w:t>
            </w:r>
          </w:p>
        </w:tc>
      </w:tr>
      <w:tr w:rsidR="003C3E79" w:rsidRPr="00395C3A" w14:paraId="56D6E565" w14:textId="77777777" w:rsidTr="00C65872">
        <w:tc>
          <w:tcPr>
            <w:tcW w:w="1802" w:type="dxa"/>
            <w:vAlign w:val="center"/>
          </w:tcPr>
          <w:p w14:paraId="20D7B3A8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vAlign w:val="bottom"/>
          </w:tcPr>
          <w:p w14:paraId="0E13E915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</w:t>
            </w:r>
          </w:p>
        </w:tc>
        <w:tc>
          <w:tcPr>
            <w:tcW w:w="1802" w:type="dxa"/>
            <w:vAlign w:val="bottom"/>
          </w:tcPr>
          <w:p w14:paraId="2CE1952F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6524FBA5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0.645 (0.0494)</w:t>
            </w:r>
          </w:p>
        </w:tc>
      </w:tr>
      <w:tr w:rsidR="003C3E79" w:rsidRPr="00395C3A" w14:paraId="4DB5E6F0" w14:textId="77777777" w:rsidTr="00C65872">
        <w:tc>
          <w:tcPr>
            <w:tcW w:w="1802" w:type="dxa"/>
            <w:vAlign w:val="center"/>
          </w:tcPr>
          <w:p w14:paraId="0D2B4895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vAlign w:val="bottom"/>
          </w:tcPr>
          <w:p w14:paraId="508C3D64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2F1C0730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614C7874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0.652 (0.0455)</w:t>
            </w:r>
          </w:p>
        </w:tc>
      </w:tr>
      <w:tr w:rsidR="003C3E79" w:rsidRPr="00395C3A" w14:paraId="3307A7B5" w14:textId="77777777" w:rsidTr="00C65872">
        <w:tc>
          <w:tcPr>
            <w:tcW w:w="1802" w:type="dxa"/>
            <w:vAlign w:val="center"/>
          </w:tcPr>
          <w:p w14:paraId="56695523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vAlign w:val="bottom"/>
          </w:tcPr>
          <w:p w14:paraId="21F3F24A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26A2BACE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4BE533F9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0.634 (0.0605)</w:t>
            </w:r>
          </w:p>
        </w:tc>
      </w:tr>
      <w:tr w:rsidR="003C3E79" w:rsidRPr="00395C3A" w14:paraId="5C357457" w14:textId="77777777" w:rsidTr="00C65872">
        <w:tc>
          <w:tcPr>
            <w:tcW w:w="1802" w:type="dxa"/>
            <w:vAlign w:val="center"/>
          </w:tcPr>
          <w:p w14:paraId="47B992D6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vAlign w:val="bottom"/>
          </w:tcPr>
          <w:p w14:paraId="3542EB8B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0.1</w:t>
            </w:r>
          </w:p>
        </w:tc>
        <w:tc>
          <w:tcPr>
            <w:tcW w:w="1802" w:type="dxa"/>
            <w:vAlign w:val="bottom"/>
          </w:tcPr>
          <w:p w14:paraId="6352F821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0105F284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0.628 (0.0442)</w:t>
            </w:r>
          </w:p>
        </w:tc>
      </w:tr>
      <w:tr w:rsidR="003C3E79" w:rsidRPr="00395C3A" w14:paraId="10259540" w14:textId="77777777" w:rsidTr="00C65872">
        <w:tc>
          <w:tcPr>
            <w:tcW w:w="1802" w:type="dxa"/>
            <w:vAlign w:val="center"/>
          </w:tcPr>
          <w:p w14:paraId="09BD04E7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2</w:t>
            </w:r>
          </w:p>
        </w:tc>
        <w:tc>
          <w:tcPr>
            <w:tcW w:w="1802" w:type="dxa"/>
            <w:vAlign w:val="bottom"/>
          </w:tcPr>
          <w:p w14:paraId="3371C1F3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0.1</w:t>
            </w:r>
          </w:p>
        </w:tc>
        <w:tc>
          <w:tcPr>
            <w:tcW w:w="1802" w:type="dxa"/>
            <w:vAlign w:val="bottom"/>
          </w:tcPr>
          <w:p w14:paraId="2E2A4B50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27981335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0.615 (0.0493)</w:t>
            </w:r>
          </w:p>
        </w:tc>
      </w:tr>
      <w:tr w:rsidR="003C3E79" w:rsidRPr="00395C3A" w14:paraId="4190D63E" w14:textId="77777777" w:rsidTr="00C65872">
        <w:tc>
          <w:tcPr>
            <w:tcW w:w="1802" w:type="dxa"/>
            <w:vAlign w:val="center"/>
          </w:tcPr>
          <w:p w14:paraId="0CDB662F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57EBD9D0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</w:t>
            </w:r>
          </w:p>
        </w:tc>
        <w:tc>
          <w:tcPr>
            <w:tcW w:w="1802" w:type="dxa"/>
            <w:vAlign w:val="bottom"/>
          </w:tcPr>
          <w:p w14:paraId="0E0FD802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5C3A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10DE773B" w14:textId="77777777" w:rsidR="003C3E79" w:rsidRPr="00395C3A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C3A">
              <w:rPr>
                <w:color w:val="000000"/>
              </w:rPr>
              <w:t>0.632 (0.0625)</w:t>
            </w:r>
          </w:p>
        </w:tc>
      </w:tr>
      <w:tr w:rsidR="003C3E79" w:rsidRPr="00C93B1E" w14:paraId="2473AD35" w14:textId="77777777" w:rsidTr="00C65872">
        <w:tc>
          <w:tcPr>
            <w:tcW w:w="1802" w:type="dxa"/>
            <w:vAlign w:val="center"/>
          </w:tcPr>
          <w:p w14:paraId="6C77F11F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506A21FB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</w:t>
            </w:r>
          </w:p>
        </w:tc>
        <w:tc>
          <w:tcPr>
            <w:tcW w:w="1802" w:type="dxa"/>
            <w:vAlign w:val="bottom"/>
          </w:tcPr>
          <w:p w14:paraId="12A66D6F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15C0E73C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0.622 (0.0668)</w:t>
            </w:r>
          </w:p>
        </w:tc>
      </w:tr>
      <w:tr w:rsidR="003C3E79" w:rsidRPr="00C93B1E" w14:paraId="6B021AAA" w14:textId="77777777" w:rsidTr="00C65872">
        <w:tc>
          <w:tcPr>
            <w:tcW w:w="1802" w:type="dxa"/>
            <w:vAlign w:val="center"/>
          </w:tcPr>
          <w:p w14:paraId="04C89DE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1F5D692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5D96C6CB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93B1E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7C552F3C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0.647 (0.0661)</w:t>
            </w:r>
          </w:p>
        </w:tc>
      </w:tr>
      <w:tr w:rsidR="003C3E79" w:rsidRPr="00C93B1E" w14:paraId="7F95B922" w14:textId="77777777" w:rsidTr="00C65872">
        <w:tc>
          <w:tcPr>
            <w:tcW w:w="1802" w:type="dxa"/>
            <w:vAlign w:val="center"/>
          </w:tcPr>
          <w:p w14:paraId="4AC5CDFD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3B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217C41D9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3B1E">
              <w:rPr>
                <w:b/>
                <w:bCs/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36F6DAA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3B1E">
              <w:rPr>
                <w:b/>
                <w:bCs/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372E203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3B1E">
              <w:rPr>
                <w:b/>
                <w:bCs/>
                <w:color w:val="000000"/>
              </w:rPr>
              <w:t>0.658 (0.0826)</w:t>
            </w:r>
          </w:p>
        </w:tc>
      </w:tr>
      <w:tr w:rsidR="003C3E79" w:rsidRPr="00C93B1E" w14:paraId="2B2853A2" w14:textId="77777777" w:rsidTr="00C65872">
        <w:tc>
          <w:tcPr>
            <w:tcW w:w="1802" w:type="dxa"/>
            <w:vAlign w:val="center"/>
          </w:tcPr>
          <w:p w14:paraId="2DEC5C8A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5FA6F877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0.1</w:t>
            </w:r>
          </w:p>
        </w:tc>
        <w:tc>
          <w:tcPr>
            <w:tcW w:w="1802" w:type="dxa"/>
            <w:vAlign w:val="bottom"/>
          </w:tcPr>
          <w:p w14:paraId="2396E15F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93B1E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6E50C1D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0.611 (0.0461)</w:t>
            </w:r>
          </w:p>
        </w:tc>
      </w:tr>
      <w:tr w:rsidR="003C3E79" w:rsidRPr="00C93B1E" w14:paraId="223B27E5" w14:textId="77777777" w:rsidTr="00C65872">
        <w:tc>
          <w:tcPr>
            <w:tcW w:w="1802" w:type="dxa"/>
            <w:vAlign w:val="center"/>
          </w:tcPr>
          <w:p w14:paraId="451D261F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3</w:t>
            </w:r>
          </w:p>
        </w:tc>
        <w:tc>
          <w:tcPr>
            <w:tcW w:w="1802" w:type="dxa"/>
            <w:vAlign w:val="bottom"/>
          </w:tcPr>
          <w:p w14:paraId="0A4C5CEA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0.1</w:t>
            </w:r>
          </w:p>
        </w:tc>
        <w:tc>
          <w:tcPr>
            <w:tcW w:w="1802" w:type="dxa"/>
            <w:vAlign w:val="bottom"/>
          </w:tcPr>
          <w:p w14:paraId="2E9534D5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2D188F38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0.602 (0.0579)</w:t>
            </w:r>
          </w:p>
        </w:tc>
      </w:tr>
      <w:tr w:rsidR="003C3E79" w:rsidRPr="00C93B1E" w14:paraId="51B0991E" w14:textId="77777777" w:rsidTr="00C65872">
        <w:tc>
          <w:tcPr>
            <w:tcW w:w="1802" w:type="dxa"/>
            <w:vAlign w:val="center"/>
          </w:tcPr>
          <w:p w14:paraId="527639C8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vAlign w:val="bottom"/>
          </w:tcPr>
          <w:p w14:paraId="1C939356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</w:t>
            </w:r>
          </w:p>
        </w:tc>
        <w:tc>
          <w:tcPr>
            <w:tcW w:w="1802" w:type="dxa"/>
            <w:vAlign w:val="bottom"/>
          </w:tcPr>
          <w:p w14:paraId="64881060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93B1E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52E90D50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0.652 (0.0518)</w:t>
            </w:r>
          </w:p>
        </w:tc>
      </w:tr>
      <w:tr w:rsidR="003C3E79" w:rsidRPr="00C93B1E" w14:paraId="66A2F75A" w14:textId="77777777" w:rsidTr="00C65872">
        <w:tc>
          <w:tcPr>
            <w:tcW w:w="1802" w:type="dxa"/>
            <w:vAlign w:val="center"/>
          </w:tcPr>
          <w:p w14:paraId="7EEEF2AE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vAlign w:val="bottom"/>
          </w:tcPr>
          <w:p w14:paraId="2FE0F4CC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</w:t>
            </w:r>
          </w:p>
        </w:tc>
        <w:tc>
          <w:tcPr>
            <w:tcW w:w="1802" w:type="dxa"/>
            <w:vAlign w:val="bottom"/>
          </w:tcPr>
          <w:p w14:paraId="641C0C0D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230735AD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0.641 (0.0460)</w:t>
            </w:r>
          </w:p>
        </w:tc>
      </w:tr>
      <w:tr w:rsidR="003C3E79" w:rsidRPr="00C93B1E" w14:paraId="5E7A5969" w14:textId="77777777" w:rsidTr="00C65872">
        <w:tc>
          <w:tcPr>
            <w:tcW w:w="1802" w:type="dxa"/>
            <w:vAlign w:val="center"/>
          </w:tcPr>
          <w:p w14:paraId="14F818CE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vAlign w:val="bottom"/>
          </w:tcPr>
          <w:p w14:paraId="0CDC59E6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7C7195D5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93B1E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2C8DFEF2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0.637 (0.0579)</w:t>
            </w:r>
          </w:p>
        </w:tc>
      </w:tr>
      <w:tr w:rsidR="003C3E79" w:rsidRPr="00C93B1E" w14:paraId="7CF9F997" w14:textId="77777777" w:rsidTr="00C65872">
        <w:tc>
          <w:tcPr>
            <w:tcW w:w="1802" w:type="dxa"/>
            <w:vAlign w:val="center"/>
          </w:tcPr>
          <w:p w14:paraId="16C506A3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vAlign w:val="bottom"/>
          </w:tcPr>
          <w:p w14:paraId="1F9C4780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0.01</w:t>
            </w:r>
          </w:p>
        </w:tc>
        <w:tc>
          <w:tcPr>
            <w:tcW w:w="1802" w:type="dxa"/>
            <w:vAlign w:val="bottom"/>
          </w:tcPr>
          <w:p w14:paraId="496FBA63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lambda.1se</w:t>
            </w:r>
          </w:p>
        </w:tc>
        <w:tc>
          <w:tcPr>
            <w:tcW w:w="1802" w:type="dxa"/>
            <w:vAlign w:val="bottom"/>
          </w:tcPr>
          <w:p w14:paraId="5E4E4D57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0.637 (0.0481)</w:t>
            </w:r>
          </w:p>
        </w:tc>
      </w:tr>
      <w:tr w:rsidR="003C3E79" w:rsidRPr="00C93B1E" w14:paraId="5CBCBD5A" w14:textId="77777777" w:rsidTr="00C65872">
        <w:tc>
          <w:tcPr>
            <w:tcW w:w="1802" w:type="dxa"/>
            <w:vAlign w:val="center"/>
          </w:tcPr>
          <w:p w14:paraId="1CE900C8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vAlign w:val="bottom"/>
          </w:tcPr>
          <w:p w14:paraId="31CFB3ED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0.1</w:t>
            </w:r>
          </w:p>
        </w:tc>
        <w:tc>
          <w:tcPr>
            <w:tcW w:w="1802" w:type="dxa"/>
            <w:vAlign w:val="bottom"/>
          </w:tcPr>
          <w:p w14:paraId="08365894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93B1E">
              <w:rPr>
                <w:color w:val="000000"/>
              </w:rPr>
              <w:t>lambda.min</w:t>
            </w:r>
            <w:proofErr w:type="spellEnd"/>
          </w:p>
        </w:tc>
        <w:tc>
          <w:tcPr>
            <w:tcW w:w="1802" w:type="dxa"/>
            <w:vAlign w:val="bottom"/>
          </w:tcPr>
          <w:p w14:paraId="27F0D233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0.647 (0.0530)</w:t>
            </w:r>
          </w:p>
        </w:tc>
      </w:tr>
      <w:tr w:rsidR="003C3E79" w:rsidRPr="00C93B1E" w14:paraId="567210C8" w14:textId="77777777" w:rsidTr="00C65872"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4FB902D5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  <w:lang w:val="en-US"/>
              </w:rPr>
              <w:t>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bottom"/>
          </w:tcPr>
          <w:p w14:paraId="07AE76C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0.1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bottom"/>
          </w:tcPr>
          <w:p w14:paraId="4B0E87A1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lambda.1se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bottom"/>
          </w:tcPr>
          <w:p w14:paraId="07760A34" w14:textId="77777777" w:rsidR="003C3E79" w:rsidRPr="00C93B1E" w:rsidRDefault="003C3E79" w:rsidP="00C658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B1E">
              <w:rPr>
                <w:color w:val="000000"/>
              </w:rPr>
              <w:t>0.598 (0.0563)</w:t>
            </w:r>
          </w:p>
        </w:tc>
      </w:tr>
    </w:tbl>
    <w:p w14:paraId="70FAA2B8" w14:textId="77777777" w:rsidR="003C3E79" w:rsidRPr="00C93B1E" w:rsidRDefault="003C3E79" w:rsidP="003C3E79">
      <w:pPr>
        <w:autoSpaceDE w:val="0"/>
        <w:autoSpaceDN w:val="0"/>
        <w:adjustRightInd w:val="0"/>
        <w:jc w:val="both"/>
        <w:rPr>
          <w:lang w:val="en-US"/>
        </w:rPr>
      </w:pPr>
    </w:p>
    <w:p w14:paraId="5A41536B" w14:textId="77777777" w:rsidR="003C3E79" w:rsidRPr="00395C3A" w:rsidRDefault="003C3E79" w:rsidP="003C3E79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C93B1E">
        <w:rPr>
          <w:lang w:val="en-US"/>
        </w:rPr>
        <w:t>As shown above, the default model that we report and interpret in the manuscript als</w:t>
      </w:r>
      <w:r w:rsidRPr="00395C3A">
        <w:rPr>
          <w:lang w:val="en-US"/>
        </w:rPr>
        <w:t xml:space="preserve">o happens to be the best fitting model when comparing different configurations of maximum depth, learn rate, and penalty parameter value. </w:t>
      </w:r>
    </w:p>
    <w:p w14:paraId="172A2357" w14:textId="77777777" w:rsidR="003C3E79" w:rsidRPr="00395C3A" w:rsidRDefault="003C3E79" w:rsidP="003C3E79">
      <w:pPr>
        <w:autoSpaceDE w:val="0"/>
        <w:autoSpaceDN w:val="0"/>
        <w:adjustRightInd w:val="0"/>
        <w:jc w:val="both"/>
        <w:rPr>
          <w:lang w:val="en-US"/>
        </w:rPr>
      </w:pPr>
    </w:p>
    <w:p w14:paraId="469A708F" w14:textId="77777777" w:rsidR="003C3E79" w:rsidRPr="00395C3A" w:rsidRDefault="003C3E79" w:rsidP="003C3E79">
      <w:pPr>
        <w:autoSpaceDE w:val="0"/>
        <w:autoSpaceDN w:val="0"/>
        <w:adjustRightInd w:val="0"/>
        <w:jc w:val="both"/>
        <w:rPr>
          <w:lang w:val="en-US"/>
        </w:rPr>
      </w:pPr>
    </w:p>
    <w:p w14:paraId="2DDD0161" w14:textId="77777777" w:rsidR="003C3E79" w:rsidRPr="00395C3A" w:rsidRDefault="003C3E79" w:rsidP="003C3E79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28AC181" w14:textId="77777777" w:rsidR="003C3E79" w:rsidRPr="00395C3A" w:rsidRDefault="003C3E79" w:rsidP="003C3E79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02E2E7A" w14:textId="77777777" w:rsidR="003C3E79" w:rsidRPr="00395C3A" w:rsidRDefault="003C3E79" w:rsidP="003C3E79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36B9FC80" w14:textId="77777777" w:rsidR="003C3E79" w:rsidRPr="00395C3A" w:rsidRDefault="003C3E79" w:rsidP="003C3E79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18188FD9" w14:textId="77777777" w:rsidR="003C3E79" w:rsidRPr="00395C3A" w:rsidRDefault="003C3E79" w:rsidP="003C3E79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0153270A" w14:textId="77777777" w:rsidR="003C3E79" w:rsidRPr="00395C3A" w:rsidRDefault="003C3E79" w:rsidP="003C3E79">
      <w:pPr>
        <w:jc w:val="both"/>
      </w:pPr>
    </w:p>
    <w:p w14:paraId="6E0D6EBD" w14:textId="77777777" w:rsidR="003C3E79" w:rsidRPr="00351CF5" w:rsidRDefault="003C3E79" w:rsidP="003C3E79">
      <w:pPr>
        <w:jc w:val="both"/>
      </w:pPr>
    </w:p>
    <w:p w14:paraId="145E4D23" w14:textId="77777777" w:rsidR="003C3E79" w:rsidRDefault="003C3E79" w:rsidP="003C3E79"/>
    <w:p w14:paraId="6761B5B1" w14:textId="77777777" w:rsidR="00AB3066" w:rsidRDefault="00AB3066"/>
    <w:sectPr w:rsidR="00AB3066" w:rsidSect="00E539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9"/>
    <w:rsid w:val="003C3E79"/>
    <w:rsid w:val="008003F7"/>
    <w:rsid w:val="00AB3066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64CA4"/>
  <w15:chartTrackingRefBased/>
  <w15:docId w15:val="{FA867D7B-3F0A-1745-90B4-192BB0A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C3E79"/>
    <w:pPr>
      <w:jc w:val="both"/>
    </w:pPr>
    <w:rPr>
      <w:rFonts w:ascii="Calibri" w:eastAsiaTheme="minorHAns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3E79"/>
    <w:rPr>
      <w:rFonts w:ascii="Calibri" w:hAnsi="Calibri" w:cs="Calibri"/>
      <w:noProof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Krug</dc:creator>
  <cp:keywords/>
  <dc:description/>
  <cp:lastModifiedBy>Isabel Krug</cp:lastModifiedBy>
  <cp:revision>1</cp:revision>
  <dcterms:created xsi:type="dcterms:W3CDTF">2021-07-09T08:23:00Z</dcterms:created>
  <dcterms:modified xsi:type="dcterms:W3CDTF">2021-07-09T08:23:00Z</dcterms:modified>
</cp:coreProperties>
</file>