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76A7" w14:textId="31F5122B" w:rsidR="0030498B" w:rsidRDefault="0030498B" w:rsidP="0030498B">
      <w:pPr>
        <w:pStyle w:val="Heading1"/>
      </w:pPr>
      <w:r>
        <w:t>Supplementary material</w:t>
      </w:r>
    </w:p>
    <w:p w14:paraId="21C6C4E7" w14:textId="51BE624F" w:rsidR="007C3551" w:rsidRDefault="007C3551" w:rsidP="007C3551">
      <w:pPr>
        <w:pStyle w:val="Heading2"/>
      </w:pPr>
      <w:r>
        <w:t>Search terms</w:t>
      </w:r>
    </w:p>
    <w:p w14:paraId="005C075A" w14:textId="77777777" w:rsidR="007C3551" w:rsidRDefault="007C3551" w:rsidP="007C3551">
      <w:pPr>
        <w:pStyle w:val="ListParagraph"/>
        <w:numPr>
          <w:ilvl w:val="0"/>
          <w:numId w:val="1"/>
        </w:numPr>
      </w:pPr>
      <w:r w:rsidRPr="007C3551">
        <w:t>Computer* OR internet* OR online OR Web* OR e?health</w:t>
      </w:r>
    </w:p>
    <w:p w14:paraId="2AB6089A" w14:textId="77777777" w:rsidR="007C3551" w:rsidRDefault="007C3551" w:rsidP="007C3551">
      <w:pPr>
        <w:pStyle w:val="ListParagraph"/>
        <w:numPr>
          <w:ilvl w:val="0"/>
          <w:numId w:val="1"/>
        </w:numPr>
      </w:pPr>
      <w:r w:rsidRPr="007C3551">
        <w:t>Treatment* OR intervention* OR program* OR prevention OR self-help OR self-guided OR self-directed OR unguided</w:t>
      </w:r>
    </w:p>
    <w:p w14:paraId="58F0056B" w14:textId="77777777" w:rsidR="007C3551" w:rsidRDefault="007C3551" w:rsidP="007C3551">
      <w:pPr>
        <w:pStyle w:val="ListParagraph"/>
        <w:numPr>
          <w:ilvl w:val="0"/>
          <w:numId w:val="1"/>
        </w:numPr>
      </w:pPr>
      <w:r w:rsidRPr="007C3551">
        <w:t>“controlled trial” OR RCT OR “randomi?ed trial” OR Systematic Review* OR meta-analysis</w:t>
      </w:r>
    </w:p>
    <w:p w14:paraId="0FCE5209" w14:textId="0B0CCE63" w:rsidR="007C3551" w:rsidRDefault="007C3551" w:rsidP="007C3551">
      <w:pPr>
        <w:pStyle w:val="ListParagraph"/>
        <w:numPr>
          <w:ilvl w:val="0"/>
          <w:numId w:val="1"/>
        </w:numPr>
      </w:pPr>
      <w:r w:rsidRPr="007C3551">
        <w:t>resilience OR well?being OR "mental health" OR socio?emotional OR psych* OR CBT OR”cognitive?behavio* therapy” OR “cognitive therapy” OR anxiety OR panic OR mood OR depressi* OR dysthymi* OR bipolar OR stress OR eating OR anorex* OR bulimi* OR binge* OR “body dysmorphi*” OR "body dissatisfaction" OR insomnia OR sleep OR “personality disorder” OR schizo* OR “obsessive?compulsive disorder” OR OCD or post*traumatic or PTSD</w:t>
      </w:r>
    </w:p>
    <w:p w14:paraId="055670C1" w14:textId="433DCF69" w:rsidR="007C3551" w:rsidRDefault="007C3551" w:rsidP="007C3551">
      <w:pPr>
        <w:pStyle w:val="ListParagraph"/>
        <w:numPr>
          <w:ilvl w:val="0"/>
          <w:numId w:val="1"/>
        </w:numPr>
      </w:pPr>
      <w:r>
        <w:t>(1) AND (2) AND (3) AND (4)</w:t>
      </w:r>
    </w:p>
    <w:p w14:paraId="6C5E8DA5" w14:textId="2EB07D34" w:rsidR="003669FC" w:rsidRDefault="00F16FD6" w:rsidP="003669FC">
      <w:pPr>
        <w:pStyle w:val="Heading2"/>
      </w:pPr>
      <w:r>
        <w:t>Supplementary tables</w:t>
      </w:r>
    </w:p>
    <w:p w14:paraId="026CE450" w14:textId="3FBB4B40" w:rsidR="003669FC" w:rsidRDefault="003669FC" w:rsidP="003669FC">
      <w:pPr>
        <w:pStyle w:val="Caption"/>
        <w:keepNext/>
      </w:pPr>
      <w:r>
        <w:t>Table S</w:t>
      </w:r>
      <w:r>
        <w:t>1</w:t>
      </w:r>
      <w:r>
        <w:t>: Existing systematic review and meta-analyses on guidance on adherence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977"/>
        <w:gridCol w:w="3118"/>
        <w:gridCol w:w="3402"/>
      </w:tblGrid>
      <w:tr w:rsidR="003669FC" w14:paraId="471BA96F" w14:textId="77777777" w:rsidTr="007E2A01">
        <w:tc>
          <w:tcPr>
            <w:tcW w:w="2405" w:type="dxa"/>
            <w:tcBorders>
              <w:top w:val="single" w:sz="4" w:space="0" w:color="auto"/>
            </w:tcBorders>
            <w:vAlign w:val="bottom"/>
          </w:tcPr>
          <w:p w14:paraId="267F7DCC" w14:textId="77777777" w:rsidR="003669FC" w:rsidRDefault="003669FC" w:rsidP="007E2A01">
            <w:pPr>
              <w:pBdr>
                <w:bottom w:val="single" w:sz="4" w:space="1" w:color="auto"/>
              </w:pBdr>
            </w:pPr>
            <w:r>
              <w:t>Study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0409BF73" w14:textId="77777777" w:rsidR="003669FC" w:rsidRDefault="003669FC" w:rsidP="007E2A01">
            <w:pPr>
              <w:pBdr>
                <w:bottom w:val="single" w:sz="4" w:space="1" w:color="auto"/>
              </w:pBdr>
              <w:jc w:val="center"/>
            </w:pPr>
            <w:r>
              <w:t># studies (guided vs. unguided)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05025C13" w14:textId="77777777" w:rsidR="003669FC" w:rsidRDefault="003669FC" w:rsidP="007E2A01">
            <w:pPr>
              <w:pBdr>
                <w:bottom w:val="single" w:sz="4" w:space="1" w:color="auto"/>
              </w:pBdr>
              <w:jc w:val="center"/>
            </w:pPr>
            <w:r>
              <w:t>Disorders of interest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4692E858" w14:textId="77777777" w:rsidR="003669FC" w:rsidRDefault="003669FC" w:rsidP="007E2A01">
            <w:pPr>
              <w:pBdr>
                <w:bottom w:val="single" w:sz="4" w:space="1" w:color="auto"/>
              </w:pBdr>
              <w:jc w:val="center"/>
            </w:pPr>
            <w:r>
              <w:t>Main conclusion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0CE84E97" w14:textId="77777777" w:rsidR="003669FC" w:rsidRDefault="003669FC" w:rsidP="007E2A01">
            <w:pPr>
              <w:pBdr>
                <w:bottom w:val="single" w:sz="4" w:space="1" w:color="auto"/>
              </w:pBdr>
              <w:jc w:val="center"/>
            </w:pPr>
            <w:r>
              <w:t>Limitations</w:t>
            </w:r>
          </w:p>
        </w:tc>
      </w:tr>
      <w:tr w:rsidR="003669FC" w14:paraId="38EA89F6" w14:textId="77777777" w:rsidTr="007E2A01">
        <w:tc>
          <w:tcPr>
            <w:tcW w:w="2405" w:type="dxa"/>
          </w:tcPr>
          <w:p w14:paraId="0B3FD21B" w14:textId="77777777" w:rsidR="003669FC" w:rsidRDefault="003669FC" w:rsidP="007E2A01">
            <w:r w:rsidRPr="00737D53">
              <w:t>Baumeist</w:t>
            </w:r>
            <w:r>
              <w:t>er, Reichler, Munzinger, &amp; Lin (</w:t>
            </w:r>
            <w:r w:rsidRPr="00737D53">
              <w:t>2014</w:t>
            </w:r>
            <w:r>
              <w:t>)</w:t>
            </w:r>
          </w:p>
        </w:tc>
        <w:tc>
          <w:tcPr>
            <w:tcW w:w="1843" w:type="dxa"/>
          </w:tcPr>
          <w:p w14:paraId="2A6C13ED" w14:textId="77777777" w:rsidR="003669FC" w:rsidRDefault="003669FC" w:rsidP="007E2A01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0F4534D5" w14:textId="77777777" w:rsidR="003669FC" w:rsidRDefault="003669FC" w:rsidP="007E2A01">
            <w:r>
              <w:t>Any mental disorder meeting criteria of classification</w:t>
            </w:r>
          </w:p>
        </w:tc>
        <w:tc>
          <w:tcPr>
            <w:tcW w:w="3118" w:type="dxa"/>
          </w:tcPr>
          <w:p w14:paraId="6D0878A9" w14:textId="77777777" w:rsidR="003669FC" w:rsidRDefault="003669FC" w:rsidP="007E2A01">
            <w:r>
              <w:t xml:space="preserve">Average number of completed modules and completer rate higher for guided vs. unguided interventions </w:t>
            </w:r>
          </w:p>
        </w:tc>
        <w:tc>
          <w:tcPr>
            <w:tcW w:w="3402" w:type="dxa"/>
          </w:tcPr>
          <w:p w14:paraId="7909EED1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Small number of identified studies</w:t>
            </w:r>
          </w:p>
          <w:p w14:paraId="0D1BB8D9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Age of review</w:t>
            </w:r>
          </w:p>
          <w:p w14:paraId="7B8F061D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No definition of guidance</w:t>
            </w:r>
          </w:p>
        </w:tc>
      </w:tr>
      <w:tr w:rsidR="003669FC" w14:paraId="15DFEC47" w14:textId="77777777" w:rsidTr="007E2A01">
        <w:tc>
          <w:tcPr>
            <w:tcW w:w="2405" w:type="dxa"/>
          </w:tcPr>
          <w:p w14:paraId="18BB6CEC" w14:textId="77777777" w:rsidR="003669FC" w:rsidRDefault="003669FC" w:rsidP="007E2A01">
            <w:r w:rsidRPr="00737D53">
              <w:t xml:space="preserve">Beatty </w:t>
            </w:r>
            <w:r>
              <w:t>&amp;</w:t>
            </w:r>
            <w:r w:rsidRPr="00737D53">
              <w:t xml:space="preserve"> Binnion (2016)</w:t>
            </w:r>
          </w:p>
        </w:tc>
        <w:tc>
          <w:tcPr>
            <w:tcW w:w="1843" w:type="dxa"/>
          </w:tcPr>
          <w:p w14:paraId="694E694E" w14:textId="77777777" w:rsidR="003669FC" w:rsidRDefault="003669FC" w:rsidP="007E2A01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02AD1CC" w14:textId="77777777" w:rsidR="003669FC" w:rsidRDefault="003669FC" w:rsidP="007E2A01">
            <w:r>
              <w:t xml:space="preserve">Any </w:t>
            </w:r>
            <w:r w:rsidRPr="000F7692">
              <w:t>mental or physical health condition</w:t>
            </w:r>
            <w:r>
              <w:t xml:space="preserve"> (intervention targets psychological outcomes)</w:t>
            </w:r>
          </w:p>
        </w:tc>
        <w:tc>
          <w:tcPr>
            <w:tcW w:w="3118" w:type="dxa"/>
          </w:tcPr>
          <w:p w14:paraId="05BF2746" w14:textId="77777777" w:rsidR="003669FC" w:rsidRDefault="003669FC" w:rsidP="007E2A01">
            <w:r>
              <w:t>Increased adherence for guided vs. unguided interventions</w:t>
            </w:r>
          </w:p>
        </w:tc>
        <w:tc>
          <w:tcPr>
            <w:tcW w:w="3402" w:type="dxa"/>
          </w:tcPr>
          <w:p w14:paraId="115269B2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Small number of identified studies</w:t>
            </w:r>
          </w:p>
          <w:p w14:paraId="21AD9B88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Inclusion of physical health problems</w:t>
            </w:r>
          </w:p>
          <w:p w14:paraId="1C34771B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Guidance not focus of review</w:t>
            </w:r>
          </w:p>
          <w:p w14:paraId="23C9F59A" w14:textId="77777777" w:rsidR="003669FC" w:rsidRDefault="003669FC" w:rsidP="007E2A01">
            <w:pPr>
              <w:pStyle w:val="ListParagraph"/>
              <w:numPr>
                <w:ilvl w:val="0"/>
                <w:numId w:val="2"/>
              </w:numPr>
            </w:pPr>
            <w:r>
              <w:t>Narrative synthesis</w:t>
            </w:r>
          </w:p>
        </w:tc>
      </w:tr>
      <w:tr w:rsidR="003669FC" w14:paraId="3FA13E49" w14:textId="77777777" w:rsidTr="007E2A01">
        <w:tc>
          <w:tcPr>
            <w:tcW w:w="2405" w:type="dxa"/>
          </w:tcPr>
          <w:p w14:paraId="4A781B06" w14:textId="77777777" w:rsidR="003669FC" w:rsidRDefault="003669FC" w:rsidP="007E2A01">
            <w:r w:rsidRPr="00552044">
              <w:t xml:space="preserve">Shim, Mahaffey, Bleidistel, </w:t>
            </w:r>
            <w:r>
              <w:t>&amp;</w:t>
            </w:r>
            <w:r w:rsidRPr="00552044">
              <w:t xml:space="preserve"> Gonzalez (2017)</w:t>
            </w:r>
          </w:p>
        </w:tc>
        <w:tc>
          <w:tcPr>
            <w:tcW w:w="1843" w:type="dxa"/>
          </w:tcPr>
          <w:p w14:paraId="7CB1925A" w14:textId="77777777" w:rsidR="003669FC" w:rsidRDefault="003669FC" w:rsidP="007E2A01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43486EB2" w14:textId="77777777" w:rsidR="003669FC" w:rsidRDefault="003669FC" w:rsidP="007E2A01">
            <w:r>
              <w:t>Depression, anxiety</w:t>
            </w:r>
          </w:p>
        </w:tc>
        <w:tc>
          <w:tcPr>
            <w:tcW w:w="3118" w:type="dxa"/>
          </w:tcPr>
          <w:p w14:paraId="4CCB8100" w14:textId="77777777" w:rsidR="003669FC" w:rsidRDefault="003669FC" w:rsidP="007E2A01">
            <w:r>
              <w:t>Majority of studies showed no significant difference in adherence</w:t>
            </w:r>
          </w:p>
        </w:tc>
        <w:tc>
          <w:tcPr>
            <w:tcW w:w="3402" w:type="dxa"/>
          </w:tcPr>
          <w:p w14:paraId="3620AAC7" w14:textId="77777777" w:rsidR="003669FC" w:rsidRDefault="003669FC" w:rsidP="007E2A01">
            <w:pPr>
              <w:pStyle w:val="ListParagraph"/>
              <w:numPr>
                <w:ilvl w:val="0"/>
                <w:numId w:val="3"/>
              </w:numPr>
            </w:pPr>
            <w:r>
              <w:t>Inclusion of automated guidance (e.g. reminders)</w:t>
            </w:r>
          </w:p>
          <w:p w14:paraId="1E445C9A" w14:textId="77777777" w:rsidR="003669FC" w:rsidRDefault="003669FC" w:rsidP="007E2A01">
            <w:pPr>
              <w:pStyle w:val="ListParagraph"/>
              <w:numPr>
                <w:ilvl w:val="0"/>
                <w:numId w:val="3"/>
              </w:numPr>
            </w:pPr>
            <w:r>
              <w:t>Narrative synthesis</w:t>
            </w:r>
          </w:p>
        </w:tc>
      </w:tr>
      <w:tr w:rsidR="003669FC" w14:paraId="56EB8AFC" w14:textId="77777777" w:rsidTr="007E2A01">
        <w:tc>
          <w:tcPr>
            <w:tcW w:w="2405" w:type="dxa"/>
            <w:tcBorders>
              <w:bottom w:val="single" w:sz="4" w:space="0" w:color="auto"/>
            </w:tcBorders>
          </w:tcPr>
          <w:p w14:paraId="27DF5528" w14:textId="77777777" w:rsidR="003669FC" w:rsidRPr="00344AD2" w:rsidRDefault="003669FC" w:rsidP="007E2A01">
            <w:pPr>
              <w:rPr>
                <w:lang w:val="de-DE"/>
              </w:rPr>
            </w:pPr>
            <w:r w:rsidRPr="00344AD2">
              <w:rPr>
                <w:lang w:val="de-DE"/>
              </w:rPr>
              <w:t>Domhardt, Geßlein, von Rezori, &amp; Baumeister (2018)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D2A2D1" w14:textId="77777777" w:rsidR="003669FC" w:rsidRDefault="003669FC" w:rsidP="007E2A01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BD0A1C" w14:textId="77777777" w:rsidR="003669FC" w:rsidRDefault="003669FC" w:rsidP="007E2A01">
            <w:r>
              <w:t>Anxiety disorder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39BA5F" w14:textId="77777777" w:rsidR="003669FC" w:rsidRDefault="003669FC" w:rsidP="007E2A01">
            <w:r>
              <w:t xml:space="preserve">Average number of completed modules and completer rate higher for guided vs. unguided interventions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AFC56D" w14:textId="77777777" w:rsidR="003669FC" w:rsidRDefault="003669FC" w:rsidP="007E2A01">
            <w:pPr>
              <w:pStyle w:val="ListParagraph"/>
              <w:numPr>
                <w:ilvl w:val="0"/>
                <w:numId w:val="3"/>
              </w:numPr>
            </w:pPr>
            <w:r>
              <w:t>Small number of identified studies</w:t>
            </w:r>
          </w:p>
          <w:p w14:paraId="5A35A443" w14:textId="77777777" w:rsidR="003669FC" w:rsidRDefault="003669FC" w:rsidP="007E2A01">
            <w:pPr>
              <w:pStyle w:val="ListParagraph"/>
              <w:numPr>
                <w:ilvl w:val="0"/>
                <w:numId w:val="3"/>
              </w:numPr>
            </w:pPr>
            <w:r>
              <w:t>Guidance not focus of review</w:t>
            </w:r>
          </w:p>
        </w:tc>
      </w:tr>
    </w:tbl>
    <w:p w14:paraId="47C50506" w14:textId="77777777" w:rsidR="003669FC" w:rsidRPr="003669FC" w:rsidRDefault="003669FC" w:rsidP="003669FC"/>
    <w:p w14:paraId="7506BFD7" w14:textId="77777777" w:rsidR="007C3551" w:rsidRPr="007C3551" w:rsidRDefault="007C3551" w:rsidP="007C3551"/>
    <w:p w14:paraId="2976AFAC" w14:textId="09341905" w:rsidR="0091197D" w:rsidRDefault="0091197D" w:rsidP="0091197D">
      <w:pPr>
        <w:pStyle w:val="Caption"/>
        <w:keepNext/>
      </w:pPr>
      <w:r>
        <w:lastRenderedPageBreak/>
        <w:t>Table S</w:t>
      </w:r>
      <w:r w:rsidR="003669FC">
        <w:t>2</w:t>
      </w:r>
      <w:r>
        <w:t>: Risk of bias for included studies</w:t>
      </w:r>
    </w:p>
    <w:tbl>
      <w:tblPr>
        <w:tblStyle w:val="TableGrid"/>
        <w:tblW w:w="14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58"/>
        <w:gridCol w:w="1659"/>
        <w:gridCol w:w="1658"/>
        <w:gridCol w:w="1659"/>
        <w:gridCol w:w="1658"/>
        <w:gridCol w:w="1659"/>
        <w:gridCol w:w="1659"/>
      </w:tblGrid>
      <w:tr w:rsidR="0030498B" w14:paraId="294974DB" w14:textId="77777777" w:rsidTr="0030498B"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493E2C81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 w:rsidRPr="00812AB7">
              <w:t>Author/year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14:paraId="713E3497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>
              <w:t>R</w:t>
            </w:r>
            <w:r w:rsidRPr="00812AB7">
              <w:t>andomization process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14:paraId="7A747BFD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>
              <w:t>D</w:t>
            </w:r>
            <w:r w:rsidRPr="00812AB7">
              <w:t xml:space="preserve">eviations from the intended interventions 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14:paraId="61C591EB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>
              <w:t>D</w:t>
            </w:r>
            <w:r w:rsidRPr="00812AB7">
              <w:t xml:space="preserve">eviations from the intended interventions 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14:paraId="737BCBB2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>
              <w:t>Mi</w:t>
            </w:r>
            <w:r w:rsidRPr="00812AB7">
              <w:t>ssing outcome data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14:paraId="6F425802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>
              <w:t>M</w:t>
            </w:r>
            <w:r w:rsidRPr="00812AB7">
              <w:t>easurement of the outcome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14:paraId="5F3737BD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>
              <w:t>S</w:t>
            </w:r>
            <w:r w:rsidRPr="00812AB7">
              <w:t>election of the reported result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14:paraId="646246F8" w14:textId="77777777" w:rsidR="0030498B" w:rsidRPr="00812AB7" w:rsidRDefault="0030498B" w:rsidP="0030498B">
            <w:pPr>
              <w:pBdr>
                <w:bottom w:val="single" w:sz="4" w:space="1" w:color="auto"/>
              </w:pBdr>
              <w:spacing w:after="60"/>
              <w:jc w:val="center"/>
            </w:pPr>
            <w:r w:rsidRPr="00812AB7">
              <w:t>Overall</w:t>
            </w:r>
          </w:p>
        </w:tc>
      </w:tr>
      <w:tr w:rsidR="0030498B" w14:paraId="09B53DA1" w14:textId="77777777" w:rsidTr="0030498B">
        <w:tc>
          <w:tcPr>
            <w:tcW w:w="2410" w:type="dxa"/>
          </w:tcPr>
          <w:p w14:paraId="0214CA75" w14:textId="77777777" w:rsidR="0030498B" w:rsidRPr="00812AB7" w:rsidRDefault="0030498B" w:rsidP="0030498B">
            <w:pPr>
              <w:spacing w:after="60"/>
            </w:pPr>
            <w:r w:rsidRPr="00812AB7">
              <w:t>Berger, 2011a</w:t>
            </w:r>
          </w:p>
        </w:tc>
        <w:tc>
          <w:tcPr>
            <w:tcW w:w="1658" w:type="dxa"/>
          </w:tcPr>
          <w:p w14:paraId="72A7964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223C652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202623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07E9CE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4569B0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986E44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16EFD46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</w:tr>
      <w:tr w:rsidR="0030498B" w14:paraId="4F586A63" w14:textId="77777777" w:rsidTr="0030498B">
        <w:tc>
          <w:tcPr>
            <w:tcW w:w="2410" w:type="dxa"/>
          </w:tcPr>
          <w:p w14:paraId="090A0FC6" w14:textId="77777777" w:rsidR="0030498B" w:rsidRPr="00812AB7" w:rsidRDefault="0030498B" w:rsidP="0030498B">
            <w:pPr>
              <w:spacing w:after="60"/>
            </w:pPr>
            <w:r w:rsidRPr="00812AB7">
              <w:t>Berger, 2011b</w:t>
            </w:r>
          </w:p>
        </w:tc>
        <w:tc>
          <w:tcPr>
            <w:tcW w:w="1658" w:type="dxa"/>
          </w:tcPr>
          <w:p w14:paraId="620BE0F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CC1585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2067C75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8565F0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3489031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7473D0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52FD029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</w:tr>
      <w:tr w:rsidR="0030498B" w14:paraId="5B600849" w14:textId="77777777" w:rsidTr="0030498B">
        <w:tc>
          <w:tcPr>
            <w:tcW w:w="2410" w:type="dxa"/>
          </w:tcPr>
          <w:p w14:paraId="0DF63F85" w14:textId="77777777" w:rsidR="0030498B" w:rsidRPr="00812AB7" w:rsidRDefault="0030498B" w:rsidP="0030498B">
            <w:pPr>
              <w:spacing w:after="60"/>
            </w:pPr>
            <w:r w:rsidRPr="00812AB7">
              <w:t>Campos, 2019</w:t>
            </w:r>
          </w:p>
        </w:tc>
        <w:tc>
          <w:tcPr>
            <w:tcW w:w="1658" w:type="dxa"/>
          </w:tcPr>
          <w:p w14:paraId="3AEF85D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1EE6F9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33C79B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216CE6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7FF92C9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530B8A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927EA9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2A4A734B" w14:textId="77777777" w:rsidTr="0030498B">
        <w:tc>
          <w:tcPr>
            <w:tcW w:w="2410" w:type="dxa"/>
          </w:tcPr>
          <w:p w14:paraId="0E2AB968" w14:textId="77777777" w:rsidR="0030498B" w:rsidRPr="00812AB7" w:rsidRDefault="0030498B" w:rsidP="0030498B">
            <w:pPr>
              <w:spacing w:after="60"/>
            </w:pPr>
            <w:r w:rsidRPr="00812AB7">
              <w:t>Dear, 2015</w:t>
            </w:r>
          </w:p>
        </w:tc>
        <w:tc>
          <w:tcPr>
            <w:tcW w:w="1658" w:type="dxa"/>
          </w:tcPr>
          <w:p w14:paraId="181778F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578764D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0340A7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782047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1F3356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A53D02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2C6498E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7C4C05A6" w14:textId="77777777" w:rsidTr="0030498B">
        <w:tc>
          <w:tcPr>
            <w:tcW w:w="2410" w:type="dxa"/>
          </w:tcPr>
          <w:p w14:paraId="0535BF85" w14:textId="77777777" w:rsidR="0030498B" w:rsidRPr="00812AB7" w:rsidRDefault="0030498B" w:rsidP="0030498B">
            <w:pPr>
              <w:spacing w:after="60"/>
            </w:pPr>
            <w:r w:rsidRPr="00812AB7">
              <w:t>Dear, 2016</w:t>
            </w:r>
          </w:p>
        </w:tc>
        <w:tc>
          <w:tcPr>
            <w:tcW w:w="1658" w:type="dxa"/>
          </w:tcPr>
          <w:p w14:paraId="7A00F86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24766C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583DEF6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5B1519F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53927F6F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62FA99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5D896DF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01CBE673" w14:textId="77777777" w:rsidTr="0030498B">
        <w:tc>
          <w:tcPr>
            <w:tcW w:w="2410" w:type="dxa"/>
          </w:tcPr>
          <w:p w14:paraId="0B81B39C" w14:textId="77777777" w:rsidR="0030498B" w:rsidRPr="00812AB7" w:rsidRDefault="0030498B" w:rsidP="0030498B">
            <w:pPr>
              <w:spacing w:after="60"/>
            </w:pPr>
            <w:r w:rsidRPr="00812AB7">
              <w:t>Dear, 2018</w:t>
            </w:r>
          </w:p>
        </w:tc>
        <w:tc>
          <w:tcPr>
            <w:tcW w:w="1658" w:type="dxa"/>
          </w:tcPr>
          <w:p w14:paraId="09D4165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286A5AC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132872B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1C5665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8" w:type="dxa"/>
          </w:tcPr>
          <w:p w14:paraId="5CF4EB1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AEC452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526851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120FAEB0" w14:textId="77777777" w:rsidTr="0030498B">
        <w:tc>
          <w:tcPr>
            <w:tcW w:w="2410" w:type="dxa"/>
          </w:tcPr>
          <w:p w14:paraId="06547444" w14:textId="77777777" w:rsidR="0030498B" w:rsidRPr="00812AB7" w:rsidRDefault="0030498B" w:rsidP="0030498B">
            <w:pPr>
              <w:spacing w:after="60"/>
            </w:pPr>
            <w:r w:rsidRPr="00812AB7">
              <w:t>Farrer, 2011</w:t>
            </w:r>
          </w:p>
        </w:tc>
        <w:tc>
          <w:tcPr>
            <w:tcW w:w="1658" w:type="dxa"/>
          </w:tcPr>
          <w:p w14:paraId="70FD07C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621560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37EDF9F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F9B9E7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High risk</w:t>
            </w:r>
          </w:p>
        </w:tc>
        <w:tc>
          <w:tcPr>
            <w:tcW w:w="1658" w:type="dxa"/>
          </w:tcPr>
          <w:p w14:paraId="501B59B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44D2EC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600745D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High risk</w:t>
            </w:r>
          </w:p>
        </w:tc>
      </w:tr>
      <w:tr w:rsidR="0030498B" w14:paraId="469917A9" w14:textId="77777777" w:rsidTr="0030498B">
        <w:tc>
          <w:tcPr>
            <w:tcW w:w="2410" w:type="dxa"/>
          </w:tcPr>
          <w:p w14:paraId="7EAD5E64" w14:textId="77777777" w:rsidR="0030498B" w:rsidRPr="00812AB7" w:rsidRDefault="0030498B" w:rsidP="0030498B">
            <w:pPr>
              <w:spacing w:after="60"/>
            </w:pPr>
            <w:r w:rsidRPr="00812AB7">
              <w:t>Fogliati, 2016</w:t>
            </w:r>
          </w:p>
        </w:tc>
        <w:tc>
          <w:tcPr>
            <w:tcW w:w="1658" w:type="dxa"/>
          </w:tcPr>
          <w:p w14:paraId="5C0B14F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303044A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46C5F33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30F475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8" w:type="dxa"/>
          </w:tcPr>
          <w:p w14:paraId="6C30925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E6B2D9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0C0917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</w:tr>
      <w:tr w:rsidR="0030498B" w14:paraId="644E6A27" w14:textId="77777777" w:rsidTr="0030498B">
        <w:tc>
          <w:tcPr>
            <w:tcW w:w="2410" w:type="dxa"/>
          </w:tcPr>
          <w:p w14:paraId="7A2D8648" w14:textId="77777777" w:rsidR="0030498B" w:rsidRPr="00812AB7" w:rsidRDefault="0030498B" w:rsidP="0030498B">
            <w:pPr>
              <w:spacing w:after="60"/>
            </w:pPr>
            <w:r w:rsidRPr="00812AB7">
              <w:t>Gershkovich, 2017</w:t>
            </w:r>
          </w:p>
        </w:tc>
        <w:tc>
          <w:tcPr>
            <w:tcW w:w="1658" w:type="dxa"/>
          </w:tcPr>
          <w:p w14:paraId="3F857AD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7EC60ED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F339F8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A7ACC3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8" w:type="dxa"/>
          </w:tcPr>
          <w:p w14:paraId="63FA18B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C9365E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0DB7EEB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High risk</w:t>
            </w:r>
          </w:p>
        </w:tc>
      </w:tr>
      <w:tr w:rsidR="0030498B" w14:paraId="6577DF09" w14:textId="77777777" w:rsidTr="0030498B">
        <w:tc>
          <w:tcPr>
            <w:tcW w:w="2410" w:type="dxa"/>
          </w:tcPr>
          <w:p w14:paraId="2F4B3B6D" w14:textId="77777777" w:rsidR="0030498B" w:rsidRPr="00812AB7" w:rsidRDefault="0030498B" w:rsidP="0030498B">
            <w:pPr>
              <w:spacing w:after="60"/>
            </w:pPr>
            <w:r w:rsidRPr="00812AB7">
              <w:t>Gilbody, 2017</w:t>
            </w:r>
          </w:p>
        </w:tc>
        <w:tc>
          <w:tcPr>
            <w:tcW w:w="1658" w:type="dxa"/>
          </w:tcPr>
          <w:p w14:paraId="7433959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9FECF9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3F6FD3B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019DBF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3B17527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8C375A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D843F2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3F730CC4" w14:textId="77777777" w:rsidTr="0030498B">
        <w:tc>
          <w:tcPr>
            <w:tcW w:w="2410" w:type="dxa"/>
          </w:tcPr>
          <w:p w14:paraId="42B43FA0" w14:textId="77777777" w:rsidR="0030498B" w:rsidRPr="00812AB7" w:rsidRDefault="0030498B" w:rsidP="0030498B">
            <w:pPr>
              <w:spacing w:after="60"/>
            </w:pPr>
            <w:r w:rsidRPr="00812AB7">
              <w:t>Hedman, 2018</w:t>
            </w:r>
          </w:p>
        </w:tc>
        <w:tc>
          <w:tcPr>
            <w:tcW w:w="1658" w:type="dxa"/>
          </w:tcPr>
          <w:p w14:paraId="17F9B16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1183CF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79E7F3E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5284976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43B1CE3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740245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2BEDEB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7BC34536" w14:textId="77777777" w:rsidTr="0030498B">
        <w:tc>
          <w:tcPr>
            <w:tcW w:w="2410" w:type="dxa"/>
          </w:tcPr>
          <w:p w14:paraId="3BBD7F77" w14:textId="77777777" w:rsidR="0030498B" w:rsidRPr="00812AB7" w:rsidRDefault="0030498B" w:rsidP="0030498B">
            <w:pPr>
              <w:spacing w:after="60"/>
            </w:pPr>
            <w:r w:rsidRPr="00812AB7">
              <w:t>Ho, 2014</w:t>
            </w:r>
          </w:p>
        </w:tc>
        <w:tc>
          <w:tcPr>
            <w:tcW w:w="1658" w:type="dxa"/>
          </w:tcPr>
          <w:p w14:paraId="6FCFBDE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FB5910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4388827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702FF4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7908290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91AAA0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EFA19F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05590A70" w14:textId="77777777" w:rsidTr="0030498B">
        <w:tc>
          <w:tcPr>
            <w:tcW w:w="2410" w:type="dxa"/>
          </w:tcPr>
          <w:p w14:paraId="0D432E11" w14:textId="77777777" w:rsidR="0030498B" w:rsidRPr="00812AB7" w:rsidRDefault="0030498B" w:rsidP="0030498B">
            <w:pPr>
              <w:spacing w:after="60"/>
            </w:pPr>
            <w:r w:rsidRPr="00812AB7">
              <w:t>Ivanova, 2016</w:t>
            </w:r>
          </w:p>
        </w:tc>
        <w:tc>
          <w:tcPr>
            <w:tcW w:w="1658" w:type="dxa"/>
          </w:tcPr>
          <w:p w14:paraId="654B08F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AA477F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629B6FC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01C542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59D61A3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5B9727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6696BC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3EAA8000" w14:textId="77777777" w:rsidTr="0030498B">
        <w:tc>
          <w:tcPr>
            <w:tcW w:w="2410" w:type="dxa"/>
          </w:tcPr>
          <w:p w14:paraId="43F22D4D" w14:textId="77777777" w:rsidR="0030498B" w:rsidRPr="00812AB7" w:rsidRDefault="0030498B" w:rsidP="0030498B">
            <w:pPr>
              <w:spacing w:after="60"/>
            </w:pPr>
            <w:r w:rsidRPr="00812AB7">
              <w:t>Kleiboer, 2015</w:t>
            </w:r>
          </w:p>
        </w:tc>
        <w:tc>
          <w:tcPr>
            <w:tcW w:w="1658" w:type="dxa"/>
          </w:tcPr>
          <w:p w14:paraId="3CC0A8C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618CBC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404DEB6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84BC58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8" w:type="dxa"/>
          </w:tcPr>
          <w:p w14:paraId="5DE584F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92BB98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2D7A0F5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</w:tr>
      <w:tr w:rsidR="0030498B" w14:paraId="22783FD4" w14:textId="77777777" w:rsidTr="0030498B">
        <w:tc>
          <w:tcPr>
            <w:tcW w:w="2410" w:type="dxa"/>
          </w:tcPr>
          <w:p w14:paraId="2DFD5738" w14:textId="77777777" w:rsidR="0030498B" w:rsidRPr="00812AB7" w:rsidRDefault="0030498B" w:rsidP="0030498B">
            <w:pPr>
              <w:spacing w:after="60"/>
            </w:pPr>
            <w:r w:rsidRPr="00812AB7">
              <w:t>Lancee, 2013</w:t>
            </w:r>
          </w:p>
        </w:tc>
        <w:tc>
          <w:tcPr>
            <w:tcW w:w="1658" w:type="dxa"/>
          </w:tcPr>
          <w:p w14:paraId="6B07C34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23DC578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5715FDD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1B8760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1C95B31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604D93F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30F067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0228912A" w14:textId="77777777" w:rsidTr="0030498B">
        <w:tc>
          <w:tcPr>
            <w:tcW w:w="2410" w:type="dxa"/>
          </w:tcPr>
          <w:p w14:paraId="7A3562D5" w14:textId="77777777" w:rsidR="0030498B" w:rsidRPr="00812AB7" w:rsidRDefault="0030498B" w:rsidP="0030498B">
            <w:pPr>
              <w:spacing w:after="60"/>
            </w:pPr>
            <w:r w:rsidRPr="00812AB7">
              <w:t>Montero-Marin, 2016</w:t>
            </w:r>
          </w:p>
        </w:tc>
        <w:tc>
          <w:tcPr>
            <w:tcW w:w="1658" w:type="dxa"/>
          </w:tcPr>
          <w:p w14:paraId="6D1D75C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E3BF21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7CC3290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609049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302378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718F6A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3BA6E5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659BCEBB" w14:textId="77777777" w:rsidTr="0030498B">
        <w:tc>
          <w:tcPr>
            <w:tcW w:w="2410" w:type="dxa"/>
          </w:tcPr>
          <w:p w14:paraId="6955A2F7" w14:textId="77777777" w:rsidR="0030498B" w:rsidRPr="00812AB7" w:rsidRDefault="0030498B" w:rsidP="0030498B">
            <w:pPr>
              <w:spacing w:after="60"/>
            </w:pPr>
            <w:r w:rsidRPr="00812AB7">
              <w:t>Proudfoot, 2012</w:t>
            </w:r>
          </w:p>
        </w:tc>
        <w:tc>
          <w:tcPr>
            <w:tcW w:w="1658" w:type="dxa"/>
          </w:tcPr>
          <w:p w14:paraId="1559CC1B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0F7E14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308A46D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3CCB57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1F599C40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BCC01D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6C6E7C1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49A292FD" w14:textId="77777777" w:rsidTr="0030498B">
        <w:tc>
          <w:tcPr>
            <w:tcW w:w="2410" w:type="dxa"/>
          </w:tcPr>
          <w:p w14:paraId="2556BB52" w14:textId="77777777" w:rsidR="0030498B" w:rsidRPr="00812AB7" w:rsidRDefault="0030498B" w:rsidP="0030498B">
            <w:pPr>
              <w:spacing w:after="60"/>
            </w:pPr>
            <w:r w:rsidRPr="00812AB7">
              <w:t>Puolakanaho, 2019</w:t>
            </w:r>
          </w:p>
        </w:tc>
        <w:tc>
          <w:tcPr>
            <w:tcW w:w="1658" w:type="dxa"/>
          </w:tcPr>
          <w:p w14:paraId="0B5CF509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8310F3F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5D22A77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57FA0A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5C42FC6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10D9340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  <w:tc>
          <w:tcPr>
            <w:tcW w:w="1659" w:type="dxa"/>
          </w:tcPr>
          <w:p w14:paraId="77AD2CF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Some concerns</w:t>
            </w:r>
          </w:p>
        </w:tc>
      </w:tr>
      <w:tr w:rsidR="0030498B" w14:paraId="0F6E4D9D" w14:textId="77777777" w:rsidTr="0030498B">
        <w:tc>
          <w:tcPr>
            <w:tcW w:w="2410" w:type="dxa"/>
          </w:tcPr>
          <w:p w14:paraId="7CEDC19B" w14:textId="77777777" w:rsidR="0030498B" w:rsidRPr="00812AB7" w:rsidRDefault="0030498B" w:rsidP="0030498B">
            <w:pPr>
              <w:spacing w:after="60"/>
            </w:pPr>
            <w:r w:rsidRPr="00812AB7">
              <w:t>Titov, 2008</w:t>
            </w:r>
          </w:p>
        </w:tc>
        <w:tc>
          <w:tcPr>
            <w:tcW w:w="1658" w:type="dxa"/>
          </w:tcPr>
          <w:p w14:paraId="4829655F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722D65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0E857F8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2793ED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706BD8A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4635AC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229D811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7F4A5123" w14:textId="77777777" w:rsidTr="0030498B">
        <w:tc>
          <w:tcPr>
            <w:tcW w:w="2410" w:type="dxa"/>
          </w:tcPr>
          <w:p w14:paraId="15A435FD" w14:textId="77777777" w:rsidR="0030498B" w:rsidRPr="00812AB7" w:rsidRDefault="0030498B" w:rsidP="0030498B">
            <w:pPr>
              <w:spacing w:after="60"/>
            </w:pPr>
            <w:r w:rsidRPr="00812AB7">
              <w:t>Titov, 2009</w:t>
            </w:r>
          </w:p>
        </w:tc>
        <w:tc>
          <w:tcPr>
            <w:tcW w:w="1658" w:type="dxa"/>
          </w:tcPr>
          <w:p w14:paraId="57B7D5F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42995C1F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106FEBDA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0B7D4D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176C793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7724523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35D31E9E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7EC80A2D" w14:textId="77777777" w:rsidTr="0030498B">
        <w:tc>
          <w:tcPr>
            <w:tcW w:w="2410" w:type="dxa"/>
          </w:tcPr>
          <w:p w14:paraId="61179F54" w14:textId="77777777" w:rsidR="0030498B" w:rsidRPr="00812AB7" w:rsidRDefault="0030498B" w:rsidP="0030498B">
            <w:pPr>
              <w:spacing w:after="60"/>
            </w:pPr>
            <w:r w:rsidRPr="00812AB7">
              <w:t>Titov, 2015</w:t>
            </w:r>
          </w:p>
        </w:tc>
        <w:tc>
          <w:tcPr>
            <w:tcW w:w="1658" w:type="dxa"/>
          </w:tcPr>
          <w:p w14:paraId="62483DD8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87969A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34D5F704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0F7230C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</w:tcPr>
          <w:p w14:paraId="2AC5A0A7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AB0EB2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</w:tcPr>
          <w:p w14:paraId="703A11C1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  <w:tr w:rsidR="0030498B" w14:paraId="191303EB" w14:textId="77777777" w:rsidTr="0030498B">
        <w:tc>
          <w:tcPr>
            <w:tcW w:w="2410" w:type="dxa"/>
            <w:tcBorders>
              <w:bottom w:val="single" w:sz="4" w:space="0" w:color="auto"/>
            </w:tcBorders>
          </w:tcPr>
          <w:p w14:paraId="5B3B644C" w14:textId="77777777" w:rsidR="0030498B" w:rsidRPr="00812AB7" w:rsidRDefault="0030498B" w:rsidP="0030498B">
            <w:pPr>
              <w:spacing w:after="60"/>
            </w:pPr>
            <w:r w:rsidRPr="00812AB7">
              <w:t>Titov, 2016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0838C8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1B202FD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5295A62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E7D3D76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5ABCC3C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AC6D0A5" w14:textId="77777777" w:rsidR="0030498B" w:rsidRPr="00812AB7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83F2249" w14:textId="77777777" w:rsidR="0030498B" w:rsidRDefault="0030498B" w:rsidP="0030498B">
            <w:pPr>
              <w:spacing w:after="60"/>
              <w:jc w:val="center"/>
            </w:pPr>
            <w:r w:rsidRPr="00812AB7">
              <w:t>Low risk</w:t>
            </w:r>
          </w:p>
        </w:tc>
      </w:tr>
    </w:tbl>
    <w:p w14:paraId="5F05C83B" w14:textId="77777777" w:rsidR="005F31EC" w:rsidRDefault="005F31EC" w:rsidP="0030498B"/>
    <w:p w14:paraId="27D4EC90" w14:textId="77777777" w:rsidR="00CC272C" w:rsidRDefault="00CC272C" w:rsidP="00CC272C">
      <w:pPr>
        <w:pStyle w:val="Heading2"/>
      </w:pPr>
      <w:r>
        <w:t>STATA code</w:t>
      </w:r>
    </w:p>
    <w:p w14:paraId="53FC6CA8" w14:textId="77777777" w:rsidR="00CC272C" w:rsidRDefault="00CC272C" w:rsidP="00CC272C">
      <w:pPr>
        <w:pStyle w:val="Style1"/>
      </w:pPr>
      <w:r>
        <w:t>* load file</w:t>
      </w:r>
    </w:p>
    <w:p w14:paraId="15E13995" w14:textId="6D83561A" w:rsidR="00CC272C" w:rsidRDefault="00CC272C" w:rsidP="00CC272C">
      <w:pPr>
        <w:pStyle w:val="Style1"/>
      </w:pPr>
      <w:r>
        <w:t>use "MA_Data_formatted_binary.dta"</w:t>
      </w:r>
    </w:p>
    <w:p w14:paraId="7C6AC6B7" w14:textId="77777777" w:rsidR="00CC272C" w:rsidRDefault="00CC272C" w:rsidP="00CC272C">
      <w:pPr>
        <w:pStyle w:val="Style1"/>
      </w:pPr>
    </w:p>
    <w:p w14:paraId="27566686" w14:textId="77777777" w:rsidR="00CC272C" w:rsidRDefault="00CC272C" w:rsidP="00CC272C">
      <w:pPr>
        <w:pStyle w:val="Style1"/>
      </w:pPr>
      <w:r>
        <w:t>* compute variable for 2x2 table</w:t>
      </w:r>
    </w:p>
    <w:p w14:paraId="38A7E8E3" w14:textId="77777777" w:rsidR="00CC272C" w:rsidRDefault="00CC272C" w:rsidP="00CC272C">
      <w:pPr>
        <w:pStyle w:val="Style1"/>
      </w:pPr>
      <w:r>
        <w:lastRenderedPageBreak/>
        <w:t>gen unguidedincompleten = unguidedgroupn - unguidedfullcompletionn</w:t>
      </w:r>
    </w:p>
    <w:p w14:paraId="1C9E2DE0" w14:textId="77777777" w:rsidR="00CC272C" w:rsidRDefault="00CC272C" w:rsidP="00CC272C">
      <w:pPr>
        <w:pStyle w:val="Style1"/>
      </w:pPr>
      <w:r>
        <w:t>gen guidedincompleten = guidedgroupn - guidedfullcompletionn</w:t>
      </w:r>
    </w:p>
    <w:p w14:paraId="7B52A2F1" w14:textId="77777777" w:rsidR="00CC272C" w:rsidRDefault="00CC272C" w:rsidP="00CC272C">
      <w:pPr>
        <w:pStyle w:val="Style1"/>
      </w:pPr>
    </w:p>
    <w:p w14:paraId="2C41FD13" w14:textId="77777777" w:rsidR="00CC272C" w:rsidRDefault="00CC272C" w:rsidP="00CC272C">
      <w:pPr>
        <w:pStyle w:val="Style1"/>
      </w:pPr>
      <w:r>
        <w:t>* calculate effect sizes</w:t>
      </w:r>
    </w:p>
    <w:p w14:paraId="7A968FC0" w14:textId="77777777" w:rsidR="00CC272C" w:rsidRDefault="00CC272C" w:rsidP="00CC272C">
      <w:pPr>
        <w:pStyle w:val="Style1"/>
      </w:pPr>
      <w:r>
        <w:t>meta esize guidedfullcompletionn guidedincompleten unguidedfullcompletionn unguidedincompleten, studylabel(authoryear)</w:t>
      </w:r>
    </w:p>
    <w:p w14:paraId="7D15AE62" w14:textId="77777777" w:rsidR="00CC272C" w:rsidRDefault="00CC272C" w:rsidP="00CC272C">
      <w:pPr>
        <w:pStyle w:val="Style1"/>
      </w:pPr>
    </w:p>
    <w:p w14:paraId="43CFECB3" w14:textId="77777777" w:rsidR="00CC272C" w:rsidRDefault="00CC272C" w:rsidP="00CC272C">
      <w:pPr>
        <w:pStyle w:val="Style1"/>
      </w:pPr>
      <w:r>
        <w:t>* make forest plot with basic options, suppress heterogeneity display, as in text</w:t>
      </w:r>
    </w:p>
    <w:p w14:paraId="1AB855B0" w14:textId="77777777" w:rsidR="00CC272C" w:rsidRDefault="00CC272C" w:rsidP="00CC272C">
      <w:pPr>
        <w:pStyle w:val="Style1"/>
      </w:pPr>
      <w:r>
        <w:t>meta forestplot _id _data _esci _weight _plot, nullrefline(favorsleft("Favours unguided") favorsright("Favours guided")) columnopts(_data1, supertitle("Guided" "completed")) columnopts(_data2, supertitle("Unguided" "completed")) columnopts(_a _c, title("Yes")) columnopts(_b _d, title("No")) noohetstats noosigtest noohomtest</w:t>
      </w:r>
    </w:p>
    <w:p w14:paraId="2CBBFF6E" w14:textId="77777777" w:rsidR="00CC272C" w:rsidRDefault="00CC272C" w:rsidP="00CC272C">
      <w:pPr>
        <w:pStyle w:val="Style1"/>
      </w:pPr>
    </w:p>
    <w:p w14:paraId="4342E52B" w14:textId="77777777" w:rsidR="00CC272C" w:rsidRDefault="00CC272C" w:rsidP="00CC272C">
      <w:pPr>
        <w:pStyle w:val="Style1"/>
      </w:pPr>
      <w:r>
        <w:t>*funnel plot</w:t>
      </w:r>
    </w:p>
    <w:p w14:paraId="785E8406" w14:textId="77777777" w:rsidR="00CC272C" w:rsidRDefault="00CC272C" w:rsidP="00CC272C">
      <w:pPr>
        <w:pStyle w:val="Style1"/>
      </w:pPr>
      <w:r>
        <w:t>meta funnelplot, random</w:t>
      </w:r>
    </w:p>
    <w:p w14:paraId="5CFBDF7A" w14:textId="77777777" w:rsidR="00CC272C" w:rsidRDefault="00CC272C" w:rsidP="00CC272C">
      <w:pPr>
        <w:pStyle w:val="Style1"/>
      </w:pPr>
    </w:p>
    <w:p w14:paraId="45B92A8E" w14:textId="77777777" w:rsidR="00CC272C" w:rsidRDefault="00CC272C" w:rsidP="00CC272C">
      <w:pPr>
        <w:pStyle w:val="Style1"/>
      </w:pPr>
      <w:r>
        <w:t>* aggregate completion rates for both guided and unguided</w:t>
      </w:r>
    </w:p>
    <w:p w14:paraId="6BA25E41" w14:textId="77777777" w:rsidR="00CC272C" w:rsidRDefault="00CC272C" w:rsidP="00CC272C">
      <w:pPr>
        <w:pStyle w:val="Style1"/>
      </w:pPr>
      <w:r>
        <w:t>metaprop unguidedfullcompletionn unguidedgroupn, random ftt cimethod(exact)</w:t>
      </w:r>
    </w:p>
    <w:p w14:paraId="4F06C731" w14:textId="77777777" w:rsidR="00CC272C" w:rsidRDefault="00CC272C" w:rsidP="00CC272C">
      <w:pPr>
        <w:pStyle w:val="Style1"/>
      </w:pPr>
      <w:r>
        <w:t>metaprop guidedfullcompletionn guidedgroupn, random ftt cimethod(exact)</w:t>
      </w:r>
    </w:p>
    <w:p w14:paraId="52148C13" w14:textId="77777777" w:rsidR="00CC272C" w:rsidRDefault="00CC272C" w:rsidP="00CC272C">
      <w:pPr>
        <w:pStyle w:val="Style1"/>
      </w:pPr>
    </w:p>
    <w:p w14:paraId="794E969B" w14:textId="77777777" w:rsidR="00CC272C" w:rsidRDefault="00CC272C" w:rsidP="00CC272C">
      <w:pPr>
        <w:pStyle w:val="Style1"/>
      </w:pPr>
    </w:p>
    <w:p w14:paraId="56F4B31D" w14:textId="77777777" w:rsidR="00CC272C" w:rsidRDefault="00CC272C" w:rsidP="00CC272C">
      <w:pPr>
        <w:pStyle w:val="Style1"/>
      </w:pPr>
    </w:p>
    <w:p w14:paraId="048854A7" w14:textId="77777777" w:rsidR="00CC272C" w:rsidRDefault="00CC272C" w:rsidP="00CC272C">
      <w:pPr>
        <w:pStyle w:val="Style1"/>
      </w:pPr>
    </w:p>
    <w:p w14:paraId="7D243A78" w14:textId="77777777" w:rsidR="00CC272C" w:rsidRDefault="00CC272C" w:rsidP="00CC272C">
      <w:pPr>
        <w:pStyle w:val="Style1"/>
      </w:pPr>
    </w:p>
    <w:p w14:paraId="71E40973" w14:textId="77777777" w:rsidR="00CC272C" w:rsidRDefault="00CC272C" w:rsidP="00CC272C">
      <w:pPr>
        <w:pStyle w:val="Style1"/>
      </w:pPr>
      <w:r>
        <w:t>******** continuous data</w:t>
      </w:r>
    </w:p>
    <w:p w14:paraId="544B645B" w14:textId="77777777" w:rsidR="00CC272C" w:rsidRDefault="00CC272C" w:rsidP="00CC272C">
      <w:pPr>
        <w:pStyle w:val="Style1"/>
      </w:pPr>
    </w:p>
    <w:p w14:paraId="6B55E055" w14:textId="77777777" w:rsidR="00CC272C" w:rsidRDefault="00CC272C" w:rsidP="00CC272C">
      <w:pPr>
        <w:pStyle w:val="Style1"/>
      </w:pPr>
      <w:r>
        <w:t>*load file</w:t>
      </w:r>
    </w:p>
    <w:p w14:paraId="588BFE96" w14:textId="628B14E3" w:rsidR="00CC272C" w:rsidRDefault="00CC272C" w:rsidP="00CC272C">
      <w:pPr>
        <w:pStyle w:val="Style1"/>
      </w:pPr>
      <w:r>
        <w:t>use "MA_Data_formatted_contin.dta"</w:t>
      </w:r>
    </w:p>
    <w:p w14:paraId="0DB294F1" w14:textId="77777777" w:rsidR="00CC272C" w:rsidRDefault="00CC272C" w:rsidP="00CC272C">
      <w:pPr>
        <w:pStyle w:val="Style1"/>
      </w:pPr>
    </w:p>
    <w:p w14:paraId="170889DD" w14:textId="77777777" w:rsidR="00CC272C" w:rsidRDefault="00CC272C" w:rsidP="00CC272C">
      <w:pPr>
        <w:pStyle w:val="Style1"/>
      </w:pPr>
      <w:r>
        <w:t>*calculate effect sizes</w:t>
      </w:r>
    </w:p>
    <w:p w14:paraId="3D9DB27C" w14:textId="77777777" w:rsidR="00CC272C" w:rsidRDefault="00CC272C" w:rsidP="00CC272C">
      <w:pPr>
        <w:pStyle w:val="Style1"/>
      </w:pPr>
      <w:r>
        <w:t>meta esize gn scaled_gm scaled_gsd ugn scaled_ugm scaled_ugsd, studylabel(authoryear)</w:t>
      </w:r>
    </w:p>
    <w:p w14:paraId="65D518A9" w14:textId="77777777" w:rsidR="00CC272C" w:rsidRDefault="00CC272C" w:rsidP="00CC272C">
      <w:pPr>
        <w:pStyle w:val="Style1"/>
      </w:pPr>
    </w:p>
    <w:p w14:paraId="3B1FEE86" w14:textId="77777777" w:rsidR="00CC272C" w:rsidRDefault="00CC272C" w:rsidP="00CC272C">
      <w:pPr>
        <w:pStyle w:val="Style1"/>
      </w:pPr>
      <w:r>
        <w:t>* make forest plot with basic settings</w:t>
      </w:r>
    </w:p>
    <w:p w14:paraId="530E706E" w14:textId="77777777" w:rsidR="00CC272C" w:rsidRDefault="00CC272C" w:rsidP="00CC272C">
      <w:pPr>
        <w:pStyle w:val="Style1"/>
      </w:pPr>
      <w:r>
        <w:t>meta forestplot _id _data _esci _weight _plot, nullrefline(favorsleft("Favours unguided") favorsright("Favours guided")) columnopts(_data1, supertitle("Guided")) columnopts(_data2, supertitle("Unguided")) columnopts(_mean1 _sd1 _mean2 _sd2, format(%7.1f)) noohetstats noosigtest noohomtest</w:t>
      </w:r>
    </w:p>
    <w:p w14:paraId="6BFC1F6C" w14:textId="77777777" w:rsidR="00CC272C" w:rsidRDefault="00CC272C" w:rsidP="00CC272C">
      <w:pPr>
        <w:pStyle w:val="Style1"/>
      </w:pPr>
    </w:p>
    <w:p w14:paraId="424E6EEA" w14:textId="77777777" w:rsidR="00CC272C" w:rsidRDefault="00CC272C" w:rsidP="00CC272C">
      <w:pPr>
        <w:pStyle w:val="Style1"/>
      </w:pPr>
      <w:r>
        <w:t>meta bias, egger</w:t>
      </w:r>
    </w:p>
    <w:p w14:paraId="5601EA70" w14:textId="77777777" w:rsidR="00CC272C" w:rsidRDefault="00CC272C" w:rsidP="00CC272C">
      <w:pPr>
        <w:pStyle w:val="Style1"/>
      </w:pPr>
      <w:r>
        <w:t>meta funnelplot, random</w:t>
      </w:r>
    </w:p>
    <w:p w14:paraId="098A0718" w14:textId="5C1835CD" w:rsidR="0030498B" w:rsidRPr="0030498B" w:rsidRDefault="00CC272C" w:rsidP="00CC272C">
      <w:pPr>
        <w:pStyle w:val="Heading2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30498B" w:rsidRPr="0030498B" w:rsidSect="00911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52A"/>
    <w:multiLevelType w:val="hybridMultilevel"/>
    <w:tmpl w:val="B4B2864E"/>
    <w:lvl w:ilvl="0" w:tplc="EF866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53F2"/>
    <w:multiLevelType w:val="hybridMultilevel"/>
    <w:tmpl w:val="87240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912CA"/>
    <w:multiLevelType w:val="hybridMultilevel"/>
    <w:tmpl w:val="B4C8D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Met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2ddsz0oxvpx1e5xda5pep5v9zvp5verv2e&quot;&gt;My EndNote Library&lt;record-ids&gt;&lt;item&gt;71&lt;/item&gt;&lt;/record-ids&gt;&lt;/item&gt;&lt;/Libraries&gt;"/>
  </w:docVars>
  <w:rsids>
    <w:rsidRoot w:val="0030498B"/>
    <w:rsid w:val="000420EA"/>
    <w:rsid w:val="0030498B"/>
    <w:rsid w:val="003669FC"/>
    <w:rsid w:val="004570BE"/>
    <w:rsid w:val="005F31EC"/>
    <w:rsid w:val="007C3551"/>
    <w:rsid w:val="0091197D"/>
    <w:rsid w:val="00CC272C"/>
    <w:rsid w:val="00F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2999"/>
  <w15:chartTrackingRefBased/>
  <w15:docId w15:val="{BB3DDDFE-3D1B-4B7E-A8DC-0A4E2CD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F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0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197D"/>
    <w:pPr>
      <w:spacing w:before="240" w:after="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6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55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F31EC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5F31EC"/>
    <w:rPr>
      <w:rFonts w:ascii="Calibri" w:eastAsiaTheme="majorEastAsia" w:hAnsi="Calibri" w:cs="Calibri"/>
      <w:color w:val="2E74B5" w:themeColor="accent1" w:themeShade="BF"/>
      <w:sz w:val="26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31EC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Heading2Char"/>
    <w:link w:val="EndNoteBibliography"/>
    <w:rsid w:val="005F31EC"/>
    <w:rPr>
      <w:rFonts w:ascii="Calibri" w:eastAsiaTheme="majorEastAsia" w:hAnsi="Calibri" w:cs="Calibri"/>
      <w:color w:val="2E74B5" w:themeColor="accent1" w:themeShade="BF"/>
      <w:sz w:val="26"/>
      <w:szCs w:val="26"/>
      <w:lang w:val="en-US"/>
    </w:rPr>
  </w:style>
  <w:style w:type="paragraph" w:customStyle="1" w:styleId="Style1">
    <w:name w:val="Style1"/>
    <w:basedOn w:val="Normal"/>
    <w:qFormat/>
    <w:rsid w:val="00CC272C"/>
    <w:pPr>
      <w:spacing w:after="0" w:line="240" w:lineRule="auto"/>
      <w:ind w:left="567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pmusiat</dc:creator>
  <cp:keywords/>
  <dc:description/>
  <cp:lastModifiedBy>Peter Musiat</cp:lastModifiedBy>
  <cp:revision>7</cp:revision>
  <dcterms:created xsi:type="dcterms:W3CDTF">2021-05-20T02:08:00Z</dcterms:created>
  <dcterms:modified xsi:type="dcterms:W3CDTF">2021-09-20T05:24:00Z</dcterms:modified>
</cp:coreProperties>
</file>