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B3" w:rsidRPr="002275B3" w:rsidRDefault="002275B3" w:rsidP="002275B3">
      <w:pPr>
        <w:jc w:val="center"/>
        <w:rPr>
          <w:rFonts w:ascii="Times New Roman" w:hAnsi="Times New Roman" w:cs="Times New Roman"/>
          <w:b/>
          <w:bCs/>
          <w:sz w:val="24"/>
          <w:szCs w:val="24"/>
        </w:rPr>
      </w:pPr>
      <w:r w:rsidRPr="002275B3">
        <w:rPr>
          <w:rFonts w:ascii="Times New Roman" w:hAnsi="Times New Roman" w:cs="Times New Roman"/>
          <w:b/>
          <w:bCs/>
          <w:sz w:val="24"/>
          <w:szCs w:val="24"/>
        </w:rPr>
        <w:t>Supplementary material</w:t>
      </w:r>
    </w:p>
    <w:p w:rsidR="006F5083" w:rsidRDefault="006F5083" w:rsidP="00475FE6">
      <w:pPr>
        <w:rPr>
          <w:rFonts w:ascii="Times New Roman" w:hAnsi="Times New Roman" w:cs="Times New Roman"/>
          <w:b/>
          <w:bCs/>
          <w:sz w:val="24"/>
          <w:szCs w:val="24"/>
          <w:highlight w:val="yellow"/>
        </w:rPr>
      </w:pPr>
    </w:p>
    <w:p w:rsidR="00821378" w:rsidRDefault="00821378" w:rsidP="00475FE6">
      <w:pPr>
        <w:rPr>
          <w:rFonts w:ascii="Times New Roman" w:hAnsi="Times New Roman" w:cs="Times New Roman"/>
          <w:b/>
          <w:bCs/>
          <w:sz w:val="24"/>
          <w:szCs w:val="24"/>
          <w:highlight w:val="yellow"/>
        </w:rPr>
      </w:pPr>
    </w:p>
    <w:p w:rsidR="009C6A91" w:rsidRPr="00F25CCB" w:rsidRDefault="009C6A91" w:rsidP="006B775A">
      <w:pPr>
        <w:spacing w:line="480" w:lineRule="auto"/>
        <w:jc w:val="both"/>
        <w:rPr>
          <w:rFonts w:ascii="Times New Roman" w:hAnsi="Times New Roman" w:cs="Times New Roman"/>
          <w:b/>
          <w:bCs/>
          <w:sz w:val="24"/>
          <w:szCs w:val="24"/>
        </w:rPr>
      </w:pPr>
      <w:r w:rsidRPr="00F25CCB">
        <w:rPr>
          <w:rFonts w:ascii="Times New Roman" w:hAnsi="Times New Roman" w:cs="Times New Roman"/>
          <w:b/>
          <w:bCs/>
          <w:sz w:val="24"/>
          <w:szCs w:val="24"/>
        </w:rPr>
        <w:t xml:space="preserve">Comparison with proband data </w:t>
      </w:r>
    </w:p>
    <w:p w:rsidR="009C6A91" w:rsidRPr="00F25CCB" w:rsidRDefault="009C6A91" w:rsidP="006B775A">
      <w:pPr>
        <w:spacing w:line="480" w:lineRule="auto"/>
        <w:jc w:val="both"/>
        <w:rPr>
          <w:rFonts w:ascii="Times New Roman" w:eastAsia="Times New Roman" w:hAnsi="Times New Roman" w:cs="Times New Roman"/>
          <w:sz w:val="24"/>
          <w:szCs w:val="24"/>
        </w:rPr>
      </w:pPr>
      <w:r w:rsidRPr="00F25CCB">
        <w:rPr>
          <w:rFonts w:ascii="Times New Roman" w:eastAsia="Times New Roman" w:hAnsi="Times New Roman" w:cs="Times New Roman"/>
          <w:sz w:val="24"/>
          <w:szCs w:val="24"/>
        </w:rPr>
        <w:t xml:space="preserve">Data was available for 68 affected probands of the unaffected relatives included in this paper. </w:t>
      </w:r>
    </w:p>
    <w:p w:rsidR="00090AA6" w:rsidRPr="00F25CCB" w:rsidRDefault="009C6A91" w:rsidP="00090AA6">
      <w:pPr>
        <w:spacing w:line="480" w:lineRule="auto"/>
        <w:jc w:val="both"/>
        <w:rPr>
          <w:rFonts w:ascii="Times New Roman" w:eastAsia="Times New Roman" w:hAnsi="Times New Roman" w:cs="Times New Roman"/>
          <w:i/>
          <w:iCs/>
          <w:sz w:val="24"/>
          <w:szCs w:val="24"/>
        </w:rPr>
      </w:pPr>
      <w:r w:rsidRPr="00F25CCB">
        <w:rPr>
          <w:rFonts w:ascii="Times New Roman" w:eastAsia="Times New Roman" w:hAnsi="Times New Roman" w:cs="Times New Roman"/>
          <w:sz w:val="24"/>
          <w:szCs w:val="24"/>
        </w:rPr>
        <w:t xml:space="preserve">Of these patients, 39 (57%) were ‘emotionally preserved’, 14 (21%) ‘emotionally blunted’, and 15 (22%) ‘emotionally volatile’. These proportions are in line with our previous findings of 57% of patients with mood disorders being ‘emotionally preserved’, 26% ‘emotionally blunted’, and 17% ‘emotionally volatile’ (Varo et al., 2021). </w:t>
      </w:r>
    </w:p>
    <w:p w:rsidR="00090AA6" w:rsidRPr="00F25CCB" w:rsidRDefault="00090AA6" w:rsidP="00090AA6">
      <w:pPr>
        <w:spacing w:line="480" w:lineRule="auto"/>
        <w:jc w:val="both"/>
        <w:rPr>
          <w:rFonts w:ascii="Times New Roman" w:eastAsia="Times New Roman" w:hAnsi="Times New Roman" w:cs="Times New Roman"/>
          <w:i/>
          <w:iCs/>
          <w:sz w:val="24"/>
          <w:szCs w:val="24"/>
        </w:rPr>
      </w:pPr>
      <w:r w:rsidRPr="00F25CCB">
        <w:rPr>
          <w:rFonts w:ascii="Times New Roman" w:eastAsia="Times New Roman" w:hAnsi="Times New Roman" w:cs="Times New Roman"/>
          <w:sz w:val="24"/>
          <w:szCs w:val="24"/>
        </w:rPr>
        <w:t>Moreover, of the unaffected relatives categorised as ‘emotionally preserved’, 66% (n=25) of their affected probands were also categorised as ‘emotionally preserved’, whereas the remaining 34% presented with impaired emotional cognition (n=13; emotionally blunted n=5 and emotionally volatile n=8). Of the unaffected relatives categorised as ‘emotionally blunted’, 53% of their affected probands also presented with aberrant emotional cognition (n=16; emotionally blunted n=9 and emotionally volatile n=7), whereas the remaining 47% (n=14) were ‘emotionally preserved’.</w:t>
      </w:r>
    </w:p>
    <w:p w:rsidR="009C6A91" w:rsidRDefault="009C6A91" w:rsidP="009C6A91">
      <w:pPr>
        <w:spacing w:line="480" w:lineRule="auto"/>
        <w:rPr>
          <w:rFonts w:ascii="Times New Roman" w:eastAsia="Times New Roman" w:hAnsi="Times New Roman" w:cs="Times New Roman"/>
          <w:sz w:val="24"/>
          <w:szCs w:val="24"/>
        </w:rPr>
      </w:pPr>
    </w:p>
    <w:p w:rsidR="009C6A91" w:rsidRDefault="009C6A91" w:rsidP="009C6A91">
      <w:pPr>
        <w:spacing w:line="480" w:lineRule="auto"/>
        <w:rPr>
          <w:rFonts w:ascii="Times New Roman" w:eastAsia="Times New Roman" w:hAnsi="Times New Roman" w:cs="Times New Roman"/>
          <w:sz w:val="24"/>
          <w:szCs w:val="24"/>
        </w:rPr>
      </w:pPr>
    </w:p>
    <w:p w:rsidR="00090AA6" w:rsidRDefault="00090AA6" w:rsidP="009C6A91">
      <w:pPr>
        <w:spacing w:line="480" w:lineRule="auto"/>
        <w:rPr>
          <w:rFonts w:ascii="Times New Roman" w:eastAsia="Times New Roman" w:hAnsi="Times New Roman" w:cs="Times New Roman"/>
          <w:sz w:val="24"/>
          <w:szCs w:val="24"/>
        </w:rPr>
      </w:pPr>
    </w:p>
    <w:p w:rsidR="00090AA6" w:rsidRDefault="00090AA6" w:rsidP="009C6A91">
      <w:pPr>
        <w:spacing w:line="480" w:lineRule="auto"/>
        <w:rPr>
          <w:rFonts w:ascii="Times New Roman" w:eastAsia="Times New Roman" w:hAnsi="Times New Roman" w:cs="Times New Roman"/>
          <w:sz w:val="24"/>
          <w:szCs w:val="24"/>
        </w:rPr>
      </w:pPr>
    </w:p>
    <w:p w:rsidR="009C6A91" w:rsidRDefault="009C6A91" w:rsidP="009C6A91">
      <w:pPr>
        <w:spacing w:line="480" w:lineRule="auto"/>
        <w:rPr>
          <w:rFonts w:ascii="Times New Roman" w:hAnsi="Times New Roman" w:cs="Times New Roman"/>
          <w:b/>
          <w:bCs/>
          <w:sz w:val="24"/>
          <w:szCs w:val="24"/>
        </w:rPr>
      </w:pPr>
    </w:p>
    <w:p w:rsidR="009C6A91" w:rsidRDefault="009C6A91" w:rsidP="006F5083">
      <w:pPr>
        <w:rPr>
          <w:rFonts w:ascii="Times New Roman" w:hAnsi="Times New Roman" w:cs="Times New Roman"/>
          <w:b/>
          <w:bCs/>
          <w:sz w:val="24"/>
          <w:szCs w:val="24"/>
        </w:rPr>
      </w:pPr>
    </w:p>
    <w:p w:rsidR="006F5083" w:rsidRPr="00C529FE" w:rsidRDefault="006F5083" w:rsidP="006F5083">
      <w:pPr>
        <w:rPr>
          <w:rFonts w:ascii="Times New Roman" w:hAnsi="Times New Roman" w:cs="Times New Roman"/>
          <w:b/>
          <w:bCs/>
          <w:sz w:val="24"/>
          <w:szCs w:val="24"/>
        </w:rPr>
      </w:pPr>
      <w:r w:rsidRPr="00C529FE">
        <w:rPr>
          <w:rFonts w:ascii="Times New Roman" w:hAnsi="Times New Roman" w:cs="Times New Roman"/>
          <w:b/>
          <w:bCs/>
          <w:sz w:val="24"/>
          <w:szCs w:val="24"/>
        </w:rPr>
        <w:t xml:space="preserve">Table S1.  </w:t>
      </w:r>
      <w:r w:rsidRPr="00C529FE">
        <w:rPr>
          <w:rFonts w:ascii="Times New Roman" w:hAnsi="Times New Roman" w:cs="Times New Roman"/>
          <w:sz w:val="24"/>
          <w:szCs w:val="24"/>
        </w:rPr>
        <w:t>Measures of emotional cognition</w:t>
      </w:r>
    </w:p>
    <w:p w:rsidR="006F5083" w:rsidRDefault="006F5083" w:rsidP="00475FE6">
      <w:pPr>
        <w:rPr>
          <w:rFonts w:ascii="Times New Roman" w:hAnsi="Times New Roman" w:cs="Times New Roman"/>
          <w:b/>
          <w:bCs/>
          <w:sz w:val="24"/>
          <w:szCs w:val="24"/>
          <w:highlight w:val="yellow"/>
        </w:rPr>
      </w:pPr>
    </w:p>
    <w:tbl>
      <w:tblPr>
        <w:tblStyle w:val="TableGrid"/>
        <w:tblW w:w="0" w:type="auto"/>
        <w:tblLook w:val="04A0" w:firstRow="1" w:lastRow="0" w:firstColumn="1" w:lastColumn="0" w:noHBand="0" w:noVBand="1"/>
      </w:tblPr>
      <w:tblGrid>
        <w:gridCol w:w="3320"/>
        <w:gridCol w:w="3321"/>
        <w:gridCol w:w="3321"/>
      </w:tblGrid>
      <w:tr w:rsidR="006F5083" w:rsidRPr="00333E18" w:rsidTr="00D2136C">
        <w:tc>
          <w:tcPr>
            <w:tcW w:w="3320" w:type="dxa"/>
          </w:tcPr>
          <w:p w:rsidR="006F5083" w:rsidRPr="00333E18" w:rsidRDefault="006F5083" w:rsidP="00821378">
            <w:pPr>
              <w:jc w:val="center"/>
              <w:rPr>
                <w:rFonts w:ascii="Times New Roman" w:hAnsi="Times New Roman" w:cs="Times New Roman"/>
                <w:sz w:val="24"/>
                <w:szCs w:val="24"/>
              </w:rPr>
            </w:pPr>
            <w:r w:rsidRPr="0097663B">
              <w:rPr>
                <w:rFonts w:ascii="Times New Roman" w:eastAsia="Times New Roman" w:hAnsi="Times New Roman" w:cs="Times New Roman"/>
                <w:i/>
                <w:iCs/>
                <w:sz w:val="24"/>
                <w:szCs w:val="24"/>
              </w:rPr>
              <w:t>Name</w:t>
            </w:r>
          </w:p>
        </w:tc>
        <w:tc>
          <w:tcPr>
            <w:tcW w:w="3321" w:type="dxa"/>
          </w:tcPr>
          <w:p w:rsidR="006F5083" w:rsidRPr="00333E18" w:rsidRDefault="006F5083" w:rsidP="00821378">
            <w:pPr>
              <w:jc w:val="center"/>
              <w:rPr>
                <w:rFonts w:ascii="Times New Roman" w:hAnsi="Times New Roman" w:cs="Times New Roman"/>
                <w:sz w:val="24"/>
                <w:szCs w:val="24"/>
              </w:rPr>
            </w:pPr>
            <w:r w:rsidRPr="0097663B">
              <w:rPr>
                <w:rFonts w:ascii="Times New Roman" w:eastAsia="Times New Roman" w:hAnsi="Times New Roman" w:cs="Times New Roman"/>
                <w:i/>
                <w:iCs/>
                <w:sz w:val="24"/>
                <w:szCs w:val="24"/>
              </w:rPr>
              <w:t>Abbreviation</w:t>
            </w:r>
          </w:p>
        </w:tc>
        <w:tc>
          <w:tcPr>
            <w:tcW w:w="3321" w:type="dxa"/>
          </w:tcPr>
          <w:p w:rsidR="006F5083" w:rsidRPr="00333E18" w:rsidRDefault="006F5083" w:rsidP="00821378">
            <w:pPr>
              <w:jc w:val="center"/>
              <w:rPr>
                <w:rFonts w:ascii="Times New Roman" w:hAnsi="Times New Roman" w:cs="Times New Roman"/>
                <w:sz w:val="24"/>
                <w:szCs w:val="24"/>
              </w:rPr>
            </w:pPr>
            <w:r w:rsidRPr="0097663B">
              <w:rPr>
                <w:rFonts w:ascii="Times New Roman" w:eastAsia="Times New Roman" w:hAnsi="Times New Roman" w:cs="Times New Roman"/>
                <w:i/>
                <w:iCs/>
                <w:sz w:val="24"/>
                <w:szCs w:val="24"/>
              </w:rPr>
              <w:t>Description</w:t>
            </w:r>
          </w:p>
        </w:tc>
      </w:tr>
      <w:tr w:rsidR="006F5083" w:rsidRPr="00333E18" w:rsidTr="00D2136C">
        <w:tc>
          <w:tcPr>
            <w:tcW w:w="3320" w:type="dxa"/>
          </w:tcPr>
          <w:p w:rsidR="006F5083" w:rsidRPr="00333E18" w:rsidRDefault="006F5083" w:rsidP="00821378">
            <w:pPr>
              <w:jc w:val="center"/>
              <w:rPr>
                <w:rFonts w:ascii="Times New Roman" w:hAnsi="Times New Roman" w:cs="Times New Roman"/>
                <w:sz w:val="24"/>
                <w:szCs w:val="24"/>
              </w:rPr>
            </w:pPr>
            <w:r w:rsidRPr="002233D6">
              <w:rPr>
                <w:rFonts w:ascii="Times New Roman" w:hAnsi="Times New Roman" w:cs="Times New Roman"/>
                <w:color w:val="000000"/>
                <w:sz w:val="24"/>
                <w:szCs w:val="24"/>
              </w:rPr>
              <w:t>The Social Scenarios Task </w:t>
            </w:r>
            <w:r w:rsidRPr="002233D6">
              <w:rPr>
                <w:rFonts w:ascii="Times New Roman" w:hAnsi="Times New Roman" w:cs="Times New Roman"/>
                <w:color w:val="000000"/>
                <w:sz w:val="24"/>
                <w:szCs w:val="24"/>
              </w:rPr>
              <w:fldChar w:fldCharType="begin" w:fldLock="1"/>
            </w:r>
            <w:r w:rsidRPr="002233D6">
              <w:rPr>
                <w:rFonts w:ascii="Times New Roman" w:hAnsi="Times New Roman" w:cs="Times New Roman"/>
                <w:color w:val="000000"/>
                <w:sz w:val="24"/>
                <w:szCs w:val="24"/>
              </w:rPr>
              <w:instrText>ADDIN CSL_CITATION {"citationItems":[{"id":"ITEM-1","itemData":{"DOI":"10.1016/j.psychres.2016.02.047","ISSN":"18727123","abstract":"Emotion dysregulation is a core feature of bipolar disorder (BD) that persists into periods of remission. Neuroimaging studies show aberrant neural responses during emotion regulation (ER) in patients with BD relative to healthy controls, but behavioural evidence for ER deficits is sparse and conflicting. This study aimed to explore ER in BD using a novel, personally relevant experimental paradigm. Twenty patients with BD and 20 patients with unipolar disorder (UD), in full or partial remission, and 20 healthy controls were given a novel computerised test. Participants were instructed to react naturally or dampen their emotional response to positive and negative social scenarios and associated self-beliefs. They were also given an established experimental task for comparison, involving reappraisal of negative affective picture stimuli, as well as a questionnaire of habitual ER strategies. BD patients showed reduced ability to down-regulate emotional responses in negative, but not positive, social scenarios relative to healthy controls and UD patients. In contrast, there were no between-group differences in the established ER task or in self-reported habitual reappraisal strategies. Findings highlight the novel social scenario paradigm as a sensitive test for detection of ER difficulties in BD.","author":[{"dropping-particle":"","family":"Kjærstad","given":"Hanne L.","non-dropping-particle":"","parse-names":false,"suffix":""},{"dropping-particle":"","family":"Vinberg","given":"Maj","non-dropping-particle":"","parse-names":false,"suffix":""},{"dropping-particle":"","family":"Goldin","given":"Philippe R.","non-dropping-particle":"","parse-names":false,"suffix":""},{"dropping-particle":"","family":"Køster","given":"Nicolai","non-dropping-particle":"","parse-names":false,"suffix":""},{"dropping-particle":"","family":"Støttrup","given":"Mette Marie D.","non-dropping-particle":"","parse-names":false,"suffix":""},{"dropping-particle":"","family":"Knorr","given":"Ulla","non-dropping-particle":"","parse-names":false,"suffix":""},{"dropping-particle":"V.","family":"Kessing","given":"Lars","non-dropping-particle":"","parse-names":false,"suffix":""},{"dropping-particle":"","family":"Miskowiak","given":"Kamilla W.","non-dropping-particle":"","parse-names":false,"suffix":""}],"container-title":"Psychiatry Research","id":"ITEM-1","issued":{"date-parts":[["2016"]]},"title":"Impaired down-regulation of negative emotion in self-referent social situations in bipolar disorder: A pilot study of a novel experimental paradigm","type":"article-journal"},"uris":["http://www.mendeley.com/documents/?uuid=331ce51e-002a-4819-945e-f51be1e3b89a"]}],"mendeley":{"formattedCitation":"(Hanne L. Kjærstad et al., 2016)","manualFormatting":"(Kjærstad et al., 2016)","plainTextFormattedCitation":"(Hanne L. Kjærstad et al., 2016)","previouslyFormattedCitation":"(Hanne L. Kjærstad et al., 2016)"},"properties":{"noteIndex":0},"schema":"https://github.com/citation-style-language/schema/raw/master/csl-citation.json"}</w:instrText>
            </w:r>
            <w:r w:rsidRPr="002233D6">
              <w:rPr>
                <w:rFonts w:ascii="Times New Roman" w:hAnsi="Times New Roman" w:cs="Times New Roman"/>
                <w:color w:val="000000"/>
                <w:sz w:val="24"/>
                <w:szCs w:val="24"/>
              </w:rPr>
              <w:fldChar w:fldCharType="separate"/>
            </w:r>
            <w:r w:rsidRPr="002233D6">
              <w:rPr>
                <w:rFonts w:ascii="Times New Roman" w:hAnsi="Times New Roman" w:cs="Times New Roman"/>
                <w:noProof/>
                <w:color w:val="000000"/>
                <w:sz w:val="24"/>
                <w:szCs w:val="24"/>
              </w:rPr>
              <w:t>(Kjærstad et al., 2016)</w:t>
            </w:r>
            <w:r w:rsidRPr="002233D6">
              <w:rPr>
                <w:rFonts w:ascii="Times New Roman" w:hAnsi="Times New Roman" w:cs="Times New Roman"/>
                <w:color w:val="000000"/>
                <w:sz w:val="24"/>
                <w:szCs w:val="24"/>
              </w:rPr>
              <w:fldChar w:fldCharType="end"/>
            </w:r>
          </w:p>
        </w:tc>
        <w:tc>
          <w:tcPr>
            <w:tcW w:w="3321" w:type="dxa"/>
          </w:tcPr>
          <w:p w:rsidR="006F5083" w:rsidRPr="00333E18" w:rsidRDefault="006F5083" w:rsidP="00821378">
            <w:pPr>
              <w:jc w:val="center"/>
              <w:rPr>
                <w:rFonts w:ascii="Times New Roman" w:hAnsi="Times New Roman" w:cs="Times New Roman"/>
                <w:sz w:val="24"/>
                <w:szCs w:val="24"/>
              </w:rPr>
            </w:pPr>
            <w:r>
              <w:rPr>
                <w:rFonts w:ascii="Times New Roman" w:hAnsi="Times New Roman" w:cs="Times New Roman"/>
                <w:sz w:val="24"/>
                <w:szCs w:val="24"/>
              </w:rPr>
              <w:t>SST</w:t>
            </w:r>
          </w:p>
        </w:tc>
        <w:tc>
          <w:tcPr>
            <w:tcW w:w="3321" w:type="dxa"/>
          </w:tcPr>
          <w:p w:rsidR="006F5083" w:rsidRPr="00333E18" w:rsidRDefault="006F5083" w:rsidP="00821378">
            <w:pPr>
              <w:jc w:val="center"/>
              <w:rPr>
                <w:rFonts w:ascii="Times New Roman" w:hAnsi="Times New Roman" w:cs="Times New Roman"/>
                <w:sz w:val="24"/>
                <w:szCs w:val="24"/>
              </w:rPr>
            </w:pPr>
            <w:r w:rsidRPr="00D03789">
              <w:rPr>
                <w:rFonts w:ascii="Times New Roman" w:hAnsi="Times New Roman" w:cs="Times New Roman"/>
                <w:color w:val="000000"/>
                <w:sz w:val="24"/>
                <w:szCs w:val="24"/>
              </w:rPr>
              <w:t>Emotion reactivity and regulation to</w:t>
            </w:r>
            <w:r w:rsidR="0027382E">
              <w:rPr>
                <w:rFonts w:ascii="Times New Roman" w:hAnsi="Times New Roman" w:cs="Times New Roman"/>
                <w:color w:val="000000"/>
                <w:sz w:val="24"/>
                <w:szCs w:val="24"/>
              </w:rPr>
              <w:t xml:space="preserve"> positive and negative</w:t>
            </w:r>
            <w:r w:rsidRPr="00D03789">
              <w:rPr>
                <w:rFonts w:ascii="Times New Roman" w:hAnsi="Times New Roman" w:cs="Times New Roman"/>
                <w:color w:val="000000"/>
                <w:sz w:val="24"/>
                <w:szCs w:val="24"/>
              </w:rPr>
              <w:t xml:space="preserve"> social scenarios </w:t>
            </w:r>
          </w:p>
        </w:tc>
      </w:tr>
      <w:tr w:rsidR="006F5083" w:rsidRPr="00AE0886" w:rsidTr="00D2136C">
        <w:tc>
          <w:tcPr>
            <w:tcW w:w="3320" w:type="dxa"/>
          </w:tcPr>
          <w:p w:rsidR="006F5083" w:rsidRPr="00333E18" w:rsidRDefault="006F5083" w:rsidP="00821378">
            <w:pPr>
              <w:jc w:val="center"/>
              <w:rPr>
                <w:rFonts w:ascii="Times New Roman" w:hAnsi="Times New Roman" w:cs="Times New Roman"/>
                <w:sz w:val="24"/>
                <w:szCs w:val="24"/>
              </w:rPr>
            </w:pPr>
            <w:r w:rsidRPr="002233D6">
              <w:rPr>
                <w:rFonts w:ascii="Times New Roman" w:hAnsi="Times New Roman" w:cs="Times New Roman"/>
                <w:color w:val="000000"/>
                <w:sz w:val="24"/>
                <w:szCs w:val="24"/>
              </w:rPr>
              <w:t>Facial Expression Recognition Task</w:t>
            </w:r>
            <w:r>
              <w:rPr>
                <w:rFonts w:ascii="Times New Roman" w:hAnsi="Times New Roman" w:cs="Times New Roman"/>
                <w:color w:val="000000"/>
                <w:sz w:val="24"/>
                <w:szCs w:val="24"/>
              </w:rPr>
              <w:t xml:space="preserve"> </w:t>
            </w:r>
            <w:r w:rsidRPr="002233D6">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{"citationItems":[{"id":"ITEM-1","itemData":{"DOI":"10.1176/appi.ajp.161.7.1256","ISSN":"0002953X","abstract":"Objective: Antidepressants that inhibit the reuptake of serotonin (SSRIs) or norepinephrine (SNRIs) are effective in the treatment of disorders such as depression and anxiety. Cognitive psychological theories emphasize the importance of correcting negative biases of information processing in the nonpharmacological treatment of these disorders, but it is not known whether antidepressant drugs can directly modulate the neural processing of affective information. The present study therefore assessed the actions of repeated antidepressant administration on perception and memory for positive and negative emotional information in healthy volunteers. Method: Forty-two male and female volunteers were randomly assigned to 7 days of double-blind intervention with the SSRI citalopram (20 mg/day), the SNRI reboxetine (8 mg/day), or placebo. On the final day, facial expression recognition, emotion-potentiated startle response, and memory for affect-laden words were assessed. Questionnaires monitoring mood, hostility, and anxiety were given before and after treatment. Results: In the facial expression recognition task, citalopram and reboxetine reduced the identification of the negative facial expressions of anger and fear. Citalopram also abolished the increased startle response found in the context of negative affective images. Both antidepressants increased the relative recall of positive (versus negative) emotional material. These changes in emotional processing occurred in the absence of significant differences in ratings of mood and anxiety. However, reboxetine decreased subjective ratings of hostility and elevated energy. Conclusions: Short-term administration of two different antidepressant types had similar effects on emotion-related tasks in healthy volunteers, reducing the processing of negative relative to positive emotional material. Such effects of antidepressants may ameliorate the negative biases in information processing that characterize mood and anxiety disorders. They also suggest a mechanism of action potentially compatible with cognitive theories of anxiety and depression.","author":[{"dropping-particle":"","family":"Harmer","given":"Catherine J.","non-dropping-particle":"","parse-names":false,"suffix":""},{"dropping-particle":"","family":"Shelley","given":"Nicholas C.","non-dropping-particle":"","parse-names":false,"suffix":""},{"dropping-particle":"","family":"Cowen","given":"Philip J.","non-dropping-particle":"","parse-names":false,"suffix":""},{"dropping-particle":"","family":"Goodwin","given":"Guy M.","non-dropping-particle":"","parse-names":false,"suffix":""}],"container-title":"American Journal of Psychiatry","id":"ITEM-1","issued":{"date-parts":[["2004"]]},"title":"Increased positive versus negative affective perception and memory in healthy volunteers following selective serotonin and norepinephrine reuptake inhibition","type":"article-journal"},"uris":["http://www.mendeley.com/documents/?uuid=e682ec73-58d4-464b-93e0-877a458bff09"]}],"mendeley":{"formattedCitation":"(Harmer, Shelley, Cowen, &amp; Goodwin, 2004)","plainTextFormattedCitation":"(Harmer, Shelley, Cowen, &amp; Goodwin, 2004)","previouslyFormattedCitation":"(Harmer, Shelley, Cowen, &amp; Goodwin, 2004)"},"properties":{"noteIndex":0},"schema":"https://github.com/citation-style-language/schema/raw/master/csl-citation.json"}</w:instrText>
            </w:r>
            <w:r w:rsidRPr="002233D6">
              <w:rPr>
                <w:rFonts w:ascii="Times New Roman" w:hAnsi="Times New Roman" w:cs="Times New Roman"/>
                <w:color w:val="000000"/>
                <w:sz w:val="24"/>
                <w:szCs w:val="24"/>
              </w:rPr>
              <w:fldChar w:fldCharType="separate"/>
            </w:r>
            <w:r w:rsidRPr="009E37E8">
              <w:rPr>
                <w:rFonts w:ascii="Times New Roman" w:hAnsi="Times New Roman" w:cs="Times New Roman"/>
                <w:noProof/>
                <w:color w:val="000000"/>
                <w:sz w:val="24"/>
                <w:szCs w:val="24"/>
              </w:rPr>
              <w:t>(Harmer, Shelley, Cowen, &amp; Goodwin, 2004)</w:t>
            </w:r>
            <w:r w:rsidRPr="002233D6">
              <w:rPr>
                <w:rFonts w:ascii="Times New Roman" w:hAnsi="Times New Roman" w:cs="Times New Roman"/>
                <w:color w:val="000000"/>
                <w:sz w:val="24"/>
                <w:szCs w:val="24"/>
              </w:rPr>
              <w:fldChar w:fldCharType="end"/>
            </w:r>
          </w:p>
        </w:tc>
        <w:tc>
          <w:tcPr>
            <w:tcW w:w="3321" w:type="dxa"/>
          </w:tcPr>
          <w:p w:rsidR="006F5083" w:rsidRPr="00333E18" w:rsidRDefault="006F5083" w:rsidP="00821378">
            <w:pPr>
              <w:jc w:val="center"/>
              <w:rPr>
                <w:rFonts w:ascii="Times New Roman" w:hAnsi="Times New Roman" w:cs="Times New Roman"/>
                <w:sz w:val="24"/>
                <w:szCs w:val="24"/>
              </w:rPr>
            </w:pPr>
            <w:r>
              <w:rPr>
                <w:rFonts w:ascii="Times New Roman" w:hAnsi="Times New Roman" w:cs="Times New Roman"/>
                <w:sz w:val="24"/>
                <w:szCs w:val="24"/>
              </w:rPr>
              <w:t>FERT</w:t>
            </w:r>
          </w:p>
        </w:tc>
        <w:tc>
          <w:tcPr>
            <w:tcW w:w="3321" w:type="dxa"/>
          </w:tcPr>
          <w:p w:rsidR="006F5083" w:rsidRPr="0027382E" w:rsidRDefault="0027382E" w:rsidP="00821378">
            <w:pPr>
              <w:jc w:val="center"/>
              <w:rPr>
                <w:rFonts w:ascii="Times New Roman" w:hAnsi="Times New Roman" w:cs="Times New Roman"/>
                <w:sz w:val="24"/>
                <w:szCs w:val="24"/>
              </w:rPr>
            </w:pPr>
            <w:r>
              <w:rPr>
                <w:rFonts w:ascii="Times New Roman" w:hAnsi="Times New Roman" w:cs="Times New Roman"/>
                <w:color w:val="000000"/>
                <w:sz w:val="24"/>
                <w:szCs w:val="24"/>
              </w:rPr>
              <w:t>Recognition of</w:t>
            </w:r>
            <w:r w:rsidR="006F5083" w:rsidRPr="002233D6">
              <w:rPr>
                <w:rFonts w:ascii="Times New Roman" w:hAnsi="Times New Roman" w:cs="Times New Roman"/>
                <w:color w:val="000000"/>
                <w:sz w:val="24"/>
                <w:szCs w:val="24"/>
              </w:rPr>
              <w:t xml:space="preserve"> six basic facial expressions: anger, disgust, fear, happiness, sadness, and surpris</w:t>
            </w:r>
            <w:r w:rsidR="006F5083">
              <w:rPr>
                <w:rFonts w:ascii="Times New Roman" w:hAnsi="Times New Roman" w:cs="Times New Roman"/>
                <w:color w:val="000000"/>
                <w:sz w:val="24"/>
                <w:szCs w:val="24"/>
              </w:rPr>
              <w:t>e</w:t>
            </w:r>
          </w:p>
        </w:tc>
      </w:tr>
      <w:tr w:rsidR="006F5083" w:rsidRPr="00333E18" w:rsidTr="00D2136C">
        <w:tc>
          <w:tcPr>
            <w:tcW w:w="3320" w:type="dxa"/>
          </w:tcPr>
          <w:p w:rsidR="006F5083" w:rsidRPr="00333E18" w:rsidRDefault="006F5083" w:rsidP="00821378">
            <w:pPr>
              <w:jc w:val="center"/>
              <w:rPr>
                <w:rFonts w:ascii="Times New Roman" w:hAnsi="Times New Roman" w:cs="Times New Roman"/>
                <w:sz w:val="24"/>
                <w:szCs w:val="24"/>
              </w:rPr>
            </w:pPr>
            <w:r w:rsidRPr="002233D6">
              <w:rPr>
                <w:rFonts w:ascii="Times New Roman" w:hAnsi="Times New Roman" w:cs="Times New Roman"/>
                <w:color w:val="000000"/>
                <w:sz w:val="24"/>
                <w:szCs w:val="24"/>
              </w:rPr>
              <w:t>Faces Dot-Probe Task</w:t>
            </w:r>
            <w:r>
              <w:rPr>
                <w:rFonts w:ascii="Times New Roman" w:hAnsi="Times New Roman" w:cs="Times New Roman"/>
                <w:color w:val="000000"/>
                <w:sz w:val="24"/>
                <w:szCs w:val="24"/>
              </w:rPr>
              <w:t xml:space="preserve"> </w:t>
            </w:r>
            <w:r w:rsidRPr="002233D6">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{"citationItems":[{"id":"ITEM-1","itemData":{"DOI":"10.1007/s00213-008-1082-2","ISSN":"00333158","abstract":"Rationale: Pharmacological agents used in the treatment of anxiety have been reported to decrease threat relevant processing in patients and healthy controls, suggesting a potentially relevant mechanism of action. However, the effects of the anxiolytic diazepam have typically been examined at sedative doses, which do not allow the direct actions on emotional processing to be fully separated from global effects of the drug on cognition and alertness. Objectives: The aim of this study was to investigate the effect of a lower, but still clinically effective, dose of diazepam on emotional processing in healthy volunteers. Materials and methods: Twenty-four participants were randomised to receive a single dose of diazepam (5 mg) or placebo. Sixty minutes later, participants completed a battery of psychological tests, including measures of non-emotional cognitive performance (reaction time and sustained attention) and emotional processing (affective modulation of the startle reflex, attentional dot probe, facial expression recognition, and emotional memory). Mood and subjective experience were also measured. Results: Diazepam significantly modulated attentional vigilance to masked emotional faces and significantly decreased overall startle reactivity. Diazepam did not significantly affect mood, alertness, response times, facial expression recognition, or sustained attention. Conclusions: At non-sedating doses, diazepam produces effects on attentional vigilance and startle responsivity that are consistent with its anxiolytic action. This may be an underlying mechanism through which benzodiazepines exert their therapeutic effects in clinical anxiety. © 2008 The Author(s).","author":[{"dropping-particle":"","family":"Murphy","given":"S. E.","non-dropping-particle":"","parse-names":false,"suffix":""},{"dropping-particle":"","family":"Downham","given":"C.","non-dropping-particle":"","parse-names":false,"suffix":""},{"dropping-particle":"","family":"Cowen","given":"P. J.","non-dropping-particle":"","parse-names":false,"suffix":""},{"dropping-particle":"","family":"Harmer","given":"C. J.","non-dropping-particle":"","parse-names":false,"suffix":""}],"container-title":"Psychopharmacology","id":"ITEM-1","issued":{"date-parts":[["2008"]]},"title":"Direct effects of diazepam on emotional processing in healthy volunteers","type":"article-journal"},"uris":["http://www.mendeley.com/documents/?uuid=c6cd9ac0-290b-4a0d-ad83-7202d3473797","http://www.mendeley.com/documents/?uuid=46471da3-0c75-49ba-a0e8-2b1a8d91b27c"]}],"mendeley":{"formattedCitation":"(Murphy, Downham, Cowen, &amp; Harmer, 2008)","plainTextFormattedCitation":"(Murphy, Downham, Cowen, &amp; Harmer, 2008)","previouslyFormattedCitation":"(Murphy, Downham, Cowen, &amp; Harmer, 2008)"},"properties":{"noteIndex":0},"schema":"https://github.com/citation-style-language/schema/raw/master/csl-citation.json"}</w:instrText>
            </w:r>
            <w:r w:rsidRPr="002233D6">
              <w:rPr>
                <w:rFonts w:ascii="Times New Roman" w:hAnsi="Times New Roman" w:cs="Times New Roman"/>
                <w:color w:val="000000"/>
                <w:sz w:val="24"/>
                <w:szCs w:val="24"/>
              </w:rPr>
              <w:fldChar w:fldCharType="separate"/>
            </w:r>
            <w:r w:rsidRPr="009E37E8">
              <w:rPr>
                <w:rFonts w:ascii="Times New Roman" w:hAnsi="Times New Roman" w:cs="Times New Roman"/>
                <w:noProof/>
                <w:color w:val="000000"/>
                <w:sz w:val="24"/>
                <w:szCs w:val="24"/>
              </w:rPr>
              <w:t>(Murphy, Downham, Cowen, &amp; Harmer, 2008)</w:t>
            </w:r>
            <w:r w:rsidRPr="002233D6">
              <w:rPr>
                <w:rFonts w:ascii="Times New Roman" w:hAnsi="Times New Roman" w:cs="Times New Roman"/>
                <w:color w:val="000000"/>
                <w:sz w:val="24"/>
                <w:szCs w:val="24"/>
              </w:rPr>
              <w:fldChar w:fldCharType="end"/>
            </w:r>
          </w:p>
        </w:tc>
        <w:tc>
          <w:tcPr>
            <w:tcW w:w="3321" w:type="dxa"/>
          </w:tcPr>
          <w:p w:rsidR="006F5083" w:rsidRPr="00333E18" w:rsidRDefault="006F5083" w:rsidP="00821378">
            <w:pPr>
              <w:jc w:val="center"/>
              <w:rPr>
                <w:rFonts w:ascii="Times New Roman" w:hAnsi="Times New Roman" w:cs="Times New Roman"/>
                <w:sz w:val="24"/>
                <w:szCs w:val="24"/>
              </w:rPr>
            </w:pPr>
            <w:r w:rsidRPr="002233D6">
              <w:rPr>
                <w:rFonts w:ascii="Times New Roman" w:hAnsi="Times New Roman" w:cs="Times New Roman"/>
                <w:color w:val="000000"/>
                <w:sz w:val="24"/>
                <w:szCs w:val="24"/>
              </w:rPr>
              <w:t>Faces Dot-Probe</w:t>
            </w:r>
          </w:p>
        </w:tc>
        <w:tc>
          <w:tcPr>
            <w:tcW w:w="3321" w:type="dxa"/>
          </w:tcPr>
          <w:p w:rsidR="006F5083" w:rsidRPr="00333E18" w:rsidRDefault="006F5083" w:rsidP="00821378">
            <w:pPr>
              <w:jc w:val="center"/>
              <w:rPr>
                <w:rFonts w:ascii="Times New Roman" w:hAnsi="Times New Roman" w:cs="Times New Roman"/>
                <w:sz w:val="24"/>
                <w:szCs w:val="24"/>
              </w:rPr>
            </w:pPr>
            <w:r>
              <w:rPr>
                <w:rFonts w:ascii="Times New Roman" w:hAnsi="Times New Roman" w:cs="Times New Roman"/>
                <w:color w:val="000000"/>
                <w:sz w:val="24"/>
                <w:szCs w:val="24"/>
              </w:rPr>
              <w:t>A</w:t>
            </w:r>
            <w:r w:rsidRPr="002D7B07">
              <w:rPr>
                <w:rFonts w:ascii="Times New Roman" w:hAnsi="Times New Roman" w:cs="Times New Roman"/>
                <w:color w:val="000000"/>
                <w:sz w:val="24"/>
                <w:szCs w:val="24"/>
              </w:rPr>
              <w:t>ttention allocation toward emotional stimuli</w:t>
            </w:r>
          </w:p>
        </w:tc>
      </w:tr>
    </w:tbl>
    <w:p w:rsidR="006F5083" w:rsidRDefault="006F5083"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C529FE" w:rsidRDefault="00C529FE" w:rsidP="00475FE6">
      <w:pPr>
        <w:rPr>
          <w:rFonts w:ascii="Times New Roman" w:hAnsi="Times New Roman" w:cs="Times New Roman"/>
          <w:b/>
          <w:bCs/>
          <w:sz w:val="24"/>
          <w:szCs w:val="24"/>
          <w:highlight w:val="yellow"/>
        </w:rPr>
      </w:pPr>
    </w:p>
    <w:p w:rsidR="00044B1A" w:rsidRDefault="00044B1A" w:rsidP="00475FE6">
      <w:pPr>
        <w:rPr>
          <w:rFonts w:ascii="Times New Roman" w:hAnsi="Times New Roman" w:cs="Times New Roman"/>
          <w:b/>
          <w:bCs/>
          <w:sz w:val="24"/>
          <w:szCs w:val="24"/>
          <w:highlight w:val="yellow"/>
        </w:rPr>
      </w:pPr>
    </w:p>
    <w:p w:rsidR="00044B1A" w:rsidRDefault="00044B1A" w:rsidP="00475FE6">
      <w:pPr>
        <w:rPr>
          <w:rFonts w:ascii="Times New Roman" w:hAnsi="Times New Roman" w:cs="Times New Roman"/>
          <w:b/>
          <w:bCs/>
          <w:sz w:val="24"/>
          <w:szCs w:val="24"/>
          <w:highlight w:val="yellow"/>
        </w:rPr>
      </w:pPr>
    </w:p>
    <w:p w:rsidR="00044B1A" w:rsidRDefault="00044B1A" w:rsidP="00475FE6">
      <w:pPr>
        <w:rPr>
          <w:rFonts w:ascii="Times New Roman" w:hAnsi="Times New Roman" w:cs="Times New Roman"/>
          <w:b/>
          <w:bCs/>
          <w:sz w:val="24"/>
          <w:szCs w:val="24"/>
          <w:highlight w:val="yellow"/>
        </w:rPr>
      </w:pPr>
    </w:p>
    <w:p w:rsidR="006F5083" w:rsidRDefault="006F5083" w:rsidP="00475FE6">
      <w:pPr>
        <w:rPr>
          <w:rFonts w:ascii="Times New Roman" w:hAnsi="Times New Roman" w:cs="Times New Roman"/>
          <w:b/>
          <w:bCs/>
          <w:sz w:val="24"/>
          <w:szCs w:val="24"/>
          <w:highlight w:val="yellow"/>
        </w:rPr>
      </w:pPr>
    </w:p>
    <w:p w:rsidR="00475FE6" w:rsidRPr="00821378" w:rsidRDefault="00475FE6" w:rsidP="00475FE6">
      <w:pPr>
        <w:rPr>
          <w:rFonts w:ascii="Times New Roman" w:hAnsi="Times New Roman" w:cs="Times New Roman"/>
          <w:b/>
          <w:sz w:val="24"/>
          <w:szCs w:val="24"/>
        </w:rPr>
      </w:pPr>
      <w:r w:rsidRPr="00C529FE">
        <w:rPr>
          <w:rFonts w:ascii="Times New Roman" w:hAnsi="Times New Roman" w:cs="Times New Roman"/>
          <w:b/>
          <w:bCs/>
          <w:sz w:val="24"/>
          <w:szCs w:val="24"/>
        </w:rPr>
        <w:t>Table S</w:t>
      </w:r>
      <w:r w:rsidR="00396556" w:rsidRPr="00C529FE">
        <w:rPr>
          <w:rFonts w:ascii="Times New Roman" w:hAnsi="Times New Roman" w:cs="Times New Roman"/>
          <w:b/>
          <w:bCs/>
          <w:sz w:val="24"/>
          <w:szCs w:val="24"/>
        </w:rPr>
        <w:t xml:space="preserve">2. </w:t>
      </w:r>
      <w:r w:rsidRPr="00C529FE">
        <w:rPr>
          <w:rFonts w:ascii="Times New Roman" w:hAnsi="Times New Roman" w:cs="Times New Roman"/>
          <w:b/>
          <w:sz w:val="24"/>
          <w:szCs w:val="24"/>
        </w:rPr>
        <w:t xml:space="preserve"> </w:t>
      </w:r>
      <w:r w:rsidRPr="00C529FE">
        <w:rPr>
          <w:rFonts w:ascii="Times New Roman" w:hAnsi="Times New Roman" w:cs="Times New Roman"/>
          <w:bCs/>
          <w:sz w:val="24"/>
          <w:szCs w:val="24"/>
        </w:rPr>
        <w:t>Established neurocognitive tests (BIO-study) and matched SCIP subtests (NEAD-study) that make up calculated composite neurocognitive domains</w:t>
      </w:r>
    </w:p>
    <w:tbl>
      <w:tblPr>
        <w:tblStyle w:val="TableGrid"/>
        <w:tblW w:w="0" w:type="auto"/>
        <w:tblLook w:val="04A0" w:firstRow="1" w:lastRow="0" w:firstColumn="1" w:lastColumn="0" w:noHBand="0" w:noVBand="1"/>
      </w:tblPr>
      <w:tblGrid>
        <w:gridCol w:w="3320"/>
        <w:gridCol w:w="3321"/>
        <w:gridCol w:w="3321"/>
      </w:tblGrid>
      <w:tr w:rsidR="00475FE6" w:rsidRPr="00333E18" w:rsidTr="00FA027B">
        <w:tc>
          <w:tcPr>
            <w:tcW w:w="3320"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Composite domain</w:t>
            </w:r>
          </w:p>
        </w:tc>
        <w:tc>
          <w:tcPr>
            <w:tcW w:w="3321"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BIO-study</w:t>
            </w:r>
          </w:p>
        </w:tc>
        <w:tc>
          <w:tcPr>
            <w:tcW w:w="3321"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NEAD-study</w:t>
            </w:r>
          </w:p>
        </w:tc>
      </w:tr>
      <w:tr w:rsidR="00475FE6" w:rsidRPr="00333E18" w:rsidTr="00FA027B">
        <w:tc>
          <w:tcPr>
            <w:tcW w:w="3320"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Attention and psychomotor speed</w:t>
            </w:r>
          </w:p>
        </w:tc>
        <w:tc>
          <w:tcPr>
            <w:tcW w:w="3321"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TMT-A, RBANS digit-symbol coding, RBANS digit-span-forward, RVP accuracy and mean latency</w:t>
            </w:r>
          </w:p>
        </w:tc>
        <w:tc>
          <w:tcPr>
            <w:tcW w:w="3321"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 xml:space="preserve">TMT-A, </w:t>
            </w:r>
            <w:r>
              <w:rPr>
                <w:rFonts w:ascii="Times New Roman" w:hAnsi="Times New Roman" w:cs="Times New Roman"/>
                <w:sz w:val="24"/>
                <w:szCs w:val="24"/>
              </w:rPr>
              <w:t>SCIP PST</w:t>
            </w:r>
          </w:p>
        </w:tc>
      </w:tr>
      <w:tr w:rsidR="00475FE6" w:rsidRPr="00AE0886" w:rsidTr="00FA027B">
        <w:tc>
          <w:tcPr>
            <w:tcW w:w="3320"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Verbal learning</w:t>
            </w:r>
          </w:p>
        </w:tc>
        <w:tc>
          <w:tcPr>
            <w:tcW w:w="3321"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RAVLT trial I-V correct, trial VI correct, delayed recall, recognition</w:t>
            </w:r>
          </w:p>
        </w:tc>
        <w:tc>
          <w:tcPr>
            <w:tcW w:w="3321" w:type="dxa"/>
          </w:tcPr>
          <w:p w:rsidR="00475FE6" w:rsidRPr="0027382E" w:rsidRDefault="00475FE6" w:rsidP="00FA027B">
            <w:pPr>
              <w:rPr>
                <w:rFonts w:ascii="Times New Roman" w:hAnsi="Times New Roman" w:cs="Times New Roman"/>
                <w:sz w:val="24"/>
                <w:szCs w:val="24"/>
              </w:rPr>
            </w:pPr>
            <w:r w:rsidRPr="0027382E">
              <w:rPr>
                <w:rFonts w:ascii="Times New Roman" w:hAnsi="Times New Roman" w:cs="Times New Roman"/>
                <w:sz w:val="24"/>
                <w:szCs w:val="24"/>
              </w:rPr>
              <w:t>SCIP VLT-I, SCIP VLT-D</w:t>
            </w:r>
          </w:p>
        </w:tc>
      </w:tr>
      <w:tr w:rsidR="00475FE6" w:rsidRPr="00333E18" w:rsidTr="00FA027B">
        <w:tc>
          <w:tcPr>
            <w:tcW w:w="3320"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Working memory and executive function</w:t>
            </w:r>
          </w:p>
        </w:tc>
        <w:tc>
          <w:tcPr>
            <w:tcW w:w="3321"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TMT-B, WAIS letter-number sequencing, SWM between errors and strategy</w:t>
            </w:r>
          </w:p>
        </w:tc>
        <w:tc>
          <w:tcPr>
            <w:tcW w:w="3321" w:type="dxa"/>
          </w:tcPr>
          <w:p w:rsidR="00475FE6" w:rsidRPr="00333E18" w:rsidRDefault="00475FE6" w:rsidP="00FA027B">
            <w:pPr>
              <w:rPr>
                <w:rFonts w:ascii="Times New Roman" w:hAnsi="Times New Roman" w:cs="Times New Roman"/>
                <w:sz w:val="24"/>
                <w:szCs w:val="24"/>
              </w:rPr>
            </w:pPr>
            <w:r>
              <w:rPr>
                <w:rFonts w:ascii="Times New Roman" w:hAnsi="Times New Roman" w:cs="Times New Roman"/>
                <w:sz w:val="24"/>
                <w:szCs w:val="24"/>
              </w:rPr>
              <w:t>TMT-B, SCIP WMT</w:t>
            </w:r>
          </w:p>
        </w:tc>
      </w:tr>
      <w:tr w:rsidR="00475FE6" w:rsidRPr="00333E18" w:rsidTr="00FA027B">
        <w:tc>
          <w:tcPr>
            <w:tcW w:w="3320"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Verbal fluency</w:t>
            </w:r>
          </w:p>
        </w:tc>
        <w:tc>
          <w:tcPr>
            <w:tcW w:w="3321" w:type="dxa"/>
          </w:tcPr>
          <w:p w:rsidR="00475FE6" w:rsidRPr="00333E18" w:rsidRDefault="00475FE6" w:rsidP="00FA027B">
            <w:pPr>
              <w:rPr>
                <w:rFonts w:ascii="Times New Roman" w:hAnsi="Times New Roman" w:cs="Times New Roman"/>
                <w:sz w:val="24"/>
                <w:szCs w:val="24"/>
              </w:rPr>
            </w:pPr>
            <w:r w:rsidRPr="00333E18">
              <w:rPr>
                <w:rFonts w:ascii="Times New Roman" w:hAnsi="Times New Roman" w:cs="Times New Roman"/>
                <w:sz w:val="24"/>
                <w:szCs w:val="24"/>
              </w:rPr>
              <w:t>Verbal fluency S and D</w:t>
            </w:r>
          </w:p>
        </w:tc>
        <w:tc>
          <w:tcPr>
            <w:tcW w:w="3321" w:type="dxa"/>
          </w:tcPr>
          <w:p w:rsidR="00475FE6" w:rsidRPr="00333E18" w:rsidRDefault="00475FE6" w:rsidP="00FA027B">
            <w:pPr>
              <w:rPr>
                <w:rFonts w:ascii="Times New Roman" w:hAnsi="Times New Roman" w:cs="Times New Roman"/>
                <w:sz w:val="24"/>
                <w:szCs w:val="24"/>
              </w:rPr>
            </w:pPr>
            <w:r>
              <w:rPr>
                <w:rFonts w:ascii="Times New Roman" w:hAnsi="Times New Roman" w:cs="Times New Roman"/>
                <w:sz w:val="24"/>
                <w:szCs w:val="24"/>
              </w:rPr>
              <w:t>SCIP VLF</w:t>
            </w:r>
          </w:p>
        </w:tc>
      </w:tr>
    </w:tbl>
    <w:p w:rsidR="00475FE6" w:rsidRPr="00AE0886" w:rsidRDefault="00475FE6" w:rsidP="008129BF">
      <w:pPr>
        <w:spacing w:before="120" w:line="360" w:lineRule="auto"/>
        <w:rPr>
          <w:rFonts w:ascii="Times New Roman" w:hAnsi="Times New Roman" w:cs="Times New Roman"/>
          <w:sz w:val="16"/>
          <w:szCs w:val="16"/>
        </w:rPr>
      </w:pPr>
      <w:r w:rsidRPr="00AE0886">
        <w:rPr>
          <w:rFonts w:ascii="Times New Roman" w:hAnsi="Times New Roman" w:cs="Times New Roman"/>
          <w:sz w:val="16"/>
          <w:szCs w:val="16"/>
        </w:rPr>
        <w:t xml:space="preserve">Abbreviations: TMT-A = Trail Making Test part A; RBANS = Repeatable Battery for the Assessment of Neuropsychological Status; RVP = Rapid Visual Processing (CANTAB); RAVLT = Rey Auditory Verbal Learning Test; TMT-B = Trail Making Test part B; WAIS = Weschler’s Adult Intelligence Scale; SWM = Spatial Working Memory (CANTAB), SCIP = Screen for Cognitive Impairment in Psychiatry, PST = Processing Speed Test; VLT-I = Verbal Learning Test - Immediate; VLT-D = Verbal Learning Test - Delayed, WMT = Working Memory Test; VLF = Verbal Fluency Test.  </w:t>
      </w:r>
    </w:p>
    <w:p w:rsidR="00475FE6" w:rsidRDefault="00475FE6">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C529FE" w:rsidRDefault="00C529FE">
      <w:pPr>
        <w:rPr>
          <w:rFonts w:ascii="Times New Roman" w:hAnsi="Times New Roman" w:cs="Times New Roman"/>
          <w:sz w:val="24"/>
          <w:szCs w:val="24"/>
        </w:rPr>
      </w:pPr>
    </w:p>
    <w:p w:rsidR="00821378" w:rsidRPr="00821378" w:rsidRDefault="00821378" w:rsidP="00821378">
      <w:pPr>
        <w:rPr>
          <w:rFonts w:ascii="Times New Roman" w:hAnsi="Times New Roman" w:cs="Times New Roman"/>
          <w:b/>
          <w:color w:val="000000"/>
          <w:sz w:val="24"/>
          <w:szCs w:val="24"/>
        </w:rPr>
      </w:pPr>
      <w:r w:rsidRPr="00C529FE">
        <w:rPr>
          <w:rFonts w:ascii="Times New Roman" w:hAnsi="Times New Roman" w:cs="Times New Roman"/>
          <w:b/>
          <w:bCs/>
          <w:sz w:val="24"/>
          <w:szCs w:val="24"/>
        </w:rPr>
        <w:t xml:space="preserve">Table S3.  </w:t>
      </w:r>
      <w:r w:rsidRPr="00C529FE">
        <w:rPr>
          <w:rFonts w:ascii="Times New Roman" w:hAnsi="Times New Roman" w:cs="Times New Roman"/>
          <w:bCs/>
          <w:color w:val="000000"/>
          <w:sz w:val="24"/>
          <w:szCs w:val="24"/>
        </w:rPr>
        <w:t>Measure of functioning</w:t>
      </w:r>
    </w:p>
    <w:p w:rsidR="00475FE6" w:rsidRDefault="00475FE6">
      <w:pPr>
        <w:rPr>
          <w:rFonts w:ascii="Times New Roman" w:hAnsi="Times New Roman" w:cs="Times New Roman"/>
          <w:sz w:val="24"/>
          <w:szCs w:val="24"/>
        </w:rPr>
      </w:pPr>
    </w:p>
    <w:tbl>
      <w:tblPr>
        <w:tblStyle w:val="TableGrid"/>
        <w:tblpPr w:leftFromText="141" w:rightFromText="141" w:horzAnchor="margin" w:tblpY="943"/>
        <w:tblW w:w="9464" w:type="dxa"/>
        <w:tblLook w:val="04A0" w:firstRow="1" w:lastRow="0" w:firstColumn="1" w:lastColumn="0" w:noHBand="0" w:noVBand="1"/>
      </w:tblPr>
      <w:tblGrid>
        <w:gridCol w:w="2419"/>
        <w:gridCol w:w="1942"/>
        <w:gridCol w:w="5103"/>
      </w:tblGrid>
      <w:tr w:rsidR="00161FC9" w:rsidRPr="00333E18" w:rsidTr="00821378">
        <w:tc>
          <w:tcPr>
            <w:tcW w:w="2419" w:type="dxa"/>
          </w:tcPr>
          <w:p w:rsidR="00161FC9" w:rsidRDefault="00161FC9" w:rsidP="00821378">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Name</w:t>
            </w:r>
          </w:p>
        </w:tc>
        <w:tc>
          <w:tcPr>
            <w:tcW w:w="1942" w:type="dxa"/>
          </w:tcPr>
          <w:p w:rsidR="00161FC9" w:rsidRDefault="00161FC9" w:rsidP="00821378">
            <w:pPr>
              <w:jc w:val="center"/>
              <w:rPr>
                <w:rFonts w:ascii="Times New Roman" w:eastAsia="Times New Roman" w:hAnsi="Times New Roman" w:cs="Times New Roman"/>
                <w:i/>
                <w:iCs/>
                <w:sz w:val="24"/>
                <w:szCs w:val="24"/>
              </w:rPr>
            </w:pPr>
            <w:r w:rsidRPr="0097663B">
              <w:rPr>
                <w:rFonts w:ascii="Times New Roman" w:eastAsia="Times New Roman" w:hAnsi="Times New Roman" w:cs="Times New Roman"/>
                <w:i/>
                <w:iCs/>
                <w:sz w:val="24"/>
                <w:szCs w:val="24"/>
              </w:rPr>
              <w:t>Abbreviation</w:t>
            </w:r>
          </w:p>
        </w:tc>
        <w:tc>
          <w:tcPr>
            <w:tcW w:w="5103" w:type="dxa"/>
          </w:tcPr>
          <w:p w:rsidR="00161FC9" w:rsidRDefault="00161FC9" w:rsidP="00821378">
            <w:pPr>
              <w:jc w:val="center"/>
              <w:rPr>
                <w:rFonts w:ascii="Times New Roman" w:eastAsia="Times New Roman" w:hAnsi="Times New Roman" w:cs="Times New Roman"/>
                <w:i/>
                <w:iCs/>
                <w:sz w:val="24"/>
                <w:szCs w:val="24"/>
              </w:rPr>
            </w:pPr>
            <w:r w:rsidRPr="0097663B">
              <w:rPr>
                <w:rFonts w:ascii="Times New Roman" w:eastAsia="Times New Roman" w:hAnsi="Times New Roman" w:cs="Times New Roman"/>
                <w:i/>
                <w:iCs/>
                <w:sz w:val="24"/>
                <w:szCs w:val="24"/>
              </w:rPr>
              <w:t>Description</w:t>
            </w:r>
          </w:p>
        </w:tc>
      </w:tr>
      <w:tr w:rsidR="00161FC9" w:rsidRPr="00333E18" w:rsidTr="00821378">
        <w:tc>
          <w:tcPr>
            <w:tcW w:w="2419" w:type="dxa"/>
            <w:vMerge w:val="restart"/>
            <w:vAlign w:val="center"/>
          </w:tcPr>
          <w:p w:rsidR="00161FC9" w:rsidRDefault="00161FC9" w:rsidP="00821378">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w:t>
            </w:r>
            <w:r w:rsidRPr="00A23E7A">
              <w:rPr>
                <w:rFonts w:ascii="Times New Roman" w:eastAsia="Times New Roman" w:hAnsi="Times New Roman" w:cs="Times New Roman"/>
                <w:i/>
                <w:iCs/>
                <w:sz w:val="24"/>
                <w:szCs w:val="24"/>
              </w:rPr>
              <w:t>unctioning Assessment Short Test</w:t>
            </w:r>
          </w:p>
          <w:p w:rsidR="00821378" w:rsidRDefault="00821378" w:rsidP="00821378">
            <w:pPr>
              <w:jc w:val="center"/>
              <w:rPr>
                <w:rFonts w:ascii="Times New Roman" w:eastAsia="Times New Roman" w:hAnsi="Times New Roman" w:cs="Times New Roman"/>
                <w:i/>
                <w:iCs/>
                <w:sz w:val="24"/>
                <w:szCs w:val="24"/>
              </w:rPr>
            </w:pPr>
            <w:r w:rsidRPr="002233D6">
              <w:rPr>
                <w:rFonts w:ascii="Times New Roman" w:hAnsi="Times New Roman" w:cs="Times New Roman"/>
                <w:sz w:val="24"/>
                <w:szCs w:val="24"/>
              </w:rPr>
              <w:fldChar w:fldCharType="begin" w:fldLock="1"/>
            </w:r>
            <w:r w:rsidRPr="002233D6">
              <w:rPr>
                <w:rFonts w:ascii="Times New Roman" w:hAnsi="Times New Roman" w:cs="Times New Roman"/>
                <w:sz w:val="24"/>
                <w:szCs w:val="24"/>
              </w:rPr>
              <w:instrText>ADDIN CSL_CITATION {"citationItems":[{"id":"ITEM-1","itemData":{"DOI":"10.1186/1745-0179-3-5","ISSN":"1745-0179","PMID":"17555558","abstract":"BACKGROUND Numerous studies have documented high rates of functional impairment among bipolar disorder (BD) patients, even during phases of remission. However, the majority of the available instruments used to assess functioning have focused on global measures of functional recovery rather than specific domains of psychosocial functioning. In this context, the Functioning Assessment Short Test (FAST) is a brief instrument designed to assess the main functioning problems experienced by psychiatric patients, particularly bipolar patients. It comprises 24 items that assess impairment or disability in six specific areas of functioning: autonomy, occupational functioning, cognitive functioning, financial issues, interpersonal relationships and leisure time. METHODS 101 patients with DSM-IV TR bipolar disorder and 61 healthy controls were assessed in the Bipolar Disorder Program, Hospital Clinic of Barcelona. The psychometric properties of FAST (feasibility, internal consistency, concurrent validity, discriminant validity (euthymic vs acute patients), factorial analyses, and test-retest reliability) were analysed. RESULTS The internal consistency obtained was very high with a Cronbach's alpha of 0.909. A highly significant negative correlation with GAF was obtained (r = -0.903; p &lt; 0.001) pointing to a reasonable degree of concurrent validity. Test-retest reliability analysis showed a strong correlation between the two measures carried out one week apart (ICC = 0.98; p &lt; 0.001). The total FAST scores were lower in euthymic (18.55 +/- 13.19; F = 35.43; p &lt; 0.001) patients, as compared with manic (40.44 +/- 9.15) and depressive patients (43.21 +/- 13.34). CONCLUSION The FAST showed strong psychometrics properties and was able to detect differences between euthymic and acute BD patients. In addition, it is a short (6 minutes) simple interview-administered instrument, which is easy to apply and requires only a short period of time for its application.","author":[{"dropping-particle":"","family":"Rosa","given":"Adriane R","non-dropping-particle":"","parse-names":false,"suffix":""},{"dropping-particle":"","family":"Sánchez-Moreno","given":"Jose","non-dropping-particle":"","parse-names":false,"suffix":""},{"dropping-particle":"","family":"Martínez-Aran","given":"Anabel","non-dropping-particle":"","parse-names":false,"suffix":""},{"dropping-particle":"","family":"Salamero","given":"Manel","non-dropping-particle":"","parse-names":false,"suffix":""},{"dropping-particle":"","family":"Torrent","given":"Carla","non-dropping-particle":"","parse-names":false,"suffix":""},{"dropping-particle":"","family":"Reinares","given":"Maria","non-dropping-particle":"","parse-names":false,"suffix":""},{"dropping-particle":"","family":"Comes","given":"Mercè","non-dropping-particle":"","parse-names":false,"suffix":""},{"dropping-particle":"","family":"Colom","given":"Francesc","non-dropping-particle":"","parse-names":false,"suffix":""},{"dropping-particle":"","family":"Riel","given":"Willemijn","non-dropping-particle":"Van","parse-names":false,"suffix":""},{"dropping-particle":"","family":"Ayuso-Mateos","given":"Jose Luis","non-dropping-particle":"","parse-names":false,"suffix":""},{"dropping-particle":"","family":"Kapczinski","given":"Flávio","non-dropping-particle":"","parse-names":false,"suffix":""},{"dropping-particle":"","family":"Vieta","given":"Eduard","non-dropping-particle":"","parse-names":false,"suffix":""}],"container-title":"Clinical practice and epidemiology in mental health : CP &amp; EMH","id":"ITEM-1","issued":{"date-parts":[["2007","6","7"]]},"page":"5","title":"Validity and reliability of the Functioning Assessment Short Test (FAST) in bipolar disorder.","type":"article-journal","volume":"3"},"uris":["http://www.mendeley.com/documents/?uuid=ca7c3359-1072-3a3c-a30b-f0d15e2befe6"]}],"mendeley":{"formattedCitation":"(Rosa et al., 2007)","plainTextFormattedCitation":"(Rosa et al., 2007)","previouslyFormattedCitation":"(Rosa et al., 2007)"},"properties":{"noteIndex":0},"schema":"https://github.com/citation-style-language/schema/raw/master/csl-citation.json"}</w:instrText>
            </w:r>
            <w:r w:rsidRPr="002233D6">
              <w:rPr>
                <w:rFonts w:ascii="Times New Roman" w:hAnsi="Times New Roman" w:cs="Times New Roman"/>
                <w:sz w:val="24"/>
                <w:szCs w:val="24"/>
              </w:rPr>
              <w:fldChar w:fldCharType="separate"/>
            </w:r>
            <w:r w:rsidRPr="002233D6">
              <w:rPr>
                <w:rFonts w:ascii="Times New Roman" w:hAnsi="Times New Roman" w:cs="Times New Roman"/>
                <w:noProof/>
                <w:sz w:val="24"/>
                <w:szCs w:val="24"/>
              </w:rPr>
              <w:t>(Rosa et al., 2007)</w:t>
            </w:r>
            <w:r w:rsidRPr="002233D6">
              <w:rPr>
                <w:rFonts w:ascii="Times New Roman" w:hAnsi="Times New Roman" w:cs="Times New Roman"/>
                <w:sz w:val="24"/>
                <w:szCs w:val="24"/>
              </w:rPr>
              <w:fldChar w:fldCharType="end"/>
            </w:r>
          </w:p>
        </w:tc>
        <w:tc>
          <w:tcPr>
            <w:tcW w:w="1942" w:type="dxa"/>
            <w:vMerge w:val="restart"/>
            <w:vAlign w:val="center"/>
          </w:tcPr>
          <w:p w:rsidR="00161FC9" w:rsidRPr="0097663B" w:rsidRDefault="00161FC9" w:rsidP="00821378">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FAST</w:t>
            </w:r>
          </w:p>
        </w:tc>
        <w:tc>
          <w:tcPr>
            <w:tcW w:w="5103" w:type="dxa"/>
            <w:tcBorders>
              <w:bottom w:val="single" w:sz="4" w:space="0" w:color="auto"/>
            </w:tcBorders>
          </w:tcPr>
          <w:p w:rsidR="00161FC9" w:rsidRPr="00333E18" w:rsidRDefault="00161FC9" w:rsidP="00821378">
            <w:pPr>
              <w:jc w:val="center"/>
              <w:rPr>
                <w:rFonts w:ascii="Times New Roman" w:hAnsi="Times New Roman" w:cs="Times New Roman"/>
                <w:sz w:val="24"/>
                <w:szCs w:val="24"/>
              </w:rPr>
            </w:pPr>
            <w:r>
              <w:rPr>
                <w:rFonts w:ascii="Times New Roman" w:eastAsia="Times New Roman" w:hAnsi="Times New Roman" w:cs="Times New Roman"/>
                <w:i/>
                <w:iCs/>
                <w:sz w:val="24"/>
                <w:szCs w:val="24"/>
              </w:rPr>
              <w:t>Domains</w:t>
            </w:r>
          </w:p>
        </w:tc>
      </w:tr>
      <w:tr w:rsidR="00161FC9" w:rsidRPr="00333E18" w:rsidTr="00821378">
        <w:trPr>
          <w:trHeight w:val="236"/>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jc w:val="center"/>
              <w:rPr>
                <w:rFonts w:ascii="Times New Roman" w:hAnsi="Times New Roman" w:cs="Times New Roman"/>
                <w:sz w:val="24"/>
                <w:szCs w:val="24"/>
              </w:rPr>
            </w:pPr>
          </w:p>
        </w:tc>
        <w:tc>
          <w:tcPr>
            <w:tcW w:w="5103" w:type="dxa"/>
            <w:tcBorders>
              <w:bottom w:val="nil"/>
            </w:tcBorders>
          </w:tcPr>
          <w:p w:rsidR="00161FC9" w:rsidRDefault="00161FC9" w:rsidP="00821378">
            <w:pPr>
              <w:jc w:val="center"/>
              <w:rPr>
                <w:rFonts w:ascii="Times New Roman" w:hAnsi="Times New Roman" w:cs="Times New Roman"/>
                <w:i/>
                <w:color w:val="000000"/>
                <w:sz w:val="24"/>
                <w:szCs w:val="24"/>
              </w:rPr>
            </w:pPr>
            <w:r w:rsidRPr="00844BA8">
              <w:rPr>
                <w:rFonts w:ascii="Times New Roman" w:hAnsi="Times New Roman" w:cs="Times New Roman"/>
                <w:i/>
                <w:color w:val="000000"/>
                <w:sz w:val="24"/>
                <w:szCs w:val="24"/>
              </w:rPr>
              <w:t>Autonomy</w:t>
            </w:r>
          </w:p>
          <w:p w:rsidR="00844BA8" w:rsidRPr="00844BA8" w:rsidRDefault="00844BA8" w:rsidP="00821378">
            <w:pPr>
              <w:jc w:val="center"/>
              <w:rPr>
                <w:rFonts w:ascii="Times New Roman" w:hAnsi="Times New Roman" w:cs="Times New Roman"/>
                <w:i/>
                <w:sz w:val="24"/>
                <w:szCs w:val="24"/>
              </w:rPr>
            </w:pPr>
          </w:p>
        </w:tc>
      </w:tr>
      <w:tr w:rsidR="00161FC9" w:rsidRPr="00333E18" w:rsidTr="00821378">
        <w:trPr>
          <w:trHeight w:val="459"/>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jc w:val="center"/>
              <w:rPr>
                <w:rFonts w:ascii="Times New Roman" w:hAnsi="Times New Roman" w:cs="Times New Roman"/>
                <w:sz w:val="24"/>
                <w:szCs w:val="24"/>
              </w:rPr>
            </w:pPr>
          </w:p>
        </w:tc>
        <w:tc>
          <w:tcPr>
            <w:tcW w:w="5103" w:type="dxa"/>
            <w:tcBorders>
              <w:top w:val="nil"/>
              <w:bottom w:val="single" w:sz="4" w:space="0" w:color="auto"/>
            </w:tcBorders>
          </w:tcPr>
          <w:p w:rsidR="00161FC9" w:rsidRPr="006F5083" w:rsidRDefault="00161FC9" w:rsidP="00821378">
            <w:pPr>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r w:rsidRPr="006F5083">
              <w:rPr>
                <w:rFonts w:ascii="Times New Roman" w:hAnsi="Times New Roman" w:cs="Times New Roman"/>
                <w:color w:val="000000"/>
                <w:sz w:val="24"/>
                <w:szCs w:val="24"/>
              </w:rPr>
              <w:t>apacity of the patient of doing</w:t>
            </w:r>
            <w:r>
              <w:rPr>
                <w:rFonts w:ascii="Times New Roman" w:hAnsi="Times New Roman" w:cs="Times New Roman"/>
                <w:color w:val="000000"/>
                <w:sz w:val="24"/>
                <w:szCs w:val="24"/>
              </w:rPr>
              <w:t xml:space="preserve"> </w:t>
            </w:r>
            <w:r w:rsidRPr="006F5083">
              <w:rPr>
                <w:rFonts w:ascii="Times New Roman" w:hAnsi="Times New Roman" w:cs="Times New Roman"/>
                <w:color w:val="000000"/>
                <w:sz w:val="24"/>
                <w:szCs w:val="24"/>
              </w:rPr>
              <w:t>things alone and take his/her own decisions</w:t>
            </w:r>
          </w:p>
        </w:tc>
      </w:tr>
      <w:tr w:rsidR="00161FC9" w:rsidRPr="00333E18" w:rsidTr="00821378">
        <w:trPr>
          <w:trHeight w:val="393"/>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bottom w:val="nil"/>
            </w:tcBorders>
          </w:tcPr>
          <w:p w:rsidR="00161FC9" w:rsidRPr="00844BA8" w:rsidRDefault="00161FC9" w:rsidP="00821378">
            <w:pPr>
              <w:jc w:val="center"/>
              <w:rPr>
                <w:rFonts w:ascii="Times New Roman" w:hAnsi="Times New Roman" w:cs="Times New Roman"/>
                <w:i/>
                <w:sz w:val="24"/>
                <w:szCs w:val="24"/>
              </w:rPr>
            </w:pPr>
            <w:r w:rsidRPr="00844BA8">
              <w:rPr>
                <w:rFonts w:ascii="Times New Roman" w:hAnsi="Times New Roman" w:cs="Times New Roman"/>
                <w:i/>
                <w:color w:val="000000"/>
                <w:sz w:val="24"/>
                <w:szCs w:val="24"/>
              </w:rPr>
              <w:t>Occupational  functioning</w:t>
            </w:r>
          </w:p>
        </w:tc>
      </w:tr>
      <w:tr w:rsidR="00161FC9" w:rsidRPr="00333E18" w:rsidTr="00821378">
        <w:trPr>
          <w:trHeight w:val="683"/>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top w:val="nil"/>
              <w:bottom w:val="single" w:sz="4" w:space="0" w:color="auto"/>
            </w:tcBorders>
          </w:tcPr>
          <w:p w:rsidR="00161FC9" w:rsidRPr="0027382E" w:rsidRDefault="00161FC9" w:rsidP="00821378">
            <w:pPr>
              <w:jc w:val="center"/>
              <w:rPr>
                <w:rFonts w:ascii="Times New Roman" w:hAnsi="Times New Roman" w:cs="Times New Roman"/>
                <w:sz w:val="24"/>
                <w:szCs w:val="24"/>
              </w:rPr>
            </w:pPr>
            <w:r>
              <w:rPr>
                <w:rFonts w:ascii="Times New Roman" w:hAnsi="Times New Roman" w:cs="Times New Roman"/>
                <w:color w:val="000000"/>
                <w:sz w:val="24"/>
                <w:szCs w:val="24"/>
              </w:rPr>
              <w:t>C</w:t>
            </w:r>
            <w:r w:rsidRPr="006F5083">
              <w:rPr>
                <w:rFonts w:ascii="Times New Roman" w:hAnsi="Times New Roman" w:cs="Times New Roman"/>
                <w:color w:val="000000"/>
                <w:sz w:val="24"/>
                <w:szCs w:val="24"/>
              </w:rPr>
              <w:t>apacity  to</w:t>
            </w:r>
            <w:r>
              <w:rPr>
                <w:rFonts w:ascii="Times New Roman" w:hAnsi="Times New Roman" w:cs="Times New Roman"/>
                <w:color w:val="000000"/>
                <w:sz w:val="24"/>
                <w:szCs w:val="24"/>
              </w:rPr>
              <w:t xml:space="preserve"> </w:t>
            </w:r>
            <w:r w:rsidRPr="006F5083">
              <w:rPr>
                <w:rFonts w:ascii="Times New Roman" w:hAnsi="Times New Roman" w:cs="Times New Roman"/>
                <w:color w:val="000000"/>
                <w:sz w:val="24"/>
                <w:szCs w:val="24"/>
              </w:rPr>
              <w:t>maintain  a  paid  job,  efficiency  of  performing  tasks  at</w:t>
            </w:r>
            <w:r>
              <w:rPr>
                <w:rFonts w:ascii="Times New Roman" w:hAnsi="Times New Roman" w:cs="Times New Roman"/>
                <w:color w:val="000000"/>
                <w:sz w:val="24"/>
                <w:szCs w:val="24"/>
              </w:rPr>
              <w:t xml:space="preserve"> </w:t>
            </w:r>
            <w:r w:rsidRPr="006F5083">
              <w:rPr>
                <w:rFonts w:ascii="Times New Roman" w:hAnsi="Times New Roman" w:cs="Times New Roman"/>
                <w:color w:val="000000"/>
                <w:sz w:val="24"/>
                <w:szCs w:val="24"/>
              </w:rPr>
              <w:t xml:space="preserve">work, working in the field in which the </w:t>
            </w:r>
            <w:r>
              <w:rPr>
                <w:rFonts w:ascii="Times New Roman" w:hAnsi="Times New Roman" w:cs="Times New Roman"/>
                <w:color w:val="000000"/>
                <w:sz w:val="24"/>
                <w:szCs w:val="24"/>
              </w:rPr>
              <w:t>patient was edu</w:t>
            </w:r>
            <w:r w:rsidRPr="006F5083">
              <w:rPr>
                <w:rFonts w:ascii="Times New Roman" w:hAnsi="Times New Roman" w:cs="Times New Roman"/>
                <w:color w:val="000000"/>
                <w:sz w:val="24"/>
                <w:szCs w:val="24"/>
              </w:rPr>
              <w:t xml:space="preserve">cated  and  earning  according  </w:t>
            </w:r>
            <w:r>
              <w:rPr>
                <w:rFonts w:ascii="Times New Roman" w:hAnsi="Times New Roman" w:cs="Times New Roman"/>
                <w:color w:val="000000"/>
                <w:sz w:val="24"/>
                <w:szCs w:val="24"/>
              </w:rPr>
              <w:t>to  the  level  of  the  employ</w:t>
            </w:r>
            <w:r w:rsidRPr="006F5083">
              <w:rPr>
                <w:rFonts w:ascii="Times New Roman" w:hAnsi="Times New Roman" w:cs="Times New Roman"/>
                <w:color w:val="000000"/>
                <w:sz w:val="24"/>
                <w:szCs w:val="24"/>
              </w:rPr>
              <w:t>ment position</w:t>
            </w:r>
          </w:p>
        </w:tc>
      </w:tr>
      <w:tr w:rsidR="00161FC9" w:rsidRPr="006F5083" w:rsidTr="00821378">
        <w:trPr>
          <w:trHeight w:val="409"/>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27382E" w:rsidRDefault="00161FC9" w:rsidP="00821378">
            <w:pPr>
              <w:rPr>
                <w:rFonts w:ascii="Times New Roman" w:hAnsi="Times New Roman" w:cs="Times New Roman"/>
                <w:sz w:val="24"/>
                <w:szCs w:val="24"/>
              </w:rPr>
            </w:pPr>
          </w:p>
        </w:tc>
        <w:tc>
          <w:tcPr>
            <w:tcW w:w="5103" w:type="dxa"/>
            <w:tcBorders>
              <w:bottom w:val="nil"/>
            </w:tcBorders>
          </w:tcPr>
          <w:p w:rsidR="00161FC9" w:rsidRPr="00844BA8" w:rsidRDefault="00161FC9" w:rsidP="00821378">
            <w:pPr>
              <w:jc w:val="center"/>
              <w:rPr>
                <w:rFonts w:ascii="Times New Roman" w:hAnsi="Times New Roman" w:cs="Times New Roman"/>
                <w:i/>
                <w:sz w:val="24"/>
                <w:szCs w:val="24"/>
              </w:rPr>
            </w:pPr>
            <w:r w:rsidRPr="00844BA8">
              <w:rPr>
                <w:rFonts w:ascii="Times New Roman" w:hAnsi="Times New Roman" w:cs="Times New Roman"/>
                <w:i/>
                <w:color w:val="000000"/>
                <w:sz w:val="24"/>
                <w:szCs w:val="24"/>
              </w:rPr>
              <w:t>Cognitive  functioning</w:t>
            </w:r>
          </w:p>
        </w:tc>
      </w:tr>
      <w:tr w:rsidR="00161FC9" w:rsidRPr="006F5083" w:rsidTr="00821378">
        <w:trPr>
          <w:trHeight w:val="683"/>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27382E" w:rsidRDefault="00161FC9" w:rsidP="00821378">
            <w:pPr>
              <w:rPr>
                <w:rFonts w:ascii="Times New Roman" w:hAnsi="Times New Roman" w:cs="Times New Roman"/>
                <w:sz w:val="24"/>
                <w:szCs w:val="24"/>
              </w:rPr>
            </w:pPr>
          </w:p>
        </w:tc>
        <w:tc>
          <w:tcPr>
            <w:tcW w:w="5103" w:type="dxa"/>
            <w:tcBorders>
              <w:top w:val="nil"/>
              <w:bottom w:val="single" w:sz="4" w:space="0" w:color="auto"/>
            </w:tcBorders>
          </w:tcPr>
          <w:p w:rsidR="00161FC9" w:rsidRPr="00333E18" w:rsidRDefault="00161FC9" w:rsidP="00821378">
            <w:pPr>
              <w:jc w:val="center"/>
              <w:rPr>
                <w:rFonts w:ascii="Times New Roman" w:hAnsi="Times New Roman" w:cs="Times New Roman"/>
                <w:sz w:val="24"/>
                <w:szCs w:val="24"/>
              </w:rPr>
            </w:pPr>
            <w:r>
              <w:rPr>
                <w:rFonts w:ascii="Times New Roman" w:hAnsi="Times New Roman" w:cs="Times New Roman"/>
                <w:color w:val="000000"/>
                <w:sz w:val="24"/>
                <w:szCs w:val="24"/>
              </w:rPr>
              <w:t>Ability  to  con</w:t>
            </w:r>
            <w:r w:rsidRPr="006F5083">
              <w:rPr>
                <w:rFonts w:ascii="Times New Roman" w:hAnsi="Times New Roman" w:cs="Times New Roman"/>
                <w:color w:val="000000"/>
                <w:sz w:val="24"/>
                <w:szCs w:val="24"/>
              </w:rPr>
              <w:t xml:space="preserve">centrate, perform simple </w:t>
            </w:r>
            <w:r>
              <w:rPr>
                <w:rFonts w:ascii="Times New Roman" w:hAnsi="Times New Roman" w:cs="Times New Roman"/>
                <w:color w:val="000000"/>
                <w:sz w:val="24"/>
                <w:szCs w:val="24"/>
              </w:rPr>
              <w:t>mental calculations, solve prob</w:t>
            </w:r>
            <w:r w:rsidRPr="006F5083">
              <w:rPr>
                <w:rFonts w:ascii="Times New Roman" w:hAnsi="Times New Roman" w:cs="Times New Roman"/>
                <w:color w:val="000000"/>
                <w:sz w:val="24"/>
                <w:szCs w:val="24"/>
              </w:rPr>
              <w:t>lems,   learn   new   information   and   remember   learned</w:t>
            </w:r>
            <w:r>
              <w:rPr>
                <w:rFonts w:ascii="Times New Roman" w:hAnsi="Times New Roman" w:cs="Times New Roman"/>
                <w:color w:val="000000"/>
                <w:sz w:val="24"/>
                <w:szCs w:val="24"/>
              </w:rPr>
              <w:t xml:space="preserve"> </w:t>
            </w:r>
            <w:r w:rsidRPr="006F5083">
              <w:rPr>
                <w:rFonts w:ascii="Times New Roman" w:hAnsi="Times New Roman" w:cs="Times New Roman"/>
                <w:color w:val="000000"/>
                <w:sz w:val="24"/>
                <w:szCs w:val="24"/>
              </w:rPr>
              <w:t>information</w:t>
            </w:r>
          </w:p>
        </w:tc>
      </w:tr>
      <w:tr w:rsidR="00161FC9" w:rsidRPr="00333E18" w:rsidTr="00821378">
        <w:trPr>
          <w:trHeight w:val="224"/>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bottom w:val="nil"/>
            </w:tcBorders>
          </w:tcPr>
          <w:p w:rsidR="00161FC9" w:rsidRDefault="00161FC9" w:rsidP="00821378">
            <w:pPr>
              <w:jc w:val="center"/>
              <w:rPr>
                <w:rFonts w:ascii="Times New Roman" w:hAnsi="Times New Roman" w:cs="Times New Roman"/>
                <w:i/>
                <w:color w:val="000000"/>
                <w:sz w:val="24"/>
                <w:szCs w:val="24"/>
              </w:rPr>
            </w:pPr>
            <w:r w:rsidRPr="00844BA8">
              <w:rPr>
                <w:rFonts w:ascii="Times New Roman" w:hAnsi="Times New Roman" w:cs="Times New Roman"/>
                <w:i/>
                <w:color w:val="000000"/>
                <w:sz w:val="24"/>
                <w:szCs w:val="24"/>
              </w:rPr>
              <w:t>Financial  issues</w:t>
            </w:r>
          </w:p>
          <w:p w:rsidR="00844BA8" w:rsidRPr="00844BA8" w:rsidRDefault="00844BA8" w:rsidP="00821378">
            <w:pPr>
              <w:jc w:val="center"/>
              <w:rPr>
                <w:rFonts w:ascii="Times New Roman" w:hAnsi="Times New Roman" w:cs="Times New Roman"/>
                <w:i/>
                <w:sz w:val="24"/>
                <w:szCs w:val="24"/>
              </w:rPr>
            </w:pPr>
          </w:p>
        </w:tc>
      </w:tr>
      <w:tr w:rsidR="00161FC9" w:rsidRPr="00333E18" w:rsidTr="00821378">
        <w:trPr>
          <w:trHeight w:val="223"/>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top w:val="nil"/>
              <w:bottom w:val="single" w:sz="4" w:space="0" w:color="auto"/>
            </w:tcBorders>
          </w:tcPr>
          <w:p w:rsidR="00161FC9" w:rsidRPr="00333E18" w:rsidRDefault="00161FC9" w:rsidP="00821378">
            <w:pPr>
              <w:jc w:val="center"/>
              <w:rPr>
                <w:rFonts w:ascii="Times New Roman" w:hAnsi="Times New Roman" w:cs="Times New Roman"/>
                <w:sz w:val="24"/>
                <w:szCs w:val="24"/>
              </w:rPr>
            </w:pPr>
            <w:r>
              <w:rPr>
                <w:rFonts w:ascii="Times New Roman" w:hAnsi="Times New Roman" w:cs="Times New Roman"/>
                <w:color w:val="000000"/>
                <w:sz w:val="24"/>
                <w:szCs w:val="24"/>
              </w:rPr>
              <w:t>C</w:t>
            </w:r>
            <w:r w:rsidRPr="006F5083">
              <w:rPr>
                <w:rFonts w:ascii="Times New Roman" w:hAnsi="Times New Roman" w:cs="Times New Roman"/>
                <w:color w:val="000000"/>
                <w:sz w:val="24"/>
                <w:szCs w:val="24"/>
              </w:rPr>
              <w:t>apacity  of  managing  the</w:t>
            </w:r>
            <w:r>
              <w:rPr>
                <w:rFonts w:ascii="Times New Roman" w:hAnsi="Times New Roman" w:cs="Times New Roman"/>
                <w:color w:val="000000"/>
                <w:sz w:val="24"/>
                <w:szCs w:val="24"/>
              </w:rPr>
              <w:t xml:space="preserve"> </w:t>
            </w:r>
            <w:r w:rsidRPr="006F5083">
              <w:rPr>
                <w:rFonts w:ascii="Times New Roman" w:hAnsi="Times New Roman" w:cs="Times New Roman"/>
                <w:color w:val="000000"/>
                <w:sz w:val="24"/>
                <w:szCs w:val="24"/>
              </w:rPr>
              <w:t>finances and spending in a balanced way</w:t>
            </w:r>
          </w:p>
        </w:tc>
      </w:tr>
      <w:tr w:rsidR="00161FC9" w:rsidRPr="00333E18" w:rsidTr="00821378">
        <w:trPr>
          <w:trHeight w:val="473"/>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bottom w:val="nil"/>
            </w:tcBorders>
          </w:tcPr>
          <w:p w:rsidR="00161FC9" w:rsidRPr="00333E18" w:rsidRDefault="00161FC9" w:rsidP="00821378">
            <w:pPr>
              <w:jc w:val="center"/>
              <w:rPr>
                <w:rFonts w:ascii="Times New Roman" w:hAnsi="Times New Roman" w:cs="Times New Roman"/>
                <w:sz w:val="24"/>
                <w:szCs w:val="24"/>
              </w:rPr>
            </w:pPr>
            <w:r>
              <w:rPr>
                <w:rFonts w:ascii="Times New Roman" w:hAnsi="Times New Roman" w:cs="Times New Roman"/>
                <w:color w:val="000000"/>
                <w:sz w:val="24"/>
                <w:szCs w:val="24"/>
              </w:rPr>
              <w:t>I</w:t>
            </w:r>
            <w:r w:rsidRPr="006F5083">
              <w:rPr>
                <w:rFonts w:ascii="Times New Roman" w:hAnsi="Times New Roman" w:cs="Times New Roman"/>
                <w:color w:val="000000"/>
                <w:sz w:val="24"/>
                <w:szCs w:val="24"/>
              </w:rPr>
              <w:t>nterpersonal  relationships</w:t>
            </w:r>
          </w:p>
        </w:tc>
      </w:tr>
      <w:tr w:rsidR="00161FC9" w:rsidRPr="00333E18" w:rsidTr="00821378">
        <w:trPr>
          <w:trHeight w:val="683"/>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top w:val="nil"/>
              <w:bottom w:val="single" w:sz="4" w:space="0" w:color="auto"/>
            </w:tcBorders>
          </w:tcPr>
          <w:p w:rsidR="00161FC9" w:rsidRDefault="00161FC9" w:rsidP="00821378">
            <w:pPr>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r w:rsidRPr="006F5083">
              <w:rPr>
                <w:rFonts w:ascii="Times New Roman" w:hAnsi="Times New Roman" w:cs="Times New Roman"/>
                <w:color w:val="000000"/>
                <w:sz w:val="24"/>
                <w:szCs w:val="24"/>
              </w:rPr>
              <w:t>elations  with</w:t>
            </w:r>
            <w:r>
              <w:rPr>
                <w:rFonts w:ascii="Times New Roman" w:hAnsi="Times New Roman" w:cs="Times New Roman"/>
                <w:color w:val="000000"/>
                <w:sz w:val="24"/>
                <w:szCs w:val="24"/>
              </w:rPr>
              <w:t xml:space="preserve"> </w:t>
            </w:r>
            <w:r w:rsidRPr="006F5083">
              <w:rPr>
                <w:rFonts w:ascii="Times New Roman" w:hAnsi="Times New Roman" w:cs="Times New Roman"/>
                <w:color w:val="000000"/>
                <w:sz w:val="24"/>
                <w:szCs w:val="24"/>
              </w:rPr>
              <w:t>friends,  family,  involvement  in  social  activities,  sexual</w:t>
            </w:r>
            <w:r>
              <w:rPr>
                <w:rFonts w:ascii="Times New Roman" w:hAnsi="Times New Roman" w:cs="Times New Roman"/>
                <w:color w:val="000000"/>
                <w:sz w:val="24"/>
                <w:szCs w:val="24"/>
              </w:rPr>
              <w:t xml:space="preserve"> </w:t>
            </w:r>
            <w:r w:rsidRPr="006F5083">
              <w:rPr>
                <w:rFonts w:ascii="Times New Roman" w:hAnsi="Times New Roman" w:cs="Times New Roman"/>
                <w:color w:val="000000"/>
                <w:sz w:val="24"/>
                <w:szCs w:val="24"/>
              </w:rPr>
              <w:t>relations and the ability to defend ideas and opinions</w:t>
            </w:r>
          </w:p>
        </w:tc>
      </w:tr>
      <w:tr w:rsidR="00161FC9" w:rsidRPr="00333E18" w:rsidTr="00821378">
        <w:trPr>
          <w:trHeight w:val="284"/>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bottom w:val="nil"/>
            </w:tcBorders>
          </w:tcPr>
          <w:p w:rsidR="00161FC9" w:rsidRDefault="00161FC9" w:rsidP="00821378">
            <w:pPr>
              <w:jc w:val="center"/>
              <w:rPr>
                <w:rFonts w:ascii="Times New Roman" w:hAnsi="Times New Roman" w:cs="Times New Roman"/>
                <w:i/>
                <w:color w:val="000000"/>
                <w:sz w:val="24"/>
                <w:szCs w:val="24"/>
              </w:rPr>
            </w:pPr>
            <w:r w:rsidRPr="00844BA8">
              <w:rPr>
                <w:rFonts w:ascii="Times New Roman" w:hAnsi="Times New Roman" w:cs="Times New Roman"/>
                <w:i/>
                <w:color w:val="000000"/>
                <w:sz w:val="24"/>
                <w:szCs w:val="24"/>
              </w:rPr>
              <w:t>Leisure Time</w:t>
            </w:r>
          </w:p>
          <w:p w:rsidR="00844BA8" w:rsidRPr="00844BA8" w:rsidRDefault="00844BA8" w:rsidP="00821378">
            <w:pPr>
              <w:jc w:val="center"/>
              <w:rPr>
                <w:rFonts w:ascii="Times New Roman" w:hAnsi="Times New Roman" w:cs="Times New Roman"/>
                <w:i/>
                <w:sz w:val="24"/>
                <w:szCs w:val="24"/>
              </w:rPr>
            </w:pPr>
          </w:p>
        </w:tc>
      </w:tr>
      <w:tr w:rsidR="00161FC9" w:rsidRPr="00333E18" w:rsidTr="00821378">
        <w:trPr>
          <w:trHeight w:val="459"/>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top w:val="nil"/>
              <w:bottom w:val="single" w:sz="4" w:space="0" w:color="auto"/>
            </w:tcBorders>
          </w:tcPr>
          <w:p w:rsidR="00161FC9" w:rsidRPr="006F5083" w:rsidRDefault="00161FC9" w:rsidP="00821378">
            <w:pPr>
              <w:jc w:val="center"/>
              <w:rPr>
                <w:rFonts w:ascii="Times New Roman" w:hAnsi="Times New Roman" w:cs="Times New Roman"/>
                <w:color w:val="000000"/>
                <w:sz w:val="24"/>
                <w:szCs w:val="24"/>
              </w:rPr>
            </w:pPr>
            <w:r>
              <w:rPr>
                <w:rFonts w:ascii="Times New Roman" w:hAnsi="Times New Roman" w:cs="Times New Roman"/>
                <w:color w:val="000000"/>
                <w:sz w:val="24"/>
                <w:szCs w:val="24"/>
              </w:rPr>
              <w:t>Capacity of performing phys</w:t>
            </w:r>
            <w:r w:rsidRPr="006F5083">
              <w:rPr>
                <w:rFonts w:ascii="Times New Roman" w:hAnsi="Times New Roman" w:cs="Times New Roman"/>
                <w:color w:val="000000"/>
                <w:sz w:val="24"/>
                <w:szCs w:val="24"/>
              </w:rPr>
              <w:t>ical activities (sport, exercise) and the enjoyment of hob</w:t>
            </w:r>
            <w:r>
              <w:rPr>
                <w:rFonts w:ascii="Times New Roman" w:hAnsi="Times New Roman" w:cs="Times New Roman"/>
                <w:color w:val="000000"/>
                <w:sz w:val="24"/>
                <w:szCs w:val="24"/>
              </w:rPr>
              <w:t>bies</w:t>
            </w:r>
          </w:p>
        </w:tc>
      </w:tr>
      <w:tr w:rsidR="00161FC9" w:rsidRPr="00333E18" w:rsidTr="00821378">
        <w:trPr>
          <w:trHeight w:val="293"/>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bottom w:val="single" w:sz="4" w:space="0" w:color="auto"/>
            </w:tcBorders>
          </w:tcPr>
          <w:p w:rsidR="00844BA8" w:rsidRPr="00333E18" w:rsidRDefault="00161FC9" w:rsidP="00821378">
            <w:pPr>
              <w:jc w:val="center"/>
              <w:rPr>
                <w:rFonts w:ascii="Times New Roman" w:hAnsi="Times New Roman" w:cs="Times New Roman"/>
                <w:sz w:val="24"/>
                <w:szCs w:val="24"/>
              </w:rPr>
            </w:pPr>
            <w:r w:rsidRPr="006F5083">
              <w:rPr>
                <w:rFonts w:ascii="Times New Roman" w:eastAsia="Times New Roman" w:hAnsi="Times New Roman" w:cs="Times New Roman"/>
                <w:i/>
                <w:iCs/>
                <w:sz w:val="24"/>
                <w:szCs w:val="24"/>
              </w:rPr>
              <w:t>Total Fast</w:t>
            </w:r>
          </w:p>
        </w:tc>
      </w:tr>
      <w:tr w:rsidR="00161FC9" w:rsidRPr="00333E18" w:rsidTr="00821378">
        <w:trPr>
          <w:trHeight w:val="555"/>
        </w:trPr>
        <w:tc>
          <w:tcPr>
            <w:tcW w:w="2419" w:type="dxa"/>
            <w:vMerge/>
          </w:tcPr>
          <w:p w:rsidR="00161FC9" w:rsidRPr="00333E18" w:rsidRDefault="00161FC9" w:rsidP="00821378">
            <w:pPr>
              <w:jc w:val="center"/>
              <w:rPr>
                <w:rFonts w:ascii="Times New Roman" w:hAnsi="Times New Roman" w:cs="Times New Roman"/>
                <w:sz w:val="24"/>
                <w:szCs w:val="24"/>
              </w:rPr>
            </w:pPr>
          </w:p>
        </w:tc>
        <w:tc>
          <w:tcPr>
            <w:tcW w:w="1942" w:type="dxa"/>
            <w:vMerge/>
          </w:tcPr>
          <w:p w:rsidR="00161FC9" w:rsidRPr="00333E18" w:rsidRDefault="00161FC9" w:rsidP="00821378">
            <w:pPr>
              <w:rPr>
                <w:rFonts w:ascii="Times New Roman" w:hAnsi="Times New Roman" w:cs="Times New Roman"/>
                <w:sz w:val="24"/>
                <w:szCs w:val="24"/>
              </w:rPr>
            </w:pPr>
          </w:p>
        </w:tc>
        <w:tc>
          <w:tcPr>
            <w:tcW w:w="5103" w:type="dxa"/>
            <w:tcBorders>
              <w:top w:val="single" w:sz="4" w:space="0" w:color="auto"/>
            </w:tcBorders>
          </w:tcPr>
          <w:p w:rsidR="00161FC9" w:rsidRPr="00333E18" w:rsidRDefault="00161FC9" w:rsidP="00821378">
            <w:pPr>
              <w:jc w:val="center"/>
              <w:rPr>
                <w:rFonts w:ascii="Times New Roman" w:hAnsi="Times New Roman" w:cs="Times New Roman"/>
                <w:sz w:val="24"/>
                <w:szCs w:val="24"/>
              </w:rPr>
            </w:pPr>
            <w:r>
              <w:rPr>
                <w:rFonts w:ascii="Times New Roman" w:hAnsi="Times New Roman" w:cs="Times New Roman"/>
                <w:color w:val="000000"/>
                <w:sz w:val="24"/>
                <w:szCs w:val="24"/>
              </w:rPr>
              <w:t>R</w:t>
            </w:r>
            <w:r w:rsidRPr="006F5083">
              <w:rPr>
                <w:rFonts w:ascii="Times New Roman" w:hAnsi="Times New Roman" w:cs="Times New Roman"/>
                <w:color w:val="000000"/>
                <w:sz w:val="24"/>
                <w:szCs w:val="24"/>
              </w:rPr>
              <w:t xml:space="preserve">ates   of   </w:t>
            </w:r>
            <w:r>
              <w:rPr>
                <w:rFonts w:ascii="Times New Roman" w:hAnsi="Times New Roman" w:cs="Times New Roman"/>
                <w:color w:val="000000"/>
                <w:sz w:val="24"/>
                <w:szCs w:val="24"/>
              </w:rPr>
              <w:t xml:space="preserve">psychosocial </w:t>
            </w:r>
            <w:r w:rsidRPr="006F5083">
              <w:rPr>
                <w:rFonts w:ascii="Times New Roman" w:hAnsi="Times New Roman" w:cs="Times New Roman"/>
                <w:color w:val="000000"/>
                <w:sz w:val="24"/>
                <w:szCs w:val="24"/>
              </w:rPr>
              <w:t>functional   impairment</w:t>
            </w:r>
          </w:p>
        </w:tc>
      </w:tr>
    </w:tbl>
    <w:p w:rsidR="00475FE6" w:rsidRDefault="00475FE6">
      <w:pPr>
        <w:rPr>
          <w:rFonts w:ascii="Times New Roman" w:hAnsi="Times New Roman" w:cs="Times New Roman"/>
          <w:sz w:val="24"/>
          <w:szCs w:val="24"/>
        </w:rPr>
      </w:pPr>
    </w:p>
    <w:p w:rsidR="00475FE6" w:rsidRDefault="00475FE6">
      <w:pPr>
        <w:rPr>
          <w:rFonts w:ascii="Times New Roman" w:hAnsi="Times New Roman" w:cs="Times New Roman"/>
          <w:sz w:val="24"/>
          <w:szCs w:val="24"/>
        </w:rPr>
      </w:pPr>
    </w:p>
    <w:p w:rsidR="00475FE6" w:rsidRDefault="00475FE6">
      <w:pPr>
        <w:rPr>
          <w:rFonts w:ascii="Times New Roman" w:hAnsi="Times New Roman" w:cs="Times New Roman"/>
          <w:sz w:val="24"/>
          <w:szCs w:val="24"/>
        </w:rPr>
      </w:pPr>
    </w:p>
    <w:p w:rsidR="00475FE6" w:rsidRDefault="00475FE6">
      <w:pPr>
        <w:rPr>
          <w:rFonts w:ascii="Times New Roman" w:hAnsi="Times New Roman" w:cs="Times New Roman"/>
          <w:sz w:val="24"/>
          <w:szCs w:val="24"/>
        </w:rPr>
      </w:pPr>
    </w:p>
    <w:tbl>
      <w:tblPr>
        <w:tblW w:w="8620" w:type="dxa"/>
        <w:tblLook w:val="04A0" w:firstRow="1" w:lastRow="0" w:firstColumn="1" w:lastColumn="0" w:noHBand="0" w:noVBand="1"/>
      </w:tblPr>
      <w:tblGrid>
        <w:gridCol w:w="3421"/>
        <w:gridCol w:w="1909"/>
        <w:gridCol w:w="1587"/>
        <w:gridCol w:w="705"/>
        <w:gridCol w:w="998"/>
      </w:tblGrid>
      <w:tr w:rsidR="00044B1A" w:rsidRPr="00F25CCB" w:rsidTr="00DB12E4">
        <w:trPr>
          <w:trHeight w:val="720"/>
        </w:trPr>
        <w:tc>
          <w:tcPr>
            <w:tcW w:w="8620" w:type="dxa"/>
            <w:gridSpan w:val="5"/>
            <w:tcBorders>
              <w:top w:val="single" w:sz="8" w:space="0" w:color="7F7F7F"/>
              <w:left w:val="nil"/>
              <w:bottom w:val="single" w:sz="8" w:space="0" w:color="7F7F7F"/>
              <w:right w:val="nil"/>
            </w:tcBorders>
            <w:shd w:val="clear" w:color="auto" w:fill="auto"/>
            <w:vAlign w:val="center"/>
            <w:hideMark/>
          </w:tcPr>
          <w:p w:rsidR="00044B1A" w:rsidRPr="00F25CCB" w:rsidRDefault="00044B1A" w:rsidP="00DB12E4">
            <w:pPr>
              <w:spacing w:after="0" w:line="240" w:lineRule="auto"/>
              <w:rPr>
                <w:rFonts w:ascii="Times New Roman" w:eastAsia="Times New Roman" w:hAnsi="Times New Roman" w:cs="Times New Roman"/>
                <w:b/>
                <w:bCs/>
                <w:color w:val="000000"/>
                <w:lang w:eastAsia="en-GB"/>
              </w:rPr>
            </w:pPr>
            <w:bookmarkStart w:id="0" w:name="_Hlk78895792"/>
            <w:bookmarkStart w:id="1" w:name="_GoBack"/>
            <w:bookmarkEnd w:id="1"/>
            <w:r w:rsidRPr="00F25CCB">
              <w:rPr>
                <w:rFonts w:ascii="Times New Roman" w:eastAsia="Times New Roman" w:hAnsi="Times New Roman" w:cs="Times New Roman"/>
                <w:b/>
                <w:bCs/>
                <w:color w:val="000000"/>
                <w:lang w:eastAsia="en-GB"/>
              </w:rPr>
              <w:t>Table S4.</w:t>
            </w:r>
            <w:r w:rsidRPr="00F25CCB">
              <w:rPr>
                <w:rFonts w:ascii="Times New Roman" w:eastAsia="Times New Roman" w:hAnsi="Times New Roman" w:cs="Times New Roman"/>
                <w:color w:val="000000"/>
                <w:lang w:eastAsia="en-GB"/>
              </w:rPr>
              <w:t xml:space="preserve"> Emotional cognition variables for unaffected first-degree relatives in the BIO-study (n=51) and the NEAD-study (n=43)</w:t>
            </w:r>
          </w:p>
        </w:tc>
      </w:tr>
      <w:tr w:rsidR="00044B1A" w:rsidRPr="00F25CCB" w:rsidTr="00DB12E4">
        <w:trPr>
          <w:trHeight w:val="300"/>
        </w:trPr>
        <w:tc>
          <w:tcPr>
            <w:tcW w:w="3421" w:type="dxa"/>
            <w:vMerge w:val="restart"/>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b/>
                <w:bCs/>
                <w:color w:val="000000"/>
                <w:lang w:eastAsia="en-GB"/>
              </w:rPr>
            </w:pPr>
            <w:r w:rsidRPr="00F25CCB">
              <w:rPr>
                <w:rFonts w:ascii="Times New Roman" w:eastAsia="Times New Roman" w:hAnsi="Times New Roman" w:cs="Times New Roman"/>
                <w:b/>
                <w:bCs/>
                <w:color w:val="000000"/>
                <w:lang w:eastAsia="en-GB"/>
              </w:rPr>
              <w:t> </w:t>
            </w:r>
          </w:p>
        </w:tc>
        <w:tc>
          <w:tcPr>
            <w:tcW w:w="1909"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eastAsia="en-GB"/>
              </w:rPr>
              <w:t>BIO-study</w:t>
            </w:r>
          </w:p>
        </w:tc>
        <w:tc>
          <w:tcPr>
            <w:tcW w:w="1587"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eastAsia="en-GB"/>
              </w:rPr>
              <w:t>NEAD-study</w:t>
            </w:r>
          </w:p>
        </w:tc>
        <w:tc>
          <w:tcPr>
            <w:tcW w:w="705" w:type="dxa"/>
            <w:vMerge w:val="restart"/>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i/>
                <w:iCs/>
                <w:color w:val="000000"/>
                <w:lang w:eastAsia="en-GB"/>
              </w:rPr>
            </w:pPr>
            <w:r w:rsidRPr="00F25CCB">
              <w:rPr>
                <w:rFonts w:ascii="Times New Roman" w:eastAsia="Times New Roman" w:hAnsi="Times New Roman" w:cs="Times New Roman"/>
                <w:i/>
                <w:iCs/>
                <w:color w:val="000000"/>
                <w:lang w:eastAsia="en-GB"/>
              </w:rPr>
              <w:t>t</w:t>
            </w:r>
          </w:p>
        </w:tc>
        <w:tc>
          <w:tcPr>
            <w:tcW w:w="998" w:type="dxa"/>
            <w:vMerge w:val="restart"/>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i/>
                <w:iCs/>
                <w:color w:val="000000"/>
                <w:lang w:eastAsia="en-GB"/>
              </w:rPr>
              <w:t>p</w:t>
            </w:r>
            <w:r w:rsidRPr="00F25CCB">
              <w:rPr>
                <w:rFonts w:ascii="Times New Roman" w:eastAsia="Times New Roman" w:hAnsi="Times New Roman" w:cs="Times New Roman"/>
                <w:color w:val="000000"/>
                <w:lang w:eastAsia="en-GB"/>
              </w:rPr>
              <w:t>-value</w:t>
            </w:r>
          </w:p>
        </w:tc>
      </w:tr>
      <w:tr w:rsidR="00044B1A" w:rsidRPr="00F25CCB" w:rsidTr="00DB12E4">
        <w:trPr>
          <w:trHeight w:val="315"/>
        </w:trPr>
        <w:tc>
          <w:tcPr>
            <w:tcW w:w="3421" w:type="dxa"/>
            <w:vMerge/>
            <w:tcBorders>
              <w:top w:val="nil"/>
              <w:left w:val="nil"/>
              <w:bottom w:val="single" w:sz="8" w:space="0" w:color="7F7F7F"/>
              <w:right w:val="nil"/>
            </w:tcBorders>
            <w:vAlign w:val="center"/>
            <w:hideMark/>
          </w:tcPr>
          <w:p w:rsidR="00044B1A" w:rsidRPr="00F25CCB" w:rsidRDefault="00044B1A" w:rsidP="00DB12E4">
            <w:pPr>
              <w:spacing w:after="0" w:line="240" w:lineRule="auto"/>
              <w:rPr>
                <w:rFonts w:ascii="Times New Roman" w:eastAsia="Times New Roman" w:hAnsi="Times New Roman" w:cs="Times New Roman"/>
                <w:b/>
                <w:bCs/>
                <w:color w:val="000000"/>
                <w:lang w:eastAsia="en-GB"/>
              </w:rPr>
            </w:pPr>
          </w:p>
        </w:tc>
        <w:tc>
          <w:tcPr>
            <w:tcW w:w="1909"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M (SD)</w:t>
            </w:r>
          </w:p>
        </w:tc>
        <w:tc>
          <w:tcPr>
            <w:tcW w:w="1587"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M (SD)</w:t>
            </w:r>
          </w:p>
        </w:tc>
        <w:tc>
          <w:tcPr>
            <w:tcW w:w="705" w:type="dxa"/>
            <w:vMerge/>
            <w:tcBorders>
              <w:top w:val="nil"/>
              <w:left w:val="nil"/>
              <w:bottom w:val="single" w:sz="8" w:space="0" w:color="7F7F7F"/>
              <w:right w:val="nil"/>
            </w:tcBorders>
            <w:vAlign w:val="center"/>
            <w:hideMark/>
          </w:tcPr>
          <w:p w:rsidR="00044B1A" w:rsidRPr="00F25CCB" w:rsidRDefault="00044B1A" w:rsidP="00DB12E4">
            <w:pPr>
              <w:spacing w:after="0" w:line="240" w:lineRule="auto"/>
              <w:rPr>
                <w:rFonts w:ascii="Times New Roman" w:eastAsia="Times New Roman" w:hAnsi="Times New Roman" w:cs="Times New Roman"/>
                <w:i/>
                <w:iCs/>
                <w:color w:val="000000"/>
                <w:lang w:eastAsia="en-GB"/>
              </w:rPr>
            </w:pPr>
          </w:p>
        </w:tc>
        <w:tc>
          <w:tcPr>
            <w:tcW w:w="998" w:type="dxa"/>
            <w:vMerge/>
            <w:tcBorders>
              <w:top w:val="nil"/>
              <w:left w:val="nil"/>
              <w:bottom w:val="single" w:sz="8" w:space="0" w:color="7F7F7F"/>
              <w:right w:val="nil"/>
            </w:tcBorders>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p>
        </w:tc>
      </w:tr>
      <w:tr w:rsidR="00044B1A" w:rsidRPr="00F25CCB" w:rsidTr="00DB12E4">
        <w:trPr>
          <w:trHeight w:val="315"/>
        </w:trPr>
        <w:tc>
          <w:tcPr>
            <w:tcW w:w="3421"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i/>
                <w:iCs/>
                <w:color w:val="000000"/>
                <w:lang w:eastAsia="en-GB"/>
              </w:rPr>
            </w:pPr>
            <w:r w:rsidRPr="00F25CCB">
              <w:rPr>
                <w:rFonts w:ascii="Times New Roman" w:eastAsia="Times New Roman" w:hAnsi="Times New Roman" w:cs="Times New Roman"/>
                <w:i/>
                <w:iCs/>
                <w:color w:val="000000"/>
                <w:lang w:eastAsia="en-GB"/>
              </w:rPr>
              <w:t>Social Scenarios Task</w:t>
            </w:r>
          </w:p>
        </w:tc>
        <w:tc>
          <w:tcPr>
            <w:tcW w:w="1909"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 </w:t>
            </w:r>
          </w:p>
        </w:tc>
        <w:tc>
          <w:tcPr>
            <w:tcW w:w="1587"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 </w:t>
            </w:r>
          </w:p>
        </w:tc>
        <w:tc>
          <w:tcPr>
            <w:tcW w:w="705"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 </w:t>
            </w:r>
          </w:p>
        </w:tc>
        <w:tc>
          <w:tcPr>
            <w:tcW w:w="998"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b/>
                <w:bCs/>
                <w:color w:val="000000"/>
                <w:lang w:eastAsia="en-GB"/>
              </w:rPr>
            </w:pPr>
            <w:r w:rsidRPr="00F25CCB">
              <w:rPr>
                <w:rFonts w:ascii="Times New Roman" w:eastAsia="Times New Roman" w:hAnsi="Times New Roman" w:cs="Times New Roman"/>
                <w:b/>
                <w:bCs/>
                <w:color w:val="000000"/>
                <w:lang w:eastAsia="en-GB"/>
              </w:rPr>
              <w:t> </w:t>
            </w:r>
          </w:p>
        </w:tc>
      </w:tr>
      <w:tr w:rsidR="00044B1A" w:rsidRPr="00F25CCB" w:rsidTr="00DB12E4">
        <w:trPr>
          <w:trHeight w:val="315"/>
        </w:trPr>
        <w:tc>
          <w:tcPr>
            <w:tcW w:w="3421"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eastAsia="en-GB"/>
              </w:rPr>
              <w:t xml:space="preserve">   Negative reactivity</w:t>
            </w:r>
          </w:p>
        </w:tc>
        <w:tc>
          <w:tcPr>
            <w:tcW w:w="1909"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0.06 (0.92)</w:t>
            </w:r>
          </w:p>
        </w:tc>
        <w:tc>
          <w:tcPr>
            <w:tcW w:w="1587"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0.31 (0.90)</w:t>
            </w:r>
          </w:p>
        </w:tc>
        <w:tc>
          <w:tcPr>
            <w:tcW w:w="705"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-1.29</w:t>
            </w:r>
          </w:p>
        </w:tc>
        <w:tc>
          <w:tcPr>
            <w:tcW w:w="998"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0.20</w:t>
            </w:r>
          </w:p>
        </w:tc>
      </w:tr>
      <w:tr w:rsidR="00044B1A" w:rsidRPr="00F25CCB" w:rsidTr="00DB12E4">
        <w:trPr>
          <w:trHeight w:val="315"/>
        </w:trPr>
        <w:tc>
          <w:tcPr>
            <w:tcW w:w="3421"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eastAsia="en-GB"/>
              </w:rPr>
              <w:t xml:space="preserve">   Positive reactivity</w:t>
            </w:r>
          </w:p>
        </w:tc>
        <w:tc>
          <w:tcPr>
            <w:tcW w:w="1909"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-0.07 (1.16)</w:t>
            </w:r>
          </w:p>
        </w:tc>
        <w:tc>
          <w:tcPr>
            <w:tcW w:w="1587"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0.14 (0.91)</w:t>
            </w:r>
          </w:p>
        </w:tc>
        <w:tc>
          <w:tcPr>
            <w:tcW w:w="705"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-0.97</w:t>
            </w:r>
          </w:p>
        </w:tc>
        <w:tc>
          <w:tcPr>
            <w:tcW w:w="998"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0.33</w:t>
            </w:r>
          </w:p>
        </w:tc>
      </w:tr>
      <w:tr w:rsidR="00044B1A" w:rsidRPr="00F25CCB" w:rsidTr="00DB12E4">
        <w:trPr>
          <w:trHeight w:val="315"/>
        </w:trPr>
        <w:tc>
          <w:tcPr>
            <w:tcW w:w="3421"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eastAsia="en-GB"/>
              </w:rPr>
              <w:t xml:space="preserve">   Dampen negative</w:t>
            </w:r>
          </w:p>
        </w:tc>
        <w:tc>
          <w:tcPr>
            <w:tcW w:w="1909"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0.12 (1.07)</w:t>
            </w:r>
          </w:p>
        </w:tc>
        <w:tc>
          <w:tcPr>
            <w:tcW w:w="1587"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0.61 (1.18)</w:t>
            </w:r>
          </w:p>
        </w:tc>
        <w:tc>
          <w:tcPr>
            <w:tcW w:w="705"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-2.09</w:t>
            </w:r>
          </w:p>
        </w:tc>
        <w:tc>
          <w:tcPr>
            <w:tcW w:w="998"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b/>
                <w:bCs/>
                <w:color w:val="000000"/>
                <w:lang w:eastAsia="en-GB"/>
              </w:rPr>
            </w:pPr>
            <w:r w:rsidRPr="00F25CCB">
              <w:rPr>
                <w:rFonts w:ascii="Times New Roman" w:eastAsia="Times New Roman" w:hAnsi="Times New Roman" w:cs="Times New Roman"/>
                <w:b/>
                <w:bCs/>
                <w:color w:val="000000"/>
                <w:lang w:eastAsia="en-GB"/>
              </w:rPr>
              <w:t>0.04</w:t>
            </w:r>
          </w:p>
        </w:tc>
      </w:tr>
      <w:tr w:rsidR="00044B1A" w:rsidRPr="00F25CCB" w:rsidTr="00DB12E4">
        <w:trPr>
          <w:trHeight w:val="315"/>
        </w:trPr>
        <w:tc>
          <w:tcPr>
            <w:tcW w:w="3421"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eastAsia="en-GB"/>
              </w:rPr>
              <w:t xml:space="preserve">   Dampen positive</w:t>
            </w:r>
          </w:p>
        </w:tc>
        <w:tc>
          <w:tcPr>
            <w:tcW w:w="1909"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-0.10 (1.15)</w:t>
            </w:r>
          </w:p>
        </w:tc>
        <w:tc>
          <w:tcPr>
            <w:tcW w:w="1587"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0.39 (0.88)</w:t>
            </w:r>
          </w:p>
        </w:tc>
        <w:tc>
          <w:tcPr>
            <w:tcW w:w="705"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-2.28</w:t>
            </w:r>
          </w:p>
        </w:tc>
        <w:tc>
          <w:tcPr>
            <w:tcW w:w="998"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b/>
                <w:bCs/>
                <w:color w:val="000000"/>
                <w:lang w:eastAsia="en-GB"/>
              </w:rPr>
            </w:pPr>
            <w:r w:rsidRPr="00F25CCB">
              <w:rPr>
                <w:rFonts w:ascii="Times New Roman" w:eastAsia="Times New Roman" w:hAnsi="Times New Roman" w:cs="Times New Roman"/>
                <w:b/>
                <w:bCs/>
                <w:color w:val="000000"/>
                <w:lang w:eastAsia="en-GB"/>
              </w:rPr>
              <w:t>0.03</w:t>
            </w:r>
          </w:p>
        </w:tc>
      </w:tr>
      <w:tr w:rsidR="00044B1A" w:rsidRPr="00F25CCB" w:rsidTr="00DB12E4">
        <w:trPr>
          <w:trHeight w:val="315"/>
        </w:trPr>
        <w:tc>
          <w:tcPr>
            <w:tcW w:w="5330" w:type="dxa"/>
            <w:gridSpan w:val="2"/>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i/>
                <w:iCs/>
                <w:color w:val="000000"/>
                <w:lang w:eastAsia="en-GB"/>
              </w:rPr>
            </w:pPr>
            <w:r w:rsidRPr="00F25CCB">
              <w:rPr>
                <w:rFonts w:ascii="Times New Roman" w:eastAsia="Times New Roman" w:hAnsi="Times New Roman" w:cs="Times New Roman"/>
                <w:i/>
                <w:iCs/>
                <w:color w:val="000000"/>
                <w:lang w:eastAsia="en-GB"/>
              </w:rPr>
              <w:t xml:space="preserve">Facial Expression Recognition </w:t>
            </w:r>
            <w:r w:rsidRPr="00F25CCB">
              <w:rPr>
                <w:rFonts w:ascii="Times New Roman" w:eastAsia="Times New Roman" w:hAnsi="Times New Roman" w:cs="Times New Roman"/>
                <w:color w:val="000000"/>
                <w:lang w:eastAsia="en-GB"/>
              </w:rPr>
              <w:t>Task,</w:t>
            </w:r>
            <w:r w:rsidRPr="00F25CCB">
              <w:rPr>
                <w:rFonts w:ascii="Times New Roman" w:eastAsia="Times New Roman" w:hAnsi="Times New Roman" w:cs="Times New Roman"/>
                <w:i/>
                <w:iCs/>
                <w:color w:val="000000"/>
                <w:lang w:eastAsia="en-GB"/>
              </w:rPr>
              <w:t xml:space="preserve"> Discrimination accuracy</w:t>
            </w:r>
          </w:p>
        </w:tc>
        <w:tc>
          <w:tcPr>
            <w:tcW w:w="1587"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i/>
                <w:iCs/>
                <w:color w:val="000000"/>
                <w:lang w:eastAsia="en-GB"/>
              </w:rPr>
            </w:pPr>
          </w:p>
        </w:tc>
        <w:tc>
          <w:tcPr>
            <w:tcW w:w="705"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sz w:val="20"/>
                <w:szCs w:val="20"/>
                <w:lang w:eastAsia="en-GB"/>
              </w:rPr>
            </w:pPr>
          </w:p>
        </w:tc>
      </w:tr>
      <w:tr w:rsidR="00044B1A" w:rsidRPr="00F25CCB" w:rsidTr="00DB12E4">
        <w:trPr>
          <w:trHeight w:val="315"/>
        </w:trPr>
        <w:tc>
          <w:tcPr>
            <w:tcW w:w="3421"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eastAsia="en-GB"/>
              </w:rPr>
              <w:t xml:space="preserve">   Negative emotions</w:t>
            </w:r>
          </w:p>
        </w:tc>
        <w:tc>
          <w:tcPr>
            <w:tcW w:w="1909"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-0.24 (0.94)</w:t>
            </w:r>
          </w:p>
        </w:tc>
        <w:tc>
          <w:tcPr>
            <w:tcW w:w="1587"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-0.32 (1.10)</w:t>
            </w:r>
          </w:p>
        </w:tc>
        <w:tc>
          <w:tcPr>
            <w:tcW w:w="705"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0.36</w:t>
            </w:r>
          </w:p>
        </w:tc>
        <w:tc>
          <w:tcPr>
            <w:tcW w:w="998"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0.72</w:t>
            </w:r>
          </w:p>
        </w:tc>
      </w:tr>
      <w:tr w:rsidR="00044B1A" w:rsidRPr="00F25CCB" w:rsidTr="00DB12E4">
        <w:trPr>
          <w:trHeight w:val="315"/>
        </w:trPr>
        <w:tc>
          <w:tcPr>
            <w:tcW w:w="3421"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val="da-DK" w:eastAsia="en-GB"/>
              </w:rPr>
              <w:t xml:space="preserve">   Positive emotions</w:t>
            </w:r>
          </w:p>
        </w:tc>
        <w:tc>
          <w:tcPr>
            <w:tcW w:w="1909"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-0.08 (0.86)</w:t>
            </w:r>
          </w:p>
        </w:tc>
        <w:tc>
          <w:tcPr>
            <w:tcW w:w="1587"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-0.25 (1.12)</w:t>
            </w:r>
          </w:p>
        </w:tc>
        <w:tc>
          <w:tcPr>
            <w:tcW w:w="705"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0.79</w:t>
            </w:r>
          </w:p>
        </w:tc>
        <w:tc>
          <w:tcPr>
            <w:tcW w:w="998"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0.43</w:t>
            </w:r>
          </w:p>
        </w:tc>
      </w:tr>
      <w:tr w:rsidR="00044B1A" w:rsidRPr="00F25CCB" w:rsidTr="00DB12E4">
        <w:trPr>
          <w:trHeight w:val="315"/>
        </w:trPr>
        <w:tc>
          <w:tcPr>
            <w:tcW w:w="5330" w:type="dxa"/>
            <w:gridSpan w:val="2"/>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i/>
                <w:iCs/>
                <w:color w:val="000000"/>
                <w:lang w:eastAsia="en-GB"/>
              </w:rPr>
            </w:pPr>
            <w:r w:rsidRPr="00F25CCB">
              <w:rPr>
                <w:rFonts w:ascii="Times New Roman" w:eastAsia="Times New Roman" w:hAnsi="Times New Roman" w:cs="Times New Roman"/>
                <w:i/>
                <w:iCs/>
                <w:color w:val="000000"/>
                <w:lang w:eastAsia="en-GB"/>
              </w:rPr>
              <w:t xml:space="preserve">Facial Expression Recognition Task, </w:t>
            </w:r>
            <w:proofErr w:type="spellStart"/>
            <w:r w:rsidRPr="00F25CCB">
              <w:rPr>
                <w:rFonts w:ascii="Times New Roman" w:eastAsia="Times New Roman" w:hAnsi="Times New Roman" w:cs="Times New Roman"/>
                <w:i/>
                <w:iCs/>
                <w:color w:val="000000"/>
                <w:lang w:eastAsia="en-GB"/>
              </w:rPr>
              <w:t>ms</w:t>
            </w:r>
            <w:proofErr w:type="spellEnd"/>
          </w:p>
        </w:tc>
        <w:tc>
          <w:tcPr>
            <w:tcW w:w="1587"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 </w:t>
            </w:r>
          </w:p>
        </w:tc>
        <w:tc>
          <w:tcPr>
            <w:tcW w:w="705"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 </w:t>
            </w:r>
          </w:p>
        </w:tc>
        <w:tc>
          <w:tcPr>
            <w:tcW w:w="998"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 </w:t>
            </w:r>
          </w:p>
        </w:tc>
      </w:tr>
      <w:tr w:rsidR="00044B1A" w:rsidRPr="00F25CCB" w:rsidTr="00DB12E4">
        <w:trPr>
          <w:trHeight w:val="315"/>
        </w:trPr>
        <w:tc>
          <w:tcPr>
            <w:tcW w:w="3421"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eastAsia="en-GB"/>
              </w:rPr>
              <w:t xml:space="preserve">   Negative emotions</w:t>
            </w:r>
          </w:p>
        </w:tc>
        <w:tc>
          <w:tcPr>
            <w:tcW w:w="1909"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0.08 (0.84)</w:t>
            </w:r>
          </w:p>
        </w:tc>
        <w:tc>
          <w:tcPr>
            <w:tcW w:w="1587"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-0.38 (1.01)</w:t>
            </w:r>
          </w:p>
        </w:tc>
        <w:tc>
          <w:tcPr>
            <w:tcW w:w="705"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2.40</w:t>
            </w:r>
          </w:p>
        </w:tc>
        <w:tc>
          <w:tcPr>
            <w:tcW w:w="998"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b/>
                <w:bCs/>
                <w:color w:val="000000"/>
                <w:lang w:eastAsia="en-GB"/>
              </w:rPr>
            </w:pPr>
            <w:r w:rsidRPr="00F25CCB">
              <w:rPr>
                <w:rFonts w:ascii="Times New Roman" w:eastAsia="Times New Roman" w:hAnsi="Times New Roman" w:cs="Times New Roman"/>
                <w:b/>
                <w:bCs/>
                <w:color w:val="000000"/>
                <w:lang w:eastAsia="en-GB"/>
              </w:rPr>
              <w:t>0.02</w:t>
            </w:r>
          </w:p>
        </w:tc>
      </w:tr>
      <w:tr w:rsidR="00044B1A" w:rsidRPr="00F25CCB" w:rsidTr="00DB12E4">
        <w:trPr>
          <w:trHeight w:val="315"/>
        </w:trPr>
        <w:tc>
          <w:tcPr>
            <w:tcW w:w="3421"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val="da-DK" w:eastAsia="en-GB"/>
              </w:rPr>
              <w:t xml:space="preserve">   Positive emotions</w:t>
            </w:r>
          </w:p>
        </w:tc>
        <w:tc>
          <w:tcPr>
            <w:tcW w:w="1909"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0.10 (0.77)</w:t>
            </w:r>
          </w:p>
        </w:tc>
        <w:tc>
          <w:tcPr>
            <w:tcW w:w="1587"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-0.21 (0.80)</w:t>
            </w:r>
          </w:p>
        </w:tc>
        <w:tc>
          <w:tcPr>
            <w:tcW w:w="705"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1.90</w:t>
            </w:r>
          </w:p>
        </w:tc>
        <w:tc>
          <w:tcPr>
            <w:tcW w:w="998"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0.06</w:t>
            </w:r>
          </w:p>
        </w:tc>
      </w:tr>
      <w:tr w:rsidR="00044B1A" w:rsidRPr="00F25CCB" w:rsidTr="00DB12E4">
        <w:trPr>
          <w:trHeight w:val="315"/>
        </w:trPr>
        <w:tc>
          <w:tcPr>
            <w:tcW w:w="6917" w:type="dxa"/>
            <w:gridSpan w:val="3"/>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i/>
                <w:iCs/>
                <w:color w:val="000000"/>
                <w:lang w:eastAsia="en-GB"/>
              </w:rPr>
            </w:pPr>
            <w:r w:rsidRPr="00F25CCB">
              <w:rPr>
                <w:rFonts w:ascii="Times New Roman" w:eastAsia="Times New Roman" w:hAnsi="Times New Roman" w:cs="Times New Roman"/>
                <w:i/>
                <w:iCs/>
                <w:color w:val="000000"/>
                <w:lang w:eastAsia="en-GB"/>
              </w:rPr>
              <w:t>Facial Dot-Probe, Median vigilance scores</w:t>
            </w:r>
          </w:p>
        </w:tc>
        <w:tc>
          <w:tcPr>
            <w:tcW w:w="705"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i/>
                <w:iCs/>
                <w:color w:val="000000"/>
                <w:lang w:eastAsia="en-GB"/>
              </w:rPr>
            </w:pPr>
          </w:p>
        </w:tc>
        <w:tc>
          <w:tcPr>
            <w:tcW w:w="998"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sz w:val="20"/>
                <w:szCs w:val="20"/>
                <w:lang w:eastAsia="en-GB"/>
              </w:rPr>
            </w:pPr>
          </w:p>
        </w:tc>
      </w:tr>
      <w:tr w:rsidR="00044B1A" w:rsidRPr="00F25CCB" w:rsidTr="00DB12E4">
        <w:trPr>
          <w:trHeight w:val="315"/>
        </w:trPr>
        <w:tc>
          <w:tcPr>
            <w:tcW w:w="3421"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eastAsia="en-GB"/>
              </w:rPr>
              <w:t xml:space="preserve">   Masked fear</w:t>
            </w:r>
          </w:p>
        </w:tc>
        <w:tc>
          <w:tcPr>
            <w:tcW w:w="1909"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0.22 (1.08)</w:t>
            </w:r>
          </w:p>
        </w:tc>
        <w:tc>
          <w:tcPr>
            <w:tcW w:w="1587"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-0.24 (1.12)</w:t>
            </w:r>
          </w:p>
        </w:tc>
        <w:tc>
          <w:tcPr>
            <w:tcW w:w="705"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2.02</w:t>
            </w:r>
          </w:p>
        </w:tc>
        <w:tc>
          <w:tcPr>
            <w:tcW w:w="998"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b/>
                <w:bCs/>
                <w:color w:val="000000"/>
                <w:lang w:eastAsia="en-GB"/>
              </w:rPr>
            </w:pPr>
            <w:r w:rsidRPr="00F25CCB">
              <w:rPr>
                <w:rFonts w:ascii="Times New Roman" w:eastAsia="Times New Roman" w:hAnsi="Times New Roman" w:cs="Times New Roman"/>
                <w:b/>
                <w:bCs/>
                <w:color w:val="000000"/>
                <w:lang w:eastAsia="en-GB"/>
              </w:rPr>
              <w:t>0.047</w:t>
            </w:r>
          </w:p>
        </w:tc>
      </w:tr>
      <w:tr w:rsidR="00044B1A" w:rsidRPr="00F25CCB" w:rsidTr="00DB12E4">
        <w:trPr>
          <w:trHeight w:val="315"/>
        </w:trPr>
        <w:tc>
          <w:tcPr>
            <w:tcW w:w="3421"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val="da-DK" w:eastAsia="en-GB"/>
              </w:rPr>
              <w:t xml:space="preserve">   </w:t>
            </w:r>
            <w:proofErr w:type="spellStart"/>
            <w:r w:rsidRPr="00F25CCB">
              <w:rPr>
                <w:rFonts w:ascii="Times New Roman" w:eastAsia="Times New Roman" w:hAnsi="Times New Roman" w:cs="Times New Roman"/>
                <w:bCs/>
                <w:color w:val="000000"/>
                <w:lang w:val="da-DK" w:eastAsia="en-GB"/>
              </w:rPr>
              <w:t>Masked</w:t>
            </w:r>
            <w:proofErr w:type="spellEnd"/>
            <w:r w:rsidRPr="00F25CCB">
              <w:rPr>
                <w:rFonts w:ascii="Times New Roman" w:eastAsia="Times New Roman" w:hAnsi="Times New Roman" w:cs="Times New Roman"/>
                <w:bCs/>
                <w:color w:val="000000"/>
                <w:lang w:val="da-DK" w:eastAsia="en-GB"/>
              </w:rPr>
              <w:t xml:space="preserve"> </w:t>
            </w:r>
            <w:proofErr w:type="spellStart"/>
            <w:r w:rsidRPr="00F25CCB">
              <w:rPr>
                <w:rFonts w:ascii="Times New Roman" w:eastAsia="Times New Roman" w:hAnsi="Times New Roman" w:cs="Times New Roman"/>
                <w:bCs/>
                <w:color w:val="000000"/>
                <w:lang w:val="da-DK" w:eastAsia="en-GB"/>
              </w:rPr>
              <w:t>happy</w:t>
            </w:r>
            <w:proofErr w:type="spellEnd"/>
          </w:p>
        </w:tc>
        <w:tc>
          <w:tcPr>
            <w:tcW w:w="1909"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-0.15 (0.88)</w:t>
            </w:r>
          </w:p>
        </w:tc>
        <w:tc>
          <w:tcPr>
            <w:tcW w:w="1587"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-0.06 (1.07)</w:t>
            </w:r>
          </w:p>
        </w:tc>
        <w:tc>
          <w:tcPr>
            <w:tcW w:w="705"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-0.48</w:t>
            </w:r>
          </w:p>
        </w:tc>
        <w:tc>
          <w:tcPr>
            <w:tcW w:w="998" w:type="dxa"/>
            <w:tcBorders>
              <w:top w:val="nil"/>
              <w:left w:val="nil"/>
              <w:bottom w:val="nil"/>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0.63</w:t>
            </w:r>
          </w:p>
        </w:tc>
      </w:tr>
      <w:tr w:rsidR="00044B1A" w:rsidRPr="00F25CCB" w:rsidTr="00DB12E4">
        <w:trPr>
          <w:trHeight w:val="315"/>
        </w:trPr>
        <w:tc>
          <w:tcPr>
            <w:tcW w:w="3421"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val="da-DK" w:eastAsia="en-GB"/>
              </w:rPr>
              <w:t xml:space="preserve">   </w:t>
            </w:r>
            <w:proofErr w:type="spellStart"/>
            <w:r w:rsidRPr="00F25CCB">
              <w:rPr>
                <w:rFonts w:ascii="Times New Roman" w:eastAsia="Times New Roman" w:hAnsi="Times New Roman" w:cs="Times New Roman"/>
                <w:bCs/>
                <w:color w:val="000000"/>
                <w:lang w:val="da-DK" w:eastAsia="en-GB"/>
              </w:rPr>
              <w:t>Unmasked</w:t>
            </w:r>
            <w:proofErr w:type="spellEnd"/>
            <w:r w:rsidRPr="00F25CCB">
              <w:rPr>
                <w:rFonts w:ascii="Times New Roman" w:eastAsia="Times New Roman" w:hAnsi="Times New Roman" w:cs="Times New Roman"/>
                <w:bCs/>
                <w:color w:val="000000"/>
                <w:lang w:val="da-DK" w:eastAsia="en-GB"/>
              </w:rPr>
              <w:t xml:space="preserve"> </w:t>
            </w:r>
            <w:proofErr w:type="spellStart"/>
            <w:r w:rsidRPr="00F25CCB">
              <w:rPr>
                <w:rFonts w:ascii="Times New Roman" w:eastAsia="Times New Roman" w:hAnsi="Times New Roman" w:cs="Times New Roman"/>
                <w:bCs/>
                <w:color w:val="000000"/>
                <w:lang w:val="da-DK" w:eastAsia="en-GB"/>
              </w:rPr>
              <w:t>fear</w:t>
            </w:r>
            <w:proofErr w:type="spellEnd"/>
          </w:p>
        </w:tc>
        <w:tc>
          <w:tcPr>
            <w:tcW w:w="1909"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0.13 (0.89)</w:t>
            </w:r>
          </w:p>
        </w:tc>
        <w:tc>
          <w:tcPr>
            <w:tcW w:w="1587"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-0.03 (1.10)</w:t>
            </w:r>
          </w:p>
        </w:tc>
        <w:tc>
          <w:tcPr>
            <w:tcW w:w="705"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0.80</w:t>
            </w:r>
          </w:p>
        </w:tc>
        <w:tc>
          <w:tcPr>
            <w:tcW w:w="998" w:type="dxa"/>
            <w:tcBorders>
              <w:top w:val="single" w:sz="8" w:space="0" w:color="7F7F7F"/>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0.43</w:t>
            </w:r>
          </w:p>
        </w:tc>
      </w:tr>
      <w:tr w:rsidR="00044B1A" w:rsidRPr="00044B1A" w:rsidTr="00DB12E4">
        <w:trPr>
          <w:trHeight w:val="315"/>
        </w:trPr>
        <w:tc>
          <w:tcPr>
            <w:tcW w:w="3421"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rPr>
                <w:rFonts w:ascii="Times New Roman" w:eastAsia="Times New Roman" w:hAnsi="Times New Roman" w:cs="Times New Roman"/>
                <w:color w:val="000000"/>
                <w:lang w:eastAsia="en-GB"/>
              </w:rPr>
            </w:pPr>
            <w:r w:rsidRPr="00F25CCB">
              <w:rPr>
                <w:rFonts w:ascii="Times New Roman" w:eastAsia="Times New Roman" w:hAnsi="Times New Roman" w:cs="Times New Roman"/>
                <w:bCs/>
                <w:color w:val="000000"/>
                <w:lang w:val="da-DK" w:eastAsia="en-GB"/>
              </w:rPr>
              <w:t xml:space="preserve">   </w:t>
            </w:r>
            <w:proofErr w:type="spellStart"/>
            <w:r w:rsidRPr="00F25CCB">
              <w:rPr>
                <w:rFonts w:ascii="Times New Roman" w:eastAsia="Times New Roman" w:hAnsi="Times New Roman" w:cs="Times New Roman"/>
                <w:bCs/>
                <w:color w:val="000000"/>
                <w:lang w:val="da-DK" w:eastAsia="en-GB"/>
              </w:rPr>
              <w:t>Unmasked</w:t>
            </w:r>
            <w:proofErr w:type="spellEnd"/>
            <w:r w:rsidRPr="00F25CCB">
              <w:rPr>
                <w:rFonts w:ascii="Times New Roman" w:eastAsia="Times New Roman" w:hAnsi="Times New Roman" w:cs="Times New Roman"/>
                <w:bCs/>
                <w:color w:val="000000"/>
                <w:lang w:val="da-DK" w:eastAsia="en-GB"/>
              </w:rPr>
              <w:t xml:space="preserve"> </w:t>
            </w:r>
            <w:proofErr w:type="spellStart"/>
            <w:r w:rsidRPr="00F25CCB">
              <w:rPr>
                <w:rFonts w:ascii="Times New Roman" w:eastAsia="Times New Roman" w:hAnsi="Times New Roman" w:cs="Times New Roman"/>
                <w:bCs/>
                <w:color w:val="000000"/>
                <w:lang w:val="da-DK" w:eastAsia="en-GB"/>
              </w:rPr>
              <w:t>happy</w:t>
            </w:r>
            <w:proofErr w:type="spellEnd"/>
          </w:p>
        </w:tc>
        <w:tc>
          <w:tcPr>
            <w:tcW w:w="1909"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-0.17 (0.72)</w:t>
            </w:r>
          </w:p>
        </w:tc>
        <w:tc>
          <w:tcPr>
            <w:tcW w:w="1587"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-0.00 (0.74)</w:t>
            </w:r>
          </w:p>
        </w:tc>
        <w:tc>
          <w:tcPr>
            <w:tcW w:w="705" w:type="dxa"/>
            <w:tcBorders>
              <w:top w:val="nil"/>
              <w:left w:val="nil"/>
              <w:bottom w:val="single" w:sz="8" w:space="0" w:color="7F7F7F"/>
              <w:right w:val="nil"/>
            </w:tcBorders>
            <w:shd w:val="clear" w:color="auto" w:fill="auto"/>
            <w:noWrap/>
            <w:vAlign w:val="center"/>
            <w:hideMark/>
          </w:tcPr>
          <w:p w:rsidR="00044B1A" w:rsidRPr="00F25CCB"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-1.12</w:t>
            </w:r>
          </w:p>
        </w:tc>
        <w:tc>
          <w:tcPr>
            <w:tcW w:w="998" w:type="dxa"/>
            <w:tcBorders>
              <w:top w:val="nil"/>
              <w:left w:val="nil"/>
              <w:bottom w:val="single" w:sz="8" w:space="0" w:color="7F7F7F"/>
              <w:right w:val="nil"/>
            </w:tcBorders>
            <w:shd w:val="clear" w:color="auto" w:fill="auto"/>
            <w:noWrap/>
            <w:vAlign w:val="center"/>
            <w:hideMark/>
          </w:tcPr>
          <w:p w:rsidR="00044B1A" w:rsidRPr="00044B1A" w:rsidRDefault="00044B1A" w:rsidP="00DB12E4">
            <w:pPr>
              <w:spacing w:after="0" w:line="240" w:lineRule="auto"/>
              <w:jc w:val="center"/>
              <w:rPr>
                <w:rFonts w:ascii="Times New Roman" w:eastAsia="Times New Roman" w:hAnsi="Times New Roman" w:cs="Times New Roman"/>
                <w:color w:val="000000"/>
                <w:lang w:eastAsia="en-GB"/>
              </w:rPr>
            </w:pPr>
            <w:r w:rsidRPr="00F25CCB">
              <w:rPr>
                <w:rFonts w:ascii="Times New Roman" w:eastAsia="Times New Roman" w:hAnsi="Times New Roman" w:cs="Times New Roman"/>
                <w:color w:val="000000"/>
                <w:lang w:eastAsia="en-GB"/>
              </w:rPr>
              <w:t>0.26</w:t>
            </w:r>
          </w:p>
        </w:tc>
      </w:tr>
      <w:bookmarkEnd w:id="0"/>
    </w:tbl>
    <w:p w:rsidR="00475FE6" w:rsidRDefault="00475FE6">
      <w:pPr>
        <w:rPr>
          <w:rFonts w:ascii="Times New Roman" w:hAnsi="Times New Roman" w:cs="Times New Roman"/>
          <w:sz w:val="24"/>
          <w:szCs w:val="24"/>
        </w:rPr>
      </w:pPr>
    </w:p>
    <w:p w:rsidR="00475FE6" w:rsidRDefault="00475FE6">
      <w:pPr>
        <w:rPr>
          <w:rFonts w:ascii="Times New Roman" w:hAnsi="Times New Roman" w:cs="Times New Roman"/>
          <w:sz w:val="24"/>
          <w:szCs w:val="24"/>
        </w:rPr>
      </w:pPr>
    </w:p>
    <w:p w:rsidR="00475FE6" w:rsidRDefault="00475FE6">
      <w:pPr>
        <w:rPr>
          <w:rFonts w:ascii="Times New Roman" w:hAnsi="Times New Roman" w:cs="Times New Roman"/>
          <w:sz w:val="24"/>
          <w:szCs w:val="24"/>
        </w:rPr>
      </w:pPr>
    </w:p>
    <w:p w:rsidR="00475FE6" w:rsidRDefault="00475FE6">
      <w:pPr>
        <w:rPr>
          <w:rFonts w:ascii="Times New Roman" w:hAnsi="Times New Roman" w:cs="Times New Roman"/>
          <w:sz w:val="24"/>
          <w:szCs w:val="24"/>
        </w:rPr>
      </w:pPr>
    </w:p>
    <w:p w:rsidR="00821378" w:rsidRDefault="00821378">
      <w:pPr>
        <w:rPr>
          <w:rFonts w:ascii="Times New Roman" w:hAnsi="Times New Roman" w:cs="Times New Roman"/>
          <w:sz w:val="24"/>
          <w:szCs w:val="24"/>
        </w:rPr>
      </w:pPr>
    </w:p>
    <w:p w:rsidR="00821378" w:rsidRDefault="00821378">
      <w:pPr>
        <w:rPr>
          <w:rFonts w:ascii="Times New Roman" w:hAnsi="Times New Roman" w:cs="Times New Roman"/>
          <w:sz w:val="24"/>
          <w:szCs w:val="24"/>
        </w:rPr>
      </w:pPr>
    </w:p>
    <w:p w:rsidR="00821378" w:rsidRDefault="00821378">
      <w:pPr>
        <w:rPr>
          <w:rFonts w:ascii="Times New Roman" w:hAnsi="Times New Roman" w:cs="Times New Roman"/>
          <w:sz w:val="24"/>
          <w:szCs w:val="24"/>
        </w:rPr>
      </w:pPr>
    </w:p>
    <w:p w:rsidR="00821378" w:rsidRDefault="00821378">
      <w:pPr>
        <w:rPr>
          <w:rFonts w:ascii="Times New Roman" w:hAnsi="Times New Roman" w:cs="Times New Roman"/>
          <w:sz w:val="24"/>
          <w:szCs w:val="24"/>
        </w:rPr>
      </w:pPr>
    </w:p>
    <w:p w:rsidR="00821378" w:rsidRDefault="00821378">
      <w:pPr>
        <w:rPr>
          <w:rFonts w:ascii="Times New Roman" w:hAnsi="Times New Roman" w:cs="Times New Roman"/>
          <w:sz w:val="24"/>
          <w:szCs w:val="24"/>
        </w:rPr>
      </w:pPr>
    </w:p>
    <w:p w:rsidR="00821378" w:rsidRDefault="00821378">
      <w:pPr>
        <w:rPr>
          <w:rFonts w:ascii="Times New Roman" w:hAnsi="Times New Roman" w:cs="Times New Roman"/>
          <w:sz w:val="24"/>
          <w:szCs w:val="24"/>
        </w:rPr>
      </w:pPr>
    </w:p>
    <w:p w:rsidR="00821378" w:rsidRDefault="00821378">
      <w:pPr>
        <w:rPr>
          <w:rFonts w:ascii="Times New Roman" w:hAnsi="Times New Roman" w:cs="Times New Roman"/>
          <w:sz w:val="24"/>
          <w:szCs w:val="24"/>
        </w:rPr>
      </w:pPr>
    </w:p>
    <w:p w:rsidR="0027382E" w:rsidRDefault="0027382E">
      <w:pPr>
        <w:rPr>
          <w:rFonts w:ascii="Times New Roman" w:hAnsi="Times New Roman" w:cs="Times New Roman"/>
          <w:sz w:val="24"/>
          <w:szCs w:val="24"/>
        </w:rPr>
      </w:pPr>
    </w:p>
    <w:p w:rsidR="004811A1" w:rsidRPr="002275B3" w:rsidRDefault="002275B3">
      <w:pPr>
        <w:rPr>
          <w:rFonts w:ascii="Times New Roman" w:hAnsi="Times New Roman" w:cs="Times New Roman"/>
          <w:sz w:val="24"/>
          <w:szCs w:val="24"/>
        </w:rPr>
      </w:pPr>
      <w:r w:rsidRPr="002275B3">
        <w:rPr>
          <w:rFonts w:ascii="Times New Roman" w:hAnsi="Times New Roman" w:cs="Times New Roman"/>
          <w:b/>
          <w:bCs/>
          <w:sz w:val="24"/>
          <w:szCs w:val="24"/>
        </w:rPr>
        <w:t>Figure S1.</w:t>
      </w:r>
      <w:r w:rsidRPr="002275B3">
        <w:rPr>
          <w:rFonts w:ascii="Times New Roman" w:hAnsi="Times New Roman" w:cs="Times New Roman"/>
          <w:sz w:val="24"/>
          <w:szCs w:val="24"/>
        </w:rPr>
        <w:t xml:space="preserve"> Dendrogram </w:t>
      </w:r>
    </w:p>
    <w:p w:rsidR="002275B3" w:rsidRDefault="002275B3">
      <w:r w:rsidRPr="002275B3">
        <w:rPr>
          <w:noProof/>
          <w:lang w:val="es-ES" w:eastAsia="es-ES"/>
        </w:rPr>
        <w:drawing>
          <wp:inline distT="0" distB="0" distL="0" distR="0">
            <wp:extent cx="1852550" cy="6747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1866" cy="6817643"/>
                    </a:xfrm>
                    <a:prstGeom prst="rect">
                      <a:avLst/>
                    </a:prstGeom>
                  </pic:spPr>
                </pic:pic>
              </a:graphicData>
            </a:graphic>
          </wp:inline>
        </w:drawing>
      </w:r>
    </w:p>
    <w:p w:rsidR="002275B3" w:rsidRDefault="002275B3"/>
    <w:p w:rsidR="0027382E" w:rsidRDefault="0027382E"/>
    <w:p w:rsidR="002275B3" w:rsidRPr="002275B3" w:rsidRDefault="002275B3">
      <w:pPr>
        <w:rPr>
          <w:rFonts w:ascii="Times New Roman" w:hAnsi="Times New Roman" w:cs="Times New Roman"/>
          <w:sz w:val="24"/>
          <w:szCs w:val="24"/>
        </w:rPr>
      </w:pPr>
      <w:r w:rsidRPr="002275B3">
        <w:rPr>
          <w:rFonts w:ascii="Times New Roman" w:hAnsi="Times New Roman" w:cs="Times New Roman"/>
          <w:b/>
          <w:bCs/>
          <w:sz w:val="24"/>
          <w:szCs w:val="24"/>
        </w:rPr>
        <w:t>Figure S2.</w:t>
      </w:r>
      <w:r w:rsidRPr="002275B3">
        <w:rPr>
          <w:rFonts w:ascii="Times New Roman" w:hAnsi="Times New Roman" w:cs="Times New Roman"/>
          <w:sz w:val="24"/>
          <w:szCs w:val="24"/>
        </w:rPr>
        <w:t xml:space="preserve"> </w:t>
      </w:r>
      <w:r w:rsidR="00835CCF" w:rsidRPr="00C529FE">
        <w:rPr>
          <w:rFonts w:ascii="Times New Roman" w:hAnsi="Times New Roman" w:cs="Times New Roman"/>
          <w:sz w:val="24"/>
          <w:szCs w:val="24"/>
        </w:rPr>
        <w:t xml:space="preserve">(a) </w:t>
      </w:r>
      <w:r w:rsidRPr="00C529FE">
        <w:rPr>
          <w:rFonts w:ascii="Times New Roman" w:hAnsi="Times New Roman" w:cs="Times New Roman"/>
          <w:sz w:val="24"/>
          <w:szCs w:val="24"/>
        </w:rPr>
        <w:t xml:space="preserve">Agglomeration schedule </w:t>
      </w:r>
      <w:r w:rsidR="00835CCF" w:rsidRPr="00C529FE">
        <w:rPr>
          <w:rFonts w:ascii="Times New Roman" w:hAnsi="Times New Roman" w:cs="Times New Roman"/>
          <w:sz w:val="24"/>
          <w:szCs w:val="24"/>
        </w:rPr>
        <w:t>and (b) scree plot of coefficients by stage</w:t>
      </w:r>
    </w:p>
    <w:p w:rsidR="002275B3" w:rsidRDefault="002275B3">
      <w:r w:rsidRPr="002275B3">
        <w:rPr>
          <w:noProof/>
          <w:lang w:val="es-ES" w:eastAsia="es-ES"/>
        </w:rPr>
        <w:drawing>
          <wp:inline distT="0" distB="0" distL="0" distR="0">
            <wp:extent cx="1787574" cy="712623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94417" cy="7153513"/>
                    </a:xfrm>
                    <a:prstGeom prst="rect">
                      <a:avLst/>
                    </a:prstGeom>
                  </pic:spPr>
                </pic:pic>
              </a:graphicData>
            </a:graphic>
          </wp:inline>
        </w:drawing>
      </w:r>
    </w:p>
    <w:p w:rsidR="00835CCF" w:rsidRDefault="00835CCF">
      <w:r>
        <w:rPr>
          <w:noProof/>
          <w:lang w:val="es-ES" w:eastAsia="es-ES"/>
        </w:rPr>
        <w:lastRenderedPageBreak/>
        <w:drawing>
          <wp:inline distT="0" distB="0" distL="0" distR="0">
            <wp:extent cx="5745381" cy="4207258"/>
            <wp:effectExtent l="0" t="0" r="8255" b="3175"/>
            <wp:docPr id="3" name="Chart 3">
              <a:extLst xmlns:a="http://schemas.openxmlformats.org/drawingml/2006/main">
                <a:ext uri="{FF2B5EF4-FFF2-40B4-BE49-F238E27FC236}">
                  <a16:creationId xmlns:a16="http://schemas.microsoft.com/office/drawing/2014/main" id="{9CD65A24-C1F5-46EE-AF8E-45CF251B55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5BC1" w:rsidRDefault="00DE5BC1"/>
    <w:p w:rsidR="00044B1A" w:rsidRDefault="00044B1A"/>
    <w:p w:rsidR="00044B1A" w:rsidRDefault="00044B1A"/>
    <w:sectPr w:rsidR="00044B1A" w:rsidSect="00F411BA">
      <w:headerReference w:type="even" r:id="rId11"/>
      <w:headerReference w:type="default" r:id="rId12"/>
      <w:footerReference w:type="even" r:id="rId13"/>
      <w:footerReference w:type="default" r:id="rId14"/>
      <w:headerReference w:type="first" r:id="rId15"/>
      <w:footerReference w:type="first" r:id="rId16"/>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D5" w:rsidRDefault="008E16D5" w:rsidP="00835CCF">
      <w:pPr>
        <w:spacing w:after="0" w:line="240" w:lineRule="auto"/>
      </w:pPr>
      <w:r>
        <w:separator/>
      </w:r>
    </w:p>
  </w:endnote>
  <w:endnote w:type="continuationSeparator" w:id="0">
    <w:p w:rsidR="008E16D5" w:rsidRDefault="008E16D5" w:rsidP="0083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CF" w:rsidRDefault="00835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CF" w:rsidRDefault="00835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CF" w:rsidRDefault="00835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D5" w:rsidRDefault="008E16D5" w:rsidP="00835CCF">
      <w:pPr>
        <w:spacing w:after="0" w:line="240" w:lineRule="auto"/>
      </w:pPr>
      <w:r>
        <w:separator/>
      </w:r>
    </w:p>
  </w:footnote>
  <w:footnote w:type="continuationSeparator" w:id="0">
    <w:p w:rsidR="008E16D5" w:rsidRDefault="008E16D5" w:rsidP="0083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CF" w:rsidRDefault="00835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CF" w:rsidRDefault="00835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CF" w:rsidRDefault="0083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F10082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394CE5C"/>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B3"/>
    <w:rsid w:val="00007D51"/>
    <w:rsid w:val="00044B1A"/>
    <w:rsid w:val="00090AA6"/>
    <w:rsid w:val="00136506"/>
    <w:rsid w:val="00161FC9"/>
    <w:rsid w:val="001A26E9"/>
    <w:rsid w:val="002275B3"/>
    <w:rsid w:val="00227DBB"/>
    <w:rsid w:val="0027382E"/>
    <w:rsid w:val="002D7B07"/>
    <w:rsid w:val="002D7D22"/>
    <w:rsid w:val="00302A94"/>
    <w:rsid w:val="00333E18"/>
    <w:rsid w:val="003375FE"/>
    <w:rsid w:val="00396556"/>
    <w:rsid w:val="00475FE6"/>
    <w:rsid w:val="004811A1"/>
    <w:rsid w:val="005C50ED"/>
    <w:rsid w:val="005F0438"/>
    <w:rsid w:val="00631AD7"/>
    <w:rsid w:val="006B775A"/>
    <w:rsid w:val="006F5083"/>
    <w:rsid w:val="00767B7E"/>
    <w:rsid w:val="00811D90"/>
    <w:rsid w:val="008129BF"/>
    <w:rsid w:val="00816386"/>
    <w:rsid w:val="00821378"/>
    <w:rsid w:val="00835CCF"/>
    <w:rsid w:val="00844BA8"/>
    <w:rsid w:val="008473F4"/>
    <w:rsid w:val="008E16D5"/>
    <w:rsid w:val="009C6A91"/>
    <w:rsid w:val="00A23E7A"/>
    <w:rsid w:val="00AC4A55"/>
    <w:rsid w:val="00AE0886"/>
    <w:rsid w:val="00B1642E"/>
    <w:rsid w:val="00B37DC6"/>
    <w:rsid w:val="00C529FE"/>
    <w:rsid w:val="00C71D44"/>
    <w:rsid w:val="00CD0F19"/>
    <w:rsid w:val="00D03789"/>
    <w:rsid w:val="00DE5BC1"/>
    <w:rsid w:val="00F21F99"/>
    <w:rsid w:val="00F25CCB"/>
    <w:rsid w:val="00F411BA"/>
    <w:rsid w:val="00F67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1A987D"/>
  <w15:docId w15:val="{724B7713-8858-4DF1-A2AD-EA8C983E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ED"/>
  </w:style>
  <w:style w:type="paragraph" w:styleId="Heading1">
    <w:name w:val="heading 1"/>
    <w:basedOn w:val="Normal"/>
    <w:next w:val="Normal"/>
    <w:link w:val="Heading1Char"/>
    <w:uiPriority w:val="9"/>
    <w:qFormat/>
    <w:rsid w:val="00835C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C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5C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35CCF"/>
    <w:pPr>
      <w:numPr>
        <w:numId w:val="1"/>
      </w:numPr>
      <w:contextualSpacing/>
    </w:pPr>
  </w:style>
  <w:style w:type="paragraph" w:styleId="ListNumber">
    <w:name w:val="List Number"/>
    <w:basedOn w:val="Normal"/>
    <w:uiPriority w:val="99"/>
    <w:semiHidden/>
    <w:unhideWhenUsed/>
    <w:rsid w:val="00835CCF"/>
    <w:pPr>
      <w:numPr>
        <w:numId w:val="2"/>
      </w:numPr>
      <w:contextualSpacing/>
    </w:pPr>
  </w:style>
  <w:style w:type="character" w:customStyle="1" w:styleId="Heading1Char">
    <w:name w:val="Heading 1 Char"/>
    <w:basedOn w:val="DefaultParagraphFont"/>
    <w:link w:val="Heading1"/>
    <w:uiPriority w:val="9"/>
    <w:rsid w:val="00835C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C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35CC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35C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CCF"/>
  </w:style>
  <w:style w:type="paragraph" w:styleId="Footer">
    <w:name w:val="footer"/>
    <w:basedOn w:val="Normal"/>
    <w:link w:val="FooterChar"/>
    <w:uiPriority w:val="99"/>
    <w:unhideWhenUsed/>
    <w:rsid w:val="00835C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CCF"/>
  </w:style>
  <w:style w:type="paragraph" w:styleId="BalloonText">
    <w:name w:val="Balloon Text"/>
    <w:basedOn w:val="Normal"/>
    <w:link w:val="BalloonTextChar"/>
    <w:uiPriority w:val="99"/>
    <w:semiHidden/>
    <w:unhideWhenUsed/>
    <w:rsid w:val="00DE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C1"/>
    <w:rPr>
      <w:rFonts w:ascii="Segoe UI" w:hAnsi="Segoe UI" w:cs="Segoe UI"/>
      <w:sz w:val="18"/>
      <w:szCs w:val="18"/>
    </w:rPr>
  </w:style>
  <w:style w:type="table" w:styleId="TableGrid">
    <w:name w:val="Table Grid"/>
    <w:basedOn w:val="TableNormal"/>
    <w:uiPriority w:val="39"/>
    <w:rsid w:val="00DE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AA6"/>
    <w:pPr>
      <w:ind w:left="720"/>
      <w:contextualSpacing/>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regionh.top.local\dfs\Logget\LovbeskyttetMapper\BIO-3\Article%20EMO-C-UR\clust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yVal>
            <c:numRef>
              <c:f>Sheet1!$D$4:$D$96</c:f>
              <c:numCache>
                <c:formatCode>###0</c:formatCode>
                <c:ptCount val="93"/>
                <c:pt idx="0">
                  <c:v>0.62505214605806669</c:v>
                </c:pt>
                <c:pt idx="1">
                  <c:v>1.3276217106110979</c:v>
                </c:pt>
                <c:pt idx="2">
                  <c:v>2.3507244305146737</c:v>
                </c:pt>
                <c:pt idx="3">
                  <c:v>3.4052500725538692</c:v>
                </c:pt>
                <c:pt idx="4">
                  <c:v>4.5031469427035287</c:v>
                </c:pt>
                <c:pt idx="5">
                  <c:v>5.9811979676283782</c:v>
                </c:pt>
                <c:pt idx="6">
                  <c:v>7.4849241083043676</c:v>
                </c:pt>
                <c:pt idx="7">
                  <c:v>9.1404489948883167</c:v>
                </c:pt>
                <c:pt idx="8">
                  <c:v>10.866341974533064</c:v>
                </c:pt>
                <c:pt idx="9">
                  <c:v>12.726190700323928</c:v>
                </c:pt>
                <c:pt idx="10">
                  <c:v>14.638051666047792</c:v>
                </c:pt>
                <c:pt idx="11">
                  <c:v>16.644766711938065</c:v>
                </c:pt>
                <c:pt idx="12">
                  <c:v>18.660536671986094</c:v>
                </c:pt>
                <c:pt idx="13">
                  <c:v>20.75888115165273</c:v>
                </c:pt>
                <c:pt idx="14">
                  <c:v>22.867566562944226</c:v>
                </c:pt>
                <c:pt idx="15">
                  <c:v>24.997799634953719</c:v>
                </c:pt>
                <c:pt idx="16">
                  <c:v>27.242823228113298</c:v>
                </c:pt>
                <c:pt idx="17">
                  <c:v>29.594390979913662</c:v>
                </c:pt>
                <c:pt idx="18">
                  <c:v>32.054983085991118</c:v>
                </c:pt>
                <c:pt idx="19">
                  <c:v>34.58279618858105</c:v>
                </c:pt>
                <c:pt idx="20">
                  <c:v>37.190105302332839</c:v>
                </c:pt>
                <c:pt idx="21">
                  <c:v>39.815281905110993</c:v>
                </c:pt>
                <c:pt idx="22">
                  <c:v>42.54393717293317</c:v>
                </c:pt>
                <c:pt idx="23">
                  <c:v>45.298820930724695</c:v>
                </c:pt>
                <c:pt idx="24">
                  <c:v>48.194522771272197</c:v>
                </c:pt>
                <c:pt idx="25">
                  <c:v>51.150618733611495</c:v>
                </c:pt>
                <c:pt idx="26">
                  <c:v>54.199809070572215</c:v>
                </c:pt>
                <c:pt idx="27">
                  <c:v>57.252660303548758</c:v>
                </c:pt>
                <c:pt idx="28">
                  <c:v>60.33996794263652</c:v>
                </c:pt>
                <c:pt idx="29">
                  <c:v>63.489116907509583</c:v>
                </c:pt>
                <c:pt idx="30">
                  <c:v>66.946539625981146</c:v>
                </c:pt>
                <c:pt idx="31">
                  <c:v>70.419410010268606</c:v>
                </c:pt>
                <c:pt idx="32">
                  <c:v>74.030882104762284</c:v>
                </c:pt>
                <c:pt idx="33">
                  <c:v>77.749365516779619</c:v>
                </c:pt>
                <c:pt idx="34">
                  <c:v>81.850037783164339</c:v>
                </c:pt>
                <c:pt idx="35">
                  <c:v>86.002574877250439</c:v>
                </c:pt>
                <c:pt idx="36">
                  <c:v>90.199803616273812</c:v>
                </c:pt>
                <c:pt idx="37">
                  <c:v>94.403281022527779</c:v>
                </c:pt>
                <c:pt idx="38">
                  <c:v>98.61351494198513</c:v>
                </c:pt>
                <c:pt idx="39">
                  <c:v>102.84883257526891</c:v>
                </c:pt>
                <c:pt idx="40">
                  <c:v>107.12617774983221</c:v>
                </c:pt>
                <c:pt idx="41">
                  <c:v>111.47817836472589</c:v>
                </c:pt>
                <c:pt idx="42">
                  <c:v>116.05687491889583</c:v>
                </c:pt>
                <c:pt idx="43">
                  <c:v>120.76536825858599</c:v>
                </c:pt>
                <c:pt idx="44">
                  <c:v>125.76798461396417</c:v>
                </c:pt>
                <c:pt idx="45">
                  <c:v>130.84335452301596</c:v>
                </c:pt>
                <c:pt idx="46">
                  <c:v>136.06103909553224</c:v>
                </c:pt>
                <c:pt idx="47">
                  <c:v>141.47041178921501</c:v>
                </c:pt>
                <c:pt idx="48">
                  <c:v>146.89761664876357</c:v>
                </c:pt>
                <c:pt idx="49">
                  <c:v>152.61823730399047</c:v>
                </c:pt>
                <c:pt idx="50">
                  <c:v>158.6145371013707</c:v>
                </c:pt>
                <c:pt idx="51">
                  <c:v>164.63317657035978</c:v>
                </c:pt>
                <c:pt idx="52">
                  <c:v>170.79231126843467</c:v>
                </c:pt>
                <c:pt idx="53">
                  <c:v>177.2047971546653</c:v>
                </c:pt>
                <c:pt idx="54">
                  <c:v>183.78363515625918</c:v>
                </c:pt>
                <c:pt idx="55">
                  <c:v>190.62321041636196</c:v>
                </c:pt>
                <c:pt idx="56">
                  <c:v>197.55106745334041</c:v>
                </c:pt>
                <c:pt idx="57">
                  <c:v>204.87343802324963</c:v>
                </c:pt>
                <c:pt idx="58">
                  <c:v>212.44234270715873</c:v>
                </c:pt>
                <c:pt idx="59">
                  <c:v>220.53752042405938</c:v>
                </c:pt>
                <c:pt idx="60">
                  <c:v>229.59957291549989</c:v>
                </c:pt>
                <c:pt idx="61">
                  <c:v>238.93139176135773</c:v>
                </c:pt>
                <c:pt idx="62">
                  <c:v>248.42720555252794</c:v>
                </c:pt>
                <c:pt idx="63">
                  <c:v>258.53092560789622</c:v>
                </c:pt>
                <c:pt idx="64">
                  <c:v>268.64129443301232</c:v>
                </c:pt>
                <c:pt idx="65">
                  <c:v>278.79371063212125</c:v>
                </c:pt>
                <c:pt idx="66">
                  <c:v>289.67395553820529</c:v>
                </c:pt>
                <c:pt idx="67">
                  <c:v>300.7061150786368</c:v>
                </c:pt>
                <c:pt idx="68">
                  <c:v>311.75039933206136</c:v>
                </c:pt>
                <c:pt idx="69">
                  <c:v>323.09007380755526</c:v>
                </c:pt>
                <c:pt idx="70">
                  <c:v>335.26714976906521</c:v>
                </c:pt>
                <c:pt idx="71">
                  <c:v>348.04809117489901</c:v>
                </c:pt>
                <c:pt idx="72">
                  <c:v>362.01409308585085</c:v>
                </c:pt>
                <c:pt idx="73">
                  <c:v>376.30019194234865</c:v>
                </c:pt>
                <c:pt idx="74">
                  <c:v>392.76813811119257</c:v>
                </c:pt>
                <c:pt idx="75">
                  <c:v>409.65122816747265</c:v>
                </c:pt>
                <c:pt idx="76">
                  <c:v>427.082286400805</c:v>
                </c:pt>
                <c:pt idx="77">
                  <c:v>444.54699714923885</c:v>
                </c:pt>
                <c:pt idx="78">
                  <c:v>462.02441997618649</c:v>
                </c:pt>
                <c:pt idx="79">
                  <c:v>480.97843666627273</c:v>
                </c:pt>
                <c:pt idx="80">
                  <c:v>501.02001404123047</c:v>
                </c:pt>
                <c:pt idx="81">
                  <c:v>521.68583853748066</c:v>
                </c:pt>
                <c:pt idx="82">
                  <c:v>548.59342889275206</c:v>
                </c:pt>
                <c:pt idx="83">
                  <c:v>578.08750768746029</c:v>
                </c:pt>
                <c:pt idx="84">
                  <c:v>608.05525190037793</c:v>
                </c:pt>
                <c:pt idx="85">
                  <c:v>639.1964111155628</c:v>
                </c:pt>
                <c:pt idx="86">
                  <c:v>676.81824943729134</c:v>
                </c:pt>
                <c:pt idx="87">
                  <c:v>716.22052263876969</c:v>
                </c:pt>
                <c:pt idx="88">
                  <c:v>759.12597685949379</c:v>
                </c:pt>
                <c:pt idx="89">
                  <c:v>804.14732764351288</c:v>
                </c:pt>
                <c:pt idx="90">
                  <c:v>869.00555978873138</c:v>
                </c:pt>
                <c:pt idx="91">
                  <c:v>969.48660079802528</c:v>
                </c:pt>
                <c:pt idx="92">
                  <c:v>1079.0776869510012</c:v>
                </c:pt>
              </c:numCache>
            </c:numRef>
          </c:yVal>
          <c:smooth val="0"/>
          <c:extLst>
            <c:ext xmlns:c16="http://schemas.microsoft.com/office/drawing/2014/chart" uri="{C3380CC4-5D6E-409C-BE32-E72D297353CC}">
              <c16:uniqueId val="{00000000-3822-4074-ACCA-4C83F73FE2A4}"/>
            </c:ext>
          </c:extLst>
        </c:ser>
        <c:dLbls>
          <c:showLegendKey val="0"/>
          <c:showVal val="0"/>
          <c:showCatName val="0"/>
          <c:showSerName val="0"/>
          <c:showPercent val="0"/>
          <c:showBubbleSize val="0"/>
        </c:dLbls>
        <c:axId val="168501248"/>
        <c:axId val="168777216"/>
      </c:scatterChart>
      <c:valAx>
        <c:axId val="168501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Stage</a:t>
                </a:r>
              </a:p>
            </c:rich>
          </c:tx>
          <c:overlay val="0"/>
          <c:spPr>
            <a:noFill/>
            <a:ln>
              <a:noFill/>
            </a:ln>
            <a:effectLst/>
          </c:sp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777216"/>
        <c:crosses val="autoZero"/>
        <c:crossBetween val="midCat"/>
      </c:valAx>
      <c:valAx>
        <c:axId val="16877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Coefficient</a:t>
                </a:r>
              </a:p>
            </c:rich>
          </c:tx>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50124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5609-433F-4196-8EAA-F3F27B7B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16107</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Lie Kjærstad</dc:creator>
  <cp:keywords/>
  <dc:description/>
  <cp:lastModifiedBy>Hanne Lie Kjærstad</cp:lastModifiedBy>
  <cp:revision>3</cp:revision>
  <dcterms:created xsi:type="dcterms:W3CDTF">2021-09-20T08:26:00Z</dcterms:created>
  <dcterms:modified xsi:type="dcterms:W3CDTF">2021-09-20T08:26:00Z</dcterms:modified>
</cp:coreProperties>
</file>