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8396"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r w:rsidRPr="00A1421B">
        <w:rPr>
          <w:rFonts w:ascii="Times New Roman" w:hAnsi="Times New Roman" w:cs="Times New Roman"/>
          <w:sz w:val="20"/>
          <w:szCs w:val="20"/>
        </w:rPr>
        <w:t>Perinatal Risk Factors and Recent Anemia</w:t>
      </w:r>
    </w:p>
    <w:p w14:paraId="6BC1DDFE"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p>
    <w:p w14:paraId="076E4493"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r w:rsidRPr="00A1421B">
        <w:rPr>
          <w:rFonts w:ascii="Times New Roman" w:hAnsi="Times New Roman" w:cs="Times New Roman"/>
          <w:sz w:val="20"/>
          <w:szCs w:val="20"/>
        </w:rPr>
        <w:t xml:space="preserve">Based on the birth history questionnaire, 98% of the mothers received multivitamins during their pregnancy with the participant and none used cigarettes, alcohol, or illicit drugs. Only one participant was born prematurely, at 35 weeks. No infant received any blood transfusion </w:t>
      </w:r>
      <w:r>
        <w:rPr>
          <w:rFonts w:ascii="Times New Roman" w:hAnsi="Times New Roman" w:cs="Times New Roman"/>
          <w:sz w:val="20"/>
          <w:szCs w:val="20"/>
        </w:rPr>
        <w:t>but</w:t>
      </w:r>
      <w:r w:rsidRPr="00A1421B">
        <w:rPr>
          <w:rFonts w:ascii="Times New Roman" w:hAnsi="Times New Roman" w:cs="Times New Roman"/>
          <w:sz w:val="20"/>
          <w:szCs w:val="20"/>
        </w:rPr>
        <w:t xml:space="preserve"> five (13%) had a significant illness during the first year of life, </w:t>
      </w:r>
      <w:r>
        <w:rPr>
          <w:rFonts w:ascii="Times New Roman" w:hAnsi="Times New Roman" w:cs="Times New Roman"/>
          <w:sz w:val="20"/>
          <w:szCs w:val="20"/>
        </w:rPr>
        <w:t xml:space="preserve">although </w:t>
      </w:r>
      <w:r w:rsidRPr="00A1421B">
        <w:rPr>
          <w:rFonts w:ascii="Times New Roman" w:hAnsi="Times New Roman" w:cs="Times New Roman"/>
          <w:sz w:val="20"/>
          <w:szCs w:val="20"/>
        </w:rPr>
        <w:t xml:space="preserve">none included </w:t>
      </w:r>
      <w:r>
        <w:rPr>
          <w:rFonts w:ascii="Times New Roman" w:hAnsi="Times New Roman" w:cs="Times New Roman"/>
          <w:sz w:val="20"/>
          <w:szCs w:val="20"/>
        </w:rPr>
        <w:t>anemia</w:t>
      </w:r>
      <w:r w:rsidRPr="00A1421B">
        <w:rPr>
          <w:rFonts w:ascii="Times New Roman" w:hAnsi="Times New Roman" w:cs="Times New Roman"/>
          <w:sz w:val="20"/>
          <w:szCs w:val="20"/>
        </w:rPr>
        <w:t xml:space="preserve"> (otitis media x2, urinary tract infection x1, varicella x1, and gastroesophageal reflux disease x1). Of note, 80% of the respondents rated their confidence level in recalling the information for the birth history questionnaire as good or very good.</w:t>
      </w:r>
    </w:p>
    <w:p w14:paraId="2C497313"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p>
    <w:p w14:paraId="18D0782C"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To</w:t>
      </w:r>
      <w:r w:rsidRPr="00A1421B">
        <w:rPr>
          <w:rFonts w:ascii="Times New Roman" w:hAnsi="Times New Roman" w:cs="Times New Roman"/>
          <w:sz w:val="20"/>
          <w:szCs w:val="20"/>
        </w:rPr>
        <w:t xml:space="preserve"> rule out early-life </w:t>
      </w:r>
      <w:r>
        <w:rPr>
          <w:rFonts w:ascii="Times New Roman" w:hAnsi="Times New Roman" w:cs="Times New Roman"/>
          <w:sz w:val="20"/>
          <w:szCs w:val="20"/>
        </w:rPr>
        <w:t>anemia</w:t>
      </w:r>
      <w:r w:rsidRPr="00A1421B">
        <w:rPr>
          <w:rFonts w:ascii="Times New Roman" w:hAnsi="Times New Roman" w:cs="Times New Roman"/>
          <w:sz w:val="20"/>
          <w:szCs w:val="20"/>
        </w:rPr>
        <w:t>, we reviewed the pediatric medical records when available. Only two participants with hemoglobin measurements obtained between 9 and 15 months of life were found: both having normal values.</w:t>
      </w:r>
    </w:p>
    <w:p w14:paraId="109EE26A"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p>
    <w:p w14:paraId="3A60B95A" w14:textId="77777777" w:rsidR="000A0828" w:rsidRPr="00A1421B" w:rsidRDefault="000A0828" w:rsidP="000A0828">
      <w:pPr>
        <w:autoSpaceDE w:val="0"/>
        <w:autoSpaceDN w:val="0"/>
        <w:adjustRightInd w:val="0"/>
        <w:spacing w:line="480" w:lineRule="auto"/>
        <w:rPr>
          <w:rFonts w:ascii="Times New Roman" w:hAnsi="Times New Roman" w:cs="Times New Roman"/>
          <w:sz w:val="20"/>
          <w:szCs w:val="20"/>
        </w:rPr>
      </w:pPr>
      <w:r w:rsidRPr="00A1421B">
        <w:rPr>
          <w:rFonts w:ascii="Times New Roman" w:hAnsi="Times New Roman" w:cs="Times New Roman"/>
          <w:sz w:val="20"/>
          <w:szCs w:val="20"/>
        </w:rPr>
        <w:t xml:space="preserve">Because we had not measured hemoglobin in this study, we also reviewed the participants’ medical record to extract values obtained within a year of the research visit (mean 0.48±0.28 years). We found 19 participants with available hemoglobin values, only one (5%) suggestive of mild </w:t>
      </w:r>
      <w:r>
        <w:rPr>
          <w:rFonts w:ascii="Times New Roman" w:hAnsi="Times New Roman" w:cs="Times New Roman"/>
          <w:sz w:val="20"/>
          <w:szCs w:val="20"/>
        </w:rPr>
        <w:t>anemia</w:t>
      </w:r>
      <w:r w:rsidRPr="00A1421B">
        <w:rPr>
          <w:rFonts w:ascii="Times New Roman" w:hAnsi="Times New Roman" w:cs="Times New Roman"/>
          <w:sz w:val="20"/>
          <w:szCs w:val="20"/>
        </w:rPr>
        <w:t xml:space="preserve"> (10.5 g/dL). </w:t>
      </w:r>
    </w:p>
    <w:p w14:paraId="216BA06C" w14:textId="77777777" w:rsidR="00C0635F" w:rsidRDefault="00C0635F"/>
    <w:p w14:paraId="551A0084" w14:textId="77777777" w:rsidR="00C0635F" w:rsidRDefault="00C0635F"/>
    <w:p w14:paraId="51AED668" w14:textId="77777777" w:rsidR="00C0635F" w:rsidRDefault="00C0635F"/>
    <w:p w14:paraId="10FFB2DB" w14:textId="221256A6" w:rsidR="00C0635F" w:rsidRDefault="00C0635F"/>
    <w:p w14:paraId="3492D3CE" w14:textId="7FD453D5" w:rsidR="00C0635F" w:rsidRDefault="00C0635F"/>
    <w:p w14:paraId="0FA115F5" w14:textId="31D409FB" w:rsidR="00C0635F" w:rsidRDefault="00C0635F"/>
    <w:p w14:paraId="2E8FC1F1" w14:textId="5C1019A2" w:rsidR="00C0635F" w:rsidRDefault="00C0635F"/>
    <w:p w14:paraId="70B448F2" w14:textId="4F5F57BC" w:rsidR="00C0635F" w:rsidRDefault="00C0635F"/>
    <w:p w14:paraId="17B5AFD3" w14:textId="3026F40A" w:rsidR="00C0635F" w:rsidRDefault="00C0635F"/>
    <w:p w14:paraId="616CFAEC" w14:textId="2CE32107" w:rsidR="00C0635F" w:rsidRDefault="00C0635F"/>
    <w:p w14:paraId="2076D599" w14:textId="09ED1013" w:rsidR="00C0635F" w:rsidRDefault="00C0635F"/>
    <w:p w14:paraId="668E52EF" w14:textId="7D109734" w:rsidR="00C0635F" w:rsidRDefault="00C0635F"/>
    <w:p w14:paraId="008593D1" w14:textId="1F845806" w:rsidR="00C0635F" w:rsidRDefault="00C0635F"/>
    <w:p w14:paraId="3331A045" w14:textId="11DE3DFD" w:rsidR="00C0635F" w:rsidRDefault="00C0635F"/>
    <w:p w14:paraId="15FCD69C" w14:textId="1FC1E9A4" w:rsidR="00C0635F" w:rsidRDefault="00C0635F"/>
    <w:p w14:paraId="6D2CF4EE" w14:textId="70BD476E" w:rsidR="00C0635F" w:rsidRDefault="00C0635F"/>
    <w:p w14:paraId="286A3E06" w14:textId="0EDA37C9" w:rsidR="00C0635F" w:rsidRDefault="00C0635F"/>
    <w:p w14:paraId="649AD80F" w14:textId="235FA093" w:rsidR="00C0635F" w:rsidRDefault="00C0635F"/>
    <w:p w14:paraId="269FFB2D" w14:textId="6273A3AB" w:rsidR="00C0635F" w:rsidRDefault="00C0635F"/>
    <w:p w14:paraId="095ACB6A" w14:textId="77777777" w:rsidR="00C0635F" w:rsidRDefault="00C0635F"/>
    <w:p w14:paraId="2848EC0A" w14:textId="77777777" w:rsidR="00C0635F" w:rsidRDefault="00C0635F"/>
    <w:p w14:paraId="1A4B08AD" w14:textId="77777777" w:rsidR="00C0635F" w:rsidRDefault="00C0635F"/>
    <w:p w14:paraId="43F3B1F3" w14:textId="5C5C10F5" w:rsidR="00C0635F" w:rsidRDefault="00831B2D">
      <w:pPr>
        <w:rPr>
          <w:rFonts w:ascii="Times New Roman" w:hAnsi="Times New Roman" w:cs="Times New Roman"/>
          <w:sz w:val="20"/>
          <w:szCs w:val="20"/>
        </w:rPr>
      </w:pPr>
      <w:r w:rsidRPr="00C0635F">
        <w:rPr>
          <w:rFonts w:ascii="Times New Roman" w:hAnsi="Times New Roman" w:cs="Times New Roman"/>
          <w:sz w:val="20"/>
          <w:szCs w:val="20"/>
        </w:rPr>
        <w:t>Supplementary</w:t>
      </w:r>
      <w:r w:rsidR="00C0635F" w:rsidRPr="00C0635F">
        <w:rPr>
          <w:rFonts w:ascii="Times New Roman" w:hAnsi="Times New Roman" w:cs="Times New Roman"/>
          <w:sz w:val="20"/>
          <w:szCs w:val="20"/>
        </w:rPr>
        <w:t xml:space="preserve"> figure:</w:t>
      </w:r>
    </w:p>
    <w:p w14:paraId="1E54461C" w14:textId="77777777" w:rsidR="00C0635F" w:rsidRDefault="00C0635F">
      <w:pPr>
        <w:rPr>
          <w:rFonts w:ascii="Times New Roman" w:hAnsi="Times New Roman" w:cs="Times New Roman"/>
          <w:sz w:val="20"/>
          <w:szCs w:val="20"/>
        </w:rPr>
      </w:pPr>
    </w:p>
    <w:p w14:paraId="09483289" w14:textId="1CAA064B" w:rsidR="00F10272" w:rsidRDefault="00C0635F">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A081933" wp14:editId="46703816">
            <wp:extent cx="5943600" cy="4698365"/>
            <wp:effectExtent l="0" t="0" r="0" b="635"/>
            <wp:docPr id="1" name="Picture 1" descr="A picture containing tex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corate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4698365"/>
                    </a:xfrm>
                    <a:prstGeom prst="rect">
                      <a:avLst/>
                    </a:prstGeom>
                  </pic:spPr>
                </pic:pic>
              </a:graphicData>
            </a:graphic>
          </wp:inline>
        </w:drawing>
      </w:r>
    </w:p>
    <w:p w14:paraId="41C03128" w14:textId="77777777" w:rsidR="009D3180" w:rsidRDefault="009D3180">
      <w:pPr>
        <w:rPr>
          <w:rFonts w:ascii="Times New Roman" w:hAnsi="Times New Roman" w:cs="Times New Roman"/>
          <w:sz w:val="20"/>
          <w:szCs w:val="20"/>
        </w:rPr>
      </w:pPr>
    </w:p>
    <w:p w14:paraId="07511F6E" w14:textId="705C6D16" w:rsidR="00C0635F" w:rsidRPr="00C0635F" w:rsidRDefault="00C0635F">
      <w:pPr>
        <w:rPr>
          <w:rFonts w:ascii="Times New Roman" w:hAnsi="Times New Roman" w:cs="Times New Roman"/>
          <w:sz w:val="20"/>
          <w:szCs w:val="20"/>
        </w:rPr>
      </w:pPr>
      <w:r>
        <w:rPr>
          <w:rFonts w:ascii="Times New Roman" w:hAnsi="Times New Roman" w:cs="Times New Roman"/>
          <w:sz w:val="20"/>
          <w:szCs w:val="20"/>
        </w:rPr>
        <w:t>Supplementa</w:t>
      </w:r>
      <w:r w:rsidR="00831B2D">
        <w:rPr>
          <w:rFonts w:ascii="Times New Roman" w:hAnsi="Times New Roman" w:cs="Times New Roman"/>
          <w:sz w:val="20"/>
          <w:szCs w:val="20"/>
        </w:rPr>
        <w:t xml:space="preserve">l </w:t>
      </w:r>
      <w:r>
        <w:rPr>
          <w:rFonts w:ascii="Times New Roman" w:hAnsi="Times New Roman" w:cs="Times New Roman"/>
          <w:sz w:val="20"/>
          <w:szCs w:val="20"/>
        </w:rPr>
        <w:t>figure: Region of Interest of a Brain MRI</w:t>
      </w:r>
      <w:r w:rsidR="00831B2D">
        <w:rPr>
          <w:rFonts w:ascii="Times New Roman" w:hAnsi="Times New Roman" w:cs="Times New Roman"/>
          <w:sz w:val="20"/>
          <w:szCs w:val="20"/>
        </w:rPr>
        <w:t xml:space="preserve"> showing basal ganglia including</w:t>
      </w:r>
      <w:r w:rsidR="0039416F">
        <w:rPr>
          <w:rFonts w:ascii="Times New Roman" w:hAnsi="Times New Roman" w:cs="Times New Roman"/>
          <w:sz w:val="20"/>
          <w:szCs w:val="20"/>
        </w:rPr>
        <w:t xml:space="preserve">: </w:t>
      </w:r>
      <w:r w:rsidR="00831B2D">
        <w:rPr>
          <w:rFonts w:ascii="Times New Roman" w:hAnsi="Times New Roman" w:cs="Times New Roman"/>
          <w:sz w:val="20"/>
          <w:szCs w:val="20"/>
        </w:rPr>
        <w:t>Caudate, putamen, pallidum.</w:t>
      </w:r>
    </w:p>
    <w:sectPr w:rsidR="00C0635F" w:rsidRPr="00C0635F" w:rsidSect="00BA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28"/>
    <w:rsid w:val="00065AFC"/>
    <w:rsid w:val="00093D12"/>
    <w:rsid w:val="000A0828"/>
    <w:rsid w:val="000E19BF"/>
    <w:rsid w:val="0012231D"/>
    <w:rsid w:val="0019539F"/>
    <w:rsid w:val="00211E83"/>
    <w:rsid w:val="00306E5F"/>
    <w:rsid w:val="0035459B"/>
    <w:rsid w:val="00376584"/>
    <w:rsid w:val="0039416F"/>
    <w:rsid w:val="003B3BE9"/>
    <w:rsid w:val="003E0E6E"/>
    <w:rsid w:val="00400992"/>
    <w:rsid w:val="00426680"/>
    <w:rsid w:val="004370A0"/>
    <w:rsid w:val="004A7A7A"/>
    <w:rsid w:val="004E18CC"/>
    <w:rsid w:val="005031DB"/>
    <w:rsid w:val="005076C9"/>
    <w:rsid w:val="0050786A"/>
    <w:rsid w:val="00547D7A"/>
    <w:rsid w:val="005978DD"/>
    <w:rsid w:val="00831B2D"/>
    <w:rsid w:val="009D3180"/>
    <w:rsid w:val="00A736FF"/>
    <w:rsid w:val="00B13974"/>
    <w:rsid w:val="00B7130F"/>
    <w:rsid w:val="00BA5767"/>
    <w:rsid w:val="00BD7B02"/>
    <w:rsid w:val="00BE6B48"/>
    <w:rsid w:val="00C0635F"/>
    <w:rsid w:val="00C52AB7"/>
    <w:rsid w:val="00CB37E0"/>
    <w:rsid w:val="00CC7A17"/>
    <w:rsid w:val="00CF72EF"/>
    <w:rsid w:val="00D43EFE"/>
    <w:rsid w:val="00D47B44"/>
    <w:rsid w:val="00DC19BF"/>
    <w:rsid w:val="00DE1C8D"/>
    <w:rsid w:val="00E64E72"/>
    <w:rsid w:val="00E67DC0"/>
    <w:rsid w:val="00EF67DF"/>
    <w:rsid w:val="00F10272"/>
    <w:rsid w:val="00F340C0"/>
    <w:rsid w:val="00F433B9"/>
    <w:rsid w:val="00F64A83"/>
    <w:rsid w:val="00FB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216D9"/>
  <w15:chartTrackingRefBased/>
  <w15:docId w15:val="{DFE7C065-DEF4-D24C-9F2F-897D4227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Malack Abbas</dc:creator>
  <cp:keywords/>
  <dc:description/>
  <cp:lastModifiedBy>Malack Abbas</cp:lastModifiedBy>
  <cp:revision>6</cp:revision>
  <dcterms:created xsi:type="dcterms:W3CDTF">2021-01-29T13:45:00Z</dcterms:created>
  <dcterms:modified xsi:type="dcterms:W3CDTF">2021-08-22T15:26:00Z</dcterms:modified>
</cp:coreProperties>
</file>