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70"/>
        <w:gridCol w:w="1133"/>
        <w:gridCol w:w="1774"/>
        <w:gridCol w:w="366"/>
        <w:gridCol w:w="1094"/>
        <w:gridCol w:w="1710"/>
        <w:gridCol w:w="358"/>
        <w:gridCol w:w="1249"/>
        <w:gridCol w:w="1662"/>
      </w:tblGrid>
      <w:tr w:rsidR="00105320" w:rsidRPr="00184AA7" w14:paraId="4A14D140" w14:textId="77777777" w:rsidTr="00C06649">
        <w:trPr>
          <w:trHeight w:val="300"/>
        </w:trPr>
        <w:tc>
          <w:tcPr>
            <w:tcW w:w="1261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52674" w14:textId="77777777" w:rsidR="00105320" w:rsidRDefault="00105320" w:rsidP="00105320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Supplementary A. </w:t>
            </w:r>
            <w:r w:rsidRPr="00D71C43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Odds ratios of mothers’ preconception substance use and substance use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>p</w:t>
            </w:r>
            <w:r w:rsidRPr="00D71C43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regnancy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>pre-</w:t>
            </w:r>
            <w:r w:rsidRPr="00D71C43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awareness,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>pregnancy post-awareness</w:t>
            </w:r>
            <w:r w:rsidRPr="00D71C43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and 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>one year</w:t>
            </w:r>
            <w:proofErr w:type="gramEnd"/>
            <w:r w:rsidRPr="00D71C43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postpartum</w:t>
            </w: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collapsing none and adolescent only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substance use</w:t>
            </w:r>
          </w:p>
          <w:p w14:paraId="223799D2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</w:tr>
      <w:tr w:rsidR="00C06649" w:rsidRPr="00184AA7" w14:paraId="7D2BCE33" w14:textId="77777777" w:rsidTr="00C06649">
        <w:trPr>
          <w:trHeight w:val="300"/>
        </w:trPr>
        <w:tc>
          <w:tcPr>
            <w:tcW w:w="3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1D0431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13AB5E" w14:textId="77777777" w:rsidR="00105320" w:rsidRDefault="00105320" w:rsidP="001053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Substance use in p</w:t>
            </w:r>
            <w:r w:rsidRPr="00CF11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regnancy </w:t>
            </w:r>
          </w:p>
          <w:p w14:paraId="6365D4C1" w14:textId="2AA203E6" w:rsidR="00105320" w:rsidRPr="00184AA7" w:rsidRDefault="00105320" w:rsidP="0010532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</w:pPr>
            <w:r w:rsidRPr="00CF11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pre-awareness</w:t>
            </w: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9FD052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CC989B" w14:textId="77777777" w:rsidR="00105320" w:rsidRDefault="00105320" w:rsidP="001053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Substance use in p</w:t>
            </w:r>
            <w:r w:rsidRPr="00CF11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regnancy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 </w:t>
            </w:r>
          </w:p>
          <w:p w14:paraId="4DD06A28" w14:textId="0307470E" w:rsidR="00105320" w:rsidRPr="00184AA7" w:rsidRDefault="00105320" w:rsidP="0010532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</w:pPr>
            <w:r w:rsidRPr="00CF11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post-awareness</w:t>
            </w: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856E9A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6552F1" w14:textId="43DC318F" w:rsidR="00105320" w:rsidRPr="00184AA7" w:rsidRDefault="00105320" w:rsidP="00CB708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  <w:t>Substance use one year</w:t>
            </w:r>
            <w:r w:rsidRPr="00184AA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  <w:t xml:space="preserve"> postpartum</w:t>
            </w:r>
          </w:p>
        </w:tc>
      </w:tr>
      <w:tr w:rsidR="00C06649" w:rsidRPr="00184AA7" w14:paraId="6C47DA0A" w14:textId="77777777" w:rsidTr="00C06649">
        <w:trPr>
          <w:trHeight w:val="300"/>
        </w:trPr>
        <w:tc>
          <w:tcPr>
            <w:tcW w:w="3270" w:type="dxa"/>
            <w:shd w:val="clear" w:color="auto" w:fill="auto"/>
            <w:vAlign w:val="center"/>
            <w:hideMark/>
          </w:tcPr>
          <w:p w14:paraId="262A343D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D257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n-AU" w:eastAsia="en-AU"/>
              </w:rPr>
              <w:t>OR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26B4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  <w:t>95% CI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14:paraId="581E2B39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FC95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n-AU" w:eastAsia="en-AU"/>
              </w:rPr>
              <w:t>OR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8F8F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  <w:t>95% CI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14:paraId="44BE8A7A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4AAD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n-AU" w:eastAsia="en-AU"/>
              </w:rPr>
              <w:t>OR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BF51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  <w:t>95% CI</w:t>
            </w:r>
          </w:p>
        </w:tc>
      </w:tr>
      <w:tr w:rsidR="00C06649" w:rsidRPr="00184AA7" w14:paraId="216905AA" w14:textId="77777777" w:rsidTr="00C06649">
        <w:trPr>
          <w:trHeight w:val="288"/>
        </w:trPr>
        <w:tc>
          <w:tcPr>
            <w:tcW w:w="3270" w:type="dxa"/>
            <w:shd w:val="clear" w:color="auto" w:fill="auto"/>
            <w:noWrap/>
            <w:vAlign w:val="center"/>
          </w:tcPr>
          <w:p w14:paraId="510B341A" w14:textId="77777777" w:rsidR="00105320" w:rsidRPr="00184AA7" w:rsidRDefault="00105320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9346" w:type="dxa"/>
            <w:gridSpan w:val="8"/>
            <w:shd w:val="clear" w:color="auto" w:fill="auto"/>
            <w:noWrap/>
            <w:vAlign w:val="center"/>
          </w:tcPr>
          <w:p w14:paraId="35DAAE99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</w:tr>
      <w:tr w:rsidR="00C06649" w:rsidRPr="00184AA7" w14:paraId="161AAAD1" w14:textId="77777777" w:rsidTr="00C06649">
        <w:trPr>
          <w:trHeight w:val="288"/>
        </w:trPr>
        <w:tc>
          <w:tcPr>
            <w:tcW w:w="3270" w:type="dxa"/>
            <w:shd w:val="clear" w:color="auto" w:fill="auto"/>
            <w:noWrap/>
            <w:vAlign w:val="center"/>
          </w:tcPr>
          <w:p w14:paraId="19745B9A" w14:textId="77777777" w:rsidR="00105320" w:rsidRPr="00184AA7" w:rsidRDefault="00105320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934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5F966D" w14:textId="0A466F43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  <w:t>Any Maternal Perinatal Alcohol Use</w:t>
            </w:r>
          </w:p>
        </w:tc>
      </w:tr>
      <w:tr w:rsidR="00C06649" w:rsidRPr="00184AA7" w14:paraId="5FCEC482" w14:textId="77777777" w:rsidTr="00C06649">
        <w:trPr>
          <w:trHeight w:val="288"/>
        </w:trPr>
        <w:tc>
          <w:tcPr>
            <w:tcW w:w="3270" w:type="dxa"/>
            <w:shd w:val="clear" w:color="auto" w:fill="auto"/>
            <w:noWrap/>
            <w:vAlign w:val="center"/>
          </w:tcPr>
          <w:p w14:paraId="4E31D806" w14:textId="7B4621C3" w:rsidR="00105320" w:rsidRPr="00184AA7" w:rsidRDefault="00105320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  <w:t>Preconception binge drinking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393339" w14:textId="77777777" w:rsidR="00105320" w:rsidRPr="00184AA7" w:rsidRDefault="00105320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6EF1C4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3DC0CD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1A2EB9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07F362A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4DC3A0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5686D9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8015BD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</w:tr>
      <w:tr w:rsidR="00C06649" w:rsidRPr="00184AA7" w14:paraId="354AAB22" w14:textId="77777777" w:rsidTr="00C06649">
        <w:trPr>
          <w:trHeight w:val="288"/>
        </w:trPr>
        <w:tc>
          <w:tcPr>
            <w:tcW w:w="3270" w:type="dxa"/>
            <w:shd w:val="clear" w:color="auto" w:fill="auto"/>
            <w:noWrap/>
            <w:vAlign w:val="center"/>
            <w:hideMark/>
          </w:tcPr>
          <w:p w14:paraId="5C3620CB" w14:textId="77777777" w:rsidR="00105320" w:rsidRPr="00184AA7" w:rsidRDefault="00105320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   None and adolescent only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394F001" w14:textId="77777777" w:rsidR="00105320" w:rsidRPr="00184AA7" w:rsidRDefault="00105320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23C80B31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</w:tcPr>
          <w:p w14:paraId="688473B6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3C580873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848FCDF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4A833106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25FC7DA9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662" w:type="dxa"/>
            <w:shd w:val="clear" w:color="auto" w:fill="auto"/>
            <w:noWrap/>
            <w:vAlign w:val="center"/>
          </w:tcPr>
          <w:p w14:paraId="626D8500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</w:tr>
      <w:tr w:rsidR="00C06649" w:rsidRPr="00184AA7" w14:paraId="36ADC464" w14:textId="77777777" w:rsidTr="00C06649">
        <w:trPr>
          <w:trHeight w:val="288"/>
        </w:trPr>
        <w:tc>
          <w:tcPr>
            <w:tcW w:w="3270" w:type="dxa"/>
            <w:shd w:val="clear" w:color="auto" w:fill="auto"/>
            <w:noWrap/>
            <w:vAlign w:val="center"/>
            <w:hideMark/>
          </w:tcPr>
          <w:p w14:paraId="0C93FC24" w14:textId="77777777" w:rsidR="00105320" w:rsidRPr="00184AA7" w:rsidRDefault="00105320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   Young adulthood only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43C9AD1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1.98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440BFE12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(1.26, 3.11)</w:t>
            </w:r>
          </w:p>
        </w:tc>
        <w:tc>
          <w:tcPr>
            <w:tcW w:w="366" w:type="dxa"/>
            <w:shd w:val="clear" w:color="auto" w:fill="auto"/>
            <w:noWrap/>
            <w:vAlign w:val="center"/>
          </w:tcPr>
          <w:p w14:paraId="0834A805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671E6AA8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1.61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4EE9AA2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(0.99, 2.64)</w:t>
            </w: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70BBAF0C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6B376002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2.25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14:paraId="466B2849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(1.49, 3.40)</w:t>
            </w:r>
          </w:p>
        </w:tc>
      </w:tr>
      <w:tr w:rsidR="00C06649" w:rsidRPr="00184AA7" w14:paraId="17302397" w14:textId="77777777" w:rsidTr="00C06649">
        <w:trPr>
          <w:trHeight w:val="288"/>
        </w:trPr>
        <w:tc>
          <w:tcPr>
            <w:tcW w:w="3270" w:type="dxa"/>
            <w:shd w:val="clear" w:color="auto" w:fill="auto"/>
            <w:noWrap/>
            <w:vAlign w:val="center"/>
            <w:hideMark/>
          </w:tcPr>
          <w:p w14:paraId="43540991" w14:textId="77777777" w:rsidR="00105320" w:rsidRPr="00184AA7" w:rsidRDefault="00105320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   Adolescence &amp; young adult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9FFE655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1.93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3933F883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(1.17, 3.18)</w:t>
            </w:r>
          </w:p>
        </w:tc>
        <w:tc>
          <w:tcPr>
            <w:tcW w:w="366" w:type="dxa"/>
            <w:shd w:val="clear" w:color="auto" w:fill="auto"/>
            <w:noWrap/>
            <w:vAlign w:val="center"/>
          </w:tcPr>
          <w:p w14:paraId="15E12DDB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7AA8DB8F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2.54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AFBF536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(1.51, 4.27)</w:t>
            </w: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298822F5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66B1D9C2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2.08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14:paraId="4FFBCFA0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(1.33, 3.23)</w:t>
            </w:r>
          </w:p>
        </w:tc>
      </w:tr>
      <w:tr w:rsidR="00C06649" w:rsidRPr="00184AA7" w14:paraId="2D02A1B3" w14:textId="77777777" w:rsidTr="00C06649">
        <w:trPr>
          <w:trHeight w:val="288"/>
        </w:trPr>
        <w:tc>
          <w:tcPr>
            <w:tcW w:w="3270" w:type="dxa"/>
            <w:shd w:val="clear" w:color="auto" w:fill="auto"/>
            <w:noWrap/>
            <w:vAlign w:val="center"/>
          </w:tcPr>
          <w:p w14:paraId="5E050503" w14:textId="77777777" w:rsidR="00105320" w:rsidRPr="00184AA7" w:rsidRDefault="00105320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9346" w:type="dxa"/>
            <w:gridSpan w:val="8"/>
            <w:shd w:val="clear" w:color="auto" w:fill="auto"/>
            <w:noWrap/>
            <w:vAlign w:val="center"/>
          </w:tcPr>
          <w:p w14:paraId="019E3277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</w:tr>
      <w:tr w:rsidR="00C06649" w:rsidRPr="00184AA7" w14:paraId="458988C9" w14:textId="77777777" w:rsidTr="00C06649">
        <w:trPr>
          <w:trHeight w:val="288"/>
        </w:trPr>
        <w:tc>
          <w:tcPr>
            <w:tcW w:w="3270" w:type="dxa"/>
            <w:shd w:val="clear" w:color="auto" w:fill="auto"/>
            <w:noWrap/>
            <w:vAlign w:val="center"/>
          </w:tcPr>
          <w:p w14:paraId="34F9EC47" w14:textId="77777777" w:rsidR="00105320" w:rsidRPr="00184AA7" w:rsidRDefault="00105320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934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F23934" w14:textId="536BF0A8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  <w:t>Any Maternal Perinatal Tobacco Use</w:t>
            </w:r>
          </w:p>
        </w:tc>
      </w:tr>
      <w:tr w:rsidR="00C06649" w:rsidRPr="00184AA7" w14:paraId="30DCF8DA" w14:textId="77777777" w:rsidTr="00C06649">
        <w:trPr>
          <w:trHeight w:val="288"/>
        </w:trPr>
        <w:tc>
          <w:tcPr>
            <w:tcW w:w="3270" w:type="dxa"/>
            <w:shd w:val="clear" w:color="auto" w:fill="auto"/>
            <w:noWrap/>
            <w:vAlign w:val="center"/>
          </w:tcPr>
          <w:p w14:paraId="6EB0928E" w14:textId="6D7C20E8" w:rsidR="00105320" w:rsidRPr="00184AA7" w:rsidRDefault="00105320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  <w:t>Preconception tobacco use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F35670" w14:textId="77777777" w:rsidR="00105320" w:rsidRPr="00184AA7" w:rsidRDefault="00105320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47BC1D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086B92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137B02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62D3B1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601094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968F175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03DA5C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</w:tr>
      <w:tr w:rsidR="00C06649" w:rsidRPr="00184AA7" w14:paraId="31B9BEC1" w14:textId="77777777" w:rsidTr="00C06649">
        <w:trPr>
          <w:trHeight w:val="288"/>
        </w:trPr>
        <w:tc>
          <w:tcPr>
            <w:tcW w:w="3270" w:type="dxa"/>
            <w:shd w:val="clear" w:color="auto" w:fill="auto"/>
            <w:noWrap/>
            <w:vAlign w:val="center"/>
            <w:hideMark/>
          </w:tcPr>
          <w:p w14:paraId="4BDD4791" w14:textId="77777777" w:rsidR="00105320" w:rsidRPr="00184AA7" w:rsidRDefault="00105320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   None and adolescent only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30F6F07" w14:textId="77777777" w:rsidR="00105320" w:rsidRPr="00184AA7" w:rsidRDefault="00105320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022321DC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</w:tcPr>
          <w:p w14:paraId="7C9A2A25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414FD528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EB12FC8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5C01C975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4B9A7880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662" w:type="dxa"/>
            <w:shd w:val="clear" w:color="auto" w:fill="auto"/>
            <w:noWrap/>
            <w:vAlign w:val="center"/>
          </w:tcPr>
          <w:p w14:paraId="000DAF07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</w:tr>
      <w:tr w:rsidR="00C06649" w:rsidRPr="00184AA7" w14:paraId="48D65637" w14:textId="77777777" w:rsidTr="00C06649">
        <w:trPr>
          <w:trHeight w:val="288"/>
        </w:trPr>
        <w:tc>
          <w:tcPr>
            <w:tcW w:w="3270" w:type="dxa"/>
            <w:shd w:val="clear" w:color="auto" w:fill="auto"/>
            <w:noWrap/>
            <w:vAlign w:val="center"/>
            <w:hideMark/>
          </w:tcPr>
          <w:p w14:paraId="3DD7CAAE" w14:textId="77777777" w:rsidR="00105320" w:rsidRPr="00184AA7" w:rsidRDefault="00105320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   Young adulthood only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A874383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10.12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5235CB4F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(4.52, 22.67)</w:t>
            </w:r>
          </w:p>
        </w:tc>
        <w:tc>
          <w:tcPr>
            <w:tcW w:w="366" w:type="dxa"/>
            <w:shd w:val="clear" w:color="auto" w:fill="auto"/>
            <w:noWrap/>
            <w:vAlign w:val="center"/>
          </w:tcPr>
          <w:p w14:paraId="5862AFA0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5CF884A2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14.96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5053030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(4.20, 53.33)</w:t>
            </w: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431946B8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3BBAE579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7.94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14:paraId="0C022AA0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(3.57, 17.67)</w:t>
            </w:r>
          </w:p>
        </w:tc>
      </w:tr>
      <w:tr w:rsidR="00C06649" w:rsidRPr="00184AA7" w14:paraId="73FDB0F2" w14:textId="77777777" w:rsidTr="00C06649">
        <w:trPr>
          <w:trHeight w:val="288"/>
        </w:trPr>
        <w:tc>
          <w:tcPr>
            <w:tcW w:w="3270" w:type="dxa"/>
            <w:shd w:val="clear" w:color="auto" w:fill="auto"/>
            <w:noWrap/>
            <w:vAlign w:val="center"/>
            <w:hideMark/>
          </w:tcPr>
          <w:p w14:paraId="61B665B4" w14:textId="77777777" w:rsidR="00105320" w:rsidRPr="00184AA7" w:rsidRDefault="00105320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   Adolescence &amp; young adult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D688F8C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17.11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1F57A994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(8.15, 35.92)</w:t>
            </w:r>
          </w:p>
        </w:tc>
        <w:tc>
          <w:tcPr>
            <w:tcW w:w="366" w:type="dxa"/>
            <w:shd w:val="clear" w:color="auto" w:fill="auto"/>
            <w:noWrap/>
            <w:vAlign w:val="center"/>
          </w:tcPr>
          <w:p w14:paraId="132A3760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559B0896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25.73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7A53600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(8.35, 79.24)</w:t>
            </w: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4A4A28C9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1A0B8D13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15.5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14:paraId="482FD483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(7.51, 32.01)</w:t>
            </w:r>
          </w:p>
        </w:tc>
      </w:tr>
      <w:tr w:rsidR="00C06649" w:rsidRPr="00184AA7" w14:paraId="408FE0FD" w14:textId="77777777" w:rsidTr="00C06649">
        <w:trPr>
          <w:trHeight w:val="288"/>
        </w:trPr>
        <w:tc>
          <w:tcPr>
            <w:tcW w:w="3270" w:type="dxa"/>
            <w:shd w:val="clear" w:color="auto" w:fill="auto"/>
            <w:noWrap/>
            <w:vAlign w:val="center"/>
          </w:tcPr>
          <w:p w14:paraId="2F153F38" w14:textId="77777777" w:rsidR="00105320" w:rsidRPr="00184AA7" w:rsidRDefault="00105320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9346" w:type="dxa"/>
            <w:gridSpan w:val="8"/>
            <w:shd w:val="clear" w:color="auto" w:fill="auto"/>
            <w:noWrap/>
            <w:vAlign w:val="center"/>
          </w:tcPr>
          <w:p w14:paraId="5D271CFC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</w:tr>
      <w:tr w:rsidR="00C06649" w:rsidRPr="00184AA7" w14:paraId="41FDF463" w14:textId="77777777" w:rsidTr="00C06649">
        <w:trPr>
          <w:trHeight w:val="288"/>
        </w:trPr>
        <w:tc>
          <w:tcPr>
            <w:tcW w:w="3270" w:type="dxa"/>
            <w:shd w:val="clear" w:color="auto" w:fill="auto"/>
            <w:noWrap/>
            <w:vAlign w:val="center"/>
          </w:tcPr>
          <w:p w14:paraId="54D7955B" w14:textId="77777777" w:rsidR="00105320" w:rsidRPr="00184AA7" w:rsidRDefault="00105320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934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D7AC68" w14:textId="0EF21A1D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  <w:t>Any Maternal Perinatal Cannabis Use</w:t>
            </w:r>
          </w:p>
        </w:tc>
      </w:tr>
      <w:tr w:rsidR="00C06649" w:rsidRPr="00184AA7" w14:paraId="5F613042" w14:textId="77777777" w:rsidTr="00C06649">
        <w:trPr>
          <w:trHeight w:val="288"/>
        </w:trPr>
        <w:tc>
          <w:tcPr>
            <w:tcW w:w="3270" w:type="dxa"/>
            <w:shd w:val="clear" w:color="auto" w:fill="auto"/>
            <w:noWrap/>
            <w:vAlign w:val="center"/>
          </w:tcPr>
          <w:p w14:paraId="7F147E05" w14:textId="02B521A3" w:rsidR="00105320" w:rsidRPr="00184AA7" w:rsidRDefault="00105320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  <w:t>Preconception cannabis use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337D8D" w14:textId="77777777" w:rsidR="00105320" w:rsidRPr="00184AA7" w:rsidRDefault="00105320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646E40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E679E5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DF2E91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0A4B7E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7FED9F1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FBE318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43E2D0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</w:tr>
      <w:tr w:rsidR="00C06649" w:rsidRPr="00184AA7" w14:paraId="33D99FD7" w14:textId="77777777" w:rsidTr="00C06649">
        <w:trPr>
          <w:trHeight w:val="288"/>
        </w:trPr>
        <w:tc>
          <w:tcPr>
            <w:tcW w:w="3270" w:type="dxa"/>
            <w:shd w:val="clear" w:color="auto" w:fill="auto"/>
            <w:noWrap/>
            <w:vAlign w:val="center"/>
            <w:hideMark/>
          </w:tcPr>
          <w:p w14:paraId="3F2044C3" w14:textId="77777777" w:rsidR="00105320" w:rsidRPr="00184AA7" w:rsidRDefault="00105320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   None and adolescent only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3FABD50" w14:textId="77777777" w:rsidR="00105320" w:rsidRPr="00184AA7" w:rsidRDefault="00105320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553D830C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</w:tcPr>
          <w:p w14:paraId="3271E3A7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56375BA1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4C300CA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2F2ABC4B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15865321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662" w:type="dxa"/>
            <w:shd w:val="clear" w:color="auto" w:fill="auto"/>
            <w:noWrap/>
            <w:vAlign w:val="center"/>
          </w:tcPr>
          <w:p w14:paraId="5D2FD035" w14:textId="77777777" w:rsidR="00105320" w:rsidRPr="00184AA7" w:rsidRDefault="00105320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</w:tr>
      <w:tr w:rsidR="00C06649" w:rsidRPr="00184AA7" w14:paraId="27349478" w14:textId="77777777" w:rsidTr="00C06649">
        <w:trPr>
          <w:trHeight w:val="288"/>
        </w:trPr>
        <w:tc>
          <w:tcPr>
            <w:tcW w:w="3270" w:type="dxa"/>
            <w:shd w:val="clear" w:color="auto" w:fill="auto"/>
            <w:noWrap/>
            <w:vAlign w:val="center"/>
            <w:hideMark/>
          </w:tcPr>
          <w:p w14:paraId="3ED5DC10" w14:textId="77777777" w:rsidR="00105320" w:rsidRPr="00184AA7" w:rsidRDefault="00105320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   Young adulthood only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D682D4D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5.02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109EB47F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(1.65, 15.28)</w:t>
            </w:r>
          </w:p>
        </w:tc>
        <w:tc>
          <w:tcPr>
            <w:tcW w:w="366" w:type="dxa"/>
            <w:shd w:val="clear" w:color="auto" w:fill="auto"/>
            <w:noWrap/>
            <w:vAlign w:val="center"/>
          </w:tcPr>
          <w:p w14:paraId="32847253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1E22A528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8.71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226C28E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(2.31, 32.87)</w:t>
            </w: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3ECD276A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5F6DE001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15.41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14:paraId="15375FAE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(4.17, 56.95)</w:t>
            </w:r>
          </w:p>
        </w:tc>
      </w:tr>
      <w:tr w:rsidR="00C06649" w:rsidRPr="00184AA7" w14:paraId="5D94D32D" w14:textId="77777777" w:rsidTr="00C06649">
        <w:trPr>
          <w:trHeight w:val="300"/>
        </w:trPr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8B33" w14:textId="77777777" w:rsidR="00105320" w:rsidRPr="00184AA7" w:rsidRDefault="00105320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   Adolescence &amp; young adult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58E192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20.86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D260CD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(7.84, 55.53)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BD6337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93DC8C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18.58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8096BD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(5.31, 65.01)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B55DA5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D6658B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22.56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028732" w14:textId="77777777" w:rsidR="00105320" w:rsidRPr="00184AA7" w:rsidRDefault="00105320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(5.76, 88.42)</w:t>
            </w:r>
          </w:p>
        </w:tc>
      </w:tr>
      <w:tr w:rsidR="00C06649" w:rsidRPr="00184AA7" w14:paraId="5231907D" w14:textId="77777777" w:rsidTr="00C06649">
        <w:trPr>
          <w:trHeight w:val="300"/>
        </w:trPr>
        <w:tc>
          <w:tcPr>
            <w:tcW w:w="12616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3B0B68" w14:textId="701B0106" w:rsidR="00105320" w:rsidRPr="00184AA7" w:rsidRDefault="00105320" w:rsidP="0010532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Adjusted for study cohort, childhood parental separation, childhood parental low education, </w:t>
            </w:r>
            <w:r w:rsidR="009E3574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>parent ethnic</w:t>
            </w:r>
            <w:r w:rsidR="00EA37B8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>ity</w:t>
            </w: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>, adolescent mental health, adolescent delinquency, first child.</w:t>
            </w:r>
          </w:p>
        </w:tc>
      </w:tr>
    </w:tbl>
    <w:p w14:paraId="3A75916C" w14:textId="77777777" w:rsidR="00184AA7" w:rsidRPr="00184AA7" w:rsidRDefault="00184AA7" w:rsidP="00184AA7">
      <w:pPr>
        <w:pStyle w:val="NormalWeb"/>
        <w:shd w:val="clear" w:color="auto" w:fill="FFFFFF"/>
        <w:spacing w:before="120" w:beforeAutospacing="0" w:after="0" w:afterAutospacing="0" w:line="480" w:lineRule="auto"/>
        <w:jc w:val="both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</w:p>
    <w:p w14:paraId="229BE79D" w14:textId="099293DF" w:rsidR="00184AA7" w:rsidRPr="00184AA7" w:rsidRDefault="00184AA7" w:rsidP="00184AA7">
      <w:pPr>
        <w:pStyle w:val="NormalWeb"/>
        <w:shd w:val="clear" w:color="auto" w:fill="FFFFFF"/>
        <w:spacing w:before="120" w:beforeAutospacing="0" w:after="0" w:afterAutospacing="0" w:line="480" w:lineRule="auto"/>
        <w:jc w:val="both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sectPr w:rsidR="00184AA7" w:rsidRPr="00184AA7" w:rsidSect="00CB708F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78"/>
        <w:gridCol w:w="1045"/>
        <w:gridCol w:w="1792"/>
        <w:gridCol w:w="278"/>
        <w:gridCol w:w="1003"/>
        <w:gridCol w:w="1888"/>
        <w:gridCol w:w="278"/>
        <w:gridCol w:w="1224"/>
        <w:gridCol w:w="1825"/>
      </w:tblGrid>
      <w:tr w:rsidR="00C06649" w:rsidRPr="00184AA7" w14:paraId="531576AF" w14:textId="77777777" w:rsidTr="00C06649">
        <w:trPr>
          <w:trHeight w:val="300"/>
        </w:trPr>
        <w:tc>
          <w:tcPr>
            <w:tcW w:w="126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35EBD" w14:textId="77777777" w:rsidR="00C06649" w:rsidRDefault="00C06649" w:rsidP="00C0664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lastRenderedPageBreak/>
              <w:t xml:space="preserve">Supplementary B. </w:t>
            </w:r>
            <w:r w:rsidRPr="00D71C43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Odds ratios of mothers’ preconception substance use and substance use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>p</w:t>
            </w:r>
            <w:r w:rsidRPr="00D71C43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regnancy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>pre-</w:t>
            </w:r>
            <w:r w:rsidRPr="00D71C43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awareness,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>pregnancy post-awareness</w:t>
            </w:r>
            <w:r w:rsidRPr="00D71C43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and 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>one year</w:t>
            </w:r>
            <w:proofErr w:type="gramEnd"/>
            <w:r w:rsidRPr="00D71C43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postpartum</w:t>
            </w: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excluding adolescent only tobacco users</w:t>
            </w:r>
          </w:p>
          <w:p w14:paraId="458D26C7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</w:tr>
      <w:tr w:rsidR="00C06649" w:rsidRPr="00184AA7" w14:paraId="71346975" w14:textId="77777777" w:rsidTr="00C06649">
        <w:trPr>
          <w:trHeight w:val="300"/>
        </w:trPr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78797E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9F259B" w14:textId="77777777" w:rsidR="00C06649" w:rsidRDefault="00C06649" w:rsidP="00C066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Substance use in p</w:t>
            </w:r>
            <w:r w:rsidRPr="00CF11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regnancy </w:t>
            </w:r>
          </w:p>
          <w:p w14:paraId="2236CA43" w14:textId="38727676" w:rsidR="00C06649" w:rsidRPr="00184AA7" w:rsidRDefault="00C06649" w:rsidP="00C0664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</w:pPr>
            <w:r w:rsidRPr="00CF11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pre-awareness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FA2A75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F4523D" w14:textId="77777777" w:rsidR="00C06649" w:rsidRDefault="00C06649" w:rsidP="00C066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Substance use in p</w:t>
            </w:r>
            <w:r w:rsidRPr="00CF11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regnancy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 </w:t>
            </w:r>
          </w:p>
          <w:p w14:paraId="3AB29172" w14:textId="6203AE72" w:rsidR="00C06649" w:rsidRPr="00184AA7" w:rsidRDefault="00C06649" w:rsidP="00C0664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</w:pPr>
            <w:r w:rsidRPr="00CF11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post-awareness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829F79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100249" w14:textId="27D94E75" w:rsidR="00C06649" w:rsidRPr="00184AA7" w:rsidRDefault="00C06649" w:rsidP="00CB708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  <w:t>Substance use one year</w:t>
            </w:r>
            <w:r w:rsidRPr="00184AA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  <w:t xml:space="preserve"> postpartum</w:t>
            </w:r>
          </w:p>
        </w:tc>
      </w:tr>
      <w:tr w:rsidR="00C06649" w:rsidRPr="00184AA7" w14:paraId="0BAD73CB" w14:textId="77777777" w:rsidTr="00C06649">
        <w:trPr>
          <w:trHeight w:val="300"/>
        </w:trPr>
        <w:tc>
          <w:tcPr>
            <w:tcW w:w="3278" w:type="dxa"/>
            <w:shd w:val="clear" w:color="auto" w:fill="auto"/>
            <w:vAlign w:val="center"/>
            <w:hideMark/>
          </w:tcPr>
          <w:p w14:paraId="14959FCB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E0DF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n-AU" w:eastAsia="en-AU"/>
              </w:rPr>
              <w:t>OR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B8B5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  <w:t>95% CI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14:paraId="1C268B11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C998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n-AU" w:eastAsia="en-AU"/>
              </w:rPr>
              <w:t>OR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96F5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  <w:t>95% CI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14:paraId="6FFBA8CB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60D8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n-AU" w:eastAsia="en-AU"/>
              </w:rPr>
              <w:t>OR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03ED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  <w:t>95% CI</w:t>
            </w:r>
          </w:p>
        </w:tc>
      </w:tr>
      <w:tr w:rsidR="00C06649" w:rsidRPr="00184AA7" w14:paraId="230DE822" w14:textId="77777777" w:rsidTr="00C06649">
        <w:trPr>
          <w:trHeight w:val="288"/>
        </w:trPr>
        <w:tc>
          <w:tcPr>
            <w:tcW w:w="3278" w:type="dxa"/>
            <w:shd w:val="clear" w:color="auto" w:fill="auto"/>
            <w:noWrap/>
            <w:vAlign w:val="center"/>
          </w:tcPr>
          <w:p w14:paraId="419BD079" w14:textId="77777777" w:rsidR="00C06649" w:rsidRPr="00184AA7" w:rsidRDefault="00C06649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999251" w14:textId="77777777" w:rsidR="00C06649" w:rsidRPr="00184AA7" w:rsidRDefault="00C06649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8EF788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</w:tcPr>
          <w:p w14:paraId="46BAE889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77983B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17B55A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</w:tcPr>
          <w:p w14:paraId="5694EDB9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70BC9B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005D73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</w:tr>
      <w:tr w:rsidR="00C06649" w:rsidRPr="00184AA7" w14:paraId="30F3E7E7" w14:textId="77777777" w:rsidTr="00C06649">
        <w:trPr>
          <w:trHeight w:val="288"/>
        </w:trPr>
        <w:tc>
          <w:tcPr>
            <w:tcW w:w="3278" w:type="dxa"/>
            <w:shd w:val="clear" w:color="auto" w:fill="auto"/>
            <w:noWrap/>
            <w:vAlign w:val="center"/>
          </w:tcPr>
          <w:p w14:paraId="6612A181" w14:textId="77777777" w:rsidR="00C06649" w:rsidRPr="00184AA7" w:rsidRDefault="00C06649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933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52AE41" w14:textId="58D12644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  <w:t>Any Maternal Perinatal Alcohol Use</w:t>
            </w:r>
          </w:p>
        </w:tc>
      </w:tr>
      <w:tr w:rsidR="00C06649" w:rsidRPr="00184AA7" w14:paraId="06669675" w14:textId="77777777" w:rsidTr="00C06649">
        <w:trPr>
          <w:trHeight w:val="288"/>
        </w:trPr>
        <w:tc>
          <w:tcPr>
            <w:tcW w:w="3278" w:type="dxa"/>
            <w:shd w:val="clear" w:color="auto" w:fill="auto"/>
            <w:noWrap/>
            <w:vAlign w:val="center"/>
          </w:tcPr>
          <w:p w14:paraId="1A35034F" w14:textId="28A6AD2B" w:rsidR="00C06649" w:rsidRPr="00184AA7" w:rsidRDefault="00C06649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  <w:t>Preconception binge drinking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CCAE5C" w14:textId="77777777" w:rsidR="00C06649" w:rsidRPr="00184AA7" w:rsidRDefault="00C06649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49F643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791F1C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AB6CE8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7DE429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A6D79A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AA1F91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89B160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</w:tr>
      <w:tr w:rsidR="00C06649" w:rsidRPr="00184AA7" w14:paraId="06885819" w14:textId="77777777" w:rsidTr="00C06649">
        <w:trPr>
          <w:trHeight w:val="288"/>
        </w:trPr>
        <w:tc>
          <w:tcPr>
            <w:tcW w:w="3278" w:type="dxa"/>
            <w:shd w:val="clear" w:color="auto" w:fill="auto"/>
            <w:noWrap/>
            <w:vAlign w:val="center"/>
            <w:hideMark/>
          </w:tcPr>
          <w:p w14:paraId="046A5051" w14:textId="77777777" w:rsidR="00C06649" w:rsidRPr="00184AA7" w:rsidRDefault="00C06649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   None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7D97F3F0" w14:textId="77777777" w:rsidR="00C06649" w:rsidRPr="00184AA7" w:rsidRDefault="00C06649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49762716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14:paraId="58CCB964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40F1247E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7E11D694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14:paraId="7ECEF00C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63DBF465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083BA03C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</w:tr>
      <w:tr w:rsidR="00C06649" w:rsidRPr="00184AA7" w14:paraId="1C0910A4" w14:textId="77777777" w:rsidTr="00C06649">
        <w:trPr>
          <w:trHeight w:val="288"/>
        </w:trPr>
        <w:tc>
          <w:tcPr>
            <w:tcW w:w="3278" w:type="dxa"/>
            <w:shd w:val="clear" w:color="auto" w:fill="auto"/>
            <w:noWrap/>
            <w:vAlign w:val="center"/>
          </w:tcPr>
          <w:p w14:paraId="37A85D85" w14:textId="77777777" w:rsidR="00C06649" w:rsidRPr="00184AA7" w:rsidRDefault="00C06649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   Adolescent only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5118981F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1792" w:type="dxa"/>
            <w:shd w:val="clear" w:color="auto" w:fill="auto"/>
            <w:noWrap/>
            <w:vAlign w:val="center"/>
          </w:tcPr>
          <w:p w14:paraId="3790D12D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(0.49, 1.95)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14:paraId="53C0743D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193825AC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2.28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14:paraId="1A0A0556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(1, 5.21)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14:paraId="56713F89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519F49C7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0.81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66DE3D6B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(0.44, 1.51)</w:t>
            </w:r>
          </w:p>
        </w:tc>
      </w:tr>
      <w:tr w:rsidR="00C06649" w:rsidRPr="00184AA7" w14:paraId="45E077A5" w14:textId="77777777" w:rsidTr="00C06649">
        <w:trPr>
          <w:trHeight w:val="288"/>
        </w:trPr>
        <w:tc>
          <w:tcPr>
            <w:tcW w:w="3278" w:type="dxa"/>
            <w:shd w:val="clear" w:color="auto" w:fill="auto"/>
            <w:noWrap/>
            <w:vAlign w:val="center"/>
            <w:hideMark/>
          </w:tcPr>
          <w:p w14:paraId="22D02298" w14:textId="77777777" w:rsidR="00C06649" w:rsidRPr="00184AA7" w:rsidRDefault="00C06649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   Young adulthood only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25CBF1D8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2.04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1C09B008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(1.26, 3.29)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14:paraId="7AFF51F3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2FF7D48F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1.89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51A24066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(1.09, 3.31)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14:paraId="441D5118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33BCE7BA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2.19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71129486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(1.43, 3.38)</w:t>
            </w:r>
          </w:p>
        </w:tc>
      </w:tr>
      <w:tr w:rsidR="00C06649" w:rsidRPr="00184AA7" w14:paraId="324B678E" w14:textId="77777777" w:rsidTr="00C06649">
        <w:trPr>
          <w:trHeight w:val="288"/>
        </w:trPr>
        <w:tc>
          <w:tcPr>
            <w:tcW w:w="3278" w:type="dxa"/>
            <w:shd w:val="clear" w:color="auto" w:fill="auto"/>
            <w:noWrap/>
            <w:vAlign w:val="center"/>
            <w:hideMark/>
          </w:tcPr>
          <w:p w14:paraId="4F5ACE7B" w14:textId="77777777" w:rsidR="00C06649" w:rsidRPr="00184AA7" w:rsidRDefault="00C06649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   Adolescence &amp; young adult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69B020D8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2.10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24E8E858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(1.18, 3.74)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14:paraId="55263A81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369F3889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3.19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1548B929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(1.75, 5.84)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14:paraId="2EB3F904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4964DA6E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2.08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3D1C8ED8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(1.28, 3.37)</w:t>
            </w:r>
          </w:p>
        </w:tc>
      </w:tr>
      <w:tr w:rsidR="00C06649" w:rsidRPr="00184AA7" w14:paraId="78C58793" w14:textId="77777777" w:rsidTr="00C06649">
        <w:trPr>
          <w:trHeight w:val="288"/>
        </w:trPr>
        <w:tc>
          <w:tcPr>
            <w:tcW w:w="3278" w:type="dxa"/>
            <w:shd w:val="clear" w:color="auto" w:fill="auto"/>
            <w:noWrap/>
            <w:vAlign w:val="center"/>
          </w:tcPr>
          <w:p w14:paraId="11D07DAB" w14:textId="77777777" w:rsidR="00C06649" w:rsidRPr="00184AA7" w:rsidRDefault="00C06649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0671BCC0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</w:tcPr>
          <w:p w14:paraId="5462CAFF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</w:tcPr>
          <w:p w14:paraId="767112FE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6AF2857E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noWrap/>
            <w:vAlign w:val="center"/>
          </w:tcPr>
          <w:p w14:paraId="74F83047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</w:tcPr>
          <w:p w14:paraId="52F9210B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3A758D05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4AAFD37B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C06649" w:rsidRPr="00184AA7" w14:paraId="4995B134" w14:textId="77777777" w:rsidTr="00C06649">
        <w:trPr>
          <w:trHeight w:val="288"/>
        </w:trPr>
        <w:tc>
          <w:tcPr>
            <w:tcW w:w="3278" w:type="dxa"/>
            <w:shd w:val="clear" w:color="auto" w:fill="auto"/>
            <w:noWrap/>
            <w:vAlign w:val="center"/>
          </w:tcPr>
          <w:p w14:paraId="4EA0040E" w14:textId="77777777" w:rsidR="00C06649" w:rsidRPr="00184AA7" w:rsidRDefault="00C06649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933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DFB0FD" w14:textId="2BE19EAA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  <w:t>Any Maternal Perinatal Tobacco Use</w:t>
            </w:r>
          </w:p>
        </w:tc>
      </w:tr>
      <w:tr w:rsidR="00C06649" w:rsidRPr="00184AA7" w14:paraId="134067D4" w14:textId="77777777" w:rsidTr="00C06649">
        <w:trPr>
          <w:trHeight w:val="288"/>
        </w:trPr>
        <w:tc>
          <w:tcPr>
            <w:tcW w:w="3278" w:type="dxa"/>
            <w:shd w:val="clear" w:color="auto" w:fill="auto"/>
            <w:noWrap/>
            <w:vAlign w:val="center"/>
          </w:tcPr>
          <w:p w14:paraId="764A5FCF" w14:textId="0B36AD4B" w:rsidR="00C06649" w:rsidRPr="00184AA7" w:rsidRDefault="00C06649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  <w:t>Preconception tobacco use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4A7453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5D4BD3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32B5EA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79D129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359F52C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1F8CAD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648DB4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9D2FD1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</w:tr>
      <w:tr w:rsidR="00C06649" w:rsidRPr="00184AA7" w14:paraId="0B7473BC" w14:textId="77777777" w:rsidTr="00C06649">
        <w:trPr>
          <w:trHeight w:val="288"/>
        </w:trPr>
        <w:tc>
          <w:tcPr>
            <w:tcW w:w="3278" w:type="dxa"/>
            <w:shd w:val="clear" w:color="auto" w:fill="auto"/>
            <w:noWrap/>
            <w:vAlign w:val="center"/>
            <w:hideMark/>
          </w:tcPr>
          <w:p w14:paraId="6762B739" w14:textId="77777777" w:rsidR="00C06649" w:rsidRPr="00184AA7" w:rsidRDefault="00C06649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   None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511BFCD8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39BFBCF7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14:paraId="0C50789F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06301547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7DACEA07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14:paraId="7226D4D2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56BF767F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0A31C9DF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</w:tr>
      <w:tr w:rsidR="00C06649" w:rsidRPr="00184AA7" w14:paraId="14F90782" w14:textId="77777777" w:rsidTr="00C06649">
        <w:trPr>
          <w:trHeight w:val="288"/>
        </w:trPr>
        <w:tc>
          <w:tcPr>
            <w:tcW w:w="3278" w:type="dxa"/>
            <w:shd w:val="clear" w:color="auto" w:fill="auto"/>
            <w:noWrap/>
            <w:vAlign w:val="center"/>
          </w:tcPr>
          <w:p w14:paraId="0D88A640" w14:textId="77777777" w:rsidR="00C06649" w:rsidRPr="00184AA7" w:rsidRDefault="00C06649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   Adolescent only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14:paraId="72D6C7EE" w14:textId="6E7226BC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>NA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14:paraId="210CC71A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2891" w:type="dxa"/>
            <w:gridSpan w:val="2"/>
            <w:shd w:val="clear" w:color="auto" w:fill="auto"/>
            <w:noWrap/>
            <w:vAlign w:val="center"/>
          </w:tcPr>
          <w:p w14:paraId="086CAD1C" w14:textId="7DB62258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>NA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14:paraId="45583CC3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3049" w:type="dxa"/>
            <w:gridSpan w:val="2"/>
            <w:shd w:val="clear" w:color="auto" w:fill="auto"/>
            <w:noWrap/>
            <w:vAlign w:val="center"/>
          </w:tcPr>
          <w:p w14:paraId="2AAA6BE4" w14:textId="749A814D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>NA</w:t>
            </w:r>
          </w:p>
        </w:tc>
      </w:tr>
      <w:tr w:rsidR="00C06649" w:rsidRPr="00184AA7" w14:paraId="23FCED19" w14:textId="77777777" w:rsidTr="00C06649">
        <w:trPr>
          <w:trHeight w:val="288"/>
        </w:trPr>
        <w:tc>
          <w:tcPr>
            <w:tcW w:w="3278" w:type="dxa"/>
            <w:shd w:val="clear" w:color="auto" w:fill="auto"/>
            <w:noWrap/>
            <w:vAlign w:val="center"/>
            <w:hideMark/>
          </w:tcPr>
          <w:p w14:paraId="30A1B37C" w14:textId="77777777" w:rsidR="00C06649" w:rsidRPr="00184AA7" w:rsidRDefault="00C06649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   Young adulthood only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466F6ACC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10.78</w:t>
            </w:r>
          </w:p>
        </w:tc>
        <w:tc>
          <w:tcPr>
            <w:tcW w:w="1792" w:type="dxa"/>
            <w:shd w:val="clear" w:color="auto" w:fill="auto"/>
            <w:noWrap/>
            <w:vAlign w:val="center"/>
          </w:tcPr>
          <w:p w14:paraId="3B60EA47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(4.61, 25.2)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14:paraId="306E8307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1AA55F6A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20.04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14:paraId="554A1E01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(4.37, 91.94)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14:paraId="6DE5ED68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28D1961C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13.92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0B78763C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(5.59, 34.67)</w:t>
            </w:r>
          </w:p>
        </w:tc>
      </w:tr>
      <w:tr w:rsidR="00C06649" w:rsidRPr="00184AA7" w14:paraId="1E2172A9" w14:textId="77777777" w:rsidTr="00C06649">
        <w:trPr>
          <w:trHeight w:val="288"/>
        </w:trPr>
        <w:tc>
          <w:tcPr>
            <w:tcW w:w="3278" w:type="dxa"/>
            <w:shd w:val="clear" w:color="auto" w:fill="auto"/>
            <w:noWrap/>
            <w:vAlign w:val="center"/>
            <w:hideMark/>
          </w:tcPr>
          <w:p w14:paraId="39209021" w14:textId="77777777" w:rsidR="00C06649" w:rsidRPr="00184AA7" w:rsidRDefault="00C06649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   Adolescence &amp; young adult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314616BC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18.18</w:t>
            </w:r>
          </w:p>
        </w:tc>
        <w:tc>
          <w:tcPr>
            <w:tcW w:w="1792" w:type="dxa"/>
            <w:shd w:val="clear" w:color="auto" w:fill="auto"/>
            <w:noWrap/>
            <w:vAlign w:val="center"/>
          </w:tcPr>
          <w:p w14:paraId="68E2EE7B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(8.2, 40.35)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14:paraId="11C018F5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118A1DB0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34.29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14:paraId="7AA1A2A1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(8.02, 146.67)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14:paraId="751CF319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72A6FA5E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27.08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0ADFE4C2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(11.19, 65.51)</w:t>
            </w:r>
          </w:p>
        </w:tc>
      </w:tr>
      <w:tr w:rsidR="00C06649" w:rsidRPr="00184AA7" w14:paraId="6F5BCA36" w14:textId="77777777" w:rsidTr="00C06649">
        <w:trPr>
          <w:trHeight w:val="288"/>
        </w:trPr>
        <w:tc>
          <w:tcPr>
            <w:tcW w:w="3278" w:type="dxa"/>
            <w:shd w:val="clear" w:color="auto" w:fill="auto"/>
            <w:noWrap/>
            <w:vAlign w:val="center"/>
          </w:tcPr>
          <w:p w14:paraId="4A944FD7" w14:textId="77777777" w:rsidR="00C06649" w:rsidRPr="00184AA7" w:rsidRDefault="00C06649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36C7D61B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</w:tcPr>
          <w:p w14:paraId="2B6D8BF9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</w:tcPr>
          <w:p w14:paraId="249F91D8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18AAE2C3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noWrap/>
            <w:vAlign w:val="center"/>
          </w:tcPr>
          <w:p w14:paraId="6ECA1DC4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</w:tcPr>
          <w:p w14:paraId="5AE4DA9E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18A3C754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5E229284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C06649" w:rsidRPr="00184AA7" w14:paraId="6422BCD3" w14:textId="77777777" w:rsidTr="00C06649">
        <w:trPr>
          <w:trHeight w:val="288"/>
        </w:trPr>
        <w:tc>
          <w:tcPr>
            <w:tcW w:w="3278" w:type="dxa"/>
            <w:shd w:val="clear" w:color="auto" w:fill="auto"/>
            <w:noWrap/>
            <w:vAlign w:val="center"/>
          </w:tcPr>
          <w:p w14:paraId="04387585" w14:textId="77777777" w:rsidR="00C06649" w:rsidRPr="00184AA7" w:rsidRDefault="00C06649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933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C7B18E" w14:textId="2EB43323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E77D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  <w:t>Any Maternal Perinatal Cannabis Use</w:t>
            </w:r>
          </w:p>
        </w:tc>
      </w:tr>
      <w:tr w:rsidR="00C06649" w:rsidRPr="00184AA7" w14:paraId="63EBA1FA" w14:textId="77777777" w:rsidTr="00C06649">
        <w:trPr>
          <w:trHeight w:val="288"/>
        </w:trPr>
        <w:tc>
          <w:tcPr>
            <w:tcW w:w="3278" w:type="dxa"/>
            <w:shd w:val="clear" w:color="auto" w:fill="auto"/>
            <w:noWrap/>
            <w:vAlign w:val="center"/>
          </w:tcPr>
          <w:p w14:paraId="32584070" w14:textId="17B0718F" w:rsidR="00C06649" w:rsidRPr="00184AA7" w:rsidRDefault="00C06649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 w:eastAsia="en-AU"/>
              </w:rPr>
              <w:t>Preconception cannabis use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ACDF74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055785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FB5A9C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D015F3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E6C7BF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89B444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D5894C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00CE00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</w:tr>
      <w:tr w:rsidR="00C06649" w:rsidRPr="00184AA7" w14:paraId="4CF3683B" w14:textId="77777777" w:rsidTr="00C06649">
        <w:trPr>
          <w:trHeight w:val="288"/>
        </w:trPr>
        <w:tc>
          <w:tcPr>
            <w:tcW w:w="3278" w:type="dxa"/>
            <w:shd w:val="clear" w:color="auto" w:fill="auto"/>
            <w:noWrap/>
            <w:vAlign w:val="center"/>
            <w:hideMark/>
          </w:tcPr>
          <w:p w14:paraId="168B0E1D" w14:textId="77777777" w:rsidR="00C06649" w:rsidRPr="00184AA7" w:rsidRDefault="00C06649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   None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6FA9284D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477C13E6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14:paraId="68964E6E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694BC712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1B20FA13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14:paraId="6958C869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0E0D4661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2E51AFBC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</w:tr>
      <w:tr w:rsidR="00C06649" w:rsidRPr="00184AA7" w14:paraId="7A41496B" w14:textId="77777777" w:rsidTr="00C06649">
        <w:trPr>
          <w:trHeight w:val="288"/>
        </w:trPr>
        <w:tc>
          <w:tcPr>
            <w:tcW w:w="3278" w:type="dxa"/>
            <w:shd w:val="clear" w:color="auto" w:fill="auto"/>
            <w:noWrap/>
            <w:vAlign w:val="center"/>
          </w:tcPr>
          <w:p w14:paraId="30F286C3" w14:textId="77777777" w:rsidR="00C06649" w:rsidRPr="00184AA7" w:rsidRDefault="00C06649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   Adolescent only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6328ACD2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1.85</w:t>
            </w:r>
          </w:p>
        </w:tc>
        <w:tc>
          <w:tcPr>
            <w:tcW w:w="1792" w:type="dxa"/>
            <w:shd w:val="clear" w:color="auto" w:fill="auto"/>
            <w:noWrap/>
            <w:vAlign w:val="center"/>
          </w:tcPr>
          <w:p w14:paraId="2A7AE728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(0.2, 17.22)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14:paraId="29EBE944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5A60ADF8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3.28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14:paraId="49FEDBE2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(0.25, 42.97)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14:paraId="1183AD0F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0392E16F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3.61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34DF0FA7" w14:textId="77777777" w:rsidR="00C06649" w:rsidRPr="00184AA7" w:rsidRDefault="00C06649" w:rsidP="00CB708F">
            <w:pPr>
              <w:jc w:val="center"/>
              <w:rPr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(0.37, 35.45)</w:t>
            </w:r>
          </w:p>
        </w:tc>
      </w:tr>
      <w:tr w:rsidR="00C06649" w:rsidRPr="00184AA7" w14:paraId="0B1A9C86" w14:textId="77777777" w:rsidTr="00C06649">
        <w:trPr>
          <w:trHeight w:val="288"/>
        </w:trPr>
        <w:tc>
          <w:tcPr>
            <w:tcW w:w="3278" w:type="dxa"/>
            <w:shd w:val="clear" w:color="auto" w:fill="auto"/>
            <w:noWrap/>
            <w:vAlign w:val="center"/>
            <w:hideMark/>
          </w:tcPr>
          <w:p w14:paraId="35AA992A" w14:textId="77777777" w:rsidR="00C06649" w:rsidRPr="00184AA7" w:rsidRDefault="00C06649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   Young adulthood only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6CC2AD82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5.44</w:t>
            </w:r>
          </w:p>
        </w:tc>
        <w:tc>
          <w:tcPr>
            <w:tcW w:w="1792" w:type="dxa"/>
            <w:shd w:val="clear" w:color="auto" w:fill="auto"/>
            <w:noWrap/>
            <w:vAlign w:val="center"/>
          </w:tcPr>
          <w:p w14:paraId="0387387C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(1.8, 16.4)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14:paraId="7BEA83C3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6ECDCA0C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10.21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14:paraId="67CD1216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(2.65, 39.32)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14:paraId="2E3C1D5B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533F0140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18.86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331FE23F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(4.59, 77.41)</w:t>
            </w:r>
          </w:p>
        </w:tc>
      </w:tr>
      <w:tr w:rsidR="00C06649" w:rsidRPr="00184AA7" w14:paraId="0EFF7198" w14:textId="77777777" w:rsidTr="00C06649">
        <w:trPr>
          <w:trHeight w:val="300"/>
        </w:trPr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8099" w14:textId="77777777" w:rsidR="00C06649" w:rsidRPr="00184AA7" w:rsidRDefault="00C06649" w:rsidP="00CB70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   Adolescence &amp; young adult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991EBD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23.08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3CF222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(8.36, 63.71)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1DE29B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8B4081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21.74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3679CB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(6.05, 78.13)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5073E4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7ACD05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26.87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17EE77" w14:textId="77777777" w:rsidR="00C06649" w:rsidRPr="00184AA7" w:rsidRDefault="00C06649" w:rsidP="00CB70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(5.85, 123.33)</w:t>
            </w:r>
          </w:p>
        </w:tc>
      </w:tr>
      <w:tr w:rsidR="00C06649" w:rsidRPr="00184AA7" w14:paraId="3B546A4F" w14:textId="77777777" w:rsidTr="00C06649">
        <w:trPr>
          <w:trHeight w:val="300"/>
        </w:trPr>
        <w:tc>
          <w:tcPr>
            <w:tcW w:w="12611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0D7368B" w14:textId="232A9DBB" w:rsidR="00C06649" w:rsidRPr="00184AA7" w:rsidRDefault="00C06649" w:rsidP="00C0664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Adjusted for study cohort, childhood parental separation, childhood parental low education, </w:t>
            </w:r>
            <w:r w:rsidR="009E3574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>parent ethni</w:t>
            </w:r>
            <w:r w:rsidR="00EA37B8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>city</w:t>
            </w:r>
            <w:r w:rsidRPr="00184AA7">
              <w:rPr>
                <w:rFonts w:ascii="Calibri" w:hAnsi="Calibri" w:cs="Calibri"/>
                <w:color w:val="000000" w:themeColor="text1"/>
                <w:sz w:val="20"/>
                <w:szCs w:val="20"/>
                <w:lang w:val="en-AU" w:eastAsia="en-AU"/>
              </w:rPr>
              <w:t>, adolescent mental health, adolescent delinquency, first child. NA = not applicable; sample size varied across multiple imputations</w:t>
            </w:r>
          </w:p>
        </w:tc>
      </w:tr>
    </w:tbl>
    <w:p w14:paraId="0A985EBB" w14:textId="77777777" w:rsidR="00184AA7" w:rsidRPr="00184AA7" w:rsidRDefault="00184AA7" w:rsidP="00184AA7">
      <w:pPr>
        <w:pStyle w:val="NormalWeb"/>
        <w:shd w:val="clear" w:color="auto" w:fill="FFFFFF"/>
        <w:spacing w:before="120" w:beforeAutospacing="0" w:after="0" w:afterAutospacing="0" w:line="480" w:lineRule="auto"/>
        <w:jc w:val="both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</w:p>
    <w:p w14:paraId="35656F1F" w14:textId="77777777" w:rsidR="00C15338" w:rsidRDefault="00C15338">
      <w:pPr>
        <w:rPr>
          <w:color w:val="000000" w:themeColor="text1"/>
        </w:rPr>
        <w:sectPr w:rsidR="00C15338" w:rsidSect="00184AA7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3324" w:type="dxa"/>
        <w:tblLayout w:type="fixed"/>
        <w:tblLook w:val="04A0" w:firstRow="1" w:lastRow="0" w:firstColumn="1" w:lastColumn="0" w:noHBand="0" w:noVBand="1"/>
      </w:tblPr>
      <w:tblGrid>
        <w:gridCol w:w="5855"/>
        <w:gridCol w:w="804"/>
        <w:gridCol w:w="711"/>
        <w:gridCol w:w="567"/>
        <w:gridCol w:w="42"/>
        <w:gridCol w:w="526"/>
        <w:gridCol w:w="567"/>
        <w:gridCol w:w="607"/>
        <w:gridCol w:w="580"/>
        <w:gridCol w:w="580"/>
        <w:gridCol w:w="437"/>
        <w:gridCol w:w="206"/>
        <w:gridCol w:w="589"/>
        <w:gridCol w:w="548"/>
        <w:gridCol w:w="19"/>
        <w:gridCol w:w="622"/>
        <w:gridCol w:w="64"/>
      </w:tblGrid>
      <w:tr w:rsidR="000E1F61" w:rsidRPr="00C15338" w14:paraId="64D7FAF8" w14:textId="77777777" w:rsidTr="000E1F61">
        <w:trPr>
          <w:gridAfter w:val="3"/>
          <w:wAfter w:w="705" w:type="dxa"/>
          <w:trHeight w:val="294"/>
        </w:trPr>
        <w:tc>
          <w:tcPr>
            <w:tcW w:w="126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FF529D" w14:textId="646F0B41" w:rsidR="00497A2E" w:rsidRDefault="00467ADC" w:rsidP="000E1F61">
            <w:pPr>
              <w:ind w:right="-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lastRenderedPageBreak/>
              <w:t xml:space="preserve">Supplementary C. </w:t>
            </w:r>
            <w:r w:rsidR="00497A2E" w:rsidRPr="00497A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Characteristics </w:t>
            </w:r>
            <w:r w:rsidR="005C6FA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at recruitment </w:t>
            </w:r>
            <w:r w:rsidR="00497A2E" w:rsidRPr="00497A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of (a) all </w:t>
            </w:r>
            <w:r w:rsidR="00497A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Australian Temperament Study </w:t>
            </w:r>
            <w:r w:rsidR="00497A2E" w:rsidRPr="00497A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="00497A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ATP</w:t>
            </w:r>
            <w:r w:rsidR="00497A2E" w:rsidRPr="00497A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  <w:r w:rsidR="002D4F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women</w:t>
            </w:r>
            <w:r w:rsidR="00497A2E" w:rsidRPr="00497A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participants, (b) those screened for </w:t>
            </w:r>
            <w:r w:rsidR="00497A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ATP Generation 3 (ATPG3) </w:t>
            </w:r>
            <w:r w:rsidR="00497A2E" w:rsidRPr="00497A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eligibility, (c) those eligible for </w:t>
            </w:r>
            <w:r w:rsidR="00497A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ATPG3 </w:t>
            </w:r>
            <w:r w:rsidR="00497A2E" w:rsidRPr="00497A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and (d) those participating in </w:t>
            </w:r>
            <w:r w:rsidR="00497A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ATPG3</w:t>
            </w:r>
          </w:p>
          <w:p w14:paraId="391B3BF5" w14:textId="7B4C0B16" w:rsidR="00497A2E" w:rsidRPr="00C15338" w:rsidRDefault="00497A2E" w:rsidP="00497A2E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</w:p>
        </w:tc>
      </w:tr>
      <w:tr w:rsidR="000E1F61" w:rsidRPr="00C15338" w14:paraId="4FBDBA4D" w14:textId="77777777" w:rsidTr="000E1F61">
        <w:trPr>
          <w:gridAfter w:val="1"/>
          <w:wAfter w:w="64" w:type="dxa"/>
          <w:trHeight w:val="294"/>
        </w:trPr>
        <w:tc>
          <w:tcPr>
            <w:tcW w:w="5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FB8C" w14:textId="77777777" w:rsidR="000E1F61" w:rsidRPr="00C15338" w:rsidRDefault="000E1F61" w:rsidP="00CB708F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0294" w14:textId="294B1DBA" w:rsidR="000E1F61" w:rsidRPr="00C15338" w:rsidRDefault="000E1F61" w:rsidP="00CB708F">
            <w:pPr>
              <w:jc w:val="center"/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 w:eastAsia="en-AU"/>
              </w:rPr>
              <w:t>ATP Participant</w:t>
            </w:r>
            <w:r w:rsidR="008D4D64">
              <w:rPr>
                <w:rFonts w:ascii="Calibri" w:hAnsi="Calibri" w:cs="Calibri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9DA4" w14:textId="77777777" w:rsidR="000E1F61" w:rsidRPr="00C15338" w:rsidRDefault="000E1F61" w:rsidP="00CB708F">
            <w:pPr>
              <w:jc w:val="center"/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 w:eastAsia="en-AU"/>
              </w:rPr>
              <w:t>ATPG3 Screened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670E" w14:textId="77777777" w:rsidR="000E1F61" w:rsidRPr="00C15338" w:rsidRDefault="000E1F61" w:rsidP="00CB708F">
            <w:pPr>
              <w:jc w:val="center"/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 w:eastAsia="en-AU"/>
              </w:rPr>
              <w:t>ATPG3 Eligible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0F730E" w14:textId="77777777" w:rsidR="000E1F61" w:rsidRPr="00C15338" w:rsidRDefault="000E1F61" w:rsidP="000E1F61">
            <w:pPr>
              <w:ind w:right="-101"/>
              <w:jc w:val="center"/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 w:eastAsia="en-AU"/>
              </w:rPr>
              <w:t>ATPG3 Participant</w:t>
            </w:r>
          </w:p>
        </w:tc>
      </w:tr>
      <w:tr w:rsidR="000E1F61" w:rsidRPr="00C15338" w14:paraId="77F38129" w14:textId="77777777" w:rsidTr="000E1F61">
        <w:trPr>
          <w:gridAfter w:val="1"/>
          <w:wAfter w:w="64" w:type="dxa"/>
          <w:trHeight w:val="294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EA20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926A" w14:textId="77777777" w:rsidR="00467ADC" w:rsidRPr="00C15338" w:rsidRDefault="00467ADC" w:rsidP="00CB708F">
            <w:pPr>
              <w:jc w:val="center"/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 w:eastAsia="en-AU"/>
              </w:rPr>
              <w:t>N=</w:t>
            </w: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1168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963F" w14:textId="77777777" w:rsidR="00467ADC" w:rsidRPr="00C15338" w:rsidRDefault="00467ADC" w:rsidP="00CB708F">
            <w:pPr>
              <w:jc w:val="center"/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 w:eastAsia="en-AU"/>
              </w:rPr>
              <w:t>N=</w:t>
            </w: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851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A909" w14:textId="77777777" w:rsidR="00467ADC" w:rsidRPr="00C15338" w:rsidRDefault="00467ADC" w:rsidP="00CB708F">
            <w:pPr>
              <w:jc w:val="center"/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 w:eastAsia="en-AU"/>
              </w:rPr>
              <w:t>N=</w:t>
            </w: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460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6FF2" w14:textId="77777777" w:rsidR="00467ADC" w:rsidRPr="00C15338" w:rsidRDefault="00467ADC" w:rsidP="000E1F61">
            <w:pPr>
              <w:ind w:right="-101"/>
              <w:jc w:val="center"/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 w:eastAsia="en-AU"/>
              </w:rPr>
              <w:t>N=</w:t>
            </w: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400</w:t>
            </w:r>
          </w:p>
        </w:tc>
      </w:tr>
      <w:tr w:rsidR="000E1F61" w:rsidRPr="00C15338" w14:paraId="2939B80C" w14:textId="77777777" w:rsidTr="000E1F61">
        <w:trPr>
          <w:trHeight w:val="294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F19D" w14:textId="77777777" w:rsidR="00467ADC" w:rsidRPr="00C15338" w:rsidRDefault="00467ADC" w:rsidP="00CB708F">
            <w:pPr>
              <w:jc w:val="right"/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7E747" w14:textId="77777777" w:rsidR="00467ADC" w:rsidRPr="00C15338" w:rsidRDefault="00467ADC" w:rsidP="00CB708F">
            <w:pPr>
              <w:rPr>
                <w:rFonts w:ascii="Calibri" w:hAnsi="Calibri" w:cs="Calibri"/>
                <w:b/>
                <w:bCs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b/>
                <w:bCs/>
                <w:sz w:val="22"/>
                <w:szCs w:val="22"/>
                <w:lang w:val="en-AU" w:eastAsia="en-AU"/>
              </w:rPr>
              <w:t>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0876E" w14:textId="77777777" w:rsidR="00467ADC" w:rsidRPr="00C15338" w:rsidRDefault="00467ADC" w:rsidP="00CB708F">
            <w:pPr>
              <w:rPr>
                <w:rFonts w:ascii="Calibri" w:hAnsi="Calibri" w:cs="Calibri"/>
                <w:b/>
                <w:bCs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b/>
                <w:bCs/>
                <w:sz w:val="22"/>
                <w:szCs w:val="22"/>
                <w:lang w:val="en-AU" w:eastAsia="en-AU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84B86" w14:textId="77777777" w:rsidR="00467ADC" w:rsidRPr="00C15338" w:rsidRDefault="00467ADC" w:rsidP="00CB708F">
            <w:pPr>
              <w:rPr>
                <w:rFonts w:ascii="Calibri" w:hAnsi="Calibri" w:cs="Calibri"/>
                <w:b/>
                <w:bCs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b/>
                <w:bCs/>
                <w:sz w:val="22"/>
                <w:szCs w:val="22"/>
                <w:lang w:val="en-AU" w:eastAsia="en-AU"/>
              </w:rPr>
              <w:t>%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60EDF" w14:textId="77777777" w:rsidR="00467ADC" w:rsidRPr="00C15338" w:rsidRDefault="00467ADC" w:rsidP="00CB708F">
            <w:pPr>
              <w:rPr>
                <w:rFonts w:ascii="Calibri" w:hAnsi="Calibri" w:cs="Calibri"/>
                <w:b/>
                <w:bCs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b/>
                <w:bCs/>
                <w:sz w:val="22"/>
                <w:szCs w:val="22"/>
                <w:lang w:val="en-AU" w:eastAsia="en-AU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56DE2" w14:textId="77777777" w:rsidR="00467ADC" w:rsidRPr="00C15338" w:rsidRDefault="00467ADC" w:rsidP="00CB708F">
            <w:pPr>
              <w:rPr>
                <w:rFonts w:ascii="Calibri" w:hAnsi="Calibri" w:cs="Calibri"/>
                <w:b/>
                <w:bCs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b/>
                <w:bCs/>
                <w:sz w:val="22"/>
                <w:szCs w:val="22"/>
                <w:lang w:val="en-AU" w:eastAsia="en-AU"/>
              </w:rPr>
              <w:t>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54E05" w14:textId="77777777" w:rsidR="00467ADC" w:rsidRPr="00C15338" w:rsidRDefault="00467ADC" w:rsidP="00CB708F">
            <w:pPr>
              <w:rPr>
                <w:rFonts w:ascii="Calibri" w:hAnsi="Calibri" w:cs="Calibri"/>
                <w:b/>
                <w:bCs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b/>
                <w:bCs/>
                <w:sz w:val="22"/>
                <w:szCs w:val="22"/>
                <w:lang w:val="en-AU" w:eastAsia="en-A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EE444" w14:textId="77777777" w:rsidR="00467ADC" w:rsidRPr="00C15338" w:rsidRDefault="00467ADC" w:rsidP="00CB708F">
            <w:pPr>
              <w:rPr>
                <w:rFonts w:ascii="Calibri" w:hAnsi="Calibri" w:cs="Calibri"/>
                <w:b/>
                <w:bCs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b/>
                <w:bCs/>
                <w:sz w:val="22"/>
                <w:szCs w:val="22"/>
                <w:lang w:val="en-AU" w:eastAsia="en-AU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7E55C" w14:textId="77777777" w:rsidR="00467ADC" w:rsidRPr="00C15338" w:rsidRDefault="00467ADC" w:rsidP="00CB708F">
            <w:pPr>
              <w:rPr>
                <w:rFonts w:ascii="Calibri" w:hAnsi="Calibri" w:cs="Calibri"/>
                <w:b/>
                <w:bCs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b/>
                <w:bCs/>
                <w:sz w:val="22"/>
                <w:szCs w:val="22"/>
                <w:lang w:val="en-AU" w:eastAsia="en-AU"/>
              </w:rPr>
              <w:t>n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6E066" w14:textId="77777777" w:rsidR="00467ADC" w:rsidRPr="00C15338" w:rsidRDefault="00467ADC" w:rsidP="00CB708F">
            <w:pPr>
              <w:rPr>
                <w:rFonts w:ascii="Calibri" w:hAnsi="Calibri" w:cs="Calibri"/>
                <w:b/>
                <w:bCs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b/>
                <w:bCs/>
                <w:sz w:val="22"/>
                <w:szCs w:val="22"/>
                <w:lang w:val="en-AU" w:eastAsia="en-AU"/>
              </w:rPr>
              <w:t>%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B8B0F" w14:textId="77777777" w:rsidR="00467ADC" w:rsidRPr="00C15338" w:rsidRDefault="00467ADC" w:rsidP="00CB708F">
            <w:pPr>
              <w:rPr>
                <w:rFonts w:ascii="Calibri" w:hAnsi="Calibri" w:cs="Calibri"/>
                <w:b/>
                <w:bCs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b/>
                <w:bCs/>
                <w:sz w:val="22"/>
                <w:szCs w:val="22"/>
                <w:lang w:val="en-AU" w:eastAsia="en-AU"/>
              </w:rPr>
              <w:t>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2AEC5" w14:textId="77777777" w:rsidR="00467ADC" w:rsidRPr="00C15338" w:rsidRDefault="00467ADC" w:rsidP="00CB708F">
            <w:pPr>
              <w:rPr>
                <w:rFonts w:ascii="Calibri" w:hAnsi="Calibri" w:cs="Calibri"/>
                <w:b/>
                <w:bCs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b/>
                <w:bCs/>
                <w:sz w:val="22"/>
                <w:szCs w:val="22"/>
                <w:lang w:val="en-AU" w:eastAsia="en-AU"/>
              </w:rPr>
              <w:t>n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779D4" w14:textId="77777777" w:rsidR="00467ADC" w:rsidRPr="00C15338" w:rsidRDefault="00467ADC" w:rsidP="00CB708F">
            <w:pPr>
              <w:rPr>
                <w:rFonts w:ascii="Calibri" w:hAnsi="Calibri" w:cs="Calibri"/>
                <w:b/>
                <w:bCs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b/>
                <w:bCs/>
                <w:sz w:val="22"/>
                <w:szCs w:val="22"/>
                <w:lang w:val="en-AU" w:eastAsia="en-AU"/>
              </w:rPr>
              <w:t>%</w:t>
            </w:r>
          </w:p>
        </w:tc>
      </w:tr>
      <w:tr w:rsidR="000E1F61" w:rsidRPr="00C15338" w14:paraId="7B32A2A5" w14:textId="77777777" w:rsidTr="000E1F61">
        <w:trPr>
          <w:trHeight w:val="294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6BEB" w14:textId="44A19ED0" w:rsidR="00467ADC" w:rsidRPr="00C15338" w:rsidRDefault="002D4F00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 w:eastAsia="en-AU"/>
              </w:rPr>
              <w:t xml:space="preserve">Participant’s </w:t>
            </w:r>
            <w:r w:rsidR="00C10E59">
              <w:rPr>
                <w:rFonts w:ascii="Calibri" w:hAnsi="Calibri" w:cs="Calibri"/>
                <w:sz w:val="22"/>
                <w:szCs w:val="22"/>
                <w:lang w:val="en-AU" w:eastAsia="en-AU"/>
              </w:rPr>
              <w:t>m</w:t>
            </w:r>
            <w:r w:rsidR="00C10E59"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o</w:t>
            </w:r>
            <w:r w:rsidR="00C10E59">
              <w:rPr>
                <w:rFonts w:ascii="Calibri" w:hAnsi="Calibri" w:cs="Calibri"/>
                <w:sz w:val="22"/>
                <w:szCs w:val="22"/>
                <w:lang w:val="en-AU" w:eastAsia="en-AU"/>
              </w:rPr>
              <w:t>ther completed high school or less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DBC1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1137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5C98" w14:textId="77777777" w:rsidR="00467ADC" w:rsidRPr="00C15338" w:rsidRDefault="00467ADC" w:rsidP="000E1F61">
            <w:pPr>
              <w:ind w:right="-317"/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823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191E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72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954E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843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7920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592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8569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DD3E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456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7408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325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2EF3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71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E429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398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E877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275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E28B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69</w:t>
            </w:r>
          </w:p>
        </w:tc>
      </w:tr>
      <w:tr w:rsidR="000E1F61" w:rsidRPr="00C15338" w14:paraId="17E02E72" w14:textId="77777777" w:rsidTr="000E1F61">
        <w:trPr>
          <w:trHeight w:val="294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7DF7" w14:textId="47F2BD7B" w:rsidR="00467ADC" w:rsidRPr="00C15338" w:rsidRDefault="000E1F61" w:rsidP="000E1F61">
            <w:pPr>
              <w:ind w:right="-116"/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 w:eastAsia="en-AU"/>
              </w:rPr>
              <w:t>Participant’s father completed high school or less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4779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1119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9F29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588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B632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53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6EE2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C252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421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A51F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6E3A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454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8A5A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214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6C19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47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C6E9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397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AB96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182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9C9F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46</w:t>
            </w:r>
          </w:p>
        </w:tc>
      </w:tr>
      <w:tr w:rsidR="000E1F61" w:rsidRPr="00C15338" w14:paraId="71A99AAD" w14:textId="77777777" w:rsidTr="000E1F61">
        <w:trPr>
          <w:trHeight w:val="294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851D" w14:textId="05F45BEA" w:rsidR="00467ADC" w:rsidRPr="00C15338" w:rsidRDefault="00C10E59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 w:eastAsia="en-AU"/>
              </w:rPr>
              <w:t>Participant’s m</w:t>
            </w:r>
            <w:r w:rsidR="00467ADC">
              <w:rPr>
                <w:rFonts w:ascii="Calibri" w:hAnsi="Calibri" w:cs="Calibri"/>
                <w:sz w:val="22"/>
                <w:szCs w:val="22"/>
                <w:lang w:val="en-AU" w:eastAsia="en-AU"/>
              </w:rPr>
              <w:t xml:space="preserve">other </w:t>
            </w:r>
            <w:r w:rsidR="000E1F61">
              <w:rPr>
                <w:rFonts w:ascii="Calibri" w:hAnsi="Calibri" w:cs="Calibri"/>
                <w:sz w:val="22"/>
                <w:szCs w:val="22"/>
                <w:lang w:val="en-AU" w:eastAsia="en-AU"/>
              </w:rPr>
              <w:t>not born in Australia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57C3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1151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D6D1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D6E1" w14:textId="77777777" w:rsidR="00467ADC" w:rsidRPr="00C15338" w:rsidRDefault="00467ADC" w:rsidP="000E1F61">
            <w:pPr>
              <w:ind w:right="-467"/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7677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847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8F52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145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F955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02BA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457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7309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65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F577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14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9DDD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399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F3A3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58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9194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15</w:t>
            </w:r>
          </w:p>
        </w:tc>
      </w:tr>
      <w:tr w:rsidR="000E1F61" w:rsidRPr="00C15338" w14:paraId="1D28DE88" w14:textId="77777777" w:rsidTr="000E1F61">
        <w:trPr>
          <w:trHeight w:val="294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DCBB" w14:textId="5CD1D52C" w:rsidR="00467ADC" w:rsidRPr="00C15338" w:rsidRDefault="000E1F61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 w:eastAsia="en-AU"/>
              </w:rPr>
              <w:t>Participant’s father not born in Australia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AB68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1140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7478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289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0892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25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8EDE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E5F1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187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1BCD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6BBA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457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99C3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93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837E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20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2E59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399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E14D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81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2010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20</w:t>
            </w:r>
          </w:p>
        </w:tc>
      </w:tr>
      <w:tr w:rsidR="000E1F61" w:rsidRPr="00C15338" w14:paraId="53438633" w14:textId="77777777" w:rsidTr="000E1F61">
        <w:trPr>
          <w:trHeight w:val="294"/>
        </w:trPr>
        <w:tc>
          <w:tcPr>
            <w:tcW w:w="5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BD48" w14:textId="64C6CDF0" w:rsidR="00467ADC" w:rsidRPr="00C15338" w:rsidRDefault="00497A2E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 w:eastAsia="en-AU"/>
              </w:rPr>
              <w:t>D</w:t>
            </w:r>
            <w:r w:rsidR="00467ADC">
              <w:rPr>
                <w:rFonts w:ascii="Calibri" w:hAnsi="Calibri" w:cs="Calibri"/>
                <w:sz w:val="22"/>
                <w:szCs w:val="22"/>
                <w:lang w:val="en-AU" w:eastAsia="en-AU"/>
              </w:rPr>
              <w:t>ifficult temperament</w:t>
            </w:r>
            <w:r>
              <w:rPr>
                <w:rFonts w:ascii="Calibri" w:hAnsi="Calibri" w:cs="Calibri"/>
                <w:sz w:val="22"/>
                <w:szCs w:val="22"/>
                <w:lang w:val="en-AU" w:eastAsia="en-AU"/>
              </w:rPr>
              <w:t xml:space="preserve"> in </w:t>
            </w:r>
            <w:proofErr w:type="spellStart"/>
            <w:r w:rsidR="000E1F61">
              <w:rPr>
                <w:rFonts w:ascii="Calibri" w:hAnsi="Calibri" w:cs="Calibri"/>
                <w:sz w:val="22"/>
                <w:szCs w:val="22"/>
                <w:lang w:val="en-AU" w:eastAsia="en-AU"/>
              </w:rPr>
              <w:t>infancy</w:t>
            </w:r>
            <w:r w:rsidR="00491204" w:rsidRPr="00491204">
              <w:rPr>
                <w:rFonts w:ascii="Calibri" w:hAnsi="Calibri" w:cs="Calibri"/>
                <w:sz w:val="22"/>
                <w:szCs w:val="22"/>
                <w:vertAlign w:val="superscript"/>
                <w:lang w:val="en-AU" w:eastAsia="en-AU"/>
              </w:rPr>
              <w:t>a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3DA3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1153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5ED2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7880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18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BB04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847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4D50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155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CD22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4760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457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064B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82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2B9D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18</w:t>
            </w:r>
          </w:p>
        </w:tc>
        <w:tc>
          <w:tcPr>
            <w:tcW w:w="5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DAA3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399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6653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71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4017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18</w:t>
            </w:r>
          </w:p>
        </w:tc>
      </w:tr>
      <w:tr w:rsidR="000E1F61" w:rsidRPr="00C15338" w14:paraId="2CAE31D7" w14:textId="77777777" w:rsidTr="000E1F61">
        <w:trPr>
          <w:trHeight w:val="294"/>
        </w:trPr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0362E" w14:textId="797577B9" w:rsidR="00467ADC" w:rsidRPr="00C15338" w:rsidRDefault="00497A2E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 w:eastAsia="en-AU"/>
              </w:rPr>
              <w:t>B</w:t>
            </w:r>
            <w:r w:rsidR="00467ADC">
              <w:rPr>
                <w:rFonts w:ascii="Calibri" w:hAnsi="Calibri" w:cs="Calibri"/>
                <w:sz w:val="22"/>
                <w:szCs w:val="22"/>
                <w:lang w:val="en-AU" w:eastAsia="en-AU"/>
              </w:rPr>
              <w:t>ehaviour problems</w:t>
            </w:r>
            <w:r>
              <w:rPr>
                <w:rFonts w:ascii="Calibri" w:hAnsi="Calibri" w:cs="Calibri"/>
                <w:sz w:val="22"/>
                <w:szCs w:val="22"/>
                <w:lang w:val="en-AU" w:eastAsia="en-AU"/>
              </w:rPr>
              <w:t xml:space="preserve"> </w:t>
            </w:r>
            <w:r w:rsidR="005C6FA5">
              <w:rPr>
                <w:rFonts w:ascii="Calibri" w:hAnsi="Calibri" w:cs="Calibri"/>
                <w:sz w:val="22"/>
                <w:szCs w:val="22"/>
                <w:lang w:val="en-AU" w:eastAsia="en-AU"/>
              </w:rPr>
              <w:t xml:space="preserve">in </w:t>
            </w:r>
            <w:proofErr w:type="spellStart"/>
            <w:r w:rsidR="005C6FA5">
              <w:rPr>
                <w:rFonts w:ascii="Calibri" w:hAnsi="Calibri" w:cs="Calibri"/>
                <w:sz w:val="22"/>
                <w:szCs w:val="22"/>
                <w:lang w:val="en-AU" w:eastAsia="en-AU"/>
              </w:rPr>
              <w:t>infancy</w:t>
            </w:r>
            <w:r w:rsidR="00491204" w:rsidRPr="00491204">
              <w:rPr>
                <w:rFonts w:ascii="Calibri" w:hAnsi="Calibri" w:cs="Calibri"/>
                <w:sz w:val="22"/>
                <w:szCs w:val="22"/>
                <w:vertAlign w:val="superscript"/>
                <w:lang w:val="en-AU" w:eastAsia="en-AU"/>
              </w:rPr>
              <w:t>b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B72E1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1151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2F85C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E9401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23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08EC7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24CC5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197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811A9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A500A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456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D9310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107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F7100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F02F0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398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08748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92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2A3AE" w14:textId="77777777" w:rsidR="00467ADC" w:rsidRPr="00C15338" w:rsidRDefault="00467ADC" w:rsidP="00CB708F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C15338">
              <w:rPr>
                <w:rFonts w:ascii="Calibri" w:hAnsi="Calibri" w:cs="Calibri"/>
                <w:sz w:val="22"/>
                <w:szCs w:val="22"/>
                <w:lang w:val="en-AU" w:eastAsia="en-AU"/>
              </w:rPr>
              <w:t>23</w:t>
            </w:r>
          </w:p>
        </w:tc>
      </w:tr>
    </w:tbl>
    <w:p w14:paraId="3B05F85C" w14:textId="6FFD8102" w:rsidR="00CB708F" w:rsidRPr="000E1F61" w:rsidRDefault="00CB708F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B4B1ED6" w14:textId="58D30AB2" w:rsidR="002032C1" w:rsidRDefault="005C6FA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1204">
        <w:rPr>
          <w:rFonts w:asciiTheme="minorHAnsi" w:hAnsiTheme="minorHAnsi" w:cstheme="minorHAnsi"/>
          <w:color w:val="000000" w:themeColor="text1"/>
          <w:sz w:val="22"/>
          <w:szCs w:val="22"/>
        </w:rPr>
        <w:t>Note: all characteristics assessed at recruitment in 1983 when cohort participants were 4-8 months old.</w:t>
      </w:r>
    </w:p>
    <w:p w14:paraId="334E2D26" w14:textId="77777777" w:rsidR="00505E55" w:rsidRPr="00491204" w:rsidRDefault="00505E5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735833" w14:textId="77777777" w:rsidR="009964BC" w:rsidRPr="009964BC" w:rsidRDefault="009964BC" w:rsidP="009964BC">
      <w:pPr>
        <w:ind w:left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4BC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a </w:t>
      </w:r>
      <w:r w:rsidRPr="009964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Difficult temperament at 4-8 months= mean score &gt;3 on combined subscales of Approach-Withdrawal, Cooperation and Irritability from the Revised Infant Temperament Questionnaire </w:t>
      </w:r>
      <w:r w:rsidRPr="009964B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(</w:t>
      </w:r>
      <w:proofErr w:type="spellStart"/>
      <w:r w:rsidRPr="009964B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Sanson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Prior,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Garino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Oberklaid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&amp; Sewell, 1987)</w:t>
      </w:r>
      <w:r w:rsidRPr="009964BC">
        <w:rPr>
          <w:rFonts w:asciiTheme="minorHAnsi" w:hAnsiTheme="minorHAnsi" w:cstheme="minorHAnsi"/>
          <w:color w:val="000000" w:themeColor="text1"/>
          <w:sz w:val="22"/>
          <w:szCs w:val="22"/>
        </w:rPr>
        <w:t>. Parents rated items on a 6-point Likert-type scale, from 1 (almost never) to 6 (almost always).</w:t>
      </w:r>
      <w:r w:rsidRPr="009964B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5A0B9E27" w14:textId="30280816" w:rsidR="009964BC" w:rsidRPr="009964BC" w:rsidRDefault="009964BC" w:rsidP="009964BC">
      <w:pPr>
        <w:ind w:left="567"/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</w:pPr>
      <w:r w:rsidRPr="009964BC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b </w:t>
      </w:r>
      <w:r w:rsidRPr="009964BC">
        <w:rPr>
          <w:rFonts w:asciiTheme="minorHAnsi" w:hAnsiTheme="minorHAnsi" w:cstheme="minorHAnsi"/>
          <w:color w:val="000000" w:themeColor="text1"/>
          <w:sz w:val="22"/>
          <w:szCs w:val="22"/>
        </w:rPr>
        <w:t>Behaviour problems at 4-8 months= mean score of &gt; 2 from Behaviour Problems Composite scale (see Prio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Sanson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Smart &amp;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Oberklaid</w:t>
      </w:r>
      <w:proofErr w:type="spellEnd"/>
      <w:r w:rsidRPr="009964BC">
        <w:rPr>
          <w:rFonts w:asciiTheme="minorHAnsi" w:hAnsiTheme="minorHAnsi" w:cstheme="minorHAnsi"/>
          <w:color w:val="000000" w:themeColor="text1"/>
          <w:sz w:val="22"/>
          <w:szCs w:val="22"/>
        </w:rPr>
        <w:t>, 2000). Parents rated items (“Colic”, “Sleep problems”, and “Excessive crying”) on a 4-point Likert-type scale, from 1 (none) to 4 (severe).</w:t>
      </w:r>
    </w:p>
    <w:p w14:paraId="0ABF214D" w14:textId="77777777" w:rsidR="009964BC" w:rsidRPr="009964BC" w:rsidRDefault="009964BC" w:rsidP="009964B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6D465C" w14:textId="77777777" w:rsidR="009964BC" w:rsidRPr="009964BC" w:rsidRDefault="009964BC" w:rsidP="009964BC">
      <w:pPr>
        <w:ind w:left="567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9964B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Sanson, A., Prior, M., Garino, E., </w:t>
      </w:r>
      <w:proofErr w:type="spellStart"/>
      <w:r w:rsidRPr="009964B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Oberklaid</w:t>
      </w:r>
      <w:proofErr w:type="spellEnd"/>
      <w:r w:rsidRPr="009964B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F., &amp; Sewell, J. (1987). The structure of infant temperament: Factor analysis of the Revised Infant Temperament Questionnaire. </w:t>
      </w:r>
      <w:r w:rsidRPr="009964BC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Infant Behavior and Development</w:t>
      </w:r>
      <w:r w:rsidRPr="009964B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 </w:t>
      </w:r>
      <w:r w:rsidRPr="009964BC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10</w:t>
      </w:r>
      <w:r w:rsidRPr="009964B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(1), 97-104.</w:t>
      </w:r>
    </w:p>
    <w:p w14:paraId="38312AE3" w14:textId="77777777" w:rsidR="009964BC" w:rsidRPr="009964BC" w:rsidRDefault="009964BC" w:rsidP="009964BC">
      <w:pPr>
        <w:ind w:left="567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51471CC8" w14:textId="77777777" w:rsidR="009964BC" w:rsidRPr="009964BC" w:rsidRDefault="009964BC" w:rsidP="009964BC">
      <w:pPr>
        <w:ind w:left="567"/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449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AU" w:eastAsia="en-GB"/>
        </w:rPr>
        <w:t xml:space="preserve">Prior, M., Sanson, A., Smart, D., &amp; </w:t>
      </w:r>
      <w:proofErr w:type="spellStart"/>
      <w:r w:rsidRPr="005449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AU" w:eastAsia="en-GB"/>
        </w:rPr>
        <w:t>Oberklaid</w:t>
      </w:r>
      <w:proofErr w:type="spellEnd"/>
      <w:r w:rsidRPr="005449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AU" w:eastAsia="en-GB"/>
        </w:rPr>
        <w:t>, F. (2000). </w:t>
      </w:r>
      <w:hyperlink r:id="rId6" w:history="1">
        <w:r w:rsidRPr="005449D3">
          <w:rPr>
            <w:rFonts w:asciiTheme="minorHAnsi" w:hAnsiTheme="minorHAnsi" w:cstheme="minorHAnsi"/>
            <w:i/>
            <w:iCs/>
            <w:color w:val="000000" w:themeColor="text1"/>
            <w:sz w:val="22"/>
            <w:szCs w:val="22"/>
            <w:shd w:val="clear" w:color="auto" w:fill="FFFFFF"/>
            <w:lang w:val="en-AU" w:eastAsia="en-GB"/>
          </w:rPr>
          <w:t>Pathways from infancy to adolescence: Australian Temperament Project 1983-2000</w:t>
        </w:r>
      </w:hyperlink>
      <w:r w:rsidRPr="005449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AU" w:eastAsia="en-GB"/>
        </w:rPr>
        <w:t>. Melbourne, Australia: Australian Institute of Family Studies</w:t>
      </w:r>
    </w:p>
    <w:p w14:paraId="6466C301" w14:textId="77777777" w:rsidR="00491204" w:rsidRPr="00491204" w:rsidRDefault="004912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F31622" w14:textId="79A4EFD0" w:rsidR="000B6237" w:rsidRDefault="000B6237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4790FA1E" w14:textId="1FD83EF8" w:rsidR="000B6237" w:rsidRDefault="000B6237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45F4836A" w14:textId="506252BF" w:rsidR="000B6237" w:rsidRDefault="000B6237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70D5009" w14:textId="04C463A2" w:rsidR="000B6237" w:rsidRDefault="000B6237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7D2EE2B6" w14:textId="0ABC6E69" w:rsidR="000B6237" w:rsidRDefault="000B6237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79E46338" w14:textId="49BF5A92" w:rsidR="000B6237" w:rsidRDefault="000B6237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FD87C0B" w14:textId="1DBA233F" w:rsidR="00497A2E" w:rsidRDefault="00497A2E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Supplementary D. </w:t>
      </w:r>
      <w:r w:rsidRPr="00497A2E">
        <w:rPr>
          <w:rFonts w:asciiTheme="minorHAnsi" w:hAnsiTheme="minorHAnsi"/>
          <w:color w:val="000000" w:themeColor="text1"/>
          <w:sz w:val="22"/>
          <w:szCs w:val="22"/>
        </w:rPr>
        <w:t xml:space="preserve">Characteristics of (a) all Victorian Adolescent Health Cohort Study (VAHCS) </w:t>
      </w:r>
      <w:r w:rsidR="002D4F00">
        <w:rPr>
          <w:rFonts w:asciiTheme="minorHAnsi" w:hAnsiTheme="minorHAnsi"/>
          <w:color w:val="000000" w:themeColor="text1"/>
          <w:sz w:val="22"/>
          <w:szCs w:val="22"/>
        </w:rPr>
        <w:t xml:space="preserve">women </w:t>
      </w:r>
      <w:r w:rsidRPr="00497A2E">
        <w:rPr>
          <w:rFonts w:asciiTheme="minorHAnsi" w:hAnsiTheme="minorHAnsi"/>
          <w:color w:val="000000" w:themeColor="text1"/>
          <w:sz w:val="22"/>
          <w:szCs w:val="22"/>
        </w:rPr>
        <w:t>participants, (b) those screened for the Victorian Intergenerational Health Cohort study (VIHCS) eligibility, (c) those eligible for VIHCS and (d) those participating in VIHCS</w:t>
      </w:r>
    </w:p>
    <w:p w14:paraId="0C01C2C0" w14:textId="3A98ED3B" w:rsidR="00497A2E" w:rsidRDefault="00497A2E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7D1D417" w14:textId="0FA0A0D7" w:rsidR="00497A2E" w:rsidRDefault="00497A2E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inline distT="0" distB="0" distL="0" distR="0" wp14:anchorId="0AAE2024" wp14:editId="6040C88D">
            <wp:extent cx="8229600" cy="4230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1-06-09 at 1.12.5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3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07861" w14:textId="65CF8467" w:rsidR="00497A2E" w:rsidRDefault="000E1F61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862FF" wp14:editId="2E17A337">
                <wp:simplePos x="0" y="0"/>
                <wp:positionH relativeFrom="column">
                  <wp:posOffset>53163</wp:posOffset>
                </wp:positionH>
                <wp:positionV relativeFrom="paragraph">
                  <wp:posOffset>21206</wp:posOffset>
                </wp:positionV>
                <wp:extent cx="8070111" cy="141211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111" cy="1412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BD012E" w14:textId="2FF0C0F2" w:rsidR="00CB708F" w:rsidRPr="00CA64B5" w:rsidRDefault="00CB708F" w:rsidP="00CA64B5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Table adapted from </w:t>
                            </w:r>
                            <w:r w:rsidRPr="00C14B28">
                              <w:rPr>
                                <w:rFonts w:ascii="Calibri" w:hAnsi="Calibri" w:cs="Segoe UI"/>
                                <w:color w:val="212121"/>
                                <w:sz w:val="19"/>
                                <w:szCs w:val="19"/>
                              </w:rPr>
                              <w:t xml:space="preserve">Spry, E., Olsson, C. A., </w:t>
                            </w:r>
                            <w:proofErr w:type="spellStart"/>
                            <w:r w:rsidRPr="00C14B28">
                              <w:rPr>
                                <w:rFonts w:ascii="Calibri" w:hAnsi="Calibri" w:cs="Segoe UI"/>
                                <w:color w:val="212121"/>
                                <w:sz w:val="19"/>
                                <w:szCs w:val="19"/>
                              </w:rPr>
                              <w:t>Hearps</w:t>
                            </w:r>
                            <w:proofErr w:type="spellEnd"/>
                            <w:r w:rsidRPr="00C14B28">
                              <w:rPr>
                                <w:rFonts w:ascii="Calibri" w:hAnsi="Calibri" w:cs="Segoe UI"/>
                                <w:color w:val="212121"/>
                                <w:sz w:val="19"/>
                                <w:szCs w:val="19"/>
                              </w:rPr>
                              <w:t>, S. J. C., Aarsman, S., Carlin, J. B., Howard, L. M., Moreno-</w:t>
                            </w:r>
                            <w:proofErr w:type="spellStart"/>
                            <w:r w:rsidRPr="00C14B28">
                              <w:rPr>
                                <w:rFonts w:ascii="Calibri" w:hAnsi="Calibri" w:cs="Segoe UI"/>
                                <w:color w:val="212121"/>
                                <w:sz w:val="19"/>
                                <w:szCs w:val="19"/>
                              </w:rPr>
                              <w:t>Betancur</w:t>
                            </w:r>
                            <w:proofErr w:type="spellEnd"/>
                            <w:r w:rsidRPr="00C14B28">
                              <w:rPr>
                                <w:rFonts w:ascii="Calibri" w:hAnsi="Calibri" w:cs="Segoe UI"/>
                                <w:color w:val="212121"/>
                                <w:sz w:val="19"/>
                                <w:szCs w:val="19"/>
                              </w:rPr>
                              <w:t>, M., Romaniuk, H., Doyle, L. W., Brown, S., Borschmann, R., Alway, Y., Coffey, C., &amp; Patton, G. C. (2020). The Victorian Intergenerational Health Cohort Study (VIHCS): Study design of a preconception cohort from parent adolescence to offspring childhood. </w:t>
                            </w:r>
                            <w:r w:rsidRPr="00C14B28">
                              <w:rPr>
                                <w:rFonts w:ascii="Calibri" w:hAnsi="Calibri" w:cs="Segoe UI"/>
                                <w:i/>
                                <w:iCs/>
                                <w:color w:val="212121"/>
                                <w:sz w:val="19"/>
                                <w:szCs w:val="19"/>
                              </w:rPr>
                              <w:t>Paediatric and Perinatal Epidemiology</w:t>
                            </w:r>
                            <w:r w:rsidRPr="00C14B28">
                              <w:rPr>
                                <w:rFonts w:ascii="Calibri" w:hAnsi="Calibri" w:cs="Segoe UI"/>
                                <w:color w:val="212121"/>
                                <w:sz w:val="19"/>
                                <w:szCs w:val="19"/>
                              </w:rPr>
                              <w:t>, </w:t>
                            </w:r>
                            <w:r w:rsidRPr="00C14B28">
                              <w:rPr>
                                <w:rFonts w:ascii="Calibri" w:hAnsi="Calibri" w:cs="Segoe UI"/>
                                <w:i/>
                                <w:iCs/>
                                <w:color w:val="212121"/>
                                <w:sz w:val="19"/>
                                <w:szCs w:val="19"/>
                              </w:rPr>
                              <w:t>34</w:t>
                            </w:r>
                            <w:r w:rsidRPr="00C14B28">
                              <w:rPr>
                                <w:rFonts w:ascii="Calibri" w:hAnsi="Calibri" w:cs="Segoe UI"/>
                                <w:color w:val="212121"/>
                                <w:sz w:val="19"/>
                                <w:szCs w:val="19"/>
                              </w:rPr>
                              <w:t>(1), 86–98. https://doi.org/10.1111/ppe.12602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8A862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2pt;margin-top:1.65pt;width:635.45pt;height:11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" fillcolor="white [3201]" stroked="f" strokeweight=".5pt">
                <v:textbox>
                  <w:txbxContent>
                    <w:p w14:paraId="4FBD012E" w14:textId="2FF0C0F2" w:rsidR="00CB708F" w:rsidRPr="00CA64B5" w:rsidRDefault="00CB708F" w:rsidP="00CA64B5">
                      <w:pPr>
                        <w:rPr>
                          <w:rFonts w:asciiTheme="minorHAnsi" w:hAnsi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9"/>
                          <w:szCs w:val="19"/>
                        </w:rPr>
                        <w:t xml:space="preserve">Table adapted from </w:t>
                      </w:r>
                      <w:r w:rsidRPr="00C14B28">
                        <w:rPr>
                          <w:rFonts w:ascii="Calibri" w:hAnsi="Calibri" w:cs="Segoe UI"/>
                          <w:color w:val="212121"/>
                          <w:sz w:val="19"/>
                          <w:szCs w:val="19"/>
                        </w:rPr>
                        <w:t xml:space="preserve">Spry, E., Olsson, C. A., </w:t>
                      </w:r>
                      <w:proofErr w:type="spellStart"/>
                      <w:r w:rsidRPr="00C14B28">
                        <w:rPr>
                          <w:rFonts w:ascii="Calibri" w:hAnsi="Calibri" w:cs="Segoe UI"/>
                          <w:color w:val="212121"/>
                          <w:sz w:val="19"/>
                          <w:szCs w:val="19"/>
                        </w:rPr>
                        <w:t>Hearps</w:t>
                      </w:r>
                      <w:proofErr w:type="spellEnd"/>
                      <w:r w:rsidRPr="00C14B28">
                        <w:rPr>
                          <w:rFonts w:ascii="Calibri" w:hAnsi="Calibri" w:cs="Segoe UI"/>
                          <w:color w:val="212121"/>
                          <w:sz w:val="19"/>
                          <w:szCs w:val="19"/>
                        </w:rPr>
                        <w:t>, S. J. C., Aarsman, S., Carlin, J. B., Howard, L. M., Moreno-</w:t>
                      </w:r>
                      <w:proofErr w:type="spellStart"/>
                      <w:r w:rsidRPr="00C14B28">
                        <w:rPr>
                          <w:rFonts w:ascii="Calibri" w:hAnsi="Calibri" w:cs="Segoe UI"/>
                          <w:color w:val="212121"/>
                          <w:sz w:val="19"/>
                          <w:szCs w:val="19"/>
                        </w:rPr>
                        <w:t>Betancur</w:t>
                      </w:r>
                      <w:proofErr w:type="spellEnd"/>
                      <w:r w:rsidRPr="00C14B28">
                        <w:rPr>
                          <w:rFonts w:ascii="Calibri" w:hAnsi="Calibri" w:cs="Segoe UI"/>
                          <w:color w:val="212121"/>
                          <w:sz w:val="19"/>
                          <w:szCs w:val="19"/>
                        </w:rPr>
                        <w:t>, M., Romaniuk, H., Doyle, L. W., Brown, S., Borschmann, R., Alway, Y., Coffey, C., &amp; Patton, G. C. (2020). The Victorian Intergenerational Health Cohort Study (VIHCS): Study design of a preconception cohort from parent adolescence to offspring childhood. </w:t>
                      </w:r>
                      <w:r w:rsidRPr="00C14B28">
                        <w:rPr>
                          <w:rFonts w:ascii="Calibri" w:hAnsi="Calibri" w:cs="Segoe UI"/>
                          <w:i/>
                          <w:iCs/>
                          <w:color w:val="212121"/>
                          <w:sz w:val="19"/>
                          <w:szCs w:val="19"/>
                        </w:rPr>
                        <w:t>Paediatric and Perinatal Epidemiology</w:t>
                      </w:r>
                      <w:r w:rsidRPr="00C14B28">
                        <w:rPr>
                          <w:rFonts w:ascii="Calibri" w:hAnsi="Calibri" w:cs="Segoe UI"/>
                          <w:color w:val="212121"/>
                          <w:sz w:val="19"/>
                          <w:szCs w:val="19"/>
                        </w:rPr>
                        <w:t>, </w:t>
                      </w:r>
                      <w:r w:rsidRPr="00C14B28">
                        <w:rPr>
                          <w:rFonts w:ascii="Calibri" w:hAnsi="Calibri" w:cs="Segoe UI"/>
                          <w:i/>
                          <w:iCs/>
                          <w:color w:val="212121"/>
                          <w:sz w:val="19"/>
                          <w:szCs w:val="19"/>
                        </w:rPr>
                        <w:t>34</w:t>
                      </w:r>
                      <w:r w:rsidRPr="00C14B28">
                        <w:rPr>
                          <w:rFonts w:ascii="Calibri" w:hAnsi="Calibri" w:cs="Segoe UI"/>
                          <w:color w:val="212121"/>
                          <w:sz w:val="19"/>
                          <w:szCs w:val="19"/>
                        </w:rPr>
                        <w:t>(1), 86–98. https://doi.org/10.1111/ppe.12602</w:t>
                      </w:r>
                    </w:p>
                  </w:txbxContent>
                </v:textbox>
              </v:shape>
            </w:pict>
          </mc:Fallback>
        </mc:AlternateContent>
      </w:r>
    </w:p>
    <w:p w14:paraId="2FB8477D" w14:textId="7D345798" w:rsidR="00497A2E" w:rsidRDefault="00497A2E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79D8272F" w14:textId="3ACC421D" w:rsidR="00497A2E" w:rsidRDefault="00497A2E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45021288" w14:textId="3147FB0B" w:rsidR="00497A2E" w:rsidRDefault="00497A2E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26D21722" w14:textId="77777777" w:rsidR="000E1F61" w:rsidRDefault="000E1F61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B90C587" w14:textId="7DF32EAC" w:rsidR="00497A2E" w:rsidRDefault="00497A2E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8CC33F3" w14:textId="6EDB38B9" w:rsidR="00497A2E" w:rsidRDefault="00497A2E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32DF49F" w14:textId="0BDB7BAB" w:rsidR="00497A2E" w:rsidRDefault="00497A2E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Supplementary E. Flow diagram of sampling and ascertainment of </w:t>
      </w:r>
      <w:r w:rsidR="009B07AC" w:rsidRPr="00497A2E">
        <w:rPr>
          <w:rFonts w:asciiTheme="minorHAnsi" w:hAnsiTheme="minorHAnsi"/>
          <w:color w:val="000000" w:themeColor="text1"/>
          <w:sz w:val="22"/>
          <w:szCs w:val="22"/>
        </w:rPr>
        <w:t>Victorian Intergenerational Health Cohort study (VIHCS) eligibility</w:t>
      </w:r>
      <w:r w:rsidR="009B07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and the </w:t>
      </w:r>
      <w:r w:rsidR="009B07AC">
        <w:rPr>
          <w:rFonts w:asciiTheme="minorHAnsi" w:hAnsiTheme="minorHAnsi"/>
          <w:color w:val="000000" w:themeColor="text1"/>
          <w:sz w:val="22"/>
          <w:szCs w:val="22"/>
        </w:rPr>
        <w:t xml:space="preserve">Australian Temperament Study </w:t>
      </w:r>
      <w:r w:rsidR="009B07AC" w:rsidRPr="00497A2E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9B07AC">
        <w:rPr>
          <w:rFonts w:asciiTheme="minorHAnsi" w:hAnsiTheme="minorHAnsi"/>
          <w:color w:val="000000" w:themeColor="text1"/>
          <w:sz w:val="22"/>
          <w:szCs w:val="22"/>
        </w:rPr>
        <w:t>ATPG3</w:t>
      </w:r>
      <w:r w:rsidR="009B07AC" w:rsidRPr="00497A2E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14:paraId="2CB3C965" w14:textId="62646F33" w:rsidR="00105320" w:rsidRDefault="0010532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2FB1F0D2" w14:textId="420ADE8E" w:rsidR="00CB708F" w:rsidRDefault="00290308">
      <w:pPr>
        <w:rPr>
          <w:rFonts w:asciiTheme="minorHAnsi" w:hAnsiTheme="minorHAnsi"/>
          <w:color w:val="000000" w:themeColor="text1"/>
          <w:sz w:val="22"/>
          <w:szCs w:val="22"/>
        </w:rPr>
        <w:sectPr w:rsidR="00CB708F" w:rsidSect="00184AA7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inorHAnsi" w:hAnsi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133BB" wp14:editId="68E2D12A">
                <wp:simplePos x="0" y="0"/>
                <wp:positionH relativeFrom="column">
                  <wp:posOffset>45031</wp:posOffset>
                </wp:positionH>
                <wp:positionV relativeFrom="paragraph">
                  <wp:posOffset>5083904</wp:posOffset>
                </wp:positionV>
                <wp:extent cx="8123274" cy="733646"/>
                <wp:effectExtent l="0" t="0" r="508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3274" cy="733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39E6D4" w14:textId="70FD1514" w:rsidR="00CB708F" w:rsidRPr="00CA64B5" w:rsidRDefault="00CB708F" w:rsidP="00CA64B5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Figure adapted from </w:t>
                            </w:r>
                            <w:r w:rsidRPr="00C14B28">
                              <w:rPr>
                                <w:rFonts w:ascii="Calibri" w:hAnsi="Calibri" w:cs="Segoe UI"/>
                                <w:color w:val="212121"/>
                                <w:sz w:val="19"/>
                                <w:szCs w:val="19"/>
                              </w:rPr>
                              <w:t>Spry, E., Moreno-</w:t>
                            </w:r>
                            <w:proofErr w:type="spellStart"/>
                            <w:r w:rsidRPr="00C14B28">
                              <w:rPr>
                                <w:rFonts w:ascii="Calibri" w:hAnsi="Calibri" w:cs="Segoe UI"/>
                                <w:color w:val="212121"/>
                                <w:sz w:val="19"/>
                                <w:szCs w:val="19"/>
                              </w:rPr>
                              <w:t>Betancur</w:t>
                            </w:r>
                            <w:proofErr w:type="spellEnd"/>
                            <w:r w:rsidRPr="00C14B28">
                              <w:rPr>
                                <w:rFonts w:ascii="Calibri" w:hAnsi="Calibri" w:cs="Segoe UI"/>
                                <w:color w:val="212121"/>
                                <w:sz w:val="19"/>
                                <w:szCs w:val="19"/>
                              </w:rPr>
                              <w:t>, M., Becker, D., Romaniuk, H., Carlin, J. B., Molyneaux, E., Howard, L. M., Ryan, J., Letcher, P., McIntosh, J., Macdonald, J. A., Greenwood, C. J., Thomson, K. C., McAnally, H., Hancox, R., Hutchinson, D. M., Youssef, G. J., Olsson, C. A., &amp; Patton, G. C. (2020). Maternal mental health and infant emotional reactivity: a 20-year two-cohort study of preconception and perinatal exposures. </w:t>
                            </w:r>
                            <w:r w:rsidRPr="00C14B28">
                              <w:rPr>
                                <w:rFonts w:ascii="Calibri" w:hAnsi="Calibri" w:cs="Segoe UI"/>
                                <w:i/>
                                <w:iCs/>
                                <w:color w:val="212121"/>
                                <w:sz w:val="19"/>
                                <w:szCs w:val="19"/>
                              </w:rPr>
                              <w:t>Psychological Medicine</w:t>
                            </w:r>
                            <w:r w:rsidRPr="00C14B28">
                              <w:rPr>
                                <w:rFonts w:ascii="Calibri" w:hAnsi="Calibri" w:cs="Segoe UI"/>
                                <w:color w:val="212121"/>
                                <w:sz w:val="19"/>
                                <w:szCs w:val="19"/>
                              </w:rPr>
                              <w:t>, </w:t>
                            </w:r>
                            <w:r w:rsidRPr="00C14B28">
                              <w:rPr>
                                <w:rFonts w:ascii="Calibri" w:hAnsi="Calibri" w:cs="Segoe UI"/>
                                <w:i/>
                                <w:iCs/>
                                <w:color w:val="212121"/>
                                <w:sz w:val="19"/>
                                <w:szCs w:val="19"/>
                              </w:rPr>
                              <w:t>50</w:t>
                            </w:r>
                            <w:r w:rsidRPr="00C14B28">
                              <w:rPr>
                                <w:rFonts w:ascii="Calibri" w:hAnsi="Calibri" w:cs="Segoe UI"/>
                                <w:color w:val="212121"/>
                                <w:sz w:val="19"/>
                                <w:szCs w:val="19"/>
                              </w:rPr>
                              <w:t>(5), 827–837. https://doi.org/10.1017/S0033291719000709</w:t>
                            </w:r>
                            <w:r>
                              <w:rPr>
                                <w:rFonts w:ascii="Calibri" w:hAnsi="Calibri" w:cs="Segoe UI"/>
                                <w:color w:val="212121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1958FD81" w14:textId="77777777" w:rsidR="00CB708F" w:rsidRDefault="00CB708F" w:rsidP="00497A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133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.55pt;margin-top:400.3pt;width:639.6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" fillcolor="white [3201]" stroked="f" strokeweight=".5pt">
                <v:textbox>
                  <w:txbxContent>
                    <w:p w14:paraId="0539E6D4" w14:textId="70FD1514" w:rsidR="00CB708F" w:rsidRPr="00CA64B5" w:rsidRDefault="00CB708F" w:rsidP="00CA64B5">
                      <w:pPr>
                        <w:rPr>
                          <w:rFonts w:asciiTheme="minorHAnsi" w:hAnsi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9"/>
                          <w:szCs w:val="19"/>
                        </w:rPr>
                        <w:t xml:space="preserve">Figure adapted from </w:t>
                      </w:r>
                      <w:r w:rsidRPr="00C14B28">
                        <w:rPr>
                          <w:rFonts w:ascii="Calibri" w:hAnsi="Calibri" w:cs="Segoe UI"/>
                          <w:color w:val="212121"/>
                          <w:sz w:val="19"/>
                          <w:szCs w:val="19"/>
                        </w:rPr>
                        <w:t>Spry, E., Moreno-</w:t>
                      </w:r>
                      <w:proofErr w:type="spellStart"/>
                      <w:r w:rsidRPr="00C14B28">
                        <w:rPr>
                          <w:rFonts w:ascii="Calibri" w:hAnsi="Calibri" w:cs="Segoe UI"/>
                          <w:color w:val="212121"/>
                          <w:sz w:val="19"/>
                          <w:szCs w:val="19"/>
                        </w:rPr>
                        <w:t>Betancur</w:t>
                      </w:r>
                      <w:proofErr w:type="spellEnd"/>
                      <w:r w:rsidRPr="00C14B28">
                        <w:rPr>
                          <w:rFonts w:ascii="Calibri" w:hAnsi="Calibri" w:cs="Segoe UI"/>
                          <w:color w:val="212121"/>
                          <w:sz w:val="19"/>
                          <w:szCs w:val="19"/>
                        </w:rPr>
                        <w:t>, M., Becker, D., Romaniuk, H., Carlin, J. B., Molyneaux, E., Howard, L. M., Ryan, J., Letcher, P., McIntosh, J., Macdonald, J. A., Greenwood, C. J., Thomson, K. C., McAnally, H., Hancox, R., Hutchinson, D. M., Youssef, G. J., Olsson, C. A., &amp; Patton, G. C. (2020). Maternal mental health and infant emotional reactivity: a 20-year two-cohort study of preconception and perinatal exposures. </w:t>
                      </w:r>
                      <w:r w:rsidRPr="00C14B28">
                        <w:rPr>
                          <w:rFonts w:ascii="Calibri" w:hAnsi="Calibri" w:cs="Segoe UI"/>
                          <w:i/>
                          <w:iCs/>
                          <w:color w:val="212121"/>
                          <w:sz w:val="19"/>
                          <w:szCs w:val="19"/>
                        </w:rPr>
                        <w:t>Psychological Medicine</w:t>
                      </w:r>
                      <w:r w:rsidRPr="00C14B28">
                        <w:rPr>
                          <w:rFonts w:ascii="Calibri" w:hAnsi="Calibri" w:cs="Segoe UI"/>
                          <w:color w:val="212121"/>
                          <w:sz w:val="19"/>
                          <w:szCs w:val="19"/>
                        </w:rPr>
                        <w:t>, </w:t>
                      </w:r>
                      <w:r w:rsidRPr="00C14B28">
                        <w:rPr>
                          <w:rFonts w:ascii="Calibri" w:hAnsi="Calibri" w:cs="Segoe UI"/>
                          <w:i/>
                          <w:iCs/>
                          <w:color w:val="212121"/>
                          <w:sz w:val="19"/>
                          <w:szCs w:val="19"/>
                        </w:rPr>
                        <w:t>50</w:t>
                      </w:r>
                      <w:r w:rsidRPr="00C14B28">
                        <w:rPr>
                          <w:rFonts w:ascii="Calibri" w:hAnsi="Calibri" w:cs="Segoe UI"/>
                          <w:color w:val="212121"/>
                          <w:sz w:val="19"/>
                          <w:szCs w:val="19"/>
                        </w:rPr>
                        <w:t>(5), 827–837. https://doi.org/10.1017/S0033291719000709</w:t>
                      </w:r>
                      <w:r>
                        <w:rPr>
                          <w:rFonts w:ascii="Calibri" w:hAnsi="Calibri" w:cs="Segoe UI"/>
                          <w:color w:val="212121"/>
                          <w:sz w:val="19"/>
                          <w:szCs w:val="19"/>
                        </w:rPr>
                        <w:t>.</w:t>
                      </w:r>
                    </w:p>
                    <w:p w14:paraId="1958FD81" w14:textId="77777777" w:rsidR="00CB708F" w:rsidRDefault="00CB708F" w:rsidP="00497A2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inline distT="0" distB="0" distL="0" distR="0" wp14:anchorId="3377DAFF" wp14:editId="4F4A54B3">
            <wp:extent cx="8229600" cy="5099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8-24 at 8.32.13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09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2333" w:type="dxa"/>
        <w:tblLayout w:type="fixed"/>
        <w:tblLook w:val="04A0" w:firstRow="1" w:lastRow="0" w:firstColumn="1" w:lastColumn="0" w:noHBand="0" w:noVBand="1"/>
      </w:tblPr>
      <w:tblGrid>
        <w:gridCol w:w="3322"/>
        <w:gridCol w:w="1126"/>
        <w:gridCol w:w="1126"/>
        <w:gridCol w:w="1127"/>
        <w:gridCol w:w="1126"/>
        <w:gridCol w:w="1126"/>
        <w:gridCol w:w="1127"/>
        <w:gridCol w:w="1126"/>
        <w:gridCol w:w="1127"/>
      </w:tblGrid>
      <w:tr w:rsidR="00CB708F" w:rsidRPr="009B7AF3" w14:paraId="37CA48D0" w14:textId="77777777" w:rsidTr="00CB708F">
        <w:trPr>
          <w:trHeight w:val="283"/>
        </w:trPr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EB108" w14:textId="7179C801" w:rsidR="00CB708F" w:rsidRDefault="00CB708F" w:rsidP="00CB708F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>Supplementary F</w:t>
            </w: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Frequency</w:t>
            </w: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of perinatal substance use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outcomes </w:t>
            </w: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by preconception substance use </w:t>
            </w:r>
            <w:r w:rsidR="00D33C4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exposure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category</w:t>
            </w:r>
          </w:p>
        </w:tc>
      </w:tr>
      <w:tr w:rsidR="00CB708F" w:rsidRPr="009B7AF3" w14:paraId="1AA00B7F" w14:textId="77777777" w:rsidTr="00036BA1">
        <w:trPr>
          <w:trHeight w:val="921"/>
        </w:trPr>
        <w:tc>
          <w:tcPr>
            <w:tcW w:w="33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2349" w14:textId="77777777" w:rsidR="00CB708F" w:rsidRPr="002B6856" w:rsidRDefault="00CB708F" w:rsidP="00CB708F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E8B8C" w14:textId="77777777" w:rsidR="00CB708F" w:rsidRPr="00505E55" w:rsidRDefault="00CB708F" w:rsidP="00CB708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05E5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Substance use in pregnancy </w:t>
            </w:r>
            <w:r w:rsidRPr="00505E5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  <w:t>pre-awareness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C6682" w14:textId="77777777" w:rsidR="00CB708F" w:rsidRPr="00505E55" w:rsidRDefault="00CB708F" w:rsidP="00CB708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05E5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Substance use in pregnancy </w:t>
            </w:r>
            <w:r w:rsidRPr="00505E5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  <w:t>post-awareness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54B3D" w14:textId="77777777" w:rsidR="00CB708F" w:rsidRDefault="00CB708F" w:rsidP="00CB708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05E5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Substance use </w:t>
            </w:r>
          </w:p>
          <w:p w14:paraId="32243DF9" w14:textId="77777777" w:rsidR="00CB708F" w:rsidRDefault="00CB708F" w:rsidP="00CB708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05E5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one year </w:t>
            </w:r>
          </w:p>
          <w:p w14:paraId="336A58FE" w14:textId="77777777" w:rsidR="00CB708F" w:rsidRPr="00505E55" w:rsidRDefault="00CB708F" w:rsidP="00CB708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05E5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postpartum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017062" w14:textId="77777777" w:rsidR="00CB708F" w:rsidRDefault="00CB708F" w:rsidP="00CB708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Substance use</w:t>
            </w:r>
          </w:p>
          <w:p w14:paraId="126A7F3D" w14:textId="4195C08F" w:rsidR="00CB708F" w:rsidRPr="00505E55" w:rsidRDefault="00CB708F" w:rsidP="00CB708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In any perinatal period</w:t>
            </w:r>
          </w:p>
        </w:tc>
      </w:tr>
      <w:tr w:rsidR="00CB708F" w:rsidRPr="009B7AF3" w14:paraId="372EE581" w14:textId="77777777" w:rsidTr="00036BA1">
        <w:trPr>
          <w:trHeight w:val="282"/>
        </w:trPr>
        <w:tc>
          <w:tcPr>
            <w:tcW w:w="33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D3CB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ABF40" w14:textId="77777777" w:rsidR="00CB708F" w:rsidRPr="00505E55" w:rsidRDefault="00CB708F" w:rsidP="00CB708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05E5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7F667" w14:textId="77777777" w:rsidR="00CB708F" w:rsidRPr="00505E55" w:rsidRDefault="00CB708F" w:rsidP="00CB708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05E5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4CCDE" w14:textId="77777777" w:rsidR="00CB708F" w:rsidRPr="00505E55" w:rsidRDefault="00CB708F" w:rsidP="00CB708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05E5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45FCD" w14:textId="77777777" w:rsidR="00CB708F" w:rsidRPr="00505E55" w:rsidRDefault="00CB708F" w:rsidP="00CB708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05E5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C1EC0" w14:textId="77777777" w:rsidR="00CB708F" w:rsidRPr="00505E55" w:rsidRDefault="00CB708F" w:rsidP="00CB708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05E5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49F71" w14:textId="77777777" w:rsidR="00CB708F" w:rsidRPr="00505E55" w:rsidRDefault="00CB708F" w:rsidP="00CB708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05E5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A576E8" w14:textId="77777777" w:rsidR="00CB708F" w:rsidRPr="00505E55" w:rsidRDefault="00CB708F" w:rsidP="00CB708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F9FB7" w14:textId="77777777" w:rsidR="00CB708F" w:rsidRPr="00505E55" w:rsidRDefault="00CB708F" w:rsidP="00CB708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Yes</w:t>
            </w:r>
          </w:p>
        </w:tc>
      </w:tr>
      <w:tr w:rsidR="00036BA1" w:rsidRPr="009B7AF3" w14:paraId="31BA3877" w14:textId="77777777" w:rsidTr="00036BA1">
        <w:trPr>
          <w:trHeight w:val="282"/>
        </w:trPr>
        <w:tc>
          <w:tcPr>
            <w:tcW w:w="33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DB0D89" w14:textId="77777777" w:rsidR="00036BA1" w:rsidRPr="002B6856" w:rsidRDefault="00036BA1" w:rsidP="00CB708F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AU" w:eastAsia="en-AU"/>
              </w:rPr>
            </w:pPr>
          </w:p>
        </w:tc>
        <w:tc>
          <w:tcPr>
            <w:tcW w:w="9011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A2FC6A" w14:textId="77777777" w:rsidR="00036BA1" w:rsidRPr="00505E55" w:rsidRDefault="00036BA1" w:rsidP="00CB708F">
            <w:pPr>
              <w:ind w:left="-1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B708F" w:rsidRPr="009B7AF3" w14:paraId="08675DF8" w14:textId="77777777" w:rsidTr="00036BA1">
        <w:trPr>
          <w:trHeight w:val="282"/>
        </w:trPr>
        <w:tc>
          <w:tcPr>
            <w:tcW w:w="33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E0A3" w14:textId="77777777" w:rsidR="00CB708F" w:rsidRPr="002B6856" w:rsidRDefault="00CB708F" w:rsidP="00CB708F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AU" w:eastAsia="en-AU"/>
              </w:rPr>
              <w:t>Preconception binge drinking</w:t>
            </w:r>
          </w:p>
        </w:tc>
        <w:tc>
          <w:tcPr>
            <w:tcW w:w="901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8C76D" w14:textId="77777777" w:rsidR="00CB708F" w:rsidRPr="00505E55" w:rsidRDefault="00CB708F" w:rsidP="00CB708F">
            <w:pPr>
              <w:ind w:left="-1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05E5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Any Maternal Perinatal Alcohol Use</w:t>
            </w:r>
          </w:p>
        </w:tc>
      </w:tr>
      <w:tr w:rsidR="00CB708F" w:rsidRPr="009B7AF3" w14:paraId="64358077" w14:textId="77777777" w:rsidTr="007F3C45">
        <w:trPr>
          <w:trHeight w:val="282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9D82" w14:textId="77777777" w:rsidR="00CB708F" w:rsidRPr="002B6856" w:rsidRDefault="00CB708F" w:rsidP="00CB708F">
            <w:pPr>
              <w:ind w:left="18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305C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156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12BD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343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AF6B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449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7A64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40AB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C100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C617E2" w14:textId="77777777" w:rsidR="00CB708F" w:rsidRPr="00080E0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0E06">
              <w:rPr>
                <w:rFonts w:ascii="Calibri" w:hAnsi="Calibri" w:cs="Calibri"/>
                <w:sz w:val="22"/>
                <w:szCs w:val="22"/>
              </w:rPr>
              <w:t>97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8F0EBF" w14:textId="77777777" w:rsidR="00CB708F" w:rsidRPr="00080E0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0E06">
              <w:rPr>
                <w:rFonts w:ascii="Calibri" w:hAnsi="Calibri" w:cs="Calibri"/>
                <w:sz w:val="22"/>
                <w:szCs w:val="22"/>
              </w:rPr>
              <w:t>402</w:t>
            </w:r>
          </w:p>
        </w:tc>
      </w:tr>
      <w:tr w:rsidR="00CB708F" w:rsidRPr="009B7AF3" w14:paraId="237B996B" w14:textId="77777777" w:rsidTr="007F3C45">
        <w:trPr>
          <w:trHeight w:val="282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2F37" w14:textId="77777777" w:rsidR="00CB708F" w:rsidRPr="002B6856" w:rsidRDefault="00CB708F" w:rsidP="00CB708F">
            <w:pPr>
              <w:ind w:left="18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Adolescence only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56F4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9FC9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D75B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A921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467B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C150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FF1BB" w14:textId="77777777" w:rsidR="00CB708F" w:rsidRPr="00080E0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0E06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95A57" w14:textId="77777777" w:rsidR="00CB708F" w:rsidRPr="00080E0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0E06">
              <w:rPr>
                <w:rFonts w:ascii="Calibri" w:hAnsi="Calibri" w:cs="Calibri"/>
                <w:sz w:val="22"/>
                <w:szCs w:val="22"/>
              </w:rPr>
              <w:t>81</w:t>
            </w:r>
          </w:p>
        </w:tc>
      </w:tr>
      <w:tr w:rsidR="00CB708F" w:rsidRPr="009B7AF3" w14:paraId="7D2A9409" w14:textId="77777777" w:rsidTr="007F3C45">
        <w:trPr>
          <w:trHeight w:val="282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613B" w14:textId="77777777" w:rsidR="00CB708F" w:rsidRPr="002B6856" w:rsidRDefault="00CB708F" w:rsidP="00CB708F">
            <w:pPr>
              <w:ind w:left="18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Young adulthood only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F995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D193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338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C566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327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C174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7274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BAF5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345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D3BB8" w14:textId="77777777" w:rsidR="00CB708F" w:rsidRPr="00080E0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0E06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8DF47" w14:textId="77777777" w:rsidR="00CB708F" w:rsidRPr="00080E0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0E06">
              <w:rPr>
                <w:rFonts w:ascii="Calibri" w:hAnsi="Calibri" w:cs="Calibri"/>
                <w:sz w:val="22"/>
                <w:szCs w:val="22"/>
              </w:rPr>
              <w:t>381</w:t>
            </w:r>
          </w:p>
        </w:tc>
      </w:tr>
      <w:tr w:rsidR="00CB708F" w:rsidRPr="009B7AF3" w14:paraId="431208A7" w14:textId="77777777" w:rsidTr="00036BA1">
        <w:trPr>
          <w:trHeight w:val="282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1707" w14:textId="77777777" w:rsidR="00CB708F" w:rsidRPr="002B6856" w:rsidRDefault="00CB708F" w:rsidP="00CB708F">
            <w:pPr>
              <w:ind w:left="18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Adolescence &amp; young adult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47D4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5326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239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CF6B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214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0407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574F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5894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vAlign w:val="center"/>
          </w:tcPr>
          <w:p w14:paraId="7CFDE84C" w14:textId="77777777" w:rsidR="00CB708F" w:rsidRPr="00080E0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0E06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center"/>
          </w:tcPr>
          <w:p w14:paraId="33C5B734" w14:textId="77777777" w:rsidR="00CB708F" w:rsidRPr="00080E0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0E06">
              <w:rPr>
                <w:rFonts w:ascii="Calibri" w:hAnsi="Calibri" w:cs="Calibri"/>
                <w:sz w:val="22"/>
                <w:szCs w:val="22"/>
              </w:rPr>
              <w:t>269</w:t>
            </w:r>
          </w:p>
        </w:tc>
      </w:tr>
      <w:tr w:rsidR="00036BA1" w:rsidRPr="009B7AF3" w14:paraId="790FFBD9" w14:textId="77777777" w:rsidTr="00036BA1">
        <w:trPr>
          <w:trHeight w:val="282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DCBBE" w14:textId="77777777" w:rsidR="00036BA1" w:rsidRPr="002B6856" w:rsidRDefault="00036BA1" w:rsidP="00CB708F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AU" w:eastAsia="en-AU"/>
              </w:rPr>
            </w:pPr>
          </w:p>
        </w:tc>
        <w:tc>
          <w:tcPr>
            <w:tcW w:w="9011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EE250C" w14:textId="77777777" w:rsidR="00036BA1" w:rsidRPr="00505E55" w:rsidRDefault="00036BA1" w:rsidP="00CB708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B708F" w:rsidRPr="009B7AF3" w14:paraId="4475074C" w14:textId="77777777" w:rsidTr="00036BA1">
        <w:trPr>
          <w:trHeight w:val="282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E1EF" w14:textId="77777777" w:rsidR="00CB708F" w:rsidRPr="002B6856" w:rsidRDefault="00CB708F" w:rsidP="00CB708F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AU" w:eastAsia="en-AU"/>
              </w:rPr>
              <w:t>Preconception tobacco use</w:t>
            </w:r>
          </w:p>
        </w:tc>
        <w:tc>
          <w:tcPr>
            <w:tcW w:w="901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B706D" w14:textId="77777777" w:rsidR="00CB708F" w:rsidRPr="00080E06" w:rsidRDefault="00CB708F" w:rsidP="00CB708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05E5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Any Maternal Perinatal Tobacco Use</w:t>
            </w:r>
          </w:p>
        </w:tc>
      </w:tr>
      <w:tr w:rsidR="00CB708F" w:rsidRPr="009B7AF3" w14:paraId="30CFC3AC" w14:textId="77777777" w:rsidTr="00036BA1">
        <w:trPr>
          <w:trHeight w:val="282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D8A2" w14:textId="77777777" w:rsidR="00CB708F" w:rsidRPr="002B6856" w:rsidRDefault="00CB708F" w:rsidP="00CB708F">
            <w:pPr>
              <w:ind w:left="18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9983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2E8D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A9B7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D128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D927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717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7D0B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BFDA99" w14:textId="77777777" w:rsidR="00CB708F" w:rsidRPr="00080E0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0E06">
              <w:rPr>
                <w:rFonts w:ascii="Calibri" w:hAnsi="Calibri" w:cs="Calibri"/>
                <w:sz w:val="22"/>
                <w:szCs w:val="22"/>
              </w:rPr>
              <w:t>702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3203FD" w14:textId="77777777" w:rsidR="00CB708F" w:rsidRPr="00080E0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0E06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</w:tr>
      <w:tr w:rsidR="00CB708F" w:rsidRPr="009B7AF3" w14:paraId="5E28C1A0" w14:textId="77777777" w:rsidTr="007F3C45">
        <w:trPr>
          <w:trHeight w:val="282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7142" w14:textId="77777777" w:rsidR="00CB708F" w:rsidRPr="002B6856" w:rsidRDefault="00CB708F" w:rsidP="00CB708F">
            <w:pPr>
              <w:ind w:left="18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Adolescence only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BE4D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7B33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043C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27D1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7BB4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8F1F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34CDD" w14:textId="77777777" w:rsidR="00CB708F" w:rsidRPr="00080E0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0E06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88165" w14:textId="77777777" w:rsidR="00CB708F" w:rsidRPr="00080E0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0E0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CB708F" w:rsidRPr="009B7AF3" w14:paraId="010C46BF" w14:textId="77777777" w:rsidTr="007F3C45">
        <w:trPr>
          <w:trHeight w:val="282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1155" w14:textId="77777777" w:rsidR="00CB708F" w:rsidRPr="002B6856" w:rsidRDefault="00CB708F" w:rsidP="00CB708F">
            <w:pPr>
              <w:ind w:left="18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Young adulthood only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E489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42DF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3C75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0702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9B8A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BF60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E68DD" w14:textId="77777777" w:rsidR="00CB708F" w:rsidRPr="00080E0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0E06">
              <w:rPr>
                <w:rFonts w:ascii="Calibri" w:hAnsi="Calibri" w:cs="Calibri"/>
                <w:sz w:val="22"/>
                <w:szCs w:val="22"/>
              </w:rPr>
              <w:t>101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9DFD3" w14:textId="77777777" w:rsidR="00CB708F" w:rsidRPr="00080E0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0E06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</w:tr>
      <w:tr w:rsidR="00CB708F" w:rsidRPr="009B7AF3" w14:paraId="063A8A52" w14:textId="77777777" w:rsidTr="00036BA1">
        <w:trPr>
          <w:trHeight w:val="282"/>
        </w:trPr>
        <w:tc>
          <w:tcPr>
            <w:tcW w:w="3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BD7D" w14:textId="77777777" w:rsidR="00CB708F" w:rsidRPr="002B6856" w:rsidRDefault="00CB708F" w:rsidP="00CB708F">
            <w:pPr>
              <w:ind w:left="18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Adolescence &amp; young adult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55C7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221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91C7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133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5B01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265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1BCA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F9D5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5E55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vAlign w:val="center"/>
          </w:tcPr>
          <w:p w14:paraId="158AC9C2" w14:textId="77777777" w:rsidR="00CB708F" w:rsidRPr="00080E0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0E06">
              <w:rPr>
                <w:rFonts w:ascii="Calibri" w:hAnsi="Calibri" w:cs="Calibri"/>
                <w:sz w:val="22"/>
                <w:szCs w:val="22"/>
              </w:rPr>
              <w:t>191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center"/>
          </w:tcPr>
          <w:p w14:paraId="086ADA04" w14:textId="77777777" w:rsidR="00CB708F" w:rsidRPr="00080E0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0E06">
              <w:rPr>
                <w:rFonts w:ascii="Calibri" w:hAnsi="Calibri" w:cs="Calibri"/>
                <w:sz w:val="22"/>
                <w:szCs w:val="22"/>
              </w:rPr>
              <w:t>162</w:t>
            </w:r>
          </w:p>
        </w:tc>
      </w:tr>
      <w:tr w:rsidR="00036BA1" w:rsidRPr="009B7AF3" w14:paraId="04C0E33D" w14:textId="77777777" w:rsidTr="00036BA1">
        <w:trPr>
          <w:trHeight w:val="282"/>
        </w:trPr>
        <w:tc>
          <w:tcPr>
            <w:tcW w:w="33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EC25A" w14:textId="77777777" w:rsidR="00036BA1" w:rsidRPr="002B6856" w:rsidRDefault="00036BA1" w:rsidP="00CB708F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AU" w:eastAsia="en-AU"/>
              </w:rPr>
            </w:pPr>
          </w:p>
        </w:tc>
        <w:tc>
          <w:tcPr>
            <w:tcW w:w="9011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F2D422" w14:textId="77777777" w:rsidR="00036BA1" w:rsidRPr="00505E55" w:rsidRDefault="00036BA1" w:rsidP="00CB708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B708F" w:rsidRPr="009B7AF3" w14:paraId="1DD3D960" w14:textId="77777777" w:rsidTr="00036BA1">
        <w:trPr>
          <w:trHeight w:val="282"/>
        </w:trPr>
        <w:tc>
          <w:tcPr>
            <w:tcW w:w="33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E4F6" w14:textId="77777777" w:rsidR="00CB708F" w:rsidRPr="002B6856" w:rsidRDefault="00CB708F" w:rsidP="00CB708F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AU" w:eastAsia="en-AU"/>
              </w:rPr>
              <w:t>Preconception cannabis use</w:t>
            </w:r>
          </w:p>
        </w:tc>
        <w:tc>
          <w:tcPr>
            <w:tcW w:w="901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6B53F" w14:textId="77777777" w:rsidR="00CB708F" w:rsidRPr="00080E06" w:rsidRDefault="00CB708F" w:rsidP="00CB708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05E5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Any Maternal Perinatal Cannabis Use</w:t>
            </w:r>
          </w:p>
        </w:tc>
      </w:tr>
      <w:tr w:rsidR="00CB708F" w:rsidRPr="009B7AF3" w14:paraId="656403FF" w14:textId="77777777" w:rsidTr="007F3C45">
        <w:trPr>
          <w:trHeight w:val="282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0726" w14:textId="77777777" w:rsidR="00CB708F" w:rsidRPr="002B6856" w:rsidRDefault="00CB708F" w:rsidP="00CB708F">
            <w:pPr>
              <w:ind w:left="18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1D63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1077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3DF9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5F96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1092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C712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E59E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1093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9D56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19DC43" w14:textId="77777777" w:rsidR="00CB708F" w:rsidRPr="00080E0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0E06">
              <w:rPr>
                <w:rFonts w:ascii="Calibri" w:hAnsi="Calibri" w:cs="Calibri"/>
                <w:sz w:val="22"/>
                <w:szCs w:val="22"/>
              </w:rPr>
              <w:t>1070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23BF05" w14:textId="77777777" w:rsidR="00CB708F" w:rsidRPr="00080E0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0E06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</w:tr>
      <w:tr w:rsidR="00CB708F" w:rsidRPr="009B7AF3" w14:paraId="78E45636" w14:textId="77777777" w:rsidTr="007F3C45">
        <w:trPr>
          <w:trHeight w:val="282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3E07" w14:textId="77777777" w:rsidR="00CB708F" w:rsidRPr="002B6856" w:rsidRDefault="00CB708F" w:rsidP="00CB708F">
            <w:pPr>
              <w:ind w:left="18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Adolescence only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7E11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1EC0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9E04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D95E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C3CB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F1A6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26245" w14:textId="77777777" w:rsidR="00CB708F" w:rsidRPr="00080E0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0E06"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0B960" w14:textId="77777777" w:rsidR="00CB708F" w:rsidRPr="00080E0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0E0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CB708F" w:rsidRPr="009B7AF3" w14:paraId="50BE9D5D" w14:textId="77777777" w:rsidTr="007F3C45">
        <w:trPr>
          <w:trHeight w:val="282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5A9D" w14:textId="77777777" w:rsidR="00CB708F" w:rsidRPr="002B6856" w:rsidRDefault="00CB708F" w:rsidP="00CB708F">
            <w:pPr>
              <w:ind w:left="18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Young adulthood only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22C2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51B4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4F70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6ED9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8201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2DEB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543C6" w14:textId="77777777" w:rsidR="00CB708F" w:rsidRPr="00080E0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0E06"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5CDA3" w14:textId="77777777" w:rsidR="00CB708F" w:rsidRPr="00080E0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0E06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CB708F" w:rsidRPr="009B7AF3" w14:paraId="2F9F60BD" w14:textId="77777777" w:rsidTr="007F3C45">
        <w:trPr>
          <w:trHeight w:val="28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7C6A3" w14:textId="77777777" w:rsidR="00CB708F" w:rsidRPr="002B6856" w:rsidRDefault="00CB708F" w:rsidP="00CB708F">
            <w:pPr>
              <w:ind w:left="18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Adolescence &amp; young adult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C2A7E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6DDFE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F3849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F0848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DA219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08128" w14:textId="77777777" w:rsidR="00CB708F" w:rsidRPr="002B685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68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E7C0D6" w14:textId="77777777" w:rsidR="00CB708F" w:rsidRPr="00080E0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0E06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DD9B65" w14:textId="77777777" w:rsidR="00CB708F" w:rsidRPr="00080E06" w:rsidRDefault="00CB708F" w:rsidP="00CB708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0E06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</w:tr>
      <w:tr w:rsidR="00CB708F" w:rsidRPr="009B7AF3" w14:paraId="640A672B" w14:textId="77777777" w:rsidTr="00CB708F">
        <w:trPr>
          <w:trHeight w:val="282"/>
        </w:trPr>
        <w:tc>
          <w:tcPr>
            <w:tcW w:w="123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2AC6E" w14:textId="77777777" w:rsidR="00CB708F" w:rsidRDefault="00CB708F" w:rsidP="00CB708F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15C8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Frequency estimates were calculated from imputed percentage estimates and total number of participants. </w:t>
            </w:r>
          </w:p>
          <w:p w14:paraId="682B668F" w14:textId="660DE9DA" w:rsidR="00CB708F" w:rsidRPr="002B6856" w:rsidRDefault="00CB708F" w:rsidP="00CB708F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15C8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15C8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estimate frequencies for each perinatal period 9 imputed samples (18%) were removed for tobacco and 11 imputed samples (22%) were removed for cannabis.</w:t>
            </w:r>
          </w:p>
        </w:tc>
      </w:tr>
    </w:tbl>
    <w:p w14:paraId="7862FD39" w14:textId="675E8219" w:rsidR="002B6856" w:rsidRPr="00C54802" w:rsidRDefault="002B6856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2B6856" w:rsidRPr="00C54802" w:rsidSect="00184A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51532" w16cex:dateUtc="2021-08-16T06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985F6" w14:textId="77777777" w:rsidR="001C6D38" w:rsidRDefault="001C6D38" w:rsidP="002D4F00">
      <w:r>
        <w:separator/>
      </w:r>
    </w:p>
  </w:endnote>
  <w:endnote w:type="continuationSeparator" w:id="0">
    <w:p w14:paraId="3AED37BF" w14:textId="77777777" w:rsidR="001C6D38" w:rsidRDefault="001C6D38" w:rsidP="002D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E858B" w14:textId="77777777" w:rsidR="001C6D38" w:rsidRDefault="001C6D38" w:rsidP="002D4F00">
      <w:r>
        <w:separator/>
      </w:r>
    </w:p>
  </w:footnote>
  <w:footnote w:type="continuationSeparator" w:id="0">
    <w:p w14:paraId="14CE6DA5" w14:textId="77777777" w:rsidR="001C6D38" w:rsidRDefault="001C6D38" w:rsidP="002D4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A7"/>
    <w:rsid w:val="00017F4D"/>
    <w:rsid w:val="00036BA1"/>
    <w:rsid w:val="00043575"/>
    <w:rsid w:val="00072E9C"/>
    <w:rsid w:val="00080E06"/>
    <w:rsid w:val="00094927"/>
    <w:rsid w:val="000B6237"/>
    <w:rsid w:val="000D63A2"/>
    <w:rsid w:val="000E03DD"/>
    <w:rsid w:val="000E1F61"/>
    <w:rsid w:val="00105320"/>
    <w:rsid w:val="00130315"/>
    <w:rsid w:val="001326A7"/>
    <w:rsid w:val="00174980"/>
    <w:rsid w:val="00184AA7"/>
    <w:rsid w:val="001C6D38"/>
    <w:rsid w:val="002032C1"/>
    <w:rsid w:val="00205436"/>
    <w:rsid w:val="00234771"/>
    <w:rsid w:val="00290308"/>
    <w:rsid w:val="002A148B"/>
    <w:rsid w:val="002B6856"/>
    <w:rsid w:val="002D4F00"/>
    <w:rsid w:val="002D7F0C"/>
    <w:rsid w:val="00320A6E"/>
    <w:rsid w:val="0039219B"/>
    <w:rsid w:val="0039533E"/>
    <w:rsid w:val="003B252E"/>
    <w:rsid w:val="003F4A78"/>
    <w:rsid w:val="00425651"/>
    <w:rsid w:val="00467ADC"/>
    <w:rsid w:val="00484669"/>
    <w:rsid w:val="00491204"/>
    <w:rsid w:val="00497A2E"/>
    <w:rsid w:val="00505E55"/>
    <w:rsid w:val="005440B8"/>
    <w:rsid w:val="005928DA"/>
    <w:rsid w:val="00597980"/>
    <w:rsid w:val="005C6FA5"/>
    <w:rsid w:val="00615C89"/>
    <w:rsid w:val="006546CE"/>
    <w:rsid w:val="0067027B"/>
    <w:rsid w:val="00676086"/>
    <w:rsid w:val="0071515F"/>
    <w:rsid w:val="007B5300"/>
    <w:rsid w:val="007E21EC"/>
    <w:rsid w:val="007F3C45"/>
    <w:rsid w:val="00816CC9"/>
    <w:rsid w:val="0082412F"/>
    <w:rsid w:val="0088761E"/>
    <w:rsid w:val="008D4D64"/>
    <w:rsid w:val="008E77D8"/>
    <w:rsid w:val="008F33C9"/>
    <w:rsid w:val="00913D47"/>
    <w:rsid w:val="0098345B"/>
    <w:rsid w:val="00991FCB"/>
    <w:rsid w:val="009964BC"/>
    <w:rsid w:val="009B07AC"/>
    <w:rsid w:val="009E3574"/>
    <w:rsid w:val="00A277A0"/>
    <w:rsid w:val="00A96C80"/>
    <w:rsid w:val="00B06C3A"/>
    <w:rsid w:val="00B11864"/>
    <w:rsid w:val="00B60B42"/>
    <w:rsid w:val="00B63063"/>
    <w:rsid w:val="00BA54DC"/>
    <w:rsid w:val="00BB17E6"/>
    <w:rsid w:val="00BB63E0"/>
    <w:rsid w:val="00C04597"/>
    <w:rsid w:val="00C06649"/>
    <w:rsid w:val="00C10E59"/>
    <w:rsid w:val="00C14B28"/>
    <w:rsid w:val="00C15338"/>
    <w:rsid w:val="00C46C5F"/>
    <w:rsid w:val="00C54802"/>
    <w:rsid w:val="00C70AF3"/>
    <w:rsid w:val="00C71549"/>
    <w:rsid w:val="00CA64B5"/>
    <w:rsid w:val="00CB708F"/>
    <w:rsid w:val="00CD45B7"/>
    <w:rsid w:val="00CF114C"/>
    <w:rsid w:val="00D01BD6"/>
    <w:rsid w:val="00D14CE6"/>
    <w:rsid w:val="00D33C42"/>
    <w:rsid w:val="00D37AE3"/>
    <w:rsid w:val="00D82B4D"/>
    <w:rsid w:val="00DA4C35"/>
    <w:rsid w:val="00E61E90"/>
    <w:rsid w:val="00E82B9C"/>
    <w:rsid w:val="00EA37B8"/>
    <w:rsid w:val="00ED27BD"/>
    <w:rsid w:val="00ED292C"/>
    <w:rsid w:val="00FC0395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B000"/>
  <w14:defaultImageDpi w14:val="32767"/>
  <w15:chartTrackingRefBased/>
  <w15:docId w15:val="{900CA634-48F6-6E46-A20D-332D8BB9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4AA7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AA7"/>
    <w:pPr>
      <w:spacing w:before="100" w:beforeAutospacing="1" w:after="100" w:afterAutospacing="1"/>
    </w:pPr>
    <w:rPr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38"/>
    <w:rPr>
      <w:rFonts w:ascii="Segoe UI" w:eastAsia="Times New Roman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70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AF3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AF3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D4F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F00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D4F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F00"/>
    <w:rPr>
      <w:rFonts w:ascii="Times New Roman" w:eastAsia="Times New Roman" w:hAnsi="Times New Roman" w:cs="Times New Roman"/>
      <w:lang w:val="en-CA"/>
    </w:rPr>
  </w:style>
  <w:style w:type="paragraph" w:customStyle="1" w:styleId="EndNoteBibliography">
    <w:name w:val="EndNote Bibliography"/>
    <w:basedOn w:val="Normal"/>
    <w:link w:val="EndNoteBibliographyChar"/>
    <w:rsid w:val="00491204"/>
  </w:style>
  <w:style w:type="character" w:customStyle="1" w:styleId="EndNoteBibliographyChar">
    <w:name w:val="EndNote Bibliography Char"/>
    <w:basedOn w:val="DefaultParagraphFont"/>
    <w:link w:val="EndNoteBibliography"/>
    <w:rsid w:val="00491204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89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3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fs.gov.au/node/93" TargetMode="Externa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Thomson</dc:creator>
  <cp:keywords/>
  <dc:description/>
  <cp:lastModifiedBy>Kim Thomson</cp:lastModifiedBy>
  <cp:revision>4</cp:revision>
  <dcterms:created xsi:type="dcterms:W3CDTF">2021-08-24T15:46:00Z</dcterms:created>
  <dcterms:modified xsi:type="dcterms:W3CDTF">2021-08-25T18:28:00Z</dcterms:modified>
</cp:coreProperties>
</file>