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E0354" w14:textId="77777777" w:rsidR="00523765" w:rsidRPr="00044221" w:rsidRDefault="00523765" w:rsidP="000178D9">
      <w:pPr>
        <w:pStyle w:val="Default"/>
        <w:spacing w:line="480" w:lineRule="auto"/>
        <w:ind w:left="-630" w:right="-90"/>
        <w:rPr>
          <w:rFonts w:asciiTheme="minorHAnsi" w:hAnsiTheme="minorHAnsi" w:cstheme="minorHAnsi"/>
          <w:b/>
          <w:lang w:val="en-AU"/>
        </w:rPr>
      </w:pPr>
      <w:bookmarkStart w:id="0" w:name="_GoBack"/>
      <w:bookmarkEnd w:id="0"/>
    </w:p>
    <w:p w14:paraId="5F727020" w14:textId="77777777" w:rsidR="00523765" w:rsidRPr="0042564D" w:rsidRDefault="00523765" w:rsidP="00523765">
      <w:pPr>
        <w:pStyle w:val="Default"/>
        <w:spacing w:line="480" w:lineRule="auto"/>
        <w:ind w:left="-630" w:right="-90"/>
        <w:rPr>
          <w:rFonts w:asciiTheme="minorHAnsi" w:hAnsiTheme="minorHAnsi" w:cstheme="minorHAnsi"/>
          <w:lang w:val="en-AU"/>
        </w:rPr>
      </w:pPr>
      <w:r w:rsidRPr="0042564D">
        <w:rPr>
          <w:rFonts w:asciiTheme="minorHAnsi" w:hAnsiTheme="minorHAnsi" w:cstheme="minorHAnsi"/>
          <w:b/>
          <w:lang w:val="en-AU"/>
        </w:rPr>
        <w:t>SUPPLEMENTARY APPENDIX</w:t>
      </w:r>
    </w:p>
    <w:p w14:paraId="444467D2" w14:textId="77777777" w:rsidR="00523765" w:rsidRPr="002F246E" w:rsidRDefault="00523765" w:rsidP="00523765">
      <w:pPr>
        <w:pStyle w:val="Default"/>
        <w:spacing w:line="480" w:lineRule="auto"/>
        <w:ind w:left="-630" w:right="-90"/>
        <w:rPr>
          <w:rFonts w:ascii="Times New Roman" w:hAnsi="Times New Roman" w:cs="Times New Roman"/>
          <w:lang w:val="en-AU"/>
        </w:rPr>
      </w:pPr>
    </w:p>
    <w:p w14:paraId="0F4FC839" w14:textId="5148BDBC" w:rsidR="00523765" w:rsidRDefault="00523765" w:rsidP="00523765">
      <w:pPr>
        <w:pStyle w:val="Default"/>
        <w:spacing w:line="480" w:lineRule="auto"/>
        <w:ind w:left="-630" w:right="-90"/>
        <w:rPr>
          <w:rFonts w:asciiTheme="minorHAnsi" w:hAnsiTheme="minorHAnsi" w:cstheme="minorHAnsi"/>
          <w:sz w:val="22"/>
          <w:szCs w:val="22"/>
          <w:lang w:val="en-AU"/>
        </w:rPr>
      </w:pPr>
      <w:r w:rsidRPr="0042564D">
        <w:rPr>
          <w:rFonts w:asciiTheme="minorHAnsi" w:hAnsiTheme="minorHAnsi" w:cstheme="minorHAnsi"/>
          <w:sz w:val="22"/>
          <w:szCs w:val="22"/>
          <w:lang w:val="en-AU"/>
        </w:rPr>
        <w:t>Table of Contents:</w:t>
      </w:r>
    </w:p>
    <w:p w14:paraId="6EA3C5D6" w14:textId="01A2166E" w:rsidR="00AC2B6C" w:rsidRDefault="00AC2B6C" w:rsidP="00C126BD">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Table </w:t>
      </w:r>
      <w:r w:rsidR="00F50C06">
        <w:rPr>
          <w:rFonts w:asciiTheme="minorHAnsi" w:hAnsiTheme="minorHAnsi" w:cstheme="minorHAnsi"/>
          <w:sz w:val="22"/>
          <w:szCs w:val="22"/>
          <w:lang w:val="en-AU"/>
        </w:rPr>
        <w:t>S</w:t>
      </w:r>
      <w:r w:rsidRPr="0042564D">
        <w:rPr>
          <w:rFonts w:asciiTheme="minorHAnsi" w:hAnsiTheme="minorHAnsi" w:cstheme="minorHAnsi"/>
          <w:sz w:val="22"/>
          <w:szCs w:val="22"/>
          <w:lang w:val="en-AU"/>
        </w:rPr>
        <w:t>1</w:t>
      </w:r>
      <w:r w:rsidRPr="0042564D">
        <w:rPr>
          <w:rFonts w:asciiTheme="minorHAnsi" w:hAnsiTheme="minorHAnsi" w:cstheme="minorHAnsi"/>
          <w:sz w:val="22"/>
          <w:szCs w:val="22"/>
          <w:lang w:val="en-AU"/>
        </w:rPr>
        <w:tab/>
      </w:r>
      <w:r>
        <w:rPr>
          <w:rFonts w:asciiTheme="minorHAnsi" w:hAnsiTheme="minorHAnsi" w:cstheme="minorHAnsi"/>
          <w:sz w:val="22"/>
          <w:szCs w:val="22"/>
          <w:lang w:val="en-AU"/>
        </w:rPr>
        <w:t>2</w:t>
      </w:r>
    </w:p>
    <w:p w14:paraId="02C0D986" w14:textId="2D516EBF" w:rsidR="00523765" w:rsidRPr="0042564D" w:rsidRDefault="00523765" w:rsidP="00F25230">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Table </w:t>
      </w:r>
      <w:r w:rsidR="00F50C06">
        <w:rPr>
          <w:rFonts w:asciiTheme="minorHAnsi" w:hAnsiTheme="minorHAnsi" w:cstheme="minorHAnsi"/>
          <w:sz w:val="22"/>
          <w:szCs w:val="22"/>
          <w:lang w:val="en-AU"/>
        </w:rPr>
        <w:t>S</w:t>
      </w:r>
      <w:r w:rsidR="00AC2B6C">
        <w:rPr>
          <w:rFonts w:asciiTheme="minorHAnsi" w:hAnsiTheme="minorHAnsi" w:cstheme="minorHAnsi"/>
          <w:sz w:val="22"/>
          <w:szCs w:val="22"/>
          <w:lang w:val="en-AU"/>
        </w:rPr>
        <w:t>2</w:t>
      </w:r>
      <w:r w:rsidRPr="0042564D">
        <w:rPr>
          <w:rFonts w:asciiTheme="minorHAnsi" w:hAnsiTheme="minorHAnsi" w:cstheme="minorHAnsi"/>
          <w:sz w:val="22"/>
          <w:szCs w:val="22"/>
          <w:lang w:val="en-AU"/>
        </w:rPr>
        <w:tab/>
      </w:r>
      <w:r w:rsidR="00AC2B6C">
        <w:rPr>
          <w:rFonts w:asciiTheme="minorHAnsi" w:hAnsiTheme="minorHAnsi" w:cstheme="minorHAnsi"/>
          <w:sz w:val="22"/>
          <w:szCs w:val="22"/>
          <w:lang w:val="en-AU"/>
        </w:rPr>
        <w:t>3</w:t>
      </w:r>
    </w:p>
    <w:p w14:paraId="3B65A09A" w14:textId="64536BFC" w:rsidR="001248A3" w:rsidRDefault="001248A3">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Table </w:t>
      </w:r>
      <w:r w:rsidR="00F50C06">
        <w:rPr>
          <w:rFonts w:asciiTheme="minorHAnsi" w:hAnsiTheme="minorHAnsi" w:cstheme="minorHAnsi"/>
          <w:sz w:val="22"/>
          <w:szCs w:val="22"/>
          <w:lang w:val="en-AU"/>
        </w:rPr>
        <w:t>S</w:t>
      </w:r>
      <w:r w:rsidR="00AC2B6C">
        <w:rPr>
          <w:rFonts w:asciiTheme="minorHAnsi" w:hAnsiTheme="minorHAnsi" w:cstheme="minorHAnsi"/>
          <w:sz w:val="22"/>
          <w:szCs w:val="22"/>
          <w:lang w:val="en-AU"/>
        </w:rPr>
        <w:t>3</w:t>
      </w:r>
      <w:r w:rsidRPr="0042564D">
        <w:rPr>
          <w:rFonts w:asciiTheme="minorHAnsi" w:hAnsiTheme="minorHAnsi" w:cstheme="minorHAnsi"/>
          <w:sz w:val="22"/>
          <w:szCs w:val="22"/>
          <w:lang w:val="en-AU"/>
        </w:rPr>
        <w:tab/>
      </w:r>
      <w:r w:rsidR="00AC2B6C">
        <w:rPr>
          <w:rFonts w:asciiTheme="minorHAnsi" w:hAnsiTheme="minorHAnsi" w:cstheme="minorHAnsi"/>
          <w:sz w:val="22"/>
          <w:szCs w:val="22"/>
          <w:lang w:val="en-AU"/>
        </w:rPr>
        <w:t>3</w:t>
      </w:r>
    </w:p>
    <w:p w14:paraId="6A346062" w14:textId="32F6D4DC" w:rsidR="00EA3D19" w:rsidRPr="0042564D" w:rsidRDefault="00EA3D19">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Table </w:t>
      </w:r>
      <w:r w:rsidR="00F50C06">
        <w:rPr>
          <w:rFonts w:asciiTheme="minorHAnsi" w:hAnsiTheme="minorHAnsi" w:cstheme="minorHAnsi"/>
          <w:sz w:val="22"/>
          <w:szCs w:val="22"/>
          <w:lang w:val="en-AU"/>
        </w:rPr>
        <w:t>S</w:t>
      </w:r>
      <w:r w:rsidR="00AC2B6C">
        <w:rPr>
          <w:rFonts w:asciiTheme="minorHAnsi" w:hAnsiTheme="minorHAnsi" w:cstheme="minorHAnsi"/>
          <w:sz w:val="22"/>
          <w:szCs w:val="22"/>
          <w:lang w:val="en-AU"/>
        </w:rPr>
        <w:t>4</w:t>
      </w:r>
      <w:r w:rsidRPr="0042564D">
        <w:rPr>
          <w:rFonts w:asciiTheme="minorHAnsi" w:hAnsiTheme="minorHAnsi" w:cstheme="minorHAnsi"/>
          <w:sz w:val="22"/>
          <w:szCs w:val="22"/>
          <w:lang w:val="en-AU"/>
        </w:rPr>
        <w:tab/>
      </w:r>
      <w:r w:rsidR="00AC2B6C">
        <w:rPr>
          <w:rFonts w:asciiTheme="minorHAnsi" w:hAnsiTheme="minorHAnsi" w:cstheme="minorHAnsi"/>
          <w:sz w:val="22"/>
          <w:szCs w:val="22"/>
          <w:lang w:val="en-AU"/>
        </w:rPr>
        <w:t>4</w:t>
      </w:r>
    </w:p>
    <w:p w14:paraId="572148E8" w14:textId="5F2FEA57" w:rsidR="00EA3D19" w:rsidRPr="0042564D" w:rsidRDefault="00EA3D19">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Table </w:t>
      </w:r>
      <w:r w:rsidR="00F50C06">
        <w:rPr>
          <w:rFonts w:asciiTheme="minorHAnsi" w:hAnsiTheme="minorHAnsi" w:cstheme="minorHAnsi"/>
          <w:sz w:val="22"/>
          <w:szCs w:val="22"/>
          <w:lang w:val="en-AU"/>
        </w:rPr>
        <w:t>S</w:t>
      </w:r>
      <w:r w:rsidR="00AC2B6C">
        <w:rPr>
          <w:rFonts w:asciiTheme="minorHAnsi" w:hAnsiTheme="minorHAnsi" w:cstheme="minorHAnsi"/>
          <w:sz w:val="22"/>
          <w:szCs w:val="22"/>
          <w:lang w:val="en-AU"/>
        </w:rPr>
        <w:t>5</w:t>
      </w:r>
      <w:r w:rsidRPr="0042564D">
        <w:rPr>
          <w:rFonts w:asciiTheme="minorHAnsi" w:hAnsiTheme="minorHAnsi" w:cstheme="minorHAnsi"/>
          <w:sz w:val="22"/>
          <w:szCs w:val="22"/>
          <w:lang w:val="en-AU"/>
        </w:rPr>
        <w:tab/>
      </w:r>
      <w:r w:rsidR="00AC2B6C">
        <w:rPr>
          <w:rFonts w:asciiTheme="minorHAnsi" w:hAnsiTheme="minorHAnsi" w:cstheme="minorHAnsi"/>
          <w:sz w:val="22"/>
          <w:szCs w:val="22"/>
          <w:lang w:val="en-AU"/>
        </w:rPr>
        <w:t>11</w:t>
      </w:r>
    </w:p>
    <w:p w14:paraId="44CF1342" w14:textId="023B42AE" w:rsidR="00523765" w:rsidRPr="0042564D" w:rsidRDefault="00523765">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Figure </w:t>
      </w:r>
      <w:r w:rsidR="00F50C06">
        <w:rPr>
          <w:rFonts w:asciiTheme="minorHAnsi" w:hAnsiTheme="minorHAnsi" w:cstheme="minorHAnsi"/>
          <w:sz w:val="22"/>
          <w:szCs w:val="22"/>
          <w:lang w:val="en-AU"/>
        </w:rPr>
        <w:t>S</w:t>
      </w:r>
      <w:r w:rsidR="00157F0A">
        <w:rPr>
          <w:rFonts w:asciiTheme="minorHAnsi" w:hAnsiTheme="minorHAnsi" w:cstheme="minorHAnsi"/>
          <w:sz w:val="22"/>
          <w:szCs w:val="22"/>
          <w:lang w:val="en-AU"/>
        </w:rPr>
        <w:t>1</w:t>
      </w:r>
      <w:r w:rsidRPr="0042564D">
        <w:rPr>
          <w:rFonts w:asciiTheme="minorHAnsi" w:hAnsiTheme="minorHAnsi" w:cstheme="minorHAnsi"/>
          <w:sz w:val="22"/>
          <w:szCs w:val="22"/>
          <w:lang w:val="en-AU"/>
        </w:rPr>
        <w:tab/>
      </w:r>
      <w:r w:rsidR="00FF3D7D">
        <w:rPr>
          <w:rFonts w:asciiTheme="minorHAnsi" w:hAnsiTheme="minorHAnsi" w:cstheme="minorHAnsi"/>
          <w:sz w:val="22"/>
          <w:szCs w:val="22"/>
          <w:lang w:val="en-AU"/>
        </w:rPr>
        <w:t>1</w:t>
      </w:r>
      <w:r w:rsidR="00AC2B6C">
        <w:rPr>
          <w:rFonts w:asciiTheme="minorHAnsi" w:hAnsiTheme="minorHAnsi" w:cstheme="minorHAnsi"/>
          <w:sz w:val="22"/>
          <w:szCs w:val="22"/>
          <w:lang w:val="en-AU"/>
        </w:rPr>
        <w:t>4</w:t>
      </w:r>
    </w:p>
    <w:p w14:paraId="57229741" w14:textId="75B72A92" w:rsidR="00523765" w:rsidRPr="0042564D" w:rsidRDefault="00523765">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Figure </w:t>
      </w:r>
      <w:r w:rsidR="00F50C06">
        <w:rPr>
          <w:rFonts w:asciiTheme="minorHAnsi" w:hAnsiTheme="minorHAnsi" w:cstheme="minorHAnsi"/>
          <w:sz w:val="22"/>
          <w:szCs w:val="22"/>
          <w:lang w:val="en-AU"/>
        </w:rPr>
        <w:t>S</w:t>
      </w:r>
      <w:r w:rsidR="00157F0A">
        <w:rPr>
          <w:rFonts w:asciiTheme="minorHAnsi" w:hAnsiTheme="minorHAnsi" w:cstheme="minorHAnsi"/>
          <w:sz w:val="22"/>
          <w:szCs w:val="22"/>
          <w:lang w:val="en-AU"/>
        </w:rPr>
        <w:t>2</w:t>
      </w:r>
      <w:r w:rsidRPr="0042564D">
        <w:rPr>
          <w:rFonts w:asciiTheme="minorHAnsi" w:hAnsiTheme="minorHAnsi" w:cstheme="minorHAnsi"/>
          <w:sz w:val="22"/>
          <w:szCs w:val="22"/>
          <w:lang w:val="en-AU"/>
        </w:rPr>
        <w:tab/>
      </w:r>
      <w:r w:rsidR="00FF3D7D">
        <w:rPr>
          <w:rFonts w:asciiTheme="minorHAnsi" w:hAnsiTheme="minorHAnsi" w:cstheme="minorHAnsi"/>
          <w:sz w:val="22"/>
          <w:szCs w:val="22"/>
          <w:lang w:val="en-AU"/>
        </w:rPr>
        <w:t>1</w:t>
      </w:r>
      <w:r w:rsidR="00AC2B6C">
        <w:rPr>
          <w:rFonts w:asciiTheme="minorHAnsi" w:hAnsiTheme="minorHAnsi" w:cstheme="minorHAnsi"/>
          <w:sz w:val="22"/>
          <w:szCs w:val="22"/>
          <w:lang w:val="en-AU"/>
        </w:rPr>
        <w:t>5</w:t>
      </w:r>
    </w:p>
    <w:p w14:paraId="65116F01" w14:textId="1D118047" w:rsidR="001248A3" w:rsidRDefault="00462749">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 xml:space="preserve">Supplemental Figure </w:t>
      </w:r>
      <w:r w:rsidR="00F50C06">
        <w:rPr>
          <w:rFonts w:asciiTheme="minorHAnsi" w:hAnsiTheme="minorHAnsi" w:cstheme="minorHAnsi"/>
          <w:sz w:val="22"/>
          <w:szCs w:val="22"/>
          <w:lang w:val="en-AU"/>
        </w:rPr>
        <w:t>S</w:t>
      </w:r>
      <w:r w:rsidR="00157F0A">
        <w:rPr>
          <w:rFonts w:asciiTheme="minorHAnsi" w:hAnsiTheme="minorHAnsi" w:cstheme="minorHAnsi"/>
          <w:sz w:val="22"/>
          <w:szCs w:val="22"/>
          <w:lang w:val="en-AU"/>
        </w:rPr>
        <w:t>3</w:t>
      </w:r>
      <w:r w:rsidRPr="0042564D">
        <w:rPr>
          <w:rFonts w:asciiTheme="minorHAnsi" w:hAnsiTheme="minorHAnsi" w:cstheme="minorHAnsi"/>
          <w:sz w:val="22"/>
          <w:szCs w:val="22"/>
          <w:lang w:val="en-AU"/>
        </w:rPr>
        <w:tab/>
      </w:r>
      <w:r w:rsidR="00FF3D7D" w:rsidRPr="0042564D">
        <w:rPr>
          <w:rFonts w:asciiTheme="minorHAnsi" w:hAnsiTheme="minorHAnsi" w:cstheme="minorHAnsi"/>
          <w:sz w:val="22"/>
          <w:szCs w:val="22"/>
          <w:lang w:val="en-AU"/>
        </w:rPr>
        <w:t>1</w:t>
      </w:r>
      <w:r w:rsidR="00AC2B6C">
        <w:rPr>
          <w:rFonts w:asciiTheme="minorHAnsi" w:hAnsiTheme="minorHAnsi" w:cstheme="minorHAnsi"/>
          <w:sz w:val="22"/>
          <w:szCs w:val="22"/>
          <w:lang w:val="en-AU"/>
        </w:rPr>
        <w:t>6</w:t>
      </w:r>
    </w:p>
    <w:p w14:paraId="68DC63C2" w14:textId="2AE6BF24" w:rsidR="00986BC8" w:rsidRDefault="00986BC8">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Supplemental Figure</w:t>
      </w:r>
      <w:r w:rsidR="009F2726">
        <w:rPr>
          <w:rFonts w:asciiTheme="minorHAnsi" w:hAnsiTheme="minorHAnsi" w:cstheme="minorHAnsi"/>
          <w:sz w:val="22"/>
          <w:szCs w:val="22"/>
          <w:lang w:val="en-AU"/>
        </w:rPr>
        <w:t xml:space="preserve"> </w:t>
      </w:r>
      <w:r w:rsidR="00F50C06">
        <w:rPr>
          <w:rFonts w:asciiTheme="minorHAnsi" w:hAnsiTheme="minorHAnsi" w:cstheme="minorHAnsi"/>
          <w:sz w:val="22"/>
          <w:szCs w:val="22"/>
          <w:lang w:val="en-AU"/>
        </w:rPr>
        <w:t>S</w:t>
      </w:r>
      <w:r w:rsidR="00157F0A">
        <w:rPr>
          <w:rFonts w:asciiTheme="minorHAnsi" w:hAnsiTheme="minorHAnsi" w:cstheme="minorHAnsi"/>
          <w:sz w:val="22"/>
          <w:szCs w:val="22"/>
          <w:lang w:val="en-AU"/>
        </w:rPr>
        <w:t>4</w:t>
      </w:r>
      <w:r w:rsidRPr="0042564D">
        <w:rPr>
          <w:rFonts w:asciiTheme="minorHAnsi" w:hAnsiTheme="minorHAnsi" w:cstheme="minorHAnsi"/>
          <w:sz w:val="22"/>
          <w:szCs w:val="22"/>
          <w:lang w:val="en-AU"/>
        </w:rPr>
        <w:tab/>
      </w:r>
      <w:r w:rsidR="00FF3D7D">
        <w:rPr>
          <w:rFonts w:asciiTheme="minorHAnsi" w:hAnsiTheme="minorHAnsi" w:cstheme="minorHAnsi"/>
          <w:sz w:val="22"/>
          <w:szCs w:val="22"/>
          <w:lang w:val="en-AU"/>
        </w:rPr>
        <w:t>1</w:t>
      </w:r>
      <w:r w:rsidR="00AC2B6C">
        <w:rPr>
          <w:rFonts w:asciiTheme="minorHAnsi" w:hAnsiTheme="minorHAnsi" w:cstheme="minorHAnsi"/>
          <w:sz w:val="22"/>
          <w:szCs w:val="22"/>
          <w:lang w:val="en-AU"/>
        </w:rPr>
        <w:t>7</w:t>
      </w:r>
    </w:p>
    <w:p w14:paraId="69EC06FB" w14:textId="2ED50155" w:rsidR="0084527F" w:rsidRDefault="0084527F">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Supplemental Figure</w:t>
      </w:r>
      <w:r>
        <w:rPr>
          <w:rFonts w:asciiTheme="minorHAnsi" w:hAnsiTheme="minorHAnsi" w:cstheme="minorHAnsi"/>
          <w:sz w:val="22"/>
          <w:szCs w:val="22"/>
          <w:lang w:val="en-AU"/>
        </w:rPr>
        <w:t xml:space="preserve"> </w:t>
      </w:r>
      <w:r w:rsidR="00F50C06">
        <w:rPr>
          <w:rFonts w:asciiTheme="minorHAnsi" w:hAnsiTheme="minorHAnsi" w:cstheme="minorHAnsi"/>
          <w:sz w:val="22"/>
          <w:szCs w:val="22"/>
          <w:lang w:val="en-AU"/>
        </w:rPr>
        <w:t>S</w:t>
      </w:r>
      <w:r>
        <w:rPr>
          <w:rFonts w:asciiTheme="minorHAnsi" w:hAnsiTheme="minorHAnsi" w:cstheme="minorHAnsi"/>
          <w:sz w:val="22"/>
          <w:szCs w:val="22"/>
          <w:lang w:val="en-AU"/>
        </w:rPr>
        <w:t>5</w:t>
      </w:r>
      <w:r w:rsidR="005738AA">
        <w:rPr>
          <w:rFonts w:asciiTheme="minorHAnsi" w:hAnsiTheme="minorHAnsi" w:cstheme="minorHAnsi"/>
          <w:sz w:val="22"/>
          <w:szCs w:val="22"/>
          <w:lang w:val="en-AU"/>
        </w:rPr>
        <w:tab/>
      </w:r>
      <w:r w:rsidR="00FF3D7D">
        <w:rPr>
          <w:rFonts w:asciiTheme="minorHAnsi" w:hAnsiTheme="minorHAnsi" w:cstheme="minorHAnsi"/>
          <w:sz w:val="22"/>
          <w:szCs w:val="22"/>
          <w:lang w:val="en-AU"/>
        </w:rPr>
        <w:t>1</w:t>
      </w:r>
      <w:r w:rsidR="00AC2B6C">
        <w:rPr>
          <w:rFonts w:asciiTheme="minorHAnsi" w:hAnsiTheme="minorHAnsi" w:cstheme="minorHAnsi"/>
          <w:sz w:val="22"/>
          <w:szCs w:val="22"/>
          <w:lang w:val="en-AU"/>
        </w:rPr>
        <w:t>8</w:t>
      </w:r>
    </w:p>
    <w:p w14:paraId="1ED4AE8A" w14:textId="03B8C248" w:rsidR="0084527F" w:rsidRDefault="0084527F">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Supplemental Figure</w:t>
      </w:r>
      <w:r>
        <w:rPr>
          <w:rFonts w:asciiTheme="minorHAnsi" w:hAnsiTheme="minorHAnsi" w:cstheme="minorHAnsi"/>
          <w:sz w:val="22"/>
          <w:szCs w:val="22"/>
          <w:lang w:val="en-AU"/>
        </w:rPr>
        <w:t xml:space="preserve"> </w:t>
      </w:r>
      <w:r w:rsidR="00F50C06">
        <w:rPr>
          <w:rFonts w:asciiTheme="minorHAnsi" w:hAnsiTheme="minorHAnsi" w:cstheme="minorHAnsi"/>
          <w:sz w:val="22"/>
          <w:szCs w:val="22"/>
          <w:lang w:val="en-AU"/>
        </w:rPr>
        <w:t>S</w:t>
      </w:r>
      <w:r>
        <w:rPr>
          <w:rFonts w:asciiTheme="minorHAnsi" w:hAnsiTheme="minorHAnsi" w:cstheme="minorHAnsi"/>
          <w:sz w:val="22"/>
          <w:szCs w:val="22"/>
          <w:lang w:val="en-AU"/>
        </w:rPr>
        <w:t>6</w:t>
      </w:r>
      <w:r w:rsidR="005738AA">
        <w:rPr>
          <w:rFonts w:asciiTheme="minorHAnsi" w:hAnsiTheme="minorHAnsi" w:cstheme="minorHAnsi"/>
          <w:sz w:val="22"/>
          <w:szCs w:val="22"/>
          <w:lang w:val="en-AU"/>
        </w:rPr>
        <w:tab/>
      </w:r>
      <w:r w:rsidR="00AC2B6C">
        <w:rPr>
          <w:rFonts w:asciiTheme="minorHAnsi" w:hAnsiTheme="minorHAnsi" w:cstheme="minorHAnsi"/>
          <w:sz w:val="22"/>
          <w:szCs w:val="22"/>
          <w:lang w:val="en-AU"/>
        </w:rPr>
        <w:t>18</w:t>
      </w:r>
    </w:p>
    <w:p w14:paraId="6038B86D" w14:textId="7FEA9A81" w:rsidR="0084527F" w:rsidRDefault="0084527F">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Supplemental Figure</w:t>
      </w:r>
      <w:r>
        <w:rPr>
          <w:rFonts w:asciiTheme="minorHAnsi" w:hAnsiTheme="minorHAnsi" w:cstheme="minorHAnsi"/>
          <w:sz w:val="22"/>
          <w:szCs w:val="22"/>
          <w:lang w:val="en-AU"/>
        </w:rPr>
        <w:t xml:space="preserve"> </w:t>
      </w:r>
      <w:r w:rsidR="00F50C06">
        <w:rPr>
          <w:rFonts w:asciiTheme="minorHAnsi" w:hAnsiTheme="minorHAnsi" w:cstheme="minorHAnsi"/>
          <w:sz w:val="22"/>
          <w:szCs w:val="22"/>
          <w:lang w:val="en-AU"/>
        </w:rPr>
        <w:t>S</w:t>
      </w:r>
      <w:r>
        <w:rPr>
          <w:rFonts w:asciiTheme="minorHAnsi" w:hAnsiTheme="minorHAnsi" w:cstheme="minorHAnsi"/>
          <w:sz w:val="22"/>
          <w:szCs w:val="22"/>
          <w:lang w:val="en-AU"/>
        </w:rPr>
        <w:t>7</w:t>
      </w:r>
      <w:r w:rsidR="005738AA">
        <w:rPr>
          <w:rFonts w:asciiTheme="minorHAnsi" w:hAnsiTheme="minorHAnsi" w:cstheme="minorHAnsi"/>
          <w:sz w:val="22"/>
          <w:szCs w:val="22"/>
          <w:lang w:val="en-AU"/>
        </w:rPr>
        <w:tab/>
      </w:r>
      <w:r w:rsidR="00AC2B6C">
        <w:rPr>
          <w:rFonts w:asciiTheme="minorHAnsi" w:hAnsiTheme="minorHAnsi" w:cstheme="minorHAnsi"/>
          <w:sz w:val="22"/>
          <w:szCs w:val="22"/>
          <w:lang w:val="en-AU"/>
        </w:rPr>
        <w:t>19</w:t>
      </w:r>
    </w:p>
    <w:p w14:paraId="7B0814B2" w14:textId="66363EF9" w:rsidR="0084527F" w:rsidRDefault="0084527F">
      <w:pPr>
        <w:pStyle w:val="Default"/>
        <w:tabs>
          <w:tab w:val="right" w:leader="dot" w:pos="9360"/>
        </w:tabs>
        <w:spacing w:line="480" w:lineRule="auto"/>
        <w:ind w:left="-180" w:right="-90"/>
        <w:rPr>
          <w:rFonts w:asciiTheme="minorHAnsi" w:hAnsiTheme="minorHAnsi" w:cstheme="minorHAnsi"/>
          <w:sz w:val="22"/>
          <w:szCs w:val="22"/>
          <w:lang w:val="en-AU"/>
        </w:rPr>
      </w:pPr>
      <w:r w:rsidRPr="0042564D">
        <w:rPr>
          <w:rFonts w:asciiTheme="minorHAnsi" w:hAnsiTheme="minorHAnsi" w:cstheme="minorHAnsi"/>
          <w:sz w:val="22"/>
          <w:szCs w:val="22"/>
          <w:lang w:val="en-AU"/>
        </w:rPr>
        <w:t>Supplemental Figure</w:t>
      </w:r>
      <w:r w:rsidR="005738AA">
        <w:rPr>
          <w:rFonts w:asciiTheme="minorHAnsi" w:hAnsiTheme="minorHAnsi" w:cstheme="minorHAnsi"/>
          <w:sz w:val="22"/>
          <w:szCs w:val="22"/>
          <w:lang w:val="en-AU"/>
        </w:rPr>
        <w:t xml:space="preserve"> </w:t>
      </w:r>
      <w:r w:rsidR="00F50C06">
        <w:rPr>
          <w:rFonts w:asciiTheme="minorHAnsi" w:hAnsiTheme="minorHAnsi" w:cstheme="minorHAnsi"/>
          <w:sz w:val="22"/>
          <w:szCs w:val="22"/>
          <w:lang w:val="en-AU"/>
        </w:rPr>
        <w:t>S</w:t>
      </w:r>
      <w:r w:rsidR="005738AA">
        <w:rPr>
          <w:rFonts w:asciiTheme="minorHAnsi" w:hAnsiTheme="minorHAnsi" w:cstheme="minorHAnsi"/>
          <w:sz w:val="22"/>
          <w:szCs w:val="22"/>
          <w:lang w:val="en-AU"/>
        </w:rPr>
        <w:t>8</w:t>
      </w:r>
      <w:r w:rsidR="005738AA">
        <w:rPr>
          <w:rFonts w:asciiTheme="minorHAnsi" w:hAnsiTheme="minorHAnsi" w:cstheme="minorHAnsi"/>
          <w:sz w:val="22"/>
          <w:szCs w:val="22"/>
          <w:lang w:val="en-AU"/>
        </w:rPr>
        <w:tab/>
      </w:r>
      <w:r w:rsidR="00FF3D7D">
        <w:rPr>
          <w:rFonts w:asciiTheme="minorHAnsi" w:hAnsiTheme="minorHAnsi" w:cstheme="minorHAnsi"/>
          <w:sz w:val="22"/>
          <w:szCs w:val="22"/>
          <w:lang w:val="en-AU"/>
        </w:rPr>
        <w:t>1</w:t>
      </w:r>
      <w:r w:rsidR="00AC2B6C">
        <w:rPr>
          <w:rFonts w:asciiTheme="minorHAnsi" w:hAnsiTheme="minorHAnsi" w:cstheme="minorHAnsi"/>
          <w:sz w:val="22"/>
          <w:szCs w:val="22"/>
          <w:lang w:val="en-AU"/>
        </w:rPr>
        <w:t>9</w:t>
      </w:r>
    </w:p>
    <w:p w14:paraId="6D005CD3" w14:textId="6D2127F1" w:rsidR="00981C0A" w:rsidRPr="007619B3" w:rsidRDefault="007619B3" w:rsidP="007619B3">
      <w:pPr>
        <w:pStyle w:val="Default"/>
        <w:tabs>
          <w:tab w:val="right" w:leader="dot" w:pos="9360"/>
        </w:tabs>
        <w:spacing w:line="480" w:lineRule="auto"/>
        <w:ind w:left="-180" w:right="-90"/>
        <w:rPr>
          <w:rFonts w:asciiTheme="minorHAnsi" w:hAnsiTheme="minorHAnsi" w:cstheme="minorHAnsi"/>
          <w:sz w:val="22"/>
          <w:szCs w:val="22"/>
          <w:lang w:val="en-AU"/>
        </w:rPr>
      </w:pPr>
      <w:r>
        <w:rPr>
          <w:rFonts w:asciiTheme="minorHAnsi" w:hAnsiTheme="minorHAnsi" w:cstheme="minorHAnsi"/>
          <w:sz w:val="22"/>
          <w:szCs w:val="22"/>
          <w:lang w:val="en-AU"/>
        </w:rPr>
        <w:t>References.</w:t>
      </w:r>
      <w:r w:rsidR="00E62D15">
        <w:rPr>
          <w:rFonts w:asciiTheme="minorHAnsi" w:hAnsiTheme="minorHAnsi" w:cstheme="minorHAnsi"/>
          <w:sz w:val="22"/>
          <w:szCs w:val="22"/>
          <w:lang w:val="en-AU"/>
        </w:rPr>
        <w:t>………………………………………………………………………………………………………………………………………….</w:t>
      </w:r>
      <w:r>
        <w:rPr>
          <w:rFonts w:asciiTheme="minorHAnsi" w:hAnsiTheme="minorHAnsi" w:cstheme="minorHAnsi"/>
          <w:sz w:val="22"/>
          <w:szCs w:val="22"/>
          <w:lang w:val="en-AU"/>
        </w:rPr>
        <w:t>.</w:t>
      </w:r>
      <w:r w:rsidR="00AC2B6C">
        <w:rPr>
          <w:rFonts w:asciiTheme="minorHAnsi" w:hAnsiTheme="minorHAnsi" w:cstheme="minorHAnsi"/>
          <w:sz w:val="22"/>
          <w:szCs w:val="22"/>
          <w:lang w:val="en-AU"/>
        </w:rPr>
        <w:t>20</w:t>
      </w:r>
      <w:r>
        <w:rPr>
          <w:rFonts w:asciiTheme="minorHAnsi" w:hAnsiTheme="minorHAnsi" w:cstheme="minorHAnsi"/>
          <w:sz w:val="22"/>
          <w:szCs w:val="22"/>
          <w:lang w:val="en-AU"/>
        </w:rPr>
        <w:br w:type="page"/>
      </w:r>
      <w:r w:rsidR="00981C0A" w:rsidRPr="00C126BD">
        <w:rPr>
          <w:rFonts w:ascii="Calibri" w:eastAsia="Calibri" w:hAnsi="Calibri" w:cs="Calibri"/>
          <w:b/>
        </w:rPr>
        <w:lastRenderedPageBreak/>
        <w:t xml:space="preserve">Table </w:t>
      </w:r>
      <w:r w:rsidR="00087F7F">
        <w:rPr>
          <w:rFonts w:ascii="Calibri" w:eastAsia="Calibri" w:hAnsi="Calibri" w:cs="Calibri"/>
          <w:b/>
        </w:rPr>
        <w:t>S</w:t>
      </w:r>
      <w:r w:rsidR="00981C0A" w:rsidRPr="00C126BD">
        <w:rPr>
          <w:rFonts w:ascii="Calibri" w:eastAsia="Calibri" w:hAnsi="Calibri" w:cs="Calibri"/>
          <w:b/>
        </w:rPr>
        <w:t xml:space="preserve">1: </w:t>
      </w:r>
      <w:r w:rsidR="00981C0A" w:rsidRPr="00C126BD">
        <w:rPr>
          <w:rFonts w:ascii="Calibri" w:eastAsia="Calibri" w:hAnsi="Calibri" w:cs="Calibri"/>
          <w:bCs/>
        </w:rPr>
        <w:t>Reporting quality of adequate-quality papers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1165"/>
        <w:gridCol w:w="2070"/>
        <w:gridCol w:w="1554"/>
      </w:tblGrid>
      <w:tr w:rsidR="00981C0A" w14:paraId="6CDC41B7" w14:textId="77777777" w:rsidTr="00C126BD">
        <w:tc>
          <w:tcPr>
            <w:tcW w:w="4230" w:type="dxa"/>
            <w:tcBorders>
              <w:top w:val="single" w:sz="4" w:space="0" w:color="auto"/>
              <w:bottom w:val="single" w:sz="4" w:space="0" w:color="auto"/>
            </w:tcBorders>
            <w:shd w:val="clear" w:color="auto" w:fill="DEEAF6" w:themeFill="accent1" w:themeFillTint="33"/>
          </w:tcPr>
          <w:p w14:paraId="41F5EB63" w14:textId="77777777" w:rsidR="00981C0A" w:rsidRPr="00C126BD" w:rsidRDefault="00981C0A" w:rsidP="004427C3">
            <w:pPr>
              <w:widowControl w:val="0"/>
              <w:autoSpaceDE w:val="0"/>
              <w:autoSpaceDN w:val="0"/>
              <w:adjustRightInd w:val="0"/>
              <w:spacing w:before="100" w:after="100"/>
              <w:rPr>
                <w:rFonts w:ascii="Calibri" w:eastAsia="Calibri" w:hAnsi="Calibri" w:cs="Calibri"/>
                <w:b/>
              </w:rPr>
            </w:pPr>
            <w:r w:rsidRPr="00C126BD">
              <w:rPr>
                <w:rFonts w:ascii="Calibri" w:eastAsia="Calibri" w:hAnsi="Calibri" w:cs="Calibri"/>
                <w:b/>
              </w:rPr>
              <w:t>Items</w:t>
            </w:r>
          </w:p>
        </w:tc>
        <w:tc>
          <w:tcPr>
            <w:tcW w:w="1165" w:type="dxa"/>
            <w:tcBorders>
              <w:top w:val="single" w:sz="4" w:space="0" w:color="auto"/>
              <w:bottom w:val="single" w:sz="4" w:space="0" w:color="auto"/>
            </w:tcBorders>
            <w:shd w:val="clear" w:color="auto" w:fill="DEEAF6" w:themeFill="accent1" w:themeFillTint="33"/>
          </w:tcPr>
          <w:p w14:paraId="1253FBA0" w14:textId="77777777" w:rsidR="00981C0A" w:rsidRPr="00F25230" w:rsidRDefault="00981C0A" w:rsidP="004427C3">
            <w:pPr>
              <w:widowControl w:val="0"/>
              <w:autoSpaceDE w:val="0"/>
              <w:autoSpaceDN w:val="0"/>
              <w:adjustRightInd w:val="0"/>
              <w:spacing w:before="100" w:after="100"/>
              <w:rPr>
                <w:rFonts w:ascii="Calibri" w:eastAsia="Calibri" w:hAnsi="Calibri" w:cs="Calibri"/>
                <w:b/>
                <w:bCs/>
              </w:rPr>
            </w:pPr>
            <w:r w:rsidRPr="00F25230">
              <w:rPr>
                <w:rFonts w:ascii="Calibri" w:hAnsi="Calibri" w:cs="Calibri"/>
                <w:b/>
                <w:bCs/>
              </w:rPr>
              <w:t>Reported, n (%)</w:t>
            </w:r>
          </w:p>
        </w:tc>
        <w:tc>
          <w:tcPr>
            <w:tcW w:w="2070" w:type="dxa"/>
            <w:tcBorders>
              <w:top w:val="single" w:sz="4" w:space="0" w:color="auto"/>
              <w:bottom w:val="single" w:sz="4" w:space="0" w:color="auto"/>
            </w:tcBorders>
            <w:shd w:val="clear" w:color="auto" w:fill="DEEAF6" w:themeFill="accent1" w:themeFillTint="33"/>
          </w:tcPr>
          <w:p w14:paraId="3AE8E79E" w14:textId="77777777" w:rsidR="00981C0A" w:rsidRPr="00F25230" w:rsidRDefault="00981C0A" w:rsidP="004427C3">
            <w:pPr>
              <w:widowControl w:val="0"/>
              <w:autoSpaceDE w:val="0"/>
              <w:autoSpaceDN w:val="0"/>
              <w:adjustRightInd w:val="0"/>
              <w:spacing w:before="100" w:after="100"/>
              <w:rPr>
                <w:rFonts w:ascii="Calibri" w:eastAsia="Calibri" w:hAnsi="Calibri" w:cs="Calibri"/>
                <w:b/>
                <w:bCs/>
              </w:rPr>
            </w:pPr>
            <w:r w:rsidRPr="00F25230">
              <w:rPr>
                <w:rFonts w:ascii="Calibri" w:hAnsi="Calibri" w:cs="Calibri"/>
                <w:b/>
                <w:bCs/>
              </w:rPr>
              <w:t>Not reported, n (%)</w:t>
            </w:r>
          </w:p>
        </w:tc>
        <w:tc>
          <w:tcPr>
            <w:tcW w:w="1554" w:type="dxa"/>
            <w:tcBorders>
              <w:top w:val="single" w:sz="4" w:space="0" w:color="auto"/>
              <w:bottom w:val="single" w:sz="4" w:space="0" w:color="auto"/>
            </w:tcBorders>
            <w:shd w:val="clear" w:color="auto" w:fill="DEEAF6" w:themeFill="accent1" w:themeFillTint="33"/>
          </w:tcPr>
          <w:p w14:paraId="140A5E9C" w14:textId="77777777" w:rsidR="00981C0A" w:rsidRPr="00F25230" w:rsidRDefault="00981C0A" w:rsidP="004427C3">
            <w:pPr>
              <w:widowControl w:val="0"/>
              <w:autoSpaceDE w:val="0"/>
              <w:autoSpaceDN w:val="0"/>
              <w:adjustRightInd w:val="0"/>
              <w:spacing w:before="100" w:after="100"/>
              <w:rPr>
                <w:rFonts w:ascii="Calibri" w:eastAsia="Calibri" w:hAnsi="Calibri" w:cs="Calibri"/>
                <w:b/>
                <w:bCs/>
              </w:rPr>
            </w:pPr>
            <w:r w:rsidRPr="00F25230">
              <w:rPr>
                <w:rFonts w:ascii="Calibri" w:hAnsi="Calibri" w:cs="Calibri"/>
                <w:b/>
                <w:bCs/>
              </w:rPr>
              <w:t>Unclear, n (%)</w:t>
            </w:r>
          </w:p>
        </w:tc>
      </w:tr>
      <w:tr w:rsidR="00981C0A" w14:paraId="07CE09BF" w14:textId="77777777" w:rsidTr="004427C3">
        <w:tc>
          <w:tcPr>
            <w:tcW w:w="9019" w:type="dxa"/>
            <w:gridSpan w:val="4"/>
            <w:tcBorders>
              <w:top w:val="single" w:sz="4" w:space="0" w:color="auto"/>
            </w:tcBorders>
            <w:shd w:val="clear" w:color="auto" w:fill="DEEAF6" w:themeFill="accent1" w:themeFillTint="33"/>
          </w:tcPr>
          <w:p w14:paraId="58D1E86A" w14:textId="77777777" w:rsidR="00981C0A" w:rsidRPr="00C126BD" w:rsidRDefault="00981C0A" w:rsidP="004427C3">
            <w:pPr>
              <w:widowControl w:val="0"/>
              <w:autoSpaceDE w:val="0"/>
              <w:autoSpaceDN w:val="0"/>
              <w:adjustRightInd w:val="0"/>
              <w:spacing w:before="100" w:after="100"/>
              <w:rPr>
                <w:rFonts w:ascii="Calibri" w:eastAsia="Calibri" w:hAnsi="Calibri" w:cs="Calibri"/>
                <w:b/>
              </w:rPr>
            </w:pPr>
            <w:r w:rsidRPr="00C126BD">
              <w:rPr>
                <w:rFonts w:ascii="Calibri" w:eastAsia="Calibri" w:hAnsi="Calibri" w:cs="Calibri"/>
                <w:b/>
              </w:rPr>
              <w:t>Methods</w:t>
            </w:r>
          </w:p>
        </w:tc>
      </w:tr>
      <w:tr w:rsidR="00981C0A" w14:paraId="4C8828AA" w14:textId="77777777" w:rsidTr="00C126BD">
        <w:trPr>
          <w:trHeight w:val="530"/>
        </w:trPr>
        <w:tc>
          <w:tcPr>
            <w:tcW w:w="4230" w:type="dxa"/>
          </w:tcPr>
          <w:p w14:paraId="065892B2" w14:textId="77777777" w:rsidR="00981C0A" w:rsidRPr="00F25230" w:rsidRDefault="00981C0A" w:rsidP="004427C3">
            <w:pPr>
              <w:autoSpaceDE w:val="0"/>
              <w:autoSpaceDN w:val="0"/>
              <w:adjustRightInd w:val="0"/>
              <w:spacing w:before="100" w:after="100"/>
              <w:rPr>
                <w:rFonts w:ascii="Calibri" w:hAnsi="Calibri" w:cs="Calibri"/>
              </w:rPr>
            </w:pPr>
            <w:r w:rsidRPr="00F25230">
              <w:rPr>
                <w:rFonts w:ascii="Calibri" w:hAnsi="Calibri" w:cs="Calibri"/>
              </w:rPr>
              <w:t xml:space="preserve">Data source </w:t>
            </w:r>
          </w:p>
        </w:tc>
        <w:tc>
          <w:tcPr>
            <w:tcW w:w="1165" w:type="dxa"/>
          </w:tcPr>
          <w:p w14:paraId="0F0073E2"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tcPr>
          <w:p w14:paraId="1F6A67F1"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tcPr>
          <w:p w14:paraId="50223CED"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588C96C8" w14:textId="77777777" w:rsidTr="00C126BD">
        <w:tc>
          <w:tcPr>
            <w:tcW w:w="4230" w:type="dxa"/>
            <w:shd w:val="clear" w:color="auto" w:fill="auto"/>
          </w:tcPr>
          <w:p w14:paraId="1E8CD00F"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Data split methods</w:t>
            </w:r>
          </w:p>
        </w:tc>
        <w:tc>
          <w:tcPr>
            <w:tcW w:w="1165" w:type="dxa"/>
            <w:shd w:val="clear" w:color="auto" w:fill="auto"/>
          </w:tcPr>
          <w:p w14:paraId="1B16A22C"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shd w:val="clear" w:color="auto" w:fill="auto"/>
          </w:tcPr>
          <w:p w14:paraId="4E5839D7"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shd w:val="clear" w:color="auto" w:fill="auto"/>
          </w:tcPr>
          <w:p w14:paraId="29AFCE5D"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5C62653E" w14:textId="77777777" w:rsidTr="00C126BD">
        <w:tc>
          <w:tcPr>
            <w:tcW w:w="4230" w:type="dxa"/>
          </w:tcPr>
          <w:p w14:paraId="24815E0F"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Test set eligibility criteria (evaluation set)</w:t>
            </w:r>
          </w:p>
        </w:tc>
        <w:tc>
          <w:tcPr>
            <w:tcW w:w="1165" w:type="dxa"/>
          </w:tcPr>
          <w:p w14:paraId="12023267"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tcPr>
          <w:p w14:paraId="795461CC"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tcPr>
          <w:p w14:paraId="3538BAC8"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47C85A7F" w14:textId="77777777" w:rsidTr="004427C3">
        <w:tc>
          <w:tcPr>
            <w:tcW w:w="9019" w:type="dxa"/>
            <w:gridSpan w:val="4"/>
            <w:shd w:val="clear" w:color="auto" w:fill="DEEAF6" w:themeFill="accent1" w:themeFillTint="33"/>
          </w:tcPr>
          <w:p w14:paraId="45D2EC84" w14:textId="77777777" w:rsidR="00981C0A" w:rsidRPr="00C126BD" w:rsidRDefault="00981C0A" w:rsidP="004427C3">
            <w:pPr>
              <w:autoSpaceDE w:val="0"/>
              <w:autoSpaceDN w:val="0"/>
              <w:adjustRightInd w:val="0"/>
              <w:spacing w:before="100" w:after="100"/>
              <w:rPr>
                <w:rFonts w:ascii="Calibri" w:hAnsi="Calibri" w:cs="Calibri"/>
                <w:b/>
                <w:bCs/>
              </w:rPr>
            </w:pPr>
            <w:r w:rsidRPr="00C126BD">
              <w:rPr>
                <w:rFonts w:ascii="Calibri" w:hAnsi="Calibri" w:cs="Calibri"/>
                <w:b/>
                <w:bCs/>
              </w:rPr>
              <w:t>Results</w:t>
            </w:r>
          </w:p>
        </w:tc>
      </w:tr>
      <w:tr w:rsidR="00981C0A" w14:paraId="3E68C7F2" w14:textId="77777777" w:rsidTr="00C126BD">
        <w:tc>
          <w:tcPr>
            <w:tcW w:w="4230" w:type="dxa"/>
          </w:tcPr>
          <w:p w14:paraId="6C448C1B"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Baseline characteristic</w:t>
            </w:r>
          </w:p>
        </w:tc>
        <w:tc>
          <w:tcPr>
            <w:tcW w:w="1165" w:type="dxa"/>
          </w:tcPr>
          <w:p w14:paraId="1CBFDD13"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tcPr>
          <w:p w14:paraId="0790DFB9"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tcPr>
          <w:p w14:paraId="5BE36A10"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73FA8E65" w14:textId="77777777" w:rsidTr="00C126BD">
        <w:tc>
          <w:tcPr>
            <w:tcW w:w="4230" w:type="dxa"/>
          </w:tcPr>
          <w:p w14:paraId="1AC0A2D0" w14:textId="4CC68805" w:rsidR="00981C0A" w:rsidRPr="00F25230" w:rsidRDefault="009F5122" w:rsidP="00C126BD">
            <w:pPr>
              <w:autoSpaceDE w:val="0"/>
              <w:autoSpaceDN w:val="0"/>
              <w:adjustRightInd w:val="0"/>
              <w:spacing w:before="100" w:after="100"/>
              <w:rPr>
                <w:rFonts w:ascii="Calibri" w:hAnsi="Calibri" w:cs="Calibri"/>
              </w:rPr>
            </w:pPr>
            <w:r>
              <w:rPr>
                <w:rFonts w:ascii="Calibri" w:hAnsi="Calibri" w:cs="Calibri"/>
              </w:rPr>
              <w:t>Treatment outcome</w:t>
            </w:r>
            <w:r w:rsidR="00F25230">
              <w:rPr>
                <w:rFonts w:ascii="Calibri" w:hAnsi="Calibri" w:cs="Calibri"/>
              </w:rPr>
              <w:t xml:space="preserve"> </w:t>
            </w:r>
            <w:r w:rsidR="00981C0A" w:rsidRPr="00F25230">
              <w:rPr>
                <w:rFonts w:ascii="Calibri" w:hAnsi="Calibri" w:cs="Calibri"/>
              </w:rPr>
              <w:t>classification</w:t>
            </w:r>
          </w:p>
        </w:tc>
        <w:tc>
          <w:tcPr>
            <w:tcW w:w="1165" w:type="dxa"/>
          </w:tcPr>
          <w:p w14:paraId="6B32CCE4"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tcPr>
          <w:p w14:paraId="16EB4409"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tcPr>
          <w:p w14:paraId="5A9DD4D3"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545CEE63" w14:textId="77777777" w:rsidTr="00C126BD">
        <w:tc>
          <w:tcPr>
            <w:tcW w:w="4230" w:type="dxa"/>
          </w:tcPr>
          <w:p w14:paraId="6E35C089" w14:textId="77777777" w:rsidR="00981C0A" w:rsidRPr="00F25230" w:rsidRDefault="00981C0A" w:rsidP="004427C3">
            <w:pPr>
              <w:widowControl w:val="0"/>
              <w:autoSpaceDE w:val="0"/>
              <w:autoSpaceDN w:val="0"/>
              <w:adjustRightInd w:val="0"/>
              <w:spacing w:before="100" w:after="100"/>
              <w:rPr>
                <w:rFonts w:ascii="Calibri" w:hAnsi="Calibri" w:cs="Calibri"/>
              </w:rPr>
            </w:pPr>
            <w:r w:rsidRPr="00F25230">
              <w:rPr>
                <w:rFonts w:ascii="Calibri" w:hAnsi="Calibri" w:cs="Calibri"/>
              </w:rPr>
              <w:t>Flow diagram</w:t>
            </w:r>
          </w:p>
        </w:tc>
        <w:tc>
          <w:tcPr>
            <w:tcW w:w="1165" w:type="dxa"/>
          </w:tcPr>
          <w:p w14:paraId="1F282DC0"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2070" w:type="dxa"/>
          </w:tcPr>
          <w:p w14:paraId="636FDA77"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1554" w:type="dxa"/>
          </w:tcPr>
          <w:p w14:paraId="551CFE84"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3D799F" w14:paraId="2BB89FB5" w14:textId="77777777" w:rsidTr="00C126BD">
        <w:tc>
          <w:tcPr>
            <w:tcW w:w="4230" w:type="dxa"/>
          </w:tcPr>
          <w:p w14:paraId="0C321D0A" w14:textId="523002CF" w:rsidR="003D799F" w:rsidRPr="00F25230" w:rsidRDefault="003D799F" w:rsidP="003D799F">
            <w:pPr>
              <w:widowControl w:val="0"/>
              <w:autoSpaceDE w:val="0"/>
              <w:autoSpaceDN w:val="0"/>
              <w:adjustRightInd w:val="0"/>
              <w:spacing w:before="100" w:after="100"/>
              <w:rPr>
                <w:rFonts w:ascii="Calibri" w:hAnsi="Calibri" w:cs="Calibri"/>
              </w:rPr>
            </w:pPr>
            <w:r w:rsidRPr="00F25230">
              <w:rPr>
                <w:rFonts w:ascii="Calibri" w:hAnsi="Calibri" w:cs="Calibri"/>
              </w:rPr>
              <w:t>Disease severity</w:t>
            </w:r>
            <w:r>
              <w:rPr>
                <w:rFonts w:ascii="Calibri" w:hAnsi="Calibri" w:cs="Calibri"/>
              </w:rPr>
              <w:t xml:space="preserve"> score distribution</w:t>
            </w:r>
          </w:p>
        </w:tc>
        <w:tc>
          <w:tcPr>
            <w:tcW w:w="1165" w:type="dxa"/>
          </w:tcPr>
          <w:p w14:paraId="7990D0A3" w14:textId="4CF46E6E" w:rsidR="003D799F" w:rsidRPr="00F25230" w:rsidRDefault="003D799F" w:rsidP="003D799F">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2070" w:type="dxa"/>
          </w:tcPr>
          <w:p w14:paraId="43A0EC69" w14:textId="42EDC502" w:rsidR="003D799F" w:rsidRPr="00F25230" w:rsidRDefault="003D799F" w:rsidP="003D799F">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1554" w:type="dxa"/>
          </w:tcPr>
          <w:p w14:paraId="0F9A40E7" w14:textId="7218E517" w:rsidR="003D799F" w:rsidRPr="00F25230" w:rsidRDefault="003D799F" w:rsidP="003D799F">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r w:rsidR="00981C0A" w14:paraId="43A1346F" w14:textId="77777777" w:rsidTr="00C126BD">
        <w:tc>
          <w:tcPr>
            <w:tcW w:w="4230" w:type="dxa"/>
          </w:tcPr>
          <w:p w14:paraId="40EFA89C" w14:textId="77777777" w:rsidR="00981C0A" w:rsidRPr="00F25230" w:rsidRDefault="00981C0A" w:rsidP="004427C3">
            <w:pPr>
              <w:widowControl w:val="0"/>
              <w:autoSpaceDE w:val="0"/>
              <w:autoSpaceDN w:val="0"/>
              <w:adjustRightInd w:val="0"/>
              <w:spacing w:before="100" w:after="100"/>
              <w:rPr>
                <w:rFonts w:ascii="Calibri" w:hAnsi="Calibri" w:cs="Calibri"/>
              </w:rPr>
            </w:pPr>
            <w:r w:rsidRPr="00F25230">
              <w:rPr>
                <w:rFonts w:ascii="Calibri" w:hAnsi="Calibri" w:cs="Calibri"/>
              </w:rPr>
              <w:t>Use of reporting guideline</w:t>
            </w:r>
          </w:p>
        </w:tc>
        <w:tc>
          <w:tcPr>
            <w:tcW w:w="1165" w:type="dxa"/>
          </w:tcPr>
          <w:p w14:paraId="45244A01"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c>
          <w:tcPr>
            <w:tcW w:w="2070" w:type="dxa"/>
          </w:tcPr>
          <w:p w14:paraId="1C37E055"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8 (100)</w:t>
            </w:r>
          </w:p>
        </w:tc>
        <w:tc>
          <w:tcPr>
            <w:tcW w:w="1554" w:type="dxa"/>
          </w:tcPr>
          <w:p w14:paraId="26A5D9CC" w14:textId="77777777" w:rsidR="00981C0A" w:rsidRPr="00F25230" w:rsidRDefault="00981C0A" w:rsidP="004427C3">
            <w:pPr>
              <w:widowControl w:val="0"/>
              <w:autoSpaceDE w:val="0"/>
              <w:autoSpaceDN w:val="0"/>
              <w:adjustRightInd w:val="0"/>
              <w:spacing w:before="100" w:after="100"/>
              <w:rPr>
                <w:rFonts w:ascii="Calibri" w:eastAsia="Calibri" w:hAnsi="Calibri" w:cs="Calibri"/>
                <w:b/>
              </w:rPr>
            </w:pPr>
            <w:r w:rsidRPr="00F25230">
              <w:rPr>
                <w:rFonts w:ascii="Calibri" w:hAnsi="Calibri" w:cs="Calibri"/>
              </w:rPr>
              <w:t>0 (0)</w:t>
            </w:r>
          </w:p>
        </w:tc>
      </w:tr>
    </w:tbl>
    <w:p w14:paraId="1A65718D" w14:textId="77777777" w:rsidR="00981C0A" w:rsidRPr="00FC4192" w:rsidRDefault="00981C0A" w:rsidP="00981C0A">
      <w:pPr>
        <w:widowControl w:val="0"/>
        <w:autoSpaceDE w:val="0"/>
        <w:autoSpaceDN w:val="0"/>
        <w:adjustRightInd w:val="0"/>
        <w:spacing w:before="100" w:after="100"/>
        <w:rPr>
          <w:rFonts w:ascii="Calibri" w:eastAsia="Calibri" w:hAnsi="Calibri" w:cs="Calibri"/>
          <w:b/>
          <w:sz w:val="24"/>
          <w:szCs w:val="24"/>
          <w:lang w:val="en-CA"/>
        </w:rPr>
      </w:pPr>
    </w:p>
    <w:p w14:paraId="40C1DEED" w14:textId="77777777" w:rsidR="00981C0A" w:rsidRPr="00FC4192" w:rsidRDefault="00981C0A" w:rsidP="00981C0A">
      <w:pPr>
        <w:pBdr>
          <w:top w:val="nil"/>
          <w:left w:val="nil"/>
          <w:bottom w:val="nil"/>
          <w:right w:val="nil"/>
          <w:between w:val="nil"/>
        </w:pBdr>
        <w:spacing w:before="100" w:beforeAutospacing="1" w:after="100" w:afterAutospacing="1"/>
        <w:rPr>
          <w:rFonts w:ascii="Calibri" w:eastAsia="Calibri" w:hAnsi="Calibri" w:cs="Calibri"/>
          <w:b/>
          <w:sz w:val="2"/>
          <w:szCs w:val="2"/>
          <w:lang w:val="en-CA"/>
        </w:rPr>
      </w:pPr>
    </w:p>
    <w:p w14:paraId="6892067B" w14:textId="77777777" w:rsidR="00981C0A" w:rsidRPr="00FC4192" w:rsidRDefault="00981C0A" w:rsidP="00981C0A">
      <w:pPr>
        <w:pBdr>
          <w:top w:val="nil"/>
          <w:left w:val="nil"/>
          <w:bottom w:val="nil"/>
          <w:right w:val="nil"/>
          <w:between w:val="nil"/>
        </w:pBdr>
        <w:spacing w:before="100" w:beforeAutospacing="1" w:after="100" w:afterAutospacing="1"/>
        <w:rPr>
          <w:rFonts w:ascii="Calibri" w:eastAsia="Calibri" w:hAnsi="Calibri" w:cs="Calibri"/>
          <w:b/>
          <w:sz w:val="28"/>
          <w:szCs w:val="28"/>
          <w:lang w:val="en-CA"/>
        </w:rPr>
        <w:sectPr w:rsidR="00981C0A" w:rsidRPr="00FC4192" w:rsidSect="00D70DE7">
          <w:footerReference w:type="default" r:id="rId7"/>
          <w:pgSz w:w="11909" w:h="16834" w:code="9"/>
          <w:pgMar w:top="1440" w:right="1440" w:bottom="1440" w:left="1440" w:header="720" w:footer="720" w:gutter="0"/>
          <w:cols w:space="720"/>
          <w:docGrid w:linePitch="299"/>
        </w:sectPr>
      </w:pPr>
    </w:p>
    <w:p w14:paraId="450F9B76" w14:textId="77777777" w:rsidR="00981C0A" w:rsidRPr="00FC4192" w:rsidRDefault="00981C0A" w:rsidP="00981C0A">
      <w:pPr>
        <w:pBdr>
          <w:top w:val="nil"/>
          <w:left w:val="nil"/>
          <w:bottom w:val="nil"/>
          <w:right w:val="nil"/>
          <w:between w:val="nil"/>
        </w:pBdr>
        <w:spacing w:before="100" w:beforeAutospacing="1" w:after="100" w:afterAutospacing="1"/>
        <w:rPr>
          <w:rFonts w:ascii="Calibri" w:eastAsia="Calibri" w:hAnsi="Calibri" w:cs="Calibri"/>
          <w:b/>
          <w:sz w:val="2"/>
          <w:szCs w:val="2"/>
          <w:lang w:val="en-CA"/>
        </w:rPr>
      </w:pPr>
    </w:p>
    <w:p w14:paraId="6ACE9C7D" w14:textId="73D9B916" w:rsidR="00453DC5" w:rsidRPr="00DE400D" w:rsidRDefault="00453DC5">
      <w:pPr>
        <w:spacing w:before="120" w:after="120" w:line="276" w:lineRule="auto"/>
        <w:rPr>
          <w:rFonts w:cstheme="minorHAnsi"/>
        </w:rPr>
      </w:pPr>
      <w:r w:rsidRPr="00DE400D">
        <w:rPr>
          <w:rFonts w:cstheme="minorHAnsi"/>
          <w:b/>
          <w:bCs/>
        </w:rPr>
        <w:t xml:space="preserve">Table </w:t>
      </w:r>
      <w:r w:rsidR="00087F7F">
        <w:rPr>
          <w:rFonts w:cstheme="minorHAnsi"/>
          <w:b/>
          <w:bCs/>
        </w:rPr>
        <w:t>S</w:t>
      </w:r>
      <w:r w:rsidR="00F25230">
        <w:rPr>
          <w:rFonts w:cstheme="minorHAnsi"/>
          <w:b/>
          <w:bCs/>
        </w:rPr>
        <w:t>2</w:t>
      </w:r>
      <w:r w:rsidRPr="00DE400D">
        <w:rPr>
          <w:rFonts w:cstheme="minorHAnsi"/>
          <w:b/>
          <w:bCs/>
        </w:rPr>
        <w:t xml:space="preserve">. </w:t>
      </w:r>
      <w:r w:rsidRPr="00DE400D">
        <w:rPr>
          <w:rFonts w:cstheme="minorHAnsi"/>
        </w:rPr>
        <w:t>Frequency table of features contributing to the study</w:t>
      </w:r>
    </w:p>
    <w:tbl>
      <w:tblPr>
        <w:tblStyle w:val="TableGrid"/>
        <w:tblW w:w="0" w:type="auto"/>
        <w:tblLook w:val="04A0" w:firstRow="1" w:lastRow="0" w:firstColumn="1" w:lastColumn="0" w:noHBand="0" w:noVBand="1"/>
      </w:tblPr>
      <w:tblGrid>
        <w:gridCol w:w="7375"/>
        <w:gridCol w:w="1975"/>
      </w:tblGrid>
      <w:tr w:rsidR="007E5ED8" w:rsidRPr="00DE400D" w14:paraId="6876AA86" w14:textId="77777777" w:rsidTr="00C126BD">
        <w:tc>
          <w:tcPr>
            <w:tcW w:w="7375" w:type="dxa"/>
            <w:shd w:val="clear" w:color="auto" w:fill="DEEAF6" w:themeFill="accent1" w:themeFillTint="33"/>
          </w:tcPr>
          <w:p w14:paraId="6F098069" w14:textId="1B2A2786" w:rsidR="007E5ED8" w:rsidRPr="00DE400D" w:rsidRDefault="007E5ED8" w:rsidP="007E5ED8">
            <w:pPr>
              <w:rPr>
                <w:rFonts w:eastAsia="Times New Roman" w:cstheme="minorHAnsi"/>
                <w:b/>
                <w:bCs/>
              </w:rPr>
            </w:pPr>
            <w:r w:rsidRPr="00DE400D">
              <w:rPr>
                <w:rFonts w:cstheme="minorHAnsi"/>
                <w:b/>
                <w:bCs/>
              </w:rPr>
              <w:t>Feature</w:t>
            </w:r>
          </w:p>
        </w:tc>
        <w:tc>
          <w:tcPr>
            <w:tcW w:w="1975" w:type="dxa"/>
            <w:shd w:val="clear" w:color="auto" w:fill="DEEAF6" w:themeFill="accent1" w:themeFillTint="33"/>
          </w:tcPr>
          <w:p w14:paraId="5A902F62" w14:textId="60D6C875" w:rsidR="007E5ED8" w:rsidRPr="00DE400D" w:rsidRDefault="007E5ED8" w:rsidP="007E5ED8">
            <w:pPr>
              <w:rPr>
                <w:rFonts w:eastAsia="Times New Roman" w:cstheme="minorHAnsi"/>
                <w:b/>
                <w:bCs/>
              </w:rPr>
            </w:pPr>
            <w:r w:rsidRPr="00DE400D">
              <w:rPr>
                <w:rFonts w:cstheme="minorHAnsi"/>
                <w:b/>
                <w:bCs/>
              </w:rPr>
              <w:t>Frequency</w:t>
            </w:r>
          </w:p>
        </w:tc>
      </w:tr>
      <w:tr w:rsidR="007E5ED8" w:rsidRPr="00DE400D" w14:paraId="33E477EE" w14:textId="77777777" w:rsidTr="00F41385">
        <w:tc>
          <w:tcPr>
            <w:tcW w:w="7375" w:type="dxa"/>
          </w:tcPr>
          <w:p w14:paraId="2B78D469" w14:textId="4E3EF27F" w:rsidR="007E5ED8" w:rsidRPr="00DE400D" w:rsidRDefault="007E5ED8" w:rsidP="007E5ED8">
            <w:pPr>
              <w:rPr>
                <w:rFonts w:eastAsia="Times New Roman" w:cstheme="minorHAnsi"/>
              </w:rPr>
            </w:pPr>
            <w:r w:rsidRPr="00DE400D">
              <w:rPr>
                <w:rFonts w:cstheme="minorHAnsi"/>
              </w:rPr>
              <w:t xml:space="preserve">Neuroimaging </w:t>
            </w:r>
          </w:p>
        </w:tc>
        <w:tc>
          <w:tcPr>
            <w:tcW w:w="1975" w:type="dxa"/>
          </w:tcPr>
          <w:p w14:paraId="5579920A" w14:textId="508F401D" w:rsidR="007E5ED8" w:rsidRPr="00DE400D" w:rsidRDefault="006D63A2" w:rsidP="006D63A2">
            <w:pPr>
              <w:rPr>
                <w:rFonts w:eastAsia="Times New Roman" w:cstheme="minorHAnsi"/>
              </w:rPr>
            </w:pPr>
            <w:r w:rsidRPr="00DE400D">
              <w:rPr>
                <w:rFonts w:cstheme="minorHAnsi"/>
              </w:rPr>
              <w:t>3</w:t>
            </w:r>
            <w:r>
              <w:rPr>
                <w:rFonts w:cstheme="minorHAnsi"/>
              </w:rPr>
              <w:t>5</w:t>
            </w:r>
            <w:r w:rsidRPr="00DE400D">
              <w:rPr>
                <w:rFonts w:cstheme="minorHAnsi"/>
              </w:rPr>
              <w:t xml:space="preserve"> </w:t>
            </w:r>
          </w:p>
        </w:tc>
      </w:tr>
      <w:tr w:rsidR="007E5ED8" w:rsidRPr="00DE400D" w14:paraId="74763C51" w14:textId="77777777" w:rsidTr="00F41385">
        <w:tc>
          <w:tcPr>
            <w:tcW w:w="7375" w:type="dxa"/>
          </w:tcPr>
          <w:p w14:paraId="5ED9A752" w14:textId="4FCA78EC" w:rsidR="007E5ED8" w:rsidRPr="00DE400D" w:rsidRDefault="007E5ED8" w:rsidP="007E5ED8">
            <w:pPr>
              <w:rPr>
                <w:rFonts w:eastAsia="Times New Roman" w:cstheme="minorHAnsi"/>
              </w:rPr>
            </w:pPr>
            <w:r w:rsidRPr="00DE400D">
              <w:rPr>
                <w:rFonts w:cstheme="minorHAnsi"/>
              </w:rPr>
              <w:t xml:space="preserve">Clinical and demographic variables </w:t>
            </w:r>
          </w:p>
        </w:tc>
        <w:tc>
          <w:tcPr>
            <w:tcW w:w="1975" w:type="dxa"/>
          </w:tcPr>
          <w:p w14:paraId="5EF4E807" w14:textId="4ADFDD67" w:rsidR="007E5ED8" w:rsidRPr="00DE400D" w:rsidRDefault="007E5ED8" w:rsidP="007E5ED8">
            <w:pPr>
              <w:rPr>
                <w:rFonts w:eastAsia="Times New Roman" w:cstheme="minorHAnsi"/>
              </w:rPr>
            </w:pPr>
            <w:r w:rsidRPr="00DE400D">
              <w:rPr>
                <w:rFonts w:cstheme="minorHAnsi"/>
              </w:rPr>
              <w:t xml:space="preserve">30 </w:t>
            </w:r>
          </w:p>
        </w:tc>
      </w:tr>
      <w:tr w:rsidR="007E5ED8" w:rsidRPr="00DE400D" w14:paraId="28F0F94E" w14:textId="77777777" w:rsidTr="00F41385">
        <w:tc>
          <w:tcPr>
            <w:tcW w:w="7375" w:type="dxa"/>
          </w:tcPr>
          <w:p w14:paraId="76F4DF37" w14:textId="1C54264E" w:rsidR="007E5ED8" w:rsidRPr="00DE400D" w:rsidRDefault="007E5ED8" w:rsidP="007E5ED8">
            <w:pPr>
              <w:rPr>
                <w:rFonts w:eastAsia="Times New Roman" w:cstheme="minorHAnsi"/>
              </w:rPr>
            </w:pPr>
            <w:r w:rsidRPr="00DE400D">
              <w:rPr>
                <w:rFonts w:cstheme="minorHAnsi"/>
              </w:rPr>
              <w:t xml:space="preserve">Molecular genetic </w:t>
            </w:r>
          </w:p>
        </w:tc>
        <w:tc>
          <w:tcPr>
            <w:tcW w:w="1975" w:type="dxa"/>
          </w:tcPr>
          <w:p w14:paraId="2B24417C" w14:textId="49780EA2" w:rsidR="007E5ED8" w:rsidRPr="00DE400D" w:rsidRDefault="007E5ED8" w:rsidP="007E5ED8">
            <w:pPr>
              <w:rPr>
                <w:rFonts w:eastAsia="Times New Roman" w:cstheme="minorHAnsi"/>
              </w:rPr>
            </w:pPr>
            <w:r w:rsidRPr="00DE400D">
              <w:rPr>
                <w:rFonts w:cstheme="minorHAnsi"/>
              </w:rPr>
              <w:t>8</w:t>
            </w:r>
          </w:p>
        </w:tc>
      </w:tr>
      <w:tr w:rsidR="007E5ED8" w:rsidRPr="00DE400D" w14:paraId="32571CC0" w14:textId="77777777" w:rsidTr="00F41385">
        <w:tc>
          <w:tcPr>
            <w:tcW w:w="7375" w:type="dxa"/>
          </w:tcPr>
          <w:p w14:paraId="3F98F536" w14:textId="3BEC0DC5" w:rsidR="007E5ED8" w:rsidRPr="00DE400D" w:rsidRDefault="007E5ED8" w:rsidP="007E5ED8">
            <w:pPr>
              <w:rPr>
                <w:rFonts w:eastAsia="Times New Roman" w:cstheme="minorHAnsi"/>
              </w:rPr>
            </w:pPr>
            <w:r w:rsidRPr="00DE400D">
              <w:rPr>
                <w:rFonts w:cstheme="minorHAnsi"/>
              </w:rPr>
              <w:t xml:space="preserve">Cognitive measures </w:t>
            </w:r>
          </w:p>
        </w:tc>
        <w:tc>
          <w:tcPr>
            <w:tcW w:w="1975" w:type="dxa"/>
          </w:tcPr>
          <w:p w14:paraId="6A03E438" w14:textId="471FEFBF" w:rsidR="007E5ED8" w:rsidRPr="00DE400D" w:rsidRDefault="007E5ED8" w:rsidP="007E5ED8">
            <w:pPr>
              <w:rPr>
                <w:rFonts w:eastAsia="Times New Roman" w:cstheme="minorHAnsi"/>
              </w:rPr>
            </w:pPr>
            <w:r w:rsidRPr="00DE400D">
              <w:rPr>
                <w:rFonts w:cstheme="minorHAnsi"/>
              </w:rPr>
              <w:t xml:space="preserve">6 </w:t>
            </w:r>
          </w:p>
        </w:tc>
      </w:tr>
      <w:tr w:rsidR="007E5ED8" w:rsidRPr="00DE400D" w14:paraId="59DA7B1B" w14:textId="77777777" w:rsidTr="00F41385">
        <w:tc>
          <w:tcPr>
            <w:tcW w:w="7375" w:type="dxa"/>
          </w:tcPr>
          <w:p w14:paraId="52F6B483" w14:textId="60A47C15" w:rsidR="007E5ED8" w:rsidRPr="00DE400D" w:rsidRDefault="007E5ED8" w:rsidP="007E5ED8">
            <w:pPr>
              <w:rPr>
                <w:rFonts w:eastAsia="Times New Roman" w:cstheme="minorHAnsi"/>
              </w:rPr>
            </w:pPr>
            <w:r w:rsidRPr="00DE400D">
              <w:rPr>
                <w:rFonts w:cstheme="minorHAnsi"/>
              </w:rPr>
              <w:t xml:space="preserve">Neuroimaging and clinical </w:t>
            </w:r>
          </w:p>
        </w:tc>
        <w:tc>
          <w:tcPr>
            <w:tcW w:w="1975" w:type="dxa"/>
          </w:tcPr>
          <w:p w14:paraId="5D77D95C" w14:textId="259EFF14" w:rsidR="007E5ED8" w:rsidRPr="00DE400D" w:rsidRDefault="007E5ED8" w:rsidP="007E5ED8">
            <w:pPr>
              <w:rPr>
                <w:rFonts w:eastAsia="Times New Roman" w:cstheme="minorHAnsi"/>
              </w:rPr>
            </w:pPr>
            <w:r w:rsidRPr="00DE400D">
              <w:rPr>
                <w:rFonts w:cstheme="minorHAnsi"/>
              </w:rPr>
              <w:t xml:space="preserve">9 </w:t>
            </w:r>
          </w:p>
        </w:tc>
      </w:tr>
      <w:tr w:rsidR="007E5ED8" w:rsidRPr="00DE400D" w14:paraId="05F2D49E" w14:textId="77777777" w:rsidTr="00F41385">
        <w:tc>
          <w:tcPr>
            <w:tcW w:w="7375" w:type="dxa"/>
          </w:tcPr>
          <w:p w14:paraId="2DB1AF19" w14:textId="719029A0" w:rsidR="007E5ED8" w:rsidRPr="00DE400D" w:rsidRDefault="007E5ED8" w:rsidP="007E5ED8">
            <w:pPr>
              <w:rPr>
                <w:rFonts w:cstheme="minorHAnsi"/>
              </w:rPr>
            </w:pPr>
            <w:r w:rsidRPr="00DE400D">
              <w:rPr>
                <w:rFonts w:cstheme="minorHAnsi"/>
              </w:rPr>
              <w:t xml:space="preserve">Clinical and cognitive  </w:t>
            </w:r>
          </w:p>
        </w:tc>
        <w:tc>
          <w:tcPr>
            <w:tcW w:w="1975" w:type="dxa"/>
          </w:tcPr>
          <w:p w14:paraId="14972854" w14:textId="1FE65BA2" w:rsidR="007E5ED8" w:rsidRPr="00DE400D" w:rsidRDefault="007E5ED8" w:rsidP="007E5ED8">
            <w:pPr>
              <w:rPr>
                <w:rFonts w:eastAsia="Times New Roman" w:cstheme="minorHAnsi"/>
              </w:rPr>
            </w:pPr>
            <w:r w:rsidRPr="00DE400D">
              <w:rPr>
                <w:rFonts w:cstheme="minorHAnsi"/>
              </w:rPr>
              <w:t xml:space="preserve">4 </w:t>
            </w:r>
          </w:p>
        </w:tc>
      </w:tr>
      <w:tr w:rsidR="007E5ED8" w:rsidRPr="00DE400D" w14:paraId="0D49792D" w14:textId="77777777" w:rsidTr="00F41385">
        <w:tc>
          <w:tcPr>
            <w:tcW w:w="7375" w:type="dxa"/>
          </w:tcPr>
          <w:p w14:paraId="7EEF63C5" w14:textId="78AD764B" w:rsidR="007E5ED8" w:rsidRPr="00DE400D" w:rsidRDefault="007E5ED8" w:rsidP="007E5ED8">
            <w:pPr>
              <w:rPr>
                <w:rFonts w:cstheme="minorHAnsi"/>
              </w:rPr>
            </w:pPr>
            <w:r w:rsidRPr="00DE400D">
              <w:rPr>
                <w:rFonts w:cstheme="minorHAnsi"/>
              </w:rPr>
              <w:t xml:space="preserve">Clinical and genetic </w:t>
            </w:r>
          </w:p>
        </w:tc>
        <w:tc>
          <w:tcPr>
            <w:tcW w:w="1975" w:type="dxa"/>
          </w:tcPr>
          <w:p w14:paraId="40D382B0" w14:textId="66247E47" w:rsidR="007E5ED8" w:rsidRPr="00DE400D" w:rsidRDefault="007E5ED8" w:rsidP="007E5ED8">
            <w:pPr>
              <w:rPr>
                <w:rFonts w:eastAsia="Times New Roman" w:cstheme="minorHAnsi"/>
              </w:rPr>
            </w:pPr>
            <w:r w:rsidRPr="00DE400D">
              <w:rPr>
                <w:rFonts w:cstheme="minorHAnsi"/>
              </w:rPr>
              <w:t xml:space="preserve">4 </w:t>
            </w:r>
          </w:p>
        </w:tc>
      </w:tr>
      <w:tr w:rsidR="007E5ED8" w:rsidRPr="00DE400D" w14:paraId="21B86C2B" w14:textId="77777777" w:rsidTr="00F41385">
        <w:tc>
          <w:tcPr>
            <w:tcW w:w="7375" w:type="dxa"/>
          </w:tcPr>
          <w:p w14:paraId="6D019474" w14:textId="19355DFF" w:rsidR="007E5ED8" w:rsidRPr="00DE400D" w:rsidRDefault="007E5ED8" w:rsidP="007E5ED8">
            <w:pPr>
              <w:rPr>
                <w:rFonts w:cstheme="minorHAnsi"/>
              </w:rPr>
            </w:pPr>
            <w:r w:rsidRPr="00DE400D">
              <w:rPr>
                <w:rFonts w:cstheme="minorHAnsi"/>
              </w:rPr>
              <w:t xml:space="preserve">Neuroimaging and genetic </w:t>
            </w:r>
          </w:p>
        </w:tc>
        <w:tc>
          <w:tcPr>
            <w:tcW w:w="1975" w:type="dxa"/>
          </w:tcPr>
          <w:p w14:paraId="70A915DB" w14:textId="1DF81B6D" w:rsidR="007E5ED8" w:rsidRPr="00DE400D" w:rsidRDefault="007E5ED8" w:rsidP="007E5ED8">
            <w:pPr>
              <w:rPr>
                <w:rFonts w:eastAsia="Times New Roman" w:cstheme="minorHAnsi"/>
              </w:rPr>
            </w:pPr>
            <w:r w:rsidRPr="00DE400D">
              <w:rPr>
                <w:rFonts w:cstheme="minorHAnsi"/>
              </w:rPr>
              <w:t xml:space="preserve">1 </w:t>
            </w:r>
          </w:p>
        </w:tc>
      </w:tr>
      <w:tr w:rsidR="007E5ED8" w:rsidRPr="00DE400D" w14:paraId="1F33A975" w14:textId="77777777" w:rsidTr="00F41385">
        <w:tc>
          <w:tcPr>
            <w:tcW w:w="7375" w:type="dxa"/>
          </w:tcPr>
          <w:p w14:paraId="3B1A7FF8" w14:textId="5240EA48" w:rsidR="007E5ED8" w:rsidRPr="00DE400D" w:rsidRDefault="007E5ED8" w:rsidP="007E5ED8">
            <w:pPr>
              <w:rPr>
                <w:rFonts w:cstheme="minorHAnsi"/>
              </w:rPr>
            </w:pPr>
            <w:r w:rsidRPr="00DE400D">
              <w:rPr>
                <w:rFonts w:cstheme="minorHAnsi"/>
              </w:rPr>
              <w:t xml:space="preserve">Clinical, cognitive, and neuroimaging </w:t>
            </w:r>
          </w:p>
        </w:tc>
        <w:tc>
          <w:tcPr>
            <w:tcW w:w="1975" w:type="dxa"/>
          </w:tcPr>
          <w:p w14:paraId="02AC187A" w14:textId="1F68A326" w:rsidR="007E5ED8" w:rsidRPr="00DE400D" w:rsidRDefault="007E5ED8" w:rsidP="007E5ED8">
            <w:pPr>
              <w:rPr>
                <w:rFonts w:eastAsia="Times New Roman" w:cstheme="minorHAnsi"/>
              </w:rPr>
            </w:pPr>
            <w:r w:rsidRPr="00DE400D">
              <w:rPr>
                <w:rFonts w:cstheme="minorHAnsi"/>
              </w:rPr>
              <w:t>1</w:t>
            </w:r>
          </w:p>
        </w:tc>
      </w:tr>
    </w:tbl>
    <w:p w14:paraId="4F1FA0BC" w14:textId="45C358E9" w:rsidR="007E5ED8" w:rsidRPr="00DE400D" w:rsidRDefault="007E5ED8" w:rsidP="00453DC5">
      <w:pPr>
        <w:spacing w:before="120" w:after="120" w:line="276" w:lineRule="auto"/>
        <w:rPr>
          <w:rFonts w:cstheme="minorHAnsi"/>
        </w:rPr>
      </w:pPr>
    </w:p>
    <w:p w14:paraId="7236CC37" w14:textId="77777777" w:rsidR="007E5ED8" w:rsidRPr="00DE400D" w:rsidRDefault="007E5ED8" w:rsidP="00453DC5">
      <w:pPr>
        <w:spacing w:before="120" w:after="120" w:line="276" w:lineRule="auto"/>
        <w:rPr>
          <w:rFonts w:cstheme="minorHAnsi"/>
        </w:rPr>
      </w:pPr>
    </w:p>
    <w:p w14:paraId="29ABFBC1" w14:textId="229B863B" w:rsidR="006B250F" w:rsidRPr="00DE400D" w:rsidRDefault="006B250F">
      <w:pPr>
        <w:spacing w:before="120" w:after="120" w:line="276" w:lineRule="auto"/>
        <w:rPr>
          <w:rFonts w:cstheme="minorHAnsi"/>
        </w:rPr>
      </w:pPr>
      <w:r w:rsidRPr="00DE400D">
        <w:rPr>
          <w:rFonts w:cstheme="minorHAnsi"/>
          <w:b/>
          <w:bCs/>
        </w:rPr>
        <w:t xml:space="preserve">Table </w:t>
      </w:r>
      <w:r w:rsidR="00087F7F">
        <w:rPr>
          <w:rFonts w:cstheme="minorHAnsi"/>
          <w:b/>
          <w:bCs/>
        </w:rPr>
        <w:t>S</w:t>
      </w:r>
      <w:r w:rsidR="00F25230">
        <w:rPr>
          <w:rFonts w:cstheme="minorHAnsi"/>
          <w:b/>
          <w:bCs/>
        </w:rPr>
        <w:t>3</w:t>
      </w:r>
      <w:r w:rsidRPr="00DE400D">
        <w:rPr>
          <w:rFonts w:cstheme="minorHAnsi"/>
          <w:b/>
          <w:bCs/>
        </w:rPr>
        <w:t xml:space="preserve">: </w:t>
      </w:r>
      <w:r w:rsidRPr="00DE400D">
        <w:rPr>
          <w:rFonts w:cstheme="minorHAnsi"/>
        </w:rPr>
        <w:t>Frequency table of missing value imputation methods</w:t>
      </w:r>
    </w:p>
    <w:p w14:paraId="00430705" w14:textId="28B041BD" w:rsidR="006B250F" w:rsidRPr="00DE400D" w:rsidRDefault="006B250F" w:rsidP="006B250F">
      <w:pPr>
        <w:spacing w:before="120" w:after="120" w:line="276" w:lineRule="auto"/>
        <w:rPr>
          <w:rFonts w:cstheme="minorHAnsi"/>
        </w:rPr>
      </w:pPr>
    </w:p>
    <w:tbl>
      <w:tblPr>
        <w:tblStyle w:val="TableGrid"/>
        <w:tblW w:w="0" w:type="auto"/>
        <w:tblLook w:val="04A0" w:firstRow="1" w:lastRow="0" w:firstColumn="1" w:lastColumn="0" w:noHBand="0" w:noVBand="1"/>
      </w:tblPr>
      <w:tblGrid>
        <w:gridCol w:w="7375"/>
        <w:gridCol w:w="1975"/>
      </w:tblGrid>
      <w:tr w:rsidR="006B250F" w:rsidRPr="00DE400D" w14:paraId="4EB0B81D" w14:textId="77777777" w:rsidTr="00C126BD">
        <w:tc>
          <w:tcPr>
            <w:tcW w:w="7375" w:type="dxa"/>
            <w:shd w:val="clear" w:color="auto" w:fill="DEEAF6" w:themeFill="accent1" w:themeFillTint="33"/>
          </w:tcPr>
          <w:p w14:paraId="2670F826" w14:textId="5F9CF9B4" w:rsidR="006B250F" w:rsidRPr="00DE400D" w:rsidRDefault="006B250F" w:rsidP="00F41385">
            <w:pPr>
              <w:rPr>
                <w:rFonts w:eastAsia="Times New Roman" w:cstheme="minorHAnsi"/>
                <w:b/>
                <w:bCs/>
              </w:rPr>
            </w:pPr>
            <w:r w:rsidRPr="00DE400D">
              <w:rPr>
                <w:rFonts w:cstheme="minorHAnsi"/>
                <w:b/>
                <w:bCs/>
              </w:rPr>
              <w:t>Missing value imputation methods</w:t>
            </w:r>
          </w:p>
        </w:tc>
        <w:tc>
          <w:tcPr>
            <w:tcW w:w="1975" w:type="dxa"/>
            <w:shd w:val="clear" w:color="auto" w:fill="DEEAF6" w:themeFill="accent1" w:themeFillTint="33"/>
          </w:tcPr>
          <w:p w14:paraId="56EC9F86" w14:textId="77777777" w:rsidR="006B250F" w:rsidRPr="00DE400D" w:rsidRDefault="006B250F" w:rsidP="00F41385">
            <w:pPr>
              <w:rPr>
                <w:rFonts w:eastAsia="Times New Roman" w:cstheme="minorHAnsi"/>
                <w:b/>
                <w:bCs/>
              </w:rPr>
            </w:pPr>
            <w:r w:rsidRPr="00DE400D">
              <w:rPr>
                <w:rFonts w:cstheme="minorHAnsi"/>
                <w:b/>
                <w:bCs/>
              </w:rPr>
              <w:t>Frequency</w:t>
            </w:r>
          </w:p>
        </w:tc>
      </w:tr>
      <w:tr w:rsidR="006B250F" w:rsidRPr="00DE400D" w14:paraId="192B2D1E" w14:textId="77777777" w:rsidTr="00F41385">
        <w:tc>
          <w:tcPr>
            <w:tcW w:w="7375" w:type="dxa"/>
          </w:tcPr>
          <w:p w14:paraId="6C94019B" w14:textId="3E369FB1" w:rsidR="006B250F" w:rsidRPr="00DE400D" w:rsidRDefault="006B250F" w:rsidP="00F41385">
            <w:pPr>
              <w:rPr>
                <w:rFonts w:eastAsia="Times New Roman" w:cstheme="minorHAnsi"/>
              </w:rPr>
            </w:pPr>
            <w:r w:rsidRPr="00DE400D">
              <w:rPr>
                <w:rFonts w:eastAsia="Times New Roman" w:cstheme="minorHAnsi"/>
              </w:rPr>
              <w:t>Did not address any imputation method</w:t>
            </w:r>
          </w:p>
        </w:tc>
        <w:tc>
          <w:tcPr>
            <w:tcW w:w="1975" w:type="dxa"/>
          </w:tcPr>
          <w:p w14:paraId="050E85AF" w14:textId="21D5D747" w:rsidR="006B250F" w:rsidRPr="00DE400D" w:rsidRDefault="006D63A2" w:rsidP="00FF3D7D">
            <w:pPr>
              <w:rPr>
                <w:rFonts w:eastAsia="Times New Roman" w:cstheme="minorHAnsi"/>
              </w:rPr>
            </w:pPr>
            <w:r w:rsidRPr="00DE400D">
              <w:rPr>
                <w:rFonts w:eastAsia="Times New Roman" w:cstheme="minorHAnsi"/>
              </w:rPr>
              <w:t>4</w:t>
            </w:r>
            <w:r>
              <w:rPr>
                <w:rFonts w:eastAsia="Times New Roman" w:cstheme="minorHAnsi"/>
              </w:rPr>
              <w:t>4</w:t>
            </w:r>
          </w:p>
        </w:tc>
      </w:tr>
      <w:tr w:rsidR="006B250F" w:rsidRPr="00DE400D" w14:paraId="73D7CC07" w14:textId="77777777" w:rsidTr="00F41385">
        <w:tc>
          <w:tcPr>
            <w:tcW w:w="7375" w:type="dxa"/>
          </w:tcPr>
          <w:p w14:paraId="286EA7A0" w14:textId="5C36C7DC" w:rsidR="006B250F" w:rsidRPr="00DE400D" w:rsidRDefault="006B250F" w:rsidP="00F41385">
            <w:pPr>
              <w:rPr>
                <w:rFonts w:eastAsia="Times New Roman" w:cstheme="minorHAnsi"/>
              </w:rPr>
            </w:pPr>
            <w:r w:rsidRPr="00DE400D">
              <w:rPr>
                <w:rFonts w:cstheme="minorHAnsi"/>
                <w:color w:val="000000" w:themeColor="text1"/>
              </w:rPr>
              <w:t>List-wise deletion, removing features with more missing values, and exclusion of subjects for the treatment of missing values.</w:t>
            </w:r>
          </w:p>
        </w:tc>
        <w:tc>
          <w:tcPr>
            <w:tcW w:w="1975" w:type="dxa"/>
          </w:tcPr>
          <w:p w14:paraId="382162CB" w14:textId="64BC0B28" w:rsidR="006B250F" w:rsidRPr="00DE400D" w:rsidRDefault="006B250F" w:rsidP="00F41385">
            <w:pPr>
              <w:rPr>
                <w:rFonts w:eastAsia="Times New Roman" w:cstheme="minorHAnsi"/>
              </w:rPr>
            </w:pPr>
            <w:r w:rsidRPr="00DE400D">
              <w:rPr>
                <w:rFonts w:eastAsia="Times New Roman" w:cstheme="minorHAnsi"/>
              </w:rPr>
              <w:t>12</w:t>
            </w:r>
          </w:p>
        </w:tc>
      </w:tr>
      <w:tr w:rsidR="006B250F" w:rsidRPr="00DE400D" w14:paraId="33E8E47B" w14:textId="77777777" w:rsidTr="00F41385">
        <w:tc>
          <w:tcPr>
            <w:tcW w:w="7375" w:type="dxa"/>
          </w:tcPr>
          <w:p w14:paraId="38BB10EB" w14:textId="46BA9590" w:rsidR="006B250F" w:rsidRPr="00DE400D" w:rsidRDefault="006B250F" w:rsidP="00F41385">
            <w:pPr>
              <w:rPr>
                <w:rFonts w:eastAsia="Times New Roman" w:cstheme="minorHAnsi"/>
              </w:rPr>
            </w:pPr>
            <w:r w:rsidRPr="00DE400D">
              <w:rPr>
                <w:rFonts w:eastAsia="Times New Roman" w:cstheme="minorHAnsi"/>
                <w:color w:val="000000"/>
              </w:rPr>
              <w:t>Mean and mode imputation</w:t>
            </w:r>
          </w:p>
        </w:tc>
        <w:tc>
          <w:tcPr>
            <w:tcW w:w="1975" w:type="dxa"/>
          </w:tcPr>
          <w:p w14:paraId="7B84E241" w14:textId="24E43C0C" w:rsidR="006B250F" w:rsidRPr="00DE400D" w:rsidRDefault="006B250F" w:rsidP="00F41385">
            <w:pPr>
              <w:rPr>
                <w:rFonts w:eastAsia="Times New Roman" w:cstheme="minorHAnsi"/>
              </w:rPr>
            </w:pPr>
            <w:r w:rsidRPr="00DE400D">
              <w:rPr>
                <w:rFonts w:eastAsia="Times New Roman" w:cstheme="minorHAnsi"/>
              </w:rPr>
              <w:t>2</w:t>
            </w:r>
          </w:p>
        </w:tc>
      </w:tr>
      <w:tr w:rsidR="006B250F" w:rsidRPr="00DE400D" w14:paraId="1CF8ACF4" w14:textId="77777777" w:rsidTr="00F41385">
        <w:tc>
          <w:tcPr>
            <w:tcW w:w="7375" w:type="dxa"/>
          </w:tcPr>
          <w:p w14:paraId="089208BF" w14:textId="0FBF5236" w:rsidR="006B250F" w:rsidRPr="00DE400D" w:rsidRDefault="006B250F" w:rsidP="00F41385">
            <w:pPr>
              <w:rPr>
                <w:rFonts w:eastAsia="Times New Roman" w:cstheme="minorHAnsi"/>
              </w:rPr>
            </w:pPr>
            <w:r w:rsidRPr="00DE400D">
              <w:rPr>
                <w:rFonts w:cstheme="minorHAnsi"/>
                <w:color w:val="000000" w:themeColor="text1"/>
              </w:rPr>
              <w:t>Bagged tree imputation method</w:t>
            </w:r>
          </w:p>
        </w:tc>
        <w:tc>
          <w:tcPr>
            <w:tcW w:w="1975" w:type="dxa"/>
          </w:tcPr>
          <w:p w14:paraId="6566347E" w14:textId="2F58FA62" w:rsidR="006B250F" w:rsidRPr="00DE400D" w:rsidRDefault="006B250F" w:rsidP="00F41385">
            <w:pPr>
              <w:rPr>
                <w:rFonts w:eastAsia="Times New Roman" w:cstheme="minorHAnsi"/>
              </w:rPr>
            </w:pPr>
            <w:r w:rsidRPr="00DE400D">
              <w:rPr>
                <w:rFonts w:eastAsia="Times New Roman" w:cstheme="minorHAnsi"/>
              </w:rPr>
              <w:t>1</w:t>
            </w:r>
          </w:p>
        </w:tc>
      </w:tr>
    </w:tbl>
    <w:p w14:paraId="3D27F3CD" w14:textId="31F8712C" w:rsidR="007619B3" w:rsidRDefault="007619B3" w:rsidP="006B250F">
      <w:pPr>
        <w:spacing w:before="120" w:after="120" w:line="276" w:lineRule="auto"/>
        <w:rPr>
          <w:rFonts w:cstheme="minorHAnsi"/>
        </w:rPr>
      </w:pPr>
      <w:r>
        <w:rPr>
          <w:rFonts w:cstheme="minorHAnsi"/>
        </w:rPr>
        <w:br w:type="page"/>
      </w:r>
    </w:p>
    <w:p w14:paraId="4466A566" w14:textId="5F0F42EF" w:rsidR="00453DC5" w:rsidRDefault="00453DC5">
      <w:pPr>
        <w:rPr>
          <w:rFonts w:eastAsia="Times New Roman" w:cstheme="minorHAnsi"/>
        </w:rPr>
        <w:sectPr w:rsidR="00453DC5" w:rsidSect="00C65AE9">
          <w:headerReference w:type="default" r:id="rId8"/>
          <w:footerReference w:type="default" r:id="rId9"/>
          <w:pgSz w:w="12240" w:h="15840"/>
          <w:pgMar w:top="1440" w:right="1440" w:bottom="1440" w:left="1440" w:header="720" w:footer="720" w:gutter="0"/>
          <w:cols w:space="720"/>
          <w:docGrid w:linePitch="360"/>
        </w:sectPr>
      </w:pPr>
    </w:p>
    <w:p w14:paraId="568837D2" w14:textId="23B07D36" w:rsidR="00433FD7" w:rsidRPr="00F71EAF" w:rsidRDefault="004615F3">
      <w:pPr>
        <w:spacing w:before="120" w:after="120" w:line="276" w:lineRule="auto"/>
        <w:rPr>
          <w:rFonts w:cstheme="minorHAnsi"/>
          <w:b/>
          <w:bCs/>
        </w:rPr>
      </w:pPr>
      <w:r>
        <w:rPr>
          <w:rFonts w:cstheme="minorHAnsi"/>
          <w:b/>
          <w:bCs/>
        </w:rPr>
        <w:lastRenderedPageBreak/>
        <w:t>Ta</w:t>
      </w:r>
      <w:r w:rsidR="00433FD7" w:rsidRPr="00F71EAF">
        <w:rPr>
          <w:rFonts w:cstheme="minorHAnsi"/>
          <w:b/>
          <w:bCs/>
        </w:rPr>
        <w:t xml:space="preserve">ble </w:t>
      </w:r>
      <w:r w:rsidR="00087F7F">
        <w:rPr>
          <w:rFonts w:cstheme="minorHAnsi"/>
          <w:b/>
          <w:bCs/>
        </w:rPr>
        <w:t>S</w:t>
      </w:r>
      <w:r w:rsidR="00F25230">
        <w:rPr>
          <w:rFonts w:cstheme="minorHAnsi"/>
          <w:b/>
          <w:bCs/>
        </w:rPr>
        <w:t>4</w:t>
      </w:r>
      <w:r w:rsidR="00433FD7" w:rsidRPr="00F71EAF">
        <w:rPr>
          <w:rFonts w:cstheme="minorHAnsi"/>
          <w:b/>
          <w:bCs/>
        </w:rPr>
        <w:t xml:space="preserve">. </w:t>
      </w:r>
      <w:r w:rsidR="00433FD7" w:rsidRPr="00247F7D">
        <w:rPr>
          <w:rFonts w:cstheme="minorHAnsi"/>
        </w:rPr>
        <w:t>Methods for construction of the machine learning model</w:t>
      </w:r>
    </w:p>
    <w:p w14:paraId="42D25200" w14:textId="77777777" w:rsidR="00433FD7" w:rsidRDefault="00433FD7" w:rsidP="00433FD7"/>
    <w:tbl>
      <w:tblPr>
        <w:tblStyle w:val="TableGrid"/>
        <w:tblW w:w="5000" w:type="pct"/>
        <w:tblLook w:val="04A0" w:firstRow="1" w:lastRow="0" w:firstColumn="1" w:lastColumn="0" w:noHBand="0" w:noVBand="1"/>
      </w:tblPr>
      <w:tblGrid>
        <w:gridCol w:w="1690"/>
        <w:gridCol w:w="1574"/>
        <w:gridCol w:w="895"/>
        <w:gridCol w:w="1242"/>
        <w:gridCol w:w="1191"/>
        <w:gridCol w:w="1331"/>
        <w:gridCol w:w="1235"/>
        <w:gridCol w:w="1243"/>
        <w:gridCol w:w="1132"/>
        <w:gridCol w:w="1417"/>
      </w:tblGrid>
      <w:tr w:rsidR="00705248" w:rsidRPr="002F288E" w14:paraId="59FE41D8" w14:textId="77777777" w:rsidTr="00C126BD">
        <w:trPr>
          <w:trHeight w:val="980"/>
        </w:trPr>
        <w:tc>
          <w:tcPr>
            <w:tcW w:w="652" w:type="pct"/>
            <w:shd w:val="clear" w:color="auto" w:fill="DEEAF6" w:themeFill="accent1" w:themeFillTint="33"/>
            <w:hideMark/>
          </w:tcPr>
          <w:p w14:paraId="19A09442" w14:textId="6540984C" w:rsidR="0034508D" w:rsidRPr="002F288E" w:rsidRDefault="00EA3D19" w:rsidP="00300FEF">
            <w:pPr>
              <w:rPr>
                <w:rFonts w:eastAsia="Times New Roman" w:cstheme="minorHAnsi"/>
                <w:b/>
                <w:bCs/>
                <w:color w:val="000000"/>
                <w:sz w:val="16"/>
                <w:szCs w:val="16"/>
              </w:rPr>
            </w:pPr>
            <w:r>
              <w:rPr>
                <w:rFonts w:eastAsia="Times New Roman" w:cstheme="minorHAnsi"/>
                <w:b/>
                <w:bCs/>
                <w:color w:val="000000"/>
                <w:sz w:val="16"/>
                <w:szCs w:val="16"/>
              </w:rPr>
              <w:t>Study</w:t>
            </w:r>
            <w:r w:rsidR="00A65436">
              <w:rPr>
                <w:rFonts w:eastAsia="Times New Roman" w:cstheme="minorHAnsi"/>
                <w:b/>
                <w:bCs/>
                <w:color w:val="000000"/>
                <w:sz w:val="16"/>
                <w:szCs w:val="16"/>
              </w:rPr>
              <w:t xml:space="preserve"> reference</w:t>
            </w:r>
          </w:p>
        </w:tc>
        <w:tc>
          <w:tcPr>
            <w:tcW w:w="607" w:type="pct"/>
            <w:shd w:val="clear" w:color="auto" w:fill="DEEAF6" w:themeFill="accent1" w:themeFillTint="33"/>
            <w:hideMark/>
          </w:tcPr>
          <w:p w14:paraId="40645BAD" w14:textId="77777777" w:rsidR="0034508D" w:rsidRPr="002F288E" w:rsidRDefault="0034508D" w:rsidP="00300FEF">
            <w:pPr>
              <w:rPr>
                <w:rFonts w:eastAsia="Times New Roman" w:cstheme="minorHAnsi"/>
                <w:b/>
                <w:bCs/>
                <w:color w:val="000000"/>
                <w:sz w:val="16"/>
                <w:szCs w:val="16"/>
              </w:rPr>
            </w:pPr>
            <w:r w:rsidRPr="002F288E">
              <w:rPr>
                <w:rFonts w:eastAsia="Times New Roman" w:cstheme="minorHAnsi"/>
                <w:b/>
                <w:bCs/>
                <w:color w:val="000000"/>
                <w:sz w:val="16"/>
                <w:szCs w:val="16"/>
              </w:rPr>
              <w:t>Predictor type</w:t>
            </w:r>
          </w:p>
        </w:tc>
        <w:tc>
          <w:tcPr>
            <w:tcW w:w="345" w:type="pct"/>
            <w:shd w:val="clear" w:color="auto" w:fill="DEEAF6" w:themeFill="accent1" w:themeFillTint="33"/>
            <w:hideMark/>
          </w:tcPr>
          <w:p w14:paraId="651DE26C"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Max n of</w:t>
            </w:r>
          </w:p>
          <w:p w14:paraId="46843CA0"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predictors</w:t>
            </w:r>
          </w:p>
          <w:p w14:paraId="5A169579"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used in the</w:t>
            </w:r>
          </w:p>
          <w:p w14:paraId="2F712A82"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model</w:t>
            </w:r>
          </w:p>
        </w:tc>
        <w:tc>
          <w:tcPr>
            <w:tcW w:w="479" w:type="pct"/>
            <w:shd w:val="clear" w:color="auto" w:fill="DEEAF6" w:themeFill="accent1" w:themeFillTint="33"/>
            <w:hideMark/>
          </w:tcPr>
          <w:p w14:paraId="2378981E"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Prediction method</w:t>
            </w:r>
          </w:p>
        </w:tc>
        <w:tc>
          <w:tcPr>
            <w:tcW w:w="460" w:type="pct"/>
            <w:shd w:val="clear" w:color="auto" w:fill="DEEAF6" w:themeFill="accent1" w:themeFillTint="33"/>
            <w:hideMark/>
          </w:tcPr>
          <w:p w14:paraId="64707709"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Validation</w:t>
            </w:r>
          </w:p>
          <w:p w14:paraId="499380B1"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method</w:t>
            </w:r>
          </w:p>
        </w:tc>
        <w:tc>
          <w:tcPr>
            <w:tcW w:w="514" w:type="pct"/>
            <w:shd w:val="clear" w:color="auto" w:fill="DEEAF6" w:themeFill="accent1" w:themeFillTint="33"/>
            <w:hideMark/>
          </w:tcPr>
          <w:p w14:paraId="3ABCD9C6"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Variable</w:t>
            </w:r>
          </w:p>
          <w:p w14:paraId="79FB41BD"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selection</w:t>
            </w:r>
          </w:p>
        </w:tc>
        <w:tc>
          <w:tcPr>
            <w:tcW w:w="477" w:type="pct"/>
            <w:shd w:val="clear" w:color="auto" w:fill="DEEAF6" w:themeFill="accent1" w:themeFillTint="33"/>
            <w:hideMark/>
          </w:tcPr>
          <w:p w14:paraId="3715F46F"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Additional</w:t>
            </w:r>
          </w:p>
          <w:p w14:paraId="604F1B11"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methods</w:t>
            </w:r>
          </w:p>
        </w:tc>
        <w:tc>
          <w:tcPr>
            <w:tcW w:w="480" w:type="pct"/>
            <w:shd w:val="clear" w:color="auto" w:fill="DEEAF6" w:themeFill="accent1" w:themeFillTint="33"/>
            <w:hideMark/>
          </w:tcPr>
          <w:p w14:paraId="55CE45B9"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Missing</w:t>
            </w:r>
          </w:p>
          <w:p w14:paraId="6555AF49" w14:textId="77777777" w:rsidR="0034508D" w:rsidRPr="002F288E" w:rsidRDefault="0034508D" w:rsidP="00300FEF">
            <w:pPr>
              <w:autoSpaceDE w:val="0"/>
              <w:autoSpaceDN w:val="0"/>
              <w:adjustRightInd w:val="0"/>
              <w:rPr>
                <w:rFonts w:cstheme="minorHAnsi"/>
                <w:b/>
                <w:bCs/>
                <w:sz w:val="16"/>
                <w:szCs w:val="16"/>
              </w:rPr>
            </w:pPr>
            <w:r w:rsidRPr="002F288E">
              <w:rPr>
                <w:rFonts w:cstheme="minorHAnsi"/>
                <w:b/>
                <w:bCs/>
                <w:sz w:val="16"/>
                <w:szCs w:val="16"/>
              </w:rPr>
              <w:t>data</w:t>
            </w:r>
          </w:p>
          <w:p w14:paraId="23325EA2" w14:textId="77777777" w:rsidR="0034508D" w:rsidRPr="002F288E" w:rsidRDefault="0034508D" w:rsidP="00300FEF">
            <w:pPr>
              <w:rPr>
                <w:rFonts w:eastAsia="Times New Roman" w:cstheme="minorHAnsi"/>
                <w:b/>
                <w:bCs/>
                <w:color w:val="000000"/>
                <w:sz w:val="16"/>
                <w:szCs w:val="16"/>
              </w:rPr>
            </w:pPr>
            <w:r w:rsidRPr="002F288E">
              <w:rPr>
                <w:rFonts w:cstheme="minorHAnsi"/>
                <w:b/>
                <w:bCs/>
                <w:sz w:val="16"/>
                <w:szCs w:val="16"/>
              </w:rPr>
              <w:t>imputation</w:t>
            </w:r>
          </w:p>
        </w:tc>
        <w:tc>
          <w:tcPr>
            <w:tcW w:w="437" w:type="pct"/>
            <w:shd w:val="clear" w:color="auto" w:fill="DEEAF6" w:themeFill="accent1" w:themeFillTint="33"/>
            <w:hideMark/>
          </w:tcPr>
          <w:p w14:paraId="5E6541E5" w14:textId="77777777" w:rsidR="0034508D" w:rsidRPr="002F288E" w:rsidRDefault="0034508D" w:rsidP="00300FEF">
            <w:pPr>
              <w:rPr>
                <w:rFonts w:eastAsia="Times New Roman" w:cstheme="minorHAnsi"/>
                <w:b/>
                <w:bCs/>
                <w:color w:val="000000"/>
                <w:sz w:val="16"/>
                <w:szCs w:val="16"/>
              </w:rPr>
            </w:pPr>
            <w:r w:rsidRPr="002F288E">
              <w:rPr>
                <w:rFonts w:eastAsia="Times New Roman" w:cstheme="minorHAnsi"/>
                <w:b/>
                <w:bCs/>
                <w:color w:val="000000"/>
                <w:sz w:val="16"/>
                <w:szCs w:val="16"/>
              </w:rPr>
              <w:t>Outcome</w:t>
            </w:r>
          </w:p>
        </w:tc>
        <w:tc>
          <w:tcPr>
            <w:tcW w:w="547" w:type="pct"/>
            <w:shd w:val="clear" w:color="auto" w:fill="DEEAF6" w:themeFill="accent1" w:themeFillTint="33"/>
            <w:hideMark/>
          </w:tcPr>
          <w:p w14:paraId="6D9DCE3F" w14:textId="77777777" w:rsidR="0034508D" w:rsidRPr="002F288E" w:rsidRDefault="0034508D" w:rsidP="00300FEF">
            <w:pPr>
              <w:rPr>
                <w:rFonts w:eastAsia="Times New Roman" w:cstheme="minorHAnsi"/>
                <w:b/>
                <w:bCs/>
                <w:color w:val="000000"/>
                <w:sz w:val="16"/>
                <w:szCs w:val="16"/>
              </w:rPr>
            </w:pPr>
            <w:r w:rsidRPr="002F288E">
              <w:rPr>
                <w:rFonts w:eastAsia="Times New Roman" w:cstheme="minorHAnsi"/>
                <w:b/>
                <w:bCs/>
                <w:color w:val="000000"/>
                <w:sz w:val="16"/>
                <w:szCs w:val="16"/>
              </w:rPr>
              <w:t>Treatment procedure</w:t>
            </w:r>
          </w:p>
        </w:tc>
      </w:tr>
      <w:tr w:rsidR="00705248" w:rsidRPr="003C4781" w14:paraId="5021CC0F" w14:textId="77777777" w:rsidTr="006D63A2">
        <w:trPr>
          <w:trHeight w:val="386"/>
        </w:trPr>
        <w:tc>
          <w:tcPr>
            <w:tcW w:w="652" w:type="pct"/>
            <w:hideMark/>
          </w:tcPr>
          <w:p w14:paraId="0A30D829" w14:textId="49F9B5AF" w:rsidR="0034508D" w:rsidRPr="003C4781" w:rsidRDefault="00514883"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AA181B">
              <w:rPr>
                <w:rFonts w:eastAsia="Times New Roman" w:cstheme="minorHAnsi"/>
                <w:color w:val="000000"/>
                <w:sz w:val="16"/>
                <w:szCs w:val="16"/>
              </w:rPr>
              <w:instrText>ADDIN CSL_CITATION {"citationItems":[{"id":"ITEM-1","itemData":{"DOI":"10.1097/YPG.0b013e3283480485","ISBN":"0955-8829","ISSN":"09558829","PMID":"21642894","abstract":"Objective: Scientists have concluded that genetic profiles cannot predict a large percentage of variation in response to citalopram, a common antidepressant. Using the same data, we examined if a different Conclusion can be arrived at when the results are personalized to fit specific patients. METHODS: We used data available through the Sequenced Treatment Alternatives to Relieve Depression database. We created three boosted Classification and Regression Trees to identify 16 subgroups of patients, among whom anticipation of positive or negative response to citalopram was significantly different from 0.5 (P≤0.1). Results: In a 10-fold cross-validation, this ensemble of trees made no predictions in 33% of cases. In the remaining 67% of cases, it accurately classified response to citalopram in 78% of cases. Conclusion: For the majority of the patients, genetic markers can be used to guide selection of citalopram. The rules identified in this study can help personalize prescription of antidepressants. © 2011 Wolters Kluwer Health | Lippincott Williams &amp; Wilkins.","author":[{"dropping-particle":"","family":"Alemi","given":"Farrokh","non-dropping-particle":"","parse-names":false,"suffix":""},{"dropping-particle":"","family":"Zargoush","given":"Manaf","non-dropping-particle":"","parse-names":false,"suffix":""},{"dropping-particle":"","family":"Erdman","given":"Harold","non-dropping-particle":"","parse-names":false,"suffix":""},{"dropping-particle":"","family":"Vang","given":"Jee","non-dropping-particle":"","parse-names":false,"suffix":""},{"dropping-particle":"","family":"Epstein","given":"Steve","non-dropping-particle":"","parse-names":false,"suffix":""},{"dropping-particle":"","family":"Ayman","given":"Fanous","non-dropping-particle":"","parse-names":false,"suffix":""}],"container-title":"Psychiatric Genetics","edition":"2011/06/07","id":"ITEM-1","issue":"6","issued":{"date-parts":[["2011"]]},"language":"eng","note":"1473-5873\nAlemi, Farrokh\nZargoush, Manaf\nErdman, Harold\nVang, Jee\nEpstein, Steve\nAyman, Fanous\nR01 HL 084767/HL/NHLBI NIH HHS/United States\nJournal Article\nResearch Support, N.I.H., Extramural\nEngland\nPsychiatr Genet. 2011 Dec;21(6):287-93. doi: 10.1097/YPG.0b013e3283480485.","page":"287-293","title":"Genetic markers anticipate response to citalopram in a majority of patients","type":"article-journal","volume":"21"},"uris":["http://www.mendeley.com/documents/?uuid=d49c7aa7-0735-462f-a36c-cfcad79e707e"]}],"mendeley":{"formattedCitation":"(Alemi et al., 2011)","plainTextFormattedCitation":"(Alemi et al., 2011)","previouslyFormattedCitation":"(Alemi et al., 2011)"},"properties":{"noteIndex":0},"schema":"https://github.com/citation-style-language/schema/raw/master/csl-citation.json"}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(Alemi et al., 2011)</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0EE14476" w14:textId="77777777" w:rsidR="0034508D" w:rsidRPr="003C4781" w:rsidRDefault="001758E6" w:rsidP="00300FEF">
            <w:pPr>
              <w:rPr>
                <w:rFonts w:eastAsia="Times New Roman" w:cstheme="minorHAnsi"/>
                <w:color w:val="000000"/>
                <w:sz w:val="16"/>
                <w:szCs w:val="16"/>
              </w:rPr>
            </w:pPr>
            <w:r>
              <w:rPr>
                <w:rFonts w:eastAsia="Times New Roman" w:cstheme="minorHAnsi"/>
                <w:color w:val="000000"/>
                <w:sz w:val="16"/>
                <w:szCs w:val="16"/>
              </w:rPr>
              <w:t>Genetics</w:t>
            </w:r>
          </w:p>
        </w:tc>
        <w:tc>
          <w:tcPr>
            <w:tcW w:w="345" w:type="pct"/>
            <w:hideMark/>
          </w:tcPr>
          <w:p w14:paraId="730C12BE"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50</w:t>
            </w:r>
          </w:p>
        </w:tc>
        <w:tc>
          <w:tcPr>
            <w:tcW w:w="479" w:type="pct"/>
            <w:hideMark/>
          </w:tcPr>
          <w:p w14:paraId="313805D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Classification and regression trees (CART)</w:t>
            </w:r>
          </w:p>
        </w:tc>
        <w:tc>
          <w:tcPr>
            <w:tcW w:w="460" w:type="pct"/>
            <w:hideMark/>
          </w:tcPr>
          <w:p w14:paraId="4D45355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 validation</w:t>
            </w:r>
          </w:p>
        </w:tc>
        <w:tc>
          <w:tcPr>
            <w:tcW w:w="514" w:type="pct"/>
            <w:hideMark/>
          </w:tcPr>
          <w:p w14:paraId="731D2153" w14:textId="77777777" w:rsidR="0034508D" w:rsidRPr="003C4781" w:rsidRDefault="0034508D" w:rsidP="00300FEF">
            <w:pPr>
              <w:rPr>
                <w:rFonts w:eastAsia="Times New Roman" w:cstheme="minorHAnsi"/>
                <w:color w:val="000000"/>
                <w:sz w:val="16"/>
                <w:szCs w:val="16"/>
              </w:rPr>
            </w:pPr>
          </w:p>
        </w:tc>
        <w:tc>
          <w:tcPr>
            <w:tcW w:w="477" w:type="pct"/>
            <w:hideMark/>
          </w:tcPr>
          <w:p w14:paraId="3F94669D" w14:textId="77777777" w:rsidR="0034508D" w:rsidRPr="003C4781" w:rsidRDefault="0034508D" w:rsidP="00300FEF">
            <w:pPr>
              <w:rPr>
                <w:rFonts w:eastAsia="Times New Roman" w:cstheme="minorHAnsi"/>
                <w:sz w:val="16"/>
                <w:szCs w:val="16"/>
              </w:rPr>
            </w:pPr>
          </w:p>
        </w:tc>
        <w:tc>
          <w:tcPr>
            <w:tcW w:w="480" w:type="pct"/>
            <w:hideMark/>
          </w:tcPr>
          <w:p w14:paraId="3B31597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6F413E0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34F5AE0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73DE1537" w14:textId="77777777" w:rsidTr="006D63A2">
        <w:trPr>
          <w:trHeight w:val="1457"/>
        </w:trPr>
        <w:tc>
          <w:tcPr>
            <w:tcW w:w="652" w:type="pct"/>
            <w:hideMark/>
          </w:tcPr>
          <w:p w14:paraId="3B9E37E9" w14:textId="4B6F5EE9" w:rsidR="0034508D" w:rsidRPr="003C4781" w:rsidRDefault="00514883"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{"citationItems":[{"id":"ITEM-1","itemData":{"DOI":"10.1016/j.jad.2016.10.021","ISBN":"0165-0327","ISSN":"15732517","PMID":"28029427","abstract":"Background Transcranial direct current stimulation (tDCS) is a promising treatment for major depressive disorder (MDD). Standard tDCS treatment involves numerous sessions running over a few weeks. However, not all participants respond to this type of treatment. This study aims to investigate the feasibility of identifying MDD patients that respond to tDCS treatment based on resting-state electroencephalography (EEG) recorded prior to treatment commencing. Methods We used machine learning to predict improvement in mood and cognition during tDCS treatment from baseline EEG power spectra. Ten participants with a current diagnosis of MDD were included. Power spectral density was assessed in five frequency bands: delta (0.5–4 Hz), theta (4–8 Hz), alpha (8–12 Hz), beta (13–30 Hz) and gamma (30–100 Hz). Improvements in mood and cognition were assessed using the Montgomery-Åsberg Depression Rating Scale and Symbol Digit Modalities Test, respectively. We trained the classifiers using three algorithms (support vector machine, extreme learning machine and linear discriminant analysis) and a leave-one-out cross-validation approach. Results Mood labels were accurately predicted in 8 out of 10 participants using EEG channels FC4-AF8 (accuracy=76%, p=0.034). Cognition labels were accurately predicted in 10 out of 10 participants using channels pair CPz-CP2 (accuracy=92%, p=0.004). Limitations Due to the limited number of participants (n=10), the presented results mainly aim to serve as a proof of concept. Conclusions These finding demonstrate the feasibility of using machine learning to identify patients that will respond to tDCS treatment. These promising results warrant a larger study to determine the clinical utility of this approach.","author":[{"dropping-particle":"","family":"Al-Kaysi","given":"Alaa M.","non-dropping-particle":"","parse-names":false,"suffix":""},{"dropping-particle":"","family":"Al-Ani","given":"Ahmed","non-dropping-particle":"","parse-names":false,"suffix":""},{"dropping-particle":"","family":"Loo","given":"Colleen K.","non-dropping-particle":"","parse-names":false,"suffix":""},{"dropping-particle":"","family":"Powell","given":"Tamara Y.","non-dropping-particle":"","parse-names":false,"suffix":""},{"dropping-particle":"","family":"Martin","given":"Donel M.","non-dropping-particle":"","parse-names":false,"suffix":""},{"dropping-particle":"","family":"Breakspear","given":"Michael","non-dropping-particle":"","parse-names":false,"suffix":""},{"dropping-particle":"","family":"Boonstra","given":"Tjeerd W.","non-dropping-particle":"","parse-names":false,"suffix":""}],"container-title":"Journal of Affective Disorders","edition":"2016/12/29","id":"ITEM-1","issued":{"date-parts":[["2017"]]},"language":"eng","note":"1573-2517\nAl-Kaysi, Alaa M\nAl-Ani, Ahmed\nLoo, Colleen K\nPowell, Tamara Y\nMartin, Donel M\nBreakspear, Michael\nBoonstra, Tjeerd W\nJournal Article\nNetherlands\nJ Affect Disord. 2017 Jan 15;208:597-603. doi: 10.1016/j.jad.2016.10.021. Epub 2016 Oct 24.","page":"597-603","title":"Predicting tDCS treatment outcomes of patients with major depressive disorder using automated EEG classification","type":"article-journal","volume":"208"},"uris":["http://www.mendeley.com/documents/?uuid=017918c5-931e-4fd2-a8c1-4851e7aa500e"]}],"mendeley":{"formattedCitation":"(Al-Kaysi et al., 2017)","plainTextFormattedCitation":"(Al-Kaysi et al., 2017)","previouslyFormattedCitation":"(Al-Kaysi et al., 2017)"},"properties":{"noteIndex":0},"schema":"https://github.com/citation-style-language/schema/raw/master/csl-citation.json"}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(Al-Kaysi et al.</w:t>
            </w:r>
            <w:r w:rsidR="00771EFC" w:rsidRPr="00AA181B">
              <w:rPr>
                <w:rFonts w:eastAsia="Times New Roman" w:cstheme="minorHAnsi"/>
                <w:noProof/>
                <w:color w:val="000000"/>
                <w:sz w:val="16"/>
                <w:szCs w:val="16"/>
              </w:rPr>
              <w:t>, 2</w:t>
            </w:r>
            <w:r w:rsidR="00453DC5" w:rsidRPr="00AA181B">
              <w:rPr>
                <w:rFonts w:eastAsia="Times New Roman" w:cstheme="minorHAnsi"/>
                <w:noProof/>
                <w:color w:val="000000"/>
                <w:sz w:val="16"/>
                <w:szCs w:val="16"/>
              </w:rPr>
              <w:t>017)</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3FD3C50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Demographical, clinical</w:t>
            </w:r>
          </w:p>
        </w:tc>
        <w:tc>
          <w:tcPr>
            <w:tcW w:w="345" w:type="pct"/>
            <w:hideMark/>
          </w:tcPr>
          <w:p w14:paraId="3A3A8026" w14:textId="77777777" w:rsidR="0034508D" w:rsidRPr="003C4781" w:rsidRDefault="00157F0A" w:rsidP="00EF33E2">
            <w:pPr>
              <w:rPr>
                <w:rFonts w:eastAsia="Times New Roman" w:cstheme="minorHAnsi"/>
                <w:color w:val="000000"/>
                <w:sz w:val="16"/>
                <w:szCs w:val="16"/>
              </w:rPr>
            </w:pPr>
            <w:r w:rsidRPr="003C4781">
              <w:rPr>
                <w:rFonts w:cstheme="minorHAnsi"/>
                <w:sz w:val="16"/>
                <w:szCs w:val="16"/>
              </w:rPr>
              <w:t>1</w:t>
            </w:r>
          </w:p>
        </w:tc>
        <w:tc>
          <w:tcPr>
            <w:tcW w:w="479" w:type="pct"/>
            <w:hideMark/>
          </w:tcPr>
          <w:p w14:paraId="71530D2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Using three algorithms (support vector machine, extreme learning machine</w:t>
            </w:r>
            <w:r w:rsidR="00A04D7A">
              <w:rPr>
                <w:rFonts w:eastAsia="Times New Roman" w:cstheme="minorHAnsi"/>
                <w:color w:val="000000"/>
                <w:sz w:val="16"/>
                <w:szCs w:val="16"/>
              </w:rPr>
              <w:t>,</w:t>
            </w:r>
            <w:r w:rsidRPr="003C4781">
              <w:rPr>
                <w:rFonts w:eastAsia="Times New Roman" w:cstheme="minorHAnsi"/>
                <w:color w:val="000000"/>
                <w:sz w:val="16"/>
                <w:szCs w:val="16"/>
              </w:rPr>
              <w:t xml:space="preserve"> and linear discriminant analysis) </w:t>
            </w:r>
          </w:p>
        </w:tc>
        <w:tc>
          <w:tcPr>
            <w:tcW w:w="460" w:type="pct"/>
            <w:hideMark/>
          </w:tcPr>
          <w:p w14:paraId="1A2C0808" w14:textId="77777777" w:rsidR="0034508D" w:rsidRPr="003C4781" w:rsidRDefault="0034508D" w:rsidP="00A04D7A">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263CC864" w14:textId="77777777" w:rsidR="0034508D" w:rsidRPr="003C4781" w:rsidRDefault="0034508D" w:rsidP="00300FEF">
            <w:pPr>
              <w:rPr>
                <w:rFonts w:eastAsia="Times New Roman" w:cstheme="minorHAnsi"/>
                <w:color w:val="000000"/>
                <w:sz w:val="16"/>
                <w:szCs w:val="16"/>
              </w:rPr>
            </w:pPr>
          </w:p>
        </w:tc>
        <w:tc>
          <w:tcPr>
            <w:tcW w:w="477" w:type="pct"/>
            <w:hideMark/>
          </w:tcPr>
          <w:p w14:paraId="04E061A0" w14:textId="77777777" w:rsidR="0034508D" w:rsidRPr="003C4781" w:rsidRDefault="0034508D" w:rsidP="00300FEF">
            <w:pPr>
              <w:rPr>
                <w:rFonts w:eastAsia="Times New Roman" w:cstheme="minorHAnsi"/>
                <w:sz w:val="16"/>
                <w:szCs w:val="16"/>
              </w:rPr>
            </w:pPr>
          </w:p>
        </w:tc>
        <w:tc>
          <w:tcPr>
            <w:tcW w:w="480" w:type="pct"/>
            <w:hideMark/>
          </w:tcPr>
          <w:p w14:paraId="2F0DDA9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4186C34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69FEED2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Transcranial direct current stimulation (</w:t>
            </w:r>
            <w:proofErr w:type="spellStart"/>
            <w:r w:rsidRPr="003C4781">
              <w:rPr>
                <w:rFonts w:eastAsia="Times New Roman" w:cstheme="minorHAnsi"/>
                <w:color w:val="000000"/>
                <w:sz w:val="16"/>
                <w:szCs w:val="16"/>
              </w:rPr>
              <w:t>tDCS</w:t>
            </w:r>
            <w:proofErr w:type="spellEnd"/>
            <w:r w:rsidRPr="003C4781">
              <w:rPr>
                <w:rFonts w:eastAsia="Times New Roman" w:cstheme="minorHAnsi"/>
                <w:color w:val="000000"/>
                <w:sz w:val="16"/>
                <w:szCs w:val="16"/>
              </w:rPr>
              <w:t>)</w:t>
            </w:r>
          </w:p>
        </w:tc>
      </w:tr>
      <w:tr w:rsidR="00705248" w:rsidRPr="003C4781" w14:paraId="16459A52" w14:textId="77777777" w:rsidTr="006D63A2">
        <w:trPr>
          <w:trHeight w:val="1664"/>
        </w:trPr>
        <w:tc>
          <w:tcPr>
            <w:tcW w:w="652" w:type="pct"/>
            <w:hideMark/>
          </w:tcPr>
          <w:p w14:paraId="29E0C376" w14:textId="1EB4083A" w:rsidR="0034508D" w:rsidRPr="003C4781" w:rsidRDefault="00514883"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{"citationItems":[{"id":"ITEM-1","itemData":{"DOI":"10.1002/cpt.1482","ISBN":"1532-6535 (Electronic)\r0009-9236 (Linking)","ISSN":"15326535","PMID":"31012492","abstract":"We set out to determine whether machine learning–based algorithms that included functionally validated pharmacogenomic biomarkers joined with clinical measures could predict selective serotonin reuptake inhibitor (SSRI) remission/response in patients with major depressive disorder (MDD). We studied 1,030 white outpatients with MDD treated with citalopram/escitalopram in the Mayo Clinic Pharmacogenomics Research Network Antidepressant Medication Pharmacogenomic Study (PGRN-AMPS; n = 398), Sequenced Treatment Alternatives to Relieve Depression (STAR*D; n = 467), and International SSRI Pharmacogenomics Consortium (ISPC; n = 165) trials. A genomewide association study for PGRN-AMPS plasma metabolites associated with SSRI response (serotonin) and baseline MDD severity (kynurenine) identified single nucleotide polymorphisms (SNPs) in DEFB1, ERICH3, AHR, and TSPAN5 that we tested as predictors. Supervised machine-learning methods trained using SNPs and total baseline depression scores predicted remission and response at 8 weeks with area under the receiver operating curve (AUC) &gt; 0.7 (P &lt; 0.04) in PGRN-AMPS patients, with comparable prediction accuracies &gt; 69% (P ≤ 0.07) in STAR*D and ISPC. These results demonstrate that machine learning can achieve accurate and, importantly, replicable prediction of SSRI therapy response using total baseline depression severity combined with pharmacogenomic biomarkers.","author":[{"dropping-particle":"","family":"Athreya","given":"Arjun P.","non-dropping-particle":"","parse-names":false,"suffix":""},{"dropping-particle":"","family":"Neavin","given":"Drew","non-dropping-particle":"","parse-names":false,"suffix":""},{"dropping-particle":"","family":"Carrillo-Roa","given":"Tania","non-dropping-particle":"","parse-names":false,"suffix":""},{"dropping-particle":"","family":"Skime","given":"Michelle","non-dropping-particle":"","parse-names":false,"suffix":""},{"dropping-particle":"","family":"Biernacka","given":"Joanna","non-dropping-particle":"","parse-names":false,"suffix":""},{"dropping-particle":"","family":"Frye","given":"Mark A.","non-dropping-particle":"","parse-names":false,"suffix":""},{"dropping-particle":"","family":"Rush","given":"A. John","non-dropping-particle":"","parse-names":false,"suffix":""},{"dropping-particle":"","family":"Wang","given":"Liewei","non-dropping-particle":"","parse-names":false,"suffix":""},{"dropping-particle":"","family":"Binder","given":"Elisabeth B.","non-dropping-particle":"","parse-names":false,"suffix":""},{"dropping-particle":"","family":"Iyer","given":"Ravishankar K.","non-dropping-particle":"","parse-names":false,"suffix":""},{"dropping-particle":"","family":"Weinshilboum","given":"Richard M.","non-dropping-particle":"","parse-names":false,"suffix":""},{"dropping-particle":"V.","family":"Bobo","given":"William","non-dropping-particle":"","parse-names":false,"suffix":""}],"container-title":"Clinical Pharmacology and Therapeutics","edition":"2019/04/24","id":"ITEM-1","issue":"4","issued":{"date-parts":[["2019"]]},"note":"Athreya, Arjun P\nNeavin, Drew\nCarrillo-Roa, Tania\nSkime, Michelle\nBiernacka, Joanna\nFrye, Mark A\nRush, A John\nWang, Liewei\nBinder, Elisabeth B\nIyer, Ravishankar K\nWeinshilboum, Richard M\nBobo, William V\neng\nU19 GM061388/GM/NIGMS NIH HHS/\nCompGen Fellowship\nU19 GM61388/National Institutes of Health (NIH)\nR01 GM28157/National Institutes of Health (NIH)\nCNS 13-37732/National Science Foundation (NSF)\nMayo Clinic Center for Individualized Medicine\nR01 GM028157/GM/NIGMS NIH HHS/\nIBM Faculty Award\nMayo Clinic and Illinois Alliance Fellowship for Technology-Based Healthcare Research\nClin Pharmacol Ther. 2019 Oct;106(4):855-865. doi: 10.1002/cpt.1482. Epub 2019 Jun 29.","page":"855-865","title":"Pharmacogenomics-Driven Prediction of Antidepressant Treatment Outcomes: A Machine-Learning Approach With Multi-trial Replication","type":"article-journal","volume":"106"},"uris":["http://www.mendeley.com/documents/?uuid=a52057fe-dd26-4451-806f-725830f366b0"]}],"mendeley":{"formattedCitation":"(Athreya et al., 2019)","plainTextFormattedCitation":"(Athreya et al., 2019)","previouslyFormattedCitation":"(Athreya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(Athreya et al., 2019)</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2EB74FAC" w14:textId="77777777" w:rsidR="0034508D" w:rsidRPr="003C4781" w:rsidRDefault="00736F3B" w:rsidP="00300FEF">
            <w:pPr>
              <w:rPr>
                <w:rFonts w:eastAsia="Times New Roman" w:cstheme="minorHAnsi"/>
                <w:color w:val="000000"/>
                <w:sz w:val="16"/>
                <w:szCs w:val="16"/>
              </w:rPr>
            </w:pPr>
            <w:r w:rsidRPr="003C4781">
              <w:rPr>
                <w:rFonts w:eastAsia="Times New Roman" w:cstheme="minorHAnsi"/>
                <w:color w:val="000000"/>
                <w:sz w:val="16"/>
                <w:szCs w:val="16"/>
              </w:rPr>
              <w:t>Pharmacogenomics</w:t>
            </w:r>
            <w:r w:rsidR="0034508D" w:rsidRPr="003C4781">
              <w:rPr>
                <w:rFonts w:eastAsia="Times New Roman" w:cstheme="minorHAnsi"/>
                <w:color w:val="000000"/>
                <w:sz w:val="16"/>
                <w:szCs w:val="16"/>
              </w:rPr>
              <w:t>, clinical</w:t>
            </w:r>
          </w:p>
        </w:tc>
        <w:tc>
          <w:tcPr>
            <w:tcW w:w="345" w:type="pct"/>
            <w:hideMark/>
          </w:tcPr>
          <w:p w14:paraId="4978501A"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7</w:t>
            </w:r>
          </w:p>
        </w:tc>
        <w:tc>
          <w:tcPr>
            <w:tcW w:w="479" w:type="pct"/>
            <w:hideMark/>
          </w:tcPr>
          <w:p w14:paraId="27A5CE6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Random forest</w:t>
            </w:r>
          </w:p>
        </w:tc>
        <w:tc>
          <w:tcPr>
            <w:tcW w:w="460" w:type="pct"/>
            <w:hideMark/>
          </w:tcPr>
          <w:p w14:paraId="1EEB76B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 (inner 10-fold cross-validation, outer 5-fold cross-validation), external validation</w:t>
            </w:r>
          </w:p>
        </w:tc>
        <w:tc>
          <w:tcPr>
            <w:tcW w:w="514" w:type="pct"/>
            <w:hideMark/>
          </w:tcPr>
          <w:p w14:paraId="4A373B81" w14:textId="77777777" w:rsidR="0034508D" w:rsidRPr="003C4781" w:rsidRDefault="0034508D" w:rsidP="00300FEF">
            <w:pPr>
              <w:rPr>
                <w:rFonts w:eastAsia="Times New Roman" w:cstheme="minorHAnsi"/>
                <w:color w:val="000000"/>
                <w:sz w:val="16"/>
                <w:szCs w:val="16"/>
              </w:rPr>
            </w:pPr>
          </w:p>
        </w:tc>
        <w:tc>
          <w:tcPr>
            <w:tcW w:w="477" w:type="pct"/>
            <w:hideMark/>
          </w:tcPr>
          <w:p w14:paraId="43F28D9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Clustering</w:t>
            </w:r>
          </w:p>
        </w:tc>
        <w:tc>
          <w:tcPr>
            <w:tcW w:w="480" w:type="pct"/>
            <w:hideMark/>
          </w:tcPr>
          <w:p w14:paraId="4B2ECFD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No missing data</w:t>
            </w:r>
          </w:p>
        </w:tc>
        <w:tc>
          <w:tcPr>
            <w:tcW w:w="437" w:type="pct"/>
            <w:hideMark/>
          </w:tcPr>
          <w:p w14:paraId="5DE954B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5B63948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1E4216F5" w14:textId="77777777" w:rsidTr="006D63A2">
        <w:trPr>
          <w:trHeight w:val="602"/>
        </w:trPr>
        <w:tc>
          <w:tcPr>
            <w:tcW w:w="652" w:type="pct"/>
            <w:hideMark/>
          </w:tcPr>
          <w:p w14:paraId="073DF3C4" w14:textId="7B5265AA" w:rsidR="0034508D" w:rsidRPr="003C4781" w:rsidRDefault="00514883"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{"citationItems":[{"id":"ITEM-1","itemData":{"DOI":"10.1016/j.brs.2017.10.015","ISBN":"1876-4754 (Electronic)\r1876-4754 (Linking)","ISSN":"18764754","PMID":"29128490","abstract":"Background Repetitive transcranial magnetic stimulation (rTMS) is an effective treatment for depression, but only some individuals respond. Predicting response could reduce patient and clinical burden. Neural activity related to working memory (WM) has been related to mood improvements, so may represent a biomarker for response prediction. Primary hypotheses We expected higher theta and alpha activity in responders compared to non-responders to rTMS. Methods Fifty patients with treatment resistant depression and twenty controls performed a WM task while electroencephalography (EEG) was recorded. Patients underwent 5–8 weeks of rTMS treatment, repeating the EEG at week 1 (W1). Of the 39 participants with valid WM-related EEG data from baseline and W1, 10 were responders. Comparisons between responders and non-responders were made at baseline and W1 for measures of theta (4–8 Hz), upper alpha (10–12.5 Hz), and gamma (30–45 Hz) power, connectivity, and theta-gamma coupling. The control group's measures were compared to the depression group's baseline measures separately. Results Responders showed higher levels of WM-related fronto-midline theta power and theta connectivity compared to non-responders at baseline and W1. Responder's fronto-midline theta power and connectivity was similar to controls. Responders also showed an increase in gamma connectivity from baseline to W1, with a concurrent improvement in mood and WM reaction times. An unbiased combination of all measures provided mean sensitivity of 0.90 at predicting responders and specificity of 0.92 in a predictive machine learning algorithm. Conclusion Baseline and W1 fronto-midline theta power and theta connectivity show good potential for predicting response to rTMS treatment for depression.","author":[{"dropping-particle":"","family":"Bailey","given":"N. W.","non-dropping-particle":"","parse-names":false,"suffix":""},{"dropping-particle":"","family":"Hoy","given":"K. E.","non-dropping-particle":"","parse-names":false,"suffix":""},{"dropping-particle":"","family":"Rogasch","given":"N. C.","non-dropping-particle":"","parse-names":false,"suffix":""},{"dropping-particle":"","family":"Thomson","given":"R. H.","non-dropping-particle":"","parse-names":false,"suffix":""},{"dropping-particle":"","family":"McQueen","given":"S.","non-dropping-particle":"","parse-names":false,"suffix":""},{"dropping-particle":"","family":"Elliot","given":"D.","non-dropping-particle":"","parse-names":false,"suffix":""},{"dropping-particle":"","family":"Sullivan","given":"C. M.","non-dropping-particle":"","parse-names":false,"suffix":""},{"dropping-particle":"","family":"Fulcher","given":"B. D.","non-dropping-particle":"","parse-names":false,"suffix":""},{"dropping-particle":"","family":"Daskalakis","given":"Z. J.","non-dropping-particle":"","parse-names":false,"suffix":""},{"dropping-particle":"","family":"Fitzgerald","given":"P. B.","non-dropping-particle":"","parse-names":false,"suffix":""}],"container-title":"Brain Stimulation","edition":"2017/11/13","id":"ITEM-1","issue":"1","issued":{"date-parts":[["2018"]]},"note":"Bailey, N W\nHoy, K E\nRogasch, N C\nThomson, R H\nMcQueen, S\nElliot, D\nSullivan, C M\nFulcher, B D\nDaskalakis, Z J\nFitzgerald, P B\neng\nClinical Trial\nComparative Study\nResearch Support, Non-U.S. Gov't\nBrain Stimul. 2018 Jan - Feb;11(1):190-203. doi: 10.1016/j.brs.2017.10.015. Epub 2017 Oct 27.","page":"190-203","title":"Responders to rTMS for depression show increased fronto-midline theta and theta connectivity compared to non-responders","type":"article-journal","volume":"11"},"uris":["http://www.mendeley.com/documents/?uuid=8d3e55e2-9206-48a9-a5b0-b7fdc11af322"]}],"mendeley":{"formattedCitation":"(Bailey et al., 2018)","plainTextFormattedCitation":"(Bailey et al., 2018)","previouslyFormattedCitation":"(Bailey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(Bailey et al., 2018)</w:t>
            </w:r>
            <w:r>
              <w:rPr>
                <w:rFonts w:eastAsia="Times New Roman" w:cstheme="minorHAnsi"/>
                <w:color w:val="000000"/>
                <w:sz w:val="16"/>
                <w:szCs w:val="16"/>
              </w:rPr>
              <w:fldChar w:fldCharType="end"/>
            </w:r>
            <w:r>
              <w:rPr>
                <w:rFonts w:eastAsia="Times New Roman" w:cstheme="minorHAnsi"/>
                <w:color w:val="000000"/>
                <w:sz w:val="16"/>
                <w:szCs w:val="16"/>
              </w:rPr>
              <w:t xml:space="preserve"> </w:t>
            </w:r>
          </w:p>
        </w:tc>
        <w:tc>
          <w:tcPr>
            <w:tcW w:w="607" w:type="pct"/>
            <w:hideMark/>
          </w:tcPr>
          <w:p w14:paraId="6EBD4D9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  neuroimaging</w:t>
            </w:r>
          </w:p>
        </w:tc>
        <w:tc>
          <w:tcPr>
            <w:tcW w:w="345" w:type="pct"/>
            <w:hideMark/>
          </w:tcPr>
          <w:p w14:paraId="6F576EB4"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30</w:t>
            </w:r>
          </w:p>
        </w:tc>
        <w:tc>
          <w:tcPr>
            <w:tcW w:w="479" w:type="pct"/>
            <w:hideMark/>
          </w:tcPr>
          <w:p w14:paraId="083ED42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6D5E5B4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5-fold cross- validation</w:t>
            </w:r>
          </w:p>
        </w:tc>
        <w:tc>
          <w:tcPr>
            <w:tcW w:w="514" w:type="pct"/>
            <w:hideMark/>
          </w:tcPr>
          <w:p w14:paraId="57E15F1B" w14:textId="77777777" w:rsidR="0034508D" w:rsidRPr="003C4781" w:rsidRDefault="0034508D" w:rsidP="00300FEF">
            <w:pPr>
              <w:rPr>
                <w:rFonts w:eastAsia="Times New Roman" w:cstheme="minorHAnsi"/>
                <w:color w:val="000000"/>
                <w:sz w:val="16"/>
                <w:szCs w:val="16"/>
              </w:rPr>
            </w:pPr>
          </w:p>
        </w:tc>
        <w:tc>
          <w:tcPr>
            <w:tcW w:w="477" w:type="pct"/>
            <w:hideMark/>
          </w:tcPr>
          <w:p w14:paraId="7C0A693E" w14:textId="77777777" w:rsidR="0034508D" w:rsidRPr="003C4781" w:rsidRDefault="0034508D" w:rsidP="00300FEF">
            <w:pPr>
              <w:rPr>
                <w:rFonts w:eastAsia="Times New Roman" w:cstheme="minorHAnsi"/>
                <w:color w:val="000000"/>
                <w:sz w:val="16"/>
                <w:szCs w:val="16"/>
              </w:rPr>
            </w:pPr>
            <w:proofErr w:type="spellStart"/>
            <w:r w:rsidRPr="003C4781">
              <w:rPr>
                <w:rFonts w:eastAsia="Times New Roman" w:cstheme="minorHAnsi"/>
                <w:color w:val="000000"/>
                <w:sz w:val="16"/>
                <w:szCs w:val="16"/>
              </w:rPr>
              <w:t>Morlet</w:t>
            </w:r>
            <w:proofErr w:type="spellEnd"/>
            <w:r w:rsidRPr="003C4781">
              <w:rPr>
                <w:rFonts w:eastAsia="Times New Roman" w:cstheme="minorHAnsi"/>
                <w:color w:val="000000"/>
                <w:sz w:val="16"/>
                <w:szCs w:val="16"/>
              </w:rPr>
              <w:t xml:space="preserve"> Wavelet Transform</w:t>
            </w:r>
          </w:p>
        </w:tc>
        <w:tc>
          <w:tcPr>
            <w:tcW w:w="480" w:type="pct"/>
            <w:hideMark/>
          </w:tcPr>
          <w:p w14:paraId="367478F1" w14:textId="77777777" w:rsidR="0034508D" w:rsidRPr="003C4781" w:rsidRDefault="0034508D" w:rsidP="00300FEF">
            <w:pPr>
              <w:rPr>
                <w:rFonts w:eastAsia="Times New Roman" w:cstheme="minorHAnsi"/>
                <w:color w:val="000000"/>
                <w:sz w:val="16"/>
                <w:szCs w:val="16"/>
              </w:rPr>
            </w:pPr>
          </w:p>
        </w:tc>
        <w:tc>
          <w:tcPr>
            <w:tcW w:w="437" w:type="pct"/>
            <w:hideMark/>
          </w:tcPr>
          <w:p w14:paraId="2D50947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075D383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57ED386C" w14:textId="77777777" w:rsidTr="006D63A2">
        <w:trPr>
          <w:trHeight w:val="782"/>
        </w:trPr>
        <w:tc>
          <w:tcPr>
            <w:tcW w:w="652" w:type="pct"/>
            <w:hideMark/>
          </w:tcPr>
          <w:p w14:paraId="68777657" w14:textId="426EBCBC" w:rsidR="0034508D" w:rsidRPr="003C4781" w:rsidRDefault="00514883"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{"citationItems":[{"id":"ITEM-1","itemData":{"DOI":"10.1016/j.jad.2018.08.058","ISBN":"1573-2517 (Electronic)\r0165-0327 (Linking)","ISSN":"15732517","PMID":"30172227","abstract":"Background: Non-response to repetitive transcranial magnetic stimulation (rTMS) treatment for depression is costly for both patients and clinics. Simple and cheap methods to predict response would reduce this burden. Resting EEG measures differentiate responders from non-responders, so may have utility for response prediction. Methods: Fifty patients with treatment resistant depression and 21 controls had resting electroencephalography (EEG) recorded at baseline (BL). Patients underwent 5–8 weeks of rTMS treatment, with EEG recordings repeated at week 1 (W1). Forty-two participants had valid BL and W1 EEG data, and 12 were responders. Responders and non-responders were compared at BL and W1 in measures of theta (4–8 Hz) and alpha (8–13 Hz) power and connectivity, frontal theta cordance and alpha peak frequency. Control group comparisons were made for measures that differed between responders and non-responders. A machine learning algorithm assessed the potential to differentiate responders from non-responders using EEG measures in combination with change in depression scores from BL to W1. Results: Responders showed elevated theta connectivity across BL and W1. No other EEG measures differed between groups. Responders could be distinguished from non-responders with a mean sensitivity of 0.84 (p = 0.001) and specificity of 0.89 (p = 0.002) using cross-validated machine learning classification on the combination of all EEG and mood measures. Limitations: The low response rate limited our sample size to only 12 responders. Conclusion: Resting theta connectivity at BL and W1 differ between responders and non-responders, and show potential for predicting response to rTMS treatment for depression.","author":[{"dropping-particle":"","family":"Bailey","given":"N. W.","non-dropping-particle":"","parse-names":false,"suffix":""},{"dropping-particle":"","family":"Hoy","given":"K. E.","non-dropping-particle":"","parse-names":false,"suffix":""},{"dropping-particle":"","family":"Rogasch","given":"N. C.","non-dropping-particle":"","parse-names":false,"suffix":""},{"dropping-particle":"","family":"Thomson","given":"R. H.","non-dropping-particle":"","parse-names":false,"suffix":""},{"dropping-particle":"","family":"McQueen","given":"S.","non-dropping-particle":"","parse-names":false,"suffix":""},{"dropping-particle":"","family":"Elliot","given":"D.","non-dropping-particle":"","parse-names":false,"suffix":""},{"dropping-particle":"","family":"Sullivan","given":"C. M.","non-dropping-particle":"","parse-names":false,"suffix":""},{"dropping-particle":"","family":"Fulcher","given":"B. D.","non-dropping-particle":"","parse-names":false,"suffix":""},{"dropping-particle":"","family":"Daskalakis","given":"Z. J.","non-dropping-particle":"","parse-names":false,"suffix":""},{"dropping-particle":"","family":"Fitzgerald","given":"P. B.","non-dropping-particle":"","parse-names":false,"suffix":""}],"container-title":"Journal of Affective Disorders","edition":"2018/09/02","id":"ITEM-1","issued":{"date-parts":[["2019"]]},"note":"Bailey, N W\nHoy, K E\nRogasch, N C\nThomson, R H\nMcQueen, S\nElliot, D\nSullivan, C M\nFulcher, B D\nDaskalakis, Z J\nFitzgerald, P B\neng\nResearch Support, Non-U.S. Gov't\nNetherlands\nJ Affect Disord. 2019 Jan 1;242:68-79. doi: 10.1016/j.jad.2018.08.058. Epub 2018 Aug 14.","page":"68-79","title":"Differentiating responders and non-responders to rTMS treatment for depression after one week using resting EEG connectivity measures","type":"article-journal","volume":"242"},"uris":["http://www.mendeley.com/documents/?uuid=97993875-4440-4d0d-b91b-342769fe703d"]}],"mendeley":{"formattedCitation":"(Bailey et al., 2019)","plainTextFormattedCitation":"(Bailey et al., 2019)","previouslyFormattedCitation":"(Bailey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(Bailey et al., 2019)</w:t>
            </w:r>
            <w:r>
              <w:rPr>
                <w:rFonts w:eastAsia="Times New Roman" w:cstheme="minorHAnsi"/>
                <w:color w:val="000000"/>
                <w:sz w:val="16"/>
                <w:szCs w:val="16"/>
              </w:rPr>
              <w:fldChar w:fldCharType="end"/>
            </w:r>
            <w:r>
              <w:rPr>
                <w:rFonts w:eastAsia="Times New Roman" w:cstheme="minorHAnsi"/>
                <w:color w:val="000000"/>
                <w:sz w:val="16"/>
                <w:szCs w:val="16"/>
              </w:rPr>
              <w:t xml:space="preserve"> </w:t>
            </w:r>
          </w:p>
        </w:tc>
        <w:tc>
          <w:tcPr>
            <w:tcW w:w="607" w:type="pct"/>
            <w:hideMark/>
          </w:tcPr>
          <w:p w14:paraId="4A03D06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  neuroimaging</w:t>
            </w:r>
          </w:p>
        </w:tc>
        <w:tc>
          <w:tcPr>
            <w:tcW w:w="345" w:type="pct"/>
            <w:hideMark/>
          </w:tcPr>
          <w:p w14:paraId="0F5FEA39"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54</w:t>
            </w:r>
          </w:p>
        </w:tc>
        <w:tc>
          <w:tcPr>
            <w:tcW w:w="479" w:type="pct"/>
            <w:hideMark/>
          </w:tcPr>
          <w:p w14:paraId="6DA9538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13F5BB6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5-fold cross- validation</w:t>
            </w:r>
          </w:p>
        </w:tc>
        <w:tc>
          <w:tcPr>
            <w:tcW w:w="514" w:type="pct"/>
            <w:hideMark/>
          </w:tcPr>
          <w:p w14:paraId="55225C91" w14:textId="77777777" w:rsidR="0034508D" w:rsidRPr="003C4781" w:rsidRDefault="0034508D" w:rsidP="00300FEF">
            <w:pPr>
              <w:rPr>
                <w:rFonts w:eastAsia="Times New Roman" w:cstheme="minorHAnsi"/>
                <w:color w:val="000000"/>
                <w:sz w:val="16"/>
                <w:szCs w:val="16"/>
              </w:rPr>
            </w:pPr>
          </w:p>
        </w:tc>
        <w:tc>
          <w:tcPr>
            <w:tcW w:w="477" w:type="pct"/>
            <w:hideMark/>
          </w:tcPr>
          <w:p w14:paraId="224608D5" w14:textId="77777777" w:rsidR="0034508D" w:rsidRPr="003C4781" w:rsidRDefault="0034508D" w:rsidP="00300FEF">
            <w:pPr>
              <w:rPr>
                <w:rFonts w:eastAsia="Times New Roman" w:cstheme="minorHAnsi"/>
                <w:color w:val="000000"/>
                <w:sz w:val="16"/>
                <w:szCs w:val="16"/>
              </w:rPr>
            </w:pPr>
          </w:p>
        </w:tc>
        <w:tc>
          <w:tcPr>
            <w:tcW w:w="480" w:type="pct"/>
            <w:hideMark/>
          </w:tcPr>
          <w:p w14:paraId="73CDAB44" w14:textId="77777777" w:rsidR="0034508D" w:rsidRPr="003C4781" w:rsidRDefault="0034508D" w:rsidP="00300FEF">
            <w:pPr>
              <w:rPr>
                <w:rFonts w:eastAsia="Times New Roman" w:cstheme="minorHAnsi"/>
                <w:sz w:val="16"/>
                <w:szCs w:val="16"/>
              </w:rPr>
            </w:pPr>
          </w:p>
        </w:tc>
        <w:tc>
          <w:tcPr>
            <w:tcW w:w="437" w:type="pct"/>
            <w:hideMark/>
          </w:tcPr>
          <w:p w14:paraId="3430526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CD524B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54F35258" w14:textId="77777777" w:rsidTr="006D63A2">
        <w:trPr>
          <w:trHeight w:val="512"/>
        </w:trPr>
        <w:tc>
          <w:tcPr>
            <w:tcW w:w="652" w:type="pct"/>
            <w:hideMark/>
          </w:tcPr>
          <w:p w14:paraId="429A61D3" w14:textId="48A7C931" w:rsidR="0034508D" w:rsidRPr="003C4781" w:rsidRDefault="00453166"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{"citationItems":[{"id":"ITEM-1","itemData":{"DOI":"10.1038/s41386-018-0122-9","ISBN":"1740-634X (Electronic)\r0893-133X (Linking)","ISSN":"1740634X","PMID":"29955151","abstract":"To date, there are no biomarkers for major depressive disorder (MDD) treatment response in clinical use. Such biomarkers could allow for individualized treatment selection, reducing time spent on ineffective treatments and the burden of MDD. In search of such a biomarker, multisite pretreatment and early-treatment (1 week into treatment) structural magnetic resonance (MR) images were acquired from 184 patients with MDD randomized to an 8-week trial of the selective serotonin reuptake inhibitor (SSRI) sertraline or placebo. This study represents a large, multisite, placebo-controlled effort to examine the association between pretreatment differences or early-treatment changes in cortical thickness and treatment-specific outcomes. For standardization, a novel, robust site harmonization procedure was applied to structural measures in a priori regions (rostral and caudal anterior cingulate, lateral orbitofrontal, rostral middle frontal, and hippocampus), chosen based on previously published reports. Pretreatment cortical thickness or volume did not significantly associate with SSRI response. Thickening of the rostral anterior cingulate cortex in the first week of treatment was associated with better 8-week responses to SSRI (p = 0.010). These findings indicate that frontal lobe structural alterations in the first week of treatment may be associated with long-term treatment efficacy. While these associational findings may help to elucidate the specific neural targets of SSRIs, the predictive accuracy of pretreatment or early-treatment structural alterations in classifying treatment remitters from nonremitters was limited to 63.9%. Therefore, in this large sample of adults with MDD, structural MR imaging measures were not found to be clinically translatable biomarkers of treatment response to SSRI or placebo.","author":[{"dropping-particle":"","family":"Bartlett","given":"Elizabeth A.","non-dropping-particle":"","parse-names":false,"suffix":""},{"dropping-particle":"","family":"DeLorenzo","given":"Christine","non-dropping-particle":"","parse-names":false,"suffix":""},{"dropping-particle":"","family":"Sharma","given":"Priya","non-dropping-particle":"","parse-names":false,"suffix":""},{"dropping-particle":"","family":"Yang","given":"Jie","non-dropping-particle":"","parse-names":false,"suffix":""},{"dropping-particle":"","family":"Zhang","given":"Mengru","non-dropping-particle":"","parse-names":false,"suffix":""},{"dropping-particle":"","family":"Petkova","given":"Eva","non-dropping-particle":"","parse-names":false,"suffix":""},{"dropping-particle":"","family":"Weissman","given":"Myrna","non-dropping-particle":"","parse-names":false,"suffix":""},{"dropping-particle":"","family":"McGrath","given":"Patrick J.","non-dropping-particle":"","parse-names":false,"suffix":""},{"dropping-particle":"","family":"Fava","given":"Maurizio","non-dropping-particle":"","parse-names":false,"suffix":""},{"dropping-particle":"","family":"Ogden","given":"R. Todd","non-dropping-particle":"","parse-names":false,"suffix":""},{"dropping-particle":"","family":"Kurian","given":"Benji T.","non-dropping-particle":"","parse-names":false,"suffix":""},{"dropping-particle":"","family":"Malchow","given":"Ashley","non-dropping-particle":"","parse-names":false,"suffix":""},{"dropping-particle":"","family":"Cooper","given":"Crystal M.","non-dropping-particle":"","parse-names":false,"suffix":""},{"dropping-particle":"","family":"Trombello","given":"Joseph M.","non-dropping-particle":"","parse-names":false,"suffix":""},{"dropping-particle":"","family":"McInnis","given":"Melvin","non-dropping-particle":"","parse-names":false,"suffix":""},{"dropping-particle":"","family":"Adams","given":"Phillip","non-dropping-particle":"","parse-names":false,"suffix":""},{"dropping-particle":"","family":"Oquendo","given":"Maria A.","non-dropping-particle":"","parse-names":false,"suffix":""},{"dropping-particle":"","family":"Pizzagalli","given":"Diego A.","non-dropping-particle":"","parse-names":false,"suffix":""},{"dropping-particle":"","family":"Trivedi","given":"Madhukar","non-dropping-particle":"","parse-names":false,"suffix":""},{"dropping-particle":"V.","family":"Parsey","given":"Ramin","non-dropping-particle":"","parse-names":false,"suffix":""}],"container-title":"Neuropsychopharmacology","edition":"2018/06/30","id":"ITEM-1","issue":"11","issued":{"date-parts":[["2018"]]},"note":"Bartlett, Elizabeth A\nDeLorenzo, Christine\nSharma, Priya\nYang, Jie\nZhang, Mengru\nPetkova, Eva\nWeissman, Myrna\nMcGrath, Patrick J\nFava, Maurizio\nOgden, R Todd\nKurian, Benji T\nMalchow, Ashley\nCooper, Crystal M\nTrombello, Joseph M\nMcInnis, Melvin\nAdams, Phillip\nOquendo, Maria A\nPizzagalli, Diego A\nTrivedi, Madhukar\nParsey, Ramin V\neng\nU01 MH092221/MH/NIMH NIH HHS/\nU01 MH092250/MH/NIMH NIH HHS/\nU01MH092250/U.S. Department of Health &amp;amp; Human Services | NIH | National Institute of Mental Health (NIMH)/International\nU01MH092221/U.S. Department of Health &amp;amp; Human Services | NIH | National Institute of Mental Health (NIMH)/International\nMulticenter Study\nRandomized Controlled Trial\nResearch Support, N.I.H., Extramural\nResearch Support, Non-U.S. Gov't\nEngland\nNeuropsychopharmacology. 2018 Oct;43(11):2221-2230. doi: 10.1038/s41386-018-0122-9. Epub 2018 Jun 19.","page":"2221-2230","title":"Pretreatment and early-treatment cortical thickness is associated with SSRI treatment response in major depressive disorder","type":"article-journal","volume":"43"},"uris":["http://www.mendeley.com/documents/?uuid=a2ef1beb-cc3e-40bc-81a9-2254e32a0885"]}],"mendeley":{"formattedCitation":"(Bartlett et al., 2018)","plainTextFormattedCitation":"(Bartlett et al., 2018)","previouslyFormattedCitation":"(Bartlett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(Bartlett et al., 2018)</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37A7A64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  neuroimaging, demographical, Psychometric</w:t>
            </w:r>
          </w:p>
        </w:tc>
        <w:tc>
          <w:tcPr>
            <w:tcW w:w="345" w:type="pct"/>
            <w:hideMark/>
          </w:tcPr>
          <w:p w14:paraId="35A2EEB3"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10</w:t>
            </w:r>
          </w:p>
        </w:tc>
        <w:tc>
          <w:tcPr>
            <w:tcW w:w="479" w:type="pct"/>
            <w:hideMark/>
          </w:tcPr>
          <w:p w14:paraId="46AC1B0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Random forest</w:t>
            </w:r>
          </w:p>
        </w:tc>
        <w:tc>
          <w:tcPr>
            <w:tcW w:w="460" w:type="pct"/>
            <w:hideMark/>
          </w:tcPr>
          <w:p w14:paraId="53949DE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5-fold cross-validation</w:t>
            </w:r>
          </w:p>
        </w:tc>
        <w:tc>
          <w:tcPr>
            <w:tcW w:w="514" w:type="pct"/>
            <w:hideMark/>
          </w:tcPr>
          <w:p w14:paraId="077A64A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Variable importance ranking</w:t>
            </w:r>
          </w:p>
        </w:tc>
        <w:tc>
          <w:tcPr>
            <w:tcW w:w="477" w:type="pct"/>
            <w:hideMark/>
          </w:tcPr>
          <w:p w14:paraId="7D7474A4" w14:textId="77777777" w:rsidR="0034508D" w:rsidRPr="003C4781" w:rsidRDefault="0034508D" w:rsidP="00300FEF">
            <w:pPr>
              <w:rPr>
                <w:rFonts w:eastAsia="Times New Roman" w:cstheme="minorHAnsi"/>
                <w:color w:val="000000"/>
                <w:sz w:val="16"/>
                <w:szCs w:val="16"/>
              </w:rPr>
            </w:pPr>
          </w:p>
        </w:tc>
        <w:tc>
          <w:tcPr>
            <w:tcW w:w="480" w:type="pct"/>
            <w:hideMark/>
          </w:tcPr>
          <w:p w14:paraId="77ABC231" w14:textId="77777777" w:rsidR="0034508D" w:rsidRPr="003C4781" w:rsidRDefault="0034508D" w:rsidP="00300FEF">
            <w:pPr>
              <w:rPr>
                <w:rFonts w:eastAsia="Times New Roman" w:cstheme="minorHAnsi"/>
                <w:sz w:val="16"/>
                <w:szCs w:val="16"/>
              </w:rPr>
            </w:pPr>
          </w:p>
        </w:tc>
        <w:tc>
          <w:tcPr>
            <w:tcW w:w="437" w:type="pct"/>
            <w:hideMark/>
          </w:tcPr>
          <w:p w14:paraId="1345D38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78CFBF8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19001B14" w14:textId="77777777" w:rsidTr="006D63A2">
        <w:trPr>
          <w:trHeight w:val="944"/>
        </w:trPr>
        <w:tc>
          <w:tcPr>
            <w:tcW w:w="652" w:type="pct"/>
            <w:hideMark/>
          </w:tcPr>
          <w:p w14:paraId="15AACBB8" w14:textId="2608C942" w:rsidR="0034508D" w:rsidRPr="003C4781" w:rsidRDefault="00453166" w:rsidP="00453DC5">
            <w:pPr>
              <w:rPr>
                <w:rFonts w:eastAsia="Times New Roman" w:cstheme="minorHAnsi"/>
                <w:color w:val="000000"/>
                <w:sz w:val="16"/>
                <w:szCs w:val="16"/>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{"citationItems":[{"id":"ITEM-1","itemData":{"DOI":"10.1016/j.euroneuro.2018.11.1102","ISBN":"1873-7862 (Electronic)\r0924-977X (Linking)","ISSN":"18737862","PMID":"30473402","abstract":"Antidepressants must be taken for weeks before response can be assessed with many patients not responding to the first medication prescribed. This often results in long delays before effective treatment is started. Antidepressants induce changes in the processing of emotional stimuli early in the course of treatment. In the current study we assessed whether changes in emotional processing and subjective symptoms over the first week of antidepressant treatment predicted clinical response after 4–8 weeks of treatment. Such a predictive test may shorten the time taken to initiate effective treatment in depressed patients. Seventy-four depressed primary care patients completed measures of emotional bias and subjective symptoms before starting antidepressant treatment and then again 1 week later. Response to treatment was assessed after 4–6 weeks. The performance of classifiers based on these measures was assessed using a leave-one-out validation procedure with the best classifier then tested in an independent sample from a second study of 239 patients. The combination of a facial emotion recognition task and subjective symptoms predicted response with 77% accuracy in the training sample and 60% accuracy in the independent study, significantly better than possible using baseline response rates. The face based measure of emotional bias provided good quality data with high acceptability ratings. Changes in emotional processing can provide a sensitive early measure of antidepressant efficacy for individual patients. Early treatment induced changes in emotional processing may be used to guide antidepressant therapy and reduce the time taken for depressed patients to return to good mental health.","author":[{"dropping-particle":"","family":"Browning","given":"Michael","non-dropping-particle":"","parse-names":false,"suffix":""},{"dropping-particle":"","family":"Kingslake","given":"Jonathan","non-dropping-particle":"","parse-names":false,"suffix":""},{"dropping-particle":"","family":"Dourish","given":"Colin T.","non-dropping-particle":"","parse-names":false,"suffix":""},{"dropping-particle":"","family":"Goodwin","given":"Guy M.","non-dropping-particle":"","parse-names":false,"suffix":""},{"dropping-particle":"","family":"Harmer","given":"Catherine J.","non-dropping-particle":"","parse-names":false,"suffix":""},{"dropping-particle":"","family":"Dawson","given":"Gerard R.","non-dropping-particle":"","parse-names":false,"suffix":""}],"container-title":"European Neuropsychopharmacology","edition":"2018/11/27","id":"ITEM-1","issue":"1","issued":{"date-parts":[["2019"]]},"note":"Browning, Michael\nKingslake, Jonathan\nDourish, Colin T\nGoodwin, Guy M\nHarmer, Catherine J\nDawson, Gerard R\neng\nClinical Trial\nResearch Support, Non-U.S. Gov't\nNetherlands\nEur Neuropsychopharmacol. 2019 Jan;29(1):66-75. doi: 10.1016/j.euroneuro.2018.11.1102. Epub 2018 Nov 22.","page":"66-75","title":"Predicting treatment response to antidepressant medication using early changes in emotional processing","type":"article-journal","volume":"29"},"uris":["http://www.mendeley.com/documents/?uuid=91970e1c-059e-4b2c-8ee4-349876861cc6"]}],"mendeley":{"formattedCitation":"(Browning et al., 2019)","plainTextFormattedCitation":"(Browning et al., 2019)","previouslyFormattedCitation":"(Browning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(Browning et al., 2019)</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54560BD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Emotional bias</w:t>
            </w:r>
            <w:r w:rsidR="00A655FC">
              <w:rPr>
                <w:rFonts w:eastAsia="Times New Roman" w:cstheme="minorHAnsi"/>
                <w:color w:val="000000"/>
                <w:sz w:val="16"/>
                <w:szCs w:val="16"/>
              </w:rPr>
              <w:t>, clinical</w:t>
            </w:r>
          </w:p>
        </w:tc>
        <w:tc>
          <w:tcPr>
            <w:tcW w:w="345" w:type="pct"/>
            <w:hideMark/>
          </w:tcPr>
          <w:p w14:paraId="04110137"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64</w:t>
            </w:r>
          </w:p>
        </w:tc>
        <w:tc>
          <w:tcPr>
            <w:tcW w:w="479" w:type="pct"/>
            <w:hideMark/>
          </w:tcPr>
          <w:p w14:paraId="1B6840B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0988A7D9" w14:textId="77777777" w:rsidR="0034508D" w:rsidRPr="003C4781" w:rsidRDefault="0034508D" w:rsidP="005B20D0">
            <w:pPr>
              <w:rPr>
                <w:rFonts w:eastAsia="Times New Roman" w:cstheme="minorHAnsi"/>
                <w:color w:val="000000"/>
                <w:sz w:val="16"/>
                <w:szCs w:val="16"/>
              </w:rPr>
            </w:pPr>
            <w:r w:rsidRPr="003C4781">
              <w:rPr>
                <w:rFonts w:eastAsia="Times New Roman" w:cstheme="minorHAnsi"/>
                <w:color w:val="000000"/>
                <w:sz w:val="16"/>
                <w:szCs w:val="16"/>
              </w:rPr>
              <w:t>Hold-out validation, leave-one</w:t>
            </w:r>
            <w:r w:rsidR="005B20D0">
              <w:rPr>
                <w:rFonts w:eastAsia="Times New Roman" w:cstheme="minorHAnsi"/>
                <w:color w:val="000000"/>
                <w:sz w:val="16"/>
                <w:szCs w:val="16"/>
              </w:rPr>
              <w:t>-</w:t>
            </w:r>
            <w:r w:rsidRPr="003C4781">
              <w:rPr>
                <w:rFonts w:eastAsia="Times New Roman" w:cstheme="minorHAnsi"/>
                <w:color w:val="000000"/>
                <w:sz w:val="16"/>
                <w:szCs w:val="16"/>
              </w:rPr>
              <w:t>out cross-validation</w:t>
            </w:r>
          </w:p>
        </w:tc>
        <w:tc>
          <w:tcPr>
            <w:tcW w:w="514" w:type="pct"/>
            <w:hideMark/>
          </w:tcPr>
          <w:p w14:paraId="5A9BD5B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 parameter in support vector machine (SVM</w:t>
            </w:r>
            <w:r w:rsidR="00040985" w:rsidRPr="003C4781">
              <w:rPr>
                <w:rFonts w:eastAsia="Times New Roman" w:cstheme="minorHAnsi"/>
                <w:color w:val="000000"/>
                <w:sz w:val="16"/>
                <w:szCs w:val="16"/>
              </w:rPr>
              <w:t>)</w:t>
            </w:r>
          </w:p>
        </w:tc>
        <w:tc>
          <w:tcPr>
            <w:tcW w:w="477" w:type="pct"/>
            <w:hideMark/>
          </w:tcPr>
          <w:p w14:paraId="2763D6C8" w14:textId="77777777" w:rsidR="0034508D" w:rsidRPr="003C4781" w:rsidRDefault="0034508D" w:rsidP="00300FEF">
            <w:pPr>
              <w:rPr>
                <w:rFonts w:eastAsia="Times New Roman" w:cstheme="minorHAnsi"/>
                <w:color w:val="000000"/>
                <w:sz w:val="16"/>
                <w:szCs w:val="16"/>
              </w:rPr>
            </w:pPr>
          </w:p>
        </w:tc>
        <w:tc>
          <w:tcPr>
            <w:tcW w:w="480" w:type="pct"/>
            <w:hideMark/>
          </w:tcPr>
          <w:p w14:paraId="3C337AB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Mean value</w:t>
            </w:r>
          </w:p>
        </w:tc>
        <w:tc>
          <w:tcPr>
            <w:tcW w:w="437" w:type="pct"/>
            <w:hideMark/>
          </w:tcPr>
          <w:p w14:paraId="1DF6AF7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1BB5656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4D6365DA" w14:textId="77777777" w:rsidTr="006D63A2">
        <w:trPr>
          <w:trHeight w:val="440"/>
        </w:trPr>
        <w:tc>
          <w:tcPr>
            <w:tcW w:w="652" w:type="pct"/>
            <w:hideMark/>
          </w:tcPr>
          <w:p w14:paraId="341B8F01" w14:textId="446CC180" w:rsidR="0034508D" w:rsidRPr="003C4781" w:rsidRDefault="00453166"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{"citationItems":[{"id":"ITEM-1","itemData":{"DOI":"10.1038/s41598-018-23685-9","ISBN":"2045-2322","ISSN":"20452322","PMID":"29615675","abstract":"Electroconvulsive therapy (ECT) is one of the most effective treatments for major depression disorder (MDD). ECT can induce neurogenesis and synaptogenesis in hippocampus, which contains distinct subfields, e.g., the cornu ammonis (CA) subfields, a granule cell layer (GCL), a molecular layer (ML), and the subiculum. It is unclear which subfields are affected by ECT and whether we predict the future treatment response to ECT by using volumetric information of hippocampal subfields at baseline? In this study, 24 patients with severe MDD received the ECT and their structural brain images were acquired with magnetic resonance imaging before and after ECT. A state-of-the-art hippocampal segmentation algorithm from Freesurfer 6.0 was used. We found that ECT induced volume increases in CA subfields, GCL, ML and subiculum. We applied a machine learning algorithm to the hippocampal subfield volumes at baseline and were able to predict the change in depressive symptoms (r = 0.81; within remitters, r = 0.93). Receiver operating characteristic analysis also showed robust prediction of remission with an area under the curve of 0.90. Our findings provide evidence for particular hippocampal subfields having specific roles in the response to ECT. We also provide an analytic approach for generating predictions about clinical outcomes for ECT in MDD.","author":[{"dropping-particle":"","family":"Cao","given":"Bo","non-dropping-particle":"","parse-names":false,"suffix":""},{"dropping-particle":"","family":"Luo","given":"Qinghua","non-dropping-particle":"","parse-names":false,"suffix":""},{"dropping-particle":"","family":"Fu","given":"Yixiao","non-dropping-particle":"","parse-names":false,"suffix":""},{"dropping-particle":"","family":"Du","given":"Lian","non-dropping-particle":"","parse-names":false,"suffix":""},{"dropping-particle":"","family":"Qiu","given":"Tian","non-dropping-particle":"","parse-names":false,"suffix":""},{"dropping-particle":"","family":"Yang","given":"Xiangying","non-dropping-particle":"","parse-names":false,"suffix":""},{"dropping-particle":"","family":"Chen","given":"Xiaolu","non-dropping-particle":"","parse-names":false,"suffix":""},{"dropping-particle":"","family":"Chen","given":"Qibin","non-dropping-particle":"","parse-names":false,"suffix":""},{"dropping-particle":"","family":"Soares","given":"Jair C.","non-dropping-particle":"","parse-names":false,"suffix":""},{"dropping-particle":"","family":"Cho","given":"Raymond Y.","non-dropping-particle":"","parse-names":false,"suffix":""},{"dropping-particle":"","family":"Zhang","given":"Xiang Yang","non-dropping-particle":"","parse-names":false,"suffix":""},{"dropping-particle":"","family":"Qiu","given":"Haitang","non-dropping-particle":"","parse-names":false,"suffix":""}],"container-title":"Scientific Reports","edition":"2018/04/05","id":"ITEM-1","issue":"1","issued":{"date-parts":[["2018"]]},"language":"eng","note":"2045-2322\nCao, Bo\nLuo, Qinghua\nFu, Yixiao\nDu, Lian\nQiu, Tian\nYang, Xiangying\nChen, Xiaolu\nChen, Qibin\nSoares, Jair C\nCho, Raymond Y\nZhang, Xiang Yang\nQiu, Haitang\nJournal Article\nResearch Support, N.I.H., Extramural\nResearch Support, Non-U.S. Gov't\nEngland\nSci Rep. 2018 Apr 3;8(1):5434. doi: 10.1038/s41598-018-23685-9.","page":"5434","title":"Predicting individual responses to the electroconvulsive therapy with hippocampal subfield volumes in major depression disorder","type":"article-journal","volume":"8"},"uris":["http://www.mendeley.com/documents/?uuid=2e597000-4188-4d3f-840b-831708785e09"]}],"mendeley":{"formattedCitation":"(Cao et al., 2018)","plainTextFormattedCitation":"(Cao et al., 2018)","previouslyFormattedCitation":"(Cao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(Cao et al., 2018)</w:t>
            </w:r>
            <w:r>
              <w:rPr>
                <w:rFonts w:eastAsia="Times New Roman" w:cstheme="minorHAnsi"/>
                <w:color w:val="000000"/>
                <w:sz w:val="16"/>
                <w:szCs w:val="16"/>
              </w:rPr>
              <w:fldChar w:fldCharType="end"/>
            </w:r>
            <w:r w:rsidR="00A65436">
              <w:rPr>
                <w:rFonts w:eastAsia="Times New Roman" w:cstheme="minorHAnsi"/>
                <w:color w:val="000000"/>
                <w:sz w:val="16"/>
                <w:szCs w:val="16"/>
              </w:rPr>
              <w:t xml:space="preserve"> </w:t>
            </w:r>
          </w:p>
        </w:tc>
        <w:tc>
          <w:tcPr>
            <w:tcW w:w="607" w:type="pct"/>
            <w:hideMark/>
          </w:tcPr>
          <w:p w14:paraId="2049F0C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Demographical, clinical</w:t>
            </w:r>
          </w:p>
        </w:tc>
        <w:tc>
          <w:tcPr>
            <w:tcW w:w="345" w:type="pct"/>
            <w:hideMark/>
          </w:tcPr>
          <w:p w14:paraId="4FA7E7B3"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16</w:t>
            </w:r>
          </w:p>
        </w:tc>
        <w:tc>
          <w:tcPr>
            <w:tcW w:w="479" w:type="pct"/>
            <w:hideMark/>
          </w:tcPr>
          <w:p w14:paraId="7770A83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Linear kernel support vector regression (SVR) </w:t>
            </w:r>
          </w:p>
        </w:tc>
        <w:tc>
          <w:tcPr>
            <w:tcW w:w="460" w:type="pct"/>
            <w:hideMark/>
          </w:tcPr>
          <w:p w14:paraId="37F19521" w14:textId="77777777" w:rsidR="0034508D" w:rsidRPr="003C4781" w:rsidRDefault="0034508D" w:rsidP="00300FEF">
            <w:pPr>
              <w:rPr>
                <w:rFonts w:eastAsia="Times New Roman" w:cstheme="minorHAnsi"/>
                <w:color w:val="000000"/>
                <w:sz w:val="16"/>
                <w:szCs w:val="16"/>
              </w:rPr>
            </w:pPr>
          </w:p>
        </w:tc>
        <w:tc>
          <w:tcPr>
            <w:tcW w:w="514" w:type="pct"/>
            <w:hideMark/>
          </w:tcPr>
          <w:p w14:paraId="49F2DC58" w14:textId="77777777" w:rsidR="0034508D" w:rsidRPr="003C4781" w:rsidRDefault="0034508D" w:rsidP="00300FEF">
            <w:pPr>
              <w:rPr>
                <w:rFonts w:eastAsia="Times New Roman" w:cstheme="minorHAnsi"/>
                <w:sz w:val="16"/>
                <w:szCs w:val="16"/>
              </w:rPr>
            </w:pPr>
          </w:p>
        </w:tc>
        <w:tc>
          <w:tcPr>
            <w:tcW w:w="477" w:type="pct"/>
            <w:hideMark/>
          </w:tcPr>
          <w:p w14:paraId="04FBEF25" w14:textId="77777777" w:rsidR="0034508D" w:rsidRPr="003C4781" w:rsidRDefault="0034508D" w:rsidP="00300FEF">
            <w:pPr>
              <w:rPr>
                <w:rFonts w:eastAsia="Times New Roman" w:cstheme="minorHAnsi"/>
                <w:sz w:val="16"/>
                <w:szCs w:val="16"/>
              </w:rPr>
            </w:pPr>
          </w:p>
        </w:tc>
        <w:tc>
          <w:tcPr>
            <w:tcW w:w="480" w:type="pct"/>
            <w:hideMark/>
          </w:tcPr>
          <w:p w14:paraId="5012036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5E188F2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6F37DE9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553C60BA" w14:textId="77777777" w:rsidTr="006D63A2">
        <w:trPr>
          <w:trHeight w:val="188"/>
        </w:trPr>
        <w:tc>
          <w:tcPr>
            <w:tcW w:w="652" w:type="pct"/>
            <w:hideMark/>
          </w:tcPr>
          <w:p w14:paraId="7947471D" w14:textId="45346B13" w:rsidR="0034508D" w:rsidRPr="003C4781" w:rsidRDefault="0049629B"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{"citationItems":[{"id":"ITEM-1","itemData":{"DOI":"10.1016/j.jad.2018.01.006","ISBN":"0165-0327","ISSN":"15732517","PMID":"29407543","abstract":"Background: Natural speech analytics has seen some improvements over recent years, and this has opened a window for objective and quantitative diagnosis in psychiatry. Here, we used a machine learning algorithm applied to natural speech to ask whether language properties measured before psilocybin for treatment-resistant can predict for which patients it will be effective and for which it will not. Methods: A baseline autobiographical memory interview was conducted and transcribed. Patients with treatment-resistant depression received 2 doses of psilocybin, 10 mg and 25 mg, 7 days apart. Psychological support was provided before, during and after all dosing sessions. Quantitative speech measures were applied to the interview data from 17 patients and 18 untreated age-matched healthy control subjects. A machine learning algorithm was used to classify between controls and patients and predict treatment response. Results: Speech analytics and machine learning successfully differentiated depressed patients from healthy controls and identified treatment responders from non-responders with a significant level of 85% of accuracy (75% precision). Conclusions: Automatic natural language analysis was used to predict effective response to treatment with psilocybin, suggesting that these tools offer a highly cost-effective facility for screening individuals for treatment suitability and sensitivity. Limitations: The sample size was small and replication is required to strengthen inferences on these results.","author":[{"dropping-particle":"","family":"Carrillo","given":"Facundo","non-dropping-particle":"","parse-names":false,"suffix":""},{"dropping-particle":"","family":"Sigman","given":"Mariano","non-dropping-particle":"","parse-names":false,"suffix":""},{"dropping-particle":"","family":"Fernández Slezak","given":"Diego","non-dropping-particle":"","parse-names":false,"suffix":""},{"dropping-particle":"","family":"Ashton","given":"Philip","non-dropping-particle":"","parse-names":false,"suffix":""},{"dropping-particle":"","family":"Fitzgerald","given":"Lily","non-dropping-particle":"","parse-names":false,"suffix":""},{"dropping-particle":"","family":"Stroud","given":"Jack","non-dropping-particle":"","parse-names":false,"suffix":""},{"dropping-particle":"","family":"Nutt","given":"David J.","non-dropping-particle":"","parse-names":false,"suffix":""},{"dropping-particle":"","family":"Carhart-Harris","given":"Robin L.","non-dropping-particle":"","parse-names":false,"suffix":""}],"container-title":"Journal of Affective Disorders","edition":"2018/02/07","id":"ITEM-1","issued":{"date-parts":[["2018"]]},"language":"eng","note":"1573-2517\nCarrillo, Facundo\nSigman, Mariano\nFernandez Slezak, Diego\nAshton, Philip\nFitzgerald, Lily\nStroud, Jack\nNutt, David J\nCarhart-Harris, Robin L\nMR/J00460X/1/Medical Research Council/United Kingdom\nClinical Trial\nJournal Article\nResearch Support, Non-U.S. Gov't\nNetherlands\nJ Affect Disord. 2018 Apr 1;230:84-86. doi: 10.1016/j.jad.2018.01.006.","page":"84-86","title":"Natural speech algorithm applied to baseline interview data can predict which patients will respond to psilocybin for treatment-resistant depression","type":"article-journal","volume":"230"},"uris":["http://www.mendeley.com/documents/?uuid=442839c6-4519-453a-adfb-d19f07abbf3e"]}],"mendeley":{"formattedCitation":"(Carrillo et al., 2018)","plainTextFormattedCitation":"(Carrillo et al., 2018)","previouslyFormattedCitation":"(Carrillo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(Carrillo et al., 2018)</w:t>
            </w:r>
            <w:r>
              <w:rPr>
                <w:rFonts w:eastAsia="Times New Roman" w:cstheme="minorHAnsi"/>
                <w:color w:val="000000"/>
                <w:sz w:val="16"/>
                <w:szCs w:val="16"/>
              </w:rPr>
              <w:fldChar w:fldCharType="end"/>
            </w:r>
            <w:r w:rsidR="00A65436">
              <w:rPr>
                <w:rFonts w:eastAsia="Times New Roman" w:cstheme="minorHAnsi"/>
                <w:color w:val="000000"/>
                <w:sz w:val="16"/>
                <w:szCs w:val="16"/>
              </w:rPr>
              <w:t xml:space="preserve"> </w:t>
            </w:r>
          </w:p>
        </w:tc>
        <w:tc>
          <w:tcPr>
            <w:tcW w:w="607" w:type="pct"/>
            <w:hideMark/>
          </w:tcPr>
          <w:p w14:paraId="3E802B75" w14:textId="77777777" w:rsidR="0034508D" w:rsidRPr="003C4781" w:rsidRDefault="001758E6" w:rsidP="00300FEF">
            <w:pPr>
              <w:rPr>
                <w:rFonts w:eastAsia="Times New Roman" w:cstheme="minorHAnsi"/>
                <w:color w:val="000000"/>
                <w:sz w:val="16"/>
                <w:szCs w:val="16"/>
              </w:rPr>
            </w:pPr>
            <w:r>
              <w:rPr>
                <w:rFonts w:eastAsia="Times New Roman" w:cstheme="minorHAnsi"/>
                <w:color w:val="000000"/>
                <w:sz w:val="16"/>
                <w:szCs w:val="16"/>
              </w:rPr>
              <w:t>Cognitive</w:t>
            </w:r>
          </w:p>
        </w:tc>
        <w:tc>
          <w:tcPr>
            <w:tcW w:w="345" w:type="pct"/>
            <w:hideMark/>
          </w:tcPr>
          <w:p w14:paraId="560FEE29" w14:textId="77777777" w:rsidR="0034508D" w:rsidRPr="003C4781" w:rsidRDefault="00157F0A" w:rsidP="00EF33E2">
            <w:pPr>
              <w:rPr>
                <w:rFonts w:eastAsia="Times New Roman" w:cstheme="minorHAnsi"/>
                <w:color w:val="000000"/>
                <w:sz w:val="16"/>
                <w:szCs w:val="16"/>
              </w:rPr>
            </w:pPr>
            <w:r w:rsidRPr="003C4781">
              <w:rPr>
                <w:rFonts w:cstheme="minorHAnsi"/>
                <w:sz w:val="16"/>
                <w:szCs w:val="16"/>
              </w:rPr>
              <w:t>1</w:t>
            </w:r>
          </w:p>
        </w:tc>
        <w:tc>
          <w:tcPr>
            <w:tcW w:w="479" w:type="pct"/>
            <w:hideMark/>
          </w:tcPr>
          <w:p w14:paraId="3C307FC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Gaussian Naive Bayes classifier</w:t>
            </w:r>
          </w:p>
        </w:tc>
        <w:tc>
          <w:tcPr>
            <w:tcW w:w="460" w:type="pct"/>
            <w:hideMark/>
          </w:tcPr>
          <w:p w14:paraId="2BA1AEF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7-fold cross-validation</w:t>
            </w:r>
          </w:p>
        </w:tc>
        <w:tc>
          <w:tcPr>
            <w:tcW w:w="514" w:type="pct"/>
            <w:hideMark/>
          </w:tcPr>
          <w:p w14:paraId="74C1CE68" w14:textId="77777777" w:rsidR="0034508D" w:rsidRPr="003C4781" w:rsidRDefault="0034508D" w:rsidP="00300FEF">
            <w:pPr>
              <w:rPr>
                <w:rFonts w:eastAsia="Times New Roman" w:cstheme="minorHAnsi"/>
                <w:color w:val="000000"/>
                <w:sz w:val="16"/>
                <w:szCs w:val="16"/>
              </w:rPr>
            </w:pPr>
          </w:p>
        </w:tc>
        <w:tc>
          <w:tcPr>
            <w:tcW w:w="477" w:type="pct"/>
            <w:hideMark/>
          </w:tcPr>
          <w:p w14:paraId="4A187114" w14:textId="77777777" w:rsidR="0034508D" w:rsidRPr="003C4781" w:rsidRDefault="0034508D" w:rsidP="00300FEF">
            <w:pPr>
              <w:rPr>
                <w:rFonts w:eastAsia="Times New Roman" w:cstheme="minorHAnsi"/>
                <w:sz w:val="16"/>
                <w:szCs w:val="16"/>
              </w:rPr>
            </w:pPr>
          </w:p>
        </w:tc>
        <w:tc>
          <w:tcPr>
            <w:tcW w:w="480" w:type="pct"/>
            <w:hideMark/>
          </w:tcPr>
          <w:p w14:paraId="26B6EB8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5275622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Response </w:t>
            </w:r>
          </w:p>
        </w:tc>
        <w:tc>
          <w:tcPr>
            <w:tcW w:w="547" w:type="pct"/>
            <w:hideMark/>
          </w:tcPr>
          <w:p w14:paraId="7C43EF33" w14:textId="77777777" w:rsidR="0034508D" w:rsidRPr="003C4781" w:rsidRDefault="00131679" w:rsidP="00300FEF">
            <w:pPr>
              <w:rPr>
                <w:rFonts w:eastAsia="Times New Roman" w:cstheme="minorHAnsi"/>
                <w:color w:val="000000"/>
                <w:sz w:val="16"/>
                <w:szCs w:val="16"/>
              </w:rPr>
            </w:pPr>
            <w:r w:rsidRPr="003C4781">
              <w:rPr>
                <w:rFonts w:eastAsia="Times New Roman" w:cstheme="minorHAnsi"/>
                <w:color w:val="000000"/>
                <w:sz w:val="16"/>
                <w:szCs w:val="16"/>
              </w:rPr>
              <w:t>Psilocybin</w:t>
            </w:r>
          </w:p>
        </w:tc>
      </w:tr>
      <w:tr w:rsidR="00705248" w:rsidRPr="003C4781" w14:paraId="335650E2" w14:textId="77777777" w:rsidTr="006D63A2">
        <w:trPr>
          <w:trHeight w:val="422"/>
        </w:trPr>
        <w:tc>
          <w:tcPr>
            <w:tcW w:w="652" w:type="pct"/>
            <w:hideMark/>
          </w:tcPr>
          <w:p w14:paraId="08579A50" w14:textId="16B44817" w:rsidR="0034508D" w:rsidRPr="0049629B" w:rsidRDefault="0049629B"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{"citationItems":[{"id":"ITEM-1","itemData":{"DOI":"10.1002/hbm.24725","ISBN":"1097-0193 (Electronic)\r1065-9471 (Linking)","ISSN":"10970193","PMID":"31332903","abstract":"The neurobiology of major depressive disorder (MDD) remains incompletely understood, and many individuals fail to respond to standard treatments. Repetitive transcranial magnetic stimulation (rTMS) of the dorsolateral prefrontal cortex (DLPFC) has emerged as a promising antidepressant therapy. However, the heterogeneity of response underscores a pressing need for biomarkers of treatment outcome. We acquired resting state functional magnetic resonance imaging (rsfMRI) data in 47 MDD individuals prior to 5–8 weeks of rTMS treatment targeted using the F3 beam approach and in 29 healthy comparison subjects. The caudate, prefrontal cortex, and thalamus showed significantly lower blood oxygenation level-dependent (BOLD) signal power in MDD individuals at baseline. Critically, individuals who responded best to treatment were associated with lower pre-treatment BOLD power in these regions. Additionally, functional connectivity (FC) in the default mode and affective networks was associated with treatment response. We leveraged these findings to train support vector machines (SVMs) to predict individual treatment responses, based on learned patterns of baseline FC, BOLD signal power and clinical features. Treatment response (responder vs. nonresponder) was predicted with 85–95% accuracy. Reduction in symptoms was predicted to within a mean error of ±16% (r =.68, p '.001). These preliminary findings suggest that therapeutic outcome to DLPFC-rTMS could be predicted at a clinically meaningful level using only a small number of core neurobiological features of MDD, warranting prospective testing to ascertain generalizability. This provides a novel, transparent and physiologically plausible multivariate approach for classification of individual response to what has become the most commonly employed rTMS treatment worldwide. This study utilizes data from a larger clinical study (Australian New Zealand Clinical Trials Registry: Investigating Predictors of Response to Transcranial Magnetic Stimulation for the Treatment of Depression; ACTRN12610001071011; https://www.anzctr.org.au/Trial/Registration/TrialReview.aspx?id=336262).","author":[{"dropping-particle":"","family":"Cash","given":"Robin F.H.","non-dropping-particle":"","parse-names":false,"suffix":""},{"dropping-particle":"","family":"Cocchi","given":"Luca","non-dropping-particle":"","parse-names":false,"suffix":""},{"dropping-particle":"","family":"Anderson","given":"Rodney","non-dropping-particle":"","parse-names":false,"suffix":""},{"dropping-particle":"","family":"Rogachov","given":"Anton","non-dropping-particle":"","parse-names":false,"suffix":""},{"dropping-particle":"","family":"Kucyi","given":"Aaron","non-dropping-particle":"","parse-names":false,"suffix":""},{"dropping-particle":"","family":"Barnett","given":"Alexander J.","non-dropping-particle":"","parse-names":false,"suffix":""},{"dropping-particle":"","family":"Zalesky","given":"Andrew","non-dropping-particle":"","parse-names":false,"suffix":""},{"dropping-particle":"","family":"Fitzgerald","given":"Paul B.","non-dropping-particle":"","parse-names":false,"suffix":""}],"container-title":"Human Brain Mapping","edition":"2019/07/25","id":"ITEM-1","issue":"16","issued":{"date-parts":[["2019"]]},"note":"Cash, Robin F H\nCocchi, Luca\nAnderson, Rodney\nRogachov, Anton\nKucyi, Aaron\nBarnett, Alexander J\nZalesky, Andrew\nFitzgerald, Paul B\neng\nBrainsway Ltd/International\nCervel Neurotech/International\nMagVenture/International\nMedtronic Ltd/International\nCognitive Neuroscience Society/International\nSociety for Neuroscience/International\nCIHR/Canada\nAPP1138711/MRC_/Medical Research Council/United Kingdom\nAPP1099082/MRC_/Medical Research Council/United Kingdom\n1099082/National Health and Medical Research Council/International\n1136649/National Health and Medical Research Council/International\n1138711/National Health and Medical Research Council/International\nResearch Support, Non-U.S. Gov't\nHum Brain Mapp. 2019 Nov 1;40(16):4618-4629. doi: 10.1002/hbm.24725. Epub 2019 Jul 22.","page":"4618-4629","title":"A multivariate neuroimaging biomarker of individual outcome to transcranial magnetic stimulation in depression","type":"article-journal","volume":"40"},"uris":["http://www.mendeley.com/documents/?uuid=b9972a22-7de1-4a33-b872-d61038019e1e"]}],"mendeley":{"formattedCitation":"(Cash et al., 2019)","plainTextFormattedCitation":"(Cash et al., 2019)","previouslyFormattedCitation":"(Cash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(Cash et al., 2019)</w:t>
            </w:r>
            <w:r>
              <w:rPr>
                <w:rFonts w:eastAsia="Times New Roman" w:cstheme="minorHAnsi"/>
                <w:color w:val="000000"/>
                <w:sz w:val="16"/>
                <w:szCs w:val="16"/>
              </w:rPr>
              <w:fldChar w:fldCharType="end"/>
            </w:r>
          </w:p>
        </w:tc>
        <w:tc>
          <w:tcPr>
            <w:tcW w:w="607" w:type="pct"/>
            <w:hideMark/>
          </w:tcPr>
          <w:p w14:paraId="23C7A14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 clinical</w:t>
            </w:r>
          </w:p>
        </w:tc>
        <w:tc>
          <w:tcPr>
            <w:tcW w:w="345" w:type="pct"/>
            <w:hideMark/>
          </w:tcPr>
          <w:p w14:paraId="3C827C01"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4</w:t>
            </w:r>
          </w:p>
        </w:tc>
        <w:tc>
          <w:tcPr>
            <w:tcW w:w="479" w:type="pct"/>
            <w:hideMark/>
          </w:tcPr>
          <w:p w14:paraId="74DC051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37BBE4D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Leave-one-out cross-validation, 12-fold cross-validations</w:t>
            </w:r>
          </w:p>
        </w:tc>
        <w:tc>
          <w:tcPr>
            <w:tcW w:w="514" w:type="pct"/>
            <w:hideMark/>
          </w:tcPr>
          <w:p w14:paraId="3E473A2A" w14:textId="77777777" w:rsidR="0034508D" w:rsidRPr="003C4781" w:rsidRDefault="0034508D" w:rsidP="00300FEF">
            <w:pPr>
              <w:rPr>
                <w:rFonts w:eastAsia="Times New Roman" w:cstheme="minorHAnsi"/>
                <w:color w:val="000000"/>
                <w:sz w:val="16"/>
                <w:szCs w:val="16"/>
              </w:rPr>
            </w:pPr>
          </w:p>
        </w:tc>
        <w:tc>
          <w:tcPr>
            <w:tcW w:w="477" w:type="pct"/>
            <w:hideMark/>
          </w:tcPr>
          <w:p w14:paraId="4D8F353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Shapiro–Wilk test, Pearson's or Spearman's analysis</w:t>
            </w:r>
          </w:p>
        </w:tc>
        <w:tc>
          <w:tcPr>
            <w:tcW w:w="480" w:type="pct"/>
            <w:hideMark/>
          </w:tcPr>
          <w:p w14:paraId="09F9AEFE" w14:textId="77777777" w:rsidR="0034508D" w:rsidRPr="003C4781" w:rsidRDefault="0034508D" w:rsidP="00300FEF">
            <w:pPr>
              <w:rPr>
                <w:rFonts w:eastAsia="Times New Roman" w:cstheme="minorHAnsi"/>
                <w:color w:val="000000"/>
                <w:sz w:val="16"/>
                <w:szCs w:val="16"/>
              </w:rPr>
            </w:pPr>
          </w:p>
        </w:tc>
        <w:tc>
          <w:tcPr>
            <w:tcW w:w="437" w:type="pct"/>
            <w:hideMark/>
          </w:tcPr>
          <w:p w14:paraId="4ABAED3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002C020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01933D2D" w14:textId="77777777" w:rsidTr="006D63A2">
        <w:trPr>
          <w:trHeight w:val="422"/>
        </w:trPr>
        <w:tc>
          <w:tcPr>
            <w:tcW w:w="652" w:type="pct"/>
            <w:hideMark/>
          </w:tcPr>
          <w:p w14:paraId="1169CA7E" w14:textId="57464FF9" w:rsidR="0034508D" w:rsidRPr="00896F9E" w:rsidRDefault="00896F9E" w:rsidP="00A65436">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{"citationItems":[{"id":"ITEM-1","itemData":{"DOI":"10.1002/da.22705","ISBN":"1091-4269","ISSN":"15206394","PMID":"29244906","abstract":"Background: Depression that does not respond to antidepressants is treatment-resistant depression (TRD). TRD definitions include assessments of treatment response, dose and duration, and implementing these definitions in claims databases can be challenging. We built a data-driven TRD definition and evaluated its performance. Methods: We included adults with depression, ≥1 antidepressant, and no diagnosis of mania, dementia, or psychosis. Subjects were stratified into those with and without proxy for TRD. Proxies for TRD were electroconvulsive therapy, deep brain, or vagus nerve stimulation. The index date for subjects with proxy for TRD was the procedure date, and for subjects without, the date of a randomly selected visit. We used three databases. We fit decision tree predictive models. We included number of distinct antidepressants, with and without adequate doses and duration, number of antipsychotics and psychotherapies, and expert-based definitions, 3, 6, and 12 months before index date. To assess performance, we calculated area under the curve (AUC) and transportability. Results: We analyzed 33,336 subjects with no proxy for TRD, and 3,566 with the proxy. Number of antidepressants and antipsychotics were selected in all periods. The best model was at 12 months with an AUC = 0.81. The rule transported well and states that a subject with ≥1 antipsychotic or ≥3 antidepressants in the last year has TRD. Applying this rule, 15.8% of subjects treated for depression had TRD. Conclusion: The definition that best discriminates between subjects with and without TRD considers number of distinct antidepressants (≥3) or antipsychotics (≥1) in the last year.","author":[{"dropping-particle":"","family":"Cepeda","given":"M. Soledad","non-dropping-particle":"","parse-names":false,"suffix":""},{"dropping-particle":"","family":"Reps","given":"Jenna","non-dropping-particle":"","parse-names":false,"suffix":""},{"dropping-particle":"","family":"Fife","given":"Daniel","non-dropping-particle":"","parse-names":false,"suffix":""},{"dropping-particle":"","family":"Blacketer","given":"Clair","non-dropping-particle":"","parse-names":false,"suffix":""},{"dropping-particle":"","family":"Stang","given":"Paul","non-dropping-particle":"","parse-names":false,"suffix":""},{"dropping-particle":"","family":"Ryan","given":"Patrick","non-dropping-particle":"","parse-names":false,"suffix":""}],"container-title":"Depression and Anxiety","edition":"2017/12/16","id":"ITEM-1","issue":"3","issued":{"date-parts":[["2018"]]},"language":"eng","note":"1520-6394\nCepeda, M Soledad\nOrcid: 0000-0002-5159-6217\nReps, Jenna\nFife, Daniel\nBlacketer, Clair\nStang, Paul\nRyan, Patrick\nJournal Article\nUnited States\nDepress Anxiety. 2018 Mar;35(3):220-228. doi: 10.1002/da.22705. Epub 2017 Dec 15.","page":"220-228","title":"Finding treatment-resistant depression in real-world data: How a data-driven approach compares with expert-based heuristics","type":"article-journal","volume":"35"},"uris":["http://www.mendeley.com/documents/?uuid=3e27ac6f-2aa6-4fc9-ba2c-3d0cac3c7ffa"]}],"mendeley":{"formattedCitation":"(Cepeda et al., 2018)","plainTextFormattedCitation":"(Cepeda et al., 2018)","previouslyFormattedCitation":"(Cepeda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(Cepeda et al., 2018)</w:t>
            </w:r>
            <w:r>
              <w:rPr>
                <w:rFonts w:eastAsia="Times New Roman" w:cstheme="minorHAnsi"/>
                <w:color w:val="000000"/>
                <w:sz w:val="16"/>
                <w:szCs w:val="16"/>
              </w:rPr>
              <w:fldChar w:fldCharType="end"/>
            </w:r>
          </w:p>
        </w:tc>
        <w:tc>
          <w:tcPr>
            <w:tcW w:w="607" w:type="pct"/>
            <w:hideMark/>
          </w:tcPr>
          <w:p w14:paraId="228A043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Treatment history, administrative</w:t>
            </w:r>
          </w:p>
        </w:tc>
        <w:tc>
          <w:tcPr>
            <w:tcW w:w="345" w:type="pct"/>
            <w:hideMark/>
          </w:tcPr>
          <w:p w14:paraId="23D06D8D"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10</w:t>
            </w:r>
          </w:p>
        </w:tc>
        <w:tc>
          <w:tcPr>
            <w:tcW w:w="479" w:type="pct"/>
            <w:hideMark/>
          </w:tcPr>
          <w:p w14:paraId="0E077D3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Decision tree </w:t>
            </w:r>
          </w:p>
        </w:tc>
        <w:tc>
          <w:tcPr>
            <w:tcW w:w="460" w:type="pct"/>
            <w:hideMark/>
          </w:tcPr>
          <w:p w14:paraId="505B42E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External validation, cross-validation</w:t>
            </w:r>
          </w:p>
        </w:tc>
        <w:tc>
          <w:tcPr>
            <w:tcW w:w="514" w:type="pct"/>
            <w:hideMark/>
          </w:tcPr>
          <w:p w14:paraId="582374C8" w14:textId="77777777" w:rsidR="0034508D" w:rsidRPr="003C4781" w:rsidRDefault="0034508D" w:rsidP="00300FEF">
            <w:pPr>
              <w:rPr>
                <w:rFonts w:eastAsia="Times New Roman" w:cstheme="minorHAnsi"/>
                <w:color w:val="000000"/>
                <w:sz w:val="16"/>
                <w:szCs w:val="16"/>
              </w:rPr>
            </w:pPr>
          </w:p>
        </w:tc>
        <w:tc>
          <w:tcPr>
            <w:tcW w:w="477" w:type="pct"/>
            <w:hideMark/>
          </w:tcPr>
          <w:p w14:paraId="63441211" w14:textId="77777777" w:rsidR="0034508D" w:rsidRPr="003C4781" w:rsidRDefault="0034508D" w:rsidP="00300FEF">
            <w:pPr>
              <w:rPr>
                <w:rFonts w:eastAsia="Times New Roman" w:cstheme="minorHAnsi"/>
                <w:sz w:val="16"/>
                <w:szCs w:val="16"/>
              </w:rPr>
            </w:pPr>
          </w:p>
        </w:tc>
        <w:tc>
          <w:tcPr>
            <w:tcW w:w="480" w:type="pct"/>
            <w:hideMark/>
          </w:tcPr>
          <w:p w14:paraId="4576083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5C26115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Resistance</w:t>
            </w:r>
          </w:p>
        </w:tc>
        <w:tc>
          <w:tcPr>
            <w:tcW w:w="547" w:type="pct"/>
            <w:hideMark/>
          </w:tcPr>
          <w:p w14:paraId="3B748EB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00794703" w14:textId="77777777" w:rsidTr="006D63A2">
        <w:trPr>
          <w:trHeight w:val="440"/>
        </w:trPr>
        <w:tc>
          <w:tcPr>
            <w:tcW w:w="652" w:type="pct"/>
            <w:hideMark/>
          </w:tcPr>
          <w:p w14:paraId="089E9A27" w14:textId="66F7D99E" w:rsidR="0034508D" w:rsidRPr="001441A6" w:rsidRDefault="001441A6"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{"citationItems":[{"id":"ITEM-1","itemData":{"DOI":"10.1016/S2215-0366(15)00471-X","ISBN":"2215-0366","ISSN":"22150374","PMID":"26803397","abstract":"Background: Antidepressant treatment efficacy is low, but might be improved by matching patients to interventions. At present, clinicians have no empirically validated mechanisms to assess whether a patient with depression will respond to a specific antidepressant. We aimed to develop an algorithm to assess whether patients will achieve symptomatic remission from a 12-week course of citalopram. Methods: We used patient-reported data from patients with depression (n=4041, with 1949 completers) from level 1 of the Sequenced Treatment Alternatives to Relieve Depression (STAR*D; ClinicalTrials.gov, number NCT00021528) to identify variables that were most predictive of treatment outcome, and used these variables to train a machine-learning model to predict clinical remission. We externally validated the model in the escitalopram treatment group (n=151) of an independent clinical trial (Combining Medications to Enhance Depression Outcomes [COMED]; ClinicalTrials.gov, number NCT00590863). Findings: We identified 25 variables that were most predictive of treatment outcome from 164 patient-reportable variables, and used these to train the model. The model was internally cross-validated, and predicted outcomes in the STAR*D cohort with accuracy significantly above chance (64·6% [SD 3·2]; p&lt;0·0001). The model was externally validated in the escitalopram treatment group (N=151) of COMED (accuracy 59·6%, p=0.043). The model also performed significantly above chance in a combined escitalopram-buproprion treatment group in COMED (n=134; accuracy 59·7%, p=0·023), but not in a combined venlafaxine-mirtazapine group (n=140; accuracy 51·4%, p=0·53), suggesting specificity of the model to underlying mechanisms. Interpretation: Building statistical models by mining existing clinical trial data can enable prospective identification of patients who are likely to respond to a specific antidepressant.","author":[{"dropping-particle":"","family":"Chekroud","given":"Adam Mourad","non-dropping-particle":"","parse-names":false,"suffix":""},{"dropping-particle":"","family":"Zotti","given":"Ryan Joseph","non-dropping-particle":"","parse-names":false,"suffix":""},{"dropping-particle":"","family":"Shehzad","given":"Zarrar","non-dropping-particle":"","parse-names":false,"suffix":""},{"dropping-particle":"","family":"Gueorguieva","given":"Ralitza","non-dropping-particle":"","parse-names":false,"suffix":""},{"dropping-particle":"","family":"Johnson","given":"Marcia K.","non-dropping-particle":"","parse-names":false,"suffix":""},{"dropping-particle":"","family":"Trivedi","given":"Madhukar H.","non-dropping-particle":"","parse-names":false,"suffix":""},{"dropping-particle":"","family":"Cannon","given":"Tyrone D.","non-dropping-particle":"","parse-names":false,"suffix":""},{"dropping-particle":"","family":"Krystal","given":"John Harrison","non-dropping-particle":"","parse-names":false,"suffix":""},{"dropping-particle":"","family":"Corlett","given":"Philip Robert","non-dropping-particle":"","parse-names":false,"suffix":""}],"container-title":"The Lancet Psychiatry","edition":"2016/01/25","id":"ITEM-1","issue":"3","issued":{"date-parts":[["2016"]]},"language":"eng","note":"2215-0374\nChekroud, Adam Mourad\nZotti, Ryan Joseph\nShehzad, Zarrar\nGueorguieva, Ralitza\nJohnson, Marcia K\nTrivedi, Madhukar H\nCannon, Tyrone D\nKrystal, John Harrison\nCorlett, Philip Robert\nJournal Article\nMulticenter Study\nRandomized Controlled Trial\nResearch Support, Non-U.S. Gov't\nEngland\nLancet Psychiatry. 2016 Mar;3(3):243-50. doi: 10.1016/S2215-0366(15)00471-X. Epub 2016 Jan 21.","page":"243-250","title":"Cross-trial prediction of treatment outcome in depression: A machine learning approach","type":"article-journal","volume":"3"},"uris":["http://www.mendeley.com/documents/?uuid=75cd733e-9920-492c-969d-760c4454ff4f"]}],"mendeley":{"formattedCitation":"(Chekroud et al., 2016)","plainTextFormattedCitation":"(Chekroud et al., 2016)","previouslyFormattedCitation":"(Chekroud et al., 2016)"},"properties":{"noteIndex":0},"schema":"https://github.com/citation-style-language/schema/raw/master/csl-citation.json"}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(Chekroud et al., 2016)</w:t>
            </w:r>
            <w:r>
              <w:rPr>
                <w:rFonts w:eastAsia="Times New Roman" w:cstheme="minorHAnsi"/>
                <w:color w:val="000000"/>
                <w:sz w:val="16"/>
                <w:szCs w:val="16"/>
              </w:rPr>
              <w:fldChar w:fldCharType="end"/>
            </w:r>
          </w:p>
        </w:tc>
        <w:tc>
          <w:tcPr>
            <w:tcW w:w="607" w:type="pct"/>
            <w:hideMark/>
          </w:tcPr>
          <w:p w14:paraId="478C837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w:t>
            </w:r>
          </w:p>
        </w:tc>
        <w:tc>
          <w:tcPr>
            <w:tcW w:w="345" w:type="pct"/>
            <w:hideMark/>
          </w:tcPr>
          <w:p w14:paraId="749D3606"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25</w:t>
            </w:r>
          </w:p>
        </w:tc>
        <w:tc>
          <w:tcPr>
            <w:tcW w:w="479" w:type="pct"/>
            <w:hideMark/>
          </w:tcPr>
          <w:p w14:paraId="4E2E840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Gradient boosting machine</w:t>
            </w:r>
          </w:p>
        </w:tc>
        <w:tc>
          <w:tcPr>
            <w:tcW w:w="460" w:type="pct"/>
            <w:hideMark/>
          </w:tcPr>
          <w:p w14:paraId="698B161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cross-validation, external validation</w:t>
            </w:r>
          </w:p>
        </w:tc>
        <w:tc>
          <w:tcPr>
            <w:tcW w:w="514" w:type="pct"/>
            <w:hideMark/>
          </w:tcPr>
          <w:p w14:paraId="17DA861C" w14:textId="77777777" w:rsidR="0034508D" w:rsidRPr="003C4781" w:rsidRDefault="00040985" w:rsidP="00300FEF">
            <w:pPr>
              <w:rPr>
                <w:rFonts w:eastAsia="Times New Roman" w:cstheme="minorHAnsi"/>
                <w:color w:val="000000"/>
                <w:sz w:val="16"/>
                <w:szCs w:val="16"/>
              </w:rPr>
            </w:pPr>
            <w:r w:rsidRPr="003C4781">
              <w:rPr>
                <w:rFonts w:eastAsia="Times New Roman" w:cstheme="minorHAnsi"/>
                <w:color w:val="000000"/>
                <w:sz w:val="16"/>
                <w:szCs w:val="16"/>
              </w:rPr>
              <w:t xml:space="preserve">Elastic </w:t>
            </w:r>
            <w:r w:rsidR="0034508D" w:rsidRPr="003C4781">
              <w:rPr>
                <w:rFonts w:eastAsia="Times New Roman" w:cstheme="minorHAnsi"/>
                <w:color w:val="000000"/>
                <w:sz w:val="16"/>
                <w:szCs w:val="16"/>
              </w:rPr>
              <w:t>net model</w:t>
            </w:r>
          </w:p>
        </w:tc>
        <w:tc>
          <w:tcPr>
            <w:tcW w:w="477" w:type="pct"/>
            <w:hideMark/>
          </w:tcPr>
          <w:p w14:paraId="3557A448" w14:textId="77777777" w:rsidR="0034508D" w:rsidRPr="003C4781" w:rsidRDefault="0034508D" w:rsidP="00300FEF">
            <w:pPr>
              <w:rPr>
                <w:rFonts w:eastAsia="Times New Roman" w:cstheme="minorHAnsi"/>
                <w:color w:val="000000"/>
                <w:sz w:val="16"/>
                <w:szCs w:val="16"/>
              </w:rPr>
            </w:pPr>
          </w:p>
        </w:tc>
        <w:tc>
          <w:tcPr>
            <w:tcW w:w="480" w:type="pct"/>
            <w:hideMark/>
          </w:tcPr>
          <w:p w14:paraId="7E463C4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Including only patients without missing observations</w:t>
            </w:r>
          </w:p>
        </w:tc>
        <w:tc>
          <w:tcPr>
            <w:tcW w:w="437" w:type="pct"/>
            <w:hideMark/>
          </w:tcPr>
          <w:p w14:paraId="6782DBE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223C5AE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0B3804C" w14:textId="77777777" w:rsidTr="006D63A2">
        <w:trPr>
          <w:trHeight w:val="287"/>
        </w:trPr>
        <w:tc>
          <w:tcPr>
            <w:tcW w:w="652" w:type="pct"/>
            <w:hideMark/>
          </w:tcPr>
          <w:p w14:paraId="47A5FCCE" w14:textId="72839ACC" w:rsidR="0034508D" w:rsidRPr="001441A6" w:rsidRDefault="001441A6"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{"citationItems":[{"id":"ITEM-1","itemData":{"DOI":"10.1093/cercor/bhz035","ISBN":"1460-2199 (Electronic)\r1047-3211 (Linking)","ISSN":"14602199","PMID":"30953441","abstract":"Repetitive transcranial magnetic stimulation (rTMS) treatment of major depressive disorder (MDD) is associated with changes in brain functional connectivity (FC). These changes may be related to the mechanism of action of rTMS and explain the variability in clinical outcome. We examined changes in electroencephalographic FC during the first rTMS treatment in 109 subjects treated with 10 Hz stimulation to left dorsolateral prefrontal cortex. All subjects subsequently received 30 treatments and clinical response was defined as ≥40% improvement in the inventory of depressive symptomatology-30 SR score at treatment 30. Connectivity change was assessed with coherence, envelope correlation, and a novel measure, alpha spectral correlation (αSC). Machine learning was used to develop predictive models of outcome for each connectivity measure, which were compared with prediction based upon early clinical improvement. Significant connectivity changes were associated with clinical outcome (P &lt; 0.001). Machine learning models based on αSC yielded the most accurate prediction (area under the curve, AUC = 0.83), and performance improved when combined with early clinical improvement measures (AUC = 0.91). The initial rTMS treatment session produced robust changes in FC, which were significant predictors of clinical outcome of a full course of treatment for MDD.","author":[{"dropping-particle":"","family":"Corlier","given":"Juliana","non-dropping-particle":"","parse-names":false,"suffix":""},{"dropping-particle":"","family":"Wilson","given":"Andrew","non-dropping-particle":"","parse-names":false,"suffix":""},{"dropping-particle":"","family":"Hunter","given":"Aimee M.","non-dropping-particle":"","parse-names":false,"suffix":""},{"dropping-particle":"","family":"Vince-Cruz","given":"Nikita","non-dropping-particle":"","parse-names":false,"suffix":""},{"dropping-particle":"","family":"Krantz","given":"David","non-dropping-particle":"","parse-names":false,"suffix":""},{"dropping-particle":"","family":"Levitt","given":"Jennifer","non-dropping-particle":"","parse-names":false,"suffix":""},{"dropping-particle":"","family":"Minzenberg","given":"Michael J.","non-dropping-particle":"","parse-names":false,"suffix":""},{"dropping-particle":"","family":"Ginder","given":"Nathaniel","non-dropping-particle":"","parse-names":false,"suffix":""},{"dropping-particle":"","family":"Cook","given":"Ian A.","non-dropping-particle":"","parse-names":false,"suffix":""},{"dropping-particle":"","family":"Leuchter","given":"Andrew F.","non-dropping-particle":"","parse-names":false,"suffix":""}],"container-title":"Cerebral Cortex","edition":"2019/04/07","id":"ITEM-1","issue":"12","issued":{"date-parts":[["2019"]]},"note":"Corlier, Juliana\nWilson, Andrew\nHunter, Aimee M\nVince-Cruz, Nikita\nKrantz, David\nLevitt, Jennifer\nMinzenberg, Michael J\nGinder, Nathaniel\nCook, Ian A\nLeuchter, Andrew F\neng\nCereb Cortex. 2019 Dec 17;29(12):4958-4967. doi: 10.1093/cercor/bhz035.","page":"4958-4967","title":"Changes in Functional Connectivity Predict Outcome of Repetitive Transcranial Magnetic Stimulation Treatment of Major Depressive Disorder","type":"article-journal","volume":"29"},"uris":["http://www.mendeley.com/documents/?uuid=dd63f32f-720d-4a0f-ac87-04c8d044117a"]}],"mendeley":{"formattedCitation":"(Corlier et al., 2019)","plainTextFormattedCitation":"(Corlier et al., 2019)","previouslyFormattedCitation":"(Corlier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(Corlier et al., 2019)</w:t>
            </w:r>
            <w:r>
              <w:rPr>
                <w:rFonts w:eastAsia="Times New Roman" w:cstheme="minorHAnsi"/>
                <w:color w:val="000000"/>
                <w:sz w:val="16"/>
                <w:szCs w:val="16"/>
              </w:rPr>
              <w:fldChar w:fldCharType="end"/>
            </w:r>
          </w:p>
        </w:tc>
        <w:tc>
          <w:tcPr>
            <w:tcW w:w="607" w:type="pct"/>
            <w:hideMark/>
          </w:tcPr>
          <w:p w14:paraId="45E045F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47E85BC9"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783</w:t>
            </w:r>
          </w:p>
        </w:tc>
        <w:tc>
          <w:tcPr>
            <w:tcW w:w="479" w:type="pct"/>
            <w:hideMark/>
          </w:tcPr>
          <w:p w14:paraId="3816061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Elastic net regularization</w:t>
            </w:r>
          </w:p>
        </w:tc>
        <w:tc>
          <w:tcPr>
            <w:tcW w:w="460" w:type="pct"/>
            <w:hideMark/>
          </w:tcPr>
          <w:p w14:paraId="3FF357B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7578373B" w14:textId="77777777" w:rsidR="0034508D" w:rsidRPr="003C4781" w:rsidRDefault="0034508D" w:rsidP="00300FEF">
            <w:pPr>
              <w:rPr>
                <w:rFonts w:eastAsia="Times New Roman" w:cstheme="minorHAnsi"/>
                <w:color w:val="000000"/>
                <w:sz w:val="16"/>
                <w:szCs w:val="16"/>
              </w:rPr>
            </w:pPr>
          </w:p>
        </w:tc>
        <w:tc>
          <w:tcPr>
            <w:tcW w:w="477" w:type="pct"/>
            <w:hideMark/>
          </w:tcPr>
          <w:p w14:paraId="1FEBBE0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t-test</w:t>
            </w:r>
          </w:p>
        </w:tc>
        <w:tc>
          <w:tcPr>
            <w:tcW w:w="480" w:type="pct"/>
            <w:hideMark/>
          </w:tcPr>
          <w:p w14:paraId="31E60C74" w14:textId="77777777" w:rsidR="0034508D" w:rsidRPr="003C4781" w:rsidRDefault="0034508D" w:rsidP="00300FEF">
            <w:pPr>
              <w:rPr>
                <w:rFonts w:eastAsia="Times New Roman" w:cstheme="minorHAnsi"/>
                <w:color w:val="000000"/>
                <w:sz w:val="16"/>
                <w:szCs w:val="16"/>
              </w:rPr>
            </w:pPr>
          </w:p>
        </w:tc>
        <w:tc>
          <w:tcPr>
            <w:tcW w:w="437" w:type="pct"/>
            <w:hideMark/>
          </w:tcPr>
          <w:p w14:paraId="617885E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67B6890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39F685A2" w14:textId="77777777" w:rsidTr="006D63A2">
        <w:trPr>
          <w:trHeight w:val="56"/>
        </w:trPr>
        <w:tc>
          <w:tcPr>
            <w:tcW w:w="652" w:type="pct"/>
            <w:hideMark/>
          </w:tcPr>
          <w:p w14:paraId="614DCAA2" w14:textId="62DA8E4B" w:rsidR="0034508D" w:rsidRPr="003C4781" w:rsidRDefault="00AC7924"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{"citationItems":[{"id":"ITEM-1","itemData":{"DOI":"10.1097/WNR.0b013e3283294159","ISBN":"1473-558X (Electronic)\r0959-4965 (Linking)","ISSN":"09594965","PMID":"19339907","abstract":"Currently, there are no neurobiological markers of clinical response for cognitive behavioural therapy (CBT) used in clinical practice. We investigated the neural pattern of activity to implicit processing of sad facial expressions as a predictive marker of clinical response. Sixteen medication-free patients in an acute episode of major depression underwent functional magnetic resonance imaging scans before treatment with CBT. Nine patients showed a full clinical response. The pattern of activity, which predicted clinical response, was analysed with support vector machine and leave-one-out cross-validation. The functional neuroanatomy of sad faces at the lowest and highest intensities identified patients, before the initiation of therapy, who had a full clinical response to CBT (sensitivity 71%, specificity 86%, P=0.029). © 2009 Wolters Kluwer Health | Lippincott Williams &amp; Wilkins.","author":[{"dropping-particle":"","family":"Costafreda","given":"Sergi G.","non-dropping-particle":"","parse-names":false,"suffix":""},{"dropping-particle":"","family":"Khanna","given":"Akash","non-dropping-particle":"","parse-names":false,"suffix":""},{"dropping-particle":"","family":"Mourao-Miranda","given":"Janaina","non-dropping-particle":"","parse-names":false,"suffix":""},{"dropping-particle":"","family":"Fu","given":"Cynthia H.Y.","non-dropping-particle":"","parse-names":false,"suffix":""}],"container-title":"NeuroReport","edition":"2009/04/03","id":"ITEM-1","issue":"7","issued":{"date-parts":[["2009"]]},"note":"Costafreda, Sergi G\nKhanna, Akash\nMourao-Miranda, Janaina\nFu, Cynthia H Y\neng\nResearch Support, Non-U.S. Gov't\nEngland\nNeuroreport. 2009 May 6;20(7):637-41. doi: 10.1097/WNR.0b013e3283294159.","page":"637-641","title":"Neural correlates of sad faces predict clinical remission to cognitive behavioural therapy in depression","type":"article-journal","volume":"20"},"uris":["http://www.mendeley.com/documents/?uuid=a76914b0-9759-4463-9959-cd27ee2bb751"]}],"mendeley":{"formattedCitation":"(Costafreda, Khanna, Mourao-Miranda, &amp; Fu, 2009)","plainTextFormattedCitation":"(Costafreda, Khanna, Mourao-Miranda, &amp; Fu, 2009)","previouslyFormattedCitation":"(Costafreda, Khanna, Mourao-Miranda, &amp; Fu, 2009)"},"properties":{"noteIndex":0},"schema":"https://github.com/citation-style-language/schema/raw/master/csl-citation.json"}</w:instrText>
            </w:r>
            <w:r>
              <w:rPr>
                <w:rFonts w:eastAsia="Times New Roman" w:cstheme="minorHAnsi"/>
                <w:color w:val="000000"/>
                <w:sz w:val="16"/>
                <w:szCs w:val="16"/>
              </w:rPr>
              <w:fldChar w:fldCharType="separate"/>
            </w:r>
            <w:r w:rsidR="00AA181B" w:rsidRPr="00AA181B">
              <w:rPr>
                <w:rFonts w:eastAsia="Times New Roman" w:cstheme="minorHAnsi"/>
                <w:noProof/>
                <w:color w:val="000000"/>
                <w:sz w:val="16"/>
                <w:szCs w:val="16"/>
              </w:rPr>
              <w:t>(Costafreda, Khanna, Mourao-Miranda, &amp; Fu, 2009)</w:t>
            </w:r>
            <w:r>
              <w:rPr>
                <w:rFonts w:eastAsia="Times New Roman" w:cstheme="minorHAnsi"/>
                <w:color w:val="000000"/>
                <w:sz w:val="16"/>
                <w:szCs w:val="16"/>
              </w:rPr>
              <w:fldChar w:fldCharType="end"/>
            </w:r>
            <w:r w:rsidR="0034508D" w:rsidRPr="003C4781">
              <w:rPr>
                <w:rFonts w:eastAsia="Times New Roman" w:cstheme="minorHAnsi"/>
                <w:color w:val="000000"/>
                <w:sz w:val="16"/>
                <w:szCs w:val="16"/>
              </w:rPr>
              <w:t xml:space="preserve"> </w:t>
            </w:r>
          </w:p>
        </w:tc>
        <w:tc>
          <w:tcPr>
            <w:tcW w:w="607" w:type="pct"/>
            <w:hideMark/>
          </w:tcPr>
          <w:p w14:paraId="00639FB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8F1FFED" w14:textId="77777777" w:rsidR="0034508D" w:rsidRPr="003C4781" w:rsidRDefault="0034508D" w:rsidP="00EF33E2">
            <w:pPr>
              <w:rPr>
                <w:rFonts w:eastAsia="Times New Roman" w:cstheme="minorHAnsi"/>
                <w:color w:val="000000"/>
                <w:sz w:val="16"/>
                <w:szCs w:val="16"/>
              </w:rPr>
            </w:pPr>
          </w:p>
        </w:tc>
        <w:tc>
          <w:tcPr>
            <w:tcW w:w="479" w:type="pct"/>
            <w:hideMark/>
          </w:tcPr>
          <w:p w14:paraId="46F3EA8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16795DE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4914572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Principal components analysis</w:t>
            </w:r>
          </w:p>
        </w:tc>
        <w:tc>
          <w:tcPr>
            <w:tcW w:w="477" w:type="pct"/>
            <w:hideMark/>
          </w:tcPr>
          <w:p w14:paraId="2C609D7B" w14:textId="77777777" w:rsidR="0034508D" w:rsidRPr="003C4781" w:rsidRDefault="0034508D" w:rsidP="00300FEF">
            <w:pPr>
              <w:rPr>
                <w:rFonts w:eastAsia="Times New Roman" w:cstheme="minorHAnsi"/>
                <w:color w:val="000000"/>
                <w:sz w:val="16"/>
                <w:szCs w:val="16"/>
              </w:rPr>
            </w:pPr>
          </w:p>
        </w:tc>
        <w:tc>
          <w:tcPr>
            <w:tcW w:w="480" w:type="pct"/>
            <w:hideMark/>
          </w:tcPr>
          <w:p w14:paraId="11864C81" w14:textId="77777777" w:rsidR="0034508D" w:rsidRPr="003C4781" w:rsidRDefault="0034508D" w:rsidP="00300FEF">
            <w:pPr>
              <w:rPr>
                <w:rFonts w:eastAsia="Times New Roman" w:cstheme="minorHAnsi"/>
                <w:sz w:val="16"/>
                <w:szCs w:val="16"/>
              </w:rPr>
            </w:pPr>
          </w:p>
        </w:tc>
        <w:tc>
          <w:tcPr>
            <w:tcW w:w="437" w:type="pct"/>
            <w:hideMark/>
          </w:tcPr>
          <w:p w14:paraId="6831BC0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5706C669" w14:textId="77777777" w:rsidR="0034508D" w:rsidRPr="003C4781" w:rsidRDefault="0034508D" w:rsidP="00A04D7A">
            <w:pPr>
              <w:rPr>
                <w:rFonts w:eastAsia="Times New Roman" w:cstheme="minorHAnsi"/>
                <w:color w:val="000000"/>
                <w:sz w:val="16"/>
                <w:szCs w:val="16"/>
              </w:rPr>
            </w:pPr>
            <w:r w:rsidRPr="003C4781">
              <w:rPr>
                <w:rFonts w:eastAsia="Times New Roman" w:cstheme="minorHAnsi"/>
                <w:color w:val="000000"/>
                <w:sz w:val="16"/>
                <w:szCs w:val="16"/>
              </w:rPr>
              <w:t>Cognitive</w:t>
            </w:r>
            <w:r w:rsidR="00A04D7A">
              <w:rPr>
                <w:rFonts w:eastAsia="Times New Roman" w:cstheme="minorHAnsi"/>
                <w:color w:val="000000"/>
                <w:sz w:val="16"/>
                <w:szCs w:val="16"/>
              </w:rPr>
              <w:t>-</w:t>
            </w:r>
            <w:r w:rsidRPr="003C4781">
              <w:rPr>
                <w:rFonts w:eastAsia="Times New Roman" w:cstheme="minorHAnsi"/>
                <w:color w:val="000000"/>
                <w:sz w:val="16"/>
                <w:szCs w:val="16"/>
              </w:rPr>
              <w:t>behavioral therapy</w:t>
            </w:r>
          </w:p>
        </w:tc>
      </w:tr>
      <w:tr w:rsidR="00705248" w:rsidRPr="003C4781" w14:paraId="66FF17E8" w14:textId="77777777" w:rsidTr="006D63A2">
        <w:trPr>
          <w:trHeight w:val="1052"/>
        </w:trPr>
        <w:tc>
          <w:tcPr>
            <w:tcW w:w="652" w:type="pct"/>
            <w:hideMark/>
          </w:tcPr>
          <w:p w14:paraId="41716960" w14:textId="2D7E8658" w:rsidR="0034508D" w:rsidRPr="003C4781" w:rsidRDefault="00AC7924"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{"citationItems":[{"id":"ITEM-1","itemData":{"DOI":"10.1093/brain/aww326","ISBN":"0006-8950","ISSN":"14602156","PMID":"28122876","abstract":"Predicting treatment response for major depressive disorder can provide a tremendous benefit for our overstretched health care system by reducing number of treatments and time to remission, thereby decreasing morbidity. The present study used neural and performance predictors during a cognitive control task to predict treatment response (% change in Hamilton Depression Rating Scale pre- to post-treatment). Forty-nine individuals diagnosed with major depressive disorder were enrolled with intent to treat in the open-label study; 36 completed treatment, had useable data, and were included in most data analyses. Participants included in the data analysis sample received treatment with escitalopram (n = 22) or duloxetine (n = 14) for 10 weeks. Functional MRI and performance during a Parametric Go/No-go test were used to predict per cent reduction in Hamilton Depression Rating Scale scores after treatment. Haemodynamic response function-based contrasts and task-related independent components analysis (subset of sample: n= 29) were predictors. Independent components analysis component beta weights and haemodynamic response function modelling activation during Commission errors in the rostral and dorsal anterior cingulate, mid-cingulate, dorsomedial prefrontal cortex, and lateral orbital frontal cortex predicted treatment response. In addition, more commission errors on the task predicted better treatment response. Together in a regression model, independent component analysis, haemodynamic response function-modelled, and performance measures predicted treatment response with 90% accuracy (compared to 74% accuracy with clinical features alone), with 84% accuracy in 5-fold, leave-one-out cross-validation. Convergence between performance markers and functional magnetic resonance imaging, including novel independent component analysis techniques, achieved high accuracy in prediction of treatment response for major depressive disorder. The strong link to a task paradigm provided by use of independent component analysis is a potential breakthrough that can inform ways in which prediction models can be integrated for use in clinical and experimental medicine studies.","author":[{"dropping-particle":"","family":"Crane","given":"Natania A.","non-dropping-particle":"","parse-names":false,"suffix":""},{"dropping-particle":"","family":"Jenkins","given":"Lisanne M.","non-dropping-particle":"","parse-names":false,"suffix":""},{"dropping-particle":"","family":"Bhaumik","given":"Runa","non-dropping-particle":"","parse-names":false,"suffix":""},{"dropping-particle":"","family":"Dion","given":"Catherine","non-dropping-particle":"","parse-names":false,"suffix":""},{"dropping-particle":"","family":"Gowins","given":"Jennifer R.","non-dropping-particle":"","parse-names":false,"suffix":""},{"dropping-particle":"","family":"Mickey","given":"Brian J.","non-dropping-particle":"","parse-names":false,"suffix":""},{"dropping-particle":"","family":"Zubieta","given":"Jon Kar","non-dropping-particle":"","parse-names":false,"suffix":""},{"dropping-particle":"","family":"Langenecker","given":"Scott A.","non-dropping-particle":"","parse-names":false,"suffix":""}],"container-title":"Brain","edition":"2017/01/27","id":"ITEM-1","issue":"2","issued":{"date-parts":[["2017"]]},"language":"eng","note":"1460-2156\nCrane, Natania A\nJenkins, Lisanne M\nBhaumik, Runa\nDion, Catherine\nGowins, Jennifer R\nMickey, Brian J\nZubieta, Jon-Kar\nLangenecker, Scott A\nK23 MH074459/MH/NIMH NIH HHS/United States\nP01 MH042251/MH/NIMH NIH HHS/United States\nR01 MH101487/MH/NIMH NIH HHS/United States\nM01 RR000042/RR/NCRR NIH HHS/United States\nR01 MH050030/MH/NIMH NIH HHS/United States\nJournal Article\nResearch Support, N.I.H., Extramural\nResearch Support, Non-U.S. Gov't\nEngland\nBrain. 2017 Feb;140(2):472-486. doi: 10.1093/brain/aww326. Epub 2017 Jan 24.","page":"472-486","title":"Multidimensional prediction of treatment response to antidepressants with cognitive control and functional MRI","type":"article-journal","volume":"140"},"uris":["http://www.mendeley.com/documents/?uuid=04b76d46-82fa-4b34-b3b6-e6550b362b11"]}],"mendeley":{"formattedCitation":"(Crane et al., 2017)","plainTextFormattedCitation":"(Crane et al., 2017)","previouslyFormattedCitation":"(Crane et al., 2017)"},"properties":{"noteIndex":0},"schema":"https://github.com/citation-style-language/schema/raw/master/csl-citation.json"}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(Crane et al., 2017)</w:t>
            </w:r>
            <w:r>
              <w:rPr>
                <w:rFonts w:eastAsia="Times New Roman" w:cstheme="minorHAnsi"/>
                <w:color w:val="000000"/>
                <w:sz w:val="16"/>
                <w:szCs w:val="16"/>
              </w:rPr>
              <w:fldChar w:fldCharType="end"/>
            </w:r>
            <w:r>
              <w:rPr>
                <w:rFonts w:eastAsia="Times New Roman" w:cstheme="minorHAnsi"/>
                <w:color w:val="000000"/>
                <w:sz w:val="16"/>
                <w:szCs w:val="16"/>
              </w:rPr>
              <w:t xml:space="preserve"> </w:t>
            </w:r>
          </w:p>
        </w:tc>
        <w:tc>
          <w:tcPr>
            <w:tcW w:w="607" w:type="pct"/>
            <w:hideMark/>
          </w:tcPr>
          <w:p w14:paraId="36E45354" w14:textId="77777777" w:rsidR="0034508D" w:rsidRPr="003C4781" w:rsidRDefault="00075DB5" w:rsidP="00300FEF">
            <w:pPr>
              <w:rPr>
                <w:rFonts w:eastAsia="Times New Roman" w:cstheme="minorHAnsi"/>
                <w:color w:val="000000"/>
                <w:sz w:val="16"/>
                <w:szCs w:val="16"/>
              </w:rPr>
            </w:pPr>
            <w:r>
              <w:rPr>
                <w:rFonts w:eastAsia="Times New Roman" w:cstheme="minorHAnsi"/>
                <w:color w:val="000000"/>
                <w:sz w:val="16"/>
                <w:szCs w:val="16"/>
              </w:rPr>
              <w:t>Clinical, neuroimaging</w:t>
            </w:r>
          </w:p>
        </w:tc>
        <w:tc>
          <w:tcPr>
            <w:tcW w:w="345" w:type="pct"/>
            <w:hideMark/>
          </w:tcPr>
          <w:p w14:paraId="705D93FB"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5</w:t>
            </w:r>
          </w:p>
        </w:tc>
        <w:tc>
          <w:tcPr>
            <w:tcW w:w="479" w:type="pct"/>
            <w:hideMark/>
          </w:tcPr>
          <w:p w14:paraId="5102F58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Logistic regression, random forest</w:t>
            </w:r>
          </w:p>
        </w:tc>
        <w:tc>
          <w:tcPr>
            <w:tcW w:w="460" w:type="pct"/>
            <w:hideMark/>
          </w:tcPr>
          <w:p w14:paraId="7992F55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Leave-one-out cross-validation, 5-fold leave-one-out cross- validation, external validation </w:t>
            </w:r>
          </w:p>
        </w:tc>
        <w:tc>
          <w:tcPr>
            <w:tcW w:w="514" w:type="pct"/>
            <w:hideMark/>
          </w:tcPr>
          <w:p w14:paraId="15DA0F20" w14:textId="77777777" w:rsidR="0034508D" w:rsidRPr="003C4781" w:rsidRDefault="0034508D" w:rsidP="00300FEF">
            <w:pPr>
              <w:rPr>
                <w:rFonts w:eastAsia="Times New Roman" w:cstheme="minorHAnsi"/>
                <w:color w:val="000000"/>
                <w:sz w:val="16"/>
                <w:szCs w:val="16"/>
              </w:rPr>
            </w:pPr>
          </w:p>
        </w:tc>
        <w:tc>
          <w:tcPr>
            <w:tcW w:w="477" w:type="pct"/>
            <w:hideMark/>
          </w:tcPr>
          <w:p w14:paraId="69830B46" w14:textId="77777777" w:rsidR="0034508D" w:rsidRPr="003C4781" w:rsidRDefault="0034508D" w:rsidP="00300FEF">
            <w:pPr>
              <w:rPr>
                <w:rFonts w:eastAsia="Times New Roman" w:cstheme="minorHAnsi"/>
                <w:sz w:val="16"/>
                <w:szCs w:val="16"/>
              </w:rPr>
            </w:pPr>
          </w:p>
        </w:tc>
        <w:tc>
          <w:tcPr>
            <w:tcW w:w="480" w:type="pct"/>
            <w:hideMark/>
          </w:tcPr>
          <w:p w14:paraId="635475A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3A32D08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Remission </w:t>
            </w:r>
          </w:p>
        </w:tc>
        <w:tc>
          <w:tcPr>
            <w:tcW w:w="547" w:type="pct"/>
            <w:hideMark/>
          </w:tcPr>
          <w:p w14:paraId="4A778A3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72412515" w14:textId="77777777" w:rsidTr="006D63A2">
        <w:trPr>
          <w:trHeight w:val="386"/>
        </w:trPr>
        <w:tc>
          <w:tcPr>
            <w:tcW w:w="652" w:type="pct"/>
            <w:hideMark/>
          </w:tcPr>
          <w:p w14:paraId="6344FFA3" w14:textId="474FCAA0" w:rsidR="0034508D" w:rsidRPr="001B6C3E" w:rsidRDefault="001B6C3E" w:rsidP="00705248">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{"citationItems":[{"id":"ITEM-1","itemData":{"DOI":"10.1037/ccp0000476","ISSN":"19392117","PMID":"31841021","abstract":"Objective: Depression is a highly common mental disorder and a major cause of disability worldwide. Several psychological interventions are available, but there is a lack of evidence to decide which treatment works best for whom. This study aimed to identify subgroups of patients who respond differentially to cognitive-behavioral therapy (CBT) or person-centered counseling for depression (CfD). Method: This was a retrospective analysis of archival routine practice data for 1,435 patients who received either CBT (N = 1,104) or CfD (N = 331) in primary care. The main outcome was posttreatment reliable and clinically significant improvement (RCSI) in the PHQ-9 depression measure. A targeted prescription algorithm was developed in a training sample (N = 1,085) using a supervised machine learning approach (elastic net with optimal scaling). The clinical utility of the algorithm was examined in a statistically independent test sample (N = 350) using chi-square analysis and odds ratios. Results: Cases in the test sample that received their model-indicated \"optimal\" treatment had a significantly higher RCSI rate (62.5%) compared to those who received the \"suboptimal\" treatment (41.7%); X2(df = 1) = 4.79, p = .03, OR = 2.33 (95% CI [1.09, 5.02]). Conclusion: Targeted prescription has the potential to make best use of currently available evidence-based treatments, improving outcomes for patients at no additional cost to psychological services.","author":[{"dropping-particle":"","family":"Delgadillo","given":"Jaime","non-dropping-particle":"","parse-names":false,"suffix":""},{"dropping-particle":"","family":"Salas Duhne","given":"Paulina Gonzalez","non-dropping-particle":"","parse-names":false,"suffix":""}],"container-title":"Journal of Consulting and Clinical Psychology","id":"ITEM-1","issue":"1","issued":{"date-parts":[["2020","1"]]},"language":"eng","page":"14-24","publisher-place":"United States","title":"Targeted prescription of cognitive-behavioral therapy versus person-centered counseling for depression using a machine learning approach","type":"article-journal","volume":"88"},"uris":["http://www.mendeley.com/documents/?uuid=1efadcce-969f-429c-8571-a013d34d1943"]}],"mendeley":{"formattedCitation":"(Delgadillo &amp; Salas Duhne, 2020)","plainTextFormattedCitation":"(Delgadillo &amp; Salas Duhne, 2020)","previouslyFormattedCitation":"(Delgadillo &amp; Salas Duhne, 2020)"},"properties":{"noteIndex":0},"schema":"https://github.com/citation-style-language/schema/raw/master/csl-citation.json"}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(Delgadillo &amp; Salas Duhne, 2020)</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691000A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 demographical</w:t>
            </w:r>
          </w:p>
        </w:tc>
        <w:tc>
          <w:tcPr>
            <w:tcW w:w="345" w:type="pct"/>
            <w:hideMark/>
          </w:tcPr>
          <w:p w14:paraId="25F705B4"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15</w:t>
            </w:r>
          </w:p>
        </w:tc>
        <w:tc>
          <w:tcPr>
            <w:tcW w:w="479" w:type="pct"/>
            <w:hideMark/>
          </w:tcPr>
          <w:p w14:paraId="10A292D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Elastic net regularization, random forest</w:t>
            </w:r>
          </w:p>
        </w:tc>
        <w:tc>
          <w:tcPr>
            <w:tcW w:w="460" w:type="pct"/>
            <w:hideMark/>
          </w:tcPr>
          <w:p w14:paraId="47E85B1C" w14:textId="77777777" w:rsidR="0034508D" w:rsidRPr="003C4781" w:rsidRDefault="0013577A" w:rsidP="00300FEF">
            <w:pPr>
              <w:rPr>
                <w:rFonts w:eastAsia="Times New Roman" w:cstheme="minorHAnsi"/>
                <w:color w:val="000000"/>
                <w:sz w:val="16"/>
                <w:szCs w:val="16"/>
              </w:rPr>
            </w:pPr>
            <w:r w:rsidRPr="003C4781">
              <w:rPr>
                <w:rFonts w:eastAsia="Times New Roman" w:cstheme="minorHAnsi"/>
                <w:color w:val="000000"/>
                <w:sz w:val="16"/>
                <w:szCs w:val="16"/>
              </w:rPr>
              <w:t>Cross-validation</w:t>
            </w:r>
          </w:p>
        </w:tc>
        <w:tc>
          <w:tcPr>
            <w:tcW w:w="514" w:type="pct"/>
            <w:hideMark/>
          </w:tcPr>
          <w:p w14:paraId="37FC1791" w14:textId="77777777" w:rsidR="0034508D" w:rsidRPr="003C4781" w:rsidRDefault="0034508D" w:rsidP="00300FEF">
            <w:pPr>
              <w:rPr>
                <w:rFonts w:eastAsia="Times New Roman" w:cstheme="minorHAnsi"/>
                <w:color w:val="000000"/>
                <w:sz w:val="16"/>
                <w:szCs w:val="16"/>
              </w:rPr>
            </w:pPr>
          </w:p>
        </w:tc>
        <w:tc>
          <w:tcPr>
            <w:tcW w:w="477" w:type="pct"/>
            <w:hideMark/>
          </w:tcPr>
          <w:p w14:paraId="5D20D9B6" w14:textId="77777777" w:rsidR="0034508D" w:rsidRPr="003C4781" w:rsidRDefault="0034508D" w:rsidP="00300FEF">
            <w:pPr>
              <w:rPr>
                <w:rFonts w:eastAsia="Times New Roman" w:cstheme="minorHAnsi"/>
                <w:sz w:val="16"/>
                <w:szCs w:val="16"/>
              </w:rPr>
            </w:pPr>
          </w:p>
        </w:tc>
        <w:tc>
          <w:tcPr>
            <w:tcW w:w="480" w:type="pct"/>
            <w:hideMark/>
          </w:tcPr>
          <w:p w14:paraId="504CF242" w14:textId="77777777" w:rsidR="0034508D" w:rsidRPr="003C4781" w:rsidRDefault="0034508D" w:rsidP="00300FEF">
            <w:pPr>
              <w:rPr>
                <w:rFonts w:eastAsia="Times New Roman" w:cstheme="minorHAnsi"/>
                <w:sz w:val="16"/>
                <w:szCs w:val="16"/>
              </w:rPr>
            </w:pPr>
          </w:p>
        </w:tc>
        <w:tc>
          <w:tcPr>
            <w:tcW w:w="437" w:type="pct"/>
            <w:hideMark/>
          </w:tcPr>
          <w:p w14:paraId="32F6B15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Reliable and clinically significant improvement (RCSI)</w:t>
            </w:r>
          </w:p>
        </w:tc>
        <w:tc>
          <w:tcPr>
            <w:tcW w:w="547" w:type="pct"/>
            <w:hideMark/>
          </w:tcPr>
          <w:p w14:paraId="3CFDDE2C" w14:textId="77777777" w:rsidR="0034508D" w:rsidRPr="003C4781" w:rsidRDefault="0034508D" w:rsidP="00A04D7A">
            <w:pPr>
              <w:rPr>
                <w:rFonts w:eastAsia="Times New Roman" w:cstheme="minorHAnsi"/>
                <w:color w:val="000000"/>
                <w:sz w:val="16"/>
                <w:szCs w:val="16"/>
              </w:rPr>
            </w:pPr>
            <w:r w:rsidRPr="003C4781">
              <w:rPr>
                <w:rFonts w:eastAsia="Times New Roman" w:cstheme="minorHAnsi"/>
                <w:color w:val="000000"/>
                <w:sz w:val="16"/>
                <w:szCs w:val="16"/>
              </w:rPr>
              <w:t>Cognitive</w:t>
            </w:r>
            <w:r w:rsidR="00A04D7A">
              <w:rPr>
                <w:rFonts w:eastAsia="Times New Roman" w:cstheme="minorHAnsi"/>
                <w:color w:val="000000"/>
                <w:sz w:val="16"/>
                <w:szCs w:val="16"/>
              </w:rPr>
              <w:t>-</w:t>
            </w:r>
            <w:r w:rsidRPr="003C4781">
              <w:rPr>
                <w:rFonts w:eastAsia="Times New Roman" w:cstheme="minorHAnsi"/>
                <w:color w:val="000000"/>
                <w:sz w:val="16"/>
                <w:szCs w:val="16"/>
              </w:rPr>
              <w:t>behavioral therapy (CBT)</w:t>
            </w:r>
          </w:p>
        </w:tc>
      </w:tr>
      <w:tr w:rsidR="00705248" w:rsidRPr="003C4781" w14:paraId="41EE037B" w14:textId="77777777" w:rsidTr="006D63A2">
        <w:trPr>
          <w:trHeight w:val="1160"/>
        </w:trPr>
        <w:tc>
          <w:tcPr>
            <w:tcW w:w="652" w:type="pct"/>
            <w:hideMark/>
          </w:tcPr>
          <w:p w14:paraId="4838946F" w14:textId="512BAB17" w:rsidR="0034508D" w:rsidRPr="001B6C3E" w:rsidRDefault="001B6C3E" w:rsidP="00453DC5">
            <w:pPr>
              <w:rPr>
                <w:rFonts w:eastAsia="Times New Roman" w:cstheme="minorHAnsi"/>
                <w:color w:val="000000"/>
                <w:sz w:val="16"/>
                <w:szCs w:val="16"/>
                <w:vertAlign w:val="superscript"/>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{"citationItems":[{"id":"ITEM-1","itemData":{"DOI":"10.1038/nm.4246","ISBN":"1078-8956","ISSN":"1546170X","PMID":"27918562","abstract":"Biomarkers have transformed modern medicine but remain largely elusive in psychiatry, partly because there is a weak correspondence between diagnostic labels and their neurobiological substrates. Like other neuropsychiatric disorders, depression is not a unitary disease, but rather a heterogeneous syndrome that encompasses varied, co-occurring symptoms and divergent responses to treatment. By using functional magnetic resonance imaging (fMRI) in a large multisite sample (n = 1, 188), we show here that patients with depression can be subdivided into four neurophysiological subtypes ('biotypes') defined by distinct patterns of dysfunctional connectivity in limbic and frontostriatal networks. Clustering patients on this basis enabled the development of diagnostic classifiers (biomarkers) with high (82-93%) sensitivity and specificity for depression subtypes in multisite validation (n = 711) and out-of-sample replication (n = 477) data sets. These biotypes cannot be differentiated solely on the basis of clinical features, but they are associated with differing clinical-symptom profiles. They also predict responsiveness to transcranial magnetic stimulation therapy (n = 154). Our results define novel subtypes of depression that transcend current diagnostic boundaries and may be useful for identifying the individuals who are most likely to benefit from targeted neurostimulation therapies.","author":[{"dropping-particle":"","family":"Drysdale","given":"Andrew T.","non-dropping-particle":"","parse-names":false,"suffix":""},{"dropping-particle":"","family":"Grosenick","given":"Logan","non-dropping-particle":"","parse-names":false,"suffix":""},{"dropping-particle":"","family":"Downar","given":"Jonathan","non-dropping-particle":"","parse-names":false,"suffix":""},{"dropping-particle":"","family":"Dunlop","given":"Katharine","non-dropping-particle":"","parse-names":false,"suffix":""},{"dropping-particle":"","family":"Mansouri","given":"Farrokh","non-dropping-particle":"","parse-names":false,"suffix":""},{"dropping-particle":"","family":"Meng","given":"Yue","non-dropping-particle":"","parse-names":false,"suffix":""},{"dropping-particle":"","family":"Fetcho","given":"Robert N.","non-dropping-particle":"","parse-names":false,"suffix":""},{"dropping-particle":"","family":"Zebley","given":"Benjamin","non-dropping-particle":"","parse-names":false,"suffix":""},{"dropping-particle":"","family":"Oathes","given":"Desmond J.","non-dropping-particle":"","parse-names":false,"suffix":""},{"dropping-particle":"","family":"Etkin","given":"Amit","non-dropping-particle":"","parse-names":false,"suffix":""},{"dropping-particle":"","family":"Schatzberg","given":"Alan F.","non-dropping-particle":"","parse-names":false,"suffix":""},{"dropping-particle":"","family":"Sudheimer","given":"Keith","non-dropping-particle":"","parse-names":false,"suffix":""},{"dropping-particle":"","family":"Keller","given":"Jennifer","non-dropping-particle":"","parse-names":false,"suffix":""},{"dropping-particle":"","family":"Mayberg","given":"Helen S.","non-dropping-particle":"","parse-names":false,"suffix":""},{"dropping-particle":"","family":"Gunning","given":"Faith M.","non-dropping-particle":"","parse-names":false,"suffix":""},{"dropping-particle":"","family":"Alexopoulos","given":"George S.","non-dropping-particle":"","parse-names":false,"suffix":""},{"dropping-particle":"","family":"Fox","given":"Michael D.","non-dropping-particle":"","parse-names":false,"suffix":""},{"dropping-particle":"","family":"Pascual-Leone","given":"Alvaro","non-dropping-particle":"","parse-names":false,"suffix":""},{"dropping-particle":"","family":"Voss","given":"Henning U.","non-dropping-particle":"","parse-names":false,"suffix":""},{"dropping-particle":"","family":"Casey","given":"B. J.","non-dropping-particle":"","parse-names":false,"suffix":""},{"dropping-particle":"","family":"Dubin","given":"Marc J.","non-dropping-particle":"","parse-names":false,"suffix":""},{"dropping-particle":"","family":"Liston","given":"Conor","non-dropping-particle":"","parse-names":false,"suffix":""}],"container-title":"Nature Medicine","edition":"2016/12/06","id":"ITEM-1","issue":"1","issued":{"date-parts":[["2017"]]},"language":"eng","note":"1546-170x\nDrysdale, Andrew T\nGrosenick, Logan\nDownar, Jonathan\nOrcid: 0000-0002-5140-174x\nDunlop, Katharine\nMansouri, Farrokh\nMeng, Yue\nFetcho, Robert N\nZebley, Benjamin\nOathes, Desmond J\nEtkin, Amit\nSchatzberg, Alan F\nSudheimer, Keith\nKeller, Jennifer\nMayberg, Helen S\nGunning, Faith M\nAlexopoulos, George S\nFox, Michael D\nPascual-Leone, Alvaro\nVoss, Henning U\nOrcid: 0000-0003-2811-2074\nCasey, B J\nDubin, Marc J\nListon, Conor\nK23 NS083741/NS/NINDS NIH HHS/United States\nHHMI/Howard Hughes Medical Institute/United States\nR01 MH109685/MH/NIMH NIH HHS/United States\nR21 MH099196/MH/NIMH NIH HHS/United States\nR00 MH097822/MH/NIMH NIH HHS/United States\nP20 RR021938/RR/NCRR NIH HHS/United States\nUL1 TR002384/TR/NCATS NIH HHS/United States\nP50 MH077083/MH/NIMH NIH HHS/United States\nJournal Article\nResearch Support, Non-U.S. Gov't\nResearch Support, N.I.H., Extramural\nUnited States\nNat Med. 2017 Jan;23(1):28-38. doi: 10.1038/nm.4246. Epub 2016 Dec 5.","page":"28-38","title":"Resting-state connectivity biomarkers define neurophysiological subtypes of depression","type":"article-journal","volume":"23"},"uris":["http://www.mendeley.com/documents/?uuid=d94c6a52-e5f6-4b47-a82d-0b6baddbe010"]}],"mendeley":{"formattedCitation":"(Drysdale et al., 2017)","plainTextFormattedCitation":"(Drysdale et al., 2017)","previouslyFormattedCitation":"(Drysdale et al., 2017)"},"properties":{"noteIndex":0},"schema":"https://github.com/citation-style-language/schema/raw/master/csl-citation.json"}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(Drysdale et al., 2017)</w:t>
            </w:r>
            <w:r>
              <w:rPr>
                <w:rFonts w:eastAsia="Times New Roman" w:cstheme="minorHAnsi"/>
                <w:color w:val="000000"/>
                <w:sz w:val="16"/>
                <w:szCs w:val="16"/>
              </w:rPr>
              <w:fldChar w:fldCharType="end"/>
            </w:r>
          </w:p>
        </w:tc>
        <w:tc>
          <w:tcPr>
            <w:tcW w:w="607" w:type="pct"/>
            <w:hideMark/>
          </w:tcPr>
          <w:p w14:paraId="3DA33F4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3ABEDE7B"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258</w:t>
            </w:r>
          </w:p>
        </w:tc>
        <w:tc>
          <w:tcPr>
            <w:tcW w:w="479" w:type="pct"/>
            <w:hideMark/>
          </w:tcPr>
          <w:p w14:paraId="4769F92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Support-vector machine (SVM) classifiers (using linear kernel functions)</w:t>
            </w:r>
          </w:p>
        </w:tc>
        <w:tc>
          <w:tcPr>
            <w:tcW w:w="460" w:type="pct"/>
            <w:hideMark/>
          </w:tcPr>
          <w:p w14:paraId="478889F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5C227E8F" w14:textId="77777777" w:rsidR="0034508D" w:rsidRPr="003C4781" w:rsidRDefault="0034508D" w:rsidP="00300FEF">
            <w:pPr>
              <w:rPr>
                <w:rFonts w:eastAsia="Times New Roman" w:cstheme="minorHAnsi"/>
                <w:color w:val="000000"/>
                <w:sz w:val="16"/>
                <w:szCs w:val="16"/>
              </w:rPr>
            </w:pPr>
          </w:p>
        </w:tc>
        <w:tc>
          <w:tcPr>
            <w:tcW w:w="477" w:type="pct"/>
            <w:hideMark/>
          </w:tcPr>
          <w:p w14:paraId="325E110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Canonical correlation analysis (Online Methods), PCA</w:t>
            </w:r>
          </w:p>
        </w:tc>
        <w:tc>
          <w:tcPr>
            <w:tcW w:w="480" w:type="pct"/>
            <w:hideMark/>
          </w:tcPr>
          <w:p w14:paraId="5DBF6A7E" w14:textId="77777777" w:rsidR="0034508D" w:rsidRPr="003C4781" w:rsidRDefault="0034508D" w:rsidP="00300FEF">
            <w:pPr>
              <w:rPr>
                <w:rFonts w:eastAsia="Times New Roman" w:cstheme="minorHAnsi"/>
                <w:color w:val="000000"/>
                <w:sz w:val="16"/>
                <w:szCs w:val="16"/>
              </w:rPr>
            </w:pPr>
          </w:p>
        </w:tc>
        <w:tc>
          <w:tcPr>
            <w:tcW w:w="437" w:type="pct"/>
            <w:hideMark/>
          </w:tcPr>
          <w:p w14:paraId="13654BC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Response </w:t>
            </w:r>
          </w:p>
        </w:tc>
        <w:tc>
          <w:tcPr>
            <w:tcW w:w="547" w:type="pct"/>
            <w:hideMark/>
          </w:tcPr>
          <w:p w14:paraId="3018C94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1DAB9FA4" w14:textId="77777777" w:rsidTr="006D63A2">
        <w:trPr>
          <w:trHeight w:val="530"/>
        </w:trPr>
        <w:tc>
          <w:tcPr>
            <w:tcW w:w="652" w:type="pct"/>
            <w:hideMark/>
          </w:tcPr>
          <w:p w14:paraId="63084DFD" w14:textId="40C883F2" w:rsidR="0034508D" w:rsidRPr="00E671BF" w:rsidRDefault="00E671BF"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{"citationItems":[{"id":"ITEM-1","itemData":{"DOI":"10.4306/pi.2015.12.1.61","ISBN":"1738-3684 (Print)\r1738-3684 (Linking)","ISSN":"19763026","PMID":"25670947","abstract":"Objective The combination of repetitive transcranial magnetic stimulation (rTMS), a non-pharmacological form of therapy for treating major depressive disorder (MDD), and electroencephalogram (EEG) is a valuable tool for investigating the functional connectivity in the brain. This study aims to explore whether pre-treating frontal quantitative EEG (QEEG) cordance is associated with response to rTMS treatment among MDD patients by using an artificial intelligence approach, artificial neural network (ANN).\nMethods The artificial neural network using pre-treatment cordance of frontal QEEG classification was carried out to identify responder or non-responder to rTMS treatment among 55 MDD subjects. The classification performance was evaluated using k-fold cross-validation.\nResultsaaThe ANN classification identified responders to rTMS treatment with a sensitivity of 93.33%, and its overall accuracy reached to 89.09%. Area under Receiver Operating Characteristic (ROC) curve (AUC) value for responder detection using 6, 8 and 10 fold cross validation were 0.917, 0.823 and 0.894 respectively.\nConclusion Potential utility of ANN approach method can be used as a clinical tool in administering rTMS therapy to a targeted group of subjects suffering from MDD. This methodology is more potentially useful to the clinician as prediction is possible using EEG data collected before this treatment process is initiated. It is worth using feature selection algorithms to raise the sensitivity and accuracy values.","author":[{"dropping-particle":"","family":"Erguzel","given":"Turker Tekin","non-dropping-particle":"","parse-names":false,"suffix":""},{"dropping-particle":"","family":"Ozekes","given":"Serhat","non-dropping-particle":"","parse-names":false,"suffix":""},{"dropping-particle":"","family":"Gultekin","given":"Selahattin","non-dropping-particle":"","parse-names":false,"suffix":""},{"dropping-particle":"","family":"Tarhan","given":"Nevzat","non-dropping-particle":"","parse-names":false,"suffix":""},{"dropping-particle":"","family":"Sayar","given":"Gokben Hizli","non-dropping-particle":"","parse-names":false,"suffix":""},{"dropping-particle":"","family":"Bayram","given":"Ali","non-dropping-particle":"","parse-names":false,"suffix":""}],"container-title":"Psychiatry Investigation","edition":"2015/02/12","id":"ITEM-1","issue":"1","issued":{"date-parts":[["2015"]]},"note":"Erguzel, Turker Tekin\nOzekes, Serhat\nGultekin, Selahattin\nTarhan, Nevzat\nHizli Sayar, Gokben\nBayram, Ali\neng\nKorea (South)\nPsychiatry Investig. 2015 Jan;12(1):61-5. doi: 10.4306/pi.2015.12.1.61. Epub 2015 Jan 12.","page":"61-65","title":"Neural network based response prediction of rTMS in major depressive disorder using QEEG cordance","type":"article-journal","volume":"12"},"uris":["http://www.mendeley.com/documents/?uuid=e1b61a2f-7e3b-4d34-87c0-35a764890a28"]}],"mendeley":{"formattedCitation":"(Erguzel et al., 2015)","plainTextFormattedCitation":"(Erguzel et al., 2015)","previouslyFormattedCitation":"(Erguzel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(Erguzel et al., 2015)</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50A4C79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5C8AB0AB"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6</w:t>
            </w:r>
          </w:p>
        </w:tc>
        <w:tc>
          <w:tcPr>
            <w:tcW w:w="479" w:type="pct"/>
            <w:hideMark/>
          </w:tcPr>
          <w:p w14:paraId="4FA879C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Artificial neural network (ANN)</w:t>
            </w:r>
          </w:p>
        </w:tc>
        <w:tc>
          <w:tcPr>
            <w:tcW w:w="460" w:type="pct"/>
            <w:hideMark/>
          </w:tcPr>
          <w:p w14:paraId="0D5458C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k-fold cross-validation (k=6, 8, 10)</w:t>
            </w:r>
          </w:p>
        </w:tc>
        <w:tc>
          <w:tcPr>
            <w:tcW w:w="514" w:type="pct"/>
            <w:hideMark/>
          </w:tcPr>
          <w:p w14:paraId="77DDA3F3" w14:textId="77777777" w:rsidR="0034508D" w:rsidRPr="003C4781" w:rsidRDefault="0034508D" w:rsidP="00300FEF">
            <w:pPr>
              <w:rPr>
                <w:rFonts w:eastAsia="Times New Roman" w:cstheme="minorHAnsi"/>
                <w:color w:val="000000"/>
                <w:sz w:val="16"/>
                <w:szCs w:val="16"/>
              </w:rPr>
            </w:pPr>
          </w:p>
        </w:tc>
        <w:tc>
          <w:tcPr>
            <w:tcW w:w="477" w:type="pct"/>
            <w:hideMark/>
          </w:tcPr>
          <w:p w14:paraId="0CE79831" w14:textId="77777777" w:rsidR="0034508D" w:rsidRPr="003C4781" w:rsidRDefault="0034508D" w:rsidP="00300FEF">
            <w:pPr>
              <w:rPr>
                <w:rFonts w:eastAsia="Times New Roman" w:cstheme="minorHAnsi"/>
                <w:sz w:val="16"/>
                <w:szCs w:val="16"/>
              </w:rPr>
            </w:pPr>
          </w:p>
        </w:tc>
        <w:tc>
          <w:tcPr>
            <w:tcW w:w="480" w:type="pct"/>
            <w:hideMark/>
          </w:tcPr>
          <w:p w14:paraId="2BC64D78" w14:textId="77777777" w:rsidR="0034508D" w:rsidRPr="003C4781" w:rsidRDefault="0034508D" w:rsidP="00300FEF">
            <w:pPr>
              <w:rPr>
                <w:rFonts w:eastAsia="Times New Roman" w:cstheme="minorHAnsi"/>
                <w:sz w:val="16"/>
                <w:szCs w:val="16"/>
              </w:rPr>
            </w:pPr>
          </w:p>
        </w:tc>
        <w:tc>
          <w:tcPr>
            <w:tcW w:w="437" w:type="pct"/>
            <w:hideMark/>
          </w:tcPr>
          <w:p w14:paraId="7196BAE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E8C0BC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4DA1870C" w14:textId="77777777" w:rsidTr="006D63A2">
        <w:trPr>
          <w:trHeight w:val="998"/>
        </w:trPr>
        <w:tc>
          <w:tcPr>
            <w:tcW w:w="652" w:type="pct"/>
            <w:hideMark/>
          </w:tcPr>
          <w:p w14:paraId="5C1816B7" w14:textId="22634BD8" w:rsidR="0034508D" w:rsidRPr="00A74C44" w:rsidRDefault="00A74C44"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{"citationItems":[{"id":"ITEM-1","itemData":{"DOI":"10.1038/npp.2014.333","ISBN":"0893-133x","ISSN":"1740634X","PMID":"25547711","abstract":"Depression involves impairments in a range of cognitive and emotional capacities. It is unknown whether these functions can inform medication choice when considered as a composite predictive biomarker. We tested whether behavioral tests, grounded in the neurobiology of cognitive and emotional functions, predict outcome with common antidepressants. Medication-free outpatients with nonpsychotic major depressive disorder (N = 1008; 665 completers) were assessed before treatment using 13 computerized tests of psychomotor, executive, memory-attention, processing speed, inhibitory, and emotional functions. Matched healthy controls (N = 336) provided a normative reference sample for test performance. Depressed participants were then randomized to escitalopram, sertraline, or venlafaxine-extended release, and were assessed using the 16-item Quick Inventory of Depressive Symptomatology (QIDS-SR16) and the 17-item Hamilton Rating Scale for Depression. Given the heterogeneity of depression, analyses were furthermore stratified by pretreatment performance. We then used pattern classification with cross-validation to determine individual patient-level composite predictive biomarkers of antidepressant outcome based on test performance. A subgroup of depressed participants (approximately one-quarter of patients) were found to be impaired across most cognitive tests relative to the healthy norm, from which they could be discriminated with 91% accuracy. These patients with generally impaired cognitive task performance had poorer treatment outcomes. For this impaired subgroup, task performance furthermore predicted remission on the QIDS-SR16 at 72% accuracy specifically following treatment with escitalopram but not the other medications. Therefore, tests of cognitive and emotional functions can form a clinically meaningful composite biomarker that may help drive general treatment outcome prediction for optimal treatment selection in depression, particularly for escitalopram.","author":[{"dropping-particle":"","family":"Etkin","given":"Amit","non-dropping-particle":"","parse-names":false,"suffix":""},{"dropping-particle":"","family":"Patenaude","given":"Brian","non-dropping-particle":"","parse-names":false,"suffix":""},{"dropping-particle":"","family":"Song","given":"Yun Ju C.","non-dropping-particle":"","parse-names":false,"suffix":""},{"dropping-particle":"","family":"Usherwood","given":"Timothy","non-dropping-particle":"","parse-names":false,"suffix":""},{"dropping-particle":"","family":"Rekshan","given":"William","non-dropping-particle":"","parse-names":false,"suffix":""},{"dropping-particle":"","family":"Schatzberg","given":"Alan F.","non-dropping-particle":"","parse-names":false,"suffix":""},{"dropping-particle":"","family":"Rush","given":"A. John","non-dropping-particle":"","parse-names":false,"suffix":""},{"dropping-particle":"","family":"Williams","given":"Leanne M.","non-dropping-particle":"","parse-names":false,"suffix":""}],"container-title":"Neuropsychopharmacology","edition":"2014/12/31","id":"ITEM-1","issue":"6","issued":{"date-parts":[["2015"]]},"language":"eng","note":"1740-634x\nEtkin, Amit\nPatenaude, Brian\nSong, Yun Ju C\nUsherwood, Timothy\nRekshan, William\nSchatzberg, Alan F\nRush, A John\nWilliams, Leanne M\nJournal Article\nMulticenter Study\nRandomized Controlled Trial\nResearch Support, Non-U.S. Gov't\nEngland\nNeuropsychopharmacology. 2015 May;40(6):1332-42. doi: 10.1038/npp.2014.333. Epub 2014 Dec 30.","page":"1332-1342","title":"A Cognitive-Emotional Biomarker for Predicting Remission with Antidepressant Medications: A Report from the iSPOT-D Trial","type":"article-journal","volume":"40"},"uris":["http://www.mendeley.com/documents/?uuid=93ec616c-26f2-4888-a99e-a556b54cc286"]}],"mendeley":{"formattedCitation":"(Etkin et al., 2015)","plainTextFormattedCitation":"(Etkin et al., 2015)","previouslyFormattedCitation":"(Etkin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(Etkin et al., 2015)</w:t>
            </w:r>
            <w:r>
              <w:rPr>
                <w:rFonts w:eastAsia="Times New Roman" w:cstheme="minorHAnsi"/>
                <w:color w:val="000000"/>
                <w:sz w:val="16"/>
                <w:szCs w:val="16"/>
              </w:rPr>
              <w:fldChar w:fldCharType="end"/>
            </w:r>
          </w:p>
        </w:tc>
        <w:tc>
          <w:tcPr>
            <w:tcW w:w="607" w:type="pct"/>
            <w:hideMark/>
          </w:tcPr>
          <w:p w14:paraId="232C56E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Cognitive emotional biomarkers, clinical, demographical</w:t>
            </w:r>
          </w:p>
        </w:tc>
        <w:tc>
          <w:tcPr>
            <w:tcW w:w="345" w:type="pct"/>
            <w:hideMark/>
          </w:tcPr>
          <w:p w14:paraId="770EAF63" w14:textId="77777777" w:rsidR="0034508D" w:rsidRPr="003C4781" w:rsidRDefault="0034508D" w:rsidP="00EF33E2">
            <w:pPr>
              <w:rPr>
                <w:rFonts w:eastAsia="Times New Roman" w:cstheme="minorHAnsi"/>
                <w:color w:val="000000"/>
                <w:sz w:val="16"/>
                <w:szCs w:val="16"/>
              </w:rPr>
            </w:pPr>
          </w:p>
        </w:tc>
        <w:tc>
          <w:tcPr>
            <w:tcW w:w="479" w:type="pct"/>
            <w:hideMark/>
          </w:tcPr>
          <w:p w14:paraId="096B502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60" w:type="pct"/>
            <w:hideMark/>
          </w:tcPr>
          <w:p w14:paraId="74EE538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Leave-one-out cross-validation on bootstrap subsample, external validation</w:t>
            </w:r>
          </w:p>
        </w:tc>
        <w:tc>
          <w:tcPr>
            <w:tcW w:w="514" w:type="pct"/>
            <w:hideMark/>
          </w:tcPr>
          <w:p w14:paraId="76089706" w14:textId="77777777" w:rsidR="0034508D" w:rsidRPr="003C4781" w:rsidRDefault="0034508D" w:rsidP="00300FEF">
            <w:pPr>
              <w:rPr>
                <w:rFonts w:eastAsia="Times New Roman" w:cstheme="minorHAnsi"/>
                <w:color w:val="000000"/>
                <w:sz w:val="16"/>
                <w:szCs w:val="16"/>
              </w:rPr>
            </w:pPr>
          </w:p>
        </w:tc>
        <w:tc>
          <w:tcPr>
            <w:tcW w:w="477" w:type="pct"/>
            <w:hideMark/>
          </w:tcPr>
          <w:p w14:paraId="4296A79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Linear Discriminant Analysis (LDA) </w:t>
            </w:r>
          </w:p>
        </w:tc>
        <w:tc>
          <w:tcPr>
            <w:tcW w:w="480" w:type="pct"/>
            <w:hideMark/>
          </w:tcPr>
          <w:p w14:paraId="28A8CAD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6E7A524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65B436A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395C584F" w14:textId="77777777" w:rsidTr="006D63A2">
        <w:trPr>
          <w:trHeight w:val="161"/>
        </w:trPr>
        <w:tc>
          <w:tcPr>
            <w:tcW w:w="652" w:type="pct"/>
            <w:hideMark/>
          </w:tcPr>
          <w:p w14:paraId="48C6C428" w14:textId="20B58038" w:rsidR="0034508D" w:rsidRPr="00E110EA" w:rsidRDefault="001178DB"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{"citationItems":[{"id":"ITEM-1","itemData":{"DOI":"10.1038/s41398-018-0100-3","ISBN":"2158-3188 (Electronic)\r2158-3188 (Linking)","ISSN":"21583188","PMID":"29507282","abstract":"Default mode network (DMN) dysfunction (particularly within the anterior cingulate cortex (ACC) and medial prefrontal cortex (mPFC)) has been implicated in major depressive disorder (MDD); however, its contribution to treatment outcome has not been clearly established. Here we tested the role of DMN functional connectivity as a general and differential biomarker for predicting treatment outcomes in a large, unmedicated adult sample with MDD. Seventy-five MDD outpatients completed fMRI scans before and 8 weeks after randomization to escitalopram, sertraline, or venlafaxine-XR. A whole-brain voxel-wise t-test identified profiles of pretreatment intrinsic functional connectivity that distinguished patients who were subsequently classified as remitters or non-remitters at follow-up. Connectivity was seeded in the PCC, an important node of the DMN. We further characterized differences between remitters, non-remitters, and 31 healthy controls and characterized changes pretreatment to posttreatment. Remitters were distinguished from non-remitters by relatively intact connectivity between the PCC and ACC/mPFC, not distinguishable from healthy controls, while non-remitters showed relative hypo-connectivity. In validation analyses, we demonstrate that PCC-ACC/mPFC connectivity predicts remission status with &gt;80% cross-validated accuracy. In analyses testing whether intrinsic connectivity differentially relates to outcomes for a specific type of antidepressant, interaction models did not survive the corrected threshold. Our findings demonstrate that the overall capacity to remit on commonly used antidepressants may depend on intact organization of intrinsic functional connectivity between PCC and ACC/mPFC prior to treatment. The findings highlight the potential utility of functional scans for advancing a more precise approach to tailoring antidepressant treatment choices.","author":[{"dropping-particle":"","family":"Goldstein-Piekarski","given":"Andrea N.","non-dropping-particle":"","parse-names":false,"suffix":""},{"dropping-particle":"","family":"Staveland","given":"Brooke R.","non-dropping-particle":"","parse-names":false,"suffix":""},{"dropping-particle":"","family":"Ball","given":"Tali M.","non-dropping-particle":"","parse-names":false,"suffix":""},{"dropping-particle":"","family":"Yesavage","given":"Jerome","non-dropping-particle":"","parse-names":false,"suffix":""},{"dropping-particle":"","family":"Korgaonkar","given":"Mayuresh S.","non-dropping-particle":"","parse-names":false,"suffix":""},{"dropping-particle":"","family":"Williams","given":"Leanne M.","non-dropping-particle":"","parse-names":false,"suffix":""}],"container-title":"Translational Psychiatry","edition":"2018/03/07","id":"ITEM-1","issue":"1","issued":{"date-parts":[["2018"]]},"note":"Goldstein-Piekarski, Andrea N\nStaveland, Brooke R\nBall, Tali M\nYesavage, Jerome\nKorgaonkar, Mayuresh S\nWilliams, Leanne M\neng\nR01 MH101496/MH/NIMH NIH HHS/\nF32 MH108299/MH/NIMH NIH HHS/\nT32 MH019938/MH/NIMH NIH HHS/\nRandomized Controlled Trial\nResearch Support, N.I.H., Extramural\nResearch Support, Non-U.S. Gov't\nTransl Psychiatry. 2018 Mar 6;8(1):57. doi: 10.1038/s41398-018-0100-3.","page":"57","title":"Intrinsic functional connectivity predicts remission on antidepressants: A randomized controlled trial to identify clinically applicable imaging biomarkers","type":"article-journal","volume":"8"},"uris":["http://www.mendeley.com/documents/?uuid=3ddc4b7c-0233-4dda-b676-720e896feb2b"]}],"mendeley":{"formattedCitation":"(Goldstein-Piekarski et al., 2018)","plainTextFormattedCitation":"(Goldstein-Piekarski et al., 2018)","previouslyFormattedCitation":"(Goldstein-Piekarski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(Goldstein-Piekarski et al., 2018)</w:t>
            </w:r>
            <w:r>
              <w:rPr>
                <w:rFonts w:eastAsia="Times New Roman" w:cstheme="minorHAnsi"/>
                <w:color w:val="000000"/>
                <w:sz w:val="16"/>
                <w:szCs w:val="16"/>
              </w:rPr>
              <w:fldChar w:fldCharType="end"/>
            </w:r>
            <w:r w:rsidR="00E110EA">
              <w:rPr>
                <w:rFonts w:eastAsia="Times New Roman" w:cstheme="minorHAnsi"/>
                <w:color w:val="000000"/>
                <w:sz w:val="16"/>
                <w:szCs w:val="16"/>
                <w:vertAlign w:val="superscript"/>
              </w:rPr>
              <w:t xml:space="preserve"> </w:t>
            </w:r>
          </w:p>
        </w:tc>
        <w:tc>
          <w:tcPr>
            <w:tcW w:w="607" w:type="pct"/>
            <w:hideMark/>
          </w:tcPr>
          <w:p w14:paraId="0C60027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5A4BFB41"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w:t>
            </w:r>
          </w:p>
        </w:tc>
        <w:tc>
          <w:tcPr>
            <w:tcW w:w="479" w:type="pct"/>
            <w:hideMark/>
          </w:tcPr>
          <w:p w14:paraId="2FF2CCE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Generalized linear model (GLM)</w:t>
            </w:r>
          </w:p>
        </w:tc>
        <w:tc>
          <w:tcPr>
            <w:tcW w:w="460" w:type="pct"/>
            <w:hideMark/>
          </w:tcPr>
          <w:p w14:paraId="10AB56B2" w14:textId="77777777" w:rsidR="0034508D" w:rsidRPr="003C4781" w:rsidRDefault="0034508D" w:rsidP="00A04D7A">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1829948D" w14:textId="77777777" w:rsidR="0034508D" w:rsidRPr="003C4781" w:rsidRDefault="0034508D" w:rsidP="00300FEF">
            <w:pPr>
              <w:rPr>
                <w:rFonts w:eastAsia="Times New Roman" w:cstheme="minorHAnsi"/>
                <w:color w:val="000000"/>
                <w:sz w:val="16"/>
                <w:szCs w:val="16"/>
              </w:rPr>
            </w:pPr>
          </w:p>
        </w:tc>
        <w:tc>
          <w:tcPr>
            <w:tcW w:w="477" w:type="pct"/>
            <w:hideMark/>
          </w:tcPr>
          <w:p w14:paraId="0E34AD4F" w14:textId="77777777" w:rsidR="0034508D" w:rsidRPr="003C4781" w:rsidRDefault="0034508D" w:rsidP="00300FEF">
            <w:pPr>
              <w:rPr>
                <w:rFonts w:eastAsia="Times New Roman" w:cstheme="minorHAnsi"/>
                <w:sz w:val="16"/>
                <w:szCs w:val="16"/>
              </w:rPr>
            </w:pPr>
          </w:p>
        </w:tc>
        <w:tc>
          <w:tcPr>
            <w:tcW w:w="480" w:type="pct"/>
            <w:hideMark/>
          </w:tcPr>
          <w:p w14:paraId="15E95923" w14:textId="77777777" w:rsidR="0034508D" w:rsidRPr="003C4781" w:rsidRDefault="0034508D" w:rsidP="00300FEF">
            <w:pPr>
              <w:rPr>
                <w:rFonts w:eastAsia="Times New Roman" w:cstheme="minorHAnsi"/>
                <w:sz w:val="16"/>
                <w:szCs w:val="16"/>
              </w:rPr>
            </w:pPr>
          </w:p>
        </w:tc>
        <w:tc>
          <w:tcPr>
            <w:tcW w:w="437" w:type="pct"/>
            <w:hideMark/>
          </w:tcPr>
          <w:p w14:paraId="340D585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7F0336D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54BF62A" w14:textId="77777777" w:rsidTr="006D63A2">
        <w:trPr>
          <w:trHeight w:val="1394"/>
        </w:trPr>
        <w:tc>
          <w:tcPr>
            <w:tcW w:w="652" w:type="pct"/>
            <w:hideMark/>
          </w:tcPr>
          <w:p w14:paraId="26B4A624" w14:textId="265BAFE6" w:rsidR="0034508D" w:rsidRPr="001178DB" w:rsidRDefault="001178DB"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{"citationItems":[{"id":"ITEM-1","itemData":{"DOI":"10.2147/NDT.S75975","ISBN":"1176-6328 (Print)\r1176-6328","ISSN":"11782021","PMID":"25750532","abstract":"Purpose: To evaluate the performance of a cognitive and emotional test battery in a representative sample of depressed outpatients to inform likelihood of remission over 8 weeks of treatment with each of three common antidepressant medications. Patients and methods: Outpatients 18–65 years old with nonpsychotic major depressive disorder (17 sites) were randomized to escitalopram, sertraline or venlafaxine-XR (extended release). Participants scored ≥ 12 on the baseline 16-item Quick Inventory of Depressive Symptomatology – Self-Report and completed 8 weeks of treatment. The baseline test battery measured cognitive and emotional status. Exploratory multivariate logistic regression models predicting remission (16-item Quick Inventory of Depressive Symptomatology – Self-Report score ≤5 at 8 weeks) were developed independently for each medication in subgroups stratified by age, sex, or cognitive and emotional test performance. The model with the highest cross-validated accuracy determined the participant proportion in each arm for whom remission could be predicted with an accuracy ≥10% above chance. The proportion for whom a prediction could be made with very high certainty (positive predictive value and negative predictive value exceeding 80%) was calculated by incrementally increasing test battery thresholds to predict remission/non-remission. Results: The test battery, individually developed for each medication, improved identification of remitting and non-remitting participants by ≥ 10% beyond chance for 243 of 467 participants. The overall remission rates were escitalopram: 40.8%, sertraline: 30.3%, and venlafaxine-XR: 31.1%. Within this subset for whom prediction exceeded chance, test battery thresholds established a negative predictive value of ≥ 80%, which identified 40.9% of participants not remitting on escitalopram, 77.1% of participants not remitting on sertraline, and 38.7% of participants not remitting on venlafaxine-XR (all including 20% false negatives). Conclusion: The test battery identified about 50% of each medication group as being ≥10% more or less likely to remit than by chance, and identified about 38% of individuals who did not remit with ≥ 80% certainty. Clinicians might choose to avoid this specific medication in these particular patients.","author":[{"dropping-particle":"","family":"Gordon","given":"Evian","non-dropping-particle":"","parse-names":false,"suffix":""},{"dropping-particle":"","family":"Rush","given":"A. John","non-dropping-particle":"","parse-names":false,"suffix":""},{"dropping-particle":"","family":"Palmer","given":"Donna M.","non-dropping-particle":"","parse-names":false,"suffix":""},{"dropping-particle":"","family":"Braund","given":"Taylor A.","non-dropping-particle":"","parse-names":false,"suffix":""},{"dropping-particle":"","family":"Rekshan","given":"William","non-dropping-particle":"","parse-names":false,"suffix":""}],"container-title":"Neuropsychiatric Disease and Treatment","edition":"2015/03/10","id":"ITEM-1","issued":{"date-parts":[["2015"]]},"language":"eng","note":"Gordon, Evian\nRush, A John\nPalmer, Donna M\nBraund, Taylor A\nRekshan, William\nJournal Article\nNew Zealand\nNeuropsychiatr Dis Treat. 2015 Feb 26;11:517-31. doi: 10.2147/NDT.S75975. eCollection 2015.","page":"517-531","title":"Toward an online cognitive and emotional battery to predict treatment remission in depression","type":"article-journal","volume":"11"},"uris":["http://www.mendeley.com/documents/?uuid=c3098c3e-3a14-42cf-8fea-435c20d2fc90"]}],"mendeley":{"formattedCitation":"(Gordon, Rush, Palmer, Braund, &amp; Rekshan, 2015)","plainTextFormattedCitation":"(Gordon, Rush, Palmer, Braund, &amp; Rekshan, 2015)","previouslyFormattedCitation":"(Gordon, Rush, Palmer, Braund, &amp; Rekshan, 2015)"},"properties":{"noteIndex":0},"schema":"https://github.com/citation-style-language/schema/raw/master/csl-citation.json"}</w:instrText>
            </w:r>
            <w:r>
              <w:rPr>
                <w:rFonts w:eastAsia="Times New Roman" w:cstheme="minorHAnsi"/>
                <w:color w:val="000000"/>
                <w:sz w:val="16"/>
                <w:szCs w:val="16"/>
              </w:rPr>
              <w:fldChar w:fldCharType="separate"/>
            </w:r>
            <w:r w:rsidR="00AA181B" w:rsidRPr="00AA181B">
              <w:rPr>
                <w:rFonts w:eastAsia="Times New Roman" w:cstheme="minorHAnsi"/>
                <w:noProof/>
                <w:color w:val="000000"/>
                <w:sz w:val="16"/>
                <w:szCs w:val="16"/>
              </w:rPr>
              <w:t>(Gordon, Rush, Palmer, Braund, &amp; Rekshan, 2015)</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7B568BF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Cognition, </w:t>
            </w:r>
            <w:r w:rsidRPr="003C4781">
              <w:rPr>
                <w:rFonts w:eastAsia="Times New Roman" w:cstheme="minorHAnsi"/>
                <w:color w:val="000000"/>
                <w:sz w:val="16"/>
                <w:szCs w:val="16"/>
              </w:rPr>
              <w:br/>
              <w:t>emotional cognition, clinical</w:t>
            </w:r>
          </w:p>
        </w:tc>
        <w:tc>
          <w:tcPr>
            <w:tcW w:w="345" w:type="pct"/>
            <w:hideMark/>
          </w:tcPr>
          <w:p w14:paraId="424386B9"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w:t>
            </w:r>
          </w:p>
        </w:tc>
        <w:tc>
          <w:tcPr>
            <w:tcW w:w="479" w:type="pct"/>
            <w:hideMark/>
          </w:tcPr>
          <w:p w14:paraId="33944FE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60" w:type="pct"/>
            <w:hideMark/>
          </w:tcPr>
          <w:p w14:paraId="5BC9616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Cross-validation</w:t>
            </w:r>
          </w:p>
        </w:tc>
        <w:tc>
          <w:tcPr>
            <w:tcW w:w="514" w:type="pct"/>
            <w:hideMark/>
          </w:tcPr>
          <w:p w14:paraId="57AB61A5" w14:textId="77777777" w:rsidR="0034508D" w:rsidRPr="003C4781" w:rsidRDefault="0034508D" w:rsidP="00300FEF">
            <w:pPr>
              <w:spacing w:after="240"/>
              <w:rPr>
                <w:rFonts w:eastAsia="Times New Roman" w:cstheme="minorHAnsi"/>
                <w:color w:val="000000"/>
                <w:sz w:val="16"/>
                <w:szCs w:val="16"/>
              </w:rPr>
            </w:pPr>
            <w:r w:rsidRPr="003C4781">
              <w:rPr>
                <w:rFonts w:eastAsia="Times New Roman" w:cstheme="minorHAnsi"/>
                <w:color w:val="000000"/>
                <w:sz w:val="16"/>
                <w:szCs w:val="16"/>
              </w:rPr>
              <w:t>Removing the predictor with the highest mean absolute correlations with all of the other predictors being evaluated</w:t>
            </w:r>
          </w:p>
        </w:tc>
        <w:tc>
          <w:tcPr>
            <w:tcW w:w="477" w:type="pct"/>
            <w:hideMark/>
          </w:tcPr>
          <w:p w14:paraId="64CDE8FB" w14:textId="77777777" w:rsidR="0034508D" w:rsidRPr="003C4781" w:rsidRDefault="0034508D" w:rsidP="00300FEF">
            <w:pPr>
              <w:spacing w:after="240"/>
              <w:rPr>
                <w:rFonts w:eastAsia="Times New Roman" w:cstheme="minorHAnsi"/>
                <w:color w:val="000000"/>
                <w:sz w:val="16"/>
                <w:szCs w:val="16"/>
              </w:rPr>
            </w:pPr>
          </w:p>
        </w:tc>
        <w:tc>
          <w:tcPr>
            <w:tcW w:w="480" w:type="pct"/>
            <w:hideMark/>
          </w:tcPr>
          <w:p w14:paraId="4A6FD08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3EA0BC9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376FC10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441375F5" w14:textId="77777777" w:rsidTr="006D63A2">
        <w:trPr>
          <w:trHeight w:val="458"/>
        </w:trPr>
        <w:tc>
          <w:tcPr>
            <w:tcW w:w="652" w:type="pct"/>
            <w:hideMark/>
          </w:tcPr>
          <w:p w14:paraId="5E2F88F1" w14:textId="67E1935F" w:rsidR="0034508D" w:rsidRPr="001178DB" w:rsidRDefault="001178DB"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{"citationItems":[{"id":"ITEM-1","itemData":{"DOI":"10.1038/npp.2014.226","ISBN":"0893-133x","ISSN":"1740634X","PMID":"25176167","abstract":"Major depressive disorder (MDD) in general, and anxious-depression in particular, are characterized by poor rates of remission with first-line treatments, contributing to the chronic illness burden suffered by many patients. Prospective research is needed to identify the biomarkers predicting nonremission prior to treatment initiation. We collected blood samples from a discovery cohort of 34 adult MDD patients with co-occurring anxiety and 33 matched, nondepressed controls at baseline and after 12 weeks (of citalopram plus psychotherapy treatment for the depressed cohort). Samples were processed on gene arrays and group differences in gene expression were investigated. Exploratory analyses suggest that at pretreatment baseline, nonremitting patients differ from controls with gene function and transcription factor analyses potentially related to elevated inflammation and immune activation. In a second phase, we applied an unbiased machine learning prediction model and corrected for model-selection bias. Results show that baseline gene expression predicted nonremission with 79.4% corrected accuracy with a 13-gene model. The same gene-only model predicted nonremission after 8 weeks of citalopram treatment with 76% corrected accuracy in an independent validation cohort of 63 MDD patients treated with citalopram at another institution. Together, these results demonstrate the potential, but also the limitations, of baseline peripheral blood-based gene expression to predict nonremission after citalopram treatment. These results not only support their use in future prediction tools but also suggest that increased accuracy may be obtained with the inclusion of additional predictors (eg, genetics and clinical scales).","author":[{"dropping-particle":"","family":"Guilloux","given":"Jean Philippe","non-dropping-particle":"","parse-names":false,"suffix":""},{"dropping-particle":"","family":"Bassi","given":"Sabrina","non-dropping-particle":"","parse-names":false,"suffix":""},{"dropping-particle":"","family":"Ding","given":"Ying","non-dropping-particle":"","parse-names":false,"suffix":""},{"dropping-particle":"","family":"Walsh","given":"Chris","non-dropping-particle":"","parse-names":false,"suffix":""},{"dropping-particle":"","family":"Turecki","given":"Gustavo","non-dropping-particle":"","parse-names":false,"suffix":""},{"dropping-particle":"","family":"Tseng","given":"George","non-dropping-particle":"","parse-names":false,"suffix":""},{"dropping-particle":"","family":"Cyranowski","given":"Jill M.","non-dropping-particle":"","parse-names":false,"suffix":""},{"dropping-particle":"","family":"Sibille","given":"Etienne","non-dropping-particle":"","parse-names":false,"suffix":""}],"container-title":"Neuropsychopharmacology","edition":"2014/09/02","id":"ITEM-1","issue":"3","issued":{"date-parts":[["2015"]]},"language":"eng","note":"1740-634x\nGuilloux, Jean-Philippe\nBassi, Sabrina\nDing, Ying\nWalsh, Chris\nTurecki, Gustavo\nTseng, George\nCyranowski, Jill M\nSibille, Etienne\nMH086637/MH/NIMH NIH HHS/United States\nMH084060/MH/NIMH NIH HHS/United States\nR01 MH077159/MH/NIMH NIH HHS/United States\nMH085874/MH/NIMH NIH HHS/United States\nK02 MH084060/MH/NIMH NIH HHS/United States\nR21 MH086637/MH/NIMH NIH HHS/United States\nJournal Article\nRandomized Controlled Trial\nResearch Support, N.I.H., Extramural\nResearch Support, Non-U.S. Gov't\nEngland\nNeuropsychopharmacology. 2015 Feb;40(3):701-10. doi: 10.1038/npp.2014.226. Epub 2014 Sep 1.","page":"701-710","title":"Testing the predictive value of peripheral gene expression for nonremission following citalopram treatment for major depression","type":"article-journal","volume":"40"},"uris":["http://www.mendeley.com/documents/?uuid=307d03d1-ff03-4b6f-bac7-9bf76fe415c0"]}],"mendeley":{"formattedCitation":"(Guilloux et al., 2015)","plainTextFormattedCitation":"(Guilloux et al., 2015)","previouslyFormattedCitation":"(Guilloux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(Guilloux et al., 2015)</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60A55DA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Molecular</w:t>
            </w:r>
          </w:p>
        </w:tc>
        <w:tc>
          <w:tcPr>
            <w:tcW w:w="345" w:type="pct"/>
            <w:hideMark/>
          </w:tcPr>
          <w:p w14:paraId="430733F9"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13</w:t>
            </w:r>
          </w:p>
        </w:tc>
        <w:tc>
          <w:tcPr>
            <w:tcW w:w="479" w:type="pct"/>
            <w:hideMark/>
          </w:tcPr>
          <w:p w14:paraId="0661C2E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Support-vector machine (SVM)</w:t>
            </w:r>
          </w:p>
        </w:tc>
        <w:tc>
          <w:tcPr>
            <w:tcW w:w="460" w:type="pct"/>
            <w:hideMark/>
          </w:tcPr>
          <w:p w14:paraId="6F7F03E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leave-one-out cross-validation, external validation</w:t>
            </w:r>
          </w:p>
        </w:tc>
        <w:tc>
          <w:tcPr>
            <w:tcW w:w="514" w:type="pct"/>
            <w:hideMark/>
          </w:tcPr>
          <w:p w14:paraId="76C511D9" w14:textId="77777777" w:rsidR="0034508D" w:rsidRPr="003C4781" w:rsidRDefault="0034508D" w:rsidP="00300FEF">
            <w:pPr>
              <w:rPr>
                <w:rFonts w:eastAsia="Times New Roman" w:cstheme="minorHAnsi"/>
                <w:color w:val="000000"/>
                <w:sz w:val="16"/>
                <w:szCs w:val="16"/>
              </w:rPr>
            </w:pPr>
          </w:p>
        </w:tc>
        <w:tc>
          <w:tcPr>
            <w:tcW w:w="477" w:type="pct"/>
            <w:hideMark/>
          </w:tcPr>
          <w:p w14:paraId="014AB1BD" w14:textId="77777777" w:rsidR="0034508D" w:rsidRPr="003C4781" w:rsidRDefault="0034508D" w:rsidP="00300FEF">
            <w:pPr>
              <w:rPr>
                <w:rFonts w:eastAsia="Times New Roman" w:cstheme="minorHAnsi"/>
                <w:sz w:val="16"/>
                <w:szCs w:val="16"/>
              </w:rPr>
            </w:pPr>
          </w:p>
        </w:tc>
        <w:tc>
          <w:tcPr>
            <w:tcW w:w="480" w:type="pct"/>
            <w:hideMark/>
          </w:tcPr>
          <w:p w14:paraId="2991558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478B334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Non-remission</w:t>
            </w:r>
          </w:p>
        </w:tc>
        <w:tc>
          <w:tcPr>
            <w:tcW w:w="547" w:type="pct"/>
            <w:hideMark/>
          </w:tcPr>
          <w:p w14:paraId="4239F25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Medicine plus psychotherapy</w:t>
            </w:r>
          </w:p>
        </w:tc>
      </w:tr>
      <w:tr w:rsidR="00705248" w:rsidRPr="003C4781" w14:paraId="6211B41C" w14:textId="77777777" w:rsidTr="006D63A2">
        <w:trPr>
          <w:trHeight w:val="548"/>
        </w:trPr>
        <w:tc>
          <w:tcPr>
            <w:tcW w:w="652" w:type="pct"/>
            <w:hideMark/>
          </w:tcPr>
          <w:p w14:paraId="39A11D3C" w14:textId="7CCC6216" w:rsidR="0034508D" w:rsidRPr="003C4781" w:rsidRDefault="003A281C"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{"citationItems":[{"id":"ITEM-1","itemData":{"DOI":"10.1016/j.jad.2019.05.070","ISBN":"1573-2517 (Electronic)\r0165-0327 (Linking)","ISSN":"15732517","PMID":"31176185","abstract":"Background: Prediction of therapeutic outcome of repetitive transcranial magnetic stimulation (rTMS) treatment is an important purpose that eliminates financial and psychological consequences of applying inefficient therapy. To achieve this goal we proposed a method based on machine learning to classify responders (R) and non- responders (NR) to rTMS treatment for major depression disorder (MDD) patients. Methods: 19 electrodes resting state EEG was recorded from 46 MDD patients before treatment. Then patients underwent 7 weeks of rTMS, and 23 of them responded to treatment. Features extracted from EEG include Lempel-Ziv complexity (LZC), Katz fractal dimension (KFD), correlation dimension (CD), the power spectral density, features based on bispectrum, frontal and prefrontal cordance and combination of them. The most relevant features were selected by the minimal-redundancy-maximal-relevance (mRMR) feature selection algorithm. For classifying two groups of R and NR, k-nearest neighbors (KNN) were applied. The performance of the proposed method was evaluated by leave-1-out cross-validation. For further study, the capability of features in differentiating R and NR was investigated by a statistical test. Results: Effective EEG features for prediction of rTMS treatment response were found. EEG beta power, the sum of bispectrum diagonal elements in delta and beta bands and CD were the most discriminative features. Power of beta classified R and NR with the high performance of 91.3% accuracy, 91.3% specificity, and 91.3% sensitivity. Limitations: Lack of large sample size restricted our method for using in clinical applications. Conclusion: This considerable high accuracy indicates that our proposed method with power and some of the nonlinear and bispectral features can lead to promising results in predicting treatment outcome of rTMS for MDD patients only by one session pretreatment EEG recording.","author":[{"dropping-particle":"","family":"Hasanzadeh","given":"Fatemeh","non-dropping-particle":"","parse-names":false,"suffix":""},{"dropping-particle":"","family":"Mohebbi","given":"Maryam","non-dropping-particle":"","parse-names":false,"suffix":""},{"dropping-particle":"","family":"Rostami","given":"Reza","non-dropping-particle":"","parse-names":false,"suffix":""}],"container-title":"Journal of Affective Disorders","edition":"2019/06/09","id":"ITEM-1","issued":{"date-parts":[["2019"]]},"note":"Hasanzadeh, Fatemeh\nMohebbi, Maryam\nRostami, Reza\neng\nNetherlands\nJ Affect Disord. 2019 Sep 1;256:132-142. doi: 10.1016/j.jad.2019.05.070. Epub 2019 May 28.","page":"132-142","title":"Prediction of rTMS treatment response in major depressive disorder using machine learning techniques and nonlinear features of EEG signal","type":"article-journal","volume":"256"},"uris":["http://www.mendeley.com/documents/?uuid=67a834f4-de98-4268-bbb9-8cf3d980757e"]}],"mendeley":{"formattedCitation":"(Hasanzadeh, Mohebbi, &amp; Rostami, 2019)","plainTextFormattedCitation":"(Hasanzadeh, Mohebbi, &amp; Rostami, 2019)","previouslyFormattedCitation":"(Hasanzadeh, Mohebbi, &amp; Rostami, 2019)"},"properties":{"noteIndex":0},"schema":"https://github.com/citation-style-language/schema/raw/master/csl-citation.json"}</w:instrText>
            </w:r>
            <w:r>
              <w:rPr>
                <w:rFonts w:eastAsia="Times New Roman" w:cstheme="minorHAnsi"/>
                <w:color w:val="000000"/>
                <w:sz w:val="16"/>
                <w:szCs w:val="16"/>
              </w:rPr>
              <w:fldChar w:fldCharType="separate"/>
            </w:r>
            <w:r w:rsidR="00AA181B" w:rsidRPr="00AA181B">
              <w:rPr>
                <w:rFonts w:eastAsia="Times New Roman" w:cstheme="minorHAnsi"/>
                <w:noProof/>
                <w:color w:val="000000"/>
                <w:sz w:val="16"/>
                <w:szCs w:val="16"/>
              </w:rPr>
              <w:t>(Hasanzadeh, Mohebbi, &amp; Rostami, 2019)</w:t>
            </w:r>
            <w:r>
              <w:rPr>
                <w:rFonts w:eastAsia="Times New Roman" w:cstheme="minorHAnsi"/>
                <w:color w:val="000000"/>
                <w:sz w:val="16"/>
                <w:szCs w:val="16"/>
              </w:rPr>
              <w:fldChar w:fldCharType="end"/>
            </w:r>
          </w:p>
        </w:tc>
        <w:tc>
          <w:tcPr>
            <w:tcW w:w="607" w:type="pct"/>
            <w:hideMark/>
          </w:tcPr>
          <w:p w14:paraId="74EB497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16EE6DA"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4</w:t>
            </w:r>
          </w:p>
        </w:tc>
        <w:tc>
          <w:tcPr>
            <w:tcW w:w="479" w:type="pct"/>
            <w:hideMark/>
          </w:tcPr>
          <w:p w14:paraId="169AF3B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K-nearest neighbors (KNN)</w:t>
            </w:r>
          </w:p>
        </w:tc>
        <w:tc>
          <w:tcPr>
            <w:tcW w:w="460" w:type="pct"/>
            <w:hideMark/>
          </w:tcPr>
          <w:p w14:paraId="5184880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Leave-one-out cross- validation</w:t>
            </w:r>
          </w:p>
        </w:tc>
        <w:tc>
          <w:tcPr>
            <w:tcW w:w="514" w:type="pct"/>
            <w:hideMark/>
          </w:tcPr>
          <w:p w14:paraId="6462492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Minimal-redundancy-maximal-relevance (</w:t>
            </w:r>
            <w:proofErr w:type="spellStart"/>
            <w:r w:rsidRPr="003C4781">
              <w:rPr>
                <w:rFonts w:eastAsia="Times New Roman" w:cstheme="minorHAnsi"/>
                <w:color w:val="000000"/>
                <w:sz w:val="16"/>
                <w:szCs w:val="16"/>
              </w:rPr>
              <w:t>mRMR</w:t>
            </w:r>
            <w:proofErr w:type="spellEnd"/>
            <w:r w:rsidRPr="003C4781">
              <w:rPr>
                <w:rFonts w:eastAsia="Times New Roman" w:cstheme="minorHAnsi"/>
                <w:color w:val="000000"/>
                <w:sz w:val="16"/>
                <w:szCs w:val="16"/>
              </w:rPr>
              <w:t>)</w:t>
            </w:r>
          </w:p>
        </w:tc>
        <w:tc>
          <w:tcPr>
            <w:tcW w:w="477" w:type="pct"/>
            <w:hideMark/>
          </w:tcPr>
          <w:p w14:paraId="299CEA3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Multiple artifact rejection algorithm (MARA)</w:t>
            </w:r>
          </w:p>
        </w:tc>
        <w:tc>
          <w:tcPr>
            <w:tcW w:w="480" w:type="pct"/>
            <w:hideMark/>
          </w:tcPr>
          <w:p w14:paraId="03D1BDF6" w14:textId="77777777" w:rsidR="0034508D" w:rsidRPr="003C4781" w:rsidRDefault="0034508D" w:rsidP="00300FEF">
            <w:pPr>
              <w:rPr>
                <w:rFonts w:eastAsia="Times New Roman" w:cstheme="minorHAnsi"/>
                <w:color w:val="000000"/>
                <w:sz w:val="16"/>
                <w:szCs w:val="16"/>
              </w:rPr>
            </w:pPr>
          </w:p>
        </w:tc>
        <w:tc>
          <w:tcPr>
            <w:tcW w:w="437" w:type="pct"/>
            <w:hideMark/>
          </w:tcPr>
          <w:p w14:paraId="20713D8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351BEC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3D885F9F" w14:textId="77777777" w:rsidTr="006D63A2">
        <w:trPr>
          <w:trHeight w:val="458"/>
        </w:trPr>
        <w:tc>
          <w:tcPr>
            <w:tcW w:w="652" w:type="pct"/>
            <w:hideMark/>
          </w:tcPr>
          <w:p w14:paraId="5C3776C1" w14:textId="6BA66FAB" w:rsidR="0034508D" w:rsidRPr="003A281C" w:rsidRDefault="003A281C"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{"citationItems":[{"id":"ITEM-1","itemData":{"DOI":"10.1016/j.jpsychires.2016.03.016","ISBN":"0022-3956","ISSN":"18791379","PMID":"27089522","abstract":"The outcome of treatment with antidepressants varies markedly across people with the same diagnosis. A clinically significant prediction of outcomes could spare the frustration of trial and error approach and improve the outcomes of major depressive disorder through individualized treatment selection. It is likely that a combination of multiple predictors is needed to achieve such prediction. We used elastic net regularized regression to optimize prediction of symptom improvement and remission during treatment with escitalopram or nortriptyline and to identify contributing predictors from a range of demographic and clinical variables in 793 adults with major depressive disorder. A combination of demographic and clinical variables, with strong contributions from symptoms of depressed mood, reduced interest, decreased activity, indecisiveness, pessimism and anxiety significantly predicted treatment outcomes, explaining 5-10% of variance in symptom improvement with escitalopram. Similar combinations of variables predicted remission with area under the curve 0.72, explaining approximately 15% of variance (pseudo R2) in who achieves remission, with strong contributions from body mass index, appetite, interest-activity symptom dimension and anxious-somatizing depression subtype. Escitalopram-specific outcome prediction was more accurate than generic outcome prediction, and reached effect sizes that were near or above a previously established benchmark for clinical significance. Outcome prediction on the nortriptyline arm did not significantly differ from chance. These results suggest that easily obtained demographic and clinical variables can predict therapeutic response to escitalopram with clinically meaningful accuracy, suggesting a potential for individualized prescription of this antidepressant drug.","author":[{"dropping-particle":"","family":"Iniesta","given":"Raquel","non-dropping-particle":"","parse-names":false,"suffix":""},{"dropping-particle":"","family":"Malki","given":"Karim","non-dropping-particle":"","parse-names":false,"suffix":""},{"dropping-particle":"","family":"Maier","given":"Wolfgang","non-dropping-particle":"","parse-names":false,"suffix":""},{"dropping-particle":"","family":"Rietschel","given":"Marcella","non-dropping-particle":"","parse-names":false,"suffix":""},{"dropping-particle":"","family":"Mors","given":"Ole","non-dropping-particle":"","parse-names":false,"suffix":""},{"dropping-particle":"","family":"Hauser","given":"Joanna","non-dropping-particle":"","parse-names":false,"suffix":""},{"dropping-particle":"","family":"Henigsberg","given":"Neven","non-dropping-particle":"","parse-names":false,"suffix":""},{"dropping-particle":"","family":"Dernovsek","given":"Mojca Zvezdana","non-dropping-particle":"","parse-names":false,"suffix":""},{"dropping-particle":"","family":"Souery","given":"Daniel","non-dropping-particle":"","parse-names":false,"suffix":""},{"dropping-particle":"","family":"Stahl","given":"Daniel","non-dropping-particle":"","parse-names":false,"suffix":""},{"dropping-particle":"","family":"Dobson","given":"Richard","non-dropping-particle":"","parse-names":false,"suffix":""},{"dropping-particle":"","family":"Aitchison","given":"Katherine J.","non-dropping-particle":"","parse-names":false,"suffix":""},{"dropping-particle":"","family":"Farmer","given":"Anne","non-dropping-particle":"","parse-names":false,"suffix":""},{"dropping-particle":"","family":"Lewis","given":"Cathryn M.","non-dropping-particle":"","parse-names":false,"suffix":""},{"dropping-particle":"","family":"McGuffin","given":"Peter","non-dropping-particle":"","parse-names":false,"suffix":""},{"dropping-particle":"","family":"Uher","given":"Rudolf","non-dropping-particle":"","parse-names":false,"suffix":""}],"container-title":"Journal of Psychiatric Research","edition":"2016/04/19","id":"ITEM-1","issued":{"date-parts":[["2016"]]},"language":"eng","note":"1879-1379\nIniesta, Raquel\nMalki, Karim\nMaier, Wolfgang\nRietschel, Marcella\nMors, Ole\nHauser, Joanna\nHenigsberg, Neven\nDernovsek, Mojca Zvezdana\nSouery, Daniel\nStahl, Daniel\nDobson, Richard\nAitchison, Katherine J\nFarmer, Anne\nLewis, Cathryn M\nMcGuffin, Peter\nUher, Rudolf\nComparative Study\nJournal Article\nMulticenter Study\nRandomized Controlled Trial\nResearch Support, Non-U.S. Gov't\nEngland\nJ Psychiatr Res. 2016 Jul;78:94-102. doi: 10.1016/j.jpsychires.2016.03.016. Epub 2016 Apr 1.","page":"94-102","title":"Combining clinical variables to optimize prediction of antidepressant treatment outcomes","type":"article-journal","volume":"78"},"uris":["http://www.mendeley.com/documents/?uuid=06bb5b03-e20f-4a6c-bbc7-ec7651b6b76b"]}],"mendeley":{"formattedCitation":"(Iniesta et al., 2016)","plainTextFormattedCitation":"(Iniesta et al., 2016)","previouslyFormattedCitation":"(Iniesta et al., 2016)"},"properties":{"noteIndex":0},"schema":"https://github.com/citation-style-language/schema/raw/master/csl-citation.json"}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(Iniesta et al., 2016)</w:t>
            </w:r>
            <w:r>
              <w:rPr>
                <w:rFonts w:eastAsia="Times New Roman" w:cstheme="minorHAnsi"/>
                <w:color w:val="000000"/>
                <w:sz w:val="16"/>
                <w:szCs w:val="16"/>
              </w:rPr>
              <w:fldChar w:fldCharType="end"/>
            </w:r>
          </w:p>
        </w:tc>
        <w:tc>
          <w:tcPr>
            <w:tcW w:w="607" w:type="pct"/>
            <w:hideMark/>
          </w:tcPr>
          <w:p w14:paraId="56D3A91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Demographical and clinical</w:t>
            </w:r>
          </w:p>
        </w:tc>
        <w:tc>
          <w:tcPr>
            <w:tcW w:w="345" w:type="pct"/>
            <w:hideMark/>
          </w:tcPr>
          <w:p w14:paraId="110BF064"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125</w:t>
            </w:r>
          </w:p>
        </w:tc>
        <w:tc>
          <w:tcPr>
            <w:tcW w:w="479" w:type="pct"/>
            <w:hideMark/>
          </w:tcPr>
          <w:p w14:paraId="1211F5E9" w14:textId="77777777" w:rsidR="0034508D" w:rsidRPr="003C4781" w:rsidRDefault="0099128E" w:rsidP="00300FEF">
            <w:pPr>
              <w:rPr>
                <w:rFonts w:eastAsia="Times New Roman" w:cstheme="minorHAnsi"/>
                <w:color w:val="000000"/>
                <w:sz w:val="16"/>
                <w:szCs w:val="16"/>
              </w:rPr>
            </w:pPr>
            <w:r>
              <w:rPr>
                <w:rFonts w:eastAsia="Times New Roman" w:cstheme="minorHAnsi"/>
                <w:color w:val="000000"/>
                <w:sz w:val="16"/>
                <w:szCs w:val="16"/>
              </w:rPr>
              <w:t>Elastic net</w:t>
            </w:r>
            <w:r>
              <w:rPr>
                <w:rFonts w:eastAsia="Times New Roman" w:cstheme="minorHAnsi"/>
                <w:color w:val="000000"/>
                <w:sz w:val="16"/>
                <w:szCs w:val="16"/>
              </w:rPr>
              <w:br/>
            </w:r>
            <w:r w:rsidR="0034508D" w:rsidRPr="003C4781">
              <w:rPr>
                <w:rFonts w:eastAsia="Times New Roman" w:cstheme="minorHAnsi"/>
                <w:color w:val="000000"/>
                <w:sz w:val="16"/>
                <w:szCs w:val="16"/>
              </w:rPr>
              <w:t>regularized regression</w:t>
            </w:r>
          </w:p>
        </w:tc>
        <w:tc>
          <w:tcPr>
            <w:tcW w:w="460" w:type="pct"/>
            <w:hideMark/>
          </w:tcPr>
          <w:p w14:paraId="5613AD5B" w14:textId="77777777" w:rsidR="0034508D" w:rsidRPr="003C4781" w:rsidRDefault="0034508D" w:rsidP="00A04D7A">
            <w:pPr>
              <w:rPr>
                <w:rFonts w:eastAsia="Times New Roman" w:cstheme="minorHAnsi"/>
                <w:color w:val="000000"/>
                <w:sz w:val="16"/>
                <w:szCs w:val="16"/>
              </w:rPr>
            </w:pPr>
            <w:r w:rsidRPr="003C4781">
              <w:rPr>
                <w:rFonts w:eastAsia="Times New Roman" w:cstheme="minorHAnsi"/>
                <w:color w:val="000000"/>
                <w:sz w:val="16"/>
                <w:szCs w:val="16"/>
              </w:rPr>
              <w:t>10-fold cross-validation and permutation</w:t>
            </w:r>
          </w:p>
        </w:tc>
        <w:tc>
          <w:tcPr>
            <w:tcW w:w="514" w:type="pct"/>
            <w:hideMark/>
          </w:tcPr>
          <w:p w14:paraId="4BEE615C" w14:textId="77777777" w:rsidR="0034508D" w:rsidRPr="003C4781" w:rsidRDefault="0034508D" w:rsidP="00300FEF">
            <w:pPr>
              <w:rPr>
                <w:rFonts w:eastAsia="Times New Roman" w:cstheme="minorHAnsi"/>
                <w:color w:val="000000"/>
                <w:sz w:val="16"/>
                <w:szCs w:val="16"/>
              </w:rPr>
            </w:pPr>
          </w:p>
        </w:tc>
        <w:tc>
          <w:tcPr>
            <w:tcW w:w="477" w:type="pct"/>
            <w:hideMark/>
          </w:tcPr>
          <w:p w14:paraId="1319F671" w14:textId="77777777" w:rsidR="0034508D" w:rsidRPr="003C4781" w:rsidRDefault="0034508D" w:rsidP="00300FEF">
            <w:pPr>
              <w:rPr>
                <w:rFonts w:eastAsia="Times New Roman" w:cstheme="minorHAnsi"/>
                <w:sz w:val="16"/>
                <w:szCs w:val="16"/>
              </w:rPr>
            </w:pPr>
          </w:p>
        </w:tc>
        <w:tc>
          <w:tcPr>
            <w:tcW w:w="480" w:type="pct"/>
            <w:hideMark/>
          </w:tcPr>
          <w:p w14:paraId="661015B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121E881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3858B0E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A39DDFC" w14:textId="77777777" w:rsidTr="006D63A2">
        <w:trPr>
          <w:trHeight w:val="971"/>
        </w:trPr>
        <w:tc>
          <w:tcPr>
            <w:tcW w:w="652" w:type="pct"/>
            <w:hideMark/>
          </w:tcPr>
          <w:p w14:paraId="33C92357" w14:textId="339B5CCD"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{"citationItems":[{"id":"ITEM-1","itemData":{"DOI":"10.1038/s41598-018-23584-z","ISBN":"2045-2322","ISSN":"20452322","PMID":"29615645","abstract":"Individuals with depression differ substantially in their response to treatment with antidepressants. Specific predictors explain only a small proportion of these differences. To meaningfully predict who will respond to which antidepressant, it may be necessary to combine multiple biomarkers and clinical variables. Using statistical learning on common genetic variants and clinical information in a training sample of 280 individuals randomly allocated to 12-week treatment with antidepressants escitalopram or nortriptyline, we derived models to predict remission with each antidepressant drug. We tested the reproducibility of each prediction in a validation set of 150 participants not used in model derivation. An elastic net logistic model based on eleven genetic and six clinical variables predicted remission with escitalopram in the validation dataset with area under the curve 0.77 (95%CI; 0.66-0.88; p = 0.004), explaining approximately 30% of variance in who achieves remission. A model derived from 20 genetic variables predicted remission with nortriptyline in the validation dataset with an area under the curve 0.77 (95%CI; 0.65-0.90; p &lt; 0.001), explaining approximately 36% of variance in who achieves remission. The predictive models were antidepressant drug-specific. Validated drug-specific predictions suggest that a relatively small number of genetic and clinical variables can help select treatment between escitalopram and nortriptyline.","author":[{"dropping-particle":"","family":"Iniesta","given":"Raquel","non-dropping-particle":"","parse-names":false,"suffix":""},{"dropping-particle":"","family":"Hodgson","given":"Karen","non-dropping-particle":"","parse-names":false,"suffix":""},{"dropping-particle":"","family":"Stahl","given":"Daniel","non-dropping-particle":"","parse-names":false,"suffix":""},{"dropping-particle":"","family":"Malki","given":"Karim","non-dropping-particle":"","parse-names":false,"suffix":""},{"dropping-particle":"","family":"Maier","given":"Wolfgang","non-dropping-particle":"","parse-names":false,"suffix":""},{"dropping-particle":"","family":"Rietschel","given":"Marcella","non-dropping-particle":"","parse-names":false,"suffix":""},{"dropping-particle":"","family":"Mors","given":"Ole","non-dropping-particle":"","parse-names":false,"suffix":""},{"dropping-particle":"","family":"Hauser","given":"Joanna","non-dropping-particle":"","parse-names":false,"suffix":""},{"dropping-particle":"","family":"Henigsberg","given":"Neven","non-dropping-particle":"","parse-names":false,"suffix":""},{"dropping-particle":"","family":"Dernovsek","given":"Mojca Zvezdana","non-dropping-particle":"","parse-names":false,"suffix":""},{"dropping-particle":"","family":"Souery","given":"Daniel","non-dropping-particle":"","parse-names":false,"suffix":""},{"dropping-particle":"","family":"Dobson","given":"Richard","non-dropping-particle":"","parse-names":false,"suffix":""},{"dropping-particle":"","family":"Aitchison","given":"Katherine J.","non-dropping-particle":"","parse-names":false,"suffix":""},{"dropping-particle":"","family":"Farmer","given":"Anne","non-dropping-particle":"","parse-names":false,"suffix":""},{"dropping-particle":"","family":"McGuffin","given":"Peter","non-dropping-particle":"","parse-names":false,"suffix":""},{"dropping-particle":"","family":"Lewis","given":"Cathryn M.","non-dropping-particle":"","parse-names":false,"suffix":""},{"dropping-particle":"","family":"Uher","given":"Rudolf","non-dropping-particle":"","parse-names":false,"suffix":""}],"container-title":"Scientific Reports","edition":"2018/04/05","id":"ITEM-1","issue":"1","issued":{"date-parts":[["2018"]]},"language":"eng","note":"2045-2322\nIniesta, Raquel\nHodgson, Karen\nStahl, Daniel\nMalki, Karim\nMaier, Wolfgang\nRietschel, Marcella\nOrcid: 0000-0002-5236-6149\nMors, Ole\nHauser, Joanna\nHenigsberg, Neven\nDernovsek, Mojca Zvezdana\nSouery, Daniel\nDobson, Richard\nOrcid: 0000-0003-4224-9245\nAitchison, Katherine J\nFarmer, Anne\nMcGuffin, Peter\nLewis, Cathryn M\nOrcid: 0000-0002-8249-8476\nUher, Rudolf\nJournal Article\nRandomized Controlled Trial\nEngland\nSci Rep. 2018 Apr 3;8(1):5530. doi: 10.1038/s41598-018-23584-z.","page":"5530","title":"Antidepressant drug-specific prediction of depression treatment outcomes from genetic and clinical variables","type":"article-journal","volume":"8"},"uris":["http://www.mendeley.com/documents/?uuid=bf18dd36-8be9-4926-b21e-81831f598fb4"]}],"mendeley":{"formattedCitation":"(Iniesta et al., 2018)","plainTextFormattedCitation":"(Iniesta et al., 2018)","previouslyFormattedCitation":"(Iniesta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(Iniesta et al., 2018)</w:t>
            </w:r>
            <w:r>
              <w:rPr>
                <w:rFonts w:eastAsia="Times New Roman" w:cstheme="minorHAnsi"/>
                <w:color w:val="000000"/>
                <w:sz w:val="16"/>
                <w:szCs w:val="16"/>
              </w:rPr>
              <w:fldChar w:fldCharType="end"/>
            </w:r>
          </w:p>
        </w:tc>
        <w:tc>
          <w:tcPr>
            <w:tcW w:w="607" w:type="pct"/>
            <w:hideMark/>
          </w:tcPr>
          <w:p w14:paraId="465D8C8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Genetic</w:t>
            </w:r>
            <w:r w:rsidR="00D25CA7">
              <w:rPr>
                <w:rFonts w:eastAsia="Times New Roman" w:cstheme="minorHAnsi"/>
                <w:color w:val="000000"/>
                <w:sz w:val="16"/>
                <w:szCs w:val="16"/>
              </w:rPr>
              <w:t>s</w:t>
            </w:r>
            <w:r w:rsidRPr="003C4781">
              <w:rPr>
                <w:rFonts w:eastAsia="Times New Roman" w:cstheme="minorHAnsi"/>
                <w:color w:val="000000"/>
                <w:sz w:val="16"/>
                <w:szCs w:val="16"/>
              </w:rPr>
              <w:t>, clinical</w:t>
            </w:r>
          </w:p>
        </w:tc>
        <w:tc>
          <w:tcPr>
            <w:tcW w:w="345" w:type="pct"/>
            <w:hideMark/>
          </w:tcPr>
          <w:p w14:paraId="0DE43125"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20</w:t>
            </w:r>
          </w:p>
        </w:tc>
        <w:tc>
          <w:tcPr>
            <w:tcW w:w="479" w:type="pct"/>
            <w:hideMark/>
          </w:tcPr>
          <w:p w14:paraId="063E0AB9" w14:textId="77777777" w:rsidR="0034508D" w:rsidRPr="003C4781" w:rsidRDefault="0099128E" w:rsidP="00300FEF">
            <w:pPr>
              <w:rPr>
                <w:rFonts w:eastAsia="Times New Roman" w:cstheme="minorHAnsi"/>
                <w:color w:val="000000"/>
                <w:sz w:val="16"/>
                <w:szCs w:val="16"/>
              </w:rPr>
            </w:pPr>
            <w:r>
              <w:rPr>
                <w:rFonts w:eastAsia="Times New Roman" w:cstheme="minorHAnsi"/>
                <w:color w:val="000000"/>
                <w:sz w:val="16"/>
                <w:szCs w:val="16"/>
              </w:rPr>
              <w:t>Elastic net</w:t>
            </w:r>
            <w:r>
              <w:rPr>
                <w:rFonts w:eastAsia="Times New Roman" w:cstheme="minorHAnsi"/>
                <w:color w:val="000000"/>
                <w:sz w:val="16"/>
                <w:szCs w:val="16"/>
              </w:rPr>
              <w:br/>
            </w:r>
            <w:r w:rsidR="0034508D" w:rsidRPr="003C4781">
              <w:rPr>
                <w:rFonts w:eastAsia="Times New Roman" w:cstheme="minorHAnsi"/>
                <w:color w:val="000000"/>
                <w:sz w:val="16"/>
                <w:szCs w:val="16"/>
              </w:rPr>
              <w:t>regularized regression</w:t>
            </w:r>
          </w:p>
        </w:tc>
        <w:tc>
          <w:tcPr>
            <w:tcW w:w="460" w:type="pct"/>
            <w:hideMark/>
          </w:tcPr>
          <w:p w14:paraId="152E0A1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5-fold cross-validation and holdout external replication</w:t>
            </w:r>
          </w:p>
        </w:tc>
        <w:tc>
          <w:tcPr>
            <w:tcW w:w="514" w:type="pct"/>
            <w:hideMark/>
          </w:tcPr>
          <w:p w14:paraId="2246C92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CAT score</w:t>
            </w:r>
          </w:p>
        </w:tc>
        <w:tc>
          <w:tcPr>
            <w:tcW w:w="477" w:type="pct"/>
            <w:hideMark/>
          </w:tcPr>
          <w:p w14:paraId="109F0BF3" w14:textId="77777777" w:rsidR="0034508D" w:rsidRPr="003C4781" w:rsidRDefault="0034508D" w:rsidP="00300FEF">
            <w:pPr>
              <w:rPr>
                <w:rFonts w:eastAsia="Times New Roman" w:cstheme="minorHAnsi"/>
                <w:color w:val="000000"/>
                <w:sz w:val="16"/>
                <w:szCs w:val="16"/>
              </w:rPr>
            </w:pPr>
          </w:p>
        </w:tc>
        <w:tc>
          <w:tcPr>
            <w:tcW w:w="480" w:type="pct"/>
            <w:hideMark/>
          </w:tcPr>
          <w:p w14:paraId="409A20A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Bagged tree nonparametric method</w:t>
            </w:r>
          </w:p>
        </w:tc>
        <w:tc>
          <w:tcPr>
            <w:tcW w:w="437" w:type="pct"/>
            <w:hideMark/>
          </w:tcPr>
          <w:p w14:paraId="73E3630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755C1FB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1B2F3F81" w14:textId="77777777" w:rsidTr="006D63A2">
        <w:trPr>
          <w:trHeight w:val="620"/>
        </w:trPr>
        <w:tc>
          <w:tcPr>
            <w:tcW w:w="652" w:type="pct"/>
            <w:hideMark/>
          </w:tcPr>
          <w:p w14:paraId="49060E66" w14:textId="1D34C7D1"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{"citationItems":[{"id":"ITEM-1","itemData":{"DOI":"10.3389/fpsyt.2018.00768","ISBN":"1664-0640","ISSN":"16640640","abstract":"Background: Individuals with major depressive disorder (MDD) vary in their response to antidepressants. However, identifying objective biomarkers, prior to or early in the course of treatment that can predict antidepressant efficacy, remains a challenge. Methods:Individuals with MDD participated in a 12-week antidepressant pharmacotherapy trial. Electroencephalographic (EEG) data was collected before and 1 week post-treatment initiation in 51 patients. Response status at week 12 was established with the Montgomery-Asberg Depression Scale (MADRS), with a ≥50% decrease characterizing responders (N = 27/24 responders/non-responders). We used a machine learning (ML)-approach for predicting response status. We focused on Random Forests, though other ML methods were compared. First, we used a tree-based estimator to select a relatively small number of significant features from: (a) demographic/clinical data (age, sex, individual item/total MADRS scores at baseline, week 1, change scores); (b) scalp-level EEG power; (c) source-localized current density (via exact low-resolution electromagnetic tomography [eLORETA] software). Second, we applied kernel principal component analysis to reduce and map important features. Third, a set of ML models were constructed to classify response outcome based on mapped features. For each dataset, predictive features were extracted, followed by a model of all predictive features, and finally by a model of the most predictive features. Results: Fifty eLORETA features were predictive of response (across bands, both time-points); alpha1/theta eLORETA features showed the highest predictive value. Eighty-eight scalp EEG features were predictive of response (across bands, both time-points), with theta/alpha2 being most predictive. Clinical/demographic data consisted of 31 features, with the most important being week 1 “concentration difficulty” scores. When all features were included into one model, its predictive utility was high (88% accuracy). When the most important features were extracted in the final model, 12 predictive features emerged (78% accuracy), including baseline scalp-EEG frontopolar theta, parietal alpha2 and frontopolar alpha1. Conclusions: These findings suggest that ML models of pre- and early treatment-emergent EEG profiles and clinical features can serve as tools for predicting antidepressant response. While this must be replicated using large independent samples, it lays the groundwork for research on personali…","author":[{"dropping-particle":"","family":"Jaworska","given":"Natalia","non-dropping-particle":"","parse-names":false,"suffix":""},{"dropping-particle":"","family":"La Salle","given":"Sara","non-dropping-particle":"De","parse-names":false,"suffix":""},{"dropping-particle":"","family":"Ibrahim","given":"Mohamed Hamza","non-dropping-particle":"","parse-names":false,"suffix":""},{"dropping-particle":"","family":"Blier","given":"Pierre","non-dropping-particle":"","parse-names":false,"suffix":""},{"dropping-particle":"","family":"Knott","given":"Verner","non-dropping-particle":"","parse-names":false,"suffix":""}],"container-title":"Frontiers in Psychiatry","id":"ITEM-1","issue":"JAN","issued":{"date-parts":[["2019"]]},"page":"768","title":"Leveraging machine learning approaches for predicting antidepressant treatment response using electroencephalography (EEG) and clinical data","type":"article","volume":"10"},"uris":["http://www.mendeley.com/documents/?uuid=15940ce6-2baf-45b8-9865-d9f94b8de2d0"]}],"mendeley":{"formattedCitation":"(Jaworska, De La Salle, Ibrahim, Blier, &amp; Knott, 2019)","plainTextFormattedCitation":"(Jaworska, De La Salle, Ibrahim, Blier, &amp; Knott, 2019)","previouslyFormattedCitation":"(Jaworska, De La Salle, Ibrahim, Blier, &amp; Knott, 2019)"},"properties":{"noteIndex":0},"schema":"https://github.com/citation-style-language/schema/raw/master/csl-citation.json"}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(Jaworska, De La Salle, Ibrahim, Blier, &amp; Knott, 2019)</w:t>
            </w:r>
            <w:r>
              <w:rPr>
                <w:rFonts w:eastAsia="Times New Roman" w:cstheme="minorHAnsi"/>
                <w:color w:val="000000"/>
                <w:sz w:val="16"/>
                <w:szCs w:val="16"/>
              </w:rPr>
              <w:fldChar w:fldCharType="end"/>
            </w:r>
            <w:r w:rsidR="003A281C">
              <w:rPr>
                <w:rFonts w:eastAsia="Times New Roman" w:cstheme="minorHAnsi"/>
                <w:color w:val="000000"/>
                <w:sz w:val="16"/>
                <w:szCs w:val="16"/>
                <w:vertAlign w:val="superscript"/>
              </w:rPr>
              <w:t xml:space="preserve"> </w:t>
            </w:r>
            <w:r w:rsidR="0034508D" w:rsidRPr="003C4781">
              <w:rPr>
                <w:rFonts w:eastAsia="Times New Roman" w:cstheme="minorHAnsi"/>
                <w:color w:val="000000"/>
                <w:sz w:val="16"/>
                <w:szCs w:val="16"/>
              </w:rPr>
              <w:t>(2019)</w:t>
            </w:r>
          </w:p>
        </w:tc>
        <w:tc>
          <w:tcPr>
            <w:tcW w:w="607" w:type="pct"/>
            <w:hideMark/>
          </w:tcPr>
          <w:p w14:paraId="0863309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Demographical, clinical, neuroimaging</w:t>
            </w:r>
          </w:p>
        </w:tc>
        <w:tc>
          <w:tcPr>
            <w:tcW w:w="345" w:type="pct"/>
            <w:hideMark/>
          </w:tcPr>
          <w:p w14:paraId="604B6937"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169</w:t>
            </w:r>
          </w:p>
        </w:tc>
        <w:tc>
          <w:tcPr>
            <w:tcW w:w="479" w:type="pct"/>
            <w:hideMark/>
          </w:tcPr>
          <w:p w14:paraId="48105FD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Random Forests</w:t>
            </w:r>
          </w:p>
        </w:tc>
        <w:tc>
          <w:tcPr>
            <w:tcW w:w="460" w:type="pct"/>
            <w:hideMark/>
          </w:tcPr>
          <w:p w14:paraId="37387991" w14:textId="44C03FDB" w:rsidR="0034508D" w:rsidRPr="003C4781" w:rsidRDefault="0034508D">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0C9C82B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Extremely</w:t>
            </w:r>
            <w:r w:rsidRPr="003C4781">
              <w:rPr>
                <w:rFonts w:eastAsia="Times New Roman" w:cstheme="minorHAnsi"/>
                <w:color w:val="000000"/>
                <w:sz w:val="16"/>
                <w:szCs w:val="16"/>
              </w:rPr>
              <w:br/>
              <w:t>randomized trees (ERT) algorithm</w:t>
            </w:r>
          </w:p>
        </w:tc>
        <w:tc>
          <w:tcPr>
            <w:tcW w:w="477" w:type="pct"/>
            <w:hideMark/>
          </w:tcPr>
          <w:p w14:paraId="6B4ECA64" w14:textId="77777777" w:rsidR="0034508D" w:rsidRPr="003C4781" w:rsidRDefault="0034508D" w:rsidP="00300FEF">
            <w:pPr>
              <w:rPr>
                <w:rFonts w:eastAsia="Times New Roman" w:cstheme="minorHAnsi"/>
                <w:color w:val="000000"/>
                <w:sz w:val="16"/>
                <w:szCs w:val="16"/>
              </w:rPr>
            </w:pPr>
          </w:p>
        </w:tc>
        <w:tc>
          <w:tcPr>
            <w:tcW w:w="480" w:type="pct"/>
            <w:hideMark/>
          </w:tcPr>
          <w:p w14:paraId="48B7557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3C5688E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5ECDE0A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EC25ED9" w14:textId="77777777" w:rsidTr="006D63A2">
        <w:trPr>
          <w:trHeight w:val="1718"/>
        </w:trPr>
        <w:tc>
          <w:tcPr>
            <w:tcW w:w="652" w:type="pct"/>
            <w:hideMark/>
          </w:tcPr>
          <w:p w14:paraId="7EA4087C" w14:textId="7C77A7A0"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{"citationItems":[{"id":"ITEM-1","itemData":{"DOI":"10.1038/npp.2017.165","ISBN":"1740-634X (Electronic)\r0893-133X (Linking)","ISSN":"1740634X","PMID":"28758644","abstract":"Owing to the rapid and robust clinical effects, electroconvulsive therapy (ECT) represents an optimal model to develop and test treatment predictors for major depressive disorders (MDDs), whereas imaging markers can be informative in identifying MDD patients who will respond to a specific antidepressant treatment or not. Here we aim to predict post-ECT depressive rating changes and remission status using pre-ECT gray matter (GM) in 38 MDD patients and validate in two independent data sets. Six GM regions including the right hippocampus/parahippocampus, right orbitofrontal gyrus, right inferior temporal gyrus (ITG), left postcentral gyrus/precuneus, left supplementary motor area, and left lingual gyrus were identified as predictors of ECT response, achieving accuracy of 89, 90 and 86% for remission prediction in three independent, age-matched data sets, respectively. For MDD patients, GM density increases only in the left supplementary motor cortex and left postcentral gyrus/precuneus after ECT. These results suggest that treatment-predictive and treatment-responsive regions may be anatomically different but functionally related in the context of ECT response. To the best of our knowledge, this is the first attempt to quantitatively identify and validate the ECT treatment biomarkers using multi-site GM data. We address a major clinical challenge and provide potential opportunities for more effective and timely interventions for electroconvulsive treatment.","author":[{"dropping-particle":"","family":"Jiang","given":"Rongtao","non-dropping-particle":"","parse-names":false,"suffix":""},{"dropping-particle":"","family":"Abbott","given":"Christopher C.","non-dropping-particle":"","parse-names":false,"suffix":""},{"dropping-particle":"","family":"Jiang","given":"Tianzi","non-dropping-particle":"","parse-names":false,"suffix":""},{"dropping-particle":"","family":"Du","given":"Yuhui","non-dropping-particle":"","parse-names":false,"suffix":""},{"dropping-particle":"","family":"Espinoza","given":"Randall","non-dropping-particle":"","parse-names":false,"suffix":""},{"dropping-particle":"","family":"Narr","given":"Katherine L.","non-dropping-particle":"","parse-names":false,"suffix":""},{"dropping-particle":"","family":"Wade","given":"Benjamin","non-dropping-particle":"","parse-names":false,"suffix":""},{"dropping-particle":"","family":"Yu","given":"Qingbao","non-dropping-particle":"","parse-names":false,"suffix":""},{"dropping-particle":"","family":"Song","given":"Ming","non-dropping-particle":"","parse-names":false,"suffix":""},{"dropping-particle":"","family":"Lin","given":"Dongdong","non-dropping-particle":"","parse-names":false,"suffix":""},{"dropping-particle":"","family":"Chen","given":"Jiayu","non-dropping-particle":"","parse-names":false,"suffix":""},{"dropping-particle":"","family":"Jones","given":"Thomas","non-dropping-particle":"","parse-names":false,"suffix":""},{"dropping-particle":"","family":"Argyelan","given":"Miklos","non-dropping-particle":"","parse-names":false,"suffix":""},{"dropping-particle":"","family":"Petrides","given":"Georgios","non-dropping-particle":"","parse-names":false,"suffix":""},{"dropping-particle":"","family":"Sui","given":"Jing","non-dropping-particle":"","parse-names":false,"suffix":""},{"dropping-particle":"","family":"Calhoun","given":"Vince D.","non-dropping-particle":"","parse-names":false,"suffix":""}],"container-title":"Neuropsychopharmacology","edition":"2017/08/02","id":"ITEM-1","issue":"5","issued":{"date-parts":[["2018"]]},"note":"Jiang, Rongtao\nAbbott, Christopher C\nJiang, Tianzi\nDu, Yuhui\nEspinoza, Randall\nNarr, Katherine L\nWade, Benjamin\nYu, Qingbao\nSong, Ming\nLin, Dongdong\nChen, Jiayu\nJones, Thomas\nArgyelan, Miklos\nPetrides, Georgios\nSui, Jing\nCalhoun, Vince D\neng\nP20 GM103472/GM/NIGMS NIH HHS/\nR01 EB005846/EB/NIBIB NIH HHS/\nR01 MH094524/MH/NIMH NIH HHS/\nR01 EB006841/EB/NIBIB NIH HHS/\nU01 MH111826/MH/NIMH NIH HHS/\nResearch Support, N.I.H., Extramural\nResearch Support, Non-U.S. Gov't\nValidation Study\nEngland\nNeuropsychopharmacology. 2018 Apr;43(5):1078-1087. doi: 10.1038/npp.2017.165. Epub 2017 Jul 31.","page":"1078-1087","title":"SMRI biomarkers predict electroconvulsive treatment outcomes: Accuracy with Independent Data Sets","type":"article-journal","volume":"43"},"uris":["http://www.mendeley.com/documents/?uuid=3e092e72-f01a-491a-831e-f391a6aff0b2"]}],"mendeley":{"formattedCitation":"(Jiang et al., 2018)","plainTextFormattedCitation":"(Jiang et al., 2018)","previouslyFormattedCitation":"(Jiang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(Jiang et al., 2018)</w:t>
            </w:r>
            <w:r>
              <w:rPr>
                <w:rFonts w:eastAsia="Times New Roman" w:cstheme="minorHAnsi"/>
                <w:color w:val="000000"/>
                <w:sz w:val="16"/>
                <w:szCs w:val="16"/>
              </w:rPr>
              <w:fldChar w:fldCharType="end"/>
            </w:r>
            <w:r w:rsidR="003A281C">
              <w:rPr>
                <w:rFonts w:eastAsia="Times New Roman" w:cstheme="minorHAnsi"/>
                <w:color w:val="000000"/>
                <w:sz w:val="16"/>
                <w:szCs w:val="16"/>
                <w:vertAlign w:val="superscript"/>
              </w:rPr>
              <w:t xml:space="preserve"> </w:t>
            </w:r>
          </w:p>
        </w:tc>
        <w:tc>
          <w:tcPr>
            <w:tcW w:w="607" w:type="pct"/>
            <w:hideMark/>
          </w:tcPr>
          <w:p w14:paraId="75E667F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232F76BA"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6</w:t>
            </w:r>
          </w:p>
        </w:tc>
        <w:tc>
          <w:tcPr>
            <w:tcW w:w="479" w:type="pct"/>
            <w:hideMark/>
          </w:tcPr>
          <w:p w14:paraId="6EEA8B1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Linear regression</w:t>
            </w:r>
          </w:p>
        </w:tc>
        <w:tc>
          <w:tcPr>
            <w:tcW w:w="460" w:type="pct"/>
            <w:hideMark/>
          </w:tcPr>
          <w:p w14:paraId="36E7FE0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 (inner 10-fold cross-validation, outer leave-one-out cross-validation), external validation</w:t>
            </w:r>
          </w:p>
        </w:tc>
        <w:tc>
          <w:tcPr>
            <w:tcW w:w="514" w:type="pct"/>
            <w:hideMark/>
          </w:tcPr>
          <w:p w14:paraId="7D091D65" w14:textId="77777777" w:rsidR="0034508D" w:rsidRPr="003C4781" w:rsidRDefault="0034508D" w:rsidP="00300FEF">
            <w:pPr>
              <w:rPr>
                <w:rFonts w:eastAsia="Times New Roman" w:cstheme="minorHAnsi"/>
                <w:color w:val="000000"/>
                <w:sz w:val="16"/>
                <w:szCs w:val="16"/>
              </w:rPr>
            </w:pPr>
            <w:proofErr w:type="spellStart"/>
            <w:r w:rsidRPr="003C4781">
              <w:rPr>
                <w:rFonts w:eastAsia="Times New Roman" w:cstheme="minorHAnsi"/>
                <w:color w:val="000000"/>
                <w:sz w:val="16"/>
                <w:szCs w:val="16"/>
              </w:rPr>
              <w:t>ReliefF</w:t>
            </w:r>
            <w:proofErr w:type="spellEnd"/>
            <w:r w:rsidRPr="003C4781">
              <w:rPr>
                <w:rFonts w:eastAsia="Times New Roman" w:cstheme="minorHAnsi"/>
                <w:color w:val="000000"/>
                <w:sz w:val="16"/>
                <w:szCs w:val="16"/>
              </w:rPr>
              <w:t xml:space="preserve"> voxel-wise feature selection</w:t>
            </w:r>
          </w:p>
        </w:tc>
        <w:tc>
          <w:tcPr>
            <w:tcW w:w="477" w:type="pct"/>
            <w:hideMark/>
          </w:tcPr>
          <w:p w14:paraId="61B99723" w14:textId="77777777" w:rsidR="0034508D" w:rsidRPr="003C4781" w:rsidRDefault="0034508D" w:rsidP="00300FEF">
            <w:pPr>
              <w:rPr>
                <w:rFonts w:eastAsia="Times New Roman" w:cstheme="minorHAnsi"/>
                <w:color w:val="000000"/>
                <w:sz w:val="16"/>
                <w:szCs w:val="16"/>
              </w:rPr>
            </w:pPr>
          </w:p>
        </w:tc>
        <w:tc>
          <w:tcPr>
            <w:tcW w:w="480" w:type="pct"/>
            <w:hideMark/>
          </w:tcPr>
          <w:p w14:paraId="27E805D7" w14:textId="77777777" w:rsidR="0034508D" w:rsidRPr="003C4781" w:rsidRDefault="0034508D" w:rsidP="00300FEF">
            <w:pPr>
              <w:rPr>
                <w:rFonts w:eastAsia="Times New Roman" w:cstheme="minorHAnsi"/>
                <w:sz w:val="16"/>
                <w:szCs w:val="16"/>
              </w:rPr>
            </w:pPr>
          </w:p>
        </w:tc>
        <w:tc>
          <w:tcPr>
            <w:tcW w:w="437" w:type="pct"/>
            <w:hideMark/>
          </w:tcPr>
          <w:p w14:paraId="0B34C0B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01D18AB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65F82E5A" w14:textId="77777777" w:rsidTr="006D63A2">
        <w:trPr>
          <w:trHeight w:val="557"/>
        </w:trPr>
        <w:tc>
          <w:tcPr>
            <w:tcW w:w="652" w:type="pct"/>
            <w:hideMark/>
          </w:tcPr>
          <w:p w14:paraId="61BD8DAA" w14:textId="38A2FD3B"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{"citationItems":[{"id":"ITEM-1","itemData":{"DOI":"10.1016/j.jad.2020.01.118","ISBN":"1573-2517 (Electronic)\r0165-0327 (Linking)","ISSN":"15732517","PMID":"32090773","author":[{"dropping-particle":"","family":"Kambeitz","given":"Joseph","non-dropping-particle":"","parse-names":false,"suffix":""},{"dropping-particle":"","family":"Goerigk","given":"Stephan","non-dropping-particle":"","parse-names":false,"suffix":""},{"dropping-particle":"","family":"Gattaz","given":"Wagner","non-dropping-particle":"","parse-names":false,"suffix":""},{"dropping-particle":"","family":"Falkai","given":"Peter","non-dropping-particle":"","parse-names":false,"suffix":""},{"dropping-particle":"","family":"Benseñor","given":"Isabela M.","non-dropping-particle":"","parse-names":false,"suffix":""},{"dropping-particle":"","family":"Lotufo","given":"Paulo A.","non-dropping-particle":"","parse-names":false,"suffix":""},{"dropping-particle":"","family":"Bühner","given":"Markus","non-dropping-particle":"","parse-names":false,"suffix":""},{"dropping-particle":"","family":"Koutsouleris","given":"Nikolaos","non-dropping-particle":"","parse-names":false,"suffix":""},{"dropping-particle":"","family":"Padberg","given":"Frank","non-dropping-particle":"","parse-names":false,"suffix":""},{"dropping-particle":"","family":"Brunoni","given":"Andre R.","non-dropping-particle":"","parse-names":false,"suffix":""}],"container-title":"Journal of Affective Disorders","edition":"2020/02/25","id":"ITEM-1","issued":{"date-parts":[["2020"]]},"note":"Kambeitz, Joseph\nGoerigk, Stephan\nGattaz, Wagner\nFalkai, Peter\nBensenor, Isabela M\nLotufo, Paulo A\nBuhner, Markus\nKoutsouleris, Nikolaos\nPadberg, Frank\nBrunoni, Andre R\neng\nNetherlands\nJ Affect Disord. 2020 Mar 15;265:460-467. doi: 10.1016/j.jad.2020.01.118. Epub 2020 Jan 22.","page":"460-467","title":"Clinical patterns differentially predict response to transcranial direct current stimulation (tDCS) and escitalopram in major depression: A machine learning analysis of the ELECT-TDCS study","type":"article-journal","volume":"265"},"uris":["http://www.mendeley.com/documents/?uuid=0e2f6eb2-b7ba-4863-9a91-aed629843b27"]}],"mendeley":{"formattedCitation":"(Kambeitz et al., 2020)","plainTextFormattedCitation":"(Kambeitz et al., 2020)","previouslyFormattedCitation":"(Kambeitz et al., 2020)"},"properties":{"noteIndex":0},"schema":"https://github.com/citation-style-language/schema/raw/master/csl-citation.json"}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(Kambeitz et al., 2020)</w:t>
            </w:r>
            <w:r>
              <w:rPr>
                <w:rFonts w:eastAsia="Times New Roman" w:cstheme="minorHAnsi"/>
                <w:color w:val="000000"/>
                <w:sz w:val="16"/>
                <w:szCs w:val="16"/>
              </w:rPr>
              <w:fldChar w:fldCharType="end"/>
            </w:r>
          </w:p>
        </w:tc>
        <w:tc>
          <w:tcPr>
            <w:tcW w:w="607" w:type="pct"/>
            <w:hideMark/>
          </w:tcPr>
          <w:p w14:paraId="3FF093A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Neuropsychological, socio-demographical, clinical</w:t>
            </w:r>
          </w:p>
        </w:tc>
        <w:tc>
          <w:tcPr>
            <w:tcW w:w="345" w:type="pct"/>
            <w:hideMark/>
          </w:tcPr>
          <w:p w14:paraId="0B5CCF1A"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56</w:t>
            </w:r>
          </w:p>
        </w:tc>
        <w:tc>
          <w:tcPr>
            <w:tcW w:w="479" w:type="pct"/>
            <w:hideMark/>
          </w:tcPr>
          <w:p w14:paraId="0281C7BB" w14:textId="77777777" w:rsidR="0034508D" w:rsidRPr="003C4781" w:rsidRDefault="0034508D" w:rsidP="00300FEF">
            <w:pPr>
              <w:rPr>
                <w:rFonts w:eastAsia="Times New Roman" w:cstheme="minorHAnsi"/>
                <w:color w:val="000000"/>
                <w:sz w:val="16"/>
                <w:szCs w:val="16"/>
              </w:rPr>
            </w:pPr>
            <w:proofErr w:type="spellStart"/>
            <w:r w:rsidRPr="003C4781">
              <w:rPr>
                <w:rFonts w:eastAsia="Times New Roman" w:cstheme="minorHAnsi"/>
                <w:color w:val="000000"/>
                <w:sz w:val="16"/>
                <w:szCs w:val="16"/>
              </w:rPr>
              <w:t>XGBoost</w:t>
            </w:r>
            <w:proofErr w:type="spellEnd"/>
            <w:r w:rsidRPr="003C4781">
              <w:rPr>
                <w:rFonts w:eastAsia="Times New Roman" w:cstheme="minorHAnsi"/>
                <w:color w:val="000000"/>
                <w:sz w:val="16"/>
                <w:szCs w:val="16"/>
              </w:rPr>
              <w:t xml:space="preserve"> tree</w:t>
            </w:r>
            <w:r w:rsidRPr="003C4781">
              <w:rPr>
                <w:rFonts w:eastAsia="Times New Roman" w:cstheme="minorHAnsi"/>
                <w:color w:val="000000"/>
                <w:sz w:val="16"/>
                <w:szCs w:val="16"/>
              </w:rPr>
              <w:br/>
              <w:t>boosting algorithm</w:t>
            </w:r>
          </w:p>
        </w:tc>
        <w:tc>
          <w:tcPr>
            <w:tcW w:w="460" w:type="pct"/>
            <w:hideMark/>
          </w:tcPr>
          <w:p w14:paraId="47D7F5A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w:t>
            </w:r>
          </w:p>
        </w:tc>
        <w:tc>
          <w:tcPr>
            <w:tcW w:w="514" w:type="pct"/>
            <w:hideMark/>
          </w:tcPr>
          <w:p w14:paraId="42F7BB4C" w14:textId="77777777" w:rsidR="0034508D" w:rsidRPr="003C4781" w:rsidRDefault="0034508D" w:rsidP="00300FEF">
            <w:pPr>
              <w:rPr>
                <w:rFonts w:eastAsia="Times New Roman" w:cstheme="minorHAnsi"/>
                <w:color w:val="000000"/>
                <w:sz w:val="16"/>
                <w:szCs w:val="16"/>
              </w:rPr>
            </w:pPr>
          </w:p>
        </w:tc>
        <w:tc>
          <w:tcPr>
            <w:tcW w:w="477" w:type="pct"/>
            <w:hideMark/>
          </w:tcPr>
          <w:p w14:paraId="34D922DC" w14:textId="77777777" w:rsidR="0034508D" w:rsidRPr="003C4781" w:rsidRDefault="0034508D" w:rsidP="00300FEF">
            <w:pPr>
              <w:rPr>
                <w:rFonts w:eastAsia="Times New Roman" w:cstheme="minorHAnsi"/>
                <w:sz w:val="16"/>
                <w:szCs w:val="16"/>
              </w:rPr>
            </w:pPr>
          </w:p>
        </w:tc>
        <w:tc>
          <w:tcPr>
            <w:tcW w:w="480" w:type="pct"/>
            <w:hideMark/>
          </w:tcPr>
          <w:p w14:paraId="091B1A02" w14:textId="77777777" w:rsidR="0034508D" w:rsidRPr="003C4781" w:rsidRDefault="0034508D" w:rsidP="00300FEF">
            <w:pPr>
              <w:rPr>
                <w:rFonts w:eastAsia="Times New Roman" w:cstheme="minorHAnsi"/>
                <w:sz w:val="16"/>
                <w:szCs w:val="16"/>
              </w:rPr>
            </w:pPr>
          </w:p>
        </w:tc>
        <w:tc>
          <w:tcPr>
            <w:tcW w:w="437" w:type="pct"/>
            <w:hideMark/>
          </w:tcPr>
          <w:p w14:paraId="6FC1682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Response </w:t>
            </w:r>
          </w:p>
        </w:tc>
        <w:tc>
          <w:tcPr>
            <w:tcW w:w="547" w:type="pct"/>
            <w:hideMark/>
          </w:tcPr>
          <w:p w14:paraId="69C5D7E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Transcranial direct current stimulation (</w:t>
            </w:r>
            <w:proofErr w:type="spellStart"/>
            <w:r w:rsidRPr="003C4781">
              <w:rPr>
                <w:rFonts w:eastAsia="Times New Roman" w:cstheme="minorHAnsi"/>
                <w:color w:val="000000"/>
                <w:sz w:val="16"/>
                <w:szCs w:val="16"/>
              </w:rPr>
              <w:t>tDCS</w:t>
            </w:r>
            <w:proofErr w:type="spellEnd"/>
            <w:r w:rsidRPr="003C4781">
              <w:rPr>
                <w:rFonts w:eastAsia="Times New Roman" w:cstheme="minorHAnsi"/>
                <w:color w:val="000000"/>
                <w:sz w:val="16"/>
                <w:szCs w:val="16"/>
              </w:rPr>
              <w:t>), anti-depressant</w:t>
            </w:r>
          </w:p>
        </w:tc>
      </w:tr>
      <w:tr w:rsidR="00705248" w:rsidRPr="003C4781" w14:paraId="48AC3CF9" w14:textId="77777777" w:rsidTr="006D63A2">
        <w:trPr>
          <w:trHeight w:val="386"/>
        </w:trPr>
        <w:tc>
          <w:tcPr>
            <w:tcW w:w="652" w:type="pct"/>
            <w:hideMark/>
          </w:tcPr>
          <w:p w14:paraId="7D171B71" w14:textId="14DEDE91"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{"citationItems":[{"id":"ITEM-1","itemData":{"DOI":"10.1016/j.nicl.2018.06.006","ISBN":"2213-1582 (Electronic)\r2213-1582 (Linking)","ISSN":"22131582","PMID":"30013927","abstract":"Pharmacological treatment of major depressive disorder (MDD) typically involves a lengthy trial and error process to identify an effective intervention. This lengthy period prolongs suffering and worsens all-cause mortality, including from suicide, and is typically longer in late-life depression (LLD). Our group has recently demonstrated that during an open-label venlafaxine (serotonin-norepinephrine reuptake inhibitor) trial, significant changes in functional resting state connectivity occurred following a single dose of treatment, which persisted until the end of the trial. In this work, we propose an analysis framework to translate these perturbations in functional networks into predictors of clinical remission. Participants with LLD (N = 49) completed 12-weeks of treatment with venlafaxine and underwent functional magnetic resonance imaging (fMRI) at baseline and a day following a single dose of venlafaxine. Data was collected at rest as well as during an emotion reactivity task and an emotion regulation task. Remission was defined as a Montgomery-Asberg Depression Rating Scale (MADRS) ≤10 for two weeks. We computed eigenvector centrality (whole brain connectivity) and activation during the emotion regulation and emotion reactivity tasks. We employed principal components analysis, Tikhonov-regularized logistic classification, and least angle regression feature selection to predict remission by the end of the 12-week trial. We utilized ten-fold cross-validation and Receiver Operator Curves (ROC) curve analysis. To determine task-region pairs that significantly contributed to the algorithm's ability to predict remission, we used permutation testing. Using the fMRI data at both baseline and after the first dose of treatment yielded a sensitivity of 72% and a specificity of 68% (AUC = 0.77), a 15% increase in accuracy over baseline MADRS. In general, the accuracy at baseline was further improved by using the change in activation following a single dose. Activation of the frontal cortex, hippocampus, parahippocampus, caudate, thalamus, medial temporal cortex, middle cingulate, and visual cortex predicted treatment remission. Acute, dynamic trajectories of functional imaging metrics in response to a pharmacological intervention are a valuable tool for predicting treatment response in late-life depression and elucidating the mechanism of pharmacological therapies in the context of the brain's functional architecture.","author":[{"dropping-particle":"","family":"Karim","given":"Helmet T.","non-dropping-particle":"","parse-names":false,"suffix":""},{"dropping-particle":"","family":"Wang","given":"Maxwell","non-dropping-particle":"","parse-names":false,"suffix":""},{"dropping-particle":"","family":"Andreescu","given":"Carmen","non-dropping-particle":"","parse-names":false,"suffix":""},{"dropping-particle":"","family":"Tudorascu","given":"Dana","non-dropping-particle":"","parse-names":false,"suffix":""},{"dropping-particle":"","family":"Butters","given":"Meryl A.","non-dropping-particle":"","parse-names":false,"suffix":""},{"dropping-particle":"","family":"Karp","given":"Jordan F.","non-dropping-particle":"","parse-names":false,"suffix":""},{"dropping-particle":"","family":"Reynolds","given":"Charles F.","non-dropping-particle":"","parse-names":false,"suffix":""},{"dropping-particle":"","family":"Aizenstein","given":"Howard J.","non-dropping-particle":"","parse-names":false,"suffix":""}],"container-title":"NeuroImage: Clinical","edition":"2018/07/18","id":"ITEM-1","issued":{"date-parts":[["2018"]]},"note":"Karim, Helmet T\nWang, Maxwell\nAndreescu, Carmen\nTudorascu, Dana\nButters, Meryl A\nKarp, Jordan F\nReynolds, Charles F 3rd\nAizenstein, Howard J\neng\nP30 MH090333/MH/NIMH NIH HHS/\nR01 MH083660/MH/NIMH NIH HHS/\nT32 MH019986/MH/NIMH NIH HHS/\nK23 MH086686/MH/NIMH NIH HHS/\nR01 AG033575/AG/NIA NIH HHS/\nR01 MH108509/MH/NIMH NIH HHS/\nP50 AG005133/AG/NIA NIH HHS/\nR01 MH076079/MH/NIMH NIH HHS/\nResearch Support, N.I.H., Extramural\nNetherlands\nNeuroimage Clin. 2018 Jun 8;19:831-839. doi: 10.1016/j.nicl.2018.06.006. eCollection 2018.","page":"831-839","title":"Acute trajectories of neural activation predict remission to pharmacotherapy in late-life depression","type":"article-journal","volume":"19"},"uris":["http://www.mendeley.com/documents/?uuid=a289f34e-71ff-4de6-9774-c5d231456a3a"]}],"mendeley":{"formattedCitation":"(Karim et al., 2018)","plainTextFormattedCitation":"(Karim et al., 2018)","previouslyFormattedCitation":"(Karim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(Karim et al., 2018)</w:t>
            </w:r>
            <w:r>
              <w:rPr>
                <w:rFonts w:eastAsia="Times New Roman" w:cstheme="minorHAnsi"/>
                <w:color w:val="000000"/>
                <w:sz w:val="16"/>
                <w:szCs w:val="16"/>
              </w:rPr>
              <w:fldChar w:fldCharType="end"/>
            </w:r>
          </w:p>
        </w:tc>
        <w:tc>
          <w:tcPr>
            <w:tcW w:w="607" w:type="pct"/>
            <w:hideMark/>
          </w:tcPr>
          <w:p w14:paraId="7A84BBB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5121D9C2"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8</w:t>
            </w:r>
          </w:p>
        </w:tc>
        <w:tc>
          <w:tcPr>
            <w:tcW w:w="479" w:type="pct"/>
            <w:hideMark/>
          </w:tcPr>
          <w:p w14:paraId="1AABBA9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Tikhonov-regularized logistic classification</w:t>
            </w:r>
          </w:p>
        </w:tc>
        <w:tc>
          <w:tcPr>
            <w:tcW w:w="460" w:type="pct"/>
            <w:hideMark/>
          </w:tcPr>
          <w:p w14:paraId="49215DB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 validation</w:t>
            </w:r>
          </w:p>
        </w:tc>
        <w:tc>
          <w:tcPr>
            <w:tcW w:w="514" w:type="pct"/>
            <w:hideMark/>
          </w:tcPr>
          <w:p w14:paraId="2015E85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PCA + Least angle regression feature selection</w:t>
            </w:r>
          </w:p>
        </w:tc>
        <w:tc>
          <w:tcPr>
            <w:tcW w:w="477" w:type="pct"/>
            <w:hideMark/>
          </w:tcPr>
          <w:p w14:paraId="037E17F0" w14:textId="77777777" w:rsidR="0034508D" w:rsidRPr="003C4781" w:rsidRDefault="0034508D" w:rsidP="00300FEF">
            <w:pPr>
              <w:rPr>
                <w:rFonts w:eastAsia="Times New Roman" w:cstheme="minorHAnsi"/>
                <w:color w:val="000000"/>
                <w:sz w:val="16"/>
                <w:szCs w:val="16"/>
              </w:rPr>
            </w:pPr>
          </w:p>
        </w:tc>
        <w:tc>
          <w:tcPr>
            <w:tcW w:w="480" w:type="pct"/>
            <w:hideMark/>
          </w:tcPr>
          <w:p w14:paraId="1769019F" w14:textId="77777777" w:rsidR="0034508D" w:rsidRPr="003C4781" w:rsidRDefault="0034508D" w:rsidP="00300FEF">
            <w:pPr>
              <w:rPr>
                <w:rFonts w:eastAsia="Times New Roman" w:cstheme="minorHAnsi"/>
                <w:sz w:val="16"/>
                <w:szCs w:val="16"/>
              </w:rPr>
            </w:pPr>
          </w:p>
        </w:tc>
        <w:tc>
          <w:tcPr>
            <w:tcW w:w="437" w:type="pct"/>
            <w:hideMark/>
          </w:tcPr>
          <w:p w14:paraId="326FE36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09742B42" w14:textId="77777777" w:rsidR="0034508D" w:rsidRPr="003C4781" w:rsidRDefault="00B64F65" w:rsidP="00300FEF">
            <w:pPr>
              <w:rPr>
                <w:rFonts w:eastAsia="Times New Roman" w:cstheme="minorHAnsi"/>
                <w:color w:val="000000"/>
                <w:sz w:val="16"/>
                <w:szCs w:val="16"/>
              </w:rPr>
            </w:pPr>
            <w:r>
              <w:rPr>
                <w:rFonts w:eastAsia="Times New Roman" w:cstheme="minorHAnsi"/>
                <w:color w:val="000000"/>
                <w:sz w:val="16"/>
                <w:szCs w:val="16"/>
              </w:rPr>
              <w:t>Anti-depressant</w:t>
            </w:r>
          </w:p>
        </w:tc>
      </w:tr>
      <w:tr w:rsidR="00705248" w:rsidRPr="003C4781" w14:paraId="28F670B8" w14:textId="77777777" w:rsidTr="006D63A2">
        <w:trPr>
          <w:trHeight w:val="413"/>
        </w:trPr>
        <w:tc>
          <w:tcPr>
            <w:tcW w:w="652" w:type="pct"/>
            <w:hideMark/>
          </w:tcPr>
          <w:p w14:paraId="12ABE690" w14:textId="0B3123BB"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{"citationItems":[{"id":"ITEM-1","itemData":{"DOI":"10.4088/JCP.15m10381","ISBN":"0160-6689","ISSN":"01606689","PMID":"28068461","abstract":"Objective: Despite a broad arsenal of antidepressants, about a third of patients suffering from major depressive disorder (MDD) do not respond sufficiently to adequate treatment. Using the data pool of the Group for the Study of Resistant Depression and machine learning, we intended to draw new insights featuring 48 clinical, sociodemographic, and psychosocial predictors for treatment outcome. Method: Patients were enrolled starting from January 2000 and diagnosed according to DSM-IV. Treatment-resistant depression (TRD) was defined by a 17-item Hamilton Depression Rating Scale (HDRS) score ≥17 after at least 2 antidepressant trials of adequate dosage and length. Remission was defined by an HDRS score &lt; 8. Stepwise predictor reduction using randomForest was performed to find the optimal number for classification of treatment outcome. After importance values were generated, prediction for remission and resistance was performed in a training sample of 400 patients. For prediction, we used a set of 80 patients not featured in the training sample and computed receiver operating characteristics. Results: The most useful predictors for treatment outcome were the timespan between first and last depressive episode, age at first antidepressant treatment, response to first antidepressant treatment, severity, suicidality, melancholia, number of lifetime depressive episodes, patients' admittance type, education, occupation, and comorbid diabetes, panic, and thyroid disorder. While single predictors could not reach a prediction accuracy much different from random guessing, by combining all predictors, we could detect resistance with an accuracy of 0.737 and remission with an accuracy of 0.850. Consequently, 65.5% of predictions for TRD and 77.7% for remission can be expected to be accurate. Conclusions: Using machine learning algorithms, we could demonstrate success rates of 0.737 for predicting TRD and 0.850 for predicting remission, surpassing predictive capabilities of clinicians. Our results strengthen data mining and suggest the benefit of focus on interaction-based statistics. Considering that all predictors can easily be obtained in a clinical setting, we hope that our model can be tested by other research groups.","author":[{"dropping-particle":"","family":"Kautzky","given":"Alexander","non-dropping-particle":"","parse-names":false,"suffix":""},{"dropping-particle":"","family":"Baldinger-Melich","given":"Pia","non-dropping-particle":"","parse-names":false,"suffix":""},{"dropping-particle":"","family":"Kranz","given":"Georg S.","non-dropping-particle":"","parse-names":false,"suffix":""},{"dropping-particle":"","family":"Vanicek","given":"Thomas","non-dropping-particle":"","parse-names":false,"suffix":""},{"dropping-particle":"","family":"Souery","given":"Daniel","non-dropping-particle":"","parse-names":false,"suffix":""},{"dropping-particle":"","family":"Montgomery","given":"Stuart","non-dropping-particle":"","parse-names":false,"suffix":""},{"dropping-particle":"","family":"Mendlewicz","given":"Julien","non-dropping-particle":"","parse-names":false,"suffix":""},{"dropping-particle":"","family":"Zohar","given":"Joseph","non-dropping-particle":"","parse-names":false,"suffix":""},{"dropping-particle":"","family":"Serretti","given":"Alessandro","non-dropping-particle":"","parse-names":false,"suffix":""},{"dropping-particle":"","family":"Lanzenberger","given":"Rupert","non-dropping-particle":"","parse-names":false,"suffix":""},{"dropping-particle":"","family":"Kasper","given":"Siegfried","non-dropping-particle":"","parse-names":false,"suffix":""}],"container-title":"Journal of Clinical Psychiatry","edition":"2017/01/10","id":"ITEM-1","issue":"2","issued":{"date-parts":[["2017"]]},"language":"eng","note":"1555-2101\nKautzky, Alexander\nBaldinger-Melich, Pia\nKranz, Georg S\nVanicek, Thomas\nSouery, Daniel\nMontgomery, Stuart\nMendlewicz, Julien\nZohar, Joseph\nSerretti, Alessandro\nLanzenberger, Rupert\nKasper, Siegfried\nJournal Article\nUnited States\nJ Clin Psychiatry. 2017 Feb;78(2):215-222. doi: 10.4088/JCP.15m10381.","page":"215-222","title":"A new prediction model for evaluating treatment-resistant depression","type":"article-journal","volume":"78"},"uris":["http://www.mendeley.com/documents/?uuid=2c7d9004-16d5-4839-9154-8f51adfc8176"]}],"mendeley":{"formattedCitation":"(Alexander Kautzky et al., 2017)","plainTextFormattedCitation":"(Alexander Kautzky et al., 2017)","previouslyFormattedCitation":"(Alexander Kautzky et al., 2017)"},"properties":{"noteIndex":0},"schema":"https://github.com/citation-style-language/schema/raw/master/csl-citation.json"}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(Alexander Kautzky et al., 2017)</w:t>
            </w:r>
            <w:r>
              <w:rPr>
                <w:rFonts w:eastAsia="Times New Roman" w:cstheme="minorHAnsi"/>
                <w:color w:val="000000"/>
                <w:sz w:val="16"/>
                <w:szCs w:val="16"/>
              </w:rPr>
              <w:fldChar w:fldCharType="end"/>
            </w:r>
          </w:p>
        </w:tc>
        <w:tc>
          <w:tcPr>
            <w:tcW w:w="607" w:type="pct"/>
            <w:hideMark/>
          </w:tcPr>
          <w:p w14:paraId="67B8EE70" w14:textId="77777777" w:rsidR="0034508D" w:rsidRPr="003C4781" w:rsidRDefault="0034508D" w:rsidP="00300FEF">
            <w:pPr>
              <w:rPr>
                <w:rFonts w:eastAsia="Times New Roman" w:cstheme="minorHAnsi"/>
                <w:color w:val="000000"/>
                <w:sz w:val="16"/>
                <w:szCs w:val="16"/>
              </w:rPr>
            </w:pPr>
            <w:proofErr w:type="spellStart"/>
            <w:r w:rsidRPr="003C4781">
              <w:rPr>
                <w:rFonts w:eastAsia="Times New Roman" w:cstheme="minorHAnsi"/>
                <w:color w:val="000000"/>
                <w:sz w:val="16"/>
                <w:szCs w:val="16"/>
              </w:rPr>
              <w:t>Sociodemographical</w:t>
            </w:r>
            <w:proofErr w:type="spellEnd"/>
            <w:r w:rsidRPr="003C4781">
              <w:rPr>
                <w:rFonts w:eastAsia="Times New Roman" w:cstheme="minorHAnsi"/>
                <w:color w:val="000000"/>
                <w:sz w:val="16"/>
                <w:szCs w:val="16"/>
              </w:rPr>
              <w:t xml:space="preserve">, clinical </w:t>
            </w:r>
          </w:p>
        </w:tc>
        <w:tc>
          <w:tcPr>
            <w:tcW w:w="345" w:type="pct"/>
            <w:hideMark/>
          </w:tcPr>
          <w:p w14:paraId="3CA02D82"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48</w:t>
            </w:r>
          </w:p>
        </w:tc>
        <w:tc>
          <w:tcPr>
            <w:tcW w:w="479" w:type="pct"/>
            <w:hideMark/>
          </w:tcPr>
          <w:p w14:paraId="67FEA08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Generalized linear model</w:t>
            </w:r>
            <w:r w:rsidRPr="003C4781">
              <w:rPr>
                <w:rFonts w:eastAsia="Times New Roman" w:cstheme="minorHAnsi"/>
                <w:color w:val="000000"/>
                <w:sz w:val="16"/>
                <w:szCs w:val="16"/>
              </w:rPr>
              <w:br/>
              <w:t>(GLM)</w:t>
            </w:r>
          </w:p>
        </w:tc>
        <w:tc>
          <w:tcPr>
            <w:tcW w:w="460" w:type="pct"/>
            <w:hideMark/>
          </w:tcPr>
          <w:p w14:paraId="2E604B4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 validation</w:t>
            </w:r>
          </w:p>
        </w:tc>
        <w:tc>
          <w:tcPr>
            <w:tcW w:w="514" w:type="pct"/>
            <w:hideMark/>
          </w:tcPr>
          <w:p w14:paraId="3F33E70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Random forest</w:t>
            </w:r>
          </w:p>
        </w:tc>
        <w:tc>
          <w:tcPr>
            <w:tcW w:w="477" w:type="pct"/>
            <w:hideMark/>
          </w:tcPr>
          <w:p w14:paraId="4532353B" w14:textId="77777777" w:rsidR="0034508D" w:rsidRPr="003C4781" w:rsidRDefault="0034508D" w:rsidP="00300FEF">
            <w:pPr>
              <w:rPr>
                <w:rFonts w:eastAsia="Times New Roman" w:cstheme="minorHAnsi"/>
                <w:color w:val="000000"/>
                <w:sz w:val="16"/>
                <w:szCs w:val="16"/>
              </w:rPr>
            </w:pPr>
          </w:p>
        </w:tc>
        <w:tc>
          <w:tcPr>
            <w:tcW w:w="480" w:type="pct"/>
            <w:hideMark/>
          </w:tcPr>
          <w:p w14:paraId="3230FBC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1C3848A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Resistance</w:t>
            </w:r>
          </w:p>
        </w:tc>
        <w:tc>
          <w:tcPr>
            <w:tcW w:w="547" w:type="pct"/>
            <w:hideMark/>
          </w:tcPr>
          <w:p w14:paraId="3648FBF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319CA69C" w14:textId="77777777" w:rsidTr="006D63A2">
        <w:trPr>
          <w:trHeight w:val="80"/>
        </w:trPr>
        <w:tc>
          <w:tcPr>
            <w:tcW w:w="652" w:type="pct"/>
            <w:hideMark/>
          </w:tcPr>
          <w:p w14:paraId="114F1BB6" w14:textId="0B844270" w:rsidR="0034508D" w:rsidRPr="003A281C" w:rsidRDefault="00424015" w:rsidP="00453DC5">
            <w:pPr>
              <w:rPr>
                <w:rFonts w:eastAsia="Times New Roman" w:cstheme="minorHAnsi"/>
                <w:color w:val="000000"/>
                <w:sz w:val="16"/>
                <w:szCs w:val="16"/>
                <w:vertAlign w:val="superscript"/>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{"citationItems":[{"id":"ITEM-1","itemData":{"DOI":"10.1111/acps.12959","ISBN":"1600-0447 (Electronic)\r0001-690X (Linking)","ISSN":"16000447","PMID":"30291625","abstract":"Objectives: Clinical variables were investigated in the ‘treatment resistant depression (TRD)- III’ sample to replicate earlier findings by the European research consortium ‘Group for the Study of Resistant Depression’ (GSRD) and enable cross-sample prediction of treatment outcome in TRD. Experimental procedures: TRD was defined by a Montgomery and Åsberg Depression Rating Scale (MADRS) score ≥22 after at least two antidepressive trials. Response was defined by a decline in MADRS score by ≥50% and below a threshold of 22. Logistic regression was applied to replicate predictors for TRD among 16 clinical variables in 916 patients. Elastic net regression was applied for prediction of treatment outcome. Results: Symptom severity (odds ratio (OR) = 3.31), psychotic symptoms (OR = 2.52), suicidal risk (OR = 1.74), generalized anxiety disorder (OR = 1.68), inpatient status (OR = 1.65), higher number of antidepressants administered previously (OR = 1.23), and lifetime depressive episodes (OR = 1.15) as well as longer duration of the current episode (OR = 1.022) increased the risk of TRD. Prediction of TRD reached an accuracy of 0.86 in the independent validation set, TRD-I. Conclusion: Symptom severity, suicidal risk, higher number of lifetime depressive episodes, and comorbid anxiety disorder were replicated as the most prominent risk factors for TRD. Significant predictors in TRD-III enabled robust prediction of treatment outcome in TRD-I.","author":[{"dropping-particle":"","family":"Kautzky","given":"A.","non-dropping-particle":"","parse-names":false,"suffix":""},{"dropping-particle":"","family":"Dold","given":"M.","non-dropping-particle":"","parse-names":false,"suffix":""},{"dropping-particle":"","family":"Bartova","given":"L.","non-dropping-particle":"","parse-names":false,"suffix":""},{"dropping-particle":"","family":"Spies","given":"M.","non-dropping-particle":"","parse-names":false,"suffix":""},{"dropping-particle":"","family":"Kranz","given":"G. S.","non-dropping-particle":"","parse-names":false,"suffix":""},{"dropping-particle":"","family":"Souery","given":"D.","non-dropping-particle":"","parse-names":false,"suffix":""},{"dropping-particle":"","family":"Montgomery","given":"S.","non-dropping-particle":"","parse-names":false,"suffix":""},{"dropping-particle":"","family":"Mendlewicz","given":"J.","non-dropping-particle":"","parse-names":false,"suffix":""},{"dropping-particle":"","family":"Zohar","given":"J.","non-dropping-particle":"","parse-names":false,"suffix":""},{"dropping-particle":"","family":"Fabbri","given":"C.","non-dropping-particle":"","parse-names":false,"suffix":""},{"dropping-particle":"","family":"Serretti","given":"A.","non-dropping-particle":"","parse-names":false,"suffix":""},{"dropping-particle":"","family":"Lanzenberger","given":"R.","non-dropping-particle":"","parse-names":false,"suffix":""},{"dropping-particle":"","family":"Dikeos","given":"D.","non-dropping-particle":"","parse-names":false,"suffix":""},{"dropping-particle":"","family":"Rujescu","given":"D.","non-dropping-particle":"","parse-names":false,"suffix":""},{"dropping-particle":"","family":"Kasper","given":"S.","non-dropping-particle":"","parse-names":false,"suffix":""}],"container-title":"Acta Psychiatrica Scandinavica","edition":"2018/10/07","id":"ITEM-1","issue":"1","issued":{"date-parts":[["2019"]]},"note":"Kautzky, A\nDold, M\nBartova, L\nSpies, M\nKranz, G S\nSouery, D\nMontgomery, S\nMendlewicz, J\nZohar, J\nFabbri, C\nSerretti, A\nLanzenberger, R\nDikeos, D\nRujescu, D\nKasper, S\neng\nLundbeck/International\nGlaxoSmithKline/International\nServier/International\nPfizer/International\nResearch Support, Non-U.S. Gov't\nActa Psychiatr Scand. 2019 Jan;139(1):78-88. doi: 10.1111/acps.12959. Epub 2018 Oct 5.","page":"78-88","title":"Clinical factors predicting treatment resistant depression: affirmative results from the European multicenter study","type":"article-journal","volume":"139"},"uris":["http://www.mendeley.com/documents/?uuid=1aff9651-dc4b-4399-86ad-6602d2f590ba"]}],"mendeley":{"formattedCitation":"(A. Kautzky et al., 2019)","plainTextFormattedCitation":"(A. Kautzky et al., 2019)","previouslyFormattedCitation":"(A. Kautzky et al., 2019)"},"properties":{"noteIndex":0},"schema":"https://github.com/citation-style-language/schema/raw/master/csl-citation.json"}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(A. Kautzky et al., 2019)</w:t>
            </w:r>
            <w:r>
              <w:rPr>
                <w:rFonts w:eastAsia="Times New Roman" w:cstheme="minorHAnsi"/>
                <w:color w:val="000000"/>
                <w:sz w:val="16"/>
                <w:szCs w:val="16"/>
              </w:rPr>
              <w:fldChar w:fldCharType="end"/>
            </w:r>
          </w:p>
        </w:tc>
        <w:tc>
          <w:tcPr>
            <w:tcW w:w="607" w:type="pct"/>
            <w:hideMark/>
          </w:tcPr>
          <w:p w14:paraId="22E6D8E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Clinical</w:t>
            </w:r>
          </w:p>
        </w:tc>
        <w:tc>
          <w:tcPr>
            <w:tcW w:w="345" w:type="pct"/>
            <w:hideMark/>
          </w:tcPr>
          <w:p w14:paraId="0D1CE4B3" w14:textId="77777777" w:rsidR="0034508D" w:rsidRPr="003C4781" w:rsidRDefault="0013577A" w:rsidP="00EF33E2">
            <w:pPr>
              <w:rPr>
                <w:rFonts w:eastAsia="Times New Roman" w:cstheme="minorHAnsi"/>
                <w:color w:val="000000"/>
                <w:sz w:val="16"/>
                <w:szCs w:val="16"/>
              </w:rPr>
            </w:pPr>
            <w:r w:rsidRPr="003C4781">
              <w:rPr>
                <w:rFonts w:eastAsia="Times New Roman" w:cstheme="minorHAnsi"/>
                <w:color w:val="000000"/>
                <w:sz w:val="16"/>
                <w:szCs w:val="16"/>
              </w:rPr>
              <w:t>7</w:t>
            </w:r>
          </w:p>
        </w:tc>
        <w:tc>
          <w:tcPr>
            <w:tcW w:w="479" w:type="pct"/>
            <w:hideMark/>
          </w:tcPr>
          <w:p w14:paraId="287E706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Elastic net regularization</w:t>
            </w:r>
          </w:p>
        </w:tc>
        <w:tc>
          <w:tcPr>
            <w:tcW w:w="460" w:type="pct"/>
            <w:hideMark/>
          </w:tcPr>
          <w:p w14:paraId="15AA32C6" w14:textId="77777777" w:rsidR="0034508D" w:rsidRPr="003C4781" w:rsidRDefault="0034508D" w:rsidP="00FD67B9">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3D6AA13C" w14:textId="77777777" w:rsidR="0034508D" w:rsidRPr="003C4781" w:rsidRDefault="0034508D" w:rsidP="00300FEF">
            <w:pPr>
              <w:rPr>
                <w:rFonts w:eastAsia="Times New Roman" w:cstheme="minorHAnsi"/>
                <w:color w:val="000000"/>
                <w:sz w:val="16"/>
                <w:szCs w:val="16"/>
              </w:rPr>
            </w:pPr>
          </w:p>
        </w:tc>
        <w:tc>
          <w:tcPr>
            <w:tcW w:w="477" w:type="pct"/>
            <w:hideMark/>
          </w:tcPr>
          <w:p w14:paraId="3EB8435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80" w:type="pct"/>
            <w:hideMark/>
          </w:tcPr>
          <w:p w14:paraId="3DFBC0C3" w14:textId="77777777" w:rsidR="0034508D" w:rsidRPr="003C4781" w:rsidRDefault="0034508D" w:rsidP="00300FEF">
            <w:pPr>
              <w:rPr>
                <w:rFonts w:eastAsia="Times New Roman" w:cstheme="minorHAnsi"/>
                <w:color w:val="000000"/>
                <w:sz w:val="16"/>
                <w:szCs w:val="16"/>
              </w:rPr>
            </w:pPr>
          </w:p>
        </w:tc>
        <w:tc>
          <w:tcPr>
            <w:tcW w:w="437" w:type="pct"/>
            <w:hideMark/>
          </w:tcPr>
          <w:p w14:paraId="7E1ECB1C"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Resistance</w:t>
            </w:r>
          </w:p>
        </w:tc>
        <w:tc>
          <w:tcPr>
            <w:tcW w:w="547" w:type="pct"/>
            <w:hideMark/>
          </w:tcPr>
          <w:p w14:paraId="7E62DBF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3C8A1EEF" w14:textId="77777777" w:rsidTr="006D63A2">
        <w:trPr>
          <w:trHeight w:val="1538"/>
        </w:trPr>
        <w:tc>
          <w:tcPr>
            <w:tcW w:w="652" w:type="pct"/>
            <w:hideMark/>
          </w:tcPr>
          <w:p w14:paraId="61B08477" w14:textId="4FBC2629"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{"citationItems":[{"id":"ITEM-1","itemData":{"DOI":"10.1109/IEMBS.2010.5627823","ISBN":"9781424441235","PMID":"21097134","abstract":"The problem of identifying in advance the most effective treatment agent for various psychiatric conditions remains an elusive goal. To address this challenge, we propose a machine learning (ML) methodology to predict the response to a selective serotonin reuptake inhibitor (SSRI) medication in subjects suffering from major depressive disorder (MDD), using pre-treatment electroencephalograph (EEG) measurements. The proposed feature selection technique is a modification of the method of Peng et al [10] that is based on a Kullback- Leibler (KL) distance measure. The classifier was realized as a kernelized partial least squares regression procedure, whose output is the predicted response. A low-dimensional kernelized principal component representation of the feature space was used for the purposes of visualization and clustering analysis. The overall method was evaluated using an 11-fold nested crossvalidation procedure for which over 85% average prediction performance is obtained. The results indicate that ML methods hold considerable promise in predicting the efficacy of SSRI antidepressant therapy for major depression. © 2010 IEEE.","author":[{"dropping-particle":"","family":"Khodayari-Rostamabad","given":"Ahmad","non-dropping-particle":"","parse-names":false,"suffix":""},{"dropping-particle":"","family":"Reilly","given":"James P.","non-dropping-particle":"","parse-names":false,"suffix":""},{"dropping-particle":"","family":"Hasey","given":"Gary","non-dropping-particle":"","parse-names":false,"suffix":""},{"dropping-particle":"","family":"Bruin","given":"Hubert","non-dropping-particle":"De","parse-names":false,"suffix":""},{"dropping-particle":"","family":"MacCrimmon","given":"Duncan","non-dropping-particle":"","parse-names":false,"suffix":""}],"container-title":"2010 Annual International Conference of the IEEE Engineering in Medicine and Biology Society, EMBC'10","edition":"2010/11/26","id":"ITEM-1","issued":{"date-parts":[["2010"]]},"language":"eng","note":"Khodayari-Rostamabad, Ahmad\nReilly, James P\nHasey, Gary\nDebruin, Hubert\nMaccrimmon, Duncan\nClinical Trial\nJournal Article\nUnited States\nConf Proc IEEE Eng Med Biol Soc. 2010;2010:6103-6. doi: 10.1109/IEMBS.2010.5627823.","page":"6103-6106","title":"Using pre-treatment EEG data to predict response to SSRI treatment for MDD","type":"article-journal","volume":"2010"},"uris":["http://www.mendeley.com/documents/?uuid=ace720a0-51a9-4ecb-b4de-8fe687488307"]}],"mendeley":{"formattedCitation":"(Khodayari-Rostamabad, Reilly, Hasey, De Bruin, &amp; MacCrimmon, 2010)","plainTextFormattedCitation":"(Khodayari-Rostamabad, Reilly, Hasey, De Bruin, &amp; MacCrimmon, 2010)","previouslyFormattedCitation":"(Khodayari-Rostamabad, Reilly, Hasey, De Bruin, &amp; MacCrimmon, 2010)"},"properties":{"noteIndex":0},"schema":"https://github.com/citation-style-language/schema/raw/master/csl-citation.json"}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(Khodayari-Rostamabad, Reilly, Hasey, De Bruin, &amp; MacCrimmon, 2010)</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4BD6A23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41B1CA3"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17</w:t>
            </w:r>
          </w:p>
        </w:tc>
        <w:tc>
          <w:tcPr>
            <w:tcW w:w="479" w:type="pct"/>
            <w:hideMark/>
          </w:tcPr>
          <w:p w14:paraId="1F265336" w14:textId="77777777" w:rsidR="0034508D" w:rsidRDefault="0034508D" w:rsidP="00A04D7A">
            <w:pPr>
              <w:rPr>
                <w:rFonts w:eastAsia="Times New Roman" w:cstheme="minorHAnsi"/>
                <w:color w:val="000000"/>
                <w:sz w:val="16"/>
                <w:szCs w:val="16"/>
              </w:rPr>
            </w:pPr>
            <w:r w:rsidRPr="003C4781">
              <w:rPr>
                <w:rFonts w:eastAsia="Times New Roman" w:cstheme="minorHAnsi"/>
                <w:color w:val="000000"/>
                <w:sz w:val="16"/>
                <w:szCs w:val="16"/>
              </w:rPr>
              <w:t>The kernel partial le</w:t>
            </w:r>
            <w:r w:rsidR="00A04D7A">
              <w:rPr>
                <w:rFonts w:eastAsia="Times New Roman" w:cstheme="minorHAnsi"/>
                <w:color w:val="000000"/>
                <w:sz w:val="16"/>
                <w:szCs w:val="16"/>
              </w:rPr>
              <w:t xml:space="preserve">ast squares regression </w:t>
            </w:r>
            <w:r w:rsidR="00A04D7A">
              <w:rPr>
                <w:rFonts w:eastAsia="Times New Roman" w:cstheme="minorHAnsi"/>
                <w:color w:val="000000"/>
                <w:sz w:val="16"/>
                <w:szCs w:val="16"/>
              </w:rPr>
              <w:br/>
            </w:r>
            <w:r w:rsidRPr="003C4781">
              <w:rPr>
                <w:rFonts w:eastAsia="Times New Roman" w:cstheme="minorHAnsi"/>
                <w:color w:val="000000"/>
                <w:sz w:val="16"/>
                <w:szCs w:val="16"/>
              </w:rPr>
              <w:t>method with a Gaussian Kernel</w:t>
            </w:r>
          </w:p>
          <w:p w14:paraId="1C5308B9" w14:textId="77777777" w:rsidR="00A04D7A" w:rsidRPr="003C4781" w:rsidRDefault="00A04D7A" w:rsidP="00A04D7A">
            <w:pPr>
              <w:rPr>
                <w:rFonts w:eastAsia="Times New Roman" w:cstheme="minorHAnsi"/>
                <w:color w:val="000000"/>
                <w:sz w:val="16"/>
                <w:szCs w:val="16"/>
              </w:rPr>
            </w:pPr>
            <w:r>
              <w:rPr>
                <w:rFonts w:eastAsia="Times New Roman" w:cstheme="minorHAnsi"/>
                <w:color w:val="000000"/>
                <w:sz w:val="16"/>
                <w:szCs w:val="16"/>
              </w:rPr>
              <w:t>(KPLSR)</w:t>
            </w:r>
          </w:p>
        </w:tc>
        <w:tc>
          <w:tcPr>
            <w:tcW w:w="460" w:type="pct"/>
            <w:hideMark/>
          </w:tcPr>
          <w:p w14:paraId="38826D56"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w:t>
            </w:r>
            <w:r w:rsidRPr="003C4781">
              <w:rPr>
                <w:rFonts w:eastAsia="Times New Roman" w:cstheme="minorHAnsi"/>
                <w:color w:val="000000"/>
                <w:sz w:val="16"/>
                <w:szCs w:val="16"/>
              </w:rPr>
              <w:br/>
              <w:t>(inner 10-fold cross-validation,</w:t>
            </w:r>
            <w:r w:rsidRPr="003C4781">
              <w:rPr>
                <w:rFonts w:eastAsia="Times New Roman" w:cstheme="minorHAnsi"/>
                <w:color w:val="000000"/>
                <w:sz w:val="16"/>
                <w:szCs w:val="16"/>
              </w:rPr>
              <w:br/>
              <w:t>outer 11-fold cross-validation)</w:t>
            </w:r>
          </w:p>
        </w:tc>
        <w:tc>
          <w:tcPr>
            <w:tcW w:w="514" w:type="pct"/>
            <w:hideMark/>
          </w:tcPr>
          <w:p w14:paraId="7EA944B2" w14:textId="77777777" w:rsidR="0034508D" w:rsidRPr="003C4781" w:rsidRDefault="0034508D" w:rsidP="00300FEF">
            <w:pPr>
              <w:rPr>
                <w:rFonts w:eastAsia="Times New Roman" w:cstheme="minorHAnsi"/>
                <w:color w:val="000000"/>
                <w:sz w:val="16"/>
                <w:szCs w:val="16"/>
              </w:rPr>
            </w:pPr>
            <w:proofErr w:type="spellStart"/>
            <w:r w:rsidRPr="003C4781">
              <w:rPr>
                <w:rFonts w:eastAsia="Times New Roman" w:cstheme="minorHAnsi"/>
                <w:color w:val="000000"/>
                <w:sz w:val="16"/>
                <w:szCs w:val="16"/>
              </w:rPr>
              <w:t>Kullback</w:t>
            </w:r>
            <w:proofErr w:type="spellEnd"/>
            <w:r w:rsidRPr="003C4781">
              <w:rPr>
                <w:rFonts w:eastAsia="Times New Roman" w:cstheme="minorHAnsi"/>
                <w:color w:val="000000"/>
                <w:sz w:val="16"/>
                <w:szCs w:val="16"/>
              </w:rPr>
              <w:t>–</w:t>
            </w:r>
            <w:r w:rsidRPr="003C4781">
              <w:rPr>
                <w:rFonts w:eastAsia="Times New Roman" w:cstheme="minorHAnsi"/>
                <w:color w:val="000000"/>
                <w:sz w:val="16"/>
                <w:szCs w:val="16"/>
              </w:rPr>
              <w:br/>
            </w:r>
            <w:proofErr w:type="spellStart"/>
            <w:r w:rsidRPr="003C4781">
              <w:rPr>
                <w:rFonts w:eastAsia="Times New Roman" w:cstheme="minorHAnsi"/>
                <w:color w:val="000000"/>
                <w:sz w:val="16"/>
                <w:szCs w:val="16"/>
              </w:rPr>
              <w:t>Leibler</w:t>
            </w:r>
            <w:proofErr w:type="spellEnd"/>
            <w:r w:rsidRPr="003C4781">
              <w:rPr>
                <w:rFonts w:eastAsia="Times New Roman" w:cstheme="minorHAnsi"/>
                <w:color w:val="000000"/>
                <w:sz w:val="16"/>
                <w:szCs w:val="16"/>
              </w:rPr>
              <w:t xml:space="preserve"> (KL) distance measure</w:t>
            </w:r>
          </w:p>
        </w:tc>
        <w:tc>
          <w:tcPr>
            <w:tcW w:w="477" w:type="pct"/>
            <w:hideMark/>
          </w:tcPr>
          <w:p w14:paraId="3EBD534E" w14:textId="77777777" w:rsidR="0034508D" w:rsidRPr="003C4781" w:rsidRDefault="0034508D" w:rsidP="00300FEF">
            <w:pPr>
              <w:rPr>
                <w:rFonts w:eastAsia="Times New Roman" w:cstheme="minorHAnsi"/>
                <w:color w:val="000000"/>
                <w:sz w:val="16"/>
                <w:szCs w:val="16"/>
              </w:rPr>
            </w:pPr>
          </w:p>
        </w:tc>
        <w:tc>
          <w:tcPr>
            <w:tcW w:w="480" w:type="pct"/>
            <w:hideMark/>
          </w:tcPr>
          <w:p w14:paraId="0031ADE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0CE862B7" w14:textId="77777777" w:rsidR="0034508D" w:rsidRPr="003C4781" w:rsidRDefault="0034508D" w:rsidP="00300FEF">
            <w:pPr>
              <w:spacing w:after="240"/>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4A1FAF0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E1A4AE6" w14:textId="77777777" w:rsidTr="006D63A2">
        <w:trPr>
          <w:trHeight w:val="341"/>
        </w:trPr>
        <w:tc>
          <w:tcPr>
            <w:tcW w:w="652" w:type="pct"/>
            <w:hideMark/>
          </w:tcPr>
          <w:p w14:paraId="19D1965C" w14:textId="765CCE85" w:rsidR="0034508D"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{"citationItems":[{"id":"ITEM-1","itemData":{"DOI":"10.1109/IEMBS.2011.6091584","ISBN":"9781424441211","ISSN":"1557170X","PMID":"22255807","abstract":"We investigate the use of machine learning methods based on the pre-treatment electroencephalograph (EEG) to predict response to repetitive transcranial magnetic stimulation (rTMS), which is a non-pharmacological form of therapy for treating major depressive disorder (MDD). The learning procedure involves the extraction of a large number of candidate features from EEG data, from which a very small subset of most statistically relevant features is selected for further processing. A statistical prediction model based on mixture of factor analysis (MFA) model is constructed from a training set that classifies the respective subject into responder and non-responder classes. A leave-2-out (L2O) cross-validation procedure is used to evaluate the prediction performance. This pilot study involves 27 subjects who received either left high-frequency (HF) active rTMS therapy or simultaneous left HF and right low-frequency active rTMS therapy. Our results indicate that it is possible to predict rTMS treatment efficacy of either treatment modality with a specificity of 83% and a sensitivity of 78%, for a combined accuracy of 80%. © 2011 IEEE.","author":[{"dropping-particle":"","family":"Khodayari-Rostamabad","given":"Ahmad","non-dropping-particle":"","parse-names":false,"suffix":""},{"dropping-particle":"","family":"Reilly","given":"James P.","non-dropping-particle":"","parse-names":false,"suffix":""},{"dropping-particle":"","family":"Hasey","given":"Gary M.","non-dropping-particle":"","parse-names":false,"suffix":""},{"dropping-particle":"","family":"Bruin","given":"Hubert","non-dropping-particle":"De","parse-names":false,"suffix":""},{"dropping-particle":"","family":"MacCrimmon","given":"Duncan","non-dropping-particle":"","parse-names":false,"suffix":""}],"container-title":"Proceedings of the Annual International Conference of the IEEE Engineering in Medicine and Biology Society, EMBS","edition":"2012/01/19","id":"ITEM-1","issued":{"date-parts":[["2011"]]},"language":"eng","note":"Khodayari-Rostamabad, Ahmad\nReilly, James P\nHasey, Gary M\ndeBruin, Hubert\nMacCrimmon, Duncan\nJournal Article\nResearch Support, Non-U.S. Gov't\nUnited States\nConf Proc IEEE Eng Med Biol Soc. 2011;2011:6418-21. doi: 10.1109/IEMBS.2011.6091584.","page":"6418-6421","title":"Using pre-treatment electroencephalography data to predict response to transcranial magnetic stimulation therapy for major depression","type":"article-journal","volume":"2011"},"uris":["http://www.mendeley.com/documents/?uuid=40d6c013-f6bc-4dd6-aacb-38d02b4d305b"]}],"mendeley":{"formattedCitation":"(Khodayari-Rostamabad, Reilly, Hasey, De Bruin, &amp; MacCrimmon, 2011)","plainTextFormattedCitation":"(Khodayari-Rostamabad, Reilly, Hasey, De Bruin, &amp; MacCrimmon, 2011)","previouslyFormattedCitation":"(Khodayari-Rostamabad, Reilly, Hasey, De Bruin, &amp; MacCrimmon, 2011)"},"properties":{"noteIndex":0},"schema":"https://github.com/citation-style-language/schema/raw/master/csl-citation.json"}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(Khodayari-Rostamabad, Reilly, Hasey, De Bruin, &amp; MacCrimmon, 2011)</w:t>
            </w:r>
            <w:r>
              <w:rPr>
                <w:rFonts w:eastAsia="Times New Roman" w:cstheme="minorHAnsi"/>
                <w:color w:val="000000"/>
                <w:sz w:val="16"/>
                <w:szCs w:val="16"/>
              </w:rPr>
              <w:fldChar w:fldCharType="end"/>
            </w:r>
          </w:p>
        </w:tc>
        <w:tc>
          <w:tcPr>
            <w:tcW w:w="607" w:type="pct"/>
            <w:hideMark/>
          </w:tcPr>
          <w:p w14:paraId="1882119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50EA140A"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4</w:t>
            </w:r>
          </w:p>
        </w:tc>
        <w:tc>
          <w:tcPr>
            <w:tcW w:w="479" w:type="pct"/>
            <w:hideMark/>
          </w:tcPr>
          <w:p w14:paraId="3F0FAE55" w14:textId="77777777" w:rsidR="0034508D" w:rsidRPr="003C4781" w:rsidRDefault="00A04D7A" w:rsidP="00A04D7A">
            <w:pPr>
              <w:rPr>
                <w:rFonts w:eastAsia="Times New Roman" w:cstheme="minorHAnsi"/>
                <w:color w:val="000000"/>
                <w:sz w:val="16"/>
                <w:szCs w:val="16"/>
              </w:rPr>
            </w:pPr>
            <w:r>
              <w:rPr>
                <w:rFonts w:eastAsia="Times New Roman" w:cstheme="minorHAnsi"/>
                <w:color w:val="000000"/>
                <w:sz w:val="16"/>
                <w:szCs w:val="16"/>
              </w:rPr>
              <w:t>Mixture of</w:t>
            </w:r>
            <w:r>
              <w:rPr>
                <w:rFonts w:eastAsia="Times New Roman" w:cstheme="minorHAnsi"/>
                <w:color w:val="000000"/>
                <w:sz w:val="16"/>
                <w:szCs w:val="16"/>
              </w:rPr>
              <w:br/>
            </w:r>
            <w:r w:rsidR="0034508D" w:rsidRPr="003C4781">
              <w:rPr>
                <w:rFonts w:eastAsia="Times New Roman" w:cstheme="minorHAnsi"/>
                <w:color w:val="000000"/>
                <w:sz w:val="16"/>
                <w:szCs w:val="16"/>
              </w:rPr>
              <w:t>factor analysis model</w:t>
            </w:r>
            <w:r>
              <w:rPr>
                <w:rFonts w:eastAsia="Times New Roman" w:cstheme="minorHAnsi"/>
                <w:color w:val="000000"/>
                <w:sz w:val="16"/>
                <w:szCs w:val="16"/>
              </w:rPr>
              <w:t xml:space="preserve"> </w:t>
            </w:r>
            <w:r w:rsidRPr="003C4781">
              <w:rPr>
                <w:rFonts w:eastAsia="Times New Roman" w:cstheme="minorHAnsi"/>
                <w:color w:val="000000"/>
                <w:sz w:val="16"/>
                <w:szCs w:val="16"/>
              </w:rPr>
              <w:t>(MFA)</w:t>
            </w:r>
          </w:p>
        </w:tc>
        <w:tc>
          <w:tcPr>
            <w:tcW w:w="460" w:type="pct"/>
            <w:hideMark/>
          </w:tcPr>
          <w:p w14:paraId="579FBF8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Leave-2-out cross-validation</w:t>
            </w:r>
          </w:p>
        </w:tc>
        <w:tc>
          <w:tcPr>
            <w:tcW w:w="514" w:type="pct"/>
            <w:hideMark/>
          </w:tcPr>
          <w:p w14:paraId="26839747"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Minimal-redundancy-maximal-relevance </w:t>
            </w:r>
            <w:r w:rsidRPr="003C4781">
              <w:rPr>
                <w:rFonts w:eastAsia="Times New Roman" w:cstheme="minorHAnsi"/>
                <w:color w:val="000000"/>
                <w:sz w:val="16"/>
                <w:szCs w:val="16"/>
              </w:rPr>
              <w:lastRenderedPageBreak/>
              <w:t>criterion (</w:t>
            </w:r>
            <w:proofErr w:type="spellStart"/>
            <w:r w:rsidRPr="003C4781">
              <w:rPr>
                <w:rFonts w:eastAsia="Times New Roman" w:cstheme="minorHAnsi"/>
                <w:color w:val="000000"/>
                <w:sz w:val="16"/>
                <w:szCs w:val="16"/>
              </w:rPr>
              <w:t>mRMR</w:t>
            </w:r>
            <w:proofErr w:type="spellEnd"/>
            <w:r w:rsidRPr="003C4781">
              <w:rPr>
                <w:rFonts w:eastAsia="Times New Roman" w:cstheme="minorHAnsi"/>
                <w:color w:val="000000"/>
                <w:sz w:val="16"/>
                <w:szCs w:val="16"/>
              </w:rPr>
              <w:t>)</w:t>
            </w:r>
          </w:p>
        </w:tc>
        <w:tc>
          <w:tcPr>
            <w:tcW w:w="477" w:type="pct"/>
            <w:hideMark/>
          </w:tcPr>
          <w:p w14:paraId="214F5497" w14:textId="77777777" w:rsidR="0034508D" w:rsidRPr="003C4781" w:rsidRDefault="0034508D" w:rsidP="00300FEF">
            <w:pPr>
              <w:rPr>
                <w:rFonts w:eastAsia="Times New Roman" w:cstheme="minorHAnsi"/>
                <w:color w:val="000000"/>
                <w:sz w:val="16"/>
                <w:szCs w:val="16"/>
              </w:rPr>
            </w:pPr>
          </w:p>
        </w:tc>
        <w:tc>
          <w:tcPr>
            <w:tcW w:w="480" w:type="pct"/>
            <w:hideMark/>
          </w:tcPr>
          <w:p w14:paraId="7B6CD78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199467FA" w14:textId="77777777" w:rsidR="0034508D" w:rsidRPr="003C4781" w:rsidRDefault="0034508D" w:rsidP="00300FEF">
            <w:pPr>
              <w:spacing w:after="240"/>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6D659BE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705248" w:rsidRPr="003C4781" w14:paraId="0BF55FD4" w14:textId="77777777" w:rsidTr="006D63A2">
        <w:trPr>
          <w:trHeight w:val="440"/>
        </w:trPr>
        <w:tc>
          <w:tcPr>
            <w:tcW w:w="652" w:type="pct"/>
            <w:hideMark/>
          </w:tcPr>
          <w:p w14:paraId="01B84814" w14:textId="2CDABEF3"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{"citationItems":[{"id":"ITEM-1","itemData":{"DOI":"10.1016/j.clinph.2013.04.010","ISBN":"1388-2457","ISSN":"13882457","PMID":"23684127","abstract":"Objective: The problem of identifying, in advance, the most effective treatment agent for various psychiatric conditions remains an elusive goal. To address this challenge, we investigate the performance of the proposed machine learning (ML) methodology (based on the pre-treatment electroencephalogram (EEG)) for prediction of response to treatment with a selective serotonin reuptake inhibitor (SSRI) medication in subjects suffering from major depressive disorder (MDD). Methods: A relatively small number of most discriminating features are selected from a large group of candidate features extracted from the subject's pre-treatment EEG, using a machine learning procedure for feature selection. The selected features are fed into a classifier, which was realized as a mixture of factor analysis (MFA) model, whose output is the predicted response in the form of a likelihood value. This likelihood indicates the extent to which the subject belongs to the responder vs. non-responder classes. The overall method was evaluated using a \"leave- n-out\" randomized permutation cross-validation procedure. Results: A list of discriminating EEG biomarkers (features) was found. The specificity of the proposed method is 80.9% while sensitivity is 94.9%, for an overall prediction accuracy of 87.9%. There is a 98.76% confidence that the estimated prediction rate is within the interval [75%, 100%]. Conclusions: These results indicate that the proposed ML method holds considerable promise in predicting the efficacy of SSRI antidepressant therapy for MDD, based on a simple and cost-effective pre-treatment EEG. Significance: The proposed approach offers the potential to improve the treatment of major depression and to reduce health care costs. © 2013 International Federation of Clinical Neurophysiology.","author":[{"dropping-particle":"","family":"Khodayari-Rostamabad","given":"Ahmad","non-dropping-particle":"","parse-names":false,"suffix":""},{"dropping-particle":"","family":"Reilly","given":"James P.","non-dropping-particle":"","parse-names":false,"suffix":""},{"dropping-particle":"","family":"Hasey","given":"Gary M.","non-dropping-particle":"","parse-names":false,"suffix":""},{"dropping-particle":"","family":"Bruin","given":"Hubert","non-dropping-particle":"de","parse-names":false,"suffix":""},{"dropping-particle":"","family":"MacCrimmon","given":"Duncan J.","non-dropping-particle":"","parse-names":false,"suffix":""}],"container-title":"Clinical Neurophysiology","edition":"2013/05/21","id":"ITEM-1","issue":"10","issued":{"date-parts":[["2013"]]},"language":"eng","note":"1872-8952\nKhodayari-Rostamabad, Ahmad\nReilly, James P\nHasey, Gary M\nde Bruin, Hubert\nMaccrimmon, Duncan J\nJournal Article\nRandomized Controlled Trial\nResearch Support, Non-U.S. Gov't\nNetherlands\nClin Neurophysiol. 2013 Oct;124(10):1975-85. doi: 10.1016/j.clinph.2013.04.010. Epub 2013 May 15.","page":"1975-1985","title":"A machine learning approach using EEG data to predict response to SSRI treatment for major depressive disorder","type":"article-journal","volume":"124"},"uris":["http://www.mendeley.com/documents/?uuid=5d6837ba-89ac-418f-a0f5-6a4859559037"]}],"mendeley":{"formattedCitation":"(Khodayari-Rostamabad, Reilly, Hasey, de Bruin, &amp; MacCrimmon, 2013)","plainTextFormattedCitation":"(Khodayari-Rostamabad, Reilly, Hasey, de Bruin, &amp; MacCrimmon, 2013)","previouslyFormattedCitation":"(Khodayari-Rostamabad, Reilly, Hasey, de Bruin, &amp; MacCrimmon, 2013)"},"properties":{"noteIndex":0},"schema":"https://github.com/citation-style-language/schema/raw/master/csl-citation.json"}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(Khodayari-Rostamabad, Reilly, Hasey, de Bruin, &amp; MacCrimmon, 2013)</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15B1D7B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62AE81DE"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27</w:t>
            </w:r>
          </w:p>
        </w:tc>
        <w:tc>
          <w:tcPr>
            <w:tcW w:w="479" w:type="pct"/>
            <w:hideMark/>
          </w:tcPr>
          <w:p w14:paraId="5BB91D6E" w14:textId="77777777" w:rsidR="0034508D" w:rsidRPr="003C4781" w:rsidRDefault="00A04D7A" w:rsidP="00300FEF">
            <w:pPr>
              <w:rPr>
                <w:rFonts w:eastAsia="Times New Roman" w:cstheme="minorHAnsi"/>
                <w:color w:val="000000"/>
                <w:sz w:val="16"/>
                <w:szCs w:val="16"/>
              </w:rPr>
            </w:pPr>
            <w:r>
              <w:rPr>
                <w:rFonts w:eastAsia="Times New Roman" w:cstheme="minorHAnsi"/>
                <w:color w:val="000000"/>
                <w:sz w:val="16"/>
                <w:szCs w:val="16"/>
              </w:rPr>
              <w:t>Mixture of</w:t>
            </w:r>
            <w:r>
              <w:rPr>
                <w:rFonts w:eastAsia="Times New Roman" w:cstheme="minorHAnsi"/>
                <w:color w:val="000000"/>
                <w:sz w:val="16"/>
                <w:szCs w:val="16"/>
              </w:rPr>
              <w:br/>
            </w:r>
            <w:r w:rsidRPr="003C4781">
              <w:rPr>
                <w:rFonts w:eastAsia="Times New Roman" w:cstheme="minorHAnsi"/>
                <w:color w:val="000000"/>
                <w:sz w:val="16"/>
                <w:szCs w:val="16"/>
              </w:rPr>
              <w:t>factor analysis model</w:t>
            </w:r>
            <w:r>
              <w:rPr>
                <w:rFonts w:eastAsia="Times New Roman" w:cstheme="minorHAnsi"/>
                <w:color w:val="000000"/>
                <w:sz w:val="16"/>
                <w:szCs w:val="16"/>
              </w:rPr>
              <w:t xml:space="preserve"> </w:t>
            </w:r>
            <w:r w:rsidRPr="003C4781">
              <w:rPr>
                <w:rFonts w:eastAsia="Times New Roman" w:cstheme="minorHAnsi"/>
                <w:color w:val="000000"/>
                <w:sz w:val="16"/>
                <w:szCs w:val="16"/>
              </w:rPr>
              <w:t>(MFA)</w:t>
            </w:r>
          </w:p>
        </w:tc>
        <w:tc>
          <w:tcPr>
            <w:tcW w:w="460" w:type="pct"/>
            <w:hideMark/>
          </w:tcPr>
          <w:p w14:paraId="67AAE17F"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Leave-n-out randomized permutation cross-validation</w:t>
            </w:r>
          </w:p>
        </w:tc>
        <w:tc>
          <w:tcPr>
            <w:tcW w:w="514" w:type="pct"/>
            <w:hideMark/>
          </w:tcPr>
          <w:p w14:paraId="2199AB7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Fisher discriminant ratio (FDR) </w:t>
            </w:r>
          </w:p>
        </w:tc>
        <w:tc>
          <w:tcPr>
            <w:tcW w:w="477" w:type="pct"/>
            <w:hideMark/>
          </w:tcPr>
          <w:p w14:paraId="1F54B8E6" w14:textId="77777777" w:rsidR="0034508D" w:rsidRPr="003C4781" w:rsidRDefault="0034508D" w:rsidP="00300FEF">
            <w:pPr>
              <w:rPr>
                <w:rFonts w:eastAsia="Times New Roman" w:cstheme="minorHAnsi"/>
                <w:color w:val="000000"/>
                <w:sz w:val="16"/>
                <w:szCs w:val="16"/>
              </w:rPr>
            </w:pPr>
          </w:p>
        </w:tc>
        <w:tc>
          <w:tcPr>
            <w:tcW w:w="480" w:type="pct"/>
            <w:hideMark/>
          </w:tcPr>
          <w:p w14:paraId="104604E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6936F858" w14:textId="77777777" w:rsidR="0034508D" w:rsidRPr="003C4781" w:rsidRDefault="0034508D" w:rsidP="00300FEF">
            <w:pPr>
              <w:spacing w:after="240"/>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7CE22D6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06230702" w14:textId="77777777" w:rsidTr="006D63A2">
        <w:trPr>
          <w:trHeight w:val="260"/>
        </w:trPr>
        <w:tc>
          <w:tcPr>
            <w:tcW w:w="652" w:type="pct"/>
            <w:hideMark/>
          </w:tcPr>
          <w:p w14:paraId="5F6A0887" w14:textId="6E872603"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{"citationItems":[{"id":"ITEM-1","itemData":{"DOI":"10.1016/j.ebiom.2014.12.002","ISBN":"2352-3964 (Print)\r2352-3964 (Linking)","ISSN":"23523964","PMID":"26137532","abstract":"Background: Less than 50% of patients with Major Depressive Disorder (MDD) reach symptomatic remission with their initial antidepressant medication (ADM). There are currently no objective measures with which to reliably predict which individuals will achieve remission to ADMs. Methods: 157 participants with MDD from the International Study to Predict Optimized Treatment in Depression (iSPOT-D) underwent baseline MRIs and completed eight weeks of treatment with escitalopram, sertraline or venlafaxine-ER. A score at week 8 of 7 or less on the 17 item Hamilton Rating Scale for Depression defined remission. Receiver Operator Characteristics (ROC) analysis using the first 50% participants was performed to define decision trees of baseline MRI volumetric and connectivity (fractional anisotropy) measures that differentiated non-remitters from remitters with maximal sensitivity and specificity. These decision trees were tested for replication in the remaining participants. Findings: Overall, 35% of all participants achieved remission. ROC analyses identified two decision trees that predicted a high probability of non-remission and that were replicated: 1. Left middle frontal volume. &lt;. 14. ·. 8. mL &amp; right angular gyrus volume. &gt;. 6. ·. 3. mL identified 55% of non-remitters with 85% accuracy; and 2. Fractional anisotropy values in the left cingulum bundle. &lt;. 0. ·. 63, right superior fronto-occipital fasciculus. &lt;. 0. ·. 54 and right superior longitudinal fasciculus. &lt;. 0 · 50 identified 15% of the non-remitters with 84% accuracy. All participants who met criteria for both decision trees were correctly identified as non-remitters. Interpretation: Pretreatment MRI measures seem to reliably identify a subset of patients who do not remit with a first step medication that includes one of these commonly used medications. Findings are consistent with a neuroanatomical basis for non-remission in depressed patients.","author":[{"dropping-particle":"","family":"Korgaonkar","given":"Mayuresh S.","non-dropping-particle":"","parse-names":false,"suffix":""},{"dropping-particle":"","family":"Rekshan","given":"William","non-dropping-particle":"","parse-names":false,"suffix":""},{"dropping-particle":"","family":"Gordon","given":"Evian","non-dropping-particle":"","parse-names":false,"suffix":""},{"dropping-particle":"","family":"Rush","given":"A. John","non-dropping-particle":"","parse-names":false,"suffix":""},{"dropping-particle":"","family":"Williams","given":"Leanne M.","non-dropping-particle":"","parse-names":false,"suffix":""},{"dropping-particle":"","family":"Blasey","given":"Christine","non-dropping-particle":"","parse-names":false,"suffix":""},{"dropping-particle":"","family":"Grieve","given":"Stuart M.","non-dropping-particle":"","parse-names":false,"suffix":""}],"container-title":"EBioMedicine","edition":"2015/07/03","id":"ITEM-1","issue":"1","issued":{"date-parts":[["2015"]]},"note":"Korgaonkar, Mayuresh S\nRekshan, William\nGordon, Evian\nRush, A John\nWilliams, Leanne M\nBlasey, Christine\nGrieve, Stuart M\neng\nResearch Support, Non-U.S. Gov't\nNetherlands\nEBioMedicine. 2014 Dec 3;2(1):37-45. doi: 10.1016/j.ebiom.2014.12.002. eCollection 2015 Jan.","page":"37-45","title":"Magnetic Resonance Imaging Measures of Brain Structure to Predict Antidepressant Treatment Outcome in Major Depressive Disorder","type":"article-journal","volume":"2"},"uris":["http://www.mendeley.com/documents/?uuid=ea073cc6-78fc-4405-b74c-113b4011f48b"]}],"mendeley":{"formattedCitation":"(Korgaonkar et al., 2015)","plainTextFormattedCitation":"(Korgaonkar et al., 2015)","previouslyFormattedCitation":"(Korgaonkar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(Korgaonkar et al., 2015)</w:t>
            </w:r>
            <w:r>
              <w:rPr>
                <w:rFonts w:eastAsia="Times New Roman" w:cstheme="minorHAnsi"/>
                <w:color w:val="000000"/>
                <w:sz w:val="16"/>
                <w:szCs w:val="16"/>
              </w:rPr>
              <w:fldChar w:fldCharType="end"/>
            </w:r>
            <w:r w:rsidR="0034508D" w:rsidRPr="003C4781">
              <w:rPr>
                <w:rFonts w:eastAsia="Times New Roman" w:cstheme="minorHAnsi"/>
                <w:color w:val="000000"/>
                <w:sz w:val="16"/>
                <w:szCs w:val="16"/>
              </w:rPr>
              <w:t xml:space="preserve"> </w:t>
            </w:r>
          </w:p>
        </w:tc>
        <w:tc>
          <w:tcPr>
            <w:tcW w:w="607" w:type="pct"/>
            <w:hideMark/>
          </w:tcPr>
          <w:p w14:paraId="01D60BF2"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B9501C8"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3</w:t>
            </w:r>
          </w:p>
        </w:tc>
        <w:tc>
          <w:tcPr>
            <w:tcW w:w="479" w:type="pct"/>
            <w:hideMark/>
          </w:tcPr>
          <w:p w14:paraId="6E721858"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Decision tree</w:t>
            </w:r>
          </w:p>
        </w:tc>
        <w:tc>
          <w:tcPr>
            <w:tcW w:w="460" w:type="pct"/>
            <w:hideMark/>
          </w:tcPr>
          <w:p w14:paraId="2A1CCBC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Cross- validation, external validation</w:t>
            </w:r>
          </w:p>
        </w:tc>
        <w:tc>
          <w:tcPr>
            <w:tcW w:w="514" w:type="pct"/>
            <w:hideMark/>
          </w:tcPr>
          <w:p w14:paraId="2DC1E6CF" w14:textId="77777777" w:rsidR="0034508D" w:rsidRPr="003C4781" w:rsidRDefault="0034508D" w:rsidP="00300FEF">
            <w:pPr>
              <w:rPr>
                <w:rFonts w:eastAsia="Times New Roman" w:cstheme="minorHAnsi"/>
                <w:color w:val="000000"/>
                <w:sz w:val="16"/>
                <w:szCs w:val="16"/>
              </w:rPr>
            </w:pPr>
          </w:p>
        </w:tc>
        <w:tc>
          <w:tcPr>
            <w:tcW w:w="477" w:type="pct"/>
            <w:hideMark/>
          </w:tcPr>
          <w:p w14:paraId="02C06D6B" w14:textId="77777777" w:rsidR="0034508D" w:rsidRPr="003C4781" w:rsidRDefault="0034508D" w:rsidP="00300FEF">
            <w:pPr>
              <w:rPr>
                <w:rFonts w:eastAsia="Times New Roman" w:cstheme="minorHAnsi"/>
                <w:sz w:val="16"/>
                <w:szCs w:val="16"/>
              </w:rPr>
            </w:pPr>
          </w:p>
        </w:tc>
        <w:tc>
          <w:tcPr>
            <w:tcW w:w="480" w:type="pct"/>
            <w:hideMark/>
          </w:tcPr>
          <w:p w14:paraId="2B3249A9" w14:textId="77777777" w:rsidR="0034508D" w:rsidRPr="003C4781" w:rsidRDefault="0034508D" w:rsidP="00300FEF">
            <w:pPr>
              <w:rPr>
                <w:rFonts w:eastAsia="Times New Roman" w:cstheme="minorHAnsi"/>
                <w:sz w:val="16"/>
                <w:szCs w:val="16"/>
              </w:rPr>
            </w:pPr>
          </w:p>
        </w:tc>
        <w:tc>
          <w:tcPr>
            <w:tcW w:w="437" w:type="pct"/>
            <w:hideMark/>
          </w:tcPr>
          <w:p w14:paraId="43409D2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Non-remission</w:t>
            </w:r>
          </w:p>
        </w:tc>
        <w:tc>
          <w:tcPr>
            <w:tcW w:w="547" w:type="pct"/>
            <w:hideMark/>
          </w:tcPr>
          <w:p w14:paraId="20DAD4D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070E3D39" w14:textId="77777777" w:rsidTr="006D63A2">
        <w:trPr>
          <w:trHeight w:val="737"/>
        </w:trPr>
        <w:tc>
          <w:tcPr>
            <w:tcW w:w="652" w:type="pct"/>
            <w:hideMark/>
          </w:tcPr>
          <w:p w14:paraId="08D08A3B" w14:textId="42DA79BD"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{"citationItems":[{"id":"ITEM-1","itemData":{"DOI":"10.3389/fpsyt.2018.00092","ISBN":"1664-0640 (Print)\r1664-0640","ISSN":"16640640","PMID":"29618992","abstract":"Background: Electroconvulsive therapy (ECT) is arguably the most effective available treatment for severe depression. Recent studies have used MRI data to predict clinical outcome to ECT and other antidepressant therapies. One challenge facing such studies is selecting from among the many available metrics, which characterize complementary and sometimes non-overlapping aspects of brain function and connectomics. Here, we assessed the ability of aggregated, functional MRI metrics of basal brain activity and connectivity to predict antidepressant response to ECT using machine learning. Methods: A radial support vector machine was trained using arterial spin labeling (ASL) and blood-oxygen-level-dependent (BOLD) functional magnetic resonance imaging (fMRI) metrics from n = 46 (26 female, mean age 42) depressed patients prior to ECT (majority right-unilateral stimulation). Image preprocessing was applied using standard procedures, and metrics included cerebral blood flow in ASL, and regional homogeneity, fractional amplitude of low-frequency modulations, and graph theory metrics (strength, local efficiency, and clustering) in BOLD data. A 5-repeated 5-fold cross-validation procedure with nested feature-selection validated model performance. Linear regressions were applied post hoc to aid interpretation of discriminative features. Results: The range of balanced accuracy in models performing statistically above chance was 58-68%. Here, prediction of non-responders was slightly higher than for responders (maximum performance 74 and 64%, respectively). Several features were consistently selected across cross-validation folds, mostly within frontal and temporal regions. Among these were connectivity strength among: a fronto-parietal network [including left dorsolateral prefrontal cortex (DLPFC)], motor and temporal networks (near ECT electrodes), and/or subgenual anterior cingulate cortex (sgACC). Conclusion: Our data indicate that pattern classification of multimodal fMRI metrics can successfully predict ECT outcome, particularly for individuals who will not respond to treatment. Notably, connectivity with networks highly relevant to ECT and depression were consistently selected as important predictive features. These included the left DLPFC and the sgACC, which are both targets of other neurostimulation therapies for depression, as well as connectivity between motor and right temporal cortices near electrode sites. Future studies that probe additional function…","author":[{"dropping-particle":"","family":"Leaver","given":"Amber M.","non-dropping-particle":"","parse-names":false,"suffix":""},{"dropping-particle":"","family":"Wade","given":"Benjamin","non-dropping-particle":"","parse-names":false,"suffix":""},{"dropping-particle":"","family":"Vasavada","given":"Megha","non-dropping-particle":"","parse-names":false,"suffix":""},{"dropping-particle":"","family":"Hellemann","given":"Gerhard","non-dropping-particle":"","parse-names":false,"suffix":""},{"dropping-particle":"","family":"Joshi","given":"Shantanu H.","non-dropping-particle":"","parse-names":false,"suffix":""},{"dropping-particle":"","family":"Espinoza","given":"Randall","non-dropping-particle":"","parse-names":false,"suffix":""},{"dropping-particle":"","family":"Narr","given":"Katherine L.","non-dropping-particle":"","parse-names":false,"suffix":""}],"container-title":"Frontiers in Psychiatry","edition":"2018/04/06","id":"ITEM-1","issue":"MAR","issued":{"date-parts":[["2018"]]},"language":"eng","note":"Leaver, Amber M\nWade, Benjamin\nVasavada, Megha\nHellemann, Gerhard\nJoshi, Shantanu H\nEspinoza, Randall\nNarr, Katherine L\nK24 MH102743/MH/NIMH NIH HHS/United States\nU01 MH110008/MH/NIMH NIH HHS/United States\nJournal Article\nSwitzerland\nFront Psychiatry. 2018 Mar 21;9:92. doi: 10.3389/fpsyt.2018.00092. eCollection 2018.","page":"92","title":"Fronto-temporal connectivity predicts ECT outcome in major depression","type":"article-journal","volume":"9"},"uris":["http://www.mendeley.com/documents/?uuid=93ebe686-aa32-4f5f-a567-cdbdbc3ce48a"]}],"mendeley":{"formattedCitation":"(Leaver et al., 2018)","plainTextFormattedCitation":"(Leaver et al., 2018)","previouslyFormattedCitation":"(Leaver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(Leaver et al., 2018)</w:t>
            </w:r>
            <w:r>
              <w:rPr>
                <w:rFonts w:eastAsia="Times New Roman" w:cstheme="minorHAnsi"/>
                <w:color w:val="000000"/>
                <w:sz w:val="16"/>
                <w:szCs w:val="16"/>
              </w:rPr>
              <w:fldChar w:fldCharType="end"/>
            </w:r>
            <w:r w:rsidR="0034508D" w:rsidRPr="003C4781">
              <w:rPr>
                <w:rFonts w:eastAsia="Times New Roman" w:cstheme="minorHAnsi"/>
                <w:color w:val="000000"/>
                <w:sz w:val="16"/>
                <w:szCs w:val="16"/>
              </w:rPr>
              <w:t xml:space="preserve"> </w:t>
            </w:r>
          </w:p>
        </w:tc>
        <w:tc>
          <w:tcPr>
            <w:tcW w:w="607" w:type="pct"/>
            <w:hideMark/>
          </w:tcPr>
          <w:p w14:paraId="4353BD3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7E8FDC1F"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25</w:t>
            </w:r>
          </w:p>
        </w:tc>
        <w:tc>
          <w:tcPr>
            <w:tcW w:w="479" w:type="pct"/>
            <w:hideMark/>
          </w:tcPr>
          <w:p w14:paraId="6FFC80F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Support-vector machine (SVM)</w:t>
            </w:r>
          </w:p>
        </w:tc>
        <w:tc>
          <w:tcPr>
            <w:tcW w:w="460" w:type="pct"/>
            <w:hideMark/>
          </w:tcPr>
          <w:p w14:paraId="44ECF06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 (inner and outer 5 fold cross-validation)</w:t>
            </w:r>
          </w:p>
        </w:tc>
        <w:tc>
          <w:tcPr>
            <w:tcW w:w="514" w:type="pct"/>
            <w:hideMark/>
          </w:tcPr>
          <w:p w14:paraId="50D07E4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Recursive feature elimination (RFE)</w:t>
            </w:r>
          </w:p>
        </w:tc>
        <w:tc>
          <w:tcPr>
            <w:tcW w:w="477" w:type="pct"/>
            <w:hideMark/>
          </w:tcPr>
          <w:p w14:paraId="698A6813" w14:textId="77777777" w:rsidR="0034508D" w:rsidRPr="003C4781" w:rsidRDefault="0034508D" w:rsidP="00300FEF">
            <w:pPr>
              <w:rPr>
                <w:rFonts w:eastAsia="Times New Roman" w:cstheme="minorHAnsi"/>
                <w:color w:val="000000"/>
                <w:sz w:val="16"/>
                <w:szCs w:val="16"/>
              </w:rPr>
            </w:pPr>
          </w:p>
        </w:tc>
        <w:tc>
          <w:tcPr>
            <w:tcW w:w="480" w:type="pct"/>
            <w:hideMark/>
          </w:tcPr>
          <w:p w14:paraId="7DC796C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6CEFAC53"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 non-response</w:t>
            </w:r>
          </w:p>
        </w:tc>
        <w:tc>
          <w:tcPr>
            <w:tcW w:w="547" w:type="pct"/>
            <w:hideMark/>
          </w:tcPr>
          <w:p w14:paraId="41B2E52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Electroconvulsive therapy (ECT) </w:t>
            </w:r>
          </w:p>
        </w:tc>
      </w:tr>
      <w:tr w:rsidR="00705248" w:rsidRPr="003C4781" w14:paraId="13991AB5" w14:textId="77777777" w:rsidTr="006D63A2">
        <w:trPr>
          <w:trHeight w:val="809"/>
        </w:trPr>
        <w:tc>
          <w:tcPr>
            <w:tcW w:w="652" w:type="pct"/>
            <w:hideMark/>
          </w:tcPr>
          <w:p w14:paraId="484F79B1" w14:textId="191DA21A"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AA181B">
              <w:rPr>
                <w:rFonts w:eastAsia="Times New Roman" w:cstheme="minorHAnsi"/>
                <w:color w:val="000000"/>
                <w:sz w:val="16"/>
                <w:szCs w:val="16"/>
              </w:rPr>
              <w:instrText>ADDIN CSL_CITATION {"citationItems":[{"id":"ITEM-1","itemData":{"DOI":"10.3389/fpsyt.2018.00290","ISBN":"1664-0640 (Print)\r1664-0640","PMID":"30034349","abstract":"In the wake of recent advances in scientific research, personalized medicine using deep learning techniques represents a new paradigm. In this work, our goal was to establish deep learning models which distinguish responders from non-responders, and also to predict possible antidepressant treatment outcomes in major depressive disorder (MDD). To uncover relationships between the responsiveness of antidepressant treatment and biomarkers, we developed a deep learning prediction approach resulting from the analysis of genetic and clinical factors such as single nucleotide polymorphisms (SNPs), age, sex, baseline Hamilton Rating Scale for Depression score, depressive episodes, marital status, and suicide attempt status of MDD patients. The cohort consisted of 455 patients who were treated with selective serotonin reuptake inhibitors (treatment-response rate = 61.0%; remission rate = 33.0%). By using the SNP dataset that was original to a genome-wide association study, we selected 10 SNPs (including ABCA13 rs4917029, BNIP3 rs9419139, CACNA1E rs704329, EXOC4 rs6978272, GRIN2B rs7954376, LHFPL3 rs4352778, NELL1 rs2139423, NUAK1 rs2956406, PREX1 rs4810894, and SLIT3 rs139863958) which were associated with antidepressant treatment response. Furthermore, we pinpointed 10 SNPs (including ARNTL rs11022778, CAMK1D rs2724812, GABRB3 rs12904459, GRM8 rs35864549, NAALADL2 rs9878985, NCALD rs483986, PLA2G4A rs12046378, PROK2 rs73103153, RBFOX1 rs17134927, and ZNF536 rs77554113) in relation to remission. Then, we employed multilayer feedforward neural networks (MFNNs) containing 1-3 hidden layers and compared MFNN models with logistic regression models. Our analysis results revealed that the MFNN model with 2 hidden layers (area under the receiver operating characteristic curve (AUC) = 0.8228 +/- 0.0571; sensitivity = 0.7546 +/- 0.0619; specificity = 0.6922 +/- 0.0765) performed maximally among predictive models to infer the complex relationship between antidepressant treatment response and biomarkers. In addition, the MFNN model with 3 hidden layers (AUC = 0.8060 +/- 0.0722; sensitivity = 0.7732 +/- 0.0583; specificity = 0.6623 +/- 0.0853) achieved best among predictive models to predict remission. Our study indicates that the deep MFNN framework may provide a suitable method to establish a tool for distinguishing treatment responders from non-responders prior to antidepressant therapy.","author":[{"dropping-particle":"","family":"Lin","given":"E","non-dropping-particle":"","parse-names":false,"suffix":""},{"dropping-particle":"","family":"Kuo","given":"P H","non-dropping-particle":"","parse-names":false,"suffix":""},{"dropping-particle":"","family":"Liu","given":"Y L","non-dropping-particle":"","parse-names":false,"suffix":""},{"dropping-particle":"","family":"Yu","given":"Y W","non-dropping-particle":"","parse-names":false,"suffix":""},{"dropping-particle":"","family":"Yang","given":"A C","non-dropping-particle":"","parse-names":false,"suffix":""},{"dropping-particle":"","family":"Tsai","given":"S J","non-dropping-particle":"","parse-names":false,"suffix":""}],"container-title":"Front Psychiatry","edition":"2018/07/24","id":"ITEM-1","issued":{"date-parts":[["2018"]]},"language":"eng","note":"Lin, Eugene\nKuo, Po-Hsiu\nLiu, Yu-Li\nYu, Younger W-Y\nYang, Albert C\nTsai, Shih-Jen\nJournal Article\nSwitzerland\nFront Psychiatry. 2018 Jul 6;9:290. doi: 10.3389/fpsyt.2018.00290. eCollection 2018.","page":"290","title":"A Deep Learning Approach for Predicting Antidepressant Response in Major Depression Using Clinical and Genetic Biomarkers","type":"article-journal","volume":"9"},"uris":["http://www.mendeley.com/documents/?uuid=bde8efdf-9c56-4d36-bcc1-6537a24bcc45"]}],"mendeley":{"formattedCitation":"(Lin et al., 2018)","plainTextFormattedCitation":"(Lin et al., 2018)","previouslyFormattedCitation":"(Lin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(Lin et al., 2018)</w:t>
            </w:r>
            <w:r>
              <w:rPr>
                <w:rFonts w:eastAsia="Times New Roman" w:cstheme="minorHAnsi"/>
                <w:color w:val="000000"/>
                <w:sz w:val="16"/>
                <w:szCs w:val="16"/>
              </w:rPr>
              <w:fldChar w:fldCharType="end"/>
            </w:r>
            <w:r w:rsidR="0034508D" w:rsidRPr="003C4781">
              <w:rPr>
                <w:rFonts w:eastAsia="Times New Roman" w:cstheme="minorHAnsi"/>
                <w:color w:val="000000"/>
                <w:sz w:val="16"/>
                <w:szCs w:val="16"/>
              </w:rPr>
              <w:t xml:space="preserve"> </w:t>
            </w:r>
          </w:p>
        </w:tc>
        <w:tc>
          <w:tcPr>
            <w:tcW w:w="607" w:type="pct"/>
            <w:hideMark/>
          </w:tcPr>
          <w:p w14:paraId="2BFC47CE" w14:textId="77777777" w:rsidR="0034508D" w:rsidRPr="003C4781" w:rsidRDefault="00736F3B" w:rsidP="00300FEF">
            <w:pPr>
              <w:rPr>
                <w:rFonts w:eastAsia="Times New Roman" w:cstheme="minorHAnsi"/>
                <w:color w:val="000000"/>
                <w:sz w:val="16"/>
                <w:szCs w:val="16"/>
              </w:rPr>
            </w:pPr>
            <w:r>
              <w:rPr>
                <w:rFonts w:eastAsia="Times New Roman" w:cstheme="minorHAnsi"/>
                <w:color w:val="000000"/>
                <w:sz w:val="16"/>
                <w:szCs w:val="16"/>
              </w:rPr>
              <w:t>Clinical, g</w:t>
            </w:r>
            <w:r w:rsidR="0034508D" w:rsidRPr="003C4781">
              <w:rPr>
                <w:rFonts w:eastAsia="Times New Roman" w:cstheme="minorHAnsi"/>
                <w:color w:val="000000"/>
                <w:sz w:val="16"/>
                <w:szCs w:val="16"/>
              </w:rPr>
              <w:t>enetics</w:t>
            </w:r>
          </w:p>
        </w:tc>
        <w:tc>
          <w:tcPr>
            <w:tcW w:w="345" w:type="pct"/>
            <w:hideMark/>
          </w:tcPr>
          <w:p w14:paraId="085B6EC6"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16</w:t>
            </w:r>
          </w:p>
        </w:tc>
        <w:tc>
          <w:tcPr>
            <w:tcW w:w="479" w:type="pct"/>
            <w:hideMark/>
          </w:tcPr>
          <w:p w14:paraId="36B5599A" w14:textId="77777777" w:rsidR="0034508D" w:rsidRPr="003C4781" w:rsidRDefault="0099128E" w:rsidP="00300FEF">
            <w:pPr>
              <w:rPr>
                <w:rFonts w:eastAsia="Times New Roman" w:cstheme="minorHAnsi"/>
                <w:color w:val="000000"/>
                <w:sz w:val="16"/>
                <w:szCs w:val="16"/>
              </w:rPr>
            </w:pPr>
            <w:r>
              <w:rPr>
                <w:rFonts w:eastAsia="Times New Roman" w:cstheme="minorHAnsi"/>
                <w:color w:val="000000"/>
                <w:sz w:val="16"/>
                <w:szCs w:val="16"/>
              </w:rPr>
              <w:t>MFNN with</w:t>
            </w:r>
            <w:r>
              <w:rPr>
                <w:rFonts w:eastAsia="Times New Roman" w:cstheme="minorHAnsi"/>
                <w:color w:val="000000"/>
                <w:sz w:val="16"/>
                <w:szCs w:val="16"/>
              </w:rPr>
              <w:br/>
            </w:r>
            <w:r w:rsidR="0034508D" w:rsidRPr="003C4781">
              <w:rPr>
                <w:rFonts w:eastAsia="Times New Roman" w:cstheme="minorHAnsi"/>
                <w:color w:val="000000"/>
                <w:sz w:val="16"/>
                <w:szCs w:val="16"/>
              </w:rPr>
              <w:t>1 hidden layer, logistic Regression</w:t>
            </w:r>
          </w:p>
        </w:tc>
        <w:tc>
          <w:tcPr>
            <w:tcW w:w="460" w:type="pct"/>
            <w:hideMark/>
          </w:tcPr>
          <w:p w14:paraId="663B4135"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10-fold cross- validation</w:t>
            </w:r>
          </w:p>
        </w:tc>
        <w:tc>
          <w:tcPr>
            <w:tcW w:w="514" w:type="pct"/>
            <w:hideMark/>
          </w:tcPr>
          <w:p w14:paraId="0A418D6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 xml:space="preserve">Generalized </w:t>
            </w:r>
            <w:r w:rsidRPr="003C4781">
              <w:rPr>
                <w:rFonts w:eastAsia="Times New Roman" w:cstheme="minorHAnsi"/>
                <w:color w:val="000000"/>
                <w:sz w:val="16"/>
                <w:szCs w:val="16"/>
              </w:rPr>
              <w:br/>
              <w:t xml:space="preserve">multifactor </w:t>
            </w:r>
            <w:r w:rsidRPr="003C4781">
              <w:rPr>
                <w:rFonts w:eastAsia="Times New Roman" w:cstheme="minorHAnsi"/>
                <w:color w:val="000000"/>
                <w:sz w:val="16"/>
                <w:szCs w:val="16"/>
              </w:rPr>
              <w:br/>
              <w:t xml:space="preserve">dimensionality </w:t>
            </w:r>
            <w:r w:rsidRPr="003C4781">
              <w:rPr>
                <w:rFonts w:eastAsia="Times New Roman" w:cstheme="minorHAnsi"/>
                <w:color w:val="000000"/>
                <w:sz w:val="16"/>
                <w:szCs w:val="16"/>
              </w:rPr>
              <w:br/>
              <w:t>Reduction</w:t>
            </w:r>
            <w:r w:rsidRPr="003C4781">
              <w:rPr>
                <w:rFonts w:eastAsia="Times New Roman" w:cstheme="minorHAnsi"/>
                <w:color w:val="000000"/>
                <w:sz w:val="16"/>
                <w:szCs w:val="16"/>
              </w:rPr>
              <w:br/>
              <w:t>(GMDR)</w:t>
            </w:r>
          </w:p>
        </w:tc>
        <w:tc>
          <w:tcPr>
            <w:tcW w:w="477" w:type="pct"/>
            <w:hideMark/>
          </w:tcPr>
          <w:p w14:paraId="0FDAB1FD" w14:textId="77777777" w:rsidR="0034508D" w:rsidRPr="003C4781" w:rsidRDefault="0034508D" w:rsidP="00300FEF">
            <w:pPr>
              <w:rPr>
                <w:rFonts w:eastAsia="Times New Roman" w:cstheme="minorHAnsi"/>
                <w:color w:val="000000"/>
                <w:sz w:val="16"/>
                <w:szCs w:val="16"/>
              </w:rPr>
            </w:pPr>
          </w:p>
        </w:tc>
        <w:tc>
          <w:tcPr>
            <w:tcW w:w="480" w:type="pct"/>
            <w:hideMark/>
          </w:tcPr>
          <w:p w14:paraId="53EAFD4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Were excluded</w:t>
            </w:r>
          </w:p>
        </w:tc>
        <w:tc>
          <w:tcPr>
            <w:tcW w:w="437" w:type="pct"/>
            <w:hideMark/>
          </w:tcPr>
          <w:p w14:paraId="7903090B"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 remission</w:t>
            </w:r>
          </w:p>
        </w:tc>
        <w:tc>
          <w:tcPr>
            <w:tcW w:w="547" w:type="pct"/>
            <w:hideMark/>
          </w:tcPr>
          <w:p w14:paraId="047EE80E"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234DEDFB" w14:textId="77777777" w:rsidTr="006D63A2">
        <w:trPr>
          <w:trHeight w:val="1124"/>
        </w:trPr>
        <w:tc>
          <w:tcPr>
            <w:tcW w:w="652" w:type="pct"/>
            <w:hideMark/>
          </w:tcPr>
          <w:p w14:paraId="73A25F60" w14:textId="6C28B059" w:rsidR="0034508D"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{"citationItems":[{"id":"ITEM-1","itemData":{"DOI":"10.1016/j.jpsychires.2017.12.009","ISBN":"0022-3956","ISSN":"18791379","PMID":"29407288","abstract":"Major depressive disorder (MDD) is one of the most prevalent psychiatric disorders and is commonly treated with antidepressant drugs. However, large variability is observed in terms of response to antidepressants. Machine learning (ML) models may be useful to predict treatment outcomes. A sample of 186 MDD patients received treatment with duloxetine for up to 8 weeks were categorized as “responders” based on a MADRS change &gt;50% from baseline; or “remitters” based on a MADRS score ≤10 at end point. The initial dataset (N = 186) was randomly divided into training and test sets in a nested 5-fold cross-validation, where 80% was used as a training set and 20% made up five independent test sets. We performed genome-wide logistic regression to identify potentially significant variants related to duloxetine response/remission and extracted the most promising predictors using LASSO regression. Subsequently, classification-regression trees (CRT) and support vector machines (SVM) were applied to construct models, using ten-fold cross-validation. With regards to response, none of the pairs performed significantly better than chance (accuracy p &gt;.1). For remission, SVM achieved moderate performance with an accuracy = 0.52, a sensitivity = 0.58, and a specificity = 0.46, and 0.51 for all coefficients for CRT. The best performing SVM fold was characterized by an accuracy = 0.66 (p =.071), sensitivity = 0.70 and a sensitivity = 0.61. In this study, the potential of using GWAS data to predict duloxetine outcomes was examined using ML models. The models were characterized by a promising sensitivity, but specificity remained moderate at best. The inclusion of additional non-genetic variables to create integrated models may improve prediction.","author":[{"dropping-particle":"","family":"Maciukiewicz","given":"Malgorzata","non-dropping-particle":"","parse-names":false,"suffix":""},{"dropping-particle":"","family":"Marshe","given":"Victoria S.","non-dropping-particle":"","parse-names":false,"suffix":""},{"dropping-particle":"","family":"Hauschild","given":"Anne Christin","non-dropping-particle":"","parse-names":false,"suffix":""},{"dropping-particle":"","family":"Foster","given":"Jane A.","non-dropping-particle":"","parse-names":false,"suffix":""},{"dropping-particle":"","family":"Rotzinger","given":"Susan","non-dropping-particle":"","parse-names":false,"suffix":""},{"dropping-particle":"","family":"Kennedy","given":"James L.","non-dropping-particle":"","parse-names":false,"suffix":""},{"dropping-particle":"","family":"Kennedy","given":"Sidney H.","non-dropping-particle":"","parse-names":false,"suffix":""},{"dropping-particle":"","family":"Müller","given":"Daniel J.","non-dropping-particle":"","parse-names":false,"suffix":""},{"dropping-particle":"","family":"Geraci","given":"Joseph","non-dropping-particle":"","parse-names":false,"suffix":""}],"container-title":"Journal of Psychiatric Research","edition":"2018/02/07","id":"ITEM-1","issued":{"date-parts":[["2018"]]},"language":"eng","note":"1879-1379\nMaciukiewicz, Malgorzata\nMarshe, Victoria S\nHauschild, Anne-Christin\nFoster, Jane A\nRotzinger, Susan\nKennedy, James L\nKennedy, Sidney H\nMuller, Daniel J\nGeraci, Joseph\nCIHR/Canada\nJournal Article\nResearch Support, Non-U.S. Gov't\nEngland\nJ Psychiatr Res. 2018 Apr;99:62-68. doi: 10.1016/j.jpsychires.2017.12.009. Epub 2018 Feb 2.","page":"62-68","title":"GWAS-based machine learning approach to predict duloxetine response in major depressive disorder","type":"article-journal","volume":"99"},"uris":["http://www.mendeley.com/documents/?uuid=59727ad5-c982-4ddf-9367-48fe5f3c9d11"]}],"mendeley":{"formattedCitation":"(Maciukiewicz et al., 2018)","plainTextFormattedCitation":"(Maciukiewicz et al., 2018)","previouslyFormattedCitation":"(Maciukiewicz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(Maciukiewicz et al., 2018)</w:t>
            </w:r>
            <w:r>
              <w:rPr>
                <w:rFonts w:eastAsia="Times New Roman" w:cstheme="minorHAnsi"/>
                <w:color w:val="000000"/>
                <w:sz w:val="16"/>
                <w:szCs w:val="16"/>
              </w:rPr>
              <w:fldChar w:fldCharType="end"/>
            </w:r>
            <w:r>
              <w:rPr>
                <w:rFonts w:eastAsia="Times New Roman" w:cstheme="minorHAnsi"/>
                <w:color w:val="000000"/>
                <w:sz w:val="16"/>
                <w:szCs w:val="16"/>
                <w:vertAlign w:val="superscript"/>
              </w:rPr>
              <w:t xml:space="preserve"> </w:t>
            </w:r>
          </w:p>
        </w:tc>
        <w:tc>
          <w:tcPr>
            <w:tcW w:w="607" w:type="pct"/>
            <w:hideMark/>
          </w:tcPr>
          <w:p w14:paraId="3731ECF9"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Genotype</w:t>
            </w:r>
          </w:p>
        </w:tc>
        <w:tc>
          <w:tcPr>
            <w:tcW w:w="345" w:type="pct"/>
            <w:hideMark/>
          </w:tcPr>
          <w:p w14:paraId="115CD31E" w14:textId="77777777" w:rsidR="0034508D" w:rsidRPr="003C4781" w:rsidRDefault="0034508D" w:rsidP="00EF33E2">
            <w:pPr>
              <w:rPr>
                <w:rFonts w:eastAsia="Times New Roman" w:cstheme="minorHAnsi"/>
                <w:color w:val="000000"/>
                <w:sz w:val="16"/>
                <w:szCs w:val="16"/>
              </w:rPr>
            </w:pPr>
            <w:r w:rsidRPr="003C4781">
              <w:rPr>
                <w:rFonts w:eastAsia="Times New Roman" w:cstheme="minorHAnsi"/>
                <w:color w:val="000000"/>
                <w:sz w:val="16"/>
                <w:szCs w:val="16"/>
              </w:rPr>
              <w:t>38</w:t>
            </w:r>
          </w:p>
        </w:tc>
        <w:tc>
          <w:tcPr>
            <w:tcW w:w="479" w:type="pct"/>
            <w:hideMark/>
          </w:tcPr>
          <w:p w14:paraId="311BE46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Support-vector machine (SVM), classification and regression trees (CART)</w:t>
            </w:r>
          </w:p>
        </w:tc>
        <w:tc>
          <w:tcPr>
            <w:tcW w:w="460" w:type="pct"/>
            <w:hideMark/>
          </w:tcPr>
          <w:p w14:paraId="1615968A"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Nested cross-validation (inner 10 fold cross-validation, outer 5 fold cross-validation)</w:t>
            </w:r>
          </w:p>
        </w:tc>
        <w:tc>
          <w:tcPr>
            <w:tcW w:w="514" w:type="pct"/>
            <w:hideMark/>
          </w:tcPr>
          <w:p w14:paraId="553CE72D"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Logistic regression, lasso regression</w:t>
            </w:r>
          </w:p>
        </w:tc>
        <w:tc>
          <w:tcPr>
            <w:tcW w:w="477" w:type="pct"/>
            <w:hideMark/>
          </w:tcPr>
          <w:p w14:paraId="1C7D8849" w14:textId="77777777" w:rsidR="0034508D" w:rsidRPr="003C4781" w:rsidRDefault="0034508D" w:rsidP="00300FEF">
            <w:pPr>
              <w:rPr>
                <w:rFonts w:eastAsia="Times New Roman" w:cstheme="minorHAnsi"/>
                <w:color w:val="000000"/>
                <w:sz w:val="16"/>
                <w:szCs w:val="16"/>
              </w:rPr>
            </w:pPr>
          </w:p>
        </w:tc>
        <w:tc>
          <w:tcPr>
            <w:tcW w:w="480" w:type="pct"/>
            <w:hideMark/>
          </w:tcPr>
          <w:p w14:paraId="16E21151"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Excluded for predictors, for outcome LOCF was used</w:t>
            </w:r>
          </w:p>
        </w:tc>
        <w:tc>
          <w:tcPr>
            <w:tcW w:w="437" w:type="pct"/>
            <w:hideMark/>
          </w:tcPr>
          <w:p w14:paraId="79BF1E20"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3F39954" w14:textId="77777777" w:rsidR="0034508D" w:rsidRPr="003C4781" w:rsidRDefault="0034508D" w:rsidP="00300FEF">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96E552E" w14:textId="77777777" w:rsidTr="006D63A2">
        <w:trPr>
          <w:trHeight w:val="1124"/>
        </w:trPr>
        <w:tc>
          <w:tcPr>
            <w:tcW w:w="652" w:type="pct"/>
          </w:tcPr>
          <w:p w14:paraId="7FAF6E14" w14:textId="0EB5EB09" w:rsidR="00D61FFE"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{"citationItems":[{"id":"ITEM-1","itemData":{"DOI":"10.1038/s41598-019-41175-4","ISBN":"2045-2322 (Electronic)\r2045-2322 (Linking)","ISSN":"20452322","PMID":"30911075","abstract":"There is increasing focus on use of resting-state functional connectivity (RSFC) analyses to subtype depression and to predict treatment response. To date, identification of RSFC patterns associated with response to electroconvulsive therapy (ECT) remain limited, and focused on interactions between dorsal prefrontal and regions of the limbic or default-mode networks. Deficits in visual processing are reported in depression, however, RSFC with or within the visual network have not been explored in recent models of depression. Here, we support prior studies showing in a sample of 18 patients with depression that connectivity between dorsal prefrontal and regions of the limbic and default-mode networks serves as a significant predictor. In addition, however, we demonstrate that including visual connectivity measures greatly increases predictive power of the RSFC algorithm (&gt;80% accuracy of remission). These exploratory results encourage further investigation into visual dysfunction in depression, and use of RSFC algorithms incorporating the visual network in prediction of response to both ECT and transcranial magnetic stimulation (TMS), offering a new framework for the development of RSFC-guided TMS interventions in depression.","author":[{"dropping-particle":"","family":"Moreno-Ortega","given":"M.","non-dropping-particle":"","parse-names":false,"suffix":""},{"dropping-particle":"","family":"Prudic","given":"J.","non-dropping-particle":"","parse-names":false,"suffix":""},{"dropping-particle":"","family":"Rowny","given":"S.","non-dropping-particle":"","parse-names":false,"suffix":""},{"dropping-particle":"","family":"Patel","given":"G. H.","non-dropping-particle":"","parse-names":false,"suffix":""},{"dropping-particle":"","family":"Kangarlu","given":"A.","non-dropping-particle":"","parse-names":false,"suffix":""},{"dropping-particle":"","family":"Lee","given":"S.","non-dropping-particle":"","parse-names":false,"suffix":""},{"dropping-particle":"","family":"Grinband","given":"J.","non-dropping-particle":"","parse-names":false,"suffix":""},{"dropping-particle":"","family":"Palomo","given":"T.","non-dropping-particle":"","parse-names":false,"suffix":""},{"dropping-particle":"","family":"Perera","given":"T.","non-dropping-particle":"","parse-names":false,"suffix":""},{"dropping-particle":"","family":"Glasser","given":"M. F.","non-dropping-particle":"","parse-names":false,"suffix":""},{"dropping-particle":"","family":"Javitt","given":"D. C.","non-dropping-particle":"","parse-names":false,"suffix":""}],"container-title":"Scientific Reports","edition":"2019/03/27","id":"ITEM-1","issue":"1","issued":{"date-parts":[["2019"]]},"note":"Moreno-Ortega, M\nPrudic, J\nRowny, S\nPatel, G H\nKangarlu, A\nLee, S\nGrinband, J\nPalomo, T\nPerera, T\nGlasser, M F\nJavitt, D C\neng\nEngland\nSci Rep. 2019 Mar 25;9(1):5071. doi: 10.1038/s41598-019-41175-4.","page":"5071","title":"Resting state functional connectivity predictors of treatment response to electroconvulsive therapy in depression","type":"article-journal","volume":"9"},"uris":["http://www.mendeley.com/documents/?uuid=81b94154-b2aa-4ea3-b0bb-2cddc20dfa1e"]}],"mendeley":{"formattedCitation":"(Moreno-Ortega et al., 2019)","plainTextFormattedCitation":"(Moreno-Ortega et al., 2019)","previouslyFormattedCitation":"(Moreno-Ortega et al., 2019)"},"properties":{"noteIndex":0},"schema":"https://github.com/citation-style-language/schema/raw/master/csl-citation.json"}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(Moreno-Ortega et al., 2019)</w:t>
            </w:r>
            <w:r>
              <w:rPr>
                <w:rFonts w:eastAsia="Times New Roman" w:cstheme="minorHAnsi"/>
                <w:color w:val="000000"/>
                <w:sz w:val="16"/>
                <w:szCs w:val="16"/>
              </w:rPr>
              <w:fldChar w:fldCharType="end"/>
            </w:r>
            <w:r w:rsidR="00D61FFE" w:rsidRPr="003C4781">
              <w:rPr>
                <w:rFonts w:eastAsia="Times New Roman" w:cstheme="minorHAnsi"/>
                <w:color w:val="000000"/>
                <w:sz w:val="16"/>
                <w:szCs w:val="16"/>
              </w:rPr>
              <w:t xml:space="preserve"> </w:t>
            </w:r>
          </w:p>
        </w:tc>
        <w:tc>
          <w:tcPr>
            <w:tcW w:w="607" w:type="pct"/>
          </w:tcPr>
          <w:p w14:paraId="081EE27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tcPr>
          <w:p w14:paraId="23E1AF3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2</w:t>
            </w:r>
          </w:p>
        </w:tc>
        <w:tc>
          <w:tcPr>
            <w:tcW w:w="479" w:type="pct"/>
          </w:tcPr>
          <w:p w14:paraId="240AAFB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60" w:type="pct"/>
          </w:tcPr>
          <w:p w14:paraId="49049D55"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tcPr>
          <w:p w14:paraId="51149E25" w14:textId="77777777" w:rsidR="00D61FFE" w:rsidRPr="003C4781" w:rsidRDefault="00D61FFE" w:rsidP="00D61FFE">
            <w:pPr>
              <w:rPr>
                <w:rFonts w:eastAsia="Times New Roman" w:cstheme="minorHAnsi"/>
                <w:color w:val="000000"/>
                <w:sz w:val="16"/>
                <w:szCs w:val="16"/>
              </w:rPr>
            </w:pPr>
          </w:p>
        </w:tc>
        <w:tc>
          <w:tcPr>
            <w:tcW w:w="477" w:type="pct"/>
          </w:tcPr>
          <w:p w14:paraId="1F03CA3C" w14:textId="77777777" w:rsidR="00D61FFE" w:rsidRPr="003C4781" w:rsidRDefault="00D61FFE" w:rsidP="00D61FFE">
            <w:pPr>
              <w:rPr>
                <w:rFonts w:eastAsia="Times New Roman" w:cstheme="minorHAnsi"/>
                <w:sz w:val="16"/>
                <w:szCs w:val="16"/>
              </w:rPr>
            </w:pPr>
          </w:p>
        </w:tc>
        <w:tc>
          <w:tcPr>
            <w:tcW w:w="480" w:type="pct"/>
          </w:tcPr>
          <w:p w14:paraId="6F721CA3" w14:textId="77777777" w:rsidR="00D61FFE" w:rsidRPr="003C4781" w:rsidRDefault="00D61FFE" w:rsidP="00D61FFE">
            <w:pPr>
              <w:rPr>
                <w:rFonts w:eastAsia="Times New Roman" w:cstheme="minorHAnsi"/>
                <w:sz w:val="16"/>
                <w:szCs w:val="16"/>
              </w:rPr>
            </w:pPr>
          </w:p>
        </w:tc>
        <w:tc>
          <w:tcPr>
            <w:tcW w:w="437" w:type="pct"/>
          </w:tcPr>
          <w:p w14:paraId="07C185F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Remission, response</w:t>
            </w:r>
          </w:p>
        </w:tc>
        <w:tc>
          <w:tcPr>
            <w:tcW w:w="547" w:type="pct"/>
          </w:tcPr>
          <w:p w14:paraId="263C113F"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09D36B63" w14:textId="77777777" w:rsidTr="006D63A2">
        <w:trPr>
          <w:trHeight w:val="80"/>
        </w:trPr>
        <w:tc>
          <w:tcPr>
            <w:tcW w:w="652" w:type="pct"/>
            <w:hideMark/>
          </w:tcPr>
          <w:p w14:paraId="48C6C7DC" w14:textId="4E231C06" w:rsidR="00D61FFE"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{"citationItems":[{"id":"ITEM-1","itemData":{"DOI":"10.1371/journal.pone.0171409","ISBN":"1932-6203","ISSN":"19326203","PMID":"28152063","abstract":"Treatment management for Major Depressive Disorder (MDD) has been challenging. However, electroencephalogram (EEG)-based predictions of antidepressant's treatment outcome may help during antidepressant's selection and ultimately improve the quality of life for MDD patients. In this study, a machine learning (ML) method involving pretreatment EEG data was proposed to perform such predictions for Selective Serotonin Reuptake Inhibitor (SSRIs). For this purpose, the acquisition of experimental data involved 34 MDD patients and 30 healthy controls. Consequently, a feature matrix was constructed involving time-frequency decomposition of EEG data based on wavelet transform (WT) analysis, termed as EEG data matrix. However, the resultant EEG data matrix had high dimensionality. Therefore, dimension reduction was performed based on a rank-based feature selection method according to a criterion, i.e., receiver operating characteristic (ROC). As a result, the most significant features were identified and further be utilized during the training and testing of a classification model, i.e., the logistic regression (LR) classifier. Finally, the LR model was validated with 100 iterations of 10-fold cross-validation (10-CV). The classification results were compared with short-Time Fourier transform (STFT) analysis, and empirical mode decompositions (EMD). The wavelet features extracted from frontal and temporal EEG data were found statistically significant. In comparison with other time-frequency approaches such as the STFT and EMD, the WT analysis has shown highest classification accuracy, i.e., accuracy = 87.5%, sensitivity = 95%, and specificity = 80%. In conclusion, significant wavelet coefficients extracted from frontal and temporal pre-Treatment EEG data involving delta and theta frequency bands may predict antidepressant's treatment outcome for the MDD patients.","author":[{"dropping-particle":"","family":"Mumtaz","given":"Wajid","non-dropping-particle":"","parse-names":false,"suffix":""},{"dropping-particle":"","family":"Xia","given":"Likun","non-dropping-particle":"","parse-names":false,"suffix":""},{"dropping-particle":"","family":"Yasin","given":"Mohd Azhar Mohd","non-dropping-particle":"","parse-names":false,"suffix":""},{"dropping-particle":"","family":"Ali","given":"Syed Saad Azhar","non-dropping-particle":"","parse-names":false,"suffix":""},{"dropping-particle":"","family":"Malik","given":"Aamir Saeed","non-dropping-particle":"","parse-names":false,"suffix":""}],"container-title":"PLoS ONE","edition":"2017/02/06","id":"ITEM-1","issue":"2","issued":{"date-parts":[["2017"]]},"language":"eng","note":"1932-6203\nMumtaz, Wajid\nORCID: http://orcid.org/0000-0001-6468-8666\nXia, Likun\nMohd Yasin, Mohd Azhar\nAzhar Ali, Syed Saad\nMalik, Aamir Saeed\nJournal Article\nUnited States\nPLoS One. 2017 Feb 2;12(2):e0171409. doi: 10.1371/journal.pone.0171409. eCollection 2017.","page":"e0171409","title":"A wavelet-based technique to predict treatment outcome for Major Depressive Disorder","type":"article-journal","volume":"12"},"uris":["http://www.mendeley.com/documents/?uuid=62eaad7b-976e-4f36-a33a-c39679483ee7"]}],"mendeley":{"formattedCitation":"(Mumtaz, Xia, Yasin, Ali, &amp; Malik, 2017)","plainTextFormattedCitation":"(Mumtaz, Xia, Yasin, Ali, &amp; Malik, 2017)","previouslyFormattedCitation":"(Mumtaz, Xia, Yasin, Ali, &amp; Malik, 2017)"},"properties":{"noteIndex":0},"schema":"https://github.com/citation-style-language/schema/raw/master/csl-citation.json"}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(Mumtaz, Xia, Yasin, Ali, &amp; Malik, 2017)</w:t>
            </w:r>
            <w:r>
              <w:rPr>
                <w:rFonts w:eastAsia="Times New Roman" w:cstheme="minorHAnsi"/>
                <w:color w:val="000000"/>
                <w:sz w:val="16"/>
                <w:szCs w:val="16"/>
              </w:rPr>
              <w:fldChar w:fldCharType="end"/>
            </w:r>
            <w:r w:rsidR="00D61FFE" w:rsidRPr="003C4781">
              <w:rPr>
                <w:rFonts w:eastAsia="Times New Roman" w:cstheme="minorHAnsi"/>
                <w:color w:val="000000"/>
                <w:sz w:val="16"/>
                <w:szCs w:val="16"/>
              </w:rPr>
              <w:t xml:space="preserve"> </w:t>
            </w:r>
          </w:p>
        </w:tc>
        <w:tc>
          <w:tcPr>
            <w:tcW w:w="607" w:type="pct"/>
            <w:hideMark/>
          </w:tcPr>
          <w:p w14:paraId="0CEE305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28C074C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15</w:t>
            </w:r>
          </w:p>
        </w:tc>
        <w:tc>
          <w:tcPr>
            <w:tcW w:w="479" w:type="pct"/>
            <w:hideMark/>
          </w:tcPr>
          <w:p w14:paraId="7A4C0E7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60" w:type="pct"/>
            <w:hideMark/>
          </w:tcPr>
          <w:p w14:paraId="52D2E85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0027D249" w14:textId="77777777" w:rsidR="00D61FFE" w:rsidRPr="003C4781" w:rsidRDefault="00D61FFE" w:rsidP="00D61FFE">
            <w:pPr>
              <w:rPr>
                <w:rFonts w:eastAsia="Times New Roman" w:cstheme="minorHAnsi"/>
                <w:color w:val="000000"/>
                <w:sz w:val="16"/>
                <w:szCs w:val="16"/>
              </w:rPr>
            </w:pPr>
          </w:p>
        </w:tc>
        <w:tc>
          <w:tcPr>
            <w:tcW w:w="477" w:type="pct"/>
            <w:hideMark/>
          </w:tcPr>
          <w:p w14:paraId="12BADFF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Wavelet and STFT based technique for decomposition of EEG data</w:t>
            </w:r>
          </w:p>
        </w:tc>
        <w:tc>
          <w:tcPr>
            <w:tcW w:w="480" w:type="pct"/>
            <w:hideMark/>
          </w:tcPr>
          <w:p w14:paraId="262F997F"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0B2061E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7458B2E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1038D09" w14:textId="77777777" w:rsidTr="006D63A2">
        <w:trPr>
          <w:trHeight w:val="60"/>
        </w:trPr>
        <w:tc>
          <w:tcPr>
            <w:tcW w:w="652" w:type="pct"/>
            <w:hideMark/>
          </w:tcPr>
          <w:p w14:paraId="0ECB5C01" w14:textId="3973DF22" w:rsidR="00D61FFE"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{"citationItems":[{"id":"ITEM-1","itemData":{"DOI":"10.1371/journal.pone.0197268","ISBN":"1932-6203","ISSN":"19326203","PMID":"29879133","abstract":"Identification of risk factors of treatment resistance may be useful to guide treatment selection, avoid inefficient trial-and-error, and improve major depressive disorder (MDD) care. We extended the work in predictive modeling of treatment resistant depression (TRD) via partition of the data from the Sequenced Treatment Alternatives to Relieve Depression (STAR*D) cohort into a training and a testing dataset. We also included data from a small yet completely independent cohort RIS-INT-93 as an external test dataset. We used features from enrollment and level 1 treatment (up to week 2 response only) of STAR*D to explore the feature space comprehensively and applied machine learning methods to model TRD outcome at level 2. For TRD defined using QIDS-C16 remission criteria, multiple machine learning models were internally cross-validated in the STAR*D training dataset and externally validated in both the STAR*D testing dataset and RIS-INT-93 independent dataset with an area under the receiver operating characteristic curve (AUC) of 0.70–0.78 and 0.72–0.77, respectively. The upper bound for the AUC achievable with the full set of features could be as high as 0.78 in the STAR*D testing dataset. Model developed using top 30 features identified using feature selection technique (k-means clustering followed by χ2 test) achieved an AUC of 0.77 in the STAR*D testing dataset. In addition, the model developed using overlapping features between STAR*D and RIS-INT-93, achieved an AUC of &gt; 0.70 in both the STAR*D testing and RIS-INT-93 datasets. Among all the features explored in STAR*D and RIS-INT-93 datasets, the most important feature was early or initial treatment response or symptom severity at week 2. These results indicate that prediction of TRD prior to undergoing a second round of antidepressant treatment could be feasible even in the absence of biomarker data.","author":[{"dropping-particle":"","family":"Nie","given":"Zhi","non-dropping-particle":"","parse-names":false,"suffix":""},{"dropping-particle":"","family":"Vairavan","given":"Srinivasan","non-dropping-particle":"","parse-names":false,"suffix":""},{"dropping-particle":"","family":"Narayan","given":"Vaibhav A.","non-dropping-particle":"","parse-names":false,"suffix":""},{"dropping-particle":"","family":"Ye","given":"Jieping","non-dropping-particle":"","parse-names":false,"suffix":""},{"dropping-particle":"","family":"Li","given":"Qingqin S.","non-dropping-particle":"","parse-names":false,"suffix":""}],"container-title":"PLoS ONE","edition":"2018/06/08","id":"ITEM-1","issue":"6","issued":{"date-parts":[["2018"]]},"language":"eng","note":"1932-6203\nNie, Zhi\nVairavan, Srinivasan\nNarayan, Vaibhav A\nYe, Jieping\nLi, Qingqin S\nOrcid: 0000-0003-4182-4535\nN01MH90003/MH/NIMH NIH HHS/United States\nClinical Trial\nJournal Article\nMulticenter Study\nResearch Support, N.I.H., Extramural\nResearch Support, Non-U.S. Gov't\nUnited States\nPLoS One. 2018 Jun 7;13(6):e0197268. doi: 10.1371/journal.pone.0197268. eCollection 2018.","page":"e0197268","title":"Predictive modeling of treatment resistant depression using data from STARD and an independent clinical study","type":"article-journal","volume":"13"},"uris":["http://www.mendeley.com/documents/?uuid=282aa46b-c33f-4e6d-a129-503fa66561b6"]}],"mendeley":{"formattedCitation":"(Nie, Vairavan, Narayan, Ye, &amp; Li, 2018)","plainTextFormattedCitation":"(Nie, Vairavan, Narayan, Ye, &amp; Li, 2018)","previouslyFormattedCitation":"(Nie, Vairavan, Narayan, Ye, &amp; Li, 2018)"},"properties":{"noteIndex":0},"schema":"https://github.com/citation-style-language/schema/raw/master/csl-citation.json"}</w:instrText>
            </w:r>
            <w:r>
              <w:rPr>
                <w:rFonts w:eastAsia="Times New Roman" w:cstheme="minorHAnsi"/>
                <w:color w:val="000000"/>
                <w:sz w:val="16"/>
                <w:szCs w:val="16"/>
              </w:rPr>
              <w:fldChar w:fldCharType="separate"/>
            </w:r>
            <w:r w:rsidR="00AA181B" w:rsidRPr="00AA181B">
              <w:rPr>
                <w:rFonts w:eastAsia="Times New Roman" w:cstheme="minorHAnsi"/>
                <w:noProof/>
                <w:color w:val="000000"/>
                <w:sz w:val="16"/>
                <w:szCs w:val="16"/>
              </w:rPr>
              <w:t>(Nie, Vairavan, Narayan, Ye, &amp; Li, 2018)</w:t>
            </w:r>
            <w:r>
              <w:rPr>
                <w:rFonts w:eastAsia="Times New Roman" w:cstheme="minorHAnsi"/>
                <w:color w:val="000000"/>
                <w:sz w:val="16"/>
                <w:szCs w:val="16"/>
              </w:rPr>
              <w:fldChar w:fldCharType="end"/>
            </w:r>
            <w:r w:rsidR="00D61FFE" w:rsidRPr="003C4781">
              <w:rPr>
                <w:rFonts w:eastAsia="Times New Roman" w:cstheme="minorHAnsi"/>
                <w:color w:val="000000"/>
                <w:sz w:val="16"/>
                <w:szCs w:val="16"/>
              </w:rPr>
              <w:t xml:space="preserve"> </w:t>
            </w:r>
          </w:p>
        </w:tc>
        <w:tc>
          <w:tcPr>
            <w:tcW w:w="607" w:type="pct"/>
            <w:hideMark/>
          </w:tcPr>
          <w:p w14:paraId="2A955E3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Clinical and </w:t>
            </w:r>
            <w:proofErr w:type="spellStart"/>
            <w:r w:rsidRPr="003C4781">
              <w:rPr>
                <w:rFonts w:eastAsia="Times New Roman" w:cstheme="minorHAnsi"/>
                <w:color w:val="000000"/>
                <w:sz w:val="16"/>
                <w:szCs w:val="16"/>
              </w:rPr>
              <w:t>sociodemographical</w:t>
            </w:r>
            <w:proofErr w:type="spellEnd"/>
          </w:p>
        </w:tc>
        <w:tc>
          <w:tcPr>
            <w:tcW w:w="345" w:type="pct"/>
            <w:hideMark/>
          </w:tcPr>
          <w:p w14:paraId="3F4B50BF"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700</w:t>
            </w:r>
          </w:p>
        </w:tc>
        <w:tc>
          <w:tcPr>
            <w:tcW w:w="479" w:type="pct"/>
            <w:hideMark/>
          </w:tcPr>
          <w:p w14:paraId="47658C2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Random forest, Gradient boosting decision tree, </w:t>
            </w:r>
            <w:proofErr w:type="spellStart"/>
            <w:r w:rsidRPr="003C4781">
              <w:rPr>
                <w:rFonts w:eastAsia="Times New Roman" w:cstheme="minorHAnsi"/>
                <w:color w:val="000000"/>
                <w:sz w:val="16"/>
                <w:szCs w:val="16"/>
              </w:rPr>
              <w:t>XGBoost</w:t>
            </w:r>
            <w:proofErr w:type="spellEnd"/>
            <w:r w:rsidRPr="003C4781">
              <w:rPr>
                <w:rFonts w:eastAsia="Times New Roman" w:cstheme="minorHAnsi"/>
                <w:color w:val="000000"/>
                <w:sz w:val="16"/>
                <w:szCs w:val="16"/>
              </w:rPr>
              <w:t xml:space="preserve">, l2 penalized </w:t>
            </w:r>
            <w:r w:rsidRPr="003C4781">
              <w:rPr>
                <w:rFonts w:eastAsia="Times New Roman" w:cstheme="minorHAnsi"/>
                <w:color w:val="000000"/>
                <w:sz w:val="16"/>
                <w:szCs w:val="16"/>
              </w:rPr>
              <w:lastRenderedPageBreak/>
              <w:t>logistic regression, elastic net</w:t>
            </w:r>
          </w:p>
        </w:tc>
        <w:tc>
          <w:tcPr>
            <w:tcW w:w="460" w:type="pct"/>
            <w:hideMark/>
          </w:tcPr>
          <w:p w14:paraId="1DBE62B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lastRenderedPageBreak/>
              <w:t>10-fold cross-validation, external validation</w:t>
            </w:r>
          </w:p>
        </w:tc>
        <w:tc>
          <w:tcPr>
            <w:tcW w:w="514" w:type="pct"/>
            <w:hideMark/>
          </w:tcPr>
          <w:p w14:paraId="2BDD3F2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k-means clustering followed by </w:t>
            </w:r>
            <m:oMath>
              <m:r>
                <w:rPr>
                  <w:rFonts w:ascii="Cambria Math" w:eastAsia="Times New Roman" w:hAnsi="Cambria Math" w:cstheme="minorHAnsi"/>
                  <w:color w:val="000000"/>
                  <w:sz w:val="16"/>
                  <w:szCs w:val="16"/>
                </w:rPr>
                <m:t>χ2</m:t>
              </m:r>
            </m:oMath>
            <w:r w:rsidRPr="003C4781">
              <w:rPr>
                <w:rFonts w:eastAsia="Times New Roman" w:cstheme="minorHAnsi"/>
                <w:color w:val="000000"/>
                <w:sz w:val="16"/>
                <w:szCs w:val="16"/>
              </w:rPr>
              <w:t xml:space="preserve"> test, elastic</w:t>
            </w:r>
            <w:r w:rsidRPr="003C4781">
              <w:rPr>
                <w:rFonts w:eastAsia="Times New Roman" w:cstheme="minorHAnsi"/>
                <w:color w:val="000000"/>
                <w:sz w:val="16"/>
                <w:szCs w:val="16"/>
              </w:rPr>
              <w:br/>
              <w:t>net</w:t>
            </w:r>
          </w:p>
        </w:tc>
        <w:tc>
          <w:tcPr>
            <w:tcW w:w="477" w:type="pct"/>
            <w:hideMark/>
          </w:tcPr>
          <w:p w14:paraId="61CC71A4" w14:textId="77777777" w:rsidR="00D61FFE" w:rsidRPr="003C4781" w:rsidRDefault="00D61FFE" w:rsidP="00D61FFE">
            <w:pPr>
              <w:rPr>
                <w:rFonts w:eastAsia="Times New Roman" w:cstheme="minorHAnsi"/>
                <w:color w:val="000000"/>
                <w:sz w:val="16"/>
                <w:szCs w:val="16"/>
              </w:rPr>
            </w:pPr>
          </w:p>
        </w:tc>
        <w:tc>
          <w:tcPr>
            <w:tcW w:w="480" w:type="pct"/>
            <w:hideMark/>
          </w:tcPr>
          <w:p w14:paraId="7B307C7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0E22C90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Resistance</w:t>
            </w:r>
          </w:p>
        </w:tc>
        <w:tc>
          <w:tcPr>
            <w:tcW w:w="547" w:type="pct"/>
            <w:hideMark/>
          </w:tcPr>
          <w:p w14:paraId="6787D50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BFAD160" w14:textId="77777777" w:rsidTr="006D63A2">
        <w:trPr>
          <w:trHeight w:val="350"/>
        </w:trPr>
        <w:tc>
          <w:tcPr>
            <w:tcW w:w="652" w:type="pct"/>
            <w:hideMark/>
          </w:tcPr>
          <w:p w14:paraId="60466DE8" w14:textId="064D5A36" w:rsidR="00D61FFE" w:rsidRPr="003C4781" w:rsidRDefault="00424015" w:rsidP="005F3758">
            <w:pPr>
              <w:rPr>
                <w:rFonts w:eastAsia="Times New Roman" w:cstheme="minorHAnsi"/>
                <w:color w:val="000000"/>
                <w:sz w:val="16"/>
                <w:szCs w:val="16"/>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{"citationItems":[{"id":"ITEM-1","itemData":{"DOI":"10.1016/j.neuroimage.2010.05.023","ISBN":"1053-8119","ISSN":"10538119","PMID":"20483379","abstract":"There is rapidly accumulating evidence that the application of machine learning classification to neuroimaging measurements may be valuable for the development of diagnostic and prognostic prediction tools in psychiatry. However, current methods do not produce a measure of the reliability of the predictions. Knowing the risk of the error associated with a given prediction is essential for the development of neuroimaging-based clinical tools. We propose a general probabilistic classification method to produce measures of confidence for magnetic resonance imaging (MRI) data. We describe the application of transductive conformal predictor (TCP) to MRI images. TCP generates the most likely prediction and a valid measure of confidence, as well as the set of all possible predictions for a given confidence level. We present the theoretical motivation for TCP, and we have applied TCP to structural and functional MRI data in patients and healthy controls to investigate diagnostic and prognostic prediction in depression. We verify that TCP predictions are as accurate as those obtained with more standard machine learning methods, such as support vector machine, while providing the additional benefit of a valid measure of confidence for each prediction. © 2010 Elsevier Inc.","author":[{"dropping-particle":"","family":"Nouretdinov","given":"Ilia","non-dropping-particle":"","parse-names":false,"suffix":""},{"dropping-particle":"","family":"Costafreda","given":"Sergi G.","non-dropping-particle":"","parse-names":false,"suffix":""},{"dropping-particle":"","family":"Gammerman","given":"Alexander","non-dropping-particle":"","parse-names":false,"suffix":""},{"dropping-particle":"","family":"Chervonenkis","given":"Alexey","non-dropping-particle":"","parse-names":false,"suffix":""},{"dropping-particle":"","family":"Vovk","given":"Vladimir","non-dropping-particle":"","parse-names":false,"suffix":""},{"dropping-particle":"","family":"Vapnik","given":"Vladimir","non-dropping-particle":"","parse-names":false,"suffix":""},{"dropping-particle":"","family":"Fu","given":"Cynthia H.Y.","non-dropping-particle":"","parse-names":false,"suffix":""}],"container-title":"NeuroImage","edition":"2010/05/21","id":"ITEM-1","issue":"2","issued":{"date-parts":[["2011"]]},"language":"eng","note":"1095-9572\nNouretdinov, Ilia\nCostafreda, Sergi G\nGammerman, Alexander\nChervonenkis, Alexey\nVovk, Vladimir\nVapnik, Vladimir\nFu, Cynthia H Y\nG0802594/Medical Research Council/United Kingdom\nJournal Article\nResearch Support, Non-U.S. Gov't\nUnited States\nNeuroimage. 2011 May 15;56(2):809-13. doi: 10.1016/j.neuroimage.2010.05.023. Epub 2010 May 17.","page":"809-813","title":"Machine learning classification with confidence: Application of transductive conformal predictors to MRI-based diagnostic and prognostic markers in depression","type":"article-journal","volume":"56"},"uris":["http://www.mendeley.com/documents/?uuid=d0fea6ef-bd56-4ac8-bbbe-8fb53552f42f"]}],"mendeley":{"formattedCitation":"(Nouretdinov et al., 2011)","plainTextFormattedCitation":"(Nouretdinov et al., 2011)","previouslyFormattedCitation":"(Nouretdinov et al., 2011)"},"properties":{"noteIndex":0},"schema":"https://github.com/citation-style-language/schema/raw/master/csl-citation.json"}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(Nouretdinov et al., 2011)</w:t>
            </w:r>
            <w:r>
              <w:rPr>
                <w:rFonts w:eastAsia="Times New Roman" w:cstheme="minorHAnsi"/>
                <w:color w:val="000000"/>
                <w:sz w:val="16"/>
                <w:szCs w:val="16"/>
              </w:rPr>
              <w:fldChar w:fldCharType="end"/>
            </w:r>
          </w:p>
        </w:tc>
        <w:tc>
          <w:tcPr>
            <w:tcW w:w="607" w:type="pct"/>
            <w:hideMark/>
          </w:tcPr>
          <w:p w14:paraId="08F33CB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Clinical, neuroimaging</w:t>
            </w:r>
          </w:p>
        </w:tc>
        <w:tc>
          <w:tcPr>
            <w:tcW w:w="345" w:type="pct"/>
            <w:hideMark/>
          </w:tcPr>
          <w:p w14:paraId="766E083B" w14:textId="77777777" w:rsidR="00D61FFE" w:rsidRPr="003C4781" w:rsidRDefault="00D61FFE" w:rsidP="00D61FFE">
            <w:pPr>
              <w:rPr>
                <w:rFonts w:eastAsia="Times New Roman" w:cstheme="minorHAnsi"/>
                <w:color w:val="000000"/>
                <w:sz w:val="16"/>
                <w:szCs w:val="16"/>
              </w:rPr>
            </w:pPr>
          </w:p>
        </w:tc>
        <w:tc>
          <w:tcPr>
            <w:tcW w:w="479" w:type="pct"/>
            <w:hideMark/>
          </w:tcPr>
          <w:p w14:paraId="763EBD0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5FE6066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Cross-validation</w:t>
            </w:r>
          </w:p>
        </w:tc>
        <w:tc>
          <w:tcPr>
            <w:tcW w:w="514" w:type="pct"/>
            <w:hideMark/>
          </w:tcPr>
          <w:p w14:paraId="1690E0C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t-test</w:t>
            </w:r>
          </w:p>
        </w:tc>
        <w:tc>
          <w:tcPr>
            <w:tcW w:w="477" w:type="pct"/>
            <w:hideMark/>
          </w:tcPr>
          <w:p w14:paraId="4F0B3A8F" w14:textId="77777777" w:rsidR="00D61FFE" w:rsidRPr="003C4781" w:rsidRDefault="00D61FFE" w:rsidP="00D61FFE">
            <w:pPr>
              <w:rPr>
                <w:rFonts w:eastAsia="Times New Roman" w:cstheme="minorHAnsi"/>
                <w:color w:val="000000"/>
                <w:sz w:val="16"/>
                <w:szCs w:val="16"/>
              </w:rPr>
            </w:pPr>
          </w:p>
        </w:tc>
        <w:tc>
          <w:tcPr>
            <w:tcW w:w="480" w:type="pct"/>
            <w:hideMark/>
          </w:tcPr>
          <w:p w14:paraId="7CD24FBF" w14:textId="77777777" w:rsidR="00D61FFE" w:rsidRPr="003C4781" w:rsidRDefault="00D61FFE" w:rsidP="00D61FFE">
            <w:pPr>
              <w:rPr>
                <w:rFonts w:eastAsia="Times New Roman" w:cstheme="minorHAnsi"/>
                <w:sz w:val="16"/>
                <w:szCs w:val="16"/>
              </w:rPr>
            </w:pPr>
          </w:p>
        </w:tc>
        <w:tc>
          <w:tcPr>
            <w:tcW w:w="437" w:type="pct"/>
            <w:hideMark/>
          </w:tcPr>
          <w:p w14:paraId="2B4A3D6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Diagnostic, Prognostic </w:t>
            </w:r>
          </w:p>
        </w:tc>
        <w:tc>
          <w:tcPr>
            <w:tcW w:w="547" w:type="pct"/>
            <w:hideMark/>
          </w:tcPr>
          <w:p w14:paraId="5A21C12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122AD4E" w14:textId="77777777" w:rsidTr="006D63A2">
        <w:trPr>
          <w:trHeight w:val="890"/>
        </w:trPr>
        <w:tc>
          <w:tcPr>
            <w:tcW w:w="652" w:type="pct"/>
            <w:hideMark/>
          </w:tcPr>
          <w:p w14:paraId="403F272B" w14:textId="13A908E8" w:rsidR="00D61FFE" w:rsidRPr="003C4781" w:rsidRDefault="00424015" w:rsidP="005F375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{"citationItems":[{"id":"ITEM-1","itemData":{"DOI":"10.1002/gps.4262","ISBN":"0885-6230","ISSN":"10991166","PMID":"25689482","abstract":"Objective Currently, depression diagnosis relies primarily on behavioral symptoms and signs, and treatment is guided by trial and error instead of evaluating associated underlying brain characteristics. Unlike past studies, we attempted to estimate accurate prediction models for late-life depression diagnosis and treatment response using multiple machine learning methods with inputs of multi-modal imaging and non-imaging whole brain and network-based features. Methods Late-life depression patients (medicated post-recruitment) (n = 33) and older non-depressed individuals (n = 35) were recruited. Their demographics and cognitive ability scores were recorded, and brain characteristics were acquired using multi-modal magnetic resonance imaging pretreatment. Linear and nonlinear learning methods were tested for estimating accurate prediction models. Results A learning method called alternating decision trees estimated the most accurate prediction models for late-life depression diagnosis (87.27% accuracy) and treatment response (89.47% accuracy). The diagnosis model included measures of age, Mini-mental state examination score, and structural imaging (e.g. whole brain atrophy and global white mater hyperintensity burden). The treatment response model included measures of structural and functional connectivity. Conclusions Combinations of multi-modal imaging and/or non-imaging measures may help better predict late-life depression diagnosis and treatment response. As a preliminary observation, we speculate that the results may also suggest that different underlying brain characteristics defined by multi-modal imaging measures - rather than region-based differences - are associated with depression versus depression recovery because to our knowledge this is the first depression study to accurately predict both using the same approach. These findings may help better understand late-life depression and identify preliminary steps toward personalized late-life depression treatment.","author":[{"dropping-particle":"","family":"Patel","given":"Meenal J.","non-dropping-particle":"","parse-names":false,"suffix":""},{"dropping-particle":"","family":"Andreescu","given":"Carmen","non-dropping-particle":"","parse-names":false,"suffix":""},{"dropping-particle":"","family":"Price","given":"Julie C.","non-dropping-particle":"","parse-names":false,"suffix":""},{"dropping-particle":"","family":"Edelman","given":"Kathryn L.","non-dropping-particle":"","parse-names":false,"suffix":""},{"dropping-particle":"","family":"Reynolds","given":"Charles F.","non-dropping-particle":"","parse-names":false,"suffix":""},{"dropping-particle":"","family":"Aizenstein","given":"Howard J.","non-dropping-particle":"","parse-names":false,"suffix":""}],"container-title":"International Journal of Geriatric Psychiatry","edition":"2015/02/18","id":"ITEM-1","issue":"10","issued":{"date-parts":[["2015"]]},"language":"eng","note":"1099-1166\nPatel, Meenal J\nAndreescu, Carmen\nPrice, Julie C\nEdelman, Kathryn L\nReynolds, Charles F 3rd\nAizenstein, Howard J\nP30 MH052247/MH/NIMH NIH HHS/United States\nP30 AG024827/AG/NIA NIH HHS/United States\nP30 MH090333/MH/NIMH NIH HHS/United States\nMH 086686/MH/NIMH NIH HHS/United States\nMH076079-04S1/MH/NIMH NIH HHS/United States\nP30-MH52247/MH/NIMH NIH HHS/United States\nKL2 RR024154/RR/NCRR NIH HHS/United States\nK23 MH086686/MH/NIMH NIH HHS/United States\nR37 AG025516/AG/NIA NIH HHS/United States\nP30 MH071944/MH/NIMH NIH HHS/United States\nP30 MH90333/MH/NIMH NIH HHS/United States\nMH0-76079/MH/NIMH NIH HHS/United States\nRF1 AG025516/AG/NIA NIH HHS/United States\nMH K23 086606/MH/NIMH NIH HHS/United States\nP30 MH71944/MH/NIMH NIH HHS/United States\nR21 NS060184/NS/NINDS NIH HHS/United States\nR01 MH076079/MH/NIMH NIH HHS/United States\nJournal Article\nResearch Support, N.I.H., Extramural\nResearch Support, Non-U.S. Gov't\nEngland\nInt J Geriatr Psychiatry. 2015 Oct;30(10):1056-67. doi: 10.1002/gps.4262. Epub 2015 Feb 17.","page":"1056-1067","title":"Machine learning approaches for integrating clinical and imaging features in late-life depression classification and response prediction","type":"article-journal","volume":"30"},"uris":["http://www.mendeley.com/documents/?uuid=35731b62-6588-4966-a038-56d452a88fae"]}],"mendeley":{"formattedCitation":"(Patel et al., 2015)","plainTextFormattedCitation":"(Patel et al., 2015)","previouslyFormattedCitation":"(Patel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(Patel et al., 2015)</w:t>
            </w:r>
            <w:r>
              <w:rPr>
                <w:rFonts w:eastAsia="Times New Roman" w:cstheme="minorHAnsi"/>
                <w:color w:val="000000"/>
                <w:sz w:val="16"/>
                <w:szCs w:val="16"/>
              </w:rPr>
              <w:fldChar w:fldCharType="end"/>
            </w:r>
            <w:r w:rsidR="00D61FFE" w:rsidRPr="003C4781">
              <w:rPr>
                <w:rFonts w:eastAsia="Times New Roman" w:cstheme="minorHAnsi"/>
                <w:color w:val="000000"/>
                <w:sz w:val="16"/>
                <w:szCs w:val="16"/>
              </w:rPr>
              <w:t xml:space="preserve"> </w:t>
            </w:r>
          </w:p>
        </w:tc>
        <w:tc>
          <w:tcPr>
            <w:tcW w:w="607" w:type="pct"/>
            <w:hideMark/>
          </w:tcPr>
          <w:p w14:paraId="51CE678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Demographical, cognitive ability, imaging </w:t>
            </w:r>
          </w:p>
        </w:tc>
        <w:tc>
          <w:tcPr>
            <w:tcW w:w="345" w:type="pct"/>
            <w:hideMark/>
          </w:tcPr>
          <w:p w14:paraId="7667584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11</w:t>
            </w:r>
          </w:p>
        </w:tc>
        <w:tc>
          <w:tcPr>
            <w:tcW w:w="479" w:type="pct"/>
            <w:hideMark/>
          </w:tcPr>
          <w:p w14:paraId="75B25D47"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Alternating decision tree</w:t>
            </w:r>
          </w:p>
        </w:tc>
        <w:tc>
          <w:tcPr>
            <w:tcW w:w="460" w:type="pct"/>
            <w:hideMark/>
          </w:tcPr>
          <w:p w14:paraId="56B163B4" w14:textId="77777777" w:rsidR="00D61FFE" w:rsidRPr="003C4781" w:rsidRDefault="00D61FFE" w:rsidP="00A04D7A">
            <w:pPr>
              <w:rPr>
                <w:rFonts w:eastAsia="Times New Roman" w:cstheme="minorHAnsi"/>
                <w:color w:val="000000"/>
                <w:sz w:val="16"/>
                <w:szCs w:val="16"/>
              </w:rPr>
            </w:pPr>
            <w:r w:rsidRPr="003C4781">
              <w:rPr>
                <w:rFonts w:eastAsia="Times New Roman" w:cstheme="minorHAnsi"/>
                <w:color w:val="000000"/>
                <w:sz w:val="16"/>
                <w:szCs w:val="16"/>
              </w:rPr>
              <w:t>Nested cross-validation (inner and outer leave-one-out cross-validation)</w:t>
            </w:r>
          </w:p>
        </w:tc>
        <w:tc>
          <w:tcPr>
            <w:tcW w:w="514" w:type="pct"/>
            <w:hideMark/>
          </w:tcPr>
          <w:p w14:paraId="6E4AD46B" w14:textId="77777777" w:rsidR="00D61FFE" w:rsidRPr="003C4781" w:rsidRDefault="00D61FFE" w:rsidP="00D61FFE">
            <w:pPr>
              <w:rPr>
                <w:rFonts w:eastAsia="Times New Roman" w:cstheme="minorHAnsi"/>
                <w:color w:val="000000"/>
                <w:sz w:val="16"/>
                <w:szCs w:val="16"/>
              </w:rPr>
            </w:pPr>
          </w:p>
        </w:tc>
        <w:tc>
          <w:tcPr>
            <w:tcW w:w="477" w:type="pct"/>
            <w:hideMark/>
          </w:tcPr>
          <w:p w14:paraId="47C3F984" w14:textId="77777777" w:rsidR="00D61FFE" w:rsidRPr="003C4781" w:rsidRDefault="00D61FFE" w:rsidP="00D61FFE">
            <w:pPr>
              <w:rPr>
                <w:rFonts w:eastAsia="Times New Roman" w:cstheme="minorHAnsi"/>
                <w:sz w:val="16"/>
                <w:szCs w:val="16"/>
              </w:rPr>
            </w:pPr>
          </w:p>
        </w:tc>
        <w:tc>
          <w:tcPr>
            <w:tcW w:w="480" w:type="pct"/>
            <w:hideMark/>
          </w:tcPr>
          <w:p w14:paraId="4448257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Participants with missing data were omitted</w:t>
            </w:r>
          </w:p>
        </w:tc>
        <w:tc>
          <w:tcPr>
            <w:tcW w:w="437" w:type="pct"/>
            <w:hideMark/>
          </w:tcPr>
          <w:p w14:paraId="1ED2A21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Diagnostic, response</w:t>
            </w:r>
          </w:p>
        </w:tc>
        <w:tc>
          <w:tcPr>
            <w:tcW w:w="547" w:type="pct"/>
            <w:hideMark/>
          </w:tcPr>
          <w:p w14:paraId="11A063D5"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60577087" w14:textId="77777777" w:rsidTr="006D63A2">
        <w:trPr>
          <w:trHeight w:val="1880"/>
        </w:trPr>
        <w:tc>
          <w:tcPr>
            <w:tcW w:w="652" w:type="pct"/>
            <w:hideMark/>
          </w:tcPr>
          <w:p w14:paraId="3A5F7BC1" w14:textId="3B4C4D4C"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{"citationItems":[{"id":"ITEM-1","itemData":{"DOI":"10.1002/jmri.27029","ISBN":"1522-2586 (Electronic)\r1053-1807 (Linking)","ISSN":"15222586","PMID":"31859419","abstract":"Background: In order to reduce unsuccessful treatment trials for depression, neuroimaging and genetic information can be considered as biomarkers. Together with machine-learning methods, prediction models have proved to be valuable for baseline prediction. Purpose: To propose an ensemble learning modeling framework that integrates imaging and genetic information for individualized baseline prediction of early-stage treatment response of antidepressants in major depressive disorder (MDD). Study Type: Prospective. Subjects: In all, 98 inpatients with MDD. Field Strength/Sequence: 3.0T MRI and gradient-echo echo-planar imaging sequence. Assessment: Participants were divided into responders and nonresponders based on reducing rates of HDRS-6 after early-stage treatment of 2 weeks. Fourteen brain regions of interest were selected according to previous studies. An ensemble learning modeling framework was used to integrate imaging data and genetic data. Statistical Tests: Support vector machine (SVM) with linear kernel was utilized to integrate multimode information and then to construct the prediction model. Leave-one-out cross-validation (LOOCV) was used to evaluate the performance. The position characteristics obtained through SVM-RFE (recursive feature elimination) algorithm and LOOCV was considered to compare each feature's relative importance for the prediction model. Results: Compared with the single-level prediction model, the ensemble learning prediction model showed improvement in prediction performance (accuracy from 0.61 to 0.86 with imaging data and genetic data). Integrated with 14 priori brain regions, the region of interest (ROI) map ensemble learning prediction model can achieve a performance that is analogous with the model with information from whole-brain regions (both with accuracy of 0.81). The integration of genetic features further improved the sensitivity of prediction (sensitivity from 0.78 to 0.87 under the ensemble learning framework). Data Conclusion: Our ensemble learning prediction model demonstrated significant advantages in interpretability and information integration. The findings may provide more assistance for clinical treatment selection in MDD at the individual level. Level of Evidence: 1. Technical Efficacy: Stage 2. J. Magn. Reson. Imaging 2020;52:161–171.","author":[{"dropping-particle":"","family":"Pei","given":"Cong","non-dropping-particle":"","parse-names":false,"suffix":""},{"dropping-particle":"","family":"Sun","given":"Yurong","non-dropping-particle":"","parse-names":false,"suffix":""},{"dropping-particle":"","family":"Zhu","given":"Jinlong","non-dropping-particle":"","parse-names":false,"suffix":""},{"dropping-particle":"","family":"Wang","given":"Xinyi","non-dropping-particle":"","parse-names":false,"suffix":""},{"dropping-particle":"","family":"Zhang","given":"Yujie","non-dropping-particle":"","parse-names":false,"suffix":""},{"dropping-particle":"","family":"Zhang","given":"Shuqiang","non-dropping-particle":"","parse-names":false,"suffix":""},{"dropping-particle":"","family":"Yao","given":"Zhijian","non-dropping-particle":"","parse-names":false,"suffix":""},{"dropping-particle":"","family":"Lu","given":"Qing","non-dropping-particle":"","parse-names":false,"suffix":""}],"container-title":"Journal of Magnetic Resonance Imaging","edition":"2019/12/21","id":"ITEM-1","issue":"1","issued":{"date-parts":[["2020"]]},"note":"Pei, Cong\nSun, Yurong\nZhu, Jinlong\nWang, Xinyi\nZhang, Yujie\nZhang, Shuqiang\nYao, Zhijian\nLu, Qing\neng\nBE2018609/Jiangsu Provincial key research and development program\nBE2019675/Jiangsu Provincial key research and development program\nCXTDC2016004/Jiangsu Provincial Medical Innovation Team of the Project of Invigorating Health Care through Science, Technology and Education\n81571639/National Natural Science Foundation of China\n81871066/National Natural Science Foundation of China\nJ Magn Reson Imaging. 2019 Dec 20. doi: 10.1002/jmri.27029.","page":"161-171","title":"Ensemble Learning for Early-Response Prediction of Antidepressant Treatment in Major Depressive Disorder","type":"article-journal","volume":"52"},"uris":["http://www.mendeley.com/documents/?uuid=421a0b14-48e4-4208-a721-48a9aee721c1"]}],"mendeley":{"formattedCitation":"(Pei et al., 2020)","plainTextFormattedCitation":"(Pei et al., 2020)","previouslyFormattedCitation":"(Pei et al., 2020)"},"properties":{"noteIndex":0},"schema":"https://github.com/citation-style-language/schema/raw/master/csl-citation.json"}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(Pei et al., 2020)</w:t>
            </w:r>
            <w:r>
              <w:rPr>
                <w:rFonts w:eastAsia="Times New Roman" w:cstheme="minorHAnsi"/>
                <w:color w:val="000000"/>
                <w:sz w:val="16"/>
                <w:szCs w:val="16"/>
              </w:rPr>
              <w:fldChar w:fldCharType="end"/>
            </w:r>
            <w:r w:rsidR="00D61FFE" w:rsidRPr="003C4781">
              <w:rPr>
                <w:rFonts w:eastAsia="Times New Roman" w:cstheme="minorHAnsi"/>
                <w:color w:val="000000"/>
                <w:sz w:val="16"/>
                <w:szCs w:val="16"/>
                <w:vertAlign w:val="superscript"/>
              </w:rPr>
              <w:t xml:space="preserve"> </w:t>
            </w:r>
          </w:p>
        </w:tc>
        <w:tc>
          <w:tcPr>
            <w:tcW w:w="607" w:type="pct"/>
            <w:hideMark/>
          </w:tcPr>
          <w:p w14:paraId="7C1B5C9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 genetics</w:t>
            </w:r>
          </w:p>
        </w:tc>
        <w:tc>
          <w:tcPr>
            <w:tcW w:w="345" w:type="pct"/>
            <w:hideMark/>
          </w:tcPr>
          <w:p w14:paraId="40BC505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90</w:t>
            </w:r>
          </w:p>
        </w:tc>
        <w:tc>
          <w:tcPr>
            <w:tcW w:w="479" w:type="pct"/>
            <w:hideMark/>
          </w:tcPr>
          <w:p w14:paraId="1363161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5B52325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 (LOOCV)</w:t>
            </w:r>
          </w:p>
        </w:tc>
        <w:tc>
          <w:tcPr>
            <w:tcW w:w="514" w:type="pct"/>
            <w:hideMark/>
          </w:tcPr>
          <w:p w14:paraId="7B61F4D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SVM-RFE (recursive feature elimination), Minimum redundancy maximum relevance (</w:t>
            </w:r>
            <w:proofErr w:type="spellStart"/>
            <w:r w:rsidRPr="003C4781">
              <w:rPr>
                <w:rFonts w:eastAsia="Times New Roman" w:cstheme="minorHAnsi"/>
                <w:color w:val="000000"/>
                <w:sz w:val="16"/>
                <w:szCs w:val="16"/>
              </w:rPr>
              <w:t>mRMR</w:t>
            </w:r>
            <w:proofErr w:type="spellEnd"/>
            <w:r w:rsidRPr="003C4781">
              <w:rPr>
                <w:rFonts w:eastAsia="Times New Roman" w:cstheme="minorHAnsi"/>
                <w:color w:val="000000"/>
                <w:sz w:val="16"/>
                <w:szCs w:val="16"/>
              </w:rPr>
              <w:t>) algorithm</w:t>
            </w:r>
          </w:p>
        </w:tc>
        <w:tc>
          <w:tcPr>
            <w:tcW w:w="477" w:type="pct"/>
            <w:hideMark/>
          </w:tcPr>
          <w:p w14:paraId="77FBCA8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Fisher’s z-score, logistic regression</w:t>
            </w:r>
          </w:p>
        </w:tc>
        <w:tc>
          <w:tcPr>
            <w:tcW w:w="480" w:type="pct"/>
            <w:hideMark/>
          </w:tcPr>
          <w:p w14:paraId="11949966" w14:textId="77777777" w:rsidR="00D61FFE" w:rsidRPr="003C4781" w:rsidRDefault="00D61FFE" w:rsidP="00D61FFE">
            <w:pPr>
              <w:rPr>
                <w:rFonts w:eastAsia="Times New Roman" w:cstheme="minorHAnsi"/>
                <w:color w:val="000000"/>
                <w:sz w:val="16"/>
                <w:szCs w:val="16"/>
              </w:rPr>
            </w:pPr>
          </w:p>
        </w:tc>
        <w:tc>
          <w:tcPr>
            <w:tcW w:w="437" w:type="pct"/>
            <w:hideMark/>
          </w:tcPr>
          <w:p w14:paraId="0CCD8C2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Early-response</w:t>
            </w:r>
          </w:p>
        </w:tc>
        <w:tc>
          <w:tcPr>
            <w:tcW w:w="547" w:type="pct"/>
            <w:hideMark/>
          </w:tcPr>
          <w:p w14:paraId="4485E96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35908684" w14:textId="77777777" w:rsidTr="006D63A2">
        <w:trPr>
          <w:trHeight w:val="1169"/>
        </w:trPr>
        <w:tc>
          <w:tcPr>
            <w:tcW w:w="652" w:type="pct"/>
            <w:hideMark/>
          </w:tcPr>
          <w:p w14:paraId="1584C4A9" w14:textId="04F1E093" w:rsidR="00D61FFE" w:rsidRPr="003C4781" w:rsidRDefault="00424015" w:rsidP="00705248">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{"citationItems":[{"id":"ITEM-1","itemData":{"DOI":"10.1016/j.biopsych.2012.12.007","ISBN":"0006-3223","ISSN":"00063223","PMID":"23380715","abstract":"Background: Early identification of depressed individuals at high risk for treatment resistance could be helpful in selecting optimal setting and intensity of care. At present, validated tools to facilitate this risk stratification are rarely used in psychiatric practice. Methods: Data were drawn from the first two treatment levels of a multicenter antidepressant effectiveness study in major depressive disorder, the STARD (Sequenced Treatment Alternatives to Relieve Depression) cohort. This cohort was divided into training, testing, and validation subsets. Only clinical or sociodemographic variables available by or readily amenable to self-report were considered. Multivariate models were developed to discriminate individuals reaching remission with a first or second pharmacological treatment trial from those not reaching remission despite two trials. Results: A logistic regression model achieved an area under the receiver operating characteristic curve exceeding.71 in training, testing, and validation cohorts and maintained good calibration across cohorts. Performance of three alternative models with machine learning approaches - a naïve Bayes classifier and a support vector machine, and a random forest model - was less consistent. Similar performance was observed between more and less severe depression, men and women, and primary versus specialty care sites. A web-based calculator was developed that implements this tool and provides graphical estimates of risk. Conclusion: Risk for treatment resistance among outpatients with major depressive disorder can be estimated with a simple model incorporating baseline sociodemographic and clinical features. Future studies should examine the performance of this model in other clinical populations and its utility in treatment selection or clinical trial design. © 2013 Society of Biological Psychiatry.","author":[{"dropping-particle":"","family":"Perlis","given":"Roy H.","non-dropping-particle":"","parse-names":false,"suffix":""}],"container-title":"Biological Psychiatry","edition":"2013/02/06","id":"ITEM-1","issue":"1","issued":{"date-parts":[["2013"]]},"language":"eng","note":"1873-2402\nPerlis, Roy H\nN01 MH090003/MH/NIMH NIH HHS/United States\nR01 MH086026/MH/NIMH NIH HHS/United States\nMH086026/MH/NIMH NIH HHS/United States\nN01 MH-90003/MH/NIMH NIH HHS/United States\nJournal Article\nResearch Support, N.I.H., Extramural\nResearch Support, Non-U.S. Gov't\nUnited States\nBiol Psychiatry. 2013 Jul 1;74(1):7-14. doi: 10.1016/j.biopsych.2012.12.007. Epub 2013 Feb 4.","page":"7-14","title":"A clinical risk stratification tool for predicting treatment resistance in major depressive disorder","type":"article-journal","volume":"74"},"uris":["http://www.mendeley.com/documents/?uuid=591ba417-a50e-4b36-960c-4a3a6d80acbf"]}],"mendeley":{"formattedCitation":"(Perlis, 2013)","plainTextFormattedCitation":"(Perlis, 2013)","previouslyFormattedCitation":"(Perlis, 2013)"},"properties":{"noteIndex":0},"schema":"https://github.com/citation-style-language/schema/raw/master/csl-citation.json"}</w:instrText>
            </w:r>
            <w:r>
              <w:rPr>
                <w:rFonts w:eastAsia="Times New Roman" w:cstheme="minorHAnsi"/>
                <w:color w:val="000000"/>
                <w:sz w:val="16"/>
                <w:szCs w:val="16"/>
              </w:rPr>
              <w:fldChar w:fldCharType="separate"/>
            </w:r>
            <w:r w:rsidR="00453DC5" w:rsidRPr="00453DC5">
              <w:rPr>
                <w:rFonts w:eastAsia="Times New Roman" w:cstheme="minorHAnsi"/>
                <w:noProof/>
                <w:color w:val="000000"/>
                <w:sz w:val="16"/>
                <w:szCs w:val="16"/>
              </w:rPr>
              <w:t>(Perlis, 2013)</w:t>
            </w:r>
            <w:r>
              <w:rPr>
                <w:rFonts w:eastAsia="Times New Roman" w:cstheme="minorHAnsi"/>
                <w:color w:val="000000"/>
                <w:sz w:val="16"/>
                <w:szCs w:val="16"/>
              </w:rPr>
              <w:fldChar w:fldCharType="end"/>
            </w:r>
          </w:p>
        </w:tc>
        <w:tc>
          <w:tcPr>
            <w:tcW w:w="607" w:type="pct"/>
            <w:hideMark/>
          </w:tcPr>
          <w:p w14:paraId="2179442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Clinical, </w:t>
            </w:r>
            <w:proofErr w:type="spellStart"/>
            <w:r w:rsidRPr="003C4781">
              <w:rPr>
                <w:rFonts w:eastAsia="Times New Roman" w:cstheme="minorHAnsi"/>
                <w:color w:val="000000"/>
                <w:sz w:val="16"/>
                <w:szCs w:val="16"/>
              </w:rPr>
              <w:t>sociodemographical</w:t>
            </w:r>
            <w:proofErr w:type="spellEnd"/>
          </w:p>
        </w:tc>
        <w:tc>
          <w:tcPr>
            <w:tcW w:w="345" w:type="pct"/>
            <w:hideMark/>
          </w:tcPr>
          <w:p w14:paraId="4438BEA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15</w:t>
            </w:r>
          </w:p>
        </w:tc>
        <w:tc>
          <w:tcPr>
            <w:tcW w:w="479" w:type="pct"/>
            <w:hideMark/>
          </w:tcPr>
          <w:p w14:paraId="4FF6B36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Logistic regression, random forest, Naive Bayes classifier, support vector machine (SVM)</w:t>
            </w:r>
          </w:p>
        </w:tc>
        <w:tc>
          <w:tcPr>
            <w:tcW w:w="460" w:type="pct"/>
            <w:hideMark/>
          </w:tcPr>
          <w:p w14:paraId="464D731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10-fold cross-validation, external validation</w:t>
            </w:r>
          </w:p>
        </w:tc>
        <w:tc>
          <w:tcPr>
            <w:tcW w:w="514" w:type="pct"/>
            <w:hideMark/>
          </w:tcPr>
          <w:p w14:paraId="2445698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Cross-validation in </w:t>
            </w:r>
            <w:r w:rsidR="00A04D7A">
              <w:rPr>
                <w:rFonts w:eastAsia="Times New Roman" w:cstheme="minorHAnsi"/>
                <w:color w:val="000000"/>
                <w:sz w:val="16"/>
                <w:szCs w:val="16"/>
              </w:rPr>
              <w:t xml:space="preserve">the </w:t>
            </w:r>
            <w:r w:rsidRPr="003C4781">
              <w:rPr>
                <w:rFonts w:eastAsia="Times New Roman" w:cstheme="minorHAnsi"/>
                <w:color w:val="000000"/>
                <w:sz w:val="16"/>
                <w:szCs w:val="16"/>
              </w:rPr>
              <w:t>logistic regression model</w:t>
            </w:r>
          </w:p>
        </w:tc>
        <w:tc>
          <w:tcPr>
            <w:tcW w:w="477" w:type="pct"/>
            <w:hideMark/>
          </w:tcPr>
          <w:p w14:paraId="15EDA1DB" w14:textId="77777777" w:rsidR="00D61FFE" w:rsidRPr="003C4781" w:rsidRDefault="00D61FFE" w:rsidP="00D61FFE">
            <w:pPr>
              <w:rPr>
                <w:rFonts w:eastAsia="Times New Roman" w:cstheme="minorHAnsi"/>
                <w:color w:val="000000"/>
                <w:sz w:val="16"/>
                <w:szCs w:val="16"/>
              </w:rPr>
            </w:pPr>
          </w:p>
        </w:tc>
        <w:tc>
          <w:tcPr>
            <w:tcW w:w="480" w:type="pct"/>
            <w:hideMark/>
          </w:tcPr>
          <w:p w14:paraId="58670B2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Mean and mode imputation</w:t>
            </w:r>
          </w:p>
        </w:tc>
        <w:tc>
          <w:tcPr>
            <w:tcW w:w="437" w:type="pct"/>
            <w:hideMark/>
          </w:tcPr>
          <w:p w14:paraId="0424952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Resistance</w:t>
            </w:r>
          </w:p>
        </w:tc>
        <w:tc>
          <w:tcPr>
            <w:tcW w:w="547" w:type="pct"/>
            <w:hideMark/>
          </w:tcPr>
          <w:p w14:paraId="0A7B419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76BE251" w14:textId="77777777" w:rsidTr="006D63A2">
        <w:trPr>
          <w:trHeight w:val="971"/>
        </w:trPr>
        <w:tc>
          <w:tcPr>
            <w:tcW w:w="652" w:type="pct"/>
            <w:hideMark/>
          </w:tcPr>
          <w:p w14:paraId="04853A11" w14:textId="002D4D9B"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{"citationItems":[{"id":"ITEM-1","itemData":{"DOI":"10.1001/jamapsychiatry.2016.0316","ISBN":"2168-622x","ISSN":"2168622X","PMID":"27145449","abstract":"Importance: Electroconvulsive therapy (ECT) is one of the most effective treatments for severe depression. However, biomarkers that accurately predict a response to ECT remain unidentified. Objective: To investigate whether certain factors identified by structural magnetic resonance imaging (MRI) techniques are able to predict ECT response. Design, Setting, and Participants: In this nonrandomized prospective study, gray matter structure was assessed twice at approximately 6 weeks apart using 3-T MRI and voxel-based morphometry. Patients were recruited through the inpatient service of the Department of Psychiatry, University of Muenster, from March 11, 2010, to March 27, 2015. Two patient groups with acute major depressive disorder were included. One group received an ECT series in addition to antidepressants (n = 24); a comparison sample was treated solely with antidepressants (n = 23). Both groups were compared with a sample of healthy control participants (n = 21). Main Outcomes and Measures: Binary pattern classificationwas used to predict ECT response by structural MRI that was performed before treatment. In addition, univariate analysis was conducted to predict reduction of the Hamilton Depression Rating Scale score by pretreatment gray matter volumes and to investigate ECT-related structural changes. Results: One participant in the ECT sample was excluded from the analysis, leaving 67 participants (27 men and 40 women; mean [SD] age, 43.7 [10.6] years). The binary pattern classification yielded a successful prediction of ECT response, with accuracy rates of 78.3% (18 of 23 patients in the ECT sample) and sensitivity rates of 100% (13 of 13 who responded to ECT). Furthermore, a support vector regression yielded a significant prediction of relative reduction in the Hamilton Depression Rating Scale score. The principal findings of the univariate model indicated a positive association between pretreatment subgenual cingulate volume and individual ECT response (Montreal Neurological Institute [MNI] coordinates x = 8, y = 21, z = -18; Z score, 4.00; P &lt; .001; peak voxel r = 0.73). Furthermore, the analysis of treatment effects revealed a increase in hippocampal volume in the ECT sample (MNI coordinates x = -28, y = -9, z = -18; Z score, 7.81; P &lt; .001) that was missing in the medication-only sample. Conclusions and Relevance: A relatively small degree of structural impairment in the subgenual cingulate cortex before therapy seems to be associated with s…","author":[{"dropping-particle":"","family":"Redlich","given":"Ronny","non-dropping-particle":"","parse-names":false,"suffix":""},{"dropping-particle":"","family":"Opel","given":"Nils","non-dropping-particle":"","parse-names":false,"suffix":""},{"dropping-particle":"","family":"Grotegerd","given":"Dominik","non-dropping-particle":"","parse-names":false,"suffix":""},{"dropping-particle":"","family":"Dohm","given":"Katharina","non-dropping-particle":"","parse-names":false,"suffix":""},{"dropping-particle":"","family":"Zaremba","given":"Dario","non-dropping-particle":"","parse-names":false,"suffix":""},{"dropping-particle":"","family":"Burger","given":"Christian","non-dropping-particle":"","parse-names":false,"suffix":""},{"dropping-particle":"","family":"Munker","given":"Sandra","non-dropping-particle":"","parse-names":false,"suffix":""},{"dropping-particle":"","family":"Muhlmann","given":"Lisa","non-dropping-particle":"","parse-names":false,"suffix":""},{"dropping-particle":"","family":"Wahl","given":"Patricia","non-dropping-particle":"","parse-names":false,"suffix":""},{"dropping-particle":"","family":"Heindel","given":"Walter","non-dropping-particle":"","parse-names":false,"suffix":""},{"dropping-particle":"","family":"Arolt","given":"Volker","non-dropping-particle":"","parse-names":false,"suffix":""},{"dropping-particle":"","family":"Alferink","given":"Judith","non-dropping-particle":"","parse-names":false,"suffix":""},{"dropping-particle":"","family":"Zwanzger","given":"Peter","non-dropping-particle":"","parse-names":false,"suffix":""},{"dropping-particle":"","family":"Zavorotnyy","given":"Maxim","non-dropping-particle":"","parse-names":false,"suffix":""},{"dropping-particle":"","family":"Kugel","given":"Harald","non-dropping-particle":"","parse-names":false,"suffix":""},{"dropping-particle":"","family":"Dannlowski","given":"Udo","non-dropping-particle":"","parse-names":false,"suffix":""}],"container-title":"JAMA Psychiatry","edition":"2016/05/05","id":"ITEM-1","issue":"6","issued":{"date-parts":[["2016"]]},"language":"eng","note":"2168-6238\nRedlich, Ronny\nOpel, Nils\nGrotegerd, Dominik\nDohm, Katharina\nZaremba, Dario\nBurger, Christian\nMunker, Sandra\nMuhlmann, Lisa\nWahl, Patricia\nHeindel, Walter\nArolt, Volker\nAlferink, Judith\nZwanzger, Peter\nZavorotnyy, Maxim\nKugel, Harald\nDannlowski, Udo\nClinical Trial\nComparative Study\nJournal Article\nUnited States\nJAMA Psychiatry. 2016 Jun 1;73(6):557-64. doi: 10.1001/jamapsychiatry.2016.0316.","page":"557-564","title":"Prediction of individual response to electroconvulsive therapy via machine learning on structural magnetic resonance imaging data","type":"article-journal","volume":"73"},"uris":["http://www.mendeley.com/documents/?uuid=21dd9bb0-b5d0-4720-abb5-d0d8b4aeb114"]}],"mendeley":{"formattedCitation":"(Redlich et al., 2016)","plainTextFormattedCitation":"(Redlich et al., 2016)","previouslyFormattedCitation":"(Redlich et al., 2016)"},"properties":{"noteIndex":0},"schema":"https://github.com/citation-style-language/schema/raw/master/csl-citation.json"}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(Redlich et al., 2016)</w:t>
            </w:r>
            <w:r>
              <w:rPr>
                <w:rFonts w:eastAsia="Times New Roman" w:cstheme="minorHAnsi"/>
                <w:color w:val="000000"/>
                <w:sz w:val="16"/>
                <w:szCs w:val="16"/>
              </w:rPr>
              <w:fldChar w:fldCharType="end"/>
            </w:r>
            <w:r w:rsidR="00216D68">
              <w:rPr>
                <w:rFonts w:eastAsia="Times New Roman" w:cstheme="minorHAnsi"/>
                <w:color w:val="000000"/>
                <w:sz w:val="16"/>
                <w:szCs w:val="16"/>
              </w:rPr>
              <w:t xml:space="preserve"> </w:t>
            </w:r>
          </w:p>
        </w:tc>
        <w:tc>
          <w:tcPr>
            <w:tcW w:w="607" w:type="pct"/>
            <w:hideMark/>
          </w:tcPr>
          <w:p w14:paraId="061155E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621A1DF7" w14:textId="77777777" w:rsidR="00D61FFE" w:rsidRPr="003C4781" w:rsidRDefault="00D61FFE" w:rsidP="00D61FFE">
            <w:pPr>
              <w:rPr>
                <w:rFonts w:eastAsia="Times New Roman" w:cstheme="minorHAnsi"/>
                <w:color w:val="000000"/>
                <w:sz w:val="16"/>
                <w:szCs w:val="16"/>
              </w:rPr>
            </w:pPr>
          </w:p>
        </w:tc>
        <w:tc>
          <w:tcPr>
            <w:tcW w:w="479" w:type="pct"/>
            <w:hideMark/>
          </w:tcPr>
          <w:p w14:paraId="1EFC87C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Support vector machine (SVM), Gaussian process classifier</w:t>
            </w:r>
          </w:p>
        </w:tc>
        <w:tc>
          <w:tcPr>
            <w:tcW w:w="460" w:type="pct"/>
            <w:hideMark/>
          </w:tcPr>
          <w:p w14:paraId="58F1276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Leave-one-subject-out cross-validation</w:t>
            </w:r>
          </w:p>
        </w:tc>
        <w:tc>
          <w:tcPr>
            <w:tcW w:w="514" w:type="pct"/>
            <w:hideMark/>
          </w:tcPr>
          <w:p w14:paraId="36821D1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No feature selection</w:t>
            </w:r>
          </w:p>
        </w:tc>
        <w:tc>
          <w:tcPr>
            <w:tcW w:w="477" w:type="pct"/>
            <w:hideMark/>
          </w:tcPr>
          <w:p w14:paraId="38A21647" w14:textId="77777777" w:rsidR="00D61FFE" w:rsidRPr="003C4781" w:rsidRDefault="00D61FFE" w:rsidP="00D61FFE">
            <w:pPr>
              <w:rPr>
                <w:rFonts w:eastAsia="Times New Roman" w:cstheme="minorHAnsi"/>
                <w:color w:val="000000"/>
                <w:sz w:val="16"/>
                <w:szCs w:val="16"/>
              </w:rPr>
            </w:pPr>
          </w:p>
        </w:tc>
        <w:tc>
          <w:tcPr>
            <w:tcW w:w="480" w:type="pct"/>
            <w:hideMark/>
          </w:tcPr>
          <w:p w14:paraId="3D3D7A5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Excluded</w:t>
            </w:r>
          </w:p>
        </w:tc>
        <w:tc>
          <w:tcPr>
            <w:tcW w:w="437" w:type="pct"/>
            <w:hideMark/>
          </w:tcPr>
          <w:p w14:paraId="7A8BE9B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Response </w:t>
            </w:r>
          </w:p>
        </w:tc>
        <w:tc>
          <w:tcPr>
            <w:tcW w:w="547" w:type="pct"/>
            <w:hideMark/>
          </w:tcPr>
          <w:p w14:paraId="649230ED" w14:textId="77777777" w:rsidR="00D61FFE" w:rsidRPr="003C4781" w:rsidRDefault="00291A86" w:rsidP="00D61FFE">
            <w:pPr>
              <w:rPr>
                <w:rFonts w:eastAsia="Times New Roman" w:cstheme="minorHAnsi"/>
                <w:color w:val="000000"/>
                <w:sz w:val="16"/>
                <w:szCs w:val="16"/>
              </w:rPr>
            </w:pPr>
            <w:r>
              <w:rPr>
                <w:rFonts w:eastAsia="Times New Roman" w:cstheme="minorHAnsi"/>
                <w:color w:val="000000"/>
                <w:sz w:val="16"/>
                <w:szCs w:val="16"/>
              </w:rPr>
              <w:t>Exercise</w:t>
            </w:r>
          </w:p>
        </w:tc>
      </w:tr>
      <w:tr w:rsidR="00705248" w:rsidRPr="003C4781" w14:paraId="500A373A" w14:textId="77777777" w:rsidTr="006D63A2">
        <w:trPr>
          <w:trHeight w:val="332"/>
        </w:trPr>
        <w:tc>
          <w:tcPr>
            <w:tcW w:w="652" w:type="pct"/>
            <w:hideMark/>
          </w:tcPr>
          <w:p w14:paraId="60D61EAE" w14:textId="6DD6589C"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{"citationItems":[{"id":"ITEM-1","itemData":{"DOI":"10.1002/da.22670","ISBN":"1091-4269","ISSN":"15206394","PMID":"28672073","abstract":"Background: Only one-third of patients with major depressive disorder (MDD) achieve remission with initial treatment. Consequently, current clinical practice relies on a “trial-and-error” approach to identify an effective treatment for each patient. The purpose of this report was to determine whether we could identify a set of clinical and biological parameters with potential clinical utility for prescription of exercise for treatment of MDD in a secondary analysis of the Treatment with Exercise Augmentation in Depression (TREAD) trial. Methods: Participants with nonremitted MDD were randomized to one of two exercise doses for 12 weeks. Participants were categorized as “remitters” (≤12 on the IDS-C), nonresponders (&lt;30% drop in IDS-C), or neither. The least absolute shrinkage and selection operator (LASSO) and random forests were used to evaluate 30 variables as predictors of both remission and nonresponse. Predictors were used to model treatment outcomes using logistic regression. Results: Of the 122 participants, 36 were categorized as remitters (29.5%), 56 as nonresponders (45.9%), and 30 as neither (24.6%). Predictors of remission were higher levels of brain-derived neurotrophic factor (BDNF) and IL-1B, greater depressive symptom severity, and higher postexercise positive affect. Predictors of treatment nonresponse were low cardiorespiratory fitness, lower levels of IL-6 and BDNF, and lower postexercise positive affect. Models including these predictors resulted in predictive values greater than 70% (true predicted remitters/all predicted remitters) with specificities greater than 25% (true predicted remitters/all remitters). Conclusions: Results indicate feasibility in identifying patients who will either remit or not respond to exercise as a treatment for MDD utilizing a clinical decision model that incorporates multiple patient characteristics.","author":[{"dropping-particle":"","family":"Rethorst","given":"Chad D.","non-dropping-particle":"","parse-names":false,"suffix":""},{"dropping-particle":"","family":"South","given":"Charles C.","non-dropping-particle":"","parse-names":false,"suffix":""},{"dropping-particle":"","family":"Rush","given":"A. John","non-dropping-particle":"","parse-names":false,"suffix":""},{"dropping-particle":"","family":"Greer","given":"Tracy L.","non-dropping-particle":"","parse-names":false,"suffix":""},{"dropping-particle":"","family":"Trivedi","given":"Madhukar H.","non-dropping-particle":"","parse-names":false,"suffix":""}],"container-title":"Depression and Anxiety","edition":"2017/07/04","id":"ITEM-1","issue":"12","issued":{"date-parts":[["2017"]]},"language":"eng","note":"1520-6394\nRethorst, Chad D\nOrcid: 0000-0002-8168-2829\nSouth, Charles C\nRush, A John\nGreer, Tracy L\nTrivedi, Madhukar H\nOrcid: 0000-0002-2983-1110\nK01 MH097847/MH/NIMH NIH HHS/United States\nR01 MH067692/MH/NIMH NIH HHS/United States\nJournal Article\nRandomized Controlled Trial\nResearch Support, N.I.H., Extramural\nResearch Support, Non-U.S. Gov't\nUnited States\nDepress Anxiety. 2017 Dec;34(12):1116-1122. doi: 10.1002/da.22670. Epub 2017 Jul 3.","page":"1116-1122","title":"Prediction of treatment outcomes to exercise in patients with nonremitted major depressive disorder","type":"article-journal","volume":"34"},"uris":["http://www.mendeley.com/documents/?uuid=f8e638ed-7c50-40f2-b5aa-87faedbd755c"]}],"mendeley":{"formattedCitation":"(Rethorst, South, Rush, Greer, &amp; Trivedi, 2017)","plainTextFormattedCitation":"(Rethorst, South, Rush, Greer, &amp; Trivedi, 2017)","previouslyFormattedCitation":"(Rethorst, South, Rush, Greer, &amp; Trivedi, 2017)"},"properties":{"noteIndex":0},"schema":"https://github.com/citation-style-language/schema/raw/master/csl-citation.json"}</w:instrText>
            </w:r>
            <w:r>
              <w:rPr>
                <w:rFonts w:eastAsia="Times New Roman" w:cstheme="minorHAnsi"/>
                <w:color w:val="000000"/>
                <w:sz w:val="16"/>
                <w:szCs w:val="16"/>
              </w:rPr>
              <w:fldChar w:fldCharType="separate"/>
            </w:r>
            <w:r w:rsidR="00AA181B" w:rsidRPr="00AA181B">
              <w:rPr>
                <w:rFonts w:eastAsia="Times New Roman" w:cstheme="minorHAnsi"/>
                <w:noProof/>
                <w:color w:val="000000"/>
                <w:sz w:val="16"/>
                <w:szCs w:val="16"/>
              </w:rPr>
              <w:t>(Rethorst, South, Rush, Greer, &amp; Trivedi, 2017)</w:t>
            </w:r>
            <w:r>
              <w:rPr>
                <w:rFonts w:eastAsia="Times New Roman" w:cstheme="minorHAnsi"/>
                <w:color w:val="000000"/>
                <w:sz w:val="16"/>
                <w:szCs w:val="16"/>
              </w:rPr>
              <w:fldChar w:fldCharType="end"/>
            </w:r>
          </w:p>
        </w:tc>
        <w:tc>
          <w:tcPr>
            <w:tcW w:w="607" w:type="pct"/>
            <w:hideMark/>
          </w:tcPr>
          <w:p w14:paraId="1163F09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Clinical</w:t>
            </w:r>
          </w:p>
        </w:tc>
        <w:tc>
          <w:tcPr>
            <w:tcW w:w="345" w:type="pct"/>
            <w:hideMark/>
          </w:tcPr>
          <w:p w14:paraId="4210F87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4</w:t>
            </w:r>
          </w:p>
        </w:tc>
        <w:tc>
          <w:tcPr>
            <w:tcW w:w="479" w:type="pct"/>
            <w:hideMark/>
          </w:tcPr>
          <w:p w14:paraId="2017D40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Logistic regression</w:t>
            </w:r>
          </w:p>
        </w:tc>
        <w:tc>
          <w:tcPr>
            <w:tcW w:w="460" w:type="pct"/>
            <w:hideMark/>
          </w:tcPr>
          <w:p w14:paraId="4D2CF2BE" w14:textId="1E5E9A17" w:rsidR="00D61FFE" w:rsidRPr="003C4781" w:rsidRDefault="00D61FFE">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50694EB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Lasso, random forest</w:t>
            </w:r>
          </w:p>
        </w:tc>
        <w:tc>
          <w:tcPr>
            <w:tcW w:w="477" w:type="pct"/>
            <w:hideMark/>
          </w:tcPr>
          <w:p w14:paraId="72FCDD2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Bootstrap during variable selection</w:t>
            </w:r>
          </w:p>
        </w:tc>
        <w:tc>
          <w:tcPr>
            <w:tcW w:w="480" w:type="pct"/>
            <w:hideMark/>
          </w:tcPr>
          <w:p w14:paraId="69BDF15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36E1A44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Remission, non-response</w:t>
            </w:r>
          </w:p>
        </w:tc>
        <w:tc>
          <w:tcPr>
            <w:tcW w:w="547" w:type="pct"/>
            <w:hideMark/>
          </w:tcPr>
          <w:p w14:paraId="096703D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6BD5AD2" w14:textId="77777777" w:rsidTr="006D63A2">
        <w:trPr>
          <w:trHeight w:val="188"/>
        </w:trPr>
        <w:tc>
          <w:tcPr>
            <w:tcW w:w="652" w:type="pct"/>
            <w:hideMark/>
          </w:tcPr>
          <w:p w14:paraId="32F57ECB" w14:textId="622215BB"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{"citationItems":[{"id":"ITEM-1","itemData":{"DOI":"10.1001/archgenpsychiatry.2012.65","ISBN":"0003-990x","ISSN":"0003990X","PMID":"22945620","abstract":"Context: Among depressed individuals not receiving medication in controlled trials, 40% to 60% respond to cognitive therapy (CT). Multiple previous studies suggest that activity in the subgenual anterior cingulate cortex (sgACC; Brodmann area 25) predicts outcome in CT for depression, but these results have not been prospectively replicated. Objective: To examine whether sgACC activity is a reliable and robust prognostic outcome marker of CT for depression and whether sgACC activity changes in treatment. Design: Two inception cohorts underwent assessment with functional magnetic resonance imaging using different scanners on a task sensitive to sustained emotional information processing before and after 16 to 20 sessions of CT, along with a sample of control participants who underwent testing at comparable intervals. Setting: A hospital outpatient clinic. Patients: Forty-nine unmedicated depressed adults and 35 healthy controls. Main Outcome Measures: Pretreatment sgACC activity in an a priori region in response to negative words was correlated with residual severity and used to classify response and remission. Results: As expected, in both samples, participants with the lowest pretreatment sustained sgACC reactivity in response to negative words displayed the most improvement after CT (R 2 = 0.29, &gt;75% correct classification of response, &gt;70% correct classification of remission). Other a priori regions explained additional variance. Response/remission in cohort 2 was predicted based on thresholds from cohort 1. Subgenual anterior cingulate activity remained low for patients in remission after treatment. Conclusions: Neuroimaging provides a quick, valid, and clinically applicable way of assessing neural systems associated with treatment response/remission. Subgenual anterior cingulate activity, in particular, may reflect processes that interfere with treatment (eg, emotion generation) in addition to its putative regulatory role; alternately, its absence may facilitate treatment response. ©2012 American Medical Association. All rights reserved.","author":[{"dropping-particle":"","family":"Siegle","given":"Greg J.","non-dropping-particle":"","parse-names":false,"suffix":""},{"dropping-particle":"","family":"Thompson","given":"Wesley K.","non-dropping-particle":"","parse-names":false,"suffix":""},{"dropping-particle":"","family":"Collier","given":"Amanda","non-dropping-particle":"","parse-names":false,"suffix":""},{"dropping-particle":"","family":"Berman","given":"Susan R.","non-dropping-particle":"","parse-names":false,"suffix":""},{"dropping-particle":"","family":"Feldmiller","given":"Joshua","non-dropping-particle":"","parse-names":false,"suffix":""},{"dropping-particle":"","family":"Thase","given":"Michael E.","non-dropping-particle":"","parse-names":false,"suffix":""},{"dropping-particle":"","family":"Friedman","given":"Edward S.","non-dropping-particle":"","parse-names":false,"suffix":""}],"container-title":"Archives of General Psychiatry","edition":"2012/09/05","id":"ITEM-1","issue":"9","issued":{"date-parts":[["2012"]]},"language":"eng","note":"1538-3636\nSiegle, Greg J\nThompson, Wesley K\nCollier, Amanda\nBerman, Susan R\nFeldmiller, Joshua\nThase, Michael E\nFriedman, Edward S\nK02 MH082998/MH/NIMH NIH HHS/United States\nR01 MH074807/MH/NIMH NIH HHS/United States\nMH074807/MH/NIMH NIH HHS/United States\nR01 MH058356/MH/NIMH NIH HHS/United States\nMH69618/MH/NIMH NIH HHS/United States\nMH58397/MH/NIMH NIH HHS/United States\nMH082998/MH/NIMH NIH HHS/United States\nR01 MH058397/MH/NIMH NIH HHS/United States\nR01 MH069618/MH/NIMH NIH HHS/United States\nMH58356/MH/NIMH NIH HHS/United States\nComparative Study\nJournal Article\nMulticenter Study\nRandomized Controlled Trial\nResearch Support, N.I.H., Extramural\nResearch Support, Non-U.S. Gov't\nUnited States\nArch Gen Psychiatry. 2012 Sep;69(9):913-24. doi: 10.1001/archgenpsychiatry.2012.65.","page":"913-924","title":"Toward clinically useful neuroimaging in depression treatment: Prognostic utility of subgenual cingulate activity for determining depression outcome in cognitive therapy across studies, scanners, and patient characteristics","type":"article-journal","volume":"69"},"uris":["http://www.mendeley.com/documents/?uuid=b6400a2e-2192-449d-9036-e60964496498"]}],"mendeley":{"formattedCitation":"(Siegle et al., 2012)","plainTextFormattedCitation":"(Siegle et al., 2012)","previouslyFormattedCitation":"(Siegle et al., 2012)"},"properties":{"noteIndex":0},"schema":"https://github.com/citation-style-language/schema/raw/master/csl-citation.json"}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(Siegle et al., 2012)</w:t>
            </w:r>
            <w:r>
              <w:rPr>
                <w:rFonts w:eastAsia="Times New Roman" w:cstheme="minorHAnsi"/>
                <w:color w:val="000000"/>
                <w:sz w:val="16"/>
                <w:szCs w:val="16"/>
              </w:rPr>
              <w:fldChar w:fldCharType="end"/>
            </w:r>
            <w:r w:rsidR="00216D68">
              <w:rPr>
                <w:rFonts w:eastAsia="Times New Roman" w:cstheme="minorHAnsi"/>
                <w:color w:val="000000"/>
                <w:sz w:val="16"/>
                <w:szCs w:val="16"/>
              </w:rPr>
              <w:t xml:space="preserve"> </w:t>
            </w:r>
          </w:p>
        </w:tc>
        <w:tc>
          <w:tcPr>
            <w:tcW w:w="607" w:type="pct"/>
            <w:hideMark/>
          </w:tcPr>
          <w:p w14:paraId="0F0DF99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r w:rsidR="000F71BC">
              <w:rPr>
                <w:rFonts w:eastAsia="Times New Roman" w:cstheme="minorHAnsi"/>
                <w:color w:val="000000"/>
                <w:sz w:val="16"/>
                <w:szCs w:val="16"/>
              </w:rPr>
              <w:t>, clinical</w:t>
            </w:r>
          </w:p>
        </w:tc>
        <w:tc>
          <w:tcPr>
            <w:tcW w:w="345" w:type="pct"/>
            <w:hideMark/>
          </w:tcPr>
          <w:p w14:paraId="262D6A3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5</w:t>
            </w:r>
          </w:p>
        </w:tc>
        <w:tc>
          <w:tcPr>
            <w:tcW w:w="479" w:type="pct"/>
            <w:hideMark/>
          </w:tcPr>
          <w:p w14:paraId="37501DE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Random forest</w:t>
            </w:r>
          </w:p>
        </w:tc>
        <w:tc>
          <w:tcPr>
            <w:tcW w:w="460" w:type="pct"/>
            <w:hideMark/>
          </w:tcPr>
          <w:p w14:paraId="179774D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External validation</w:t>
            </w:r>
          </w:p>
        </w:tc>
        <w:tc>
          <w:tcPr>
            <w:tcW w:w="514" w:type="pct"/>
            <w:hideMark/>
          </w:tcPr>
          <w:p w14:paraId="286B359A" w14:textId="77777777" w:rsidR="00D61FFE" w:rsidRPr="003C4781" w:rsidRDefault="00D61FFE" w:rsidP="00D61FFE">
            <w:pPr>
              <w:rPr>
                <w:rFonts w:eastAsia="Times New Roman" w:cstheme="minorHAnsi"/>
                <w:color w:val="000000"/>
                <w:sz w:val="16"/>
                <w:szCs w:val="16"/>
              </w:rPr>
            </w:pPr>
          </w:p>
        </w:tc>
        <w:tc>
          <w:tcPr>
            <w:tcW w:w="477" w:type="pct"/>
            <w:hideMark/>
          </w:tcPr>
          <w:p w14:paraId="33F41D5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B-spline regression</w:t>
            </w:r>
          </w:p>
        </w:tc>
        <w:tc>
          <w:tcPr>
            <w:tcW w:w="480" w:type="pct"/>
            <w:hideMark/>
          </w:tcPr>
          <w:p w14:paraId="3715E4D3" w14:textId="77777777" w:rsidR="00D61FFE" w:rsidRPr="003C4781" w:rsidRDefault="00D61FFE" w:rsidP="00D61FFE">
            <w:pPr>
              <w:rPr>
                <w:rFonts w:eastAsia="Times New Roman" w:cstheme="minorHAnsi"/>
                <w:color w:val="000000"/>
                <w:sz w:val="16"/>
                <w:szCs w:val="16"/>
              </w:rPr>
            </w:pPr>
          </w:p>
        </w:tc>
        <w:tc>
          <w:tcPr>
            <w:tcW w:w="437" w:type="pct"/>
            <w:hideMark/>
          </w:tcPr>
          <w:p w14:paraId="5DF84D2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 remission</w:t>
            </w:r>
          </w:p>
        </w:tc>
        <w:tc>
          <w:tcPr>
            <w:tcW w:w="547" w:type="pct"/>
            <w:hideMark/>
          </w:tcPr>
          <w:p w14:paraId="19B52E4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Cognitive therapy</w:t>
            </w:r>
          </w:p>
        </w:tc>
      </w:tr>
      <w:tr w:rsidR="00705248" w:rsidRPr="003C4781" w14:paraId="4849C459" w14:textId="77777777" w:rsidTr="006D63A2">
        <w:trPr>
          <w:trHeight w:val="863"/>
        </w:trPr>
        <w:tc>
          <w:tcPr>
            <w:tcW w:w="652" w:type="pct"/>
            <w:hideMark/>
          </w:tcPr>
          <w:p w14:paraId="3951FBE3" w14:textId="0664FF60"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{"citationItems":[{"id":"ITEM-1","itemData":{"DOI":"10.1016/j.bpsc.2015.10.002","ISBN":"2451-9022 (Print)\r2451-9022","ISSN":"24519022","PMID":"26709390","abstract":"Background Recent neuroimaging studies have demonstrated resting-state functional connectivity (rsFC) abnormalities among intrinsic brain networks in major depressive disorder (MDD); however, their role as predictors of treatment response has not yet been explored. Here, we investigate whether network-based rsFC predicts antidepressant and placebo effects in MDD. Methods We performed a randomized controlled trial of two week-long, identical placebos (described either as having active fast-acting, antidepressant effects or as inactive) followed by a 10-week open-label antidepressant medication treatment. Twenty-nine participants underwent an rsFC functional magnetic resonance imaging scan at the completion of each placebo condition. Networks were isolated from resting-state blood oxygen level-dependent signal fluctuations using independent component analysis. Baseline and placebo-induced changes in rsFC within the default mode, salience, and executive networks were examined for associations with placebo and antidepressant treatment response. Results Increased baseline rsFC in the rostral anterior cingulate within the salience network, a region classically implicated in the formation of placebo analgesia and the prediction of treatment response in MDD, was associated with greater response to 1 week of active placebo and 10 weeks of antidepressant treatment. Machine learning further demonstrated that increased salience network rsFC, mainly within the rostral anterior cingulate, significantly predicts individual responses to placebo administration. Conclusions These data demonstrate that baseline rsFC within the salience network is linked to clinical placebo responses. This information could be employed to identify patients who would benefit from lower doses of antidepressant medication or nonpharmacologic approaches or to develop biomarkers of placebo effects in clinical trials.","author":[{"dropping-particle":"","family":"Sikora","given":"Magdalena","non-dropping-particle":"","parse-names":false,"suffix":""},{"dropping-particle":"","family":"Heffernan","given":"Joseph","non-dropping-particle":"","parse-names":false,"suffix":""},{"dropping-particle":"","family":"Avery","given":"Erich T.","non-dropping-particle":"","parse-names":false,"suffix":""},{"dropping-particle":"","family":"Mickey","given":"Brian J.","non-dropping-particle":"","parse-names":false,"suffix":""},{"dropping-particle":"","family":"Zubieta","given":"Jon Kar","non-dropping-particle":"","parse-names":false,"suffix":""},{"dropping-particle":"","family":"Peciña","given":"Marta","non-dropping-particle":"","parse-names":false,"suffix":""}],"container-title":"Biological Psychiatry: Cognitive Neuroscience and Neuroimaging","edition":"2015/12/29","id":"ITEM-1","issue":"1","issued":{"date-parts":[["2016"]]},"language":"eng","note":"Sikora, Magdalena\nHeffernan, Joseph\nAvery, Erich T\nMickey, Brian J\nZubieta, Jon-Kar\nPecina, Marta\nR01 MH086858/MH/NIMH NIH HHS/United States\nT32 NS076401/NS/NINDS NIH HHS/United States\nUL1 RR024986/RR/NCRR NIH HHS/United States\nUL1 TR000433/TR/NCATS NIH HHS/United States\nJournal Article\nUnited States\nBiol Psychiatry Cogn Neurosci Neuroimaging. 2016 Jan;1(1):68-76. doi: 10.1016/j.bpsc.2015.10.002.","page":"68-76","title":"Salience Network Functional Connectivity Predicts Placebo Effects in Major Depression","type":"article-journal","volume":"1"},"uris":["http://www.mendeley.com/documents/?uuid=60a78688-ee43-4903-8c1b-2984fb88b218"]}],"mendeley":{"formattedCitation":"(Sikora et al., 2016)","plainTextFormattedCitation":"(Sikora et al., 2016)","previouslyFormattedCitation":"(Sikora et al., 2016)"},"properties":{"noteIndex":0},"schema":"https://github.com/citation-style-language/schema/raw/master/csl-citation.json"}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(Sikora et al., 2016)</w:t>
            </w:r>
            <w:r>
              <w:rPr>
                <w:rFonts w:eastAsia="Times New Roman" w:cstheme="minorHAnsi"/>
                <w:color w:val="000000"/>
                <w:sz w:val="16"/>
                <w:szCs w:val="16"/>
              </w:rPr>
              <w:fldChar w:fldCharType="end"/>
            </w:r>
          </w:p>
        </w:tc>
        <w:tc>
          <w:tcPr>
            <w:tcW w:w="607" w:type="pct"/>
            <w:hideMark/>
          </w:tcPr>
          <w:p w14:paraId="193905E3"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3BA3A7D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24</w:t>
            </w:r>
          </w:p>
        </w:tc>
        <w:tc>
          <w:tcPr>
            <w:tcW w:w="479" w:type="pct"/>
            <w:hideMark/>
          </w:tcPr>
          <w:p w14:paraId="1069A1F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Multivariate Relevance Vector Regression (RVR) Analysis</w:t>
            </w:r>
          </w:p>
        </w:tc>
        <w:tc>
          <w:tcPr>
            <w:tcW w:w="460" w:type="pct"/>
            <w:hideMark/>
          </w:tcPr>
          <w:p w14:paraId="3F766A0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3CCF43D9" w14:textId="77777777" w:rsidR="00D61FFE" w:rsidRPr="003C4781" w:rsidRDefault="00D61FFE" w:rsidP="00D61FFE">
            <w:pPr>
              <w:rPr>
                <w:rFonts w:eastAsia="Times New Roman" w:cstheme="minorHAnsi"/>
                <w:color w:val="000000"/>
                <w:sz w:val="16"/>
                <w:szCs w:val="16"/>
              </w:rPr>
            </w:pPr>
          </w:p>
        </w:tc>
        <w:tc>
          <w:tcPr>
            <w:tcW w:w="477" w:type="pct"/>
            <w:hideMark/>
          </w:tcPr>
          <w:p w14:paraId="766AAE7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Independent component analysis (ICA)</w:t>
            </w:r>
          </w:p>
        </w:tc>
        <w:tc>
          <w:tcPr>
            <w:tcW w:w="480" w:type="pct"/>
            <w:hideMark/>
          </w:tcPr>
          <w:p w14:paraId="75B4659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 </w:t>
            </w:r>
          </w:p>
        </w:tc>
        <w:tc>
          <w:tcPr>
            <w:tcW w:w="437" w:type="pct"/>
            <w:hideMark/>
          </w:tcPr>
          <w:p w14:paraId="24A97792"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145CD45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5DD24F3D" w14:textId="77777777" w:rsidTr="006D63A2">
        <w:trPr>
          <w:trHeight w:val="60"/>
        </w:trPr>
        <w:tc>
          <w:tcPr>
            <w:tcW w:w="652" w:type="pct"/>
            <w:hideMark/>
          </w:tcPr>
          <w:p w14:paraId="50FE6884" w14:textId="05D7FD13"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{"citationItems":[{"id":"ITEM-1","itemData":{"DOI":"10.1016/j.nicl.2019.102080","ISSN":"22131582","PMID":"31735637","abstract":"Electroconvulsive therapy (ECT) works rapidly and has been widely used to treat depressive disorders (DEP). However, identifying biomarkers predictive of response to ECT remains a priority to individually tailor treatment and understand treatment mechanisms. This study used a connectome-based predictive modeling (CPM) approach in 122 patients with DEP to determine if pre-ECT whole-brain functional connectivity (FC) predicts depressive rating changes and remission status after ECT (47 of 122 total subjects or 38.5% of sample), and whether pre-ECT and longitudinal changes (pre/post-ECT) in regional brain network biomarkers are associated with treatment-related changes in depression ratings. Results show the networks with the best predictive performance of ECT response were negative (anti-correlated) FC networks, which predict the post-ECT depression severity (continuous measure) with a 76.23% accuracy for remission prediction. FC networks with the greatest predictive power were concentrated in the prefrontal and temporal cortices and subcortical nuclei, and include the inferior frontal (IFG), superior frontal (SFG), superior temporal (STG), inferior temporal gyri (ITG), basal ganglia (BG), and thalamus (Tha). Several of these brain regions were also identified as nodes in the FC networks that show significant change pre-/post-ECT, but these networks were not related to treatment response. This study design has limitations regarding the longitudinal design and the absence of a control group that limit the causal inference regarding mechanism of post-treatment status. Though predictive biomarkers remained below the threshold of those recommended for potential translation, the analysis methods and results demonstrate the promise and generalizability of biomarkers for advancing personalized treatment strategies.","author":[{"dropping-particle":"","family":"Sun","given":"Hailun","non-dropping-particle":"","parse-names":false,"suffix":""},{"dropping-particle":"","family":"Jiang","given":"Rongtao","non-dropping-particle":"","parse-names":false,"suffix":""},{"dropping-particle":"","family":"Qi","given":"Shile","non-dropping-particle":"","parse-names":false,"suffix":""},{"dropping-particle":"","family":"Narr","given":"Katherine L.","non-dropping-particle":"","parse-names":false,"suffix":""},{"dropping-particle":"","family":"Wade","given":"Benjamin SC","non-dropping-particle":"","parse-names":false,"suffix":""},{"dropping-particle":"","family":"Upston","given":"Joel","non-dropping-particle":"","parse-names":false,"suffix":""},{"dropping-particle":"","family":"Espinoza","given":"Randall","non-dropping-particle":"","parse-names":false,"suffix":""},{"dropping-particle":"","family":"Jones","given":"Tom","non-dropping-particle":"","parse-names":false,"suffix":""},{"dropping-particle":"","family":"Calhoun","given":"Vince D.","non-dropping-particle":"","parse-names":false,"suffix":""},{"dropping-particle":"","family":"Abbott","given":"Christopher C.","non-dropping-particle":"","parse-names":false,"suffix":""},{"dropping-particle":"","family":"Sui","given":"Jing","non-dropping-particle":"","parse-names":false,"suffix":""}],"container-title":"NeuroImage: Clinical","id":"ITEM-1","issued":{"date-parts":[["2020"]]},"page":"102080","title":"Preliminary prediction of individual response to electroconvulsive therapy using whole-brain functional magnetic resonance imaging data","type":"article-journal","volume":"26"},"uris":["http://www.mendeley.com/documents/?uuid=050e12fd-a5a8-4a1b-a168-a9f820b996dd","http://www.mendeley.com/documents/?uuid=62dfecca-a3df-4efb-a77c-00b2a9c99be5"]}],"mendeley":{"formattedCitation":"(Sun et al., 2020)","plainTextFormattedCitation":"(Sun et al., 2020)","previouslyFormattedCitation":"(Sun et al., 2020)"},"properties":{"noteIndex":0},"schema":"https://github.com/citation-style-language/schema/raw/master/csl-citation.json"}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(Sun et al., 2020)</w:t>
            </w:r>
            <w:r>
              <w:rPr>
                <w:rFonts w:eastAsia="Times New Roman" w:cstheme="minorHAnsi"/>
                <w:color w:val="000000"/>
                <w:sz w:val="16"/>
                <w:szCs w:val="16"/>
              </w:rPr>
              <w:fldChar w:fldCharType="end"/>
            </w:r>
          </w:p>
        </w:tc>
        <w:tc>
          <w:tcPr>
            <w:tcW w:w="607" w:type="pct"/>
            <w:hideMark/>
          </w:tcPr>
          <w:p w14:paraId="4AFC762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524DAD1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280</w:t>
            </w:r>
          </w:p>
        </w:tc>
        <w:tc>
          <w:tcPr>
            <w:tcW w:w="479" w:type="pct"/>
            <w:hideMark/>
          </w:tcPr>
          <w:p w14:paraId="08F5BC3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Connectome-based </w:t>
            </w:r>
            <w:r w:rsidRPr="003C4781">
              <w:rPr>
                <w:rFonts w:eastAsia="Times New Roman" w:cstheme="minorHAnsi"/>
                <w:color w:val="000000"/>
                <w:sz w:val="16"/>
                <w:szCs w:val="16"/>
              </w:rPr>
              <w:lastRenderedPageBreak/>
              <w:t>predictive modeling (CPM)</w:t>
            </w:r>
          </w:p>
        </w:tc>
        <w:tc>
          <w:tcPr>
            <w:tcW w:w="460" w:type="pct"/>
            <w:hideMark/>
          </w:tcPr>
          <w:p w14:paraId="56429605"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lastRenderedPageBreak/>
              <w:t>10-fold cross-validation</w:t>
            </w:r>
          </w:p>
        </w:tc>
        <w:tc>
          <w:tcPr>
            <w:tcW w:w="514" w:type="pct"/>
            <w:hideMark/>
          </w:tcPr>
          <w:p w14:paraId="53822A50" w14:textId="77777777" w:rsidR="00D61FFE" w:rsidRPr="003C4781" w:rsidRDefault="00D61FFE" w:rsidP="00D61FFE">
            <w:pPr>
              <w:rPr>
                <w:rFonts w:eastAsia="Times New Roman" w:cstheme="minorHAnsi"/>
                <w:color w:val="000000"/>
                <w:sz w:val="16"/>
                <w:szCs w:val="16"/>
              </w:rPr>
            </w:pPr>
          </w:p>
        </w:tc>
        <w:tc>
          <w:tcPr>
            <w:tcW w:w="477" w:type="pct"/>
            <w:hideMark/>
          </w:tcPr>
          <w:p w14:paraId="439E1980" w14:textId="77777777" w:rsidR="00D61FFE" w:rsidRPr="003C4781" w:rsidRDefault="00D61FFE" w:rsidP="00D61FFE">
            <w:pPr>
              <w:rPr>
                <w:rFonts w:eastAsia="Times New Roman" w:cstheme="minorHAnsi"/>
                <w:sz w:val="16"/>
                <w:szCs w:val="16"/>
              </w:rPr>
            </w:pPr>
          </w:p>
        </w:tc>
        <w:tc>
          <w:tcPr>
            <w:tcW w:w="480" w:type="pct"/>
            <w:hideMark/>
          </w:tcPr>
          <w:p w14:paraId="2345268F" w14:textId="77777777" w:rsidR="00D61FFE" w:rsidRPr="003C4781" w:rsidRDefault="00D61FFE" w:rsidP="00D61FFE">
            <w:pPr>
              <w:rPr>
                <w:rFonts w:eastAsia="Times New Roman" w:cstheme="minorHAnsi"/>
                <w:sz w:val="16"/>
                <w:szCs w:val="16"/>
              </w:rPr>
            </w:pPr>
          </w:p>
        </w:tc>
        <w:tc>
          <w:tcPr>
            <w:tcW w:w="437" w:type="pct"/>
            <w:hideMark/>
          </w:tcPr>
          <w:p w14:paraId="2EE4F45F"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Remission</w:t>
            </w:r>
          </w:p>
        </w:tc>
        <w:tc>
          <w:tcPr>
            <w:tcW w:w="547" w:type="pct"/>
            <w:hideMark/>
          </w:tcPr>
          <w:p w14:paraId="207FB1B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64437C10" w14:textId="77777777" w:rsidTr="006D63A2">
        <w:trPr>
          <w:trHeight w:val="170"/>
        </w:trPr>
        <w:tc>
          <w:tcPr>
            <w:tcW w:w="652" w:type="pct"/>
            <w:hideMark/>
          </w:tcPr>
          <w:p w14:paraId="6836BE1C" w14:textId="278B4782"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{"citationItems":[{"id":"ITEM-1","itemData":{"DOI":"10.1002/hbm.24872","ISBN":"1097-0193 (Electronic)\r1065-9471 (Linking)","ISSN":"10970193","PMID":"31758634","abstract":"Neuroimaging biomarkers of treatment efficacy can be used to guide personalized treatment in major depressive disorder (MDD). Escitalopram is recommended as first-line therapy for MDD and severe depression. An interesting hypothesis suggests that the reconfiguration of dynamic brain networks might provide important insights into antidepressant mechanisms. The present study assesses whether the spatiotemporal modulation across functional brain networks could serve as a predictor of effective antidepressant treatment with escitalopram. A total of 106 first-episode, drug-naïve patients and 109 healthy controls from three different multicenters underwent resting-state functional magnetic resonance imaging. Patients were considered as responders if they had a reduction of at least 50% in Hamilton Rating Scale for Depression scores at endpoint (&gt;2 weeks). Multilayer modularity framework was applied on the whole brain to construct features in relation to network dynamic characters that were used for multivariate pattern analysis. Linear soft-threshold support vector machine models were used to separate responders from nonresponders. The permutation tests demonstrated the robustness of discrimination performances. The discriminative regions formed a spatially distributed pattern with anterior cingulate cortex (ACC) as the hub in the default mode subnetwork. Interestingly, a significantly larger module allegiance of ACC was also found in treatment responders compared to nonresponders, suggesting high interactivities of ACC to other regions may be beneficial for the recovery after treatment. Consistent results across multicenters confirmed that ACC could serve as a predictor of escitalopram monotherapy treatment outcome, implying strong likelihood of replication in the future.","author":[{"dropping-particle":"","family":"Tian","given":"Shui","non-dropping-particle":"","parse-names":false,"suffix":""},{"dropping-particle":"","family":"Sun","given":"Yurong","non-dropping-particle":"","parse-names":false,"suffix":""},{"dropping-particle":"","family":"Shao","given":"Junneng","non-dropping-particle":"","parse-names":false,"suffix":""},{"dropping-particle":"","family":"Zhang","given":"Siqi","non-dropping-particle":"","parse-names":false,"suffix":""},{"dropping-particle":"","family":"Mo","given":"Zhaoqi","non-dropping-particle":"","parse-names":false,"suffix":""},{"dropping-particle":"","family":"Liu","given":"Xiaoxue","non-dropping-particle":"","parse-names":false,"suffix":""},{"dropping-particle":"","family":"Wang","given":"Qiang","non-dropping-particle":"","parse-names":false,"suffix":""},{"dropping-particle":"","family":"Wang","given":"Li","non-dropping-particle":"","parse-names":false,"suffix":""},{"dropping-particle":"","family":"Zhao","given":"Peng","non-dropping-particle":"","parse-names":false,"suffix":""},{"dropping-particle":"","family":"Chattun","given":"Mohammad Ridwan","non-dropping-particle":"","parse-names":false,"suffix":""},{"dropping-particle":"","family":"Yao","given":"Zhijian","non-dropping-particle":"","parse-names":false,"suffix":""},{"dropping-particle":"","family":"Si","given":"Tianmei","non-dropping-particle":"","parse-names":false,"suffix":""},{"dropping-particle":"","family":"Lu","given":"Qing","non-dropping-particle":"","parse-names":false,"suffix":""}],"container-title":"Human Brain Mapping","edition":"2019/11/24","id":"ITEM-1","issue":"5","issued":{"date-parts":[["2020"]]},"note":"Tian, Shui\nSun, Yurong\nShao, Junneng\nZhang, Siqi\nMo, Zhaoqi\nLiu, Xiaoxue\nWang, Qiang\nWang, Li\nZhao, Peng\nChattun, Mohammad Ridwan\nYao, Zhijian\nSi, Tianmei\nLu, Qing\neng\nBE2018609/Jiangsu Provincial key research and development program\nCXTDC2016004/Jiangsu Provincial Medical Innovation Team of the project of Invigorating Health Care through Science, Technology and Education\n81571639/National Natural Science Foundation of China\n81871066/National Natural Science Foundation of China\n81701779/National Natural Science Foundation of Youth Science Fund Project\nHum Brain Mapp. 2019 Nov 22. doi: 10.1002/hbm.24872.","page":"1249-1260","title":"Predicting escitalopram monotherapy response in depression: The role of anterior cingulate cortex","type":"article-journal","volume":"41"},"uris":["http://www.mendeley.com/documents/?uuid=275b10e1-5d04-4ce4-b0f2-13d89888fa67"]}],"mendeley":{"formattedCitation":"(Tian et al., 2020)","plainTextFormattedCitation":"(Tian et al., 2020)","previouslyFormattedCitation":"(Tian et al., 2020)"},"properties":{"noteIndex":0},"schema":"https://github.com/citation-style-language/schema/raw/master/csl-citation.json"}</w:instrText>
            </w:r>
            <w:r>
              <w:rPr>
                <w:rFonts w:eastAsia="Times New Roman" w:cstheme="minorHAnsi"/>
                <w:color w:val="000000"/>
                <w:sz w:val="16"/>
                <w:szCs w:val="16"/>
              </w:rPr>
              <w:fldChar w:fldCharType="separate"/>
            </w:r>
            <w:r w:rsidR="0011264D" w:rsidRPr="0011264D">
              <w:rPr>
                <w:rFonts w:eastAsia="Times New Roman" w:cstheme="minorHAnsi"/>
                <w:noProof/>
                <w:color w:val="000000"/>
                <w:sz w:val="16"/>
                <w:szCs w:val="16"/>
              </w:rPr>
              <w:t>(Tian et al., 2020)</w:t>
            </w:r>
            <w:r>
              <w:rPr>
                <w:rFonts w:eastAsia="Times New Roman" w:cstheme="minorHAnsi"/>
                <w:color w:val="000000"/>
                <w:sz w:val="16"/>
                <w:szCs w:val="16"/>
              </w:rPr>
              <w:fldChar w:fldCharType="end"/>
            </w:r>
            <w:r w:rsidR="00216D68">
              <w:rPr>
                <w:rFonts w:eastAsia="Times New Roman" w:cstheme="minorHAnsi"/>
                <w:color w:val="000000"/>
                <w:sz w:val="16"/>
                <w:szCs w:val="16"/>
              </w:rPr>
              <w:t xml:space="preserve"> </w:t>
            </w:r>
          </w:p>
        </w:tc>
        <w:tc>
          <w:tcPr>
            <w:tcW w:w="607" w:type="pct"/>
            <w:hideMark/>
          </w:tcPr>
          <w:p w14:paraId="1728280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7A94E8B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37</w:t>
            </w:r>
          </w:p>
        </w:tc>
        <w:tc>
          <w:tcPr>
            <w:tcW w:w="479" w:type="pct"/>
            <w:hideMark/>
          </w:tcPr>
          <w:p w14:paraId="3DB1841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Linear soft-threshold support vector machine</w:t>
            </w:r>
          </w:p>
        </w:tc>
        <w:tc>
          <w:tcPr>
            <w:tcW w:w="460" w:type="pct"/>
            <w:hideMark/>
          </w:tcPr>
          <w:p w14:paraId="5E25095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4DE46E8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Minimum redundancy maximum relevance (</w:t>
            </w:r>
            <w:proofErr w:type="spellStart"/>
            <w:r w:rsidRPr="003C4781">
              <w:rPr>
                <w:rFonts w:eastAsia="Times New Roman" w:cstheme="minorHAnsi"/>
                <w:color w:val="000000"/>
                <w:sz w:val="16"/>
                <w:szCs w:val="16"/>
              </w:rPr>
              <w:t>mRMR</w:t>
            </w:r>
            <w:proofErr w:type="spellEnd"/>
            <w:r w:rsidRPr="003C4781">
              <w:rPr>
                <w:rFonts w:eastAsia="Times New Roman" w:cstheme="minorHAnsi"/>
                <w:color w:val="000000"/>
                <w:sz w:val="16"/>
                <w:szCs w:val="16"/>
              </w:rPr>
              <w:t>)</w:t>
            </w:r>
          </w:p>
        </w:tc>
        <w:tc>
          <w:tcPr>
            <w:tcW w:w="477" w:type="pct"/>
            <w:hideMark/>
          </w:tcPr>
          <w:p w14:paraId="4F70162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Multivariate pattern analysis (MVPA)</w:t>
            </w:r>
          </w:p>
        </w:tc>
        <w:tc>
          <w:tcPr>
            <w:tcW w:w="480" w:type="pct"/>
            <w:hideMark/>
          </w:tcPr>
          <w:p w14:paraId="1A0F3828" w14:textId="77777777" w:rsidR="00D61FFE" w:rsidRPr="003C4781" w:rsidRDefault="00D61FFE" w:rsidP="00D61FFE">
            <w:pPr>
              <w:rPr>
                <w:rFonts w:eastAsia="Times New Roman" w:cstheme="minorHAnsi"/>
                <w:color w:val="000000"/>
                <w:sz w:val="16"/>
                <w:szCs w:val="16"/>
              </w:rPr>
            </w:pPr>
          </w:p>
        </w:tc>
        <w:tc>
          <w:tcPr>
            <w:tcW w:w="437" w:type="pct"/>
            <w:hideMark/>
          </w:tcPr>
          <w:p w14:paraId="54EA036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091CBC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705248" w:rsidRPr="003C4781" w14:paraId="4CB8FEF8" w14:textId="77777777" w:rsidTr="006D63A2">
        <w:trPr>
          <w:trHeight w:val="1115"/>
        </w:trPr>
        <w:tc>
          <w:tcPr>
            <w:tcW w:w="652" w:type="pct"/>
            <w:hideMark/>
          </w:tcPr>
          <w:p w14:paraId="0BFB6BCD" w14:textId="23591651"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{"citationItems":[{"id":"ITEM-1","itemData":{"DOI":"10.1016/j.invent.2017.08.003","ISBN":"2214-7829","ISSN":"22147829","PMID":"29862165","abstract":"In this paper, we explore the potential of predicting therapy success for patients in mental health care. Such predictions can eventually improve the process of matching effective therapy types to individuals. In the EU project E-COMPARED, a variety of information is gathered about patients suffering from depression. We use this data, where 276 patients received treatment as usual and 227 received blended treatment, to investigate to what extent we are able to predict therapy success. We utilize different encoding strategies for preprocessing, varying feature selection techniques, and different statistical procedures for this purpose. Significant predictive power is found with average AUC values up to 0.7628 for treatment as usual and 0.7765 for blended treatment. Adding daily assessment data for blended treatment does currently not add predictive accuracy. Cost effectiveness analysis is needed to determine the added potential for real-world applications.","author":[{"dropping-particle":"","family":"Breda","given":"Ward","non-dropping-particle":"van","parse-names":false,"suffix":""},{"dropping-particle":"","family":"Bremer","given":"Vincent","non-dropping-particle":"","parse-names":false,"suffix":""},{"dropping-particle":"","family":"Becker","given":"Dennis","non-dropping-particle":"","parse-names":false,"suffix":""},{"dropping-particle":"","family":"Hoogendoorn","given":"Mark","non-dropping-particle":"","parse-names":false,"suffix":""},{"dropping-particle":"","family":"Funk","given":"Burkhardt","non-dropping-particle":"","parse-names":false,"suffix":""},{"dropping-particle":"","family":"Ruwaard","given":"Jeroen","non-dropping-particle":"","parse-names":false,"suffix":""},{"dropping-particle":"","family":"Riper","given":"Heleen","non-dropping-particle":"","parse-names":false,"suffix":""}],"container-title":"Internet Interventions","edition":"2018/06/05","id":"ITEM-1","issued":{"date-parts":[["2018"]]},"language":"eng","note":"2214-7829\nvan Breda, Ward\nBremer, Vincent\nBecker, Dennis\nHoogendoorn, Mark\nFunk, Burkhardt\nRuwaard, Jeroen\nRiper, Heleen\nJournal Article\nNetherlands\nInternet Interv. 2018 Jun;12:100-104. doi: 10.1016/j.invent.2017.08.003.","page":"100-104","title":"Predicting therapy success for treatment as usual and blended treatment in the domain of depression","type":"article-journal","volume":"12"},"uris":["http://www.mendeley.com/documents/?uuid=53227bb4-26a6-4a87-b94d-0493ff3ccb56"]}],"mendeley":{"formattedCitation":"(van Breda et al., 2018)","plainTextFormattedCitation":"(van Breda et al., 2018)","previouslyFormattedCitation":"(van Breda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(van Breda et al., 2018)</w:t>
            </w:r>
            <w:r>
              <w:rPr>
                <w:rFonts w:eastAsia="Times New Roman" w:cstheme="minorHAnsi"/>
                <w:color w:val="000000"/>
                <w:sz w:val="16"/>
                <w:szCs w:val="16"/>
              </w:rPr>
              <w:fldChar w:fldCharType="end"/>
            </w:r>
          </w:p>
        </w:tc>
        <w:tc>
          <w:tcPr>
            <w:tcW w:w="607" w:type="pct"/>
            <w:hideMark/>
          </w:tcPr>
          <w:p w14:paraId="47633FD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Clinical</w:t>
            </w:r>
          </w:p>
        </w:tc>
        <w:tc>
          <w:tcPr>
            <w:tcW w:w="345" w:type="pct"/>
            <w:hideMark/>
          </w:tcPr>
          <w:p w14:paraId="4595B117"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538</w:t>
            </w:r>
          </w:p>
        </w:tc>
        <w:tc>
          <w:tcPr>
            <w:tcW w:w="479" w:type="pct"/>
            <w:hideMark/>
          </w:tcPr>
          <w:p w14:paraId="1AB794D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Random forest, k-nearest neighbors, general linear model (GLMB)</w:t>
            </w:r>
          </w:p>
        </w:tc>
        <w:tc>
          <w:tcPr>
            <w:tcW w:w="460" w:type="pct"/>
            <w:hideMark/>
          </w:tcPr>
          <w:p w14:paraId="0FD62C57" w14:textId="77777777" w:rsidR="00D61FFE" w:rsidRPr="003C4781" w:rsidRDefault="00D61FFE" w:rsidP="005B20D0">
            <w:pPr>
              <w:rPr>
                <w:rFonts w:eastAsia="Times New Roman" w:cstheme="minorHAnsi"/>
                <w:color w:val="000000"/>
                <w:sz w:val="16"/>
                <w:szCs w:val="16"/>
              </w:rPr>
            </w:pPr>
            <w:r w:rsidRPr="003C4781">
              <w:rPr>
                <w:rFonts w:eastAsia="Times New Roman" w:cstheme="minorHAnsi"/>
                <w:color w:val="000000"/>
                <w:sz w:val="16"/>
                <w:szCs w:val="16"/>
              </w:rPr>
              <w:t>10-fold cross-validation</w:t>
            </w:r>
          </w:p>
        </w:tc>
        <w:tc>
          <w:tcPr>
            <w:tcW w:w="514" w:type="pct"/>
            <w:hideMark/>
          </w:tcPr>
          <w:p w14:paraId="266FC17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Feature similarity analysis (FS)</w:t>
            </w:r>
          </w:p>
        </w:tc>
        <w:tc>
          <w:tcPr>
            <w:tcW w:w="477" w:type="pct"/>
            <w:hideMark/>
          </w:tcPr>
          <w:p w14:paraId="285E1DD1" w14:textId="77777777" w:rsidR="00D61FFE" w:rsidRPr="003C4781" w:rsidRDefault="00D61FFE" w:rsidP="00D61FFE">
            <w:pPr>
              <w:rPr>
                <w:rFonts w:eastAsia="Times New Roman" w:cstheme="minorHAnsi"/>
                <w:color w:val="000000"/>
                <w:sz w:val="16"/>
                <w:szCs w:val="16"/>
              </w:rPr>
            </w:pPr>
          </w:p>
        </w:tc>
        <w:tc>
          <w:tcPr>
            <w:tcW w:w="480" w:type="pct"/>
            <w:hideMark/>
          </w:tcPr>
          <w:p w14:paraId="3DAAB31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Removed features with 80% or more missing data. Other features with missing values were  imputed with zero</w:t>
            </w:r>
          </w:p>
        </w:tc>
        <w:tc>
          <w:tcPr>
            <w:tcW w:w="437" w:type="pct"/>
            <w:hideMark/>
          </w:tcPr>
          <w:p w14:paraId="58A657B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 xml:space="preserve">Therapy success </w:t>
            </w:r>
          </w:p>
        </w:tc>
        <w:tc>
          <w:tcPr>
            <w:tcW w:w="547" w:type="pct"/>
            <w:hideMark/>
          </w:tcPr>
          <w:p w14:paraId="0080152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Treatment as usual (TAU), Blended treatment (BT)</w:t>
            </w:r>
          </w:p>
        </w:tc>
      </w:tr>
      <w:tr w:rsidR="00705248" w:rsidRPr="003C4781" w14:paraId="4F87B24E" w14:textId="77777777" w:rsidTr="006D63A2">
        <w:trPr>
          <w:trHeight w:val="431"/>
        </w:trPr>
        <w:tc>
          <w:tcPr>
            <w:tcW w:w="652" w:type="pct"/>
            <w:hideMark/>
          </w:tcPr>
          <w:p w14:paraId="701A3C98" w14:textId="0EC83C57"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{"citationItems":[{"id":"ITEM-1","itemData":{"DOI":"10.1038/npp.2016.48","ISBN":"1740-634X (Electronic)\r0893-133X (Linking)","ISSN":"1740634X","PMID":"27067127","abstract":"Patients with major depression show reductions in striatal and paleostriatal volumes. The functional integrity and connectivity of these regions are also shown to change with antidepressant response. Electroconvulsive therapy (ECT) is a robust and rapidly acting treatment for severe depression. However, whether morphological changes in the dorsal and ventral striatum/pallidum relate to or predict therapeutic response to ECT is unknown. Using structural MRI, we assessed cross-sectional effects of diagnosis and longitudinal effects of ECT for volume and surface-based shape metrics of the caudate, putamen, pallidum, and nucleus accumbens in 53 depressed patients (mean age: 44.1 years, 13.8 SD; 52% female) and 33 healthy controls (mean age: 39.3 years, 12.4 SD; 57% female). Patients were assessed before ECT, after their second ECT, and after completing an ECT treatment index. Controls were evaluated at two time points. Support vector machines determined whether morphometric measures at baseline predicted ECT-related clinical response. Patients showed smaller baseline accumbens and pallidal volumes than controls (P&lt;0.05). Increases in left putamen volume (P&lt;0.03) occurred with ECT. Global increases in accumbens volume and local changes in pallidum and caudate volume occurred in patients defined as treatment responders. Morphometric changes were absent across time in controls. Baseline volume and shape metrics predicted overall response to ECT with up to 89% accuracy. Results support that ECT elicits structural plasticity in the dorsal and ventral striatum/pallidum. The morphometry of these structures, forming key components of limbic-cortical-striatal-pallidal-thalamic circuitry involved in mood and emotional regulation, may determine patients likely to benefit from treatment.","author":[{"dropping-particle":"","family":"Wade","given":"Benjamin S.C.","non-dropping-particle":"","parse-names":false,"suffix":""},{"dropping-particle":"","family":"Joshi","given":"Shantanu H.","non-dropping-particle":"","parse-names":false,"suffix":""},{"dropping-particle":"","family":"Njau","given":"Stephanie","non-dropping-particle":"","parse-names":false,"suffix":""},{"dropping-particle":"","family":"Leaver","given":"Amber M.","non-dropping-particle":"","parse-names":false,"suffix":""},{"dropping-particle":"","family":"Vasavada","given":"Megha","non-dropping-particle":"","parse-names":false,"suffix":""},{"dropping-particle":"","family":"Woods","given":"Roger P.","non-dropping-particle":"","parse-names":false,"suffix":""},{"dropping-particle":"","family":"Gutman","given":"Boris A.","non-dropping-particle":"","parse-names":false,"suffix":""},{"dropping-particle":"","family":"Thompson","given":"Paul M.","non-dropping-particle":"","parse-names":false,"suffix":""},{"dropping-particle":"","family":"Espinoza","given":"Randall","non-dropping-particle":"","parse-names":false,"suffix":""},{"dropping-particle":"","family":"Narr","given":"Katherine L.","non-dropping-particle":"","parse-names":false,"suffix":""}],"container-title":"Neuropsychopharmacology","edition":"2016/04/14","id":"ITEM-1","issue":"10","issued":{"date-parts":[["2016"]]},"note":"Wade, Benjamin S C\nJoshi, Shantanu H\nNjau, Stephanie\nLeaver, Amber M\nVasavada, Megha\nWoods, Roger P\nGutman, Boris A\nThompson, Paul M\nEspinoza, Randall\nNarr, Katherine L\neng\nK24 MH102743/MH/NIMH NIH HHS/\nR01 MH092301/MH/NIMH NIH HHS/\nU54 EB020403/EB/NIBIB NIH HHS/\nResearch Support, N.I.H., Extramural\nResearch Support, U.S. Gov't, Non-P.H.S.\nEngland\nNeuropsychopharmacology. 2016 Sep;41(10):2481-91. doi: 10.1038/npp.2016.48. Epub 2016 Apr 12.","page":"2481-2491","title":"Effect of Electroconvulsive Therapy on Striatal Morphometry in Major Depressive Disorder","type":"article-journal","volume":"41"},"uris":["http://www.mendeley.com/documents/?uuid=0f77d522-58c8-424d-af35-c7d7087332b6"]}],"mendeley":{"formattedCitation":"(Wade et al., 2016)","plainTextFormattedCitation":"(Wade et al., 2016)","previouslyFormattedCitation":"(Wade et al., 2016)"},"properties":{"noteIndex":0},"schema":"https://github.com/citation-style-language/schema/raw/master/csl-citation.json"}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(Wade et al., 2016)</w:t>
            </w:r>
            <w:r>
              <w:rPr>
                <w:rFonts w:eastAsia="Times New Roman" w:cstheme="minorHAnsi"/>
                <w:color w:val="000000"/>
                <w:sz w:val="16"/>
                <w:szCs w:val="16"/>
              </w:rPr>
              <w:fldChar w:fldCharType="end"/>
            </w:r>
            <w:r w:rsidR="00286488">
              <w:rPr>
                <w:rFonts w:eastAsia="Times New Roman" w:cstheme="minorHAnsi"/>
                <w:color w:val="000000"/>
                <w:sz w:val="16"/>
                <w:szCs w:val="16"/>
              </w:rPr>
              <w:t xml:space="preserve"> </w:t>
            </w:r>
          </w:p>
        </w:tc>
        <w:tc>
          <w:tcPr>
            <w:tcW w:w="607" w:type="pct"/>
            <w:hideMark/>
          </w:tcPr>
          <w:p w14:paraId="399389FB"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6C21384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28,760</w:t>
            </w:r>
          </w:p>
        </w:tc>
        <w:tc>
          <w:tcPr>
            <w:tcW w:w="479" w:type="pct"/>
            <w:hideMark/>
          </w:tcPr>
          <w:p w14:paraId="5178CA51"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21F66D0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05C26D95" w14:textId="77777777" w:rsidR="00D61FFE" w:rsidRPr="003C4781" w:rsidRDefault="00D61FFE" w:rsidP="00D61FFE">
            <w:pPr>
              <w:rPr>
                <w:rFonts w:eastAsia="Times New Roman" w:cstheme="minorHAnsi"/>
                <w:color w:val="000000"/>
                <w:sz w:val="16"/>
                <w:szCs w:val="16"/>
              </w:rPr>
            </w:pPr>
          </w:p>
        </w:tc>
        <w:tc>
          <w:tcPr>
            <w:tcW w:w="477" w:type="pct"/>
            <w:hideMark/>
          </w:tcPr>
          <w:p w14:paraId="0EF2A926" w14:textId="77777777" w:rsidR="00D61FFE" w:rsidRPr="003C4781" w:rsidRDefault="00D61FFE" w:rsidP="00D61FFE">
            <w:pPr>
              <w:rPr>
                <w:rFonts w:eastAsia="Times New Roman" w:cstheme="minorHAnsi"/>
                <w:sz w:val="16"/>
                <w:szCs w:val="16"/>
              </w:rPr>
            </w:pPr>
          </w:p>
        </w:tc>
        <w:tc>
          <w:tcPr>
            <w:tcW w:w="480" w:type="pct"/>
            <w:hideMark/>
          </w:tcPr>
          <w:p w14:paraId="0E4FDD3E" w14:textId="77777777" w:rsidR="00D61FFE" w:rsidRPr="003C4781" w:rsidRDefault="00D61FFE" w:rsidP="00D61FFE">
            <w:pPr>
              <w:rPr>
                <w:rFonts w:eastAsia="Times New Roman" w:cstheme="minorHAnsi"/>
                <w:sz w:val="16"/>
                <w:szCs w:val="16"/>
              </w:rPr>
            </w:pPr>
          </w:p>
        </w:tc>
        <w:tc>
          <w:tcPr>
            <w:tcW w:w="437" w:type="pct"/>
            <w:hideMark/>
          </w:tcPr>
          <w:p w14:paraId="28E73D1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4A202DB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4AD24E24" w14:textId="77777777" w:rsidTr="006D63A2">
        <w:trPr>
          <w:trHeight w:val="377"/>
        </w:trPr>
        <w:tc>
          <w:tcPr>
            <w:tcW w:w="652" w:type="pct"/>
            <w:hideMark/>
          </w:tcPr>
          <w:p w14:paraId="23D043D6" w14:textId="692A685E"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{"citationItems":[{"id":"ITEM-1","itemData":{"DOI":"10.1016/j.jad.2017.09.001","ISBN":"1573-2517 (Electronic)\r0165-0327 (Linking)","ISSN":"15732517","PMID":"28910748","abstract":"Background Electroconvulsive therapy (ECT) has been demonstrated to be an effective treatment of major depressive disorder (MDD). However, the neuroanatomical basis of response to ECT is still largely unknown. Methods In present study, we used functional connectivity density (FCD) and resting-state functional connectivity (RSFC) to identify the relationship between the changes of resting-state activities and ECT responses in 23 MDD patients before and after ECT. In addition, the identified neural indices as classification characteristics were entered into multivariate pattern analysis using linear support vector machine (SVM) to classify 23 MDD patients before ECT from 25 gender, age and years of education matched healthy controls. Results We found that the changes of local FCD (lFCD), not long-range FCD, of the left pre-/postcentral gyrus (Pre-/postCG), left superior temporal gyrus (STG), and right STG were significantly correlated with the changes of Hamilton Rating Scale for Depression (HRSD) scores in MDD patients before and after ECT. The subsequent functional connectivity analysis revealed significantly decreased functional connectivity between right STG and right intraparietal sulcus (IPS) in MDD after ECT in spite of no correlation with HRSD scores. Finally, SVM-based classification achieved an accuracy of 72.92% with a sensitivity of 73.91% and a specificity of 72% by leave-one-out cross-validation. Conclusions Our findings indicated that Pre-/postCG and bilateral STG play an important role in response of ECT in MDD patients, and the lFCD in these areas may serve as a biomarker for predicting ECT response.","author":[{"dropping-particle":"","family":"Wang","given":"Jiaojian","non-dropping-particle":"","parse-names":false,"suffix":""},{"dropping-particle":"","family":"Wei","given":"Qiang","non-dropping-particle":"","parse-names":false,"suffix":""},{"dropping-particle":"","family":"Yuan","given":"Xinru","non-dropping-particle":"","parse-names":false,"suffix":""},{"dropping-particle":"","family":"Jiang","given":"Xiaoyan","non-dropping-particle":"","parse-names":false,"suffix":""},{"dropping-particle":"","family":"Xu","given":"Jinping","non-dropping-particle":"","parse-names":false,"suffix":""},{"dropping-particle":"","family":"Zhou","given":"Xiaoqin","non-dropping-particle":"","parse-names":false,"suffix":""},{"dropping-particle":"","family":"Tian","given":"Yanghua","non-dropping-particle":"","parse-names":false,"suffix":""},{"dropping-particle":"","family":"Wang","given":"Kai","non-dropping-particle":"","parse-names":false,"suffix":""}],"container-title":"Journal of Affective Disorders","edition":"2017/09/15","id":"ITEM-1","issued":{"date-parts":[["2018"]]},"note":"Wang, Jiaojian\nWei, Qiang\nYuan, Xinru\nJiang, Xiaoyan\nXu, Jinping\nZhou, Xiaoqin\nTian, Yanghua\nWang, Kai\neng\nNetherlands\nJ Affect Disord. 2018 Jan 1;225:658-664. doi: 10.1016/j.jad.2017.09.001. Epub 2017 Sep 6.","page":"658-664","title":"Local functional connectivity density is closely associated with the response of electroconvulsive therapy in major depressive disorder","type":"article-journal","volume":"225"},"uris":["http://www.mendeley.com/documents/?uuid=9ae78292-63d4-47e2-8b5b-d8b651d84071"]}],"mendeley":{"formattedCitation":"(Wang et al., 2018)","plainTextFormattedCitation":"(Wang et al., 2018)","previouslyFormattedCitation":"(Wang et al., 2018)"},"properties":{"noteIndex":0},"schema":"https://github.com/citation-style-language/schema/raw/master/csl-citation.json"}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(Wang et al., 2018)</w:t>
            </w:r>
            <w:r>
              <w:rPr>
                <w:rFonts w:eastAsia="Times New Roman" w:cstheme="minorHAnsi"/>
                <w:color w:val="000000"/>
                <w:sz w:val="16"/>
                <w:szCs w:val="16"/>
              </w:rPr>
              <w:fldChar w:fldCharType="end"/>
            </w:r>
          </w:p>
        </w:tc>
        <w:tc>
          <w:tcPr>
            <w:tcW w:w="607" w:type="pct"/>
            <w:hideMark/>
          </w:tcPr>
          <w:p w14:paraId="07C738FF"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0E2305C"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4</w:t>
            </w:r>
          </w:p>
        </w:tc>
        <w:tc>
          <w:tcPr>
            <w:tcW w:w="479" w:type="pct"/>
            <w:hideMark/>
          </w:tcPr>
          <w:p w14:paraId="0065E2D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Linear support vector machine (SVM)</w:t>
            </w:r>
          </w:p>
        </w:tc>
        <w:tc>
          <w:tcPr>
            <w:tcW w:w="460" w:type="pct"/>
            <w:hideMark/>
          </w:tcPr>
          <w:p w14:paraId="5FBCD68E"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w:t>
            </w:r>
            <w:r w:rsidRPr="003C4781">
              <w:rPr>
                <w:rFonts w:eastAsia="Times New Roman" w:cstheme="minorHAnsi"/>
                <w:color w:val="000000"/>
                <w:sz w:val="16"/>
                <w:szCs w:val="16"/>
              </w:rPr>
              <w:br/>
              <w:t>cross-validation</w:t>
            </w:r>
          </w:p>
        </w:tc>
        <w:tc>
          <w:tcPr>
            <w:tcW w:w="514" w:type="pct"/>
            <w:hideMark/>
          </w:tcPr>
          <w:p w14:paraId="6A7FF99C" w14:textId="77777777" w:rsidR="00D61FFE" w:rsidRPr="003C4781" w:rsidRDefault="00D61FFE" w:rsidP="00D61FFE">
            <w:pPr>
              <w:rPr>
                <w:rFonts w:eastAsia="Times New Roman" w:cstheme="minorHAnsi"/>
                <w:color w:val="000000"/>
                <w:sz w:val="16"/>
                <w:szCs w:val="16"/>
              </w:rPr>
            </w:pPr>
          </w:p>
        </w:tc>
        <w:tc>
          <w:tcPr>
            <w:tcW w:w="477" w:type="pct"/>
            <w:hideMark/>
          </w:tcPr>
          <w:p w14:paraId="4A97B8F4" w14:textId="77777777" w:rsidR="00D61FFE" w:rsidRPr="003C4781" w:rsidRDefault="00D61FFE" w:rsidP="00D61FFE">
            <w:pPr>
              <w:rPr>
                <w:rFonts w:eastAsia="Times New Roman" w:cstheme="minorHAnsi"/>
                <w:sz w:val="16"/>
                <w:szCs w:val="16"/>
              </w:rPr>
            </w:pPr>
          </w:p>
        </w:tc>
        <w:tc>
          <w:tcPr>
            <w:tcW w:w="480" w:type="pct"/>
            <w:hideMark/>
          </w:tcPr>
          <w:p w14:paraId="399F35F8" w14:textId="77777777" w:rsidR="00D61FFE" w:rsidRPr="003C4781" w:rsidRDefault="00D61FFE" w:rsidP="00D61FFE">
            <w:pPr>
              <w:rPr>
                <w:rFonts w:eastAsia="Times New Roman" w:cstheme="minorHAnsi"/>
                <w:sz w:val="16"/>
                <w:szCs w:val="16"/>
              </w:rPr>
            </w:pPr>
          </w:p>
        </w:tc>
        <w:tc>
          <w:tcPr>
            <w:tcW w:w="437" w:type="pct"/>
            <w:hideMark/>
          </w:tcPr>
          <w:p w14:paraId="2BE62FF4"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38CA7AB5"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Electroconvulsive therapy (ECT)</w:t>
            </w:r>
          </w:p>
        </w:tc>
      </w:tr>
      <w:tr w:rsidR="00705248" w:rsidRPr="003C4781" w14:paraId="11B3FEEE" w14:textId="77777777" w:rsidTr="006D63A2">
        <w:trPr>
          <w:trHeight w:val="404"/>
        </w:trPr>
        <w:tc>
          <w:tcPr>
            <w:tcW w:w="652" w:type="pct"/>
            <w:hideMark/>
          </w:tcPr>
          <w:p w14:paraId="010C937F" w14:textId="2A3804F0" w:rsidR="00D61FFE" w:rsidRPr="003C4781" w:rsidRDefault="00424015" w:rsidP="00453DC5">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{"citationItems":[{"id":"ITEM-1","itemData":{"DOI":"10.1038/npp.2015.89","ISBN":"1740-634X (Electronic)\r0893-133X (Linking)","ISSN":"1740634X","PMID":"25824424","abstract":"Although the cost of poor treatment outcomes of depression is staggering, we do not yet have clinically useful methods for selecting the most effective antidepressant for each depressed person. Emotional brain activation is altered in major depressive disorder (MDD) and implicated in treatment response. Identifying which aspects of emotional brain activation are predictive of general and specific responses to antidepressants may help clinicians and patients when making treatment decisions. We examined whether amygdala activation probed by emotion stimuli is a general or differential predictor of response to three commonly prescribed antidepressants, using functional magnetic resonance imaging (fMRI). A test-retest design was used to assess patients with MDD in an academic setting as part of the International Study to Predict Optimized Treatment in Depression. A total of 80 MDD outpatients were scanned prior to treatment and 8 weeks after randomization to the selective serotonin reuptake inhibitors escitalopram and sertraline and the serotonin-norepinephrine reuptake inhibitor, venlafaxine-extended release (XR). A total of 34 matched controls were scanned at the same timepoints. We quantified the blood oxygen level-dependent signal of the amygdala during subliminal and supraliminal viewing of facial expressions of emotion. Response to treatment was defined by ≥50% symptom improvement on the 17-item Hamilton Depression Rating Scale. Pre-treatment amygdala hypo-reactivity to subliminal happy and threat was a general predictor of treatment response, regardless of medication type (Cohen's d effect size 0.63 to 0.77; classification accuracy, 75%). Responders showed hypo-reactivity compared to controls at baseline, and an increase toward 'normalization' post-treatment. Pre-treatment amygdala reactivity to subliminal sadness was a differential moderator of non-response to venlafaxine-XR (Cohen's d effect size 1.5; classification accuracy, 81%). Non-responders to venlafaxine-XR showed pre-treatment hyper-reactivity, which progressed to hypo-reactivity rather than normalization post-treatment, and hypo-reactivity post-treatment was abnormal compared to controls. Impaired amygdala activation has not previously been highlighted in the general vs differential prediction of antidepressant outcomes. Amygdala hypo-reactivity to emotions signaling reward and threat predicts the general capacity to respond to antidepressants. Amygdala hyper-reactivity to sad emotion is i…","author":[{"dropping-particle":"","family":"Williams","given":"Leanne M.","non-dropping-particle":"","parse-names":false,"suffix":""},{"dropping-particle":"","family":"Korgaonkar","given":"Mayuresh S.","non-dropping-particle":"","parse-names":false,"suffix":""},{"dropping-particle":"","family":"Song","given":"Yun C.","non-dropping-particle":"","parse-names":false,"suffix":""},{"dropping-particle":"","family":"Paton","given":"Rebecca","non-dropping-particle":"","parse-names":false,"suffix":""},{"dropping-particle":"","family":"Eagles","given":"Sarah","non-dropping-particle":"","parse-names":false,"suffix":""},{"dropping-particle":"","family":"Goldstein-Piekarski","given":"Andrea","non-dropping-particle":"","parse-names":false,"suffix":""},{"dropping-particle":"","family":"Grieve","given":"Stuart M.","non-dropping-particle":"","parse-names":false,"suffix":""},{"dropping-particle":"","family":"Harris","given":"Anthony W.F.","non-dropping-particle":"","parse-names":false,"suffix":""},{"dropping-particle":"","family":"Usherwood","given":"Tim","non-dropping-particle":"","parse-names":false,"suffix":""},{"dropping-particle":"","family":"Etkin","given":"Amit","non-dropping-particle":"","parse-names":false,"suffix":""}],"container-title":"Neuropsychopharmacology","edition":"2015/04/01","id":"ITEM-1","issue":"10","issued":{"date-parts":[["2015"]]},"note":"Williams, Leanne M\nKorgaonkar, Mayuresh S\nSong, Yun C\nPaton, Rebecca\nEagles, Sarah\nGoldstein-Piekarski, Andrea\nGrieve, Stuart M\nHarris, Anthony W F\nUsherwood, Tim\nEtkin, Amit\neng\nRandomized Controlled Trial\nResearch Support, Non-U.S. Gov't\nEngland\nNeuropsychopharmacology. 2015 Sep;40(10):2398-408. doi: 10.1038/npp.2015.89. Epub 2015 Mar 31.","page":"2398-2408","title":"Amygdala Reactivity to Emotional Faces in the Prediction of General and Medication-Specific Responses to Antidepressant Treatment in the Randomized iSPOT-D Trial","type":"article-journal","volume":"40"},"uris":["http://www.mendeley.com/documents/?uuid=a4473991-e90e-4ba8-9708-1f2a6c7ebb04"]}],"mendeley":{"formattedCitation":"(Williams et al., 2015)","plainTextFormattedCitation":"(Williams et al., 2015)","previouslyFormattedCitation":"(Williams et al., 2015)"},"properties":{"noteIndex":0},"schema":"https://github.com/citation-style-language/schema/raw/master/csl-citation.json"}</w:instrText>
            </w:r>
            <w:r>
              <w:rPr>
                <w:rFonts w:eastAsia="Times New Roman" w:cstheme="minorHAnsi"/>
                <w:color w:val="000000"/>
                <w:sz w:val="16"/>
                <w:szCs w:val="16"/>
              </w:rPr>
              <w:fldChar w:fldCharType="separate"/>
            </w:r>
            <w:r w:rsidR="00453DC5" w:rsidRPr="00AA181B">
              <w:rPr>
                <w:rFonts w:eastAsia="Times New Roman" w:cstheme="minorHAnsi"/>
                <w:noProof/>
                <w:color w:val="000000"/>
                <w:sz w:val="16"/>
                <w:szCs w:val="16"/>
              </w:rPr>
              <w:t>(Williams et al., 2015)</w:t>
            </w:r>
            <w:r>
              <w:rPr>
                <w:rFonts w:eastAsia="Times New Roman" w:cstheme="minorHAnsi"/>
                <w:color w:val="000000"/>
                <w:sz w:val="16"/>
                <w:szCs w:val="16"/>
              </w:rPr>
              <w:fldChar w:fldCharType="end"/>
            </w:r>
          </w:p>
        </w:tc>
        <w:tc>
          <w:tcPr>
            <w:tcW w:w="607" w:type="pct"/>
            <w:hideMark/>
          </w:tcPr>
          <w:p w14:paraId="5A832F8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Neuroimaging, clinical</w:t>
            </w:r>
          </w:p>
        </w:tc>
        <w:tc>
          <w:tcPr>
            <w:tcW w:w="345" w:type="pct"/>
            <w:hideMark/>
          </w:tcPr>
          <w:p w14:paraId="75C21C76"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2</w:t>
            </w:r>
          </w:p>
        </w:tc>
        <w:tc>
          <w:tcPr>
            <w:tcW w:w="479" w:type="pct"/>
            <w:hideMark/>
          </w:tcPr>
          <w:p w14:paraId="32CAD3CD"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Discriminant analysis classifier</w:t>
            </w:r>
          </w:p>
        </w:tc>
        <w:tc>
          <w:tcPr>
            <w:tcW w:w="460" w:type="pct"/>
            <w:hideMark/>
          </w:tcPr>
          <w:p w14:paraId="2A2C3FE8"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Leave-one-out cross-validation</w:t>
            </w:r>
          </w:p>
        </w:tc>
        <w:tc>
          <w:tcPr>
            <w:tcW w:w="514" w:type="pct"/>
            <w:hideMark/>
          </w:tcPr>
          <w:p w14:paraId="7E9C785A" w14:textId="77777777" w:rsidR="00D61FFE" w:rsidRPr="003C4781" w:rsidRDefault="00D61FFE" w:rsidP="00D61FFE">
            <w:pPr>
              <w:rPr>
                <w:rFonts w:eastAsia="Times New Roman" w:cstheme="minorHAnsi"/>
                <w:color w:val="000000"/>
                <w:sz w:val="16"/>
                <w:szCs w:val="16"/>
              </w:rPr>
            </w:pPr>
          </w:p>
        </w:tc>
        <w:tc>
          <w:tcPr>
            <w:tcW w:w="477" w:type="pct"/>
            <w:hideMark/>
          </w:tcPr>
          <w:p w14:paraId="53C20310"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Blocked randomization procedure</w:t>
            </w:r>
          </w:p>
        </w:tc>
        <w:tc>
          <w:tcPr>
            <w:tcW w:w="480" w:type="pct"/>
            <w:hideMark/>
          </w:tcPr>
          <w:p w14:paraId="54FC6C14" w14:textId="77777777" w:rsidR="00D61FFE" w:rsidRPr="003C4781" w:rsidRDefault="00D61FFE" w:rsidP="00D61FFE">
            <w:pPr>
              <w:rPr>
                <w:rFonts w:eastAsia="Times New Roman" w:cstheme="minorHAnsi"/>
                <w:color w:val="000000"/>
                <w:sz w:val="16"/>
                <w:szCs w:val="16"/>
              </w:rPr>
            </w:pPr>
          </w:p>
        </w:tc>
        <w:tc>
          <w:tcPr>
            <w:tcW w:w="437" w:type="pct"/>
            <w:hideMark/>
          </w:tcPr>
          <w:p w14:paraId="72CB315A"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78312DB9" w14:textId="77777777" w:rsidR="00D61FFE" w:rsidRPr="003C4781" w:rsidRDefault="00D61FFE" w:rsidP="00D61FFE">
            <w:pPr>
              <w:rPr>
                <w:rFonts w:eastAsia="Times New Roman" w:cstheme="minorHAnsi"/>
                <w:color w:val="000000"/>
                <w:sz w:val="16"/>
                <w:szCs w:val="16"/>
              </w:rPr>
            </w:pPr>
            <w:r w:rsidRPr="003C4781">
              <w:rPr>
                <w:rFonts w:eastAsia="Times New Roman" w:cstheme="minorHAnsi"/>
                <w:color w:val="000000"/>
                <w:sz w:val="16"/>
                <w:szCs w:val="16"/>
              </w:rPr>
              <w:t>Anti-depressant</w:t>
            </w:r>
          </w:p>
        </w:tc>
      </w:tr>
      <w:tr w:rsidR="006D63A2" w:rsidRPr="003C4781" w14:paraId="728ACB9A" w14:textId="77777777" w:rsidTr="006D63A2">
        <w:trPr>
          <w:trHeight w:val="404"/>
        </w:trPr>
        <w:tc>
          <w:tcPr>
            <w:tcW w:w="652" w:type="pct"/>
          </w:tcPr>
          <w:p w14:paraId="5DFAF776" w14:textId="431B1BFC" w:rsidR="006D63A2" w:rsidRDefault="006D63A2" w:rsidP="006D63A2">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{"citationItems":[{"id":"ITEM-1","itemData":{"DOI":"10.1038/s41587-019-0397-3","ISSN":"15461696","PMID":"32042166","abstract":"Antidepressants are widely prescribed, but their efficacy relative to placebo is modest, in part because the clinical diagnosis of major depression encompasses biologically heterogeneous conditions. Here, we sought to identify a neurobiological signature of response to antidepressant treatment as compared to placebo. We designed a latent-space machine-learning algorithm tailored for resting-state electroencephalography (EEG) and applied it to data from the largest imaging-coupled, placebo-controlled antidepressant study (n = 309). Symptom improvement was robustly predicted in a manner both specific for the antidepressant sertraline (versus placebo) and generalizable across different study sites and EEG equipment. This sertraline-predictive EEG signature generalized to two depression samples, wherein it reflected general antidepressant medication responsivity and related differentially to a repetitive transcranial magnetic stimulation treatment outcome. Furthermore, we found that the sertraline resting-state EEG signature indexed prefrontal neural responsivity, as measured by concurrent transcranial magnetic stimulation and EEG. Our findings advance the neurobiological understanding of antidepressant treatment through an EEG-tailored computational model and provide a clinical avenue for personalized treatment of depression.","author":[{"dropping-particle":"","family":"Wu","given":"Wei","non-dropping-particle":"","parse-names":false,"suffix":""},{"dropping-particle":"","family":"Zhang","given":"Yu","non-dropping-particle":"","parse-names":false,"suffix":""},{"dropping-particle":"","family":"Jiang","given":"Jing","non-dropping-particle":"","parse-names":false,"suffix":""},{"dropping-particle":"V.","family":"Lucas","given":"Molly","non-dropping-particle":"","parse-names":false,"suffix":""},{"dropping-particle":"","family":"Fonzo","given":"Gregory A.","non-dropping-particle":"","parse-names":false,"suffix":""},{"dropping-particle":"","family":"Rolle","given":"Camarin E.","non-dropping-particle":"","parse-names":false,"suffix":""},{"dropping-particle":"","family":"Cooper","given":"Crystal","non-dropping-particle":"","parse-names":false,"suffix":""},{"dropping-particle":"","family":"Chin-Fatt","given":"Cherise","non-dropping-particle":"","parse-names":false,"suffix":""},{"dropping-particle":"","family":"Krepel","given":"Noralie","non-dropping-particle":"","parse-names":false,"suffix":""},{"dropping-particle":"","family":"Cornelssen","given":"Carena A.","non-dropping-particle":"","parse-names":false,"suffix":""},{"dropping-particle":"","family":"Wright","given":"Rachael","non-dropping-particle":"","parse-names":false,"suffix":""},{"dropping-particle":"","family":"Toll","given":"Russell T.","non-dropping-particle":"","parse-names":false,"suffix":""},{"dropping-particle":"","family":"Trivedi","given":"Hersh M.","non-dropping-particle":"","parse-names":false,"suffix":""},{"dropping-particle":"","family":"Monuszko","given":"Karen","non-dropping-particle":"","parse-names":false,"suffix":""},{"dropping-particle":"","family":"Caudle","given":"Trevor L.","non-dropping-particle":"","parse-names":false,"suffix":""},{"dropping-particle":"","family":"Sarhadi","given":"Kamron","non-dropping-particle":"","parse-names":false,"suffix":""},{"dropping-particle":"","family":"Jha","given":"Manish K.","non-dropping-particle":"","parse-names":false,"suffix":""},{"dropping-particle":"","family":"Trombello","given":"Joseph M.","non-dropping-particle":"","parse-names":false,"suffix":""},{"dropping-particle":"","family":"Deckersbach","given":"Thilo","non-dropping-particle":"","parse-names":false,"suffix":""},{"dropping-particle":"","family":"Adams","given":"Phil","non-dropping-particle":"","parse-names":false,"suffix":""},{"dropping-particle":"","family":"McGrath","given":"Patrick J.","non-dropping-particle":"","parse-names":false,"suffix":""},{"dropping-particle":"","family":"Weissman","given":"Myrna M.","non-dropping-particle":"","parse-names":false,"suffix":""},{"dropping-particle":"","family":"Fava","given":"Maurizio","non-dropping-particle":"","parse-names":false,"suffix":""},{"dropping-particle":"","family":"Pizzagalli","given":"Diego A.","non-dropping-particle":"","parse-names":false,"suffix":""},{"dropping-particle":"","family":"Arns","given":"Martijn","non-dropping-particle":"","parse-names":false,"suffix":""},{"dropping-particle":"","family":"Trivedi","given":"Madhukar H.","non-dropping-particle":"","parse-names":false,"suffix":""},{"dropping-particle":"","family":"Etkin","given":"Amit","non-dropping-particle":"","parse-names":false,"suffix":""}],"container-title":"Nature Biotechnology","id":"ITEM-1","issue":"4","issued":{"date-parts":[["2020","4"]]},"language":"eng","page":"439-447","title":"An electroencephalographic signature predicts antidepressant response in major depression","type":"article-journal","volume":"38"},"uris":["http://www.mendeley.com/documents/?uuid=32344dab-5a21-4d49-b751-fdd7cf70653a"]}],"mendeley":{"formattedCitation":"(Wu et al., 2020)","plainTextFormattedCitation":"(Wu et al., 2020)","previouslyFormattedCitation":"(Wu et al., 2020)"},"properties":{"noteIndex":0},"schema":"https://github.com/citation-style-language/schema/raw/master/csl-citation.json"}</w:instrText>
            </w:r>
            <w:r>
              <w:rPr>
                <w:rFonts w:eastAsia="Times New Roman" w:cstheme="minorHAnsi"/>
                <w:color w:val="000000"/>
                <w:sz w:val="16"/>
                <w:szCs w:val="16"/>
              </w:rPr>
              <w:fldChar w:fldCharType="separate"/>
            </w:r>
            <w:r w:rsidRPr="00AA181B">
              <w:rPr>
                <w:rFonts w:eastAsia="Times New Roman" w:cstheme="minorHAnsi"/>
                <w:noProof/>
                <w:color w:val="000000"/>
                <w:sz w:val="16"/>
                <w:szCs w:val="16"/>
              </w:rPr>
              <w:t>(Wu et al., 2020)</w:t>
            </w:r>
            <w:r>
              <w:rPr>
                <w:rFonts w:eastAsia="Times New Roman" w:cstheme="minorHAnsi"/>
                <w:color w:val="000000"/>
                <w:sz w:val="16"/>
                <w:szCs w:val="16"/>
              </w:rPr>
              <w:fldChar w:fldCharType="end"/>
            </w:r>
          </w:p>
        </w:tc>
        <w:tc>
          <w:tcPr>
            <w:tcW w:w="607" w:type="pct"/>
          </w:tcPr>
          <w:p w14:paraId="7FF4449A" w14:textId="04B5549B"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tcPr>
          <w:p w14:paraId="58F8C6DF" w14:textId="77777777" w:rsidR="006D63A2" w:rsidRPr="003C4781" w:rsidRDefault="006D63A2" w:rsidP="006D63A2">
            <w:pPr>
              <w:rPr>
                <w:rFonts w:eastAsia="Times New Roman" w:cstheme="minorHAnsi"/>
                <w:color w:val="000000"/>
                <w:sz w:val="16"/>
                <w:szCs w:val="16"/>
              </w:rPr>
            </w:pPr>
          </w:p>
        </w:tc>
        <w:tc>
          <w:tcPr>
            <w:tcW w:w="479" w:type="pct"/>
          </w:tcPr>
          <w:p w14:paraId="5AF24DD3" w14:textId="3B7B602D"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Linear regression</w:t>
            </w:r>
          </w:p>
        </w:tc>
        <w:tc>
          <w:tcPr>
            <w:tcW w:w="460" w:type="pct"/>
          </w:tcPr>
          <w:p w14:paraId="1CA07850" w14:textId="07257C16"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10-fold cross-validation, leave-one-site cross-validation, hold-out validation</w:t>
            </w:r>
          </w:p>
        </w:tc>
        <w:tc>
          <w:tcPr>
            <w:tcW w:w="514" w:type="pct"/>
          </w:tcPr>
          <w:p w14:paraId="533454AD" w14:textId="77777777" w:rsidR="006D63A2" w:rsidRPr="003C4781" w:rsidRDefault="006D63A2" w:rsidP="006D63A2">
            <w:pPr>
              <w:rPr>
                <w:rFonts w:eastAsia="Times New Roman" w:cstheme="minorHAnsi"/>
                <w:color w:val="000000"/>
                <w:sz w:val="16"/>
                <w:szCs w:val="16"/>
              </w:rPr>
            </w:pPr>
          </w:p>
        </w:tc>
        <w:tc>
          <w:tcPr>
            <w:tcW w:w="477" w:type="pct"/>
          </w:tcPr>
          <w:p w14:paraId="19A152DB" w14:textId="44161462"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Band power feature extraction</w:t>
            </w:r>
          </w:p>
        </w:tc>
        <w:tc>
          <w:tcPr>
            <w:tcW w:w="480" w:type="pct"/>
          </w:tcPr>
          <w:p w14:paraId="5CF46583" w14:textId="77777777" w:rsidR="006D63A2" w:rsidRPr="003C4781" w:rsidRDefault="006D63A2" w:rsidP="006D63A2">
            <w:pPr>
              <w:rPr>
                <w:rFonts w:eastAsia="Times New Roman" w:cstheme="minorHAnsi"/>
                <w:color w:val="000000"/>
                <w:sz w:val="16"/>
                <w:szCs w:val="16"/>
              </w:rPr>
            </w:pPr>
          </w:p>
        </w:tc>
        <w:tc>
          <w:tcPr>
            <w:tcW w:w="437" w:type="pct"/>
          </w:tcPr>
          <w:p w14:paraId="26E73725" w14:textId="77777777" w:rsidR="006D63A2" w:rsidRPr="003C4781" w:rsidRDefault="006D63A2" w:rsidP="006D63A2">
            <w:pPr>
              <w:rPr>
                <w:rFonts w:eastAsia="Times New Roman" w:cstheme="minorHAnsi"/>
                <w:color w:val="000000"/>
                <w:sz w:val="16"/>
                <w:szCs w:val="16"/>
              </w:rPr>
            </w:pPr>
          </w:p>
        </w:tc>
        <w:tc>
          <w:tcPr>
            <w:tcW w:w="547" w:type="pct"/>
          </w:tcPr>
          <w:p w14:paraId="0F3B5724" w14:textId="77777777" w:rsidR="006D63A2" w:rsidRPr="003C4781" w:rsidRDefault="006D63A2" w:rsidP="006D63A2">
            <w:pPr>
              <w:rPr>
                <w:rFonts w:eastAsia="Times New Roman" w:cstheme="minorHAnsi"/>
                <w:color w:val="000000"/>
                <w:sz w:val="16"/>
                <w:szCs w:val="16"/>
              </w:rPr>
            </w:pPr>
          </w:p>
        </w:tc>
      </w:tr>
      <w:tr w:rsidR="006D63A2" w:rsidRPr="003C4781" w14:paraId="6EF626F7" w14:textId="77777777" w:rsidTr="006D63A2">
        <w:trPr>
          <w:trHeight w:val="989"/>
        </w:trPr>
        <w:tc>
          <w:tcPr>
            <w:tcW w:w="652" w:type="pct"/>
            <w:hideMark/>
          </w:tcPr>
          <w:p w14:paraId="4147B984" w14:textId="01EC2CC5"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{"citationItems":[{"id":"ITEM-1","itemData":{"DOI":"10.1016/j.jad.2019.03.077","ISBN":"1573-2517 (Electronic)\r0165-0327 (Linking)","ISSN":"15732517","PMID":"30978624","abstract":"Background: Repetitive transcranial magnetic stimulation (TMS) is clinically effective for major depressive disorder (MDD) and investigational for other conditions including posttraumatic stress disorder (PTSD). Understanding the mechanisms of TMS action and developing biomarkers predicting response remain important goals. We applied a combination of machine learning and electroencephalography (EEG), testing whether machine learning analysis of EEG coherence would (1) predict clinical outcomes in individuals with comorbid MDD and PTSD, and (2) determine whether an individual had received a TMS course. Methods: We collected resting-state 8-channel EEG before and after TMS (5 Hz to the left dorsolateral prefrontal cortex). We used Lasso regression and Support Vector Machine (SVM) to test the hypothesis that baseline EEG coherence predicted the outcome and to assess if EEG coherence changed after TMS. Results: In our sample, clinical response to TMS were predictable based on pretreatment EEG coherence (n = 29). After treatment, 13/29 had more than 50% reduction in MDD self-report score 12/29 had more than 50% reduction in PTSD self-report score. For MDD, area under roc curve was for MDD was 0.83 (95% confidence interval 0.69–0.94) and for PTSD was 0.71 (95% confidence interval 0.54–0.87). SVM classifier was able to accurately assign EEG recordings to pre- and post-TMS treatment. The accuracy for Alpha, Beta, Theta and Delta bands was 75.4 ± 1.5%, 77.4 ± 1.4%, 73.8 ± 1.5%, and 78.6 ± 1.4%, respectively, all significantly better than chance (50%, p &lt; 0.001). Limitation: Limitations of this work include lack of sham condition, modest sample size, and a sparse electrode array. Despite these methodological limitations, we found validated and clinically meaningful results. Conclusions: Machine learning successfully predicted non-response to TMS with high specificity, and identified pre- and post-TMS status using EEG coherence. This approach may provide mechanistic insights and may also become a clinically useful screening tool for TMS candidates.","author":[{"dropping-particle":"","family":"Zandvakili","given":"Amin","non-dropping-particle":"","parse-names":false,"suffix":""},{"dropping-particle":"","family":"Philip","given":"Noah S.","non-dropping-particle":"","parse-names":false,"suffix":""},{"dropping-particle":"","family":"Jones","given":"Stephanie R.","non-dropping-particle":"","parse-names":false,"suffix":""},{"dropping-particle":"","family":"Tyrka","given":"Audrey R.","non-dropping-particle":"","parse-names":false,"suffix":""},{"dropping-particle":"","family":"Greenberg","given":"Benjamin D.","non-dropping-particle":"","parse-names":false,"suffix":""},{"dropping-particle":"","family":"Carpenter","given":"Linda L.","non-dropping-particle":"","parse-names":false,"suffix":""}],"container-title":"Journal of Affective Disorders","edition":"2019/04/13","id":"ITEM-1","issued":{"date-parts":[["2019"]]},"note":"Zandvakili, Amin\nPhilip, Noah S\nJones, Stephanie R\nTyrka, Audrey R\nGreenberg, Benjamin D\nCarpenter, Linda L\neng\nIK2 CX000724/CX/CSRD VA/\nR25 MH101076/MH/NIMH NIH HHS/\nU54 GM115677/GM/NIGMS NIH HHS/\nClinical Trial\nResearch Support, N.I.H., Extramural\nResearch Support, Non-U.S. Gov't\nResearch Support, U.S. Gov't, Non-P.H.S.\nNetherlands\nJ Affect Disord. 2019 Jun 1;252:47-54. doi: 10.1016/j.jad.2019.03.077. Epub 2019 Mar 30.","page":"47-54","title":"Use of machine learning in predicting clinical response to transcranial magnetic stimulation in comorbid posttraumatic stress disorder and major depression: A resting state electroencephalography study","type":"article-journal","volume":"252"},"uris":["http://www.mendeley.com/documents/?uuid=8027b806-1e46-4da9-8944-b46874298f38"]}],"mendeley":{"formattedCitation":"(Zandvakili et al., 2019)","plainTextFormattedCitation":"(Zandvakili et al., 2019)","previouslyFormattedCitation":"(Zandvakili et al., 2019)"},"properties":{"noteIndex":0},"schema":"https://github.com/citation-style-language/schema/raw/master/csl-citation.json"}</w:instrText>
            </w:r>
            <w:r>
              <w:rPr>
                <w:rFonts w:eastAsia="Times New Roman" w:cstheme="minorHAnsi"/>
                <w:color w:val="000000"/>
                <w:sz w:val="16"/>
                <w:szCs w:val="16"/>
              </w:rPr>
              <w:fldChar w:fldCharType="separate"/>
            </w:r>
            <w:r w:rsidRPr="00AA181B">
              <w:rPr>
                <w:rFonts w:eastAsia="Times New Roman" w:cstheme="minorHAnsi"/>
                <w:noProof/>
                <w:color w:val="000000"/>
                <w:sz w:val="16"/>
                <w:szCs w:val="16"/>
              </w:rPr>
              <w:t>(Zandvakili et al., 2019)</w:t>
            </w:r>
            <w:r>
              <w:rPr>
                <w:rFonts w:eastAsia="Times New Roman" w:cstheme="minorHAnsi"/>
                <w:color w:val="000000"/>
                <w:sz w:val="16"/>
                <w:szCs w:val="16"/>
              </w:rPr>
              <w:fldChar w:fldCharType="end"/>
            </w:r>
            <w:r>
              <w:rPr>
                <w:rFonts w:eastAsia="Times New Roman" w:cstheme="minorHAnsi"/>
                <w:color w:val="000000"/>
                <w:sz w:val="16"/>
                <w:szCs w:val="16"/>
              </w:rPr>
              <w:t xml:space="preserve"> </w:t>
            </w:r>
          </w:p>
        </w:tc>
        <w:tc>
          <w:tcPr>
            <w:tcW w:w="607" w:type="pct"/>
            <w:hideMark/>
          </w:tcPr>
          <w:p w14:paraId="77A4DA9C"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0A6394D3"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28</w:t>
            </w:r>
          </w:p>
        </w:tc>
        <w:tc>
          <w:tcPr>
            <w:tcW w:w="479" w:type="pct"/>
            <w:hideMark/>
          </w:tcPr>
          <w:p w14:paraId="295129C3"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LASSO regression, support vector machine (SVM)</w:t>
            </w:r>
          </w:p>
        </w:tc>
        <w:tc>
          <w:tcPr>
            <w:tcW w:w="460" w:type="pct"/>
            <w:hideMark/>
          </w:tcPr>
          <w:p w14:paraId="29BBDFC7"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Leave-one-out cross-validation, leave-two-out cross</w:t>
            </w:r>
            <w:r>
              <w:rPr>
                <w:rFonts w:eastAsia="Times New Roman" w:cstheme="minorHAnsi"/>
                <w:color w:val="000000"/>
                <w:sz w:val="16"/>
                <w:szCs w:val="16"/>
              </w:rPr>
              <w:t>-</w:t>
            </w:r>
            <w:r w:rsidRPr="003C4781">
              <w:rPr>
                <w:rFonts w:eastAsia="Times New Roman" w:cstheme="minorHAnsi"/>
                <w:color w:val="000000"/>
                <w:sz w:val="16"/>
                <w:szCs w:val="16"/>
              </w:rPr>
              <w:t>validation</w:t>
            </w:r>
          </w:p>
        </w:tc>
        <w:tc>
          <w:tcPr>
            <w:tcW w:w="514" w:type="pct"/>
            <w:hideMark/>
          </w:tcPr>
          <w:p w14:paraId="2784A924" w14:textId="77777777" w:rsidR="006D63A2" w:rsidRPr="003C4781" w:rsidRDefault="006D63A2" w:rsidP="006D63A2">
            <w:pPr>
              <w:rPr>
                <w:rFonts w:eastAsia="Times New Roman" w:cstheme="minorHAnsi"/>
                <w:color w:val="000000"/>
                <w:sz w:val="16"/>
                <w:szCs w:val="16"/>
              </w:rPr>
            </w:pPr>
          </w:p>
        </w:tc>
        <w:tc>
          <w:tcPr>
            <w:tcW w:w="477" w:type="pct"/>
            <w:hideMark/>
          </w:tcPr>
          <w:p w14:paraId="2759875F" w14:textId="77777777" w:rsidR="006D63A2" w:rsidRPr="003C4781" w:rsidRDefault="006D63A2" w:rsidP="006D63A2">
            <w:pPr>
              <w:rPr>
                <w:rFonts w:eastAsia="Times New Roman" w:cstheme="minorHAnsi"/>
                <w:sz w:val="16"/>
                <w:szCs w:val="16"/>
              </w:rPr>
            </w:pPr>
          </w:p>
        </w:tc>
        <w:tc>
          <w:tcPr>
            <w:tcW w:w="480" w:type="pct"/>
            <w:hideMark/>
          </w:tcPr>
          <w:p w14:paraId="30AB1151" w14:textId="77777777" w:rsidR="006D63A2" w:rsidRPr="003C4781" w:rsidRDefault="006D63A2" w:rsidP="006D63A2">
            <w:pPr>
              <w:rPr>
                <w:rFonts w:eastAsia="Times New Roman" w:cstheme="minorHAnsi"/>
                <w:sz w:val="16"/>
                <w:szCs w:val="16"/>
              </w:rPr>
            </w:pPr>
          </w:p>
        </w:tc>
        <w:tc>
          <w:tcPr>
            <w:tcW w:w="437" w:type="pct"/>
            <w:hideMark/>
          </w:tcPr>
          <w:p w14:paraId="2DC4270B"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591AA9EF"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Repetitive transcranial magnetic stimulation (</w:t>
            </w:r>
            <w:proofErr w:type="spellStart"/>
            <w:r w:rsidRPr="003C4781">
              <w:rPr>
                <w:rFonts w:eastAsia="Times New Roman" w:cstheme="minorHAnsi"/>
                <w:color w:val="000000"/>
                <w:sz w:val="16"/>
                <w:szCs w:val="16"/>
              </w:rPr>
              <w:t>rTMS</w:t>
            </w:r>
            <w:proofErr w:type="spellEnd"/>
            <w:r w:rsidRPr="003C4781">
              <w:rPr>
                <w:rFonts w:eastAsia="Times New Roman" w:cstheme="minorHAnsi"/>
                <w:color w:val="000000"/>
                <w:sz w:val="16"/>
                <w:szCs w:val="16"/>
              </w:rPr>
              <w:t>)</w:t>
            </w:r>
          </w:p>
        </w:tc>
      </w:tr>
      <w:tr w:rsidR="006D63A2" w:rsidRPr="003C4781" w14:paraId="3DEC9E38" w14:textId="77777777" w:rsidTr="006D63A2">
        <w:trPr>
          <w:trHeight w:val="989"/>
        </w:trPr>
        <w:tc>
          <w:tcPr>
            <w:tcW w:w="652" w:type="pct"/>
          </w:tcPr>
          <w:p w14:paraId="7441B635" w14:textId="64DB8977" w:rsidR="006D63A2" w:rsidRPr="00C52201" w:rsidRDefault="006D63A2" w:rsidP="006D63A2">
            <w:pPr>
              <w:rPr>
                <w:rFonts w:eastAsia="Times New Roman" w:cstheme="minorHAnsi"/>
                <w:color w:val="000000"/>
                <w:sz w:val="16"/>
                <w:szCs w:val="16"/>
              </w:rPr>
            </w:pPr>
            <w:r>
              <w:rPr>
                <w:rFonts w:eastAsia="Times New Roman" w:cstheme="minorHAnsi"/>
                <w:color w:val="000000"/>
                <w:sz w:val="16"/>
                <w:szCs w:val="16"/>
              </w:rPr>
              <w:fldChar w:fldCharType="begin" w:fldLock="1"/>
            </w:r>
            <w:r w:rsidR="0011264D">
              <w:rPr>
                <w:rFonts w:eastAsia="Times New Roman" w:cstheme="minorHAnsi"/>
                <w:color w:val="000000"/>
                <w:sz w:val="16"/>
                <w:szCs w:val="16"/>
              </w:rPr>
              <w:instrText>ADDIN CSL_CITATION {"citationItems":[{"id":"ITEM-1","itemData":{"DOI":"10.3389/fpsyt.2020.00493","ISSN":"16640640","abstract":"Background: A large proportion of major depressive patients will experience recurring episodes. Many patients still do not response to available antidepressants. In order to meaningfully predict who will not respond to which antidepressant, it may be necessary to combine multiple biomarkers and clinical variables. Methods: Eight hundred fifty-seven patients with recurrent major depressive disorder who were followed up 3–10 years involved 32 variables including socio-demographic, clinical features, and SSRIs treatment features when they received the first treatment. Also, 34 tagSNPs related to 5-HT signaling pathway, were detected by using mass spectrometry analysis. The training samples which had 12 clinical variables and four tagSNPs with statistical differences were learned repeatedly to establish prediction models based on support vector machine (SVM). Results: Twelve clinical features (psychomotor retardation, psychotic symptoms, suicidality, weight loss, SSRIs average dose, first-course treatment response, sleep disturbance, residual symptoms, personality, onset age, frequency of episode, and duration) were found significantly difference (P&lt; 0.05) between 302 SSRI-resistance and 304 SSRI non-resistance group. Ten SSRI-resistance predicting models were finally selected by using support vector machine, and our study found that mutations in tagSNPs increased the accuracy of these models to a certain degree. Conclusion: Using a data-driven machine learning method, we found 10 predictive models by mining existing clinical data, which might enable prospective identification of patients who are likely to resistance to SSRIs antidepressant.","author":[{"dropping-particle":"","family":"Zhang","given":"Huijie","non-dropping-particle":"","parse-names":false,"suffix":""},{"dropping-particle":"","family":"Li","given":"Xianglu","non-dropping-particle":"","parse-names":false,"suffix":""},{"dropping-particle":"","family":"Pang","given":"Jianyue","non-dropping-particle":"","parse-names":false,"suffix":""},{"dropping-particle":"","family":"Zhao","given":"Xiaofeng","non-dropping-particle":"","parse-names":false,"suffix":""},{"dropping-particle":"","family":"Cao","given":"Suxia","non-dropping-particle":"","parse-names":false,"suffix":""},{"dropping-particle":"","family":"Wang","given":"Xinyou","non-dropping-particle":"","parse-names":false,"suffix":""},{"dropping-particle":"","family":"Wang","given":"Xingbang","non-dropping-particle":"","parse-names":false,"suffix":""},{"dropping-particle":"","family":"Li","given":"Hengfen","non-dropping-particle":"","parse-names":false,"suffix":""}],"container-title":"Frontiers in Psychiatry","id":"ITEM-1","issued":{"date-parts":[["2020","6"]]},"language":"eng","page":"493","publisher":"Frontiers Media S.A.","title":"Predicting SSRI-Resistance: Clinical Features and tagSNPs Prediction Models Based on Support Vector Machine","type":"article-journal","volume":"11"},"uris":["http://www.mendeley.com/documents/?uuid=a4577ef3-eb56-4c58-ac56-5e04879b8ab2","http://www.mendeley.com/documents/?uuid=5ec5b3bc-46b7-44f5-a27e-8207da016996"]}],"mendeley":{"formattedCitation":"(Zhang et al., 2020)","plainTextFormattedCitation":"(Zhang et al., 2020)","previouslyFormattedCitation":"(Zhang et al., 2020)"},"properties":{"noteIndex":0},"schema":"https://github.com/citation-style-language/schema/raw/master/csl-citation.json"}</w:instrText>
            </w:r>
            <w:r>
              <w:rPr>
                <w:rFonts w:eastAsia="Times New Roman" w:cstheme="minorHAnsi"/>
                <w:color w:val="000000"/>
                <w:sz w:val="16"/>
                <w:szCs w:val="16"/>
              </w:rPr>
              <w:fldChar w:fldCharType="separate"/>
            </w:r>
            <w:r w:rsidRPr="00AA181B">
              <w:rPr>
                <w:rFonts w:eastAsia="Times New Roman" w:cstheme="minorHAnsi"/>
                <w:noProof/>
                <w:color w:val="000000"/>
                <w:sz w:val="16"/>
                <w:szCs w:val="16"/>
              </w:rPr>
              <w:t>(Zhang et al., 2020)</w:t>
            </w:r>
            <w:r>
              <w:rPr>
                <w:rFonts w:eastAsia="Times New Roman" w:cstheme="minorHAnsi"/>
                <w:color w:val="000000"/>
                <w:sz w:val="16"/>
                <w:szCs w:val="16"/>
              </w:rPr>
              <w:fldChar w:fldCharType="end"/>
            </w:r>
          </w:p>
        </w:tc>
        <w:tc>
          <w:tcPr>
            <w:tcW w:w="607" w:type="pct"/>
          </w:tcPr>
          <w:p w14:paraId="17F7FF6D"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 xml:space="preserve">Clinical, </w:t>
            </w:r>
            <w:proofErr w:type="spellStart"/>
            <w:r w:rsidRPr="003C4781">
              <w:rPr>
                <w:rFonts w:eastAsia="Times New Roman" w:cstheme="minorHAnsi"/>
                <w:color w:val="000000"/>
                <w:sz w:val="16"/>
                <w:szCs w:val="16"/>
              </w:rPr>
              <w:t>sociodemographical</w:t>
            </w:r>
            <w:proofErr w:type="spellEnd"/>
            <w:r>
              <w:rPr>
                <w:rFonts w:eastAsia="Times New Roman" w:cstheme="minorHAnsi"/>
                <w:color w:val="000000"/>
                <w:sz w:val="16"/>
                <w:szCs w:val="16"/>
              </w:rPr>
              <w:t>, treatment history, genetics</w:t>
            </w:r>
          </w:p>
        </w:tc>
        <w:tc>
          <w:tcPr>
            <w:tcW w:w="345" w:type="pct"/>
          </w:tcPr>
          <w:p w14:paraId="200EA8EE" w14:textId="77777777"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13</w:t>
            </w:r>
          </w:p>
        </w:tc>
        <w:tc>
          <w:tcPr>
            <w:tcW w:w="479" w:type="pct"/>
          </w:tcPr>
          <w:p w14:paraId="6D736C01"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tcPr>
          <w:p w14:paraId="00034F63" w14:textId="77777777"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k-fold cross-validation</w:t>
            </w:r>
          </w:p>
        </w:tc>
        <w:tc>
          <w:tcPr>
            <w:tcW w:w="514" w:type="pct"/>
          </w:tcPr>
          <w:p w14:paraId="1A094788" w14:textId="77777777" w:rsidR="006D63A2" w:rsidRPr="003C4781" w:rsidRDefault="006D63A2" w:rsidP="006D63A2">
            <w:pPr>
              <w:rPr>
                <w:rFonts w:eastAsia="Times New Roman" w:cstheme="minorHAnsi"/>
                <w:color w:val="000000"/>
                <w:sz w:val="16"/>
                <w:szCs w:val="16"/>
              </w:rPr>
            </w:pPr>
          </w:p>
        </w:tc>
        <w:tc>
          <w:tcPr>
            <w:tcW w:w="477" w:type="pct"/>
          </w:tcPr>
          <w:p w14:paraId="7109F995" w14:textId="77777777" w:rsidR="006D63A2" w:rsidRPr="00A02197" w:rsidRDefault="006D63A2" w:rsidP="006D63A2">
            <w:pPr>
              <w:rPr>
                <w:rFonts w:eastAsia="Times New Roman" w:cstheme="minorHAnsi"/>
                <w:color w:val="000000"/>
                <w:sz w:val="16"/>
                <w:szCs w:val="16"/>
              </w:rPr>
            </w:pPr>
            <w:r w:rsidRPr="00A02197">
              <w:rPr>
                <w:rFonts w:eastAsia="Times New Roman" w:cstheme="minorHAnsi"/>
                <w:color w:val="000000"/>
                <w:sz w:val="16"/>
                <w:szCs w:val="16"/>
              </w:rPr>
              <w:t>t-test or rank</w:t>
            </w:r>
            <w:r>
              <w:rPr>
                <w:rFonts w:eastAsia="Times New Roman" w:cstheme="minorHAnsi"/>
                <w:color w:val="000000"/>
                <w:sz w:val="16"/>
                <w:szCs w:val="16"/>
              </w:rPr>
              <w:t>-</w:t>
            </w:r>
            <w:r w:rsidRPr="00A02197">
              <w:rPr>
                <w:rFonts w:eastAsia="Times New Roman" w:cstheme="minorHAnsi"/>
                <w:color w:val="000000"/>
                <w:sz w:val="16"/>
                <w:szCs w:val="16"/>
              </w:rPr>
              <w:t>sum test and the chi-square</w:t>
            </w:r>
          </w:p>
          <w:p w14:paraId="26B8B43E" w14:textId="77777777" w:rsidR="006D63A2" w:rsidRPr="003C4781" w:rsidRDefault="006D63A2" w:rsidP="006D63A2">
            <w:pPr>
              <w:rPr>
                <w:rFonts w:eastAsia="Times New Roman" w:cstheme="minorHAnsi"/>
                <w:sz w:val="16"/>
                <w:szCs w:val="16"/>
              </w:rPr>
            </w:pPr>
            <w:r w:rsidRPr="00A02197">
              <w:rPr>
                <w:rFonts w:eastAsia="Times New Roman" w:cstheme="minorHAnsi"/>
                <w:color w:val="000000"/>
                <w:sz w:val="16"/>
                <w:szCs w:val="16"/>
              </w:rPr>
              <w:t>(c2)</w:t>
            </w:r>
          </w:p>
          <w:p w14:paraId="16E767FF" w14:textId="77777777" w:rsidR="006D63A2" w:rsidRPr="003C4781" w:rsidRDefault="006D63A2" w:rsidP="006D63A2">
            <w:pPr>
              <w:rPr>
                <w:rFonts w:eastAsia="Times New Roman" w:cstheme="minorHAnsi"/>
                <w:sz w:val="16"/>
                <w:szCs w:val="16"/>
              </w:rPr>
            </w:pPr>
          </w:p>
        </w:tc>
        <w:tc>
          <w:tcPr>
            <w:tcW w:w="480" w:type="pct"/>
          </w:tcPr>
          <w:p w14:paraId="468D6153" w14:textId="77777777" w:rsidR="006D63A2" w:rsidRPr="003C4781" w:rsidRDefault="006D63A2" w:rsidP="006D63A2">
            <w:pPr>
              <w:rPr>
                <w:rFonts w:eastAsia="Times New Roman" w:cstheme="minorHAnsi"/>
                <w:sz w:val="16"/>
                <w:szCs w:val="16"/>
              </w:rPr>
            </w:pPr>
          </w:p>
        </w:tc>
        <w:tc>
          <w:tcPr>
            <w:tcW w:w="437" w:type="pct"/>
          </w:tcPr>
          <w:p w14:paraId="38DB9621" w14:textId="77777777"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Resistance</w:t>
            </w:r>
          </w:p>
        </w:tc>
        <w:tc>
          <w:tcPr>
            <w:tcW w:w="547" w:type="pct"/>
          </w:tcPr>
          <w:p w14:paraId="5B1B35D2" w14:textId="77777777"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t>Anti-depressant</w:t>
            </w:r>
          </w:p>
        </w:tc>
      </w:tr>
      <w:tr w:rsidR="006D63A2" w:rsidRPr="003C4781" w14:paraId="5B6F7D13" w14:textId="77777777" w:rsidTr="006D63A2">
        <w:trPr>
          <w:trHeight w:val="1088"/>
        </w:trPr>
        <w:tc>
          <w:tcPr>
            <w:tcW w:w="652" w:type="pct"/>
            <w:hideMark/>
          </w:tcPr>
          <w:p w14:paraId="397E9785" w14:textId="497AC308" w:rsidR="006D63A2" w:rsidRPr="003C4781" w:rsidRDefault="006D63A2" w:rsidP="006D63A2">
            <w:pPr>
              <w:rPr>
                <w:rFonts w:eastAsia="Times New Roman" w:cstheme="minorHAnsi"/>
                <w:color w:val="000000"/>
                <w:sz w:val="16"/>
                <w:szCs w:val="16"/>
              </w:rPr>
            </w:pPr>
            <w:r>
              <w:rPr>
                <w:rFonts w:eastAsia="Times New Roman" w:cstheme="minorHAnsi"/>
                <w:color w:val="000000"/>
                <w:sz w:val="16"/>
                <w:szCs w:val="16"/>
              </w:rPr>
              <w:lastRenderedPageBreak/>
              <w:fldChar w:fldCharType="begin" w:fldLock="1"/>
            </w:r>
            <w:r w:rsidR="0011264D">
              <w:rPr>
                <w:rFonts w:eastAsia="Times New Roman" w:cstheme="minorHAnsi"/>
                <w:color w:val="000000"/>
                <w:sz w:val="16"/>
                <w:szCs w:val="16"/>
              </w:rPr>
              <w:instrText>ADDIN CSL_CITATION {"citationItems":[{"id":"ITEM-1","itemData":{"DOI":"10.1001/jamanetworkopen.2019.18377","ISBN":"2574-3805 (Electronic)\r2574-3805 (Linking)","ISSN":"25743805","PMID":"31899530","abstract":"Importance: Social and economic costs of depression are exacerbated by prolonged periods spent identifying treatments that would be effective for a particular patient. Thus, a tool that reliably predicts an individual patient's response to treatment could significantly reduce the burden of depression. Objective: To estimate how accurately an outcome of escitalopram treatment can be predicted from electroencephalographic (EEG) data on patients with depression. Design, Setting, and Participants: This prognostic study used a support vector machine classifier to predict treatment outcome using data from the first Canadian Biomarker Integration Network in Depression (CAN-BIND-1) study. The CAN-BIND-1 study comprised 180 patients (aged 18-60 years) diagnosed with major depressive disorder who had completed 8 weeks of treatment. Of this group, 122 patients had EEG data recorded before the treatment; 115 also had EEG data recorded after the first 2 weeks of treatment. Interventions: All participants completed 8 weeks of open-label escitalopram (10-20 mg) treatment. Main Outcomes and Measures: The ability of EEG data to predict treatment outcome, measured as accuracy, specificity, and sensitivity of the classifier at baseline and after the first 2 weeks of treatment. The treatment outcome was defined in terms of change in symptom severity, measured by the Montgomery-Åsberg Depression Rating Scale, before and after 8 weeks of treatment. A patient was designated as a responder if the Montgomery-Åsberg Depression Rating Scale score decreased by at least 50% during the 8 weeks and as a nonresponder if the score decrease was less than 50%. Results: Of the 122 participants who completed a baseline EEG recording (mean [SD] age, 36.3 [12.7] years; 76 [62.3%] female), the classifier was able to identify responders with an estimated accuracy of 79.2% (sensitivity, 67.3%; specificity, 91.0%) when using only the baseline EEG data. For a subset of 115 participants who had additional EEG data recorded after the first 2 weeks of treatment, use of these data increased the accuracy to 82.4% (sensitivity, 79.2%; specificity, 85.5%). Conclusions and Relevance: These findings demonstrate the potential utility of EEG as a treatment planning tool for escitalopram therapy. Further development of the classification tools presented in this study holds the promise of expediting the search for optimal treatment for each patient.","author":[{"dropping-particle":"","family":"Zhdanov","given":"Andrey","non-dropping-particle":"","parse-names":false,"suffix":""},{"dropping-particle":"","family":"Atluri","given":"Sravya","non-dropping-particle":"","parse-names":false,"suffix":""},{"dropping-particle":"","family":"Wong","given":"Willy","non-dropping-particle":"","parse-names":false,"suffix":""},{"dropping-particle":"","family":"Vaghei","given":"Yasaman","non-dropping-particle":"","parse-names":false,"suffix":""},{"dropping-particle":"","family":"Daskalakis","given":"Zafiris J.","non-dropping-particle":"","parse-names":false,"suffix":""},{"dropping-particle":"","family":"Blumberger","given":"Daniel M.","non-dropping-particle":"","parse-names":false,"suffix":""},{"dropping-particle":"","family":"Frey","given":"Benicio N.","non-dropping-particle":"","parse-names":false,"suffix":""},{"dropping-particle":"","family":"Giacobbe","given":"Peter","non-dropping-particle":"","parse-names":false,"suffix":""},{"dropping-particle":"","family":"Lam","given":"Raymond W.","non-dropping-particle":"","parse-names":false,"suffix":""},{"dropping-particle":"","family":"Milev","given":"Roumen","non-dropping-particle":"","parse-names":false,"suffix":""},{"dropping-particle":"","family":"Mueller","given":"Daniel J.","non-dropping-particle":"","parse-names":false,"suffix":""},{"dropping-particle":"","family":"Turecki","given":"Gustavo","non-dropping-particle":"","parse-names":false,"suffix":""},{"dropping-particle":"V.","family":"Parikh","given":"Sagar","non-dropping-particle":"","parse-names":false,"suffix":""},{"dropping-particle":"","family":"Rotzinger","given":"Susan","non-dropping-particle":"","parse-names":false,"suffix":""},{"dropping-particle":"","family":"Soares","given":"Claudio N.","non-dropping-particle":"","parse-names":false,"suffix":""},{"dropping-particle":"","family":"Brenner","given":"Colleen A.","non-dropping-particle":"","parse-names":false,"suffix":""},{"dropping-particle":"","family":"Vila-Rodriguez","given":"Fidel","non-dropping-particle":"","parse-names":false,"suffix":""},{"dropping-particle":"","family":"McAndrews","given":"Mary Pat","non-dropping-particle":"","parse-names":false,"suffix":""},{"dropping-particle":"","family":"Kleffner","given":"Killian","non-dropping-particle":"","parse-names":false,"suffix":""},{"dropping-particle":"","family":"Alonso-Prieto","given":"Esther","non-dropping-particle":"","parse-names":false,"suffix":""},{"dropping-particle":"","family":"Arnott","given":"Stephen R.","non-dropping-particle":"","parse-names":false,"suffix":""},{"dropping-particle":"","family":"Foster","given":"Jane A.","non-dropping-particle":"","parse-names":false,"suffix":""},{"dropping-particle":"","family":"Strother","given":"Stephen C.","non-dropping-particle":"","parse-names":false,"suffix":""},{"dropping-particle":"","family":"Uher","given":"Rudolf","non-dropping-particle":"","parse-names":false,"suffix":""},{"dropping-particle":"","family":"Kennedy","given":"Sidney H.","non-dropping-particle":"","parse-names":false,"suffix":""},{"dropping-particle":"","family":"Farzan","given":"Faranak","non-dropping-particle":"","parse-names":false,"suffix":""}],"container-title":"JAMA network open","edition":"2020/01/04","id":"ITEM-1","issue":"1","issued":{"date-parts":[["2020"]]},"note":"Zhdanov, Andrey\nAtluri, Sravya\nWong, Willy\nVaghei, Yasaman\nDaskalakis, Zafiris J\nBlumberger, Daniel M\nFrey, Benicio N\nGiacobbe, Peter\nLam, Raymond W\nMilev, Roumen\nMueller, Daniel J\nTurecki, Gustavo\nParikh, Sagar V\nRotzinger, Susan\nSoares, Claudio N\nBrenner, Colleen A\nVila-Rodriguez, Fidel\nMcAndrews, Mary Pat\nKleffner, Killian\nAlonso-Prieto, Esther\nArnott, Stephen R\nFoster, Jane A\nStrother, Stephen C\nUher, Rudolf\nKennedy, Sidney H\nFarzan, Faranak\neng\nJAMA Netw Open. 2020 Jan 3;3(1):e1918377. doi: 10.1001/jamanetworkopen.2019.18377.","page":"e1918377","title":"Use of Machine Learning for Predicting Escitalopram Treatment Outcome From Electroencephalography Recordings in Adult Patients With Depression","type":"article-journal","volume":"3"},"uris":["http://www.mendeley.com/documents/?uuid=9e1c8f53-75e5-42e2-93c9-5c2d3ba68c49"]}],"mendeley":{"formattedCitation":"(Zhdanov et al., 2020)","plainTextFormattedCitation":"(Zhdanov et al., 2020)","previouslyFormattedCitation":"(Zhdanov et al., 2020)"},"properties":{"noteIndex":0},"schema":"https://github.com/citation-style-language/schema/raw/master/csl-citation.json"}</w:instrText>
            </w:r>
            <w:r>
              <w:rPr>
                <w:rFonts w:eastAsia="Times New Roman" w:cstheme="minorHAnsi"/>
                <w:color w:val="000000"/>
                <w:sz w:val="16"/>
                <w:szCs w:val="16"/>
              </w:rPr>
              <w:fldChar w:fldCharType="separate"/>
            </w:r>
            <w:r w:rsidRPr="00AA181B">
              <w:rPr>
                <w:rFonts w:eastAsia="Times New Roman" w:cstheme="minorHAnsi"/>
                <w:noProof/>
                <w:color w:val="000000"/>
                <w:sz w:val="16"/>
                <w:szCs w:val="16"/>
              </w:rPr>
              <w:t>(Zhdanov et al., 2020)</w:t>
            </w:r>
            <w:r>
              <w:rPr>
                <w:rFonts w:eastAsia="Times New Roman" w:cstheme="minorHAnsi"/>
                <w:color w:val="000000"/>
                <w:sz w:val="16"/>
                <w:szCs w:val="16"/>
              </w:rPr>
              <w:fldChar w:fldCharType="end"/>
            </w:r>
          </w:p>
        </w:tc>
        <w:tc>
          <w:tcPr>
            <w:tcW w:w="607" w:type="pct"/>
            <w:hideMark/>
          </w:tcPr>
          <w:p w14:paraId="4887A69A"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Neuroimaging</w:t>
            </w:r>
          </w:p>
        </w:tc>
        <w:tc>
          <w:tcPr>
            <w:tcW w:w="345" w:type="pct"/>
            <w:hideMark/>
          </w:tcPr>
          <w:p w14:paraId="170F4142"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185</w:t>
            </w:r>
          </w:p>
        </w:tc>
        <w:tc>
          <w:tcPr>
            <w:tcW w:w="479" w:type="pct"/>
            <w:hideMark/>
          </w:tcPr>
          <w:p w14:paraId="3F473640"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Support vector machine (SVM)</w:t>
            </w:r>
          </w:p>
        </w:tc>
        <w:tc>
          <w:tcPr>
            <w:tcW w:w="460" w:type="pct"/>
            <w:hideMark/>
          </w:tcPr>
          <w:p w14:paraId="29F914B6"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Leave-one-site-out cross-validation, 10-fold cross-validation</w:t>
            </w:r>
          </w:p>
        </w:tc>
        <w:tc>
          <w:tcPr>
            <w:tcW w:w="514" w:type="pct"/>
            <w:hideMark/>
          </w:tcPr>
          <w:p w14:paraId="539C4D54"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Unpaired 2-tailed t</w:t>
            </w:r>
            <w:r>
              <w:rPr>
                <w:rFonts w:eastAsia="Times New Roman" w:cstheme="minorHAnsi"/>
                <w:color w:val="000000"/>
                <w:sz w:val="16"/>
                <w:szCs w:val="16"/>
              </w:rPr>
              <w:t>-</w:t>
            </w:r>
            <w:r w:rsidRPr="003C4781">
              <w:rPr>
                <w:rFonts w:eastAsia="Times New Roman" w:cstheme="minorHAnsi"/>
                <w:color w:val="000000"/>
                <w:sz w:val="16"/>
                <w:szCs w:val="16"/>
              </w:rPr>
              <w:t>test</w:t>
            </w:r>
          </w:p>
        </w:tc>
        <w:tc>
          <w:tcPr>
            <w:tcW w:w="477" w:type="pct"/>
            <w:hideMark/>
          </w:tcPr>
          <w:p w14:paraId="2E4F66BC" w14:textId="77777777" w:rsidR="006D63A2" w:rsidRPr="003C4781" w:rsidRDefault="006D63A2" w:rsidP="006D63A2">
            <w:pPr>
              <w:rPr>
                <w:rFonts w:eastAsia="Times New Roman" w:cstheme="minorHAnsi"/>
                <w:color w:val="000000"/>
                <w:sz w:val="16"/>
                <w:szCs w:val="16"/>
              </w:rPr>
            </w:pPr>
          </w:p>
        </w:tc>
        <w:tc>
          <w:tcPr>
            <w:tcW w:w="480" w:type="pct"/>
            <w:hideMark/>
          </w:tcPr>
          <w:p w14:paraId="3724FE42" w14:textId="77777777" w:rsidR="006D63A2" w:rsidRPr="003C4781" w:rsidRDefault="006D63A2" w:rsidP="006D63A2">
            <w:pPr>
              <w:rPr>
                <w:rFonts w:eastAsia="Times New Roman" w:cstheme="minorHAnsi"/>
                <w:sz w:val="16"/>
                <w:szCs w:val="16"/>
              </w:rPr>
            </w:pPr>
          </w:p>
        </w:tc>
        <w:tc>
          <w:tcPr>
            <w:tcW w:w="437" w:type="pct"/>
            <w:hideMark/>
          </w:tcPr>
          <w:p w14:paraId="213AFA27"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Response</w:t>
            </w:r>
          </w:p>
        </w:tc>
        <w:tc>
          <w:tcPr>
            <w:tcW w:w="547" w:type="pct"/>
            <w:hideMark/>
          </w:tcPr>
          <w:p w14:paraId="6E9B6B47" w14:textId="77777777" w:rsidR="006D63A2" w:rsidRPr="003C4781" w:rsidRDefault="006D63A2" w:rsidP="006D63A2">
            <w:pPr>
              <w:rPr>
                <w:rFonts w:eastAsia="Times New Roman" w:cstheme="minorHAnsi"/>
                <w:color w:val="000000"/>
                <w:sz w:val="16"/>
                <w:szCs w:val="16"/>
              </w:rPr>
            </w:pPr>
            <w:r w:rsidRPr="003C4781">
              <w:rPr>
                <w:rFonts w:eastAsia="Times New Roman" w:cstheme="minorHAnsi"/>
                <w:color w:val="000000"/>
                <w:sz w:val="16"/>
                <w:szCs w:val="16"/>
              </w:rPr>
              <w:t>Anti-depressant</w:t>
            </w:r>
          </w:p>
        </w:tc>
      </w:tr>
    </w:tbl>
    <w:p w14:paraId="5F1E2C86" w14:textId="77777777" w:rsidR="00040886" w:rsidRDefault="00040886" w:rsidP="00110523">
      <w:pPr>
        <w:pStyle w:val="EndNoteBibliography"/>
      </w:pPr>
    </w:p>
    <w:p w14:paraId="6FCB1991" w14:textId="77777777" w:rsidR="003E113B" w:rsidRDefault="003E113B" w:rsidP="00DE400D">
      <w:pPr>
        <w:pStyle w:val="NormalWeb"/>
        <w:rPr>
          <w:rFonts w:asciiTheme="minorHAnsi" w:hAnsiTheme="minorHAnsi" w:cstheme="minorHAnsi"/>
          <w:b/>
          <w:bCs/>
          <w:sz w:val="22"/>
          <w:szCs w:val="22"/>
        </w:rPr>
      </w:pPr>
    </w:p>
    <w:p w14:paraId="756C3EC5" w14:textId="2E4A1C8E" w:rsidR="001B759B" w:rsidRPr="00EE23F6" w:rsidRDefault="007528BF">
      <w:pPr>
        <w:pStyle w:val="NormalWeb"/>
        <w:rPr>
          <w:rFonts w:asciiTheme="minorHAnsi" w:hAnsiTheme="minorHAnsi" w:cstheme="minorHAnsi"/>
          <w:sz w:val="22"/>
          <w:szCs w:val="22"/>
        </w:rPr>
      </w:pPr>
      <w:r w:rsidRPr="00247F7D">
        <w:rPr>
          <w:rFonts w:asciiTheme="minorHAnsi" w:hAnsiTheme="minorHAnsi" w:cstheme="minorHAnsi"/>
          <w:b/>
          <w:bCs/>
          <w:sz w:val="22"/>
          <w:szCs w:val="22"/>
        </w:rPr>
        <w:t xml:space="preserve">Table </w:t>
      </w:r>
      <w:r w:rsidR="00087F7F">
        <w:rPr>
          <w:rFonts w:asciiTheme="minorHAnsi" w:hAnsiTheme="minorHAnsi" w:cstheme="minorHAnsi"/>
          <w:b/>
          <w:bCs/>
          <w:sz w:val="22"/>
          <w:szCs w:val="22"/>
        </w:rPr>
        <w:t>S</w:t>
      </w:r>
      <w:r w:rsidR="00F25230">
        <w:rPr>
          <w:rFonts w:asciiTheme="minorHAnsi" w:hAnsiTheme="minorHAnsi" w:cstheme="minorHAnsi"/>
          <w:b/>
          <w:bCs/>
          <w:sz w:val="22"/>
          <w:szCs w:val="22"/>
        </w:rPr>
        <w:t>5</w:t>
      </w:r>
      <w:r w:rsidRPr="00EE23F6">
        <w:rPr>
          <w:rFonts w:asciiTheme="minorHAnsi" w:hAnsiTheme="minorHAnsi" w:cstheme="minorHAnsi"/>
          <w:sz w:val="22"/>
          <w:szCs w:val="22"/>
        </w:rPr>
        <w:t>. Description summary of the selected papers for review</w:t>
      </w:r>
    </w:p>
    <w:p w14:paraId="54B0F224" w14:textId="77777777" w:rsidR="001B759B" w:rsidRDefault="001B759B" w:rsidP="00110523">
      <w:pPr>
        <w:pStyle w:val="EndNoteBibliography"/>
      </w:pPr>
    </w:p>
    <w:tbl>
      <w:tblPr>
        <w:tblStyle w:val="TableGrid"/>
        <w:tblW w:w="13955" w:type="dxa"/>
        <w:tblInd w:w="-455" w:type="dxa"/>
        <w:tblLayout w:type="fixed"/>
        <w:tblLook w:val="04A0" w:firstRow="1" w:lastRow="0" w:firstColumn="1" w:lastColumn="0" w:noHBand="0" w:noVBand="1"/>
      </w:tblPr>
      <w:tblGrid>
        <w:gridCol w:w="3060"/>
        <w:gridCol w:w="1800"/>
        <w:gridCol w:w="1440"/>
        <w:gridCol w:w="990"/>
        <w:gridCol w:w="900"/>
        <w:gridCol w:w="990"/>
        <w:gridCol w:w="630"/>
        <w:gridCol w:w="900"/>
        <w:gridCol w:w="900"/>
        <w:gridCol w:w="900"/>
        <w:gridCol w:w="540"/>
        <w:gridCol w:w="905"/>
      </w:tblGrid>
      <w:tr w:rsidR="00D70E73" w:rsidRPr="00C73DE7" w14:paraId="1CD1FBC1" w14:textId="77777777" w:rsidTr="00C126BD">
        <w:trPr>
          <w:trHeight w:val="357"/>
        </w:trPr>
        <w:tc>
          <w:tcPr>
            <w:tcW w:w="306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346428B" w14:textId="425EA76D" w:rsidR="00BA4F41" w:rsidRPr="00C126BD" w:rsidRDefault="00BA4F41" w:rsidP="00BA4F41">
            <w:pPr>
              <w:rPr>
                <w:rFonts w:ascii="Calibri" w:hAnsi="Calibri" w:cs="Calibri"/>
                <w:b/>
                <w:bCs/>
                <w:sz w:val="16"/>
                <w:szCs w:val="16"/>
              </w:rPr>
            </w:pPr>
            <w:r w:rsidRPr="00C126BD">
              <w:rPr>
                <w:rFonts w:ascii="Calibri" w:hAnsi="Calibri" w:cs="Calibri"/>
                <w:b/>
                <w:bCs/>
                <w:sz w:val="16"/>
                <w:szCs w:val="16"/>
              </w:rPr>
              <w:t>Study reference</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973A4D0" w14:textId="77777777" w:rsidR="00BA4F41" w:rsidRPr="00C126BD" w:rsidRDefault="00BA4F41" w:rsidP="00BA4F41">
            <w:pPr>
              <w:rPr>
                <w:rFonts w:ascii="Calibri" w:hAnsi="Calibri" w:cs="Calibri"/>
                <w:b/>
                <w:bCs/>
                <w:sz w:val="16"/>
                <w:szCs w:val="16"/>
              </w:rPr>
            </w:pPr>
            <w:r w:rsidRPr="00C126BD">
              <w:rPr>
                <w:rFonts w:ascii="Calibri" w:eastAsia="Times New Roman" w:hAnsi="Calibri" w:cs="Calibri"/>
                <w:b/>
                <w:bCs/>
                <w:color w:val="000000"/>
                <w:sz w:val="16"/>
                <w:szCs w:val="16"/>
              </w:rPr>
              <w:t>Outcome</w:t>
            </w:r>
          </w:p>
        </w:tc>
        <w:tc>
          <w:tcPr>
            <w:tcW w:w="1440" w:type="dxa"/>
            <w:vMerge w:val="restart"/>
            <w:tcBorders>
              <w:top w:val="single" w:sz="4" w:space="0" w:color="auto"/>
              <w:left w:val="single" w:sz="4" w:space="0" w:color="auto"/>
              <w:right w:val="single" w:sz="4" w:space="0" w:color="auto"/>
            </w:tcBorders>
            <w:shd w:val="clear" w:color="auto" w:fill="DEEAF6" w:themeFill="accent1" w:themeFillTint="33"/>
          </w:tcPr>
          <w:p w14:paraId="0F98E1ED" w14:textId="527A99D3" w:rsidR="00BA4F41" w:rsidRPr="00C126BD" w:rsidRDefault="00BA4F41" w:rsidP="00BA4F41">
            <w:pPr>
              <w:jc w:val="center"/>
              <w:rPr>
                <w:rFonts w:ascii="Calibri" w:hAnsi="Calibri" w:cs="Calibri"/>
                <w:b/>
                <w:bCs/>
                <w:sz w:val="16"/>
                <w:szCs w:val="16"/>
              </w:rPr>
            </w:pPr>
            <w:r w:rsidRPr="004C1A4F">
              <w:rPr>
                <w:rFonts w:ascii="Calibri" w:eastAsia="Calibri" w:hAnsi="Calibri" w:cs="Calibri"/>
                <w:b/>
                <w:bCs/>
                <w:sz w:val="16"/>
                <w:szCs w:val="16"/>
              </w:rPr>
              <w:t>Outcome variable</w:t>
            </w:r>
          </w:p>
        </w:tc>
        <w:tc>
          <w:tcPr>
            <w:tcW w:w="990" w:type="dxa"/>
            <w:vMerge w:val="restart"/>
            <w:tcBorders>
              <w:top w:val="single" w:sz="4" w:space="0" w:color="auto"/>
              <w:left w:val="single" w:sz="4" w:space="0" w:color="auto"/>
              <w:right w:val="single" w:sz="4" w:space="0" w:color="auto"/>
            </w:tcBorders>
            <w:shd w:val="clear" w:color="auto" w:fill="DEEAF6" w:themeFill="accent1" w:themeFillTint="33"/>
          </w:tcPr>
          <w:p w14:paraId="26EA81D8" w14:textId="446C228C" w:rsidR="00BA4F41" w:rsidRPr="00C126BD" w:rsidRDefault="00BA4F41" w:rsidP="00BA4F41">
            <w:pPr>
              <w:jc w:val="center"/>
              <w:rPr>
                <w:rFonts w:ascii="Calibri" w:hAnsi="Calibri" w:cs="Calibri"/>
                <w:b/>
                <w:bCs/>
                <w:sz w:val="16"/>
                <w:szCs w:val="16"/>
              </w:rPr>
            </w:pPr>
            <w:r w:rsidRPr="004C1A4F">
              <w:rPr>
                <w:rFonts w:ascii="Calibri" w:eastAsia="Calibri" w:hAnsi="Calibri" w:cs="Calibri"/>
                <w:b/>
                <w:bCs/>
                <w:sz w:val="16"/>
                <w:szCs w:val="16"/>
              </w:rPr>
              <w:t>Treatment duration</w:t>
            </w:r>
          </w:p>
        </w:tc>
        <w:tc>
          <w:tcPr>
            <w:tcW w:w="342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486A2FE" w14:textId="74C0E3A7" w:rsidR="00BA4F41" w:rsidRPr="00C126BD" w:rsidRDefault="00BA4F41" w:rsidP="00BA4F41">
            <w:pPr>
              <w:jc w:val="center"/>
              <w:rPr>
                <w:rFonts w:ascii="Calibri" w:hAnsi="Calibri" w:cs="Calibri"/>
                <w:b/>
                <w:bCs/>
                <w:sz w:val="16"/>
                <w:szCs w:val="16"/>
              </w:rPr>
            </w:pPr>
            <w:r w:rsidRPr="00C126BD">
              <w:rPr>
                <w:rFonts w:ascii="Calibri" w:hAnsi="Calibri" w:cs="Calibri"/>
                <w:b/>
                <w:bCs/>
                <w:sz w:val="16"/>
                <w:szCs w:val="16"/>
              </w:rPr>
              <w:t>Internal</w:t>
            </w:r>
          </w:p>
        </w:tc>
        <w:tc>
          <w:tcPr>
            <w:tcW w:w="324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C27C588" w14:textId="77777777" w:rsidR="00BA4F41" w:rsidRPr="00C126BD" w:rsidRDefault="00BA4F41" w:rsidP="00BA4F41">
            <w:pPr>
              <w:jc w:val="center"/>
              <w:rPr>
                <w:rFonts w:ascii="Calibri" w:hAnsi="Calibri" w:cs="Calibri"/>
                <w:b/>
                <w:bCs/>
                <w:sz w:val="16"/>
                <w:szCs w:val="16"/>
              </w:rPr>
            </w:pPr>
            <w:r w:rsidRPr="00C126BD">
              <w:rPr>
                <w:rFonts w:ascii="Calibri" w:hAnsi="Calibri" w:cs="Calibri"/>
                <w:b/>
                <w:bCs/>
                <w:sz w:val="16"/>
                <w:szCs w:val="16"/>
              </w:rPr>
              <w:t>External</w:t>
            </w:r>
          </w:p>
        </w:tc>
      </w:tr>
      <w:tr w:rsidR="00D70E73" w:rsidRPr="00C73DE7" w14:paraId="60ED519C" w14:textId="77777777" w:rsidTr="00C126BD">
        <w:trPr>
          <w:trHeight w:val="276"/>
        </w:trPr>
        <w:tc>
          <w:tcPr>
            <w:tcW w:w="306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B3CCA4" w14:textId="77777777" w:rsidR="00CC38B2" w:rsidRPr="00C126BD" w:rsidRDefault="00CC38B2">
            <w:pPr>
              <w:rPr>
                <w:rFonts w:ascii="Calibri" w:hAnsi="Calibri" w:cs="Calibri"/>
                <w:b/>
                <w:bCs/>
                <w:sz w:val="16"/>
                <w:szCs w:val="16"/>
              </w:rPr>
            </w:pPr>
          </w:p>
        </w:tc>
        <w:tc>
          <w:tcPr>
            <w:tcW w:w="1800"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2BE8BE5" w14:textId="77777777" w:rsidR="00CC38B2" w:rsidRPr="00C126BD" w:rsidRDefault="00CC38B2">
            <w:pPr>
              <w:rPr>
                <w:rFonts w:ascii="Calibri" w:hAnsi="Calibri" w:cs="Calibri"/>
                <w:b/>
                <w:bCs/>
                <w:sz w:val="16"/>
                <w:szCs w:val="16"/>
              </w:rPr>
            </w:pPr>
          </w:p>
        </w:tc>
        <w:tc>
          <w:tcPr>
            <w:tcW w:w="1440" w:type="dxa"/>
            <w:vMerge/>
            <w:tcBorders>
              <w:left w:val="single" w:sz="4" w:space="0" w:color="auto"/>
              <w:bottom w:val="single" w:sz="4" w:space="0" w:color="auto"/>
              <w:right w:val="single" w:sz="4" w:space="0" w:color="auto"/>
            </w:tcBorders>
            <w:shd w:val="clear" w:color="auto" w:fill="DEEAF6" w:themeFill="accent1" w:themeFillTint="33"/>
          </w:tcPr>
          <w:p w14:paraId="1E305183" w14:textId="77777777" w:rsidR="00CC38B2" w:rsidRPr="00C126BD" w:rsidRDefault="00CC38B2">
            <w:pPr>
              <w:jc w:val="center"/>
              <w:rPr>
                <w:rFonts w:ascii="Calibri" w:hAnsi="Calibri" w:cs="Calibri"/>
                <w:b/>
                <w:bCs/>
                <w:sz w:val="16"/>
                <w:szCs w:val="16"/>
              </w:rPr>
            </w:pPr>
          </w:p>
        </w:tc>
        <w:tc>
          <w:tcPr>
            <w:tcW w:w="990" w:type="dxa"/>
            <w:vMerge/>
            <w:tcBorders>
              <w:left w:val="single" w:sz="4" w:space="0" w:color="auto"/>
              <w:bottom w:val="single" w:sz="4" w:space="0" w:color="auto"/>
              <w:right w:val="single" w:sz="4" w:space="0" w:color="auto"/>
            </w:tcBorders>
            <w:shd w:val="clear" w:color="auto" w:fill="DEEAF6" w:themeFill="accent1" w:themeFillTint="33"/>
          </w:tcPr>
          <w:p w14:paraId="1BD3F02C" w14:textId="77777777" w:rsidR="00CC38B2" w:rsidRPr="00C126BD" w:rsidRDefault="00CC38B2">
            <w:pPr>
              <w:jc w:val="center"/>
              <w:rPr>
                <w:rFonts w:ascii="Calibri" w:hAnsi="Calibri" w:cs="Calibri"/>
                <w:b/>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097B47" w14:textId="0D83FED5"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Accuracy</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DCB1748"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Balanced accuracy</w:t>
            </w:r>
          </w:p>
        </w:tc>
        <w:tc>
          <w:tcPr>
            <w:tcW w:w="63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348D962"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AUC</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C84F3B"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Max n of subjects</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B9460FB"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Accuracy</w:t>
            </w:r>
          </w:p>
        </w:tc>
        <w:tc>
          <w:tcPr>
            <w:tcW w:w="90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5928CA"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Balanced accuracy</w:t>
            </w:r>
          </w:p>
        </w:tc>
        <w:tc>
          <w:tcPr>
            <w:tcW w:w="5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7EC2A6"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AUC</w:t>
            </w:r>
          </w:p>
        </w:tc>
        <w:tc>
          <w:tcPr>
            <w:tcW w:w="9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AFE180B" w14:textId="77777777" w:rsidR="00CC38B2" w:rsidRPr="00C126BD" w:rsidRDefault="00CC38B2">
            <w:pPr>
              <w:jc w:val="center"/>
              <w:rPr>
                <w:rFonts w:ascii="Calibri" w:hAnsi="Calibri" w:cs="Calibri"/>
                <w:b/>
                <w:bCs/>
                <w:sz w:val="16"/>
                <w:szCs w:val="16"/>
              </w:rPr>
            </w:pPr>
            <w:r w:rsidRPr="00C126BD">
              <w:rPr>
                <w:rFonts w:ascii="Calibri" w:hAnsi="Calibri" w:cs="Calibri"/>
                <w:b/>
                <w:bCs/>
                <w:sz w:val="16"/>
                <w:szCs w:val="16"/>
              </w:rPr>
              <w:t>Max n of subjects</w:t>
            </w:r>
          </w:p>
        </w:tc>
      </w:tr>
      <w:tr w:rsidR="00D70E73" w:rsidRPr="00C73DE7" w14:paraId="29F2AC7F" w14:textId="77777777" w:rsidTr="00C126BD">
        <w:trPr>
          <w:trHeight w:val="73"/>
        </w:trPr>
        <w:tc>
          <w:tcPr>
            <w:tcW w:w="3060" w:type="dxa"/>
            <w:tcBorders>
              <w:top w:val="single" w:sz="4" w:space="0" w:color="auto"/>
              <w:left w:val="single" w:sz="4" w:space="0" w:color="auto"/>
              <w:bottom w:val="single" w:sz="4" w:space="0" w:color="auto"/>
              <w:right w:val="single" w:sz="4" w:space="0" w:color="auto"/>
            </w:tcBorders>
            <w:noWrap/>
            <w:hideMark/>
          </w:tcPr>
          <w:p w14:paraId="0B60B1EE" w14:textId="06B3D84F" w:rsidR="00CC38B2" w:rsidRPr="00C126BD" w:rsidRDefault="00CC38B2" w:rsidP="00DE400D">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Pr="00C126BD">
              <w:rPr>
                <w:rFonts w:ascii="Calibri" w:eastAsia="Times New Roman" w:hAnsi="Calibri" w:cs="Calibri"/>
                <w:color w:val="000000"/>
                <w:sz w:val="16"/>
                <w:szCs w:val="16"/>
              </w:rPr>
              <w:instrText>ADDIN CSL_CITATION {"citationItems":[{"id":"ITEM-1","itemData":{"DOI":"10.1097/YPG.0b013e3283480485","ISBN":"0955-8829","ISSN":"09558829","PMID":"21642894","abstract":"Objective: Scientists have concluded that genetic profiles cannot predict a large percentage of variation in response to citalopram, a common antidepressant. Using the same data, we examined if a different Conclusion can be arrived at when the results are personalized to fit specific patients. METHODS: We used data available through the Sequenced Treatment Alternatives to Relieve Depression database. We created three boosted Classification and Regression Trees to identify 16 subgroups of patients, among whom anticipation of positive or negative response to citalopram was significantly different from 0.5 (P≤0.1). Results: In a 10-fold cross-validation, this ensemble of trees made no predictions in 33% of cases. In the remaining 67% of cases, it accurately classified response to citalopram in 78% of cases. Conclusion: For the majority of the patients, genetic markers can be used to guide selection of citalopram. The rules identified in this study can help personalize prescription of antidepressants. © 2011 Wolters Kluwer Health | Lippincott Williams &amp; Wilkins.","author":[{"dropping-particle":"","family":"Alemi","given":"Farrokh","non-dropping-particle":"","parse-names":false,"suffix":""},{"dropping-particle":"","family":"Zargoush","given":"Manaf","non-dropping-particle":"","parse-names":false,"suffix":""},{"dropping-particle":"","family":"Erdman","given":"Harold","non-dropping-particle":"","parse-names":false,"suffix":""},{"dropping-particle":"","family":"Vang","given":"Jee","non-dropping-particle":"","parse-names":false,"suffix":""},{"dropping-particle":"","family":"Epstein","given":"Steve","non-dropping-particle":"","parse-names":false,"suffix":""},{"dropping-particle":"","family":"Ayman","given":"Fanous","non-dropping-particle":"","parse-names":false,"suffix":""}],"container-title":"Psychiatric Genetics","edition":"2011/06/07","id":"ITEM-1","issue":"6","issued":{"date-parts":[["2011"]]},"language":"eng","note":"1473-5873\nAlemi, Farrokh\nZargoush, Manaf\nErdman, Harold\nVang, Jee\nEpstein, Steve\nAyman, Fanous\nR01 HL 084767/HL/NHLBI NIH HHS/United States\nJournal Article\nResearch Support, N.I.H., Extramural\nEngland\nPsychiatr Genet. 2011 Dec;21(6):287-93. doi: 10.1097/YPG.0b013e3283480485.","page":"287-293","title":"Genetic markers anticipate response to citalopram in a majority of patients","type":"article-journal","volume":"21"},"uris":["http://www.mendeley.com/documents/?uuid=d49c7aa7-0735-462f-a36c-cfcad79e707e"]}],"mendeley":{"formattedCitation":"(Alemi et al., 2011)","plainTextFormattedCitation":"(Alemi et al., 2011)","previouslyFormattedCitation":"(Alemi et al., 2011)"},"properties":{"noteIndex":0},"schema":"https://github.com/citation-style-language/schema/raw/master/csl-citation.json"}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(Alemi et al., 2011)</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1796AC4A" w14:textId="77777777" w:rsidR="00CC38B2" w:rsidRPr="00C126BD" w:rsidRDefault="00CC38B2">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10EF5A70" w14:textId="42E8C619" w:rsidR="00CC38B2" w:rsidRPr="00C126BD" w:rsidRDefault="00C73DE7" w:rsidP="00C126BD">
            <w:pPr>
              <w:rPr>
                <w:rFonts w:ascii="Calibri" w:eastAsia="Times New Roman" w:hAnsi="Calibri" w:cs="Calibri"/>
                <w:color w:val="000000"/>
                <w:sz w:val="16"/>
                <w:szCs w:val="16"/>
              </w:rPr>
            </w:pPr>
            <w:r w:rsidRPr="00C73DE7">
              <w:rPr>
                <w:rFonts w:ascii="Calibri" w:eastAsia="Times New Roman" w:hAnsi="Calibri" w:cs="Calibri"/>
                <w:color w:val="000000"/>
                <w:sz w:val="16"/>
                <w:szCs w:val="16"/>
              </w:rPr>
              <w:t>QIDS</w:t>
            </w:r>
          </w:p>
        </w:tc>
        <w:tc>
          <w:tcPr>
            <w:tcW w:w="990" w:type="dxa"/>
            <w:tcBorders>
              <w:top w:val="single" w:sz="4" w:space="0" w:color="auto"/>
              <w:left w:val="single" w:sz="4" w:space="0" w:color="auto"/>
              <w:bottom w:val="single" w:sz="4" w:space="0" w:color="auto"/>
              <w:right w:val="single" w:sz="4" w:space="0" w:color="auto"/>
            </w:tcBorders>
          </w:tcPr>
          <w:p w14:paraId="31166150" w14:textId="77777777" w:rsidR="00CC38B2" w:rsidRPr="00C126BD" w:rsidRDefault="00CC38B2"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A5C4889" w14:textId="2CB183B4"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990" w:type="dxa"/>
            <w:tcBorders>
              <w:top w:val="single" w:sz="4" w:space="0" w:color="auto"/>
              <w:left w:val="single" w:sz="4" w:space="0" w:color="auto"/>
              <w:bottom w:val="single" w:sz="4" w:space="0" w:color="auto"/>
              <w:right w:val="single" w:sz="4" w:space="0" w:color="auto"/>
            </w:tcBorders>
            <w:noWrap/>
            <w:hideMark/>
          </w:tcPr>
          <w:p w14:paraId="11576559"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0.86</w:t>
            </w:r>
          </w:p>
        </w:tc>
        <w:tc>
          <w:tcPr>
            <w:tcW w:w="630" w:type="dxa"/>
            <w:tcBorders>
              <w:top w:val="single" w:sz="4" w:space="0" w:color="auto"/>
              <w:left w:val="single" w:sz="4" w:space="0" w:color="auto"/>
              <w:bottom w:val="single" w:sz="4" w:space="0" w:color="auto"/>
              <w:right w:val="single" w:sz="4" w:space="0" w:color="auto"/>
            </w:tcBorders>
            <w:noWrap/>
            <w:hideMark/>
          </w:tcPr>
          <w:p w14:paraId="60D7B5F0" w14:textId="77777777" w:rsidR="00CC38B2" w:rsidRPr="00C126BD" w:rsidRDefault="00CC38B2">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6B9147"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762</w:t>
            </w:r>
          </w:p>
        </w:tc>
        <w:tc>
          <w:tcPr>
            <w:tcW w:w="900" w:type="dxa"/>
            <w:tcBorders>
              <w:top w:val="single" w:sz="4" w:space="0" w:color="auto"/>
              <w:left w:val="single" w:sz="4" w:space="0" w:color="auto"/>
              <w:bottom w:val="single" w:sz="4" w:space="0" w:color="auto"/>
              <w:right w:val="single" w:sz="4" w:space="0" w:color="auto"/>
            </w:tcBorders>
            <w:noWrap/>
            <w:hideMark/>
          </w:tcPr>
          <w:p w14:paraId="0FB12983" w14:textId="77777777" w:rsidR="00CC38B2" w:rsidRPr="00C126BD" w:rsidRDefault="00CC38B2">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A923C77" w14:textId="77777777" w:rsidR="00CC38B2" w:rsidRPr="00C126BD" w:rsidRDefault="00CC38B2">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77266BB5" w14:textId="77777777" w:rsidR="00CC38B2" w:rsidRPr="00C126BD" w:rsidRDefault="00CC38B2">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7FEEDBA" w14:textId="77777777" w:rsidR="00CC38B2" w:rsidRPr="00C126BD" w:rsidRDefault="00CC38B2">
            <w:pPr>
              <w:rPr>
                <w:rFonts w:ascii="Calibri" w:hAnsi="Calibri" w:cs="Calibri"/>
                <w:sz w:val="16"/>
                <w:szCs w:val="16"/>
              </w:rPr>
            </w:pPr>
          </w:p>
        </w:tc>
      </w:tr>
      <w:tr w:rsidR="00D70E73" w:rsidRPr="00C73DE7" w14:paraId="7D1B3CFC" w14:textId="77777777" w:rsidTr="00C126BD">
        <w:trPr>
          <w:trHeight w:val="145"/>
        </w:trPr>
        <w:tc>
          <w:tcPr>
            <w:tcW w:w="3060" w:type="dxa"/>
            <w:tcBorders>
              <w:top w:val="single" w:sz="4" w:space="0" w:color="auto"/>
              <w:left w:val="single" w:sz="4" w:space="0" w:color="auto"/>
              <w:bottom w:val="single" w:sz="4" w:space="0" w:color="auto"/>
              <w:right w:val="single" w:sz="4" w:space="0" w:color="auto"/>
            </w:tcBorders>
            <w:noWrap/>
            <w:hideMark/>
          </w:tcPr>
          <w:p w14:paraId="5DD05941" w14:textId="1283EB68" w:rsidR="00CC38B2" w:rsidRPr="00C126BD" w:rsidRDefault="00CC38B2" w:rsidP="00453DC5">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{"citationItems":[{"id":"ITEM-1","itemData":{"DOI":"10.1016/j.jad.2016.10.021","ISBN":"0165-0327","ISSN":"15732517","PMID":"28029427","abstract":"Background Transcranial direct current stimulation (tDCS) is a promising treatment for major depressive disorder (MDD). Standard tDCS treatment involves numerous sessions running over a few weeks. However, not all participants respond to this type of treatment. This study aims to investigate the feasibility of identifying MDD patients that respond to tDCS treatment based on resting-state electroencephalography (EEG) recorded prior to treatment commencing. Methods We used machine learning to predict improvement in mood and cognition during tDCS treatment from baseline EEG power spectra. Ten participants with a current diagnosis of MDD were included. Power spectral density was assessed in five frequency bands: delta (0.5–4 Hz), theta (4–8 Hz), alpha (8–12 Hz), beta (13–30 Hz) and gamma (30–100 Hz). Improvements in mood and cognition were assessed using the Montgomery-Åsberg Depression Rating Scale and Symbol Digit Modalities Test, respectively. We trained the classifiers using three algorithms (support vector machine, extreme learning machine and linear discriminant analysis) and a leave-one-out cross-validation approach. Results Mood labels were accurately predicted in 8 out of 10 participants using EEG channels FC4-AF8 (accuracy=76%, p=0.034). Cognition labels were accurately predicted in 10 out of 10 participants using channels pair CPz-CP2 (accuracy=92%, p=0.004). Limitations Due to the limited number of participants (n=10), the presented results mainly aim to serve as a proof of concept. Conclusions These finding demonstrate the feasibility of using machine learning to identify patients that will respond to tDCS treatment. These promising results warrant a larger study to determine the clinical utility of this approach.","author":[{"dropping-particle":"","family":"Al-Kaysi","given":"Alaa M.","non-dropping-particle":"","parse-names":false,"suffix":""},{"dropping-particle":"","family":"Al-Ani","given":"Ahmed","non-dropping-particle":"","parse-names":false,"suffix":""},{"dropping-particle":"","family":"Loo","given":"Colleen K.","non-dropping-particle":"","parse-names":false,"suffix":""},{"dropping-particle":"","family":"Powell","given":"Tamara Y.","non-dropping-particle":"","parse-names":false,"suffix":""},{"dropping-particle":"","family":"Martin","given":"Donel M.","non-dropping-particle":"","parse-names":false,"suffix":""},{"dropping-particle":"","family":"Breakspear","given":"Michael","non-dropping-particle":"","parse-names":false,"suffix":""},{"dropping-particle":"","family":"Boonstra","given":"Tjeerd W.","non-dropping-particle":"","parse-names":false,"suffix":""}],"container-title":"Journal of Affective Disorders","edition":"2016/12/29","id":"ITEM-1","issued":{"date-parts":[["2017"]]},"language":"eng","note":"1573-2517\nAl-Kaysi, Alaa M\nAl-Ani, Ahmed\nLoo, Colleen K\nPowell, Tamara Y\nMartin, Donel M\nBreakspear, Michael\nBoonstra, Tjeerd W\nJournal Article\nNetherlands\nJ Affect Disord. 2017 Jan 15;208:597-603. doi: 10.1016/j.jad.2016.10.021. Epub 2016 Oct 24.","page":"597-603","title":"Predicting tDCS treatment outcomes of patients with major depressive disorder using automated EEG classification","type":"article-journal","volume":"208"},"uris":["http://www.mendeley.com/documents/?uuid=017918c5-931e-4fd2-a8c1-4851e7aa500e"]}],"mendeley":{"formattedCitation":"(Al-Kaysi et al., 2017)","plainTextFormattedCitation":"(Al-Kaysi et al., 2017)","previouslyFormattedCitation":"(Al-Kaysi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(Al-Kaysi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1CFCF9A4" w14:textId="77777777" w:rsidR="00CC38B2" w:rsidRPr="00C126BD" w:rsidRDefault="00CC38B2">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7D5A09E0" w14:textId="04A4B628" w:rsidR="00CC38B2" w:rsidRPr="00C126BD" w:rsidRDefault="00C73DE7" w:rsidP="00C126BD">
            <w:pPr>
              <w:rPr>
                <w:rFonts w:ascii="Calibri" w:eastAsia="Times New Roman" w:hAnsi="Calibri" w:cs="Calibri"/>
                <w:color w:val="000000"/>
                <w:sz w:val="16"/>
                <w:szCs w:val="16"/>
              </w:rPr>
            </w:pPr>
            <w:r w:rsidRPr="00C73DE7">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13254B36" w14:textId="0EFA530A" w:rsidR="00CC38B2" w:rsidRPr="00C126BD" w:rsidRDefault="00CD6939"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3001D90D" w14:textId="42A01A7F"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90" w:type="dxa"/>
            <w:tcBorders>
              <w:top w:val="single" w:sz="4" w:space="0" w:color="auto"/>
              <w:left w:val="single" w:sz="4" w:space="0" w:color="auto"/>
              <w:bottom w:val="single" w:sz="4" w:space="0" w:color="auto"/>
              <w:right w:val="single" w:sz="4" w:space="0" w:color="auto"/>
            </w:tcBorders>
            <w:noWrap/>
            <w:hideMark/>
          </w:tcPr>
          <w:p w14:paraId="51F0A4B5" w14:textId="77777777" w:rsidR="00CC38B2" w:rsidRPr="00C126BD" w:rsidRDefault="00CC38B2">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17EB9D8E" w14:textId="77777777" w:rsidR="00CC38B2" w:rsidRPr="00C126BD" w:rsidRDefault="00CC38B2">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5081658"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10</w:t>
            </w:r>
          </w:p>
        </w:tc>
        <w:tc>
          <w:tcPr>
            <w:tcW w:w="900" w:type="dxa"/>
            <w:tcBorders>
              <w:top w:val="single" w:sz="4" w:space="0" w:color="auto"/>
              <w:left w:val="single" w:sz="4" w:space="0" w:color="auto"/>
              <w:bottom w:val="single" w:sz="4" w:space="0" w:color="auto"/>
              <w:right w:val="single" w:sz="4" w:space="0" w:color="auto"/>
            </w:tcBorders>
            <w:noWrap/>
            <w:hideMark/>
          </w:tcPr>
          <w:p w14:paraId="624E0BED" w14:textId="77777777" w:rsidR="00CC38B2" w:rsidRPr="00C126BD" w:rsidRDefault="00CC38B2">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72C7AC2" w14:textId="77777777" w:rsidR="00CC38B2" w:rsidRPr="00C126BD" w:rsidRDefault="00CC38B2">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06E4164" w14:textId="77777777" w:rsidR="00CC38B2" w:rsidRPr="00C126BD" w:rsidRDefault="00CC38B2">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0CF55CC" w14:textId="77777777" w:rsidR="00CC38B2" w:rsidRPr="00C126BD" w:rsidRDefault="00CC38B2">
            <w:pPr>
              <w:rPr>
                <w:rFonts w:ascii="Calibri" w:hAnsi="Calibri" w:cs="Calibri"/>
                <w:sz w:val="16"/>
                <w:szCs w:val="16"/>
              </w:rPr>
            </w:pPr>
          </w:p>
        </w:tc>
      </w:tr>
      <w:tr w:rsidR="00D70E73" w:rsidRPr="00C73DE7" w14:paraId="0D4FDD9F"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8FF9380" w14:textId="270BCB6B" w:rsidR="00CC38B2" w:rsidRPr="00C126BD" w:rsidRDefault="00CC38B2" w:rsidP="00DE400D">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{"citationItems":[{"id":"ITEM-1","itemData":{"DOI":"10.1002/cpt.1482","ISBN":"1532-6535 (Electronic)\r0009-9236 (Linking)","ISSN":"15326535","PMID":"31012492","abstract":"We set out to determine whether machine learning–based algorithms that included functionally validated pharmacogenomic biomarkers joined with clinical measures could predict selective serotonin reuptake inhibitor (SSRI) remission/response in patients with major depressive disorder (MDD). We studied 1,030 white outpatients with MDD treated with citalopram/escitalopram in the Mayo Clinic Pharmacogenomics Research Network Antidepressant Medication Pharmacogenomic Study (PGRN-AMPS; n = 398), Sequenced Treatment Alternatives to Relieve Depression (STAR*D; n = 467), and International SSRI Pharmacogenomics Consortium (ISPC; n = 165) trials. A genomewide association study for PGRN-AMPS plasma metabolites associated with SSRI response (serotonin) and baseline MDD severity (kynurenine) identified single nucleotide polymorphisms (SNPs) in DEFB1, ERICH3, AHR, and TSPAN5 that we tested as predictors. Supervised machine-learning methods trained using SNPs and total baseline depression scores predicted remission and response at 8 weeks with area under the receiver operating curve (AUC) &gt; 0.7 (P &lt; 0.04) in PGRN-AMPS patients, with comparable prediction accuracies &gt; 69% (P ≤ 0.07) in STAR*D and ISPC. These results demonstrate that machine learning can achieve accurate and, importantly, replicable prediction of SSRI therapy response using total baseline depression severity combined with pharmacogenomic biomarkers.","author":[{"dropping-particle":"","family":"Athreya","given":"Arjun P.","non-dropping-particle":"","parse-names":false,"suffix":""},{"dropping-particle":"","family":"Neavin","given":"Drew","non-dropping-particle":"","parse-names":false,"suffix":""},{"dropping-particle":"","family":"Carrillo-Roa","given":"Tania","non-dropping-particle":"","parse-names":false,"suffix":""},{"dropping-particle":"","family":"Skime","given":"Michelle","non-dropping-particle":"","parse-names":false,"suffix":""},{"dropping-particle":"","family":"Biernacka","given":"Joanna","non-dropping-particle":"","parse-names":false,"suffix":""},{"dropping-particle":"","family":"Frye","given":"Mark A.","non-dropping-particle":"","parse-names":false,"suffix":""},{"dropping-particle":"","family":"Rush","given":"A. John","non-dropping-particle":"","parse-names":false,"suffix":""},{"dropping-particle":"","family":"Wang","given":"Liewei","non-dropping-particle":"","parse-names":false,"suffix":""},{"dropping-particle":"","family":"Binder","given":"Elisabeth B.","non-dropping-particle":"","parse-names":false,"suffix":""},{"dropping-particle":"","family":"Iyer","given":"Ravishankar K.","non-dropping-particle":"","parse-names":false,"suffix":""},{"dropping-particle":"","family":"Weinshilboum","given":"Richard M.","non-dropping-particle":"","parse-names":false,"suffix":""},{"dropping-particle":"V.","family":"Bobo","given":"William","non-dropping-particle":"","parse-names":false,"suffix":""}],"container-title":"Clinical Pharmacology and Therapeutics","edition":"2019/04/24","id":"ITEM-1","issue":"4","issued":{"date-parts":[["2019"]]},"note":"Athreya, Arjun P\nNeavin, Drew\nCarrillo-Roa, Tania\nSkime, Michelle\nBiernacka, Joanna\nFrye, Mark A\nRush, A John\nWang, Liewei\nBinder, Elisabeth B\nIyer, Ravishankar K\nWeinshilboum, Richard M\nBobo, William V\neng\nU19 GM061388/GM/NIGMS NIH HHS/\nCompGen Fellowship\nU19 GM61388/National Institutes of Health (NIH)\nR01 GM28157/National Institutes of Health (NIH)\nCNS 13-37732/National Science Foundation (NSF)\nMayo Clinic Center for Individualized Medicine\nR01 GM028157/GM/NIGMS NIH HHS/\nIBM Faculty Award\nMayo Clinic and Illinois Alliance Fellowship for Technology-Based Healthcare Research\nClin Pharmacol Ther. 2019 Oct;106(4):855-865. doi: 10.1002/cpt.1482. Epub 2019 Jun 29.","page":"855-865","title":"Pharmacogenomics-Driven Prediction of Antidepressant Treatment Outcomes: A Machine-Learning Approach With Multi-trial Replication","type":"article-journal","volume":"106"},"uris":["http://www.mendeley.com/documents/?uuid=a52057fe-dd26-4451-806f-725830f366b0"]}],"mendeley":{"formattedCitation":"(Athreya et al., 2019)","plainTextFormattedCitation":"(Athreya et al., 2019)","previouslyFormattedCitation":"(Athreya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(Athreya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1FCA4408" w14:textId="77777777" w:rsidR="00CC38B2" w:rsidRPr="00C126BD" w:rsidRDefault="00CC38B2">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7CDBE0B0" w14:textId="49997B6B" w:rsidR="00CC38B2" w:rsidRPr="00C126BD" w:rsidRDefault="00C73DE7" w:rsidP="00C126BD">
            <w:pPr>
              <w:rPr>
                <w:rFonts w:ascii="Calibri" w:eastAsia="Times New Roman" w:hAnsi="Calibri" w:cs="Calibri"/>
                <w:color w:val="000000"/>
                <w:sz w:val="16"/>
                <w:szCs w:val="16"/>
              </w:rPr>
            </w:pPr>
            <w:r w:rsidRPr="00C73DE7">
              <w:rPr>
                <w:rFonts w:ascii="Calibri" w:eastAsia="Times New Roman" w:hAnsi="Calibri" w:cs="Calibri"/>
                <w:color w:val="000000"/>
                <w:sz w:val="16"/>
                <w:szCs w:val="16"/>
              </w:rPr>
              <w:t>QIDS-C</w:t>
            </w:r>
            <w:r w:rsidR="00E7116E">
              <w:rPr>
                <w:rFonts w:ascii="Calibri" w:eastAsia="Times New Roman" w:hAnsi="Calibri" w:cs="Calibri"/>
                <w:color w:val="000000"/>
                <w:sz w:val="16"/>
                <w:szCs w:val="16"/>
              </w:rPr>
              <w:t xml:space="preserve">, </w:t>
            </w:r>
            <w:r w:rsidR="00E7116E" w:rsidRPr="00E7116E">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107AA8F5" w14:textId="70E56003" w:rsidR="00CC38B2" w:rsidRPr="00C126BD" w:rsidRDefault="00C73DE7"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2DA0B907" w14:textId="18C31EA0"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w:t>
            </w:r>
          </w:p>
        </w:tc>
        <w:tc>
          <w:tcPr>
            <w:tcW w:w="990" w:type="dxa"/>
            <w:tcBorders>
              <w:top w:val="single" w:sz="4" w:space="0" w:color="auto"/>
              <w:left w:val="single" w:sz="4" w:space="0" w:color="auto"/>
              <w:bottom w:val="single" w:sz="4" w:space="0" w:color="auto"/>
              <w:right w:val="single" w:sz="4" w:space="0" w:color="auto"/>
            </w:tcBorders>
            <w:noWrap/>
            <w:hideMark/>
          </w:tcPr>
          <w:p w14:paraId="09E71E62"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0.81</w:t>
            </w:r>
          </w:p>
        </w:tc>
        <w:tc>
          <w:tcPr>
            <w:tcW w:w="630" w:type="dxa"/>
            <w:tcBorders>
              <w:top w:val="single" w:sz="4" w:space="0" w:color="auto"/>
              <w:left w:val="single" w:sz="4" w:space="0" w:color="auto"/>
              <w:bottom w:val="single" w:sz="4" w:space="0" w:color="auto"/>
              <w:right w:val="single" w:sz="4" w:space="0" w:color="auto"/>
            </w:tcBorders>
            <w:noWrap/>
            <w:hideMark/>
          </w:tcPr>
          <w:p w14:paraId="02854B1B"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900" w:type="dxa"/>
            <w:tcBorders>
              <w:top w:val="single" w:sz="4" w:space="0" w:color="auto"/>
              <w:left w:val="single" w:sz="4" w:space="0" w:color="auto"/>
              <w:bottom w:val="single" w:sz="4" w:space="0" w:color="auto"/>
              <w:right w:val="single" w:sz="4" w:space="0" w:color="auto"/>
            </w:tcBorders>
            <w:noWrap/>
            <w:hideMark/>
          </w:tcPr>
          <w:p w14:paraId="4E9EF272"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254</w:t>
            </w:r>
          </w:p>
        </w:tc>
        <w:tc>
          <w:tcPr>
            <w:tcW w:w="900" w:type="dxa"/>
            <w:tcBorders>
              <w:top w:val="single" w:sz="4" w:space="0" w:color="auto"/>
              <w:left w:val="single" w:sz="4" w:space="0" w:color="auto"/>
              <w:bottom w:val="single" w:sz="4" w:space="0" w:color="auto"/>
              <w:right w:val="single" w:sz="4" w:space="0" w:color="auto"/>
            </w:tcBorders>
            <w:noWrap/>
            <w:hideMark/>
          </w:tcPr>
          <w:p w14:paraId="42C7DCA1"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0.72</w:t>
            </w:r>
          </w:p>
        </w:tc>
        <w:tc>
          <w:tcPr>
            <w:tcW w:w="900" w:type="dxa"/>
            <w:tcBorders>
              <w:top w:val="single" w:sz="4" w:space="0" w:color="auto"/>
              <w:left w:val="single" w:sz="4" w:space="0" w:color="auto"/>
              <w:bottom w:val="single" w:sz="4" w:space="0" w:color="auto"/>
              <w:right w:val="single" w:sz="4" w:space="0" w:color="auto"/>
            </w:tcBorders>
            <w:noWrap/>
            <w:hideMark/>
          </w:tcPr>
          <w:p w14:paraId="0867D579"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540" w:type="dxa"/>
            <w:tcBorders>
              <w:top w:val="single" w:sz="4" w:space="0" w:color="auto"/>
              <w:left w:val="single" w:sz="4" w:space="0" w:color="auto"/>
              <w:bottom w:val="single" w:sz="4" w:space="0" w:color="auto"/>
              <w:right w:val="single" w:sz="4" w:space="0" w:color="auto"/>
            </w:tcBorders>
            <w:noWrap/>
            <w:hideMark/>
          </w:tcPr>
          <w:p w14:paraId="1275334A" w14:textId="77777777" w:rsidR="00CC38B2" w:rsidRPr="00C126BD" w:rsidRDefault="00CC38B2">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53D576E"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285</w:t>
            </w:r>
          </w:p>
        </w:tc>
      </w:tr>
      <w:tr w:rsidR="00D70E73" w:rsidRPr="00C73DE7" w14:paraId="1AD97681"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BF5DB40" w14:textId="47C1005A" w:rsidR="00CC38B2" w:rsidRPr="00C126BD" w:rsidRDefault="00CC38B2" w:rsidP="00453DC5">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{"citationItems":[{"id":"ITEM-1","itemData":{"DOI":"10.1002/cpt.1482","ISBN":"1532-6535 (Electronic)\r0009-9236 (Linking)","ISSN":"15326535","PMID":"31012492","abstract":"We set out to determine whether machine learning–based algorithms that included functionally validated pharmacogenomic biomarkers joined with clinical measures could predict selective serotonin reuptake inhibitor (SSRI) remission/response in patients with major depressive disorder (MDD). We studied 1,030 white outpatients with MDD treated with citalopram/escitalopram in the Mayo Clinic Pharmacogenomics Research Network Antidepressant Medication Pharmacogenomic Study (PGRN-AMPS; n = 398), Sequenced Treatment Alternatives to Relieve Depression (STAR*D; n = 467), and International SSRI Pharmacogenomics Consortium (ISPC; n = 165) trials. A genomewide association study for PGRN-AMPS plasma metabolites associated with SSRI response (serotonin) and baseline MDD severity (kynurenine) identified single nucleotide polymorphisms (SNPs) in DEFB1, ERICH3, AHR, and TSPAN5 that we tested as predictors. Supervised machine-learning methods trained using SNPs and total baseline depression scores predicted remission and response at 8 weeks with area under the receiver operating curve (AUC) &gt; 0.7 (P &lt; 0.04) in PGRN-AMPS patients, with comparable prediction accuracies &gt; 69% (P ≤ 0.07) in STAR*D and ISPC. These results demonstrate that machine learning can achieve accurate and, importantly, replicable prediction of SSRI therapy response using total baseline depression severity combined with pharmacogenomic biomarkers.","author":[{"dropping-particle":"","family":"Athreya","given":"Arjun P.","non-dropping-particle":"","parse-names":false,"suffix":""},{"dropping-particle":"","family":"Neavin","given":"Drew","non-dropping-particle":"","parse-names":false,"suffix":""},{"dropping-particle":"","family":"Carrillo-Roa","given":"Tania","non-dropping-particle":"","parse-names":false,"suffix":""},{"dropping-particle":"","family":"Skime","given":"Michelle","non-dropping-particle":"","parse-names":false,"suffix":""},{"dropping-particle":"","family":"Biernacka","given":"Joanna","non-dropping-particle":"","parse-names":false,"suffix":""},{"dropping-particle":"","family":"Frye","given":"Mark A.","non-dropping-particle":"","parse-names":false,"suffix":""},{"dropping-particle":"","family":"Rush","given":"A. John","non-dropping-particle":"","parse-names":false,"suffix":""},{"dropping-particle":"","family":"Wang","given":"Liewei","non-dropping-particle":"","parse-names":false,"suffix":""},{"dropping-particle":"","family":"Binder","given":"Elisabeth B.","non-dropping-particle":"","parse-names":false,"suffix":""},{"dropping-particle":"","family":"Iyer","given":"Ravishankar K.","non-dropping-particle":"","parse-names":false,"suffix":""},{"dropping-particle":"","family":"Weinshilboum","given":"Richard M.","non-dropping-particle":"","parse-names":false,"suffix":""},{"dropping-particle":"V.","family":"Bobo","given":"William","non-dropping-particle":"","parse-names":false,"suffix":""}],"container-title":"Clinical Pharmacology and Therapeutics","edition":"2019/04/24","id":"ITEM-1","issue":"4","issued":{"date-parts":[["2019"]]},"note":"Athreya, Arjun P\nNeavin, Drew\nCarrillo-Roa, Tania\nSkime, Michelle\nBiernacka, Joanna\nFrye, Mark A\nRush, A John\nWang, Liewei\nBinder, Elisabeth B\nIyer, Ravishankar K\nWeinshilboum, Richard M\nBobo, William V\neng\nU19 GM061388/GM/NIGMS NIH HHS/\nCompGen Fellowship\nU19 GM61388/National Institutes of Health (NIH)\nR01 GM28157/National Institutes of Health (NIH)\nCNS 13-37732/National Science Foundation (NSF)\nMayo Clinic Center for Individualized Medicine\nR01 GM028157/GM/NIGMS NIH HHS/\nIBM Faculty Award\nMayo Clinic and Illinois Alliance Fellowship for Technology-Based Healthcare Research\nClin Pharmacol Ther. 2019 Oct;106(4):855-865. doi: 10.1002/cpt.1482. Epub 2019 Jun 29.","page":"855-865","title":"Pharmacogenomics-Driven Prediction of Antidepressant Treatment Outcomes: A Machine-Learning Approach With Multi-trial Replication","type":"article-journal","volume":"106"},"uris":["http://www.mendeley.com/documents/?uuid=a52057fe-dd26-4451-806f-725830f366b0"]}],"mendeley":{"formattedCitation":"(Athreya et al., 2019)","plainTextFormattedCitation":"(Athreya et al., 2019)","previouslyFormattedCitation":"(Athreya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(Athreya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31E912D3" w14:textId="77777777" w:rsidR="00CC38B2" w:rsidRPr="00C126BD" w:rsidRDefault="00CC38B2">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4A1F564E" w14:textId="7CDECEE5" w:rsidR="00CC38B2" w:rsidRPr="00C126BD" w:rsidRDefault="00C73DE7" w:rsidP="00C126BD">
            <w:pPr>
              <w:rPr>
                <w:rFonts w:ascii="Calibri" w:eastAsia="Times New Roman" w:hAnsi="Calibri" w:cs="Calibri"/>
                <w:color w:val="000000"/>
                <w:sz w:val="16"/>
                <w:szCs w:val="16"/>
              </w:rPr>
            </w:pPr>
            <w:r w:rsidRPr="00C73DE7">
              <w:rPr>
                <w:rFonts w:ascii="Calibri" w:eastAsia="Times New Roman" w:hAnsi="Calibri" w:cs="Calibri"/>
                <w:color w:val="000000"/>
                <w:sz w:val="16"/>
                <w:szCs w:val="16"/>
              </w:rPr>
              <w:t>QIDS-C</w:t>
            </w:r>
            <w:r w:rsidR="00E7116E">
              <w:rPr>
                <w:rFonts w:ascii="Calibri" w:eastAsia="Times New Roman" w:hAnsi="Calibri" w:cs="Calibri"/>
                <w:color w:val="000000"/>
                <w:sz w:val="16"/>
                <w:szCs w:val="16"/>
              </w:rPr>
              <w:t xml:space="preserve">, </w:t>
            </w:r>
            <w:r w:rsidR="00E7116E" w:rsidRPr="00E7116E">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2B5505A1" w14:textId="11EA8178" w:rsidR="00CC38B2" w:rsidRPr="00C126BD" w:rsidRDefault="00431CBE"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5583E3B2" w14:textId="4CB087C2"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990" w:type="dxa"/>
            <w:tcBorders>
              <w:top w:val="single" w:sz="4" w:space="0" w:color="auto"/>
              <w:left w:val="single" w:sz="4" w:space="0" w:color="auto"/>
              <w:bottom w:val="single" w:sz="4" w:space="0" w:color="auto"/>
              <w:right w:val="single" w:sz="4" w:space="0" w:color="auto"/>
            </w:tcBorders>
            <w:noWrap/>
            <w:hideMark/>
          </w:tcPr>
          <w:p w14:paraId="3FC30299"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630" w:type="dxa"/>
            <w:tcBorders>
              <w:top w:val="single" w:sz="4" w:space="0" w:color="auto"/>
              <w:left w:val="single" w:sz="4" w:space="0" w:color="auto"/>
              <w:bottom w:val="single" w:sz="4" w:space="0" w:color="auto"/>
              <w:right w:val="single" w:sz="4" w:space="0" w:color="auto"/>
            </w:tcBorders>
            <w:noWrap/>
            <w:hideMark/>
          </w:tcPr>
          <w:p w14:paraId="374786BE"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0.86</w:t>
            </w:r>
          </w:p>
        </w:tc>
        <w:tc>
          <w:tcPr>
            <w:tcW w:w="900" w:type="dxa"/>
            <w:tcBorders>
              <w:top w:val="single" w:sz="4" w:space="0" w:color="auto"/>
              <w:left w:val="single" w:sz="4" w:space="0" w:color="auto"/>
              <w:bottom w:val="single" w:sz="4" w:space="0" w:color="auto"/>
              <w:right w:val="single" w:sz="4" w:space="0" w:color="auto"/>
            </w:tcBorders>
            <w:noWrap/>
            <w:hideMark/>
          </w:tcPr>
          <w:p w14:paraId="4E08F4B9"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144</w:t>
            </w:r>
          </w:p>
        </w:tc>
        <w:tc>
          <w:tcPr>
            <w:tcW w:w="900" w:type="dxa"/>
            <w:tcBorders>
              <w:top w:val="single" w:sz="4" w:space="0" w:color="auto"/>
              <w:left w:val="single" w:sz="4" w:space="0" w:color="auto"/>
              <w:bottom w:val="single" w:sz="4" w:space="0" w:color="auto"/>
              <w:right w:val="single" w:sz="4" w:space="0" w:color="auto"/>
            </w:tcBorders>
            <w:noWrap/>
            <w:hideMark/>
          </w:tcPr>
          <w:p w14:paraId="48A144E8"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0.75</w:t>
            </w:r>
          </w:p>
        </w:tc>
        <w:tc>
          <w:tcPr>
            <w:tcW w:w="900" w:type="dxa"/>
            <w:tcBorders>
              <w:top w:val="single" w:sz="4" w:space="0" w:color="auto"/>
              <w:left w:val="single" w:sz="4" w:space="0" w:color="auto"/>
              <w:bottom w:val="single" w:sz="4" w:space="0" w:color="auto"/>
              <w:right w:val="single" w:sz="4" w:space="0" w:color="auto"/>
            </w:tcBorders>
            <w:noWrap/>
            <w:hideMark/>
          </w:tcPr>
          <w:p w14:paraId="6DDD611A"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0.74</w:t>
            </w:r>
          </w:p>
        </w:tc>
        <w:tc>
          <w:tcPr>
            <w:tcW w:w="540" w:type="dxa"/>
            <w:tcBorders>
              <w:top w:val="single" w:sz="4" w:space="0" w:color="auto"/>
              <w:left w:val="single" w:sz="4" w:space="0" w:color="auto"/>
              <w:bottom w:val="single" w:sz="4" w:space="0" w:color="auto"/>
              <w:right w:val="single" w:sz="4" w:space="0" w:color="auto"/>
            </w:tcBorders>
            <w:noWrap/>
            <w:hideMark/>
          </w:tcPr>
          <w:p w14:paraId="60E32711" w14:textId="77777777" w:rsidR="00CC38B2" w:rsidRPr="00C126BD" w:rsidRDefault="00CC38B2">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055EA480"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182</w:t>
            </w:r>
          </w:p>
        </w:tc>
      </w:tr>
      <w:tr w:rsidR="00D70E73" w:rsidRPr="00C73DE7" w14:paraId="1B2DC7B5" w14:textId="77777777" w:rsidTr="00C126BD">
        <w:trPr>
          <w:trHeight w:val="64"/>
        </w:trPr>
        <w:tc>
          <w:tcPr>
            <w:tcW w:w="3060" w:type="dxa"/>
            <w:tcBorders>
              <w:top w:val="single" w:sz="4" w:space="0" w:color="auto"/>
              <w:left w:val="single" w:sz="4" w:space="0" w:color="auto"/>
              <w:bottom w:val="single" w:sz="4" w:space="0" w:color="auto"/>
              <w:right w:val="single" w:sz="4" w:space="0" w:color="auto"/>
            </w:tcBorders>
            <w:noWrap/>
            <w:hideMark/>
          </w:tcPr>
          <w:p w14:paraId="23A3E897" w14:textId="7E131476" w:rsidR="00CC38B2" w:rsidRPr="00C126BD" w:rsidRDefault="00CC38B2" w:rsidP="00453DC5">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{"citationItems":[{"id":"ITEM-1","itemData":{"DOI":"10.1016/j.brs.2017.10.015","ISBN":"1876-4754 (Electronic)\r1876-4754 (Linking)","ISSN":"18764754","PMID":"29128490","abstract":"Background Repetitive transcranial magnetic stimulation (rTMS) is an effective treatment for depression, but only some individuals respond. Predicting response could reduce patient and clinical burden. Neural activity related to working memory (WM) has been related to mood improvements, so may represent a biomarker for response prediction. Primary hypotheses We expected higher theta and alpha activity in responders compared to non-responders to rTMS. Methods Fifty patients with treatment resistant depression and twenty controls performed a WM task while electroencephalography (EEG) was recorded. Patients underwent 5–8 weeks of rTMS treatment, repeating the EEG at week 1 (W1). Of the 39 participants with valid WM-related EEG data from baseline and W1, 10 were responders. Comparisons between responders and non-responders were made at baseline and W1 for measures of theta (4–8 Hz), upper alpha (10–12.5 Hz), and gamma (30–45 Hz) power, connectivity, and theta-gamma coupling. The control group's measures were compared to the depression group's baseline measures separately. Results Responders showed higher levels of WM-related fronto-midline theta power and theta connectivity compared to non-responders at baseline and W1. Responder's fronto-midline theta power and connectivity was similar to controls. Responders also showed an increase in gamma connectivity from baseline to W1, with a concurrent improvement in mood and WM reaction times. An unbiased combination of all measures provided mean sensitivity of 0.90 at predicting responders and specificity of 0.92 in a predictive machine learning algorithm. Conclusion Baseline and W1 fronto-midline theta power and theta connectivity show good potential for predicting response to rTMS treatment for depression.","author":[{"dropping-particle":"","family":"Bailey","given":"N. W.","non-dropping-particle":"","parse-names":false,"suffix":""},{"dropping-particle":"","family":"Hoy","given":"K. E.","non-dropping-particle":"","parse-names":false,"suffix":""},{"dropping-particle":"","family":"Rogasch","given":"N. C.","non-dropping-particle":"","parse-names":false,"suffix":""},{"dropping-particle":"","family":"Thomson","given":"R. H.","non-dropping-particle":"","parse-names":false,"suffix":""},{"dropping-particle":"","family":"McQueen","given":"S.","non-dropping-particle":"","parse-names":false,"suffix":""},{"dropping-particle":"","family":"Elliot","given":"D.","non-dropping-particle":"","parse-names":false,"suffix":""},{"dropping-particle":"","family":"Sullivan","given":"C. M.","non-dropping-particle":"","parse-names":false,"suffix":""},{"dropping-particle":"","family":"Fulcher","given":"B. D.","non-dropping-particle":"","parse-names":false,"suffix":""},{"dropping-particle":"","family":"Daskalakis","given":"Z. J.","non-dropping-particle":"","parse-names":false,"suffix":""},{"dropping-particle":"","family":"Fitzgerald","given":"P. B.","non-dropping-particle":"","parse-names":false,"suffix":""}],"container-title":"Brain Stimulation","edition":"2017/11/13","id":"ITEM-1","issue":"1","issued":{"date-parts":[["2018"]]},"note":"Bailey, N W\nHoy, K E\nRogasch, N C\nThomson, R H\nMcQueen, S\nElliot, D\nSullivan, C M\nFulcher, B D\nDaskalakis, Z J\nFitzgerald, P B\neng\nClinical Trial\nComparative Study\nResearch Support, Non-U.S. Gov't\nBrain Stimul. 2018 Jan - Feb;11(1):190-203. doi: 10.1016/j.brs.2017.10.015. Epub 2017 Oct 27.","page":"190-203","title":"Responders to rTMS for depression show increased fronto-midline theta and theta connectivity compared to non-responders","type":"article-journal","volume":"11"},"uris":["http://www.mendeley.com/documents/?uuid=8d3e55e2-9206-48a9-a5b0-b7fdc11af322"]}],"mendeley":{"formattedCitation":"(Bailey et al., 2018)","plainTextFormattedCitation":"(Bailey et al., 2018)","previouslyFormattedCitation":"(Bailey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(Bailey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621EA565" w14:textId="77777777" w:rsidR="00CC38B2" w:rsidRPr="00C126BD" w:rsidRDefault="00CC38B2">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9C5732A" w14:textId="1552A7BC" w:rsidR="00CC38B2" w:rsidRPr="00C126BD" w:rsidRDefault="007F5A72">
            <w:pPr>
              <w:rPr>
                <w:rFonts w:ascii="Calibri" w:eastAsia="Times New Roman" w:hAnsi="Calibri" w:cs="Calibri"/>
                <w:color w:val="000000"/>
                <w:sz w:val="16"/>
                <w:szCs w:val="16"/>
              </w:rPr>
            </w:pPr>
            <w:r w:rsidRPr="007F5A72">
              <w:rPr>
                <w:rFonts w:ascii="Calibri" w:eastAsia="Times New Roman" w:hAnsi="Calibri" w:cs="Calibri"/>
                <w:color w:val="000000"/>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77198996" w14:textId="2A4A6E2D" w:rsidR="00CC38B2" w:rsidRPr="00C126BD" w:rsidRDefault="00431CBE">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4CBC0AE7" w14:textId="77C5B765" w:rsidR="00CC38B2" w:rsidRPr="00C126BD" w:rsidRDefault="00CC38B2">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4FB1961"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0.91</w:t>
            </w:r>
          </w:p>
        </w:tc>
        <w:tc>
          <w:tcPr>
            <w:tcW w:w="630" w:type="dxa"/>
            <w:tcBorders>
              <w:top w:val="single" w:sz="4" w:space="0" w:color="auto"/>
              <w:left w:val="single" w:sz="4" w:space="0" w:color="auto"/>
              <w:bottom w:val="single" w:sz="4" w:space="0" w:color="auto"/>
              <w:right w:val="single" w:sz="4" w:space="0" w:color="auto"/>
            </w:tcBorders>
            <w:noWrap/>
            <w:hideMark/>
          </w:tcPr>
          <w:p w14:paraId="100999CC" w14:textId="77777777" w:rsidR="00CC38B2" w:rsidRPr="00C126BD" w:rsidRDefault="00CC38B2">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B5DEEBD" w14:textId="77777777" w:rsidR="00CC38B2" w:rsidRPr="00C126BD" w:rsidRDefault="00CC38B2">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39</w:t>
            </w:r>
          </w:p>
        </w:tc>
        <w:tc>
          <w:tcPr>
            <w:tcW w:w="900" w:type="dxa"/>
            <w:tcBorders>
              <w:top w:val="single" w:sz="4" w:space="0" w:color="auto"/>
              <w:left w:val="single" w:sz="4" w:space="0" w:color="auto"/>
              <w:bottom w:val="single" w:sz="4" w:space="0" w:color="auto"/>
              <w:right w:val="single" w:sz="4" w:space="0" w:color="auto"/>
            </w:tcBorders>
            <w:noWrap/>
            <w:hideMark/>
          </w:tcPr>
          <w:p w14:paraId="3D9CBB60" w14:textId="77777777" w:rsidR="00CC38B2" w:rsidRPr="00C126BD" w:rsidRDefault="00CC38B2">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0CD2F3C" w14:textId="77777777" w:rsidR="00CC38B2" w:rsidRPr="00C126BD" w:rsidRDefault="00CC38B2">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A99F714" w14:textId="77777777" w:rsidR="00CC38B2" w:rsidRPr="00C126BD" w:rsidRDefault="00CC38B2">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FA86B6C" w14:textId="77777777" w:rsidR="00CC38B2" w:rsidRPr="00C126BD" w:rsidRDefault="00CC38B2">
            <w:pPr>
              <w:rPr>
                <w:rFonts w:ascii="Calibri" w:hAnsi="Calibri" w:cs="Calibri"/>
                <w:sz w:val="16"/>
                <w:szCs w:val="16"/>
              </w:rPr>
            </w:pPr>
          </w:p>
        </w:tc>
      </w:tr>
      <w:tr w:rsidR="00664D9B" w:rsidRPr="00C73DE7" w14:paraId="40F2E3ED"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6532A71" w14:textId="3D0EDB98"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{"citationItems":[{"id":"ITEM-1","itemData":{"DOI":"10.1016/j.jad.2018.08.058","ISBN":"1573-2517 (Electronic)\r0165-0327 (Linking)","ISSN":"15732517","PMID":"30172227","abstract":"Background: Non-response to repetitive transcranial magnetic stimulation (rTMS) treatment for depression is costly for both patients and clinics. Simple and cheap methods to predict response would reduce this burden. Resting EEG measures differentiate responders from non-responders, so may have utility for response prediction. Methods: Fifty patients with treatment resistant depression and 21 controls had resting electroencephalography (EEG) recorded at baseline (BL). Patients underwent 5–8 weeks of rTMS treatment, with EEG recordings repeated at week 1 (W1). Forty-two participants had valid BL and W1 EEG data, and 12 were responders. Responders and non-responders were compared at BL and W1 in measures of theta (4–8 Hz) and alpha (8–13 Hz) power and connectivity, frontal theta cordance and alpha peak frequency. Control group comparisons were made for measures that differed between responders and non-responders. A machine learning algorithm assessed the potential to differentiate responders from non-responders using EEG measures in combination with change in depression scores from BL to W1. Results: Responders showed elevated theta connectivity across BL and W1. No other EEG measures differed between groups. Responders could be distinguished from non-responders with a mean sensitivity of 0.84 (p = 0.001) and specificity of 0.89 (p = 0.002) using cross-validated machine learning classification on the combination of all EEG and mood measures. Limitations: The low response rate limited our sample size to only 12 responders. Conclusion: Resting theta connectivity at BL and W1 differ between responders and non-responders, and show potential for predicting response to rTMS treatment for depression.","author":[{"dropping-particle":"","family":"Bailey","given":"N. W.","non-dropping-particle":"","parse-names":false,"suffix":""},{"dropping-particle":"","family":"Hoy","given":"K. E.","non-dropping-particle":"","parse-names":false,"suffix":""},{"dropping-particle":"","family":"Rogasch","given":"N. C.","non-dropping-particle":"","parse-names":false,"suffix":""},{"dropping-particle":"","family":"Thomson","given":"R. H.","non-dropping-particle":"","parse-names":false,"suffix":""},{"dropping-particle":"","family":"McQueen","given":"S.","non-dropping-particle":"","parse-names":false,"suffix":""},{"dropping-particle":"","family":"Elliot","given":"D.","non-dropping-particle":"","parse-names":false,"suffix":""},{"dropping-particle":"","family":"Sullivan","given":"C. M.","non-dropping-particle":"","parse-names":false,"suffix":""},{"dropping-particle":"","family":"Fulcher","given":"B. D.","non-dropping-particle":"","parse-names":false,"suffix":""},{"dropping-particle":"","family":"Daskalakis","given":"Z. J.","non-dropping-particle":"","parse-names":false,"suffix":""},{"dropping-particle":"","family":"Fitzgerald","given":"P. B.","non-dropping-particle":"","parse-names":false,"suffix":""}],"container-title":"Journal of Affective Disorders","edition":"2018/09/02","id":"ITEM-1","issued":{"date-parts":[["2019"]]},"note":"Bailey, N W\nHoy, K E\nRogasch, N C\nThomson, R H\nMcQueen, S\nElliot, D\nSullivan, C M\nFulcher, B D\nDaskalakis, Z J\nFitzgerald, P B\neng\nResearch Support, Non-U.S. Gov't\nNetherlands\nJ Affect Disord. 2019 Jan 1;242:68-79. doi: 10.1016/j.jad.2018.08.058. Epub 2018 Aug 14.","page":"68-79","title":"Differentiating responders and non-responders to rTMS treatment for depression after one week using resting EEG connectivity measures","type":"article-journal","volume":"242"},"uris":["http://www.mendeley.com/documents/?uuid=97993875-4440-4d0d-b91b-342769fe703d"]}],"mendeley":{"formattedCitation":"(Bailey et al., 2019)","plainTextFormattedCitation":"(Bailey et al., 2019)","previouslyFormattedCitation":"(Bailey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(Bailey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7F901A06"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3D69645" w14:textId="7BDDD0A9" w:rsidR="00664D9B" w:rsidRPr="00C126BD" w:rsidRDefault="007F5A72">
            <w:pPr>
              <w:rPr>
                <w:rFonts w:ascii="Calibri" w:eastAsia="Times New Roman" w:hAnsi="Calibri" w:cs="Calibri"/>
                <w:color w:val="000000"/>
                <w:sz w:val="16"/>
                <w:szCs w:val="16"/>
              </w:rPr>
            </w:pPr>
            <w:r w:rsidRPr="007F5A72">
              <w:rPr>
                <w:rFonts w:ascii="Calibri" w:eastAsia="Times New Roman" w:hAnsi="Calibri" w:cs="Calibri"/>
                <w:color w:val="000000"/>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4CD47E61" w14:textId="606A957E"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56434460" w14:textId="29C02EEA"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DA2FBC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630" w:type="dxa"/>
            <w:tcBorders>
              <w:top w:val="single" w:sz="4" w:space="0" w:color="auto"/>
              <w:left w:val="single" w:sz="4" w:space="0" w:color="auto"/>
              <w:bottom w:val="single" w:sz="4" w:space="0" w:color="auto"/>
              <w:right w:val="single" w:sz="4" w:space="0" w:color="auto"/>
            </w:tcBorders>
            <w:noWrap/>
            <w:hideMark/>
          </w:tcPr>
          <w:p w14:paraId="20A2DB0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2B8DF8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42</w:t>
            </w:r>
          </w:p>
        </w:tc>
        <w:tc>
          <w:tcPr>
            <w:tcW w:w="900" w:type="dxa"/>
            <w:tcBorders>
              <w:top w:val="single" w:sz="4" w:space="0" w:color="auto"/>
              <w:left w:val="single" w:sz="4" w:space="0" w:color="auto"/>
              <w:bottom w:val="single" w:sz="4" w:space="0" w:color="auto"/>
              <w:right w:val="single" w:sz="4" w:space="0" w:color="auto"/>
            </w:tcBorders>
            <w:noWrap/>
            <w:hideMark/>
          </w:tcPr>
          <w:p w14:paraId="296404E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D1DCB7D"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7B1480FA"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5CA4FFB6" w14:textId="77777777" w:rsidR="00664D9B" w:rsidRPr="00C126BD" w:rsidRDefault="00664D9B" w:rsidP="00664D9B">
            <w:pPr>
              <w:rPr>
                <w:rFonts w:ascii="Calibri" w:hAnsi="Calibri" w:cs="Calibri"/>
                <w:sz w:val="16"/>
                <w:szCs w:val="16"/>
              </w:rPr>
            </w:pPr>
          </w:p>
        </w:tc>
      </w:tr>
      <w:tr w:rsidR="00664D9B" w:rsidRPr="00C73DE7" w14:paraId="0AA95A9A" w14:textId="77777777" w:rsidTr="00C126BD">
        <w:trPr>
          <w:trHeight w:val="100"/>
        </w:trPr>
        <w:tc>
          <w:tcPr>
            <w:tcW w:w="3060" w:type="dxa"/>
            <w:tcBorders>
              <w:top w:val="single" w:sz="4" w:space="0" w:color="auto"/>
              <w:left w:val="single" w:sz="4" w:space="0" w:color="auto"/>
              <w:bottom w:val="single" w:sz="4" w:space="0" w:color="auto"/>
              <w:right w:val="single" w:sz="4" w:space="0" w:color="auto"/>
            </w:tcBorders>
            <w:noWrap/>
            <w:hideMark/>
          </w:tcPr>
          <w:p w14:paraId="411EC9C6" w14:textId="2B5056D1"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{"citationItems":[{"id":"ITEM-1","itemData":{"DOI":"10.1038/s41386-018-0122-9","ISBN":"1740-634X (Electronic)\r0893-133X (Linking)","ISSN":"1740634X","PMID":"29955151","abstract":"To date, there are no biomarkers for major depressive disorder (MDD) treatment response in clinical use. Such biomarkers could allow for individualized treatment selection, reducing time spent on ineffective treatments and the burden of MDD. In search of such a biomarker, multisite pretreatment and early-treatment (1 week into treatment) structural magnetic resonance (MR) images were acquired from 184 patients with MDD randomized to an 8-week trial of the selective serotonin reuptake inhibitor (SSRI) sertraline or placebo. This study represents a large, multisite, placebo-controlled effort to examine the association between pretreatment differences or early-treatment changes in cortical thickness and treatment-specific outcomes. For standardization, a novel, robust site harmonization procedure was applied to structural measures in a priori regions (rostral and caudal anterior cingulate, lateral orbitofrontal, rostral middle frontal, and hippocampus), chosen based on previously published reports. Pretreatment cortical thickness or volume did not significantly associate with SSRI response. Thickening of the rostral anterior cingulate cortex in the first week of treatment was associated with better 8-week responses to SSRI (p = 0.010). These findings indicate that frontal lobe structural alterations in the first week of treatment may be associated with long-term treatment efficacy. While these associational findings may help to elucidate the specific neural targets of SSRIs, the predictive accuracy of pretreatment or early-treatment structural alterations in classifying treatment remitters from nonremitters was limited to 63.9%. Therefore, in this large sample of adults with MDD, structural MR imaging measures were not found to be clinically translatable biomarkers of treatment response to SSRI or placebo.","author":[{"dropping-particle":"","family":"Bartlett","given":"Elizabeth A.","non-dropping-particle":"","parse-names":false,"suffix":""},{"dropping-particle":"","family":"DeLorenzo","given":"Christine","non-dropping-particle":"","parse-names":false,"suffix":""},{"dropping-particle":"","family":"Sharma","given":"Priya","non-dropping-particle":"","parse-names":false,"suffix":""},{"dropping-particle":"","family":"Yang","given":"Jie","non-dropping-particle":"","parse-names":false,"suffix":""},{"dropping-particle":"","family":"Zhang","given":"Mengru","non-dropping-particle":"","parse-names":false,"suffix":""},{"dropping-particle":"","family":"Petkova","given":"Eva","non-dropping-particle":"","parse-names":false,"suffix":""},{"dropping-particle":"","family":"Weissman","given":"Myrna","non-dropping-particle":"","parse-names":false,"suffix":""},{"dropping-particle":"","family":"McGrath","given":"Patrick J.","non-dropping-particle":"","parse-names":false,"suffix":""},{"dropping-particle":"","family":"Fava","given":"Maurizio","non-dropping-particle":"","parse-names":false,"suffix":""},{"dropping-particle":"","family":"Ogden","given":"R. Todd","non-dropping-particle":"","parse-names":false,"suffix":""},{"dropping-particle":"","family":"Kurian","given":"Benji T.","non-dropping-particle":"","parse-names":false,"suffix":""},{"dropping-particle":"","family":"Malchow","given":"Ashley","non-dropping-particle":"","parse-names":false,"suffix":""},{"dropping-particle":"","family":"Cooper","given":"Crystal M.","non-dropping-particle":"","parse-names":false,"suffix":""},{"dropping-particle":"","family":"Trombello","given":"Joseph M.","non-dropping-particle":"","parse-names":false,"suffix":""},{"dropping-particle":"","family":"McInnis","given":"Melvin","non-dropping-particle":"","parse-names":false,"suffix":""},{"dropping-particle":"","family":"Adams","given":"Phillip","non-dropping-particle":"","parse-names":false,"suffix":""},{"dropping-particle":"","family":"Oquendo","given":"Maria A.","non-dropping-particle":"","parse-names":false,"suffix":""},{"dropping-particle":"","family":"Pizzagalli","given":"Diego A.","non-dropping-particle":"","parse-names":false,"suffix":""},{"dropping-particle":"","family":"Trivedi","given":"Madhukar","non-dropping-particle":"","parse-names":false,"suffix":""},{"dropping-particle":"V.","family":"Parsey","given":"Ramin","non-dropping-particle":"","parse-names":false,"suffix":""}],"container-title":"Neuropsychopharmacology","edition":"2018/06/30","id":"ITEM-1","issue":"11","issued":{"date-parts":[["2018"]]},"note":"Bartlett, Elizabeth A\nDeLorenzo, Christine\nSharma, Priya\nYang, Jie\nZhang, Mengru\nPetkova, Eva\nWeissman, Myrna\nMcGrath, Patrick J\nFava, Maurizio\nOgden, R Todd\nKurian, Benji T\nMalchow, Ashley\nCooper, Crystal M\nTrombello, Joseph M\nMcInnis, Melvin\nAdams, Phillip\nOquendo, Maria A\nPizzagalli, Diego A\nTrivedi, Madhukar\nParsey, Ramin V\neng\nU01 MH092221/MH/NIMH NIH HHS/\nU01 MH092250/MH/NIMH NIH HHS/\nU01MH092250/U.S. Department of Health &amp;amp; Human Services | NIH | National Institute of Mental Health (NIMH)/International\nU01MH092221/U.S. Department of Health &amp;amp; Human Services | NIH | National Institute of Mental Health (NIMH)/International\nMulticenter Study\nRandomized Controlled Trial\nResearch Support, N.I.H., Extramural\nResearch Support, Non-U.S. Gov't\nEngland\nNeuropsychopharmacology. 2018 Oct;43(11):2221-2230. doi: 10.1038/s41386-018-0122-9. Epub 2018 Jun 19.","page":"2221-2230","title":"Pretreatment and early-treatment cortical thickness is associated with SSRI treatment response in major depressive disorder","type":"article-journal","volume":"43"},"uris":["http://www.mendeley.com/documents/?uuid=a2ef1beb-cc3e-40bc-81a9-2254e32a0885"]}],"mendeley":{"formattedCitation":"(Bartlett et al., 2018)","plainTextFormattedCitation":"(Bartlett et al., 2018)","previouslyFormattedCitation":"(Bartlett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(Bartlett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52F8021"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4AEACF00" w14:textId="3C77344E" w:rsidR="00664D9B" w:rsidRPr="00C126BD" w:rsidRDefault="00664D9B" w:rsidP="00C126BD">
            <w:pPr>
              <w:rPr>
                <w:rFonts w:ascii="Calibri" w:eastAsia="Times New Roman" w:hAnsi="Calibri" w:cs="Calibri"/>
                <w:color w:val="000000"/>
                <w:sz w:val="16"/>
                <w:szCs w:val="16"/>
              </w:rPr>
            </w:pPr>
            <w:r w:rsidRPr="00431CBE">
              <w:rPr>
                <w:rFonts w:ascii="Calibri" w:eastAsia="Times New Roman" w:hAnsi="Calibri" w:cs="Calibri"/>
                <w:color w:val="000000"/>
                <w:sz w:val="16"/>
                <w:szCs w:val="16"/>
              </w:rPr>
              <w:t>HDRS-17</w:t>
            </w:r>
          </w:p>
        </w:tc>
        <w:tc>
          <w:tcPr>
            <w:tcW w:w="990" w:type="dxa"/>
            <w:tcBorders>
              <w:top w:val="single" w:sz="4" w:space="0" w:color="auto"/>
              <w:left w:val="single" w:sz="4" w:space="0" w:color="auto"/>
              <w:bottom w:val="single" w:sz="4" w:space="0" w:color="auto"/>
              <w:right w:val="single" w:sz="4" w:space="0" w:color="auto"/>
            </w:tcBorders>
          </w:tcPr>
          <w:p w14:paraId="3BE7C68C" w14:textId="7AC8768E"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1A534B9B" w14:textId="0F0131FF"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0.62</w:t>
            </w:r>
          </w:p>
        </w:tc>
        <w:tc>
          <w:tcPr>
            <w:tcW w:w="990" w:type="dxa"/>
            <w:tcBorders>
              <w:top w:val="single" w:sz="4" w:space="0" w:color="auto"/>
              <w:left w:val="single" w:sz="4" w:space="0" w:color="auto"/>
              <w:bottom w:val="single" w:sz="4" w:space="0" w:color="auto"/>
              <w:right w:val="single" w:sz="4" w:space="0" w:color="auto"/>
            </w:tcBorders>
            <w:noWrap/>
            <w:hideMark/>
          </w:tcPr>
          <w:p w14:paraId="08883614" w14:textId="77777777" w:rsidR="00664D9B" w:rsidRPr="00C126BD" w:rsidRDefault="00664D9B" w:rsidP="00664D9B">
            <w:pPr>
              <w:jc w:val="center"/>
              <w:rPr>
                <w:rFonts w:ascii="Calibri" w:eastAsia="Times New Roman" w:hAnsi="Calibri" w:cs="Calibri"/>
                <w:sz w:val="16"/>
                <w:szCs w:val="16"/>
              </w:rPr>
            </w:pPr>
            <w:r w:rsidRPr="00C126BD">
              <w:rPr>
                <w:rFonts w:ascii="Calibri" w:eastAsia="Times New Roman" w:hAnsi="Calibri" w:cs="Calibri"/>
                <w:sz w:val="16"/>
                <w:szCs w:val="16"/>
              </w:rPr>
              <w:t>0.52</w:t>
            </w:r>
          </w:p>
        </w:tc>
        <w:tc>
          <w:tcPr>
            <w:tcW w:w="630" w:type="dxa"/>
            <w:tcBorders>
              <w:top w:val="single" w:sz="4" w:space="0" w:color="auto"/>
              <w:left w:val="single" w:sz="4" w:space="0" w:color="auto"/>
              <w:bottom w:val="single" w:sz="4" w:space="0" w:color="auto"/>
              <w:right w:val="single" w:sz="4" w:space="0" w:color="auto"/>
            </w:tcBorders>
            <w:noWrap/>
            <w:hideMark/>
          </w:tcPr>
          <w:p w14:paraId="6C8F5CA7" w14:textId="77777777" w:rsidR="00664D9B" w:rsidRPr="00C126BD" w:rsidRDefault="00664D9B" w:rsidP="00664D9B">
            <w:pPr>
              <w:jc w:val="center"/>
              <w:rPr>
                <w:rFonts w:ascii="Calibri" w:eastAsia="Times New Roman" w:hAnsi="Calibri" w:cs="Calibri"/>
                <w:sz w:val="16"/>
                <w:szCs w:val="16"/>
              </w:rPr>
            </w:pPr>
            <w:r w:rsidRPr="00C126BD">
              <w:rPr>
                <w:rFonts w:ascii="Calibri" w:eastAsia="Times New Roman" w:hAnsi="Calibri" w:cs="Calibri"/>
                <w:sz w:val="16"/>
                <w:szCs w:val="16"/>
              </w:rPr>
              <w:t>0.62</w:t>
            </w:r>
          </w:p>
        </w:tc>
        <w:tc>
          <w:tcPr>
            <w:tcW w:w="900" w:type="dxa"/>
            <w:tcBorders>
              <w:top w:val="single" w:sz="4" w:space="0" w:color="auto"/>
              <w:left w:val="single" w:sz="4" w:space="0" w:color="auto"/>
              <w:bottom w:val="single" w:sz="4" w:space="0" w:color="auto"/>
              <w:right w:val="single" w:sz="4" w:space="0" w:color="auto"/>
            </w:tcBorders>
            <w:noWrap/>
            <w:hideMark/>
          </w:tcPr>
          <w:p w14:paraId="52E2662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184</w:t>
            </w:r>
          </w:p>
        </w:tc>
        <w:tc>
          <w:tcPr>
            <w:tcW w:w="900" w:type="dxa"/>
            <w:tcBorders>
              <w:top w:val="single" w:sz="4" w:space="0" w:color="auto"/>
              <w:left w:val="single" w:sz="4" w:space="0" w:color="auto"/>
              <w:bottom w:val="single" w:sz="4" w:space="0" w:color="auto"/>
              <w:right w:val="single" w:sz="4" w:space="0" w:color="auto"/>
            </w:tcBorders>
            <w:noWrap/>
          </w:tcPr>
          <w:p w14:paraId="5274FCBE" w14:textId="77777777" w:rsidR="00664D9B" w:rsidRPr="00C126BD" w:rsidRDefault="00664D9B" w:rsidP="00664D9B">
            <w:pPr>
              <w:jc w:val="cente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6D10EF6B" w14:textId="77777777" w:rsidR="00664D9B" w:rsidRPr="00C126BD" w:rsidRDefault="00664D9B" w:rsidP="00664D9B">
            <w:pPr>
              <w:jc w:val="center"/>
              <w:rPr>
                <w:rFonts w:ascii="Calibri" w:eastAsia="Times New Roman" w:hAnsi="Calibri" w:cs="Calibri"/>
                <w:color w:val="000000"/>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3DBDD960" w14:textId="77777777" w:rsidR="00664D9B" w:rsidRPr="00C126BD" w:rsidRDefault="00664D9B" w:rsidP="00664D9B">
            <w:pPr>
              <w:jc w:val="cente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37491B4E" w14:textId="77777777" w:rsidR="00664D9B" w:rsidRPr="00C126BD" w:rsidRDefault="00664D9B" w:rsidP="00664D9B">
            <w:pPr>
              <w:jc w:val="center"/>
              <w:rPr>
                <w:rFonts w:ascii="Calibri" w:eastAsia="Times New Roman" w:hAnsi="Calibri" w:cs="Calibri"/>
                <w:color w:val="000000"/>
                <w:sz w:val="16"/>
                <w:szCs w:val="16"/>
              </w:rPr>
            </w:pPr>
          </w:p>
        </w:tc>
      </w:tr>
      <w:tr w:rsidR="00664D9B" w:rsidRPr="00C73DE7" w14:paraId="4E403522" w14:textId="77777777" w:rsidTr="00C126BD">
        <w:trPr>
          <w:trHeight w:val="172"/>
        </w:trPr>
        <w:tc>
          <w:tcPr>
            <w:tcW w:w="3060" w:type="dxa"/>
            <w:tcBorders>
              <w:top w:val="single" w:sz="4" w:space="0" w:color="auto"/>
              <w:left w:val="single" w:sz="4" w:space="0" w:color="auto"/>
              <w:bottom w:val="single" w:sz="4" w:space="0" w:color="auto"/>
              <w:right w:val="single" w:sz="4" w:space="0" w:color="auto"/>
            </w:tcBorders>
            <w:noWrap/>
            <w:hideMark/>
          </w:tcPr>
          <w:p w14:paraId="1E058291" w14:textId="14116914"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{"citationItems":[{"id":"ITEM-1","itemData":{"DOI":"10.1016/j.euroneuro.2018.11.1102","ISBN":"1873-7862 (Electronic)\r0924-977X (Linking)","ISSN":"18737862","PMID":"30473402","abstract":"Antidepressants must be taken for weeks before response can be assessed with many patients not responding to the first medication prescribed. This often results in long delays before effective treatment is started. Antidepressants induce changes in the processing of emotional stimuli early in the course of treatment. In the current study we assessed whether changes in emotional processing and subjective symptoms over the first week of antidepressant treatment predicted clinical response after 4–8 weeks of treatment. Such a predictive test may shorten the time taken to initiate effective treatment in depressed patients. Seventy-four depressed primary care patients completed measures of emotional bias and subjective symptoms before starting antidepressant treatment and then again 1 week later. Response to treatment was assessed after 4–6 weeks. The performance of classifiers based on these measures was assessed using a leave-one-out validation procedure with the best classifier then tested in an independent sample from a second study of 239 patients. The combination of a facial emotion recognition task and subjective symptoms predicted response with 77% accuracy in the training sample and 60% accuracy in the independent study, significantly better than possible using baseline response rates. The face based measure of emotional bias provided good quality data with high acceptability ratings. Changes in emotional processing can provide a sensitive early measure of antidepressant efficacy for individual patients. Early treatment induced changes in emotional processing may be used to guide antidepressant therapy and reduce the time taken for depressed patients to return to good mental health.","author":[{"dropping-particle":"","family":"Browning","given":"Michael","non-dropping-particle":"","parse-names":false,"suffix":""},{"dropping-particle":"","family":"Kingslake","given":"Jonathan","non-dropping-particle":"","parse-names":false,"suffix":""},{"dropping-particle":"","family":"Dourish","given":"Colin T.","non-dropping-particle":"","parse-names":false,"suffix":""},{"dropping-particle":"","family":"Goodwin","given":"Guy M.","non-dropping-particle":"","parse-names":false,"suffix":""},{"dropping-particle":"","family":"Harmer","given":"Catherine J.","non-dropping-particle":"","parse-names":false,"suffix":""},{"dropping-particle":"","family":"Dawson","given":"Gerard R.","non-dropping-particle":"","parse-names":false,"suffix":""}],"container-title":"European Neuropsychopharmacology","edition":"2018/11/27","id":"ITEM-1","issue":"1","issued":{"date-parts":[["2019"]]},"note":"Browning, Michael\nKingslake, Jonathan\nDourish, Colin T\nGoodwin, Guy M\nHarmer, Catherine J\nDawson, Gerard R\neng\nClinical Trial\nResearch Support, Non-U.S. Gov't\nNetherlands\nEur Neuropsychopharmacol. 2019 Jan;29(1):66-75. doi: 10.1016/j.euroneuro.2018.11.1102. Epub 2018 Nov 22.","page":"66-75","title":"Predicting treatment response to antidepressant medication using early changes in emotional processing","type":"article-journal","volume":"29"},"uris":["http://www.mendeley.com/documents/?uuid=91970e1c-059e-4b2c-8ee4-349876861cc6"]}],"mendeley":{"formattedCitation":"(Browning et al., 2019)","plainTextFormattedCitation":"(Browning et al., 2019)","previouslyFormattedCitation":"(Browning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(Browning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546EA621"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75CFFF2E" w14:textId="76727086" w:rsidR="00664D9B" w:rsidRPr="00C126BD" w:rsidRDefault="00664D9B">
            <w:pPr>
              <w:rPr>
                <w:rFonts w:ascii="Calibri" w:eastAsia="Times New Roman" w:hAnsi="Calibri" w:cs="Calibri"/>
                <w:color w:val="000000"/>
                <w:sz w:val="16"/>
                <w:szCs w:val="16"/>
              </w:rPr>
            </w:pPr>
            <w:r w:rsidRPr="00431CBE">
              <w:rPr>
                <w:rFonts w:ascii="Calibri" w:eastAsia="Times New Roman" w:hAnsi="Calibri" w:cs="Calibri"/>
                <w:color w:val="000000"/>
                <w:sz w:val="16"/>
                <w:szCs w:val="16"/>
              </w:rPr>
              <w:t>QIDS-SR 16</w:t>
            </w:r>
          </w:p>
        </w:tc>
        <w:tc>
          <w:tcPr>
            <w:tcW w:w="990" w:type="dxa"/>
            <w:tcBorders>
              <w:top w:val="single" w:sz="4" w:space="0" w:color="auto"/>
              <w:left w:val="single" w:sz="4" w:space="0" w:color="auto"/>
              <w:bottom w:val="single" w:sz="4" w:space="0" w:color="auto"/>
              <w:right w:val="single" w:sz="4" w:space="0" w:color="auto"/>
            </w:tcBorders>
          </w:tcPr>
          <w:p w14:paraId="5D3FF11E" w14:textId="554AD9A9"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33E81555" w14:textId="45B8CA91"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9873372"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02CD86E4"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1BC909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57</w:t>
            </w:r>
          </w:p>
        </w:tc>
        <w:tc>
          <w:tcPr>
            <w:tcW w:w="900" w:type="dxa"/>
            <w:tcBorders>
              <w:top w:val="single" w:sz="4" w:space="0" w:color="auto"/>
              <w:left w:val="single" w:sz="4" w:space="0" w:color="auto"/>
              <w:bottom w:val="single" w:sz="4" w:space="0" w:color="auto"/>
              <w:right w:val="single" w:sz="4" w:space="0" w:color="auto"/>
            </w:tcBorders>
            <w:noWrap/>
            <w:hideMark/>
          </w:tcPr>
          <w:p w14:paraId="5A0336A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0.59</w:t>
            </w:r>
          </w:p>
        </w:tc>
        <w:tc>
          <w:tcPr>
            <w:tcW w:w="900" w:type="dxa"/>
            <w:tcBorders>
              <w:top w:val="single" w:sz="4" w:space="0" w:color="auto"/>
              <w:left w:val="single" w:sz="4" w:space="0" w:color="auto"/>
              <w:bottom w:val="single" w:sz="4" w:space="0" w:color="auto"/>
              <w:right w:val="single" w:sz="4" w:space="0" w:color="auto"/>
            </w:tcBorders>
            <w:noWrap/>
            <w:hideMark/>
          </w:tcPr>
          <w:p w14:paraId="4853F6E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0.57</w:t>
            </w:r>
          </w:p>
        </w:tc>
        <w:tc>
          <w:tcPr>
            <w:tcW w:w="540" w:type="dxa"/>
            <w:tcBorders>
              <w:top w:val="single" w:sz="4" w:space="0" w:color="auto"/>
              <w:left w:val="single" w:sz="4" w:space="0" w:color="auto"/>
              <w:bottom w:val="single" w:sz="4" w:space="0" w:color="auto"/>
              <w:right w:val="single" w:sz="4" w:space="0" w:color="auto"/>
            </w:tcBorders>
            <w:noWrap/>
            <w:hideMark/>
          </w:tcPr>
          <w:p w14:paraId="58333CFA" w14:textId="77777777" w:rsidR="00664D9B" w:rsidRPr="00C126BD" w:rsidRDefault="00664D9B" w:rsidP="00664D9B">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0B72CD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239</w:t>
            </w:r>
          </w:p>
        </w:tc>
      </w:tr>
      <w:tr w:rsidR="00664D9B" w:rsidRPr="00C73DE7" w14:paraId="2BF6FB7D" w14:textId="77777777" w:rsidTr="00C126BD">
        <w:trPr>
          <w:trHeight w:val="145"/>
        </w:trPr>
        <w:tc>
          <w:tcPr>
            <w:tcW w:w="3060" w:type="dxa"/>
            <w:tcBorders>
              <w:top w:val="single" w:sz="4" w:space="0" w:color="auto"/>
              <w:left w:val="single" w:sz="4" w:space="0" w:color="auto"/>
              <w:bottom w:val="single" w:sz="4" w:space="0" w:color="auto"/>
              <w:right w:val="single" w:sz="4" w:space="0" w:color="auto"/>
            </w:tcBorders>
            <w:noWrap/>
            <w:hideMark/>
          </w:tcPr>
          <w:p w14:paraId="10432AF4" w14:textId="3F2FFBF9"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{"citationItems":[{"id":"ITEM-1","itemData":{"DOI":"10.1038/s41598-018-23685-9","ISBN":"2045-2322","ISSN":"20452322","PMID":"29615675","abstract":"Electroconvulsive therapy (ECT) is one of the most effective treatments for major depression disorder (MDD). ECT can induce neurogenesis and synaptogenesis in hippocampus, which contains distinct subfields, e.g., the cornu ammonis (CA) subfields, a granule cell layer (GCL), a molecular layer (ML), and the subiculum. It is unclear which subfields are affected by ECT and whether we predict the future treatment response to ECT by using volumetric information of hippocampal subfields at baseline? In this study, 24 patients with severe MDD received the ECT and their structural brain images were acquired with magnetic resonance imaging before and after ECT. A state-of-the-art hippocampal segmentation algorithm from Freesurfer 6.0 was used. We found that ECT induced volume increases in CA subfields, GCL, ML and subiculum. We applied a machine learning algorithm to the hippocampal subfield volumes at baseline and were able to predict the change in depressive symptoms (r = 0.81; within remitters, r = 0.93). Receiver operating characteristic analysis also showed robust prediction of remission with an area under the curve of 0.90. Our findings provide evidence for particular hippocampal subfields having specific roles in the response to ECT. We also provide an analytic approach for generating predictions about clinical outcomes for ECT in MDD.","author":[{"dropping-particle":"","family":"Cao","given":"Bo","non-dropping-particle":"","parse-names":false,"suffix":""},{"dropping-particle":"","family":"Luo","given":"Qinghua","non-dropping-particle":"","parse-names":false,"suffix":""},{"dropping-particle":"","family":"Fu","given":"Yixiao","non-dropping-particle":"","parse-names":false,"suffix":""},{"dropping-particle":"","family":"Du","given":"Lian","non-dropping-particle":"","parse-names":false,"suffix":""},{"dropping-particle":"","family":"Qiu","given":"Tian","non-dropping-particle":"","parse-names":false,"suffix":""},{"dropping-particle":"","family":"Yang","given":"Xiangying","non-dropping-particle":"","parse-names":false,"suffix":""},{"dropping-particle":"","family":"Chen","given":"Xiaolu","non-dropping-particle":"","parse-names":false,"suffix":""},{"dropping-particle":"","family":"Chen","given":"Qibin","non-dropping-particle":"","parse-names":false,"suffix":""},{"dropping-particle":"","family":"Soares","given":"Jair C.","non-dropping-particle":"","parse-names":false,"suffix":""},{"dropping-particle":"","family":"Cho","given":"Raymond Y.","non-dropping-particle":"","parse-names":false,"suffix":""},{"dropping-particle":"","family":"Zhang","given":"Xiang Yang","non-dropping-particle":"","parse-names":false,"suffix":""},{"dropping-particle":"","family":"Qiu","given":"Haitang","non-dropping-particle":"","parse-names":false,"suffix":""}],"container-title":"Scientific Reports","edition":"2018/04/05","id":"ITEM-1","issue":"1","issued":{"date-parts":[["2018"]]},"language":"eng","note":"2045-2322\nCao, Bo\nLuo, Qinghua\nFu, Yixiao\nDu, Lian\nQiu, Tian\nYang, Xiangying\nChen, Xiaolu\nChen, Qibin\nSoares, Jair C\nCho, Raymond Y\nZhang, Xiang Yang\nQiu, Haitang\nJournal Article\nResearch Support, N.I.H., Extramural\nResearch Support, Non-U.S. Gov't\nEngland\nSci Rep. 2018 Apr 3;8(1):5434. doi: 10.1038/s41598-018-23685-9.","page":"5434","title":"Predicting individual responses to the electroconvulsive therapy with hippocampal subfield volumes in major depression disorder","type":"article-journal","volume":"8"},"uris":["http://www.mendeley.com/documents/?uuid=2e597000-4188-4d3f-840b-831708785e09"]}],"mendeley":{"formattedCitation":"(Cao et al., 2018)","plainTextFormattedCitation":"(Cao et al., 2018)","previouslyFormattedCitation":"(Cao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(Cao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7BD37EB2"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33026E24" w14:textId="17FD24E0" w:rsidR="00664D9B" w:rsidRPr="00C126BD" w:rsidRDefault="003D3DA6">
            <w:pPr>
              <w:rPr>
                <w:rFonts w:ascii="Calibri" w:eastAsia="Times New Roman" w:hAnsi="Calibri" w:cs="Calibri"/>
                <w:color w:val="000000"/>
                <w:sz w:val="16"/>
                <w:szCs w:val="16"/>
              </w:rPr>
            </w:pPr>
            <w:r w:rsidRPr="00C126BD">
              <w:rPr>
                <w:rFonts w:ascii="Calibri" w:hAnsi="Calibri" w:cs="Calibri"/>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42BAC663" w14:textId="4A23B24E" w:rsidR="00664D9B" w:rsidRPr="00C126BD" w:rsidRDefault="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BB06B5F" w14:textId="791200EF"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3A140D5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0.84</w:t>
            </w:r>
          </w:p>
        </w:tc>
        <w:tc>
          <w:tcPr>
            <w:tcW w:w="630" w:type="dxa"/>
            <w:tcBorders>
              <w:top w:val="single" w:sz="4" w:space="0" w:color="auto"/>
              <w:left w:val="single" w:sz="4" w:space="0" w:color="auto"/>
              <w:bottom w:val="single" w:sz="4" w:space="0" w:color="auto"/>
              <w:right w:val="single" w:sz="4" w:space="0" w:color="auto"/>
            </w:tcBorders>
            <w:noWrap/>
            <w:hideMark/>
          </w:tcPr>
          <w:p w14:paraId="2E50260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0.9</w:t>
            </w:r>
          </w:p>
        </w:tc>
        <w:tc>
          <w:tcPr>
            <w:tcW w:w="900" w:type="dxa"/>
            <w:tcBorders>
              <w:top w:val="single" w:sz="4" w:space="0" w:color="auto"/>
              <w:left w:val="single" w:sz="4" w:space="0" w:color="auto"/>
              <w:bottom w:val="single" w:sz="4" w:space="0" w:color="auto"/>
              <w:right w:val="single" w:sz="4" w:space="0" w:color="auto"/>
            </w:tcBorders>
            <w:noWrap/>
            <w:hideMark/>
          </w:tcPr>
          <w:p w14:paraId="53D0DF6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39</w:t>
            </w:r>
          </w:p>
        </w:tc>
        <w:tc>
          <w:tcPr>
            <w:tcW w:w="900" w:type="dxa"/>
            <w:tcBorders>
              <w:top w:val="single" w:sz="4" w:space="0" w:color="auto"/>
              <w:left w:val="single" w:sz="4" w:space="0" w:color="auto"/>
              <w:bottom w:val="single" w:sz="4" w:space="0" w:color="auto"/>
              <w:right w:val="single" w:sz="4" w:space="0" w:color="auto"/>
            </w:tcBorders>
            <w:noWrap/>
            <w:hideMark/>
          </w:tcPr>
          <w:p w14:paraId="0F180123"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6F05975"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6DA4AAC1"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137925E" w14:textId="77777777" w:rsidR="00664D9B" w:rsidRPr="00C126BD" w:rsidRDefault="00664D9B" w:rsidP="00664D9B">
            <w:pPr>
              <w:rPr>
                <w:rFonts w:ascii="Calibri" w:hAnsi="Calibri" w:cs="Calibri"/>
                <w:sz w:val="16"/>
                <w:szCs w:val="16"/>
              </w:rPr>
            </w:pPr>
          </w:p>
        </w:tc>
      </w:tr>
      <w:tr w:rsidR="00664D9B" w:rsidRPr="00C73DE7" w14:paraId="20544644" w14:textId="77777777" w:rsidTr="00C126BD">
        <w:trPr>
          <w:trHeight w:val="172"/>
        </w:trPr>
        <w:tc>
          <w:tcPr>
            <w:tcW w:w="3060" w:type="dxa"/>
            <w:tcBorders>
              <w:top w:val="single" w:sz="4" w:space="0" w:color="auto"/>
              <w:left w:val="single" w:sz="4" w:space="0" w:color="auto"/>
              <w:bottom w:val="single" w:sz="4" w:space="0" w:color="auto"/>
              <w:right w:val="single" w:sz="4" w:space="0" w:color="auto"/>
            </w:tcBorders>
            <w:noWrap/>
            <w:hideMark/>
          </w:tcPr>
          <w:p w14:paraId="3D1AADFF" w14:textId="395C14BD"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{"citationItems":[{"id":"ITEM-1","itemData":{"DOI":"10.1016/j.jad.2018.01.006","ISBN":"0165-0327","ISSN":"15732517","PMID":"29407543","abstract":"Background: Natural speech analytics has seen some improvements over recent years, and this has opened a window for objective and quantitative diagnosis in psychiatry. Here, we used a machine learning algorithm applied to natural speech to ask whether language properties measured before psilocybin for treatment-resistant can predict for which patients it will be effective and for which it will not. Methods: A baseline autobiographical memory interview was conducted and transcribed. Patients with treatment-resistant depression received 2 doses of psilocybin, 10 mg and 25 mg, 7 days apart. Psychological support was provided before, during and after all dosing sessions. Quantitative speech measures were applied to the interview data from 17 patients and 18 untreated age-matched healthy control subjects. A machine learning algorithm was used to classify between controls and patients and predict treatment response. Results: Speech analytics and machine learning successfully differentiated depressed patients from healthy controls and identified treatment responders from non-responders with a significant level of 85% of accuracy (75% precision). Conclusions: Automatic natural language analysis was used to predict effective response to treatment with psilocybin, suggesting that these tools offer a highly cost-effective facility for screening individuals for treatment suitability and sensitivity. Limitations: The sample size was small and replication is required to strengthen inferences on these results.","author":[{"dropping-particle":"","family":"Carrillo","given":"Facundo","non-dropping-particle":"","parse-names":false,"suffix":""},{"dropping-particle":"","family":"Sigman","given":"Mariano","non-dropping-particle":"","parse-names":false,"suffix":""},{"dropping-particle":"","family":"Fernández Slezak","given":"Diego","non-dropping-particle":"","parse-names":false,"suffix":""},{"dropping-particle":"","family":"Ashton","given":"Philip","non-dropping-particle":"","parse-names":false,"suffix":""},{"dropping-particle":"","family":"Fitzgerald","given":"Lily","non-dropping-particle":"","parse-names":false,"suffix":""},{"dropping-particle":"","family":"Stroud","given":"Jack","non-dropping-particle":"","parse-names":false,"suffix":""},{"dropping-particle":"","family":"Nutt","given":"David J.","non-dropping-particle":"","parse-names":false,"suffix":""},{"dropping-particle":"","family":"Carhart-Harris","given":"Robin L.","non-dropping-particle":"","parse-names":false,"suffix":""}],"container-title":"Journal of Affective Disorders","edition":"2018/02/07","id":"ITEM-1","issued":{"date-parts":[["2018"]]},"language":"eng","note":"1573-2517\nCarrillo, Facundo\nSigman, Mariano\nFernandez Slezak, Diego\nAshton, Philip\nFitzgerald, Lily\nStroud, Jack\nNutt, David J\nCarhart-Harris, Robin L\nMR/J00460X/1/Medical Research Council/United Kingdom\nClinical Trial\nJournal Article\nResearch Support, Non-U.S. Gov't\nNetherlands\nJ Affect Disord. 2018 Apr 1;230:84-86. doi: 10.1016/j.jad.2018.01.006.","page":"84-86","title":"Natural speech algorithm applied to baseline interview data can predict which patients will respond to psilocybin for treatment-resistant depression","type":"article-journal","volume":"230"},"uris":["http://www.mendeley.com/documents/?uuid=442839c6-4519-453a-adfb-d19f07abbf3e"]}],"mendeley":{"formattedCitation":"(Carrillo et al., 2018)","plainTextFormattedCitation":"(Carrillo et al., 2018)","previouslyFormattedCitation":"(Carrillo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(Carrillo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4391E355"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0FDB1048" w14:textId="1BEB9158"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QIDS</w:t>
            </w:r>
          </w:p>
        </w:tc>
        <w:tc>
          <w:tcPr>
            <w:tcW w:w="990" w:type="dxa"/>
            <w:tcBorders>
              <w:top w:val="single" w:sz="4" w:space="0" w:color="auto"/>
              <w:left w:val="single" w:sz="4" w:space="0" w:color="auto"/>
              <w:bottom w:val="single" w:sz="4" w:space="0" w:color="auto"/>
              <w:right w:val="single" w:sz="4" w:space="0" w:color="auto"/>
            </w:tcBorders>
          </w:tcPr>
          <w:p w14:paraId="1301F9C5" w14:textId="01D55C89" w:rsidR="00664D9B" w:rsidRPr="00C126BD" w:rsidRDefault="006F65B8" w:rsidP="00C126BD">
            <w:pPr>
              <w:rPr>
                <w:rFonts w:ascii="Calibri" w:eastAsia="Times New Roman" w:hAnsi="Calibri" w:cs="Calibri"/>
                <w:color w:val="000000"/>
                <w:sz w:val="16"/>
                <w:szCs w:val="16"/>
              </w:rPr>
            </w:pPr>
            <w:r>
              <w:rPr>
                <w:rFonts w:ascii="Calibri" w:eastAsia="Times New Roman" w:hAnsi="Calibri" w:cs="Calibri"/>
                <w:color w:val="000000"/>
                <w:sz w:val="16"/>
                <w:szCs w:val="16"/>
              </w:rPr>
              <w:t>5 weeks</w:t>
            </w:r>
          </w:p>
        </w:tc>
        <w:tc>
          <w:tcPr>
            <w:tcW w:w="900" w:type="dxa"/>
            <w:tcBorders>
              <w:top w:val="single" w:sz="4" w:space="0" w:color="auto"/>
              <w:left w:val="single" w:sz="4" w:space="0" w:color="auto"/>
              <w:bottom w:val="single" w:sz="4" w:space="0" w:color="auto"/>
              <w:right w:val="single" w:sz="4" w:space="0" w:color="auto"/>
            </w:tcBorders>
            <w:noWrap/>
            <w:hideMark/>
          </w:tcPr>
          <w:p w14:paraId="4ECB0999" w14:textId="12599DA8"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0.85</w:t>
            </w:r>
          </w:p>
        </w:tc>
        <w:tc>
          <w:tcPr>
            <w:tcW w:w="990" w:type="dxa"/>
            <w:tcBorders>
              <w:top w:val="single" w:sz="4" w:space="0" w:color="auto"/>
              <w:left w:val="single" w:sz="4" w:space="0" w:color="auto"/>
              <w:bottom w:val="single" w:sz="4" w:space="0" w:color="auto"/>
              <w:right w:val="single" w:sz="4" w:space="0" w:color="auto"/>
            </w:tcBorders>
            <w:noWrap/>
            <w:hideMark/>
          </w:tcPr>
          <w:p w14:paraId="5E3C04A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630" w:type="dxa"/>
            <w:tcBorders>
              <w:top w:val="single" w:sz="4" w:space="0" w:color="auto"/>
              <w:left w:val="single" w:sz="4" w:space="0" w:color="auto"/>
              <w:bottom w:val="single" w:sz="4" w:space="0" w:color="auto"/>
              <w:right w:val="single" w:sz="4" w:space="0" w:color="auto"/>
            </w:tcBorders>
            <w:noWrap/>
            <w:hideMark/>
          </w:tcPr>
          <w:p w14:paraId="3F8A6A5B"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C1F050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35</w:t>
            </w:r>
          </w:p>
        </w:tc>
        <w:tc>
          <w:tcPr>
            <w:tcW w:w="900" w:type="dxa"/>
            <w:tcBorders>
              <w:top w:val="single" w:sz="4" w:space="0" w:color="auto"/>
              <w:left w:val="single" w:sz="4" w:space="0" w:color="auto"/>
              <w:bottom w:val="single" w:sz="4" w:space="0" w:color="auto"/>
              <w:right w:val="single" w:sz="4" w:space="0" w:color="auto"/>
            </w:tcBorders>
            <w:noWrap/>
            <w:hideMark/>
          </w:tcPr>
          <w:p w14:paraId="0D1144A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A82687E"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7EF96B9"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2D75EEBB" w14:textId="77777777" w:rsidR="00664D9B" w:rsidRPr="00C126BD" w:rsidRDefault="00664D9B" w:rsidP="00664D9B">
            <w:pPr>
              <w:rPr>
                <w:rFonts w:ascii="Calibri" w:hAnsi="Calibri" w:cs="Calibri"/>
                <w:sz w:val="16"/>
                <w:szCs w:val="16"/>
              </w:rPr>
            </w:pPr>
          </w:p>
        </w:tc>
      </w:tr>
      <w:tr w:rsidR="00664D9B" w:rsidRPr="00C73DE7" w14:paraId="19300A4C" w14:textId="77777777" w:rsidTr="00C126BD">
        <w:trPr>
          <w:trHeight w:val="172"/>
        </w:trPr>
        <w:tc>
          <w:tcPr>
            <w:tcW w:w="3060" w:type="dxa"/>
            <w:tcBorders>
              <w:top w:val="single" w:sz="4" w:space="0" w:color="auto"/>
              <w:left w:val="single" w:sz="4" w:space="0" w:color="auto"/>
              <w:bottom w:val="single" w:sz="4" w:space="0" w:color="auto"/>
              <w:right w:val="single" w:sz="4" w:space="0" w:color="auto"/>
            </w:tcBorders>
            <w:noWrap/>
            <w:hideMark/>
          </w:tcPr>
          <w:p w14:paraId="5C18595F" w14:textId="79CA45AC"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{"citationItems":[{"id":"ITEM-1","itemData":{"DOI":"10.1002/hbm.24725","ISBN":"1097-0193 (Electronic)\r1065-9471 (Linking)","ISSN":"10970193","PMID":"31332903","abstract":"The neurobiology of major depressive disorder (MDD) remains incompletely understood, and many individuals fail to respond to standard treatments. Repetitive transcranial magnetic stimulation (rTMS) of the dorsolateral prefrontal cortex (DLPFC) has emerged as a promising antidepressant therapy. However, the heterogeneity of response underscores a pressing need for biomarkers of treatment outcome. We acquired resting state functional magnetic resonance imaging (rsfMRI) data in 47 MDD individuals prior to 5–8 weeks of rTMS treatment targeted using the F3 beam approach and in 29 healthy comparison subjects. The caudate, prefrontal cortex, and thalamus showed significantly lower blood oxygenation level-dependent (BOLD) signal power in MDD individuals at baseline. Critically, individuals who responded best to treatment were associated with lower pre-treatment BOLD power in these regions. Additionally, functional connectivity (FC) in the default mode and affective networks was associated with treatment response. We leveraged these findings to train support vector machines (SVMs) to predict individual treatment responses, based on learned patterns of baseline FC, BOLD signal power and clinical features. Treatment response (responder vs. nonresponder) was predicted with 85–95% accuracy. Reduction in symptoms was predicted to within a mean error of ±16% (r =.68, p '.001). These preliminary findings suggest that therapeutic outcome to DLPFC-rTMS could be predicted at a clinically meaningful level using only a small number of core neurobiological features of MDD, warranting prospective testing to ascertain generalizability. This provides a novel, transparent and physiologically plausible multivariate approach for classification of individual response to what has become the most commonly employed rTMS treatment worldwide. This study utilizes data from a larger clinical study (Australian New Zealand Clinical Trials Registry: Investigating Predictors of Response to Transcranial Magnetic Stimulation for the Treatment of Depression; ACTRN12610001071011; https://www.anzctr.org.au/Trial/Registration/TrialReview.aspx?id=336262).","author":[{"dropping-particle":"","family":"Cash","given":"Robin F.H.","non-dropping-particle":"","parse-names":false,"suffix":""},{"dropping-particle":"","family":"Cocchi","given":"Luca","non-dropping-particle":"","parse-names":false,"suffix":""},{"dropping-particle":"","family":"Anderson","given":"Rodney","non-dropping-particle":"","parse-names":false,"suffix":""},{"dropping-particle":"","family":"Rogachov","given":"Anton","non-dropping-particle":"","parse-names":false,"suffix":""},{"dropping-particle":"","family":"Kucyi","given":"Aaron","non-dropping-particle":"","parse-names":false,"suffix":""},{"dropping-particle":"","family":"Barnett","given":"Alexander J.","non-dropping-particle":"","parse-names":false,"suffix":""},{"dropping-particle":"","family":"Zalesky","given":"Andrew","non-dropping-particle":"","parse-names":false,"suffix":""},{"dropping-particle":"","family":"Fitzgerald","given":"Paul B.","non-dropping-particle":"","parse-names":false,"suffix":""}],"container-title":"Human Brain Mapping","edition":"2019/07/25","id":"ITEM-1","issue":"16","issued":{"date-parts":[["2019"]]},"note":"Cash, Robin F H\nCocchi, Luca\nAnderson, Rodney\nRogachov, Anton\nKucyi, Aaron\nBarnett, Alexander J\nZalesky, Andrew\nFitzgerald, Paul B\neng\nBrainsway Ltd/International\nCervel Neurotech/International\nMagVenture/International\nMedtronic Ltd/International\nCognitive Neuroscience Society/International\nSociety for Neuroscience/International\nCIHR/Canada\nAPP1138711/MRC_/Medical Research Council/United Kingdom\nAPP1099082/MRC_/Medical Research Council/United Kingdom\n1099082/National Health and Medical Research Council/International\n1136649/National Health and Medical Research Council/International\n1138711/National Health and Medical Research Council/International\nResearch Support, Non-U.S. Gov't\nHum Brain Mapp. 2019 Nov 1;40(16):4618-4629. doi: 10.1002/hbm.24725. Epub 2019 Jul 22.","page":"4618-4629","title":"A multivariate neuroimaging biomarker of individual outcome to transcranial magnetic stimulation in depression","type":"article-journal","volume":"40"},"uris":["http://www.mendeley.com/documents/?uuid=b9972a22-7de1-4a33-b872-d61038019e1e"]}],"mendeley":{"formattedCitation":"(Cash et al., 2019)","plainTextFormattedCitation":"(Cash et al., 2019)","previouslyFormattedCitation":"(Cash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(Cash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2D2973F8"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0B2DE6FF" w14:textId="77777777" w:rsidR="00664D9B" w:rsidRPr="00C126BD" w:rsidRDefault="00664D9B" w:rsidP="00C126BD">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tcPr>
          <w:p w14:paraId="6767A037" w14:textId="345F2BFD"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2A52BE7F" w14:textId="4DD7B5D6"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990" w:type="dxa"/>
            <w:tcBorders>
              <w:top w:val="single" w:sz="4" w:space="0" w:color="auto"/>
              <w:left w:val="single" w:sz="4" w:space="0" w:color="auto"/>
              <w:bottom w:val="single" w:sz="4" w:space="0" w:color="auto"/>
              <w:right w:val="single" w:sz="4" w:space="0" w:color="auto"/>
            </w:tcBorders>
            <w:noWrap/>
            <w:hideMark/>
          </w:tcPr>
          <w:p w14:paraId="4362D9F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630" w:type="dxa"/>
            <w:tcBorders>
              <w:top w:val="single" w:sz="4" w:space="0" w:color="auto"/>
              <w:left w:val="single" w:sz="4" w:space="0" w:color="auto"/>
              <w:bottom w:val="single" w:sz="4" w:space="0" w:color="auto"/>
              <w:right w:val="single" w:sz="4" w:space="0" w:color="auto"/>
            </w:tcBorders>
            <w:noWrap/>
            <w:hideMark/>
          </w:tcPr>
          <w:p w14:paraId="4250ABA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0.92</w:t>
            </w:r>
          </w:p>
        </w:tc>
        <w:tc>
          <w:tcPr>
            <w:tcW w:w="900" w:type="dxa"/>
            <w:tcBorders>
              <w:top w:val="single" w:sz="4" w:space="0" w:color="auto"/>
              <w:left w:val="single" w:sz="4" w:space="0" w:color="auto"/>
              <w:bottom w:val="single" w:sz="4" w:space="0" w:color="auto"/>
              <w:right w:val="single" w:sz="4" w:space="0" w:color="auto"/>
            </w:tcBorders>
            <w:noWrap/>
            <w:hideMark/>
          </w:tcPr>
          <w:p w14:paraId="2BD6E89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76</w:t>
            </w:r>
          </w:p>
        </w:tc>
        <w:tc>
          <w:tcPr>
            <w:tcW w:w="900" w:type="dxa"/>
            <w:tcBorders>
              <w:top w:val="single" w:sz="4" w:space="0" w:color="auto"/>
              <w:left w:val="single" w:sz="4" w:space="0" w:color="auto"/>
              <w:bottom w:val="single" w:sz="4" w:space="0" w:color="auto"/>
              <w:right w:val="single" w:sz="4" w:space="0" w:color="auto"/>
            </w:tcBorders>
            <w:noWrap/>
            <w:hideMark/>
          </w:tcPr>
          <w:p w14:paraId="6EA67D9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42BF5CD"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5816FF3"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1B072C6" w14:textId="77777777" w:rsidR="00664D9B" w:rsidRPr="00C126BD" w:rsidRDefault="00664D9B" w:rsidP="00664D9B">
            <w:pPr>
              <w:rPr>
                <w:rFonts w:ascii="Calibri" w:hAnsi="Calibri" w:cs="Calibri"/>
                <w:sz w:val="16"/>
                <w:szCs w:val="16"/>
              </w:rPr>
            </w:pPr>
          </w:p>
        </w:tc>
      </w:tr>
      <w:tr w:rsidR="00664D9B" w:rsidRPr="00C73DE7" w14:paraId="3074C1F1" w14:textId="77777777" w:rsidTr="00C126BD">
        <w:trPr>
          <w:trHeight w:val="154"/>
        </w:trPr>
        <w:tc>
          <w:tcPr>
            <w:tcW w:w="3060" w:type="dxa"/>
            <w:tcBorders>
              <w:top w:val="single" w:sz="4" w:space="0" w:color="auto"/>
              <w:left w:val="single" w:sz="4" w:space="0" w:color="auto"/>
              <w:bottom w:val="single" w:sz="4" w:space="0" w:color="auto"/>
              <w:right w:val="single" w:sz="4" w:space="0" w:color="auto"/>
            </w:tcBorders>
            <w:noWrap/>
            <w:hideMark/>
          </w:tcPr>
          <w:p w14:paraId="6307BC88" w14:textId="30FC8B9C"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{"citationItems":[{"id":"ITEM-1","itemData":{"DOI":"10.1002/da.22705","ISBN":"1091-4269","ISSN":"15206394","PMID":"29244906","abstract":"Background: Depression that does not respond to antidepressants is treatment-resistant depression (TRD). TRD definitions include assessments of treatment response, dose and duration, and implementing these definitions in claims databases can be challenging. We built a data-driven TRD definition and evaluated its performance. Methods: We included adults with depression, ≥1 antidepressant, and no diagnosis of mania, dementia, or psychosis. Subjects were stratified into those with and without proxy for TRD. Proxies for TRD were electroconvulsive therapy, deep brain, or vagus nerve stimulation. The index date for subjects with proxy for TRD was the procedure date, and for subjects without, the date of a randomly selected visit. We used three databases. We fit decision tree predictive models. We included number of distinct antidepressants, with and without adequate doses and duration, number of antipsychotics and psychotherapies, and expert-based definitions, 3, 6, and 12 months before index date. To assess performance, we calculated area under the curve (AUC) and transportability. Results: We analyzed 33,336 subjects with no proxy for TRD, and 3,566 with the proxy. Number of antidepressants and antipsychotics were selected in all periods. The best model was at 12 months with an AUC = 0.81. The rule transported well and states that a subject with ≥1 antipsychotic or ≥3 antidepressants in the last year has TRD. Applying this rule, 15.8% of subjects treated for depression had TRD. Conclusion: The definition that best discriminates between subjects with and without TRD considers number of distinct antidepressants (≥3) or antipsychotics (≥1) in the last year.","author":[{"dropping-particle":"","family":"Cepeda","given":"M. Soledad","non-dropping-particle":"","parse-names":false,"suffix":""},{"dropping-particle":"","family":"Reps","given":"Jenna","non-dropping-particle":"","parse-names":false,"suffix":""},{"dropping-particle":"","family":"Fife","given":"Daniel","non-dropping-particle":"","parse-names":false,"suffix":""},{"dropping-particle":"","family":"Blacketer","given":"Clair","non-dropping-particle":"","parse-names":false,"suffix":""},{"dropping-particle":"","family":"Stang","given":"Paul","non-dropping-particle":"","parse-names":false,"suffix":""},{"dropping-particle":"","family":"Ryan","given":"Patrick","non-dropping-particle":"","parse-names":false,"suffix":""}],"container-title":"Depression and Anxiety","edition":"2017/12/16","id":"ITEM-1","issue":"3","issued":{"date-parts":[["2018"]]},"language":"eng","note":"1520-6394\nCepeda, M Soledad\nOrcid: 0000-0002-5159-6217\nReps, Jenna\nFife, Daniel\nBlacketer, Clair\nStang, Paul\nRyan, Patrick\nJournal Article\nUnited States\nDepress Anxiety. 2018 Mar;35(3):220-228. doi: 10.1002/da.22705. Epub 2017 Dec 15.","page":"220-228","title":"Finding treatment-resistant depression in real-world data: How a data-driven approach compares with expert-based heuristics","type":"article-journal","volume":"35"},"uris":["http://www.mendeley.com/documents/?uuid=3e27ac6f-2aa6-4fc9-ba2c-3d0cac3c7ffa"]}],"mendeley":{"formattedCitation":"(Cepeda et al., 2018)","plainTextFormattedCitation":"(Cepeda et al., 2018)","previouslyFormattedCitation":"(Cepeda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(Cepeda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AD88CB7"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4E1B4E1B" w14:textId="77777777" w:rsidR="00664D9B" w:rsidRPr="00C126BD" w:rsidRDefault="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tcPr>
          <w:p w14:paraId="296DCEE8" w14:textId="77777777" w:rsidR="00664D9B" w:rsidRPr="00C126BD" w:rsidRDefault="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09B241F" w14:textId="0D7A5725"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7AC5725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630" w:type="dxa"/>
            <w:tcBorders>
              <w:top w:val="single" w:sz="4" w:space="0" w:color="auto"/>
              <w:left w:val="single" w:sz="4" w:space="0" w:color="auto"/>
              <w:bottom w:val="single" w:sz="4" w:space="0" w:color="auto"/>
              <w:right w:val="single" w:sz="4" w:space="0" w:color="auto"/>
            </w:tcBorders>
            <w:noWrap/>
            <w:hideMark/>
          </w:tcPr>
          <w:p w14:paraId="03C0F6A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0.81</w:t>
            </w:r>
          </w:p>
        </w:tc>
        <w:tc>
          <w:tcPr>
            <w:tcW w:w="900" w:type="dxa"/>
            <w:tcBorders>
              <w:top w:val="single" w:sz="4" w:space="0" w:color="auto"/>
              <w:left w:val="single" w:sz="4" w:space="0" w:color="auto"/>
              <w:bottom w:val="single" w:sz="4" w:space="0" w:color="auto"/>
              <w:right w:val="single" w:sz="4" w:space="0" w:color="auto"/>
            </w:tcBorders>
            <w:noWrap/>
            <w:hideMark/>
          </w:tcPr>
          <w:p w14:paraId="1CC27C2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36902</w:t>
            </w:r>
          </w:p>
        </w:tc>
        <w:tc>
          <w:tcPr>
            <w:tcW w:w="900" w:type="dxa"/>
            <w:tcBorders>
              <w:top w:val="single" w:sz="4" w:space="0" w:color="auto"/>
              <w:left w:val="single" w:sz="4" w:space="0" w:color="auto"/>
              <w:bottom w:val="single" w:sz="4" w:space="0" w:color="auto"/>
              <w:right w:val="single" w:sz="4" w:space="0" w:color="auto"/>
            </w:tcBorders>
            <w:noWrap/>
            <w:hideMark/>
          </w:tcPr>
          <w:p w14:paraId="6C21625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7C7A29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0B4563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05" w:type="dxa"/>
            <w:tcBorders>
              <w:top w:val="single" w:sz="4" w:space="0" w:color="auto"/>
              <w:left w:val="single" w:sz="4" w:space="0" w:color="auto"/>
              <w:bottom w:val="single" w:sz="4" w:space="0" w:color="auto"/>
              <w:right w:val="single" w:sz="4" w:space="0" w:color="auto"/>
            </w:tcBorders>
            <w:noWrap/>
            <w:hideMark/>
          </w:tcPr>
          <w:p w14:paraId="415D398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9069</w:t>
            </w:r>
          </w:p>
        </w:tc>
      </w:tr>
      <w:tr w:rsidR="00664D9B" w:rsidRPr="00C73DE7" w14:paraId="5A881EFE" w14:textId="77777777" w:rsidTr="00C126BD">
        <w:trPr>
          <w:trHeight w:val="217"/>
        </w:trPr>
        <w:tc>
          <w:tcPr>
            <w:tcW w:w="3060" w:type="dxa"/>
            <w:tcBorders>
              <w:top w:val="single" w:sz="4" w:space="0" w:color="auto"/>
              <w:left w:val="single" w:sz="4" w:space="0" w:color="auto"/>
              <w:bottom w:val="single" w:sz="4" w:space="0" w:color="auto"/>
              <w:right w:val="single" w:sz="4" w:space="0" w:color="auto"/>
            </w:tcBorders>
            <w:noWrap/>
            <w:hideMark/>
          </w:tcPr>
          <w:p w14:paraId="0A41027C" w14:textId="0291B066"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{"citationItems":[{"id":"ITEM-1","itemData":{"DOI":"10.1016/S2215-0366(15)00471-X","ISBN":"2215-0366","ISSN":"22150374","PMID":"26803397","abstract":"Background: Antidepressant treatment efficacy is low, but might be improved by matching patients to interventions. At present, clinicians have no empirically validated mechanisms to assess whether a patient with depression will respond to a specific antidepressant. We aimed to develop an algorithm to assess whether patients will achieve symptomatic remission from a 12-week course of citalopram. Methods: We used patient-reported data from patients with depression (n=4041, with 1949 completers) from level 1 of the Sequenced Treatment Alternatives to Relieve Depression (STAR*D; ClinicalTrials.gov, number NCT00021528) to identify variables that were most predictive of treatment outcome, and used these variables to train a machine-learning model to predict clinical remission. We externally validated the model in the escitalopram treatment group (n=151) of an independent clinical trial (Combining Medications to Enhance Depression Outcomes [COMED]; ClinicalTrials.gov, number NCT00590863). Findings: We identified 25 variables that were most predictive of treatment outcome from 164 patient-reportable variables, and used these to train the model. The model was internally cross-validated, and predicted outcomes in the STAR*D cohort with accuracy significantly above chance (64·6% [SD 3·2]; p&lt;0·0001). The model was externally validated in the escitalopram treatment group (N=151) of COMED (accuracy 59·6%, p=0.043). The model also performed significantly above chance in a combined escitalopram-buproprion treatment group in COMED (n=134; accuracy 59·7%, p=0·023), but not in a combined venlafaxine-mirtazapine group (n=140; accuracy 51·4%, p=0·53), suggesting specificity of the model to underlying mechanisms. Interpretation: Building statistical models by mining existing clinical trial data can enable prospective identification of patients who are likely to respond to a specific antidepressant.","author":[{"dropping-particle":"","family":"Chekroud","given":"Adam Mourad","non-dropping-particle":"","parse-names":false,"suffix":""},{"dropping-particle":"","family":"Zotti","given":"Ryan Joseph","non-dropping-particle":"","parse-names":false,"suffix":""},{"dropping-particle":"","family":"Shehzad","given":"Zarrar","non-dropping-particle":"","parse-names":false,"suffix":""},{"dropping-particle":"","family":"Gueorguieva","given":"Ralitza","non-dropping-particle":"","parse-names":false,"suffix":""},{"dropping-particle":"","family":"Johnson","given":"Marcia K.","non-dropping-particle":"","parse-names":false,"suffix":""},{"dropping-particle":"","family":"Trivedi","given":"Madhukar H.","non-dropping-particle":"","parse-names":false,"suffix":""},{"dropping-particle":"","family":"Cannon","given":"Tyrone D.","non-dropping-particle":"","parse-names":false,"suffix":""},{"dropping-particle":"","family":"Krystal","given":"John Harrison","non-dropping-particle":"","parse-names":false,"suffix":""},{"dropping-particle":"","family":"Corlett","given":"Philip Robert","non-dropping-particle":"","parse-names":false,"suffix":""}],"container-title":"The Lancet Psychiatry","edition":"2016/01/25","id":"ITEM-1","issue":"3","issued":{"date-parts":[["2016"]]},"language":"eng","note":"2215-0374\nChekroud, Adam Mourad\nZotti, Ryan Joseph\nShehzad, Zarrar\nGueorguieva, Ralitza\nJohnson, Marcia K\nTrivedi, Madhukar H\nCannon, Tyrone D\nKrystal, John Harrison\nCorlett, Philip Robert\nJournal Article\nMulticenter Study\nRandomized Controlled Trial\nResearch Support, Non-U.S. Gov't\nEngland\nLancet Psychiatry. 2016 Mar;3(3):243-50. doi: 10.1016/S2215-0366(15)00471-X. Epub 2016 Jan 21.","page":"243-250","title":"Cross-trial prediction of treatment outcome in depression: A machine learning approach","type":"article-journal","volume":"3"},"uris":["http://www.mendeley.com/documents/?uuid=75cd733e-9920-492c-969d-760c4454ff4f"]}],"mendeley":{"formattedCitation":"(Chekroud et al., 2016)","plainTextFormattedCitation":"(Chekroud et al., 2016)","previouslyFormattedCitation":"(Chekroud et al., 2016)"},"properties":{"noteIndex":0},"schema":"https://github.com/citation-style-language/schema/raw/master/csl-citation.json"}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(Chekroud et al., 2016)</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7B0910E8"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1F952941" w14:textId="02106C08"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QIDS-SR16</w:t>
            </w:r>
          </w:p>
        </w:tc>
        <w:tc>
          <w:tcPr>
            <w:tcW w:w="990" w:type="dxa"/>
            <w:tcBorders>
              <w:top w:val="single" w:sz="4" w:space="0" w:color="auto"/>
              <w:left w:val="single" w:sz="4" w:space="0" w:color="auto"/>
              <w:bottom w:val="single" w:sz="4" w:space="0" w:color="auto"/>
              <w:right w:val="single" w:sz="4" w:space="0" w:color="auto"/>
            </w:tcBorders>
          </w:tcPr>
          <w:p w14:paraId="51DD5775" w14:textId="5F9026A9"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25DA8786" w14:textId="74A7510D"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0.65</w:t>
            </w:r>
          </w:p>
        </w:tc>
        <w:tc>
          <w:tcPr>
            <w:tcW w:w="990" w:type="dxa"/>
            <w:tcBorders>
              <w:top w:val="single" w:sz="4" w:space="0" w:color="auto"/>
              <w:left w:val="single" w:sz="4" w:space="0" w:color="auto"/>
              <w:bottom w:val="single" w:sz="4" w:space="0" w:color="auto"/>
              <w:right w:val="single" w:sz="4" w:space="0" w:color="auto"/>
            </w:tcBorders>
            <w:noWrap/>
            <w:hideMark/>
          </w:tcPr>
          <w:p w14:paraId="4B8DE13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0.65</w:t>
            </w:r>
          </w:p>
        </w:tc>
        <w:tc>
          <w:tcPr>
            <w:tcW w:w="630" w:type="dxa"/>
            <w:tcBorders>
              <w:top w:val="single" w:sz="4" w:space="0" w:color="auto"/>
              <w:left w:val="single" w:sz="4" w:space="0" w:color="auto"/>
              <w:bottom w:val="single" w:sz="4" w:space="0" w:color="auto"/>
              <w:right w:val="single" w:sz="4" w:space="0" w:color="auto"/>
            </w:tcBorders>
            <w:noWrap/>
            <w:hideMark/>
          </w:tcPr>
          <w:p w14:paraId="1D06DEE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BA1A2B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1949</w:t>
            </w:r>
          </w:p>
        </w:tc>
        <w:tc>
          <w:tcPr>
            <w:tcW w:w="900" w:type="dxa"/>
            <w:tcBorders>
              <w:top w:val="single" w:sz="4" w:space="0" w:color="auto"/>
              <w:left w:val="single" w:sz="4" w:space="0" w:color="auto"/>
              <w:bottom w:val="single" w:sz="4" w:space="0" w:color="auto"/>
              <w:right w:val="single" w:sz="4" w:space="0" w:color="auto"/>
            </w:tcBorders>
            <w:noWrap/>
            <w:hideMark/>
          </w:tcPr>
          <w:p w14:paraId="72EC818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0.57</w:t>
            </w:r>
          </w:p>
        </w:tc>
        <w:tc>
          <w:tcPr>
            <w:tcW w:w="900" w:type="dxa"/>
            <w:tcBorders>
              <w:top w:val="single" w:sz="4" w:space="0" w:color="auto"/>
              <w:left w:val="single" w:sz="4" w:space="0" w:color="auto"/>
              <w:bottom w:val="single" w:sz="4" w:space="0" w:color="auto"/>
              <w:right w:val="single" w:sz="4" w:space="0" w:color="auto"/>
            </w:tcBorders>
            <w:noWrap/>
            <w:hideMark/>
          </w:tcPr>
          <w:p w14:paraId="7630F3B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0.57</w:t>
            </w:r>
          </w:p>
        </w:tc>
        <w:tc>
          <w:tcPr>
            <w:tcW w:w="540" w:type="dxa"/>
            <w:tcBorders>
              <w:top w:val="single" w:sz="4" w:space="0" w:color="auto"/>
              <w:left w:val="single" w:sz="4" w:space="0" w:color="auto"/>
              <w:bottom w:val="single" w:sz="4" w:space="0" w:color="auto"/>
              <w:right w:val="single" w:sz="4" w:space="0" w:color="auto"/>
            </w:tcBorders>
            <w:noWrap/>
            <w:hideMark/>
          </w:tcPr>
          <w:p w14:paraId="4F02F385" w14:textId="77777777" w:rsidR="00664D9B" w:rsidRPr="00C126BD" w:rsidRDefault="00664D9B" w:rsidP="00664D9B">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F45242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151</w:t>
            </w:r>
          </w:p>
        </w:tc>
      </w:tr>
      <w:tr w:rsidR="00664D9B" w:rsidRPr="00C73DE7" w14:paraId="5ED2DC5F" w14:textId="77777777" w:rsidTr="00C126BD">
        <w:trPr>
          <w:trHeight w:val="91"/>
        </w:trPr>
        <w:tc>
          <w:tcPr>
            <w:tcW w:w="3060" w:type="dxa"/>
            <w:tcBorders>
              <w:top w:val="single" w:sz="4" w:space="0" w:color="auto"/>
              <w:left w:val="single" w:sz="4" w:space="0" w:color="auto"/>
              <w:bottom w:val="single" w:sz="4" w:space="0" w:color="auto"/>
              <w:right w:val="single" w:sz="4" w:space="0" w:color="auto"/>
            </w:tcBorders>
            <w:noWrap/>
            <w:hideMark/>
          </w:tcPr>
          <w:p w14:paraId="3319CCAB" w14:textId="05BC058A"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{"citationItems":[{"id":"ITEM-1","itemData":{"DOI":"10.1093/cercor/bhz035","ISBN":"1460-2199 (Electronic)\r1047-3211 (Linking)","ISSN":"14602199","PMID":"30953441","abstract":"Repetitive transcranial magnetic stimulation (rTMS) treatment of major depressive disorder (MDD) is associated with changes in brain functional connectivity (FC). These changes may be related to the mechanism of action of rTMS and explain the variability in clinical outcome. We examined changes in electroencephalographic FC during the first rTMS treatment in 109 subjects treated with 10 Hz stimulation to left dorsolateral prefrontal cortex. All subjects subsequently received 30 treatments and clinical response was defined as ≥40% improvement in the inventory of depressive symptomatology-30 SR score at treatment 30. Connectivity change was assessed with coherence, envelope correlation, and a novel measure, alpha spectral correlation (αSC). Machine learning was used to develop predictive models of outcome for each connectivity measure, which were compared with prediction based upon early clinical improvement. Significant connectivity changes were associated with clinical outcome (P &lt; 0.001). Machine learning models based on αSC yielded the most accurate prediction (area under the curve, AUC = 0.83), and performance improved when combined with early clinical improvement measures (AUC = 0.91). The initial rTMS treatment session produced robust changes in FC, which were significant predictors of clinical outcome of a full course of treatment for MDD.","author":[{"dropping-particle":"","family":"Corlier","given":"Juliana","non-dropping-particle":"","parse-names":false,"suffix":""},{"dropping-particle":"","family":"Wilson","given":"Andrew","non-dropping-particle":"","parse-names":false,"suffix":""},{"dropping-particle":"","family":"Hunter","given":"Aimee M.","non-dropping-particle":"","parse-names":false,"suffix":""},{"dropping-particle":"","family":"Vince-Cruz","given":"Nikita","non-dropping-particle":"","parse-names":false,"suffix":""},{"dropping-particle":"","family":"Krantz","given":"David","non-dropping-particle":"","parse-names":false,"suffix":""},{"dropping-particle":"","family":"Levitt","given":"Jennifer","non-dropping-particle":"","parse-names":false,"suffix":""},{"dropping-particle":"","family":"Minzenberg","given":"Michael J.","non-dropping-particle":"","parse-names":false,"suffix":""},{"dropping-particle":"","family":"Ginder","given":"Nathaniel","non-dropping-particle":"","parse-names":false,"suffix":""},{"dropping-particle":"","family":"Cook","given":"Ian A.","non-dropping-particle":"","parse-names":false,"suffix":""},{"dropping-particle":"","family":"Leuchter","given":"Andrew F.","non-dropping-particle":"","parse-names":false,"suffix":""}],"container-title":"Cerebral Cortex","edition":"2019/04/07","id":"ITEM-1","issue":"12","issued":{"date-parts":[["2019"]]},"note":"Corlier, Juliana\nWilson, Andrew\nHunter, Aimee M\nVince-Cruz, Nikita\nKrantz, David\nLevitt, Jennifer\nMinzenberg, Michael J\nGinder, Nathaniel\nCook, Ian A\nLeuchter, Andrew F\neng\nCereb Cortex. 2019 Dec 17;29(12):4958-4967. doi: 10.1093/cercor/bhz035.","page":"4958-4967","title":"Changes in Functional Connectivity Predict Outcome of Repetitive Transcranial Magnetic Stimulation Treatment of Major Depressive Disorder","type":"article-journal","volume":"29"},"uris":["http://www.mendeley.com/documents/?uuid=dd63f32f-720d-4a0f-ac87-04c8d044117a"]}],"mendeley":{"formattedCitation":"(Corlier et al., 2019)","plainTextFormattedCitation":"(Corlier et al., 2019)","previouslyFormattedCitation":"(Corlier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(Corlier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7FCD8027"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228CD7ED" w14:textId="77777777" w:rsidR="00664D9B" w:rsidRPr="00AA1491"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IDS-30</w:t>
            </w:r>
          </w:p>
          <w:p w14:paraId="4E5608DD" w14:textId="10446DA0"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SR</w:t>
            </w:r>
          </w:p>
        </w:tc>
        <w:tc>
          <w:tcPr>
            <w:tcW w:w="990" w:type="dxa"/>
            <w:tcBorders>
              <w:top w:val="single" w:sz="4" w:space="0" w:color="auto"/>
              <w:left w:val="single" w:sz="4" w:space="0" w:color="auto"/>
              <w:bottom w:val="single" w:sz="4" w:space="0" w:color="auto"/>
              <w:right w:val="single" w:sz="4" w:space="0" w:color="auto"/>
            </w:tcBorders>
          </w:tcPr>
          <w:p w14:paraId="123AD90E" w14:textId="65964DA8"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9BA55AD" w14:textId="33710789"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990" w:type="dxa"/>
            <w:tcBorders>
              <w:top w:val="single" w:sz="4" w:space="0" w:color="auto"/>
              <w:left w:val="single" w:sz="4" w:space="0" w:color="auto"/>
              <w:bottom w:val="single" w:sz="4" w:space="0" w:color="auto"/>
              <w:right w:val="single" w:sz="4" w:space="0" w:color="auto"/>
            </w:tcBorders>
            <w:noWrap/>
            <w:hideMark/>
          </w:tcPr>
          <w:p w14:paraId="4C758AE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630" w:type="dxa"/>
            <w:tcBorders>
              <w:top w:val="single" w:sz="4" w:space="0" w:color="auto"/>
              <w:left w:val="single" w:sz="4" w:space="0" w:color="auto"/>
              <w:bottom w:val="single" w:sz="4" w:space="0" w:color="auto"/>
              <w:right w:val="single" w:sz="4" w:space="0" w:color="auto"/>
            </w:tcBorders>
            <w:noWrap/>
            <w:hideMark/>
          </w:tcPr>
          <w:p w14:paraId="545F0E4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0.76</w:t>
            </w:r>
          </w:p>
        </w:tc>
        <w:tc>
          <w:tcPr>
            <w:tcW w:w="900" w:type="dxa"/>
            <w:tcBorders>
              <w:top w:val="single" w:sz="4" w:space="0" w:color="auto"/>
              <w:left w:val="single" w:sz="4" w:space="0" w:color="auto"/>
              <w:bottom w:val="single" w:sz="4" w:space="0" w:color="auto"/>
              <w:right w:val="single" w:sz="4" w:space="0" w:color="auto"/>
            </w:tcBorders>
            <w:noWrap/>
            <w:hideMark/>
          </w:tcPr>
          <w:p w14:paraId="5DB3500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109</w:t>
            </w:r>
          </w:p>
        </w:tc>
        <w:tc>
          <w:tcPr>
            <w:tcW w:w="900" w:type="dxa"/>
            <w:tcBorders>
              <w:top w:val="single" w:sz="4" w:space="0" w:color="auto"/>
              <w:left w:val="single" w:sz="4" w:space="0" w:color="auto"/>
              <w:bottom w:val="single" w:sz="4" w:space="0" w:color="auto"/>
              <w:right w:val="single" w:sz="4" w:space="0" w:color="auto"/>
            </w:tcBorders>
            <w:noWrap/>
            <w:hideMark/>
          </w:tcPr>
          <w:p w14:paraId="4312B42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F96F7B1"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DA916D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ADF2D1E" w14:textId="77777777" w:rsidR="00664D9B" w:rsidRPr="00C126BD" w:rsidRDefault="00664D9B" w:rsidP="00664D9B">
            <w:pPr>
              <w:rPr>
                <w:rFonts w:ascii="Calibri" w:hAnsi="Calibri" w:cs="Calibri"/>
                <w:sz w:val="16"/>
                <w:szCs w:val="16"/>
              </w:rPr>
            </w:pPr>
          </w:p>
        </w:tc>
      </w:tr>
      <w:tr w:rsidR="00664D9B" w:rsidRPr="00C73DE7" w14:paraId="77E5B831" w14:textId="77777777" w:rsidTr="00C126BD">
        <w:trPr>
          <w:trHeight w:val="64"/>
        </w:trPr>
        <w:tc>
          <w:tcPr>
            <w:tcW w:w="3060" w:type="dxa"/>
            <w:tcBorders>
              <w:top w:val="single" w:sz="4" w:space="0" w:color="auto"/>
              <w:left w:val="single" w:sz="4" w:space="0" w:color="auto"/>
              <w:bottom w:val="single" w:sz="4" w:space="0" w:color="auto"/>
              <w:right w:val="single" w:sz="4" w:space="0" w:color="auto"/>
            </w:tcBorders>
            <w:noWrap/>
            <w:hideMark/>
          </w:tcPr>
          <w:p w14:paraId="5A5D07BF" w14:textId="6F24996B"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{"citationItems":[{"id":"ITEM-1","itemData":{"DOI":"10.1097/WNR.0b013e3283294159","ISBN":"1473-558X (Electronic)\r0959-4965 (Linking)","ISSN":"09594965","PMID":"19339907","abstract":"Currently, there are no neurobiological markers of clinical response for cognitive behavioural therapy (CBT) used in clinical practice. We investigated the neural pattern of activity to implicit processing of sad facial expressions as a predictive marker of clinical response. Sixteen medication-free patients in an acute episode of major depression underwent functional magnetic resonance imaging scans before treatment with CBT. Nine patients showed a full clinical response. The pattern of activity, which predicted clinical response, was analysed with support vector machine and leave-one-out cross-validation. The functional neuroanatomy of sad faces at the lowest and highest intensities identified patients, before the initiation of therapy, who had a full clinical response to CBT (sensitivity 71%, specificity 86%, P=0.029). © 2009 Wolters Kluwer Health | Lippincott Williams &amp; Wilkins.","author":[{"dropping-particle":"","family":"Costafreda","given":"Sergi G.","non-dropping-particle":"","parse-names":false,"suffix":""},{"dropping-particle":"","family":"Khanna","given":"Akash","non-dropping-particle":"","parse-names":false,"suffix":""},{"dropping-particle":"","family":"Mourao-Miranda","given":"Janaina","non-dropping-particle":"","parse-names":false,"suffix":""},{"dropping-particle":"","family":"Fu","given":"Cynthia H.Y.","non-dropping-particle":"","parse-names":false,"suffix":""}],"container-title":"NeuroReport","edition":"2009/04/03","id":"ITEM-1","issue":"7","issued":{"date-parts":[["2009"]]},"note":"Costafreda, Sergi G\nKhanna, Akash\nMourao-Miranda, Janaina\nFu, Cynthia H Y\neng\nResearch Support, Non-U.S. Gov't\nEngland\nNeuroreport. 2009 May 6;20(7):637-41. doi: 10.1097/WNR.0b013e3283294159.","page":"637-641","title":"Neural correlates of sad faces predict clinical remission to cognitive behavioural therapy in depression","type":"article-journal","volume":"20"},"uris":["http://www.mendeley.com/documents/?uuid=a76914b0-9759-4463-9959-cd27ee2bb751"]}],"mendeley":{"formattedCitation":"(Costafreda et al., 2009)","plainTextFormattedCitation":"(Costafreda et al., 2009)","previouslyFormattedCitation":"(Costafreda et al., 2009)"},"properties":{"noteIndex":0},"schema":"https://github.com/citation-style-language/schema/raw/master/csl-citation.json"}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(Costafreda et al., 2009)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DFEFF0E"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4DF45BAC" w14:textId="236BE800" w:rsidR="00664D9B" w:rsidRPr="00C126BD" w:rsidRDefault="00664D9B">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4D6189E5" w14:textId="03DB23DA" w:rsidR="00664D9B" w:rsidRPr="00C126BD" w:rsidRDefault="002E5DD5">
            <w:pPr>
              <w:rPr>
                <w:rFonts w:ascii="Calibri" w:eastAsia="Times New Roman" w:hAnsi="Calibri" w:cs="Calibri"/>
                <w:color w:val="000000"/>
                <w:sz w:val="16"/>
                <w:szCs w:val="16"/>
              </w:rPr>
            </w:pPr>
            <w:r w:rsidRPr="002E5DD5">
              <w:rPr>
                <w:rFonts w:ascii="Calibri" w:eastAsia="Times New Roman" w:hAnsi="Calibri" w:cs="Calibri"/>
                <w:color w:val="000000"/>
                <w:sz w:val="16"/>
                <w:szCs w:val="16"/>
              </w:rPr>
              <w:t>16 weeks</w:t>
            </w:r>
          </w:p>
        </w:tc>
        <w:tc>
          <w:tcPr>
            <w:tcW w:w="900" w:type="dxa"/>
            <w:tcBorders>
              <w:top w:val="single" w:sz="4" w:space="0" w:color="auto"/>
              <w:left w:val="single" w:sz="4" w:space="0" w:color="auto"/>
              <w:bottom w:val="single" w:sz="4" w:space="0" w:color="auto"/>
              <w:right w:val="single" w:sz="4" w:space="0" w:color="auto"/>
            </w:tcBorders>
            <w:noWrap/>
            <w:hideMark/>
          </w:tcPr>
          <w:p w14:paraId="7A8B9FAA" w14:textId="76A5B018"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597925F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0.64</w:t>
            </w:r>
          </w:p>
        </w:tc>
        <w:tc>
          <w:tcPr>
            <w:tcW w:w="630" w:type="dxa"/>
            <w:tcBorders>
              <w:top w:val="single" w:sz="4" w:space="0" w:color="auto"/>
              <w:left w:val="single" w:sz="4" w:space="0" w:color="auto"/>
              <w:bottom w:val="single" w:sz="4" w:space="0" w:color="auto"/>
              <w:right w:val="single" w:sz="4" w:space="0" w:color="auto"/>
            </w:tcBorders>
            <w:noWrap/>
            <w:hideMark/>
          </w:tcPr>
          <w:p w14:paraId="17B202B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3200B9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16</w:t>
            </w:r>
          </w:p>
        </w:tc>
        <w:tc>
          <w:tcPr>
            <w:tcW w:w="900" w:type="dxa"/>
            <w:tcBorders>
              <w:top w:val="single" w:sz="4" w:space="0" w:color="auto"/>
              <w:left w:val="single" w:sz="4" w:space="0" w:color="auto"/>
              <w:bottom w:val="single" w:sz="4" w:space="0" w:color="auto"/>
              <w:right w:val="single" w:sz="4" w:space="0" w:color="auto"/>
            </w:tcBorders>
            <w:noWrap/>
            <w:hideMark/>
          </w:tcPr>
          <w:p w14:paraId="1F696E28"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AB3C741"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4DEFD078"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041D6CDB" w14:textId="77777777" w:rsidR="00664D9B" w:rsidRPr="00C126BD" w:rsidRDefault="00664D9B" w:rsidP="00664D9B">
            <w:pPr>
              <w:rPr>
                <w:rFonts w:ascii="Calibri" w:hAnsi="Calibri" w:cs="Calibri"/>
                <w:sz w:val="16"/>
                <w:szCs w:val="16"/>
              </w:rPr>
            </w:pPr>
          </w:p>
        </w:tc>
      </w:tr>
      <w:tr w:rsidR="00664D9B" w:rsidRPr="00C73DE7" w14:paraId="09799CF4" w14:textId="77777777" w:rsidTr="00C126BD">
        <w:trPr>
          <w:trHeight w:val="127"/>
        </w:trPr>
        <w:tc>
          <w:tcPr>
            <w:tcW w:w="3060" w:type="dxa"/>
            <w:tcBorders>
              <w:top w:val="single" w:sz="4" w:space="0" w:color="auto"/>
              <w:left w:val="single" w:sz="4" w:space="0" w:color="auto"/>
              <w:bottom w:val="single" w:sz="4" w:space="0" w:color="auto"/>
              <w:right w:val="single" w:sz="4" w:space="0" w:color="auto"/>
            </w:tcBorders>
            <w:noWrap/>
            <w:hideMark/>
          </w:tcPr>
          <w:p w14:paraId="42D81734" w14:textId="4391BA0E"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{"citationItems":[{"id":"ITEM-1","itemData":{"DOI":"10.1093/brain/aww326","ISBN":"0006-8950","ISSN":"14602156","PMID":"28122876","abstract":"Predicting treatment response for major depressive disorder can provide a tremendous benefit for our overstretched health care system by reducing number of treatments and time to remission, thereby decreasing morbidity. The present study used neural and performance predictors during a cognitive control task to predict treatment response (% change in Hamilton Depression Rating Scale pre- to post-treatment). Forty-nine individuals diagnosed with major depressive disorder were enrolled with intent to treat in the open-label study; 36 completed treatment, had useable data, and were included in most data analyses. Participants included in the data analysis sample received treatment with escitalopram (n = 22) or duloxetine (n = 14) for 10 weeks. Functional MRI and performance during a Parametric Go/No-go test were used to predict per cent reduction in Hamilton Depression Rating Scale scores after treatment. Haemodynamic response function-based contrasts and task-related independent components analysis (subset of sample: n= 29) were predictors. Independent components analysis component beta weights and haemodynamic response function modelling activation during Commission errors in the rostral and dorsal anterior cingulate, mid-cingulate, dorsomedial prefrontal cortex, and lateral orbital frontal cortex predicted treatment response. In addition, more commission errors on the task predicted better treatment response. Together in a regression model, independent component analysis, haemodynamic response function-modelled, and performance measures predicted treatment response with 90% accuracy (compared to 74% accuracy with clinical features alone), with 84% accuracy in 5-fold, leave-one-out cross-validation. Convergence between performance markers and functional magnetic resonance imaging, including novel independent component analysis techniques, achieved high accuracy in prediction of treatment response for major depressive disorder. The strong link to a task paradigm provided by use of independent component analysis is a potential breakthrough that can inform ways in which prediction models can be integrated for use in clinical and experimental medicine studies.","author":[{"dropping-particle":"","family":"Crane","given":"Natania A.","non-dropping-particle":"","parse-names":false,"suffix":""},{"dropping-particle":"","family":"Jenkins","given":"Lisanne M.","non-dropping-particle":"","parse-names":false,"suffix":""},{"dropping-particle":"","family":"Bhaumik","given":"Runa","non-dropping-particle":"","parse-names":false,"suffix":""},{"dropping-particle":"","family":"Dion","given":"Catherine","non-dropping-particle":"","parse-names":false,"suffix":""},{"dropping-particle":"","family":"Gowins","given":"Jennifer R.","non-dropping-particle":"","parse-names":false,"suffix":""},{"dropping-particle":"","family":"Mickey","given":"Brian J.","non-dropping-particle":"","parse-names":false,"suffix":""},{"dropping-particle":"","family":"Zubieta","given":"Jon Kar","non-dropping-particle":"","parse-names":false,"suffix":""},{"dropping-particle":"","family":"Langenecker","given":"Scott A.","non-dropping-particle":"","parse-names":false,"suffix":""}],"container-title":"Brain","edition":"2017/01/27","id":"ITEM-1","issue":"2","issued":{"date-parts":[["2017"]]},"language":"eng","note":"1460-2156\nCrane, Natania A\nJenkins, Lisanne M\nBhaumik, Runa\nDion, Catherine\nGowins, Jennifer R\nMickey, Brian J\nZubieta, Jon-Kar\nLangenecker, Scott A\nK23 MH074459/MH/NIMH NIH HHS/United States\nP01 MH042251/MH/NIMH NIH HHS/United States\nR01 MH101487/MH/NIMH NIH HHS/United States\nM01 RR000042/RR/NCRR NIH HHS/United States\nR01 MH050030/MH/NIMH NIH HHS/United States\nJournal Article\nResearch Support, N.I.H., Extramural\nResearch Support, Non-U.S. Gov't\nEngland\nBrain. 2017 Feb;140(2):472-486. doi: 10.1093/brain/aww326. Epub 2017 Jan 24.","page":"472-486","title":"Multidimensional prediction of treatment response to antidepressants with cognitive control and functional MRI","type":"article-journal","volume":"140"},"uris":["http://www.mendeley.com/documents/?uuid=04b76d46-82fa-4b34-b3b6-e6550b362b11"]}],"mendeley":{"formattedCitation":"(Crane et al., 2017)","plainTextFormattedCitation":"(Crane et al., 2017)","previouslyFormattedCitation":"(Crane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(Crane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76FEF2D7"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354210F2" w14:textId="7351ABC4"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7726AABF" w14:textId="12124154" w:rsidR="00664D9B" w:rsidRPr="00C126BD" w:rsidRDefault="0057039C"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10 weeks</w:t>
            </w:r>
          </w:p>
        </w:tc>
        <w:tc>
          <w:tcPr>
            <w:tcW w:w="900" w:type="dxa"/>
            <w:tcBorders>
              <w:top w:val="single" w:sz="4" w:space="0" w:color="auto"/>
              <w:left w:val="single" w:sz="4" w:space="0" w:color="auto"/>
              <w:bottom w:val="single" w:sz="4" w:space="0" w:color="auto"/>
              <w:right w:val="single" w:sz="4" w:space="0" w:color="auto"/>
            </w:tcBorders>
            <w:noWrap/>
            <w:hideMark/>
          </w:tcPr>
          <w:p w14:paraId="2DB710DA" w14:textId="31F3F5BA"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990" w:type="dxa"/>
            <w:tcBorders>
              <w:top w:val="single" w:sz="4" w:space="0" w:color="auto"/>
              <w:left w:val="single" w:sz="4" w:space="0" w:color="auto"/>
              <w:bottom w:val="single" w:sz="4" w:space="0" w:color="auto"/>
              <w:right w:val="single" w:sz="4" w:space="0" w:color="auto"/>
            </w:tcBorders>
            <w:noWrap/>
            <w:hideMark/>
          </w:tcPr>
          <w:p w14:paraId="630E40A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0.82</w:t>
            </w:r>
          </w:p>
        </w:tc>
        <w:tc>
          <w:tcPr>
            <w:tcW w:w="630" w:type="dxa"/>
            <w:tcBorders>
              <w:top w:val="single" w:sz="4" w:space="0" w:color="auto"/>
              <w:left w:val="single" w:sz="4" w:space="0" w:color="auto"/>
              <w:bottom w:val="single" w:sz="4" w:space="0" w:color="auto"/>
              <w:right w:val="single" w:sz="4" w:space="0" w:color="auto"/>
            </w:tcBorders>
            <w:noWrap/>
            <w:hideMark/>
          </w:tcPr>
          <w:p w14:paraId="34D32F1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4C373A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29</w:t>
            </w:r>
          </w:p>
        </w:tc>
        <w:tc>
          <w:tcPr>
            <w:tcW w:w="900" w:type="dxa"/>
            <w:tcBorders>
              <w:top w:val="single" w:sz="4" w:space="0" w:color="auto"/>
              <w:left w:val="single" w:sz="4" w:space="0" w:color="auto"/>
              <w:bottom w:val="single" w:sz="4" w:space="0" w:color="auto"/>
              <w:right w:val="single" w:sz="4" w:space="0" w:color="auto"/>
            </w:tcBorders>
            <w:noWrap/>
            <w:hideMark/>
          </w:tcPr>
          <w:p w14:paraId="7939B59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5F985A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0.74</w:t>
            </w:r>
          </w:p>
        </w:tc>
        <w:tc>
          <w:tcPr>
            <w:tcW w:w="540" w:type="dxa"/>
            <w:tcBorders>
              <w:top w:val="single" w:sz="4" w:space="0" w:color="auto"/>
              <w:left w:val="single" w:sz="4" w:space="0" w:color="auto"/>
              <w:bottom w:val="single" w:sz="4" w:space="0" w:color="auto"/>
              <w:right w:val="single" w:sz="4" w:space="0" w:color="auto"/>
            </w:tcBorders>
            <w:noWrap/>
            <w:hideMark/>
          </w:tcPr>
          <w:p w14:paraId="408A33DC" w14:textId="77777777" w:rsidR="00664D9B" w:rsidRPr="00C126BD" w:rsidRDefault="00664D9B" w:rsidP="00664D9B">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0F45BFC" w14:textId="77777777" w:rsidR="00664D9B" w:rsidRPr="00C126BD" w:rsidRDefault="00664D9B" w:rsidP="00664D9B">
            <w:pPr>
              <w:rPr>
                <w:rFonts w:ascii="Calibri" w:hAnsi="Calibri" w:cs="Calibri"/>
                <w:sz w:val="16"/>
                <w:szCs w:val="16"/>
              </w:rPr>
            </w:pPr>
          </w:p>
        </w:tc>
      </w:tr>
      <w:tr w:rsidR="00664D9B" w:rsidRPr="00C73DE7" w14:paraId="2D8E2C0F" w14:textId="77777777" w:rsidTr="00C126BD">
        <w:trPr>
          <w:trHeight w:val="1000"/>
        </w:trPr>
        <w:tc>
          <w:tcPr>
            <w:tcW w:w="3060" w:type="dxa"/>
            <w:tcBorders>
              <w:top w:val="single" w:sz="4" w:space="0" w:color="auto"/>
              <w:left w:val="single" w:sz="4" w:space="0" w:color="auto"/>
              <w:bottom w:val="single" w:sz="4" w:space="0" w:color="auto"/>
              <w:right w:val="single" w:sz="4" w:space="0" w:color="auto"/>
            </w:tcBorders>
            <w:noWrap/>
            <w:hideMark/>
          </w:tcPr>
          <w:p w14:paraId="1986FE48" w14:textId="6F1BBA30" w:rsidR="00664D9B" w:rsidRPr="00C126BD" w:rsidRDefault="00664D9B" w:rsidP="00664D9B">
            <w:pPr>
              <w:rPr>
                <w:rFonts w:ascii="Calibri" w:eastAsia="Times New Roman" w:hAnsi="Calibri" w:cs="Calibri"/>
                <w:color w:val="000000"/>
                <w:sz w:val="16"/>
                <w:szCs w:val="16"/>
                <w:vertAlign w:val="superscript"/>
              </w:rPr>
            </w:pPr>
            <w:r>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{"citationItems":[{"id":"ITEM-1","itemData":{"DOI":"10.1037/ccp0000476","ISSN":"19392117","PMID":"31841021","abstract":"Objective: Depression is a highly common mental disorder and a major cause of disability worldwide. Several psychological interventions are available, but there is a lack of evidence to decide which treatment works best for whom. This study aimed to identify subgroups of patients who respond differentially to cognitive-behavioral therapy (CBT) or person-centered counseling for depression (CfD). Method: This was a retrospective analysis of archival routine practice data for 1,435 patients who received either CBT (N = 1,104) or CfD (N = 331) in primary care. The main outcome was posttreatment reliable and clinically significant improvement (RCSI) in the PHQ-9 depression measure. A targeted prescription algorithm was developed in a training sample (N = 1,085) using a supervised machine learning approach (elastic net with optimal scaling). The clinical utility of the algorithm was examined in a statistically independent test sample (N = 350) using chi-square analysis and odds ratios. Results: Cases in the test sample that received their model-indicated \"optimal\" treatment had a significantly higher RCSI rate (62.5%) compared to those who received the \"suboptimal\" treatment (41.7%); X2(df = 1) = 4.79, p = .03, OR = 2.33 (95% CI [1.09, 5.02]). Conclusion: Targeted prescription has the potential to make best use of currently available evidence-based treatments, improving outcomes for patients at no additional cost to psychological services.","author":[{"dropping-particle":"","family":"Delgadillo","given":"Jaime","non-dropping-particle":"","parse-names":false,"suffix":""},{"dropping-particle":"","family":"Salas Duhne","given":"Paulina Gonzalez","non-dropping-particle":"","parse-names":false,"suffix":""}],"container-title":"Journal of Consulting and Clinical Psychology","id":"ITEM-1","issue":"1","issued":{"date-parts":[["2020","1"]]},"language":"eng","page":"14-24","publisher-place":"United States","title":"Targeted prescription of cognitive-behavioral therapy versus person-centered counseling for depression using a machine learning approach","type":"article-journal","volume":"88"},"uris":["http://www.mendeley.com/documents/?uuid=1efadcce-969f-429c-8571-a013d34d1943"]}],"mendeley":{"formattedCitation":"(Delgadillo &amp; Salas Duhne, 2020)","plainTextFormattedCitation":"(Delgadillo &amp; Salas Duhne, 2020)","previouslyFormattedCitation":"(Delgadillo &amp; Salas Duhne, 2020)"},"properties":{"noteIndex":0},"schema":"https://github.com/citation-style-language/schema/raw/master/csl-citation.json"}</w:instrText>
            </w:r>
            <w:r>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(Delgadillo &amp; Salas Duhne, 2020)</w:t>
            </w:r>
            <w:r>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6AD5C820"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Reliable and clinically significant improvement (RCSI)</w:t>
            </w:r>
          </w:p>
        </w:tc>
        <w:tc>
          <w:tcPr>
            <w:tcW w:w="1440" w:type="dxa"/>
            <w:tcBorders>
              <w:top w:val="single" w:sz="4" w:space="0" w:color="auto"/>
              <w:left w:val="single" w:sz="4" w:space="0" w:color="auto"/>
              <w:bottom w:val="single" w:sz="4" w:space="0" w:color="auto"/>
              <w:right w:val="single" w:sz="4" w:space="0" w:color="auto"/>
            </w:tcBorders>
          </w:tcPr>
          <w:p w14:paraId="4BA4E64E" w14:textId="586FC94D" w:rsidR="00664D9B" w:rsidRPr="00C126BD" w:rsidRDefault="00664D9B">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PHQ-9</w:t>
            </w:r>
          </w:p>
        </w:tc>
        <w:tc>
          <w:tcPr>
            <w:tcW w:w="990" w:type="dxa"/>
            <w:tcBorders>
              <w:top w:val="single" w:sz="4" w:space="0" w:color="auto"/>
              <w:left w:val="single" w:sz="4" w:space="0" w:color="auto"/>
              <w:bottom w:val="single" w:sz="4" w:space="0" w:color="auto"/>
              <w:right w:val="single" w:sz="4" w:space="0" w:color="auto"/>
            </w:tcBorders>
          </w:tcPr>
          <w:p w14:paraId="14B6FB3F" w14:textId="34273230" w:rsidR="00664D9B" w:rsidRPr="00C126BD" w:rsidRDefault="00205FAA">
            <w:pPr>
              <w:rPr>
                <w:rFonts w:ascii="Calibri" w:eastAsia="Times New Roman" w:hAnsi="Calibri" w:cs="Calibri"/>
                <w:color w:val="000000"/>
                <w:sz w:val="16"/>
                <w:szCs w:val="16"/>
              </w:rPr>
            </w:pPr>
            <w:r>
              <w:rPr>
                <w:rFonts w:ascii="Calibri" w:hAnsi="Calibri" w:cs="Calibri"/>
                <w:sz w:val="16"/>
                <w:szCs w:val="16"/>
              </w:rPr>
              <w:t xml:space="preserve">7.12 </w:t>
            </w:r>
            <w:r w:rsidRPr="00C126BD">
              <w:rPr>
                <w:rFonts w:ascii="Calibri" w:hAnsi="Calibri" w:cs="Calibri"/>
                <w:sz w:val="16"/>
                <w:szCs w:val="16"/>
              </w:rPr>
              <w:t>months</w:t>
            </w:r>
          </w:p>
        </w:tc>
        <w:tc>
          <w:tcPr>
            <w:tcW w:w="900" w:type="dxa"/>
            <w:tcBorders>
              <w:top w:val="single" w:sz="4" w:space="0" w:color="auto"/>
              <w:left w:val="single" w:sz="4" w:space="0" w:color="auto"/>
              <w:bottom w:val="single" w:sz="4" w:space="0" w:color="auto"/>
              <w:right w:val="single" w:sz="4" w:space="0" w:color="auto"/>
            </w:tcBorders>
            <w:noWrap/>
            <w:hideMark/>
          </w:tcPr>
          <w:p w14:paraId="266B67C4" w14:textId="21715AD9"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017892AA"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099F29A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0.60</w:t>
            </w:r>
          </w:p>
        </w:tc>
        <w:tc>
          <w:tcPr>
            <w:tcW w:w="900" w:type="dxa"/>
            <w:tcBorders>
              <w:top w:val="single" w:sz="4" w:space="0" w:color="auto"/>
              <w:left w:val="single" w:sz="4" w:space="0" w:color="auto"/>
              <w:bottom w:val="single" w:sz="4" w:space="0" w:color="auto"/>
              <w:right w:val="single" w:sz="4" w:space="0" w:color="auto"/>
            </w:tcBorders>
            <w:noWrap/>
            <w:hideMark/>
          </w:tcPr>
          <w:p w14:paraId="3A0E81E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1104</w:t>
            </w:r>
          </w:p>
        </w:tc>
        <w:tc>
          <w:tcPr>
            <w:tcW w:w="900" w:type="dxa"/>
            <w:tcBorders>
              <w:top w:val="single" w:sz="4" w:space="0" w:color="auto"/>
              <w:left w:val="single" w:sz="4" w:space="0" w:color="auto"/>
              <w:bottom w:val="single" w:sz="4" w:space="0" w:color="auto"/>
              <w:right w:val="single" w:sz="4" w:space="0" w:color="auto"/>
            </w:tcBorders>
            <w:noWrap/>
            <w:hideMark/>
          </w:tcPr>
          <w:p w14:paraId="59996446"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CA8B72E"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F88532E" w14:textId="77777777" w:rsidR="00664D9B" w:rsidRPr="00C126BD" w:rsidRDefault="00664D9B" w:rsidP="00664D9B">
            <w:pPr>
              <w:jc w:val="cente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BEBBBBD" w14:textId="77777777" w:rsidR="00664D9B" w:rsidRPr="00C126BD" w:rsidRDefault="00664D9B" w:rsidP="00664D9B">
            <w:pPr>
              <w:jc w:val="center"/>
              <w:rPr>
                <w:rFonts w:ascii="Calibri" w:eastAsia="Times New Roman" w:hAnsi="Calibri" w:cs="Calibri"/>
                <w:color w:val="000000"/>
                <w:sz w:val="16"/>
                <w:szCs w:val="16"/>
              </w:rPr>
            </w:pPr>
          </w:p>
        </w:tc>
      </w:tr>
      <w:tr w:rsidR="00664D9B" w:rsidRPr="00C73DE7" w14:paraId="099DBFF8"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23D1297" w14:textId="217F45C2"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{"citationItems":[{"id":"ITEM-1","itemData":{"DOI":"10.1038/nm.4246","ISBN":"1078-8956","ISSN":"1546170X","PMID":"27918562","abstract":"Biomarkers have transformed modern medicine but remain largely elusive in psychiatry, partly because there is a weak correspondence between diagnostic labels and their neurobiological substrates. Like other neuropsychiatric disorders, depression is not a unitary disease, but rather a heterogeneous syndrome that encompasses varied, co-occurring symptoms and divergent responses to treatment. By using functional magnetic resonance imaging (fMRI) in a large multisite sample (n = 1, 188), we show here that patients with depression can be subdivided into four neurophysiological subtypes ('biotypes') defined by distinct patterns of dysfunctional connectivity in limbic and frontostriatal networks. Clustering patients on this basis enabled the development of diagnostic classifiers (biomarkers) with high (82-93%) sensitivity and specificity for depression subtypes in multisite validation (n = 711) and out-of-sample replication (n = 477) data sets. These biotypes cannot be differentiated solely on the basis of clinical features, but they are associated with differing clinical-symptom profiles. They also predict responsiveness to transcranial magnetic stimulation therapy (n = 154). Our results define novel subtypes of depression that transcend current diagnostic boundaries and may be useful for identifying the individuals who are most likely to benefit from targeted neurostimulation therapies.","author":[{"dropping-particle":"","family":"Drysdale","given":"Andrew T.","non-dropping-particle":"","parse-names":false,"suffix":""},{"dropping-particle":"","family":"Grosenick","given":"Logan","non-dropping-particle":"","parse-names":false,"suffix":""},{"dropping-particle":"","family":"Downar","given":"Jonathan","non-dropping-particle":"","parse-names":false,"suffix":""},{"dropping-particle":"","family":"Dunlop","given":"Katharine","non-dropping-particle":"","parse-names":false,"suffix":""},{"dropping-particle":"","family":"Mansouri","given":"Farrokh","non-dropping-particle":"","parse-names":false,"suffix":""},{"dropping-particle":"","family":"Meng","given":"Yue","non-dropping-particle":"","parse-names":false,"suffix":""},{"dropping-particle":"","family":"Fetcho","given":"Robert N.","non-dropping-particle":"","parse-names":false,"suffix":""},{"dropping-particle":"","family":"Zebley","given":"Benjamin","non-dropping-particle":"","parse-names":false,"suffix":""},{"dropping-particle":"","family":"Oathes","given":"Desmond J.","non-dropping-particle":"","parse-names":false,"suffix":""},{"dropping-particle":"","family":"Etkin","given":"Amit","non-dropping-particle":"","parse-names":false,"suffix":""},{"dropping-particle":"","family":"Schatzberg","given":"Alan F.","non-dropping-particle":"","parse-names":false,"suffix":""},{"dropping-particle":"","family":"Sudheimer","given":"Keith","non-dropping-particle":"","parse-names":false,"suffix":""},{"dropping-particle":"","family":"Keller","given":"Jennifer","non-dropping-particle":"","parse-names":false,"suffix":""},{"dropping-particle":"","family":"Mayberg","given":"Helen S.","non-dropping-particle":"","parse-names":false,"suffix":""},{"dropping-particle":"","family":"Gunning","given":"Faith M.","non-dropping-particle":"","parse-names":false,"suffix":""},{"dropping-particle":"","family":"Alexopoulos","given":"George S.","non-dropping-particle":"","parse-names":false,"suffix":""},{"dropping-particle":"","family":"Fox","given":"Michael D.","non-dropping-particle":"","parse-names":false,"suffix":""},{"dropping-particle":"","family":"Pascual-Leone","given":"Alvaro","non-dropping-particle":"","parse-names":false,"suffix":""},{"dropping-particle":"","family":"Voss","given":"Henning U.","non-dropping-particle":"","parse-names":false,"suffix":""},{"dropping-particle":"","family":"Casey","given":"B. J.","non-dropping-particle":"","parse-names":false,"suffix":""},{"dropping-particle":"","family":"Dubin","given":"Marc J.","non-dropping-particle":"","parse-names":false,"suffix":""},{"dropping-particle":"","family":"Liston","given":"Conor","non-dropping-particle":"","parse-names":false,"suffix":""}],"container-title":"Nature Medicine","edition":"2016/12/06","id":"ITEM-1","issue":"1","issued":{"date-parts":[["2017"]]},"language":"eng","note":"1546-170x\nDrysdale, Andrew T\nGrosenick, Logan\nDownar, Jonathan\nOrcid: 0000-0002-5140-174x\nDunlop, Katharine\nMansouri, Farrokh\nMeng, Yue\nFetcho, Robert N\nZebley, Benjamin\nOathes, Desmond J\nEtkin, Amit\nSchatzberg, Alan F\nSudheimer, Keith\nKeller, Jennifer\nMayberg, Helen S\nGunning, Faith M\nAlexopoulos, George S\nFox, Michael D\nPascual-Leone, Alvaro\nVoss, Henning U\nOrcid: 0000-0003-2811-2074\nCasey, B J\nDubin, Marc J\nListon, Conor\nK23 NS083741/NS/NINDS NIH HHS/United States\nHHMI/Howard Hughes Medical Institute/United States\nR01 MH109685/MH/NIMH NIH HHS/United States\nR21 MH099196/MH/NIMH NIH HHS/United States\nR00 MH097822/MH/NIMH NIH HHS/United States\nP20 RR021938/RR/NCRR NIH HHS/United States\nUL1 TR002384/TR/NCATS NIH HHS/United States\nP50 MH077083/MH/NIMH NIH HHS/United States\nJournal Article\nResearch Support, Non-U.S. Gov't\nResearch Support, N.I.H., Extramural\nUnited States\nNat Med. 2017 Jan;23(1):28-38. doi: 10.1038/nm.4246. Epub 2016 Dec 5.","page":"28-38","title":"Resting-state connectivity biomarkers define neurophysiological subtypes of depression","type":"article-journal","volume":"23"},"uris":["http://www.mendeley.com/documents/?uuid=d94c6a52-e5f6-4b47-a82d-0b6baddbe010"]}],"mendeley":{"formattedCitation":"(Drysdale et al., 2017)","plainTextFormattedCitation":"(Drysdale et al., 2017)","previouslyFormattedCitation":"(Drysdale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(Drysdale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BFF0E36" w14:textId="77777777" w:rsidR="00664D9B" w:rsidRPr="00C126BD" w:rsidRDefault="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530E1009" w14:textId="09D47362" w:rsidR="00664D9B" w:rsidRPr="00C126BD" w:rsidRDefault="00844778" w:rsidP="00C126BD">
            <w:pPr>
              <w:rPr>
                <w:rFonts w:ascii="Calibri" w:eastAsia="Times New Roman" w:hAnsi="Calibri" w:cs="Calibri"/>
                <w:color w:val="000000"/>
                <w:sz w:val="16"/>
                <w:szCs w:val="16"/>
              </w:rPr>
            </w:pPr>
            <w:r>
              <w:rPr>
                <w:rFonts w:ascii="Calibri" w:eastAsia="Times New Roman" w:hAnsi="Calibri" w:cs="Calibri"/>
                <w:color w:val="000000"/>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5A895331" w14:textId="473B5CF1" w:rsidR="00664D9B" w:rsidRPr="00C126BD" w:rsidRDefault="00936155" w:rsidP="00C126BD">
            <w:pPr>
              <w:rPr>
                <w:rFonts w:ascii="Calibri" w:eastAsia="Times New Roman" w:hAnsi="Calibri" w:cs="Calibri"/>
                <w:color w:val="000000"/>
                <w:sz w:val="16"/>
                <w:szCs w:val="16"/>
              </w:rPr>
            </w:pPr>
            <w:r>
              <w:rPr>
                <w:rFonts w:ascii="Calibri" w:eastAsia="Times New Roman" w:hAnsi="Calibri" w:cs="Calibri"/>
                <w:color w:val="000000"/>
                <w:sz w:val="16"/>
                <w:szCs w:val="16"/>
              </w:rPr>
              <w:t>5 weeks</w:t>
            </w:r>
          </w:p>
        </w:tc>
        <w:tc>
          <w:tcPr>
            <w:tcW w:w="900" w:type="dxa"/>
            <w:tcBorders>
              <w:top w:val="single" w:sz="4" w:space="0" w:color="auto"/>
              <w:left w:val="single" w:sz="4" w:space="0" w:color="auto"/>
              <w:bottom w:val="single" w:sz="4" w:space="0" w:color="auto"/>
              <w:right w:val="single" w:sz="4" w:space="0" w:color="auto"/>
            </w:tcBorders>
            <w:noWrap/>
            <w:hideMark/>
          </w:tcPr>
          <w:p w14:paraId="42D101E9" w14:textId="4AD14D25"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990" w:type="dxa"/>
            <w:tcBorders>
              <w:top w:val="single" w:sz="4" w:space="0" w:color="auto"/>
              <w:left w:val="single" w:sz="4" w:space="0" w:color="auto"/>
              <w:bottom w:val="single" w:sz="4" w:space="0" w:color="auto"/>
              <w:right w:val="single" w:sz="4" w:space="0" w:color="auto"/>
            </w:tcBorders>
            <w:noWrap/>
            <w:hideMark/>
          </w:tcPr>
          <w:p w14:paraId="67432EBE"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17652CD5"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F7599E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711</w:t>
            </w:r>
          </w:p>
        </w:tc>
        <w:tc>
          <w:tcPr>
            <w:tcW w:w="900" w:type="dxa"/>
            <w:tcBorders>
              <w:top w:val="single" w:sz="4" w:space="0" w:color="auto"/>
              <w:left w:val="single" w:sz="4" w:space="0" w:color="auto"/>
              <w:bottom w:val="single" w:sz="4" w:space="0" w:color="auto"/>
              <w:right w:val="single" w:sz="4" w:space="0" w:color="auto"/>
            </w:tcBorders>
            <w:noWrap/>
            <w:hideMark/>
          </w:tcPr>
          <w:p w14:paraId="7D9D36E9"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350713F"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015473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B5AE8B2" w14:textId="77777777" w:rsidR="00664D9B" w:rsidRPr="00C126BD" w:rsidRDefault="00664D9B" w:rsidP="00664D9B">
            <w:pPr>
              <w:rPr>
                <w:rFonts w:ascii="Calibri" w:hAnsi="Calibri" w:cs="Calibri"/>
                <w:sz w:val="16"/>
                <w:szCs w:val="16"/>
              </w:rPr>
            </w:pPr>
          </w:p>
        </w:tc>
      </w:tr>
      <w:tr w:rsidR="00664D9B" w:rsidRPr="00C73DE7" w14:paraId="587F0F72" w14:textId="77777777" w:rsidTr="00C126BD">
        <w:trPr>
          <w:trHeight w:val="145"/>
        </w:trPr>
        <w:tc>
          <w:tcPr>
            <w:tcW w:w="3060" w:type="dxa"/>
            <w:tcBorders>
              <w:top w:val="single" w:sz="4" w:space="0" w:color="auto"/>
              <w:left w:val="single" w:sz="4" w:space="0" w:color="auto"/>
              <w:bottom w:val="single" w:sz="4" w:space="0" w:color="auto"/>
              <w:right w:val="single" w:sz="4" w:space="0" w:color="auto"/>
            </w:tcBorders>
            <w:noWrap/>
            <w:hideMark/>
          </w:tcPr>
          <w:p w14:paraId="03DA55A1" w14:textId="315638E4"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{"citationItems":[{"id":"ITEM-1","itemData":{"DOI":"10.4306/pi.2015.12.1.61","ISBN":"1738-3684 (Print)\r1738-3684 (Linking)","ISSN":"19763026","PMID":"25670947","abstract":"Objective The combination of repetitive transcranial magnetic stimulation (rTMS), a non-pharmacological form of therapy for treating major depressive disorder (MDD), and electroencephalogram (EEG) is a valuable tool for investigating the functional connectivity in the brain. This study aims to explore whether pre-treating frontal quantitative EEG (QEEG) cordance is associated with response to rTMS treatment among MDD patients by using an artificial intelligence approach, artificial neural network (ANN).\nMethods The artificial neural network using pre-treatment cordance of frontal QEEG classification was carried out to identify responder or non-responder to rTMS treatment among 55 MDD subjects. The classification performance was evaluated using k-fold cross-validation.\nResultsaaThe ANN classification identified responders to rTMS treatment with a sensitivity of 93.33%, and its overall accuracy reached to 89.09%. Area under Receiver Operating Characteristic (ROC) curve (AUC) value for responder detection using 6, 8 and 10 fold cross validation were 0.917, 0.823 and 0.894 respectively.\nConclusion Potential utility of ANN approach method can be used as a clinical tool in administering rTMS therapy to a targeted group of subjects suffering from MDD. This methodology is more potentially useful to the clinician as prediction is possible using EEG data collected before this treatment process is initiated. It is worth using feature selection algorithms to raise the sensitivity and accuracy values.","author":[{"dropping-particle":"","family":"Erguzel","given":"Turker Tekin","non-dropping-particle":"","parse-names":false,"suffix":""},{"dropping-particle":"","family":"Ozekes","given":"Serhat","non-dropping-particle":"","parse-names":false,"suffix":""},{"dropping-particle":"","family":"Gultekin","given":"Selahattin","non-dropping-particle":"","parse-names":false,"suffix":""},{"dropping-particle":"","family":"Tarhan","given":"Nevzat","non-dropping-particle":"","parse-names":false,"suffix":""},{"dropping-particle":"","family":"Sayar","given":"Gokben Hizli","non-dropping-particle":"","parse-names":false,"suffix":""},{"dropping-particle":"","family":"Bayram","given":"Ali","non-dropping-particle":"","parse-names":false,"suffix":""}],"container-title":"Psychiatry Investigation","edition":"2015/02/12","id":"ITEM-1","issue":"1","issued":{"date-parts":[["2015"]]},"note":"Erguzel, Turker Tekin\nOzekes, Serhat\nGultekin, Selahattin\nTarhan, Nevzat\nHizli Sayar, Gokben\nBayram, Ali\neng\nKorea (South)\nPsychiatry Investig. 2015 Jan;12(1):61-5. doi: 10.4306/pi.2015.12.1.61. Epub 2015 Jan 12.","page":"61-65","title":"Neural network based response prediction of rTMS in major depressive disorder using QEEG cordance","type":"article-journal","volume":"12"},"uris":["http://www.mendeley.com/documents/?uuid=e1b61a2f-7e3b-4d34-87c0-35a764890a28"]}],"mendeley":{"formattedCitation":"(Erguzel et al., 2015)","plainTextFormattedCitation":"(Erguzel et al., 2015)","previouslyFormattedCitation":"(Erguzel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(Erguzel et al., 2015)</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A13AE5E"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6606FE9" w14:textId="1E790829" w:rsidR="00664D9B" w:rsidRPr="00C126BD" w:rsidRDefault="000B6E8B" w:rsidP="00C126BD">
            <w:pPr>
              <w:rPr>
                <w:rFonts w:ascii="Calibri" w:eastAsia="Times New Roman" w:hAnsi="Calibri" w:cs="Calibri"/>
                <w:color w:val="000000"/>
                <w:sz w:val="16"/>
                <w:szCs w:val="16"/>
              </w:rPr>
            </w:pPr>
            <w:r w:rsidRPr="00C126BD">
              <w:rPr>
                <w:rFonts w:ascii="Calibri" w:hAnsi="Calibri" w:cs="Calibri"/>
                <w:color w:val="221E1F"/>
                <w:sz w:val="16"/>
                <w:szCs w:val="16"/>
              </w:rPr>
              <w:t>HAMD-17</w:t>
            </w:r>
          </w:p>
        </w:tc>
        <w:tc>
          <w:tcPr>
            <w:tcW w:w="990" w:type="dxa"/>
            <w:tcBorders>
              <w:top w:val="single" w:sz="4" w:space="0" w:color="auto"/>
              <w:left w:val="single" w:sz="4" w:space="0" w:color="auto"/>
              <w:bottom w:val="single" w:sz="4" w:space="0" w:color="auto"/>
              <w:right w:val="single" w:sz="4" w:space="0" w:color="auto"/>
            </w:tcBorders>
          </w:tcPr>
          <w:p w14:paraId="554D8396" w14:textId="3005934A" w:rsidR="00664D9B" w:rsidRPr="00C126BD" w:rsidRDefault="00EA69D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101544C9" w14:textId="614954F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990" w:type="dxa"/>
            <w:tcBorders>
              <w:top w:val="single" w:sz="4" w:space="0" w:color="auto"/>
              <w:left w:val="single" w:sz="4" w:space="0" w:color="auto"/>
              <w:bottom w:val="single" w:sz="4" w:space="0" w:color="auto"/>
              <w:right w:val="single" w:sz="4" w:space="0" w:color="auto"/>
            </w:tcBorders>
            <w:noWrap/>
            <w:hideMark/>
          </w:tcPr>
          <w:p w14:paraId="1AFC976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630" w:type="dxa"/>
            <w:tcBorders>
              <w:top w:val="single" w:sz="4" w:space="0" w:color="auto"/>
              <w:left w:val="single" w:sz="4" w:space="0" w:color="auto"/>
              <w:bottom w:val="single" w:sz="4" w:space="0" w:color="auto"/>
              <w:right w:val="single" w:sz="4" w:space="0" w:color="auto"/>
            </w:tcBorders>
            <w:noWrap/>
            <w:hideMark/>
          </w:tcPr>
          <w:p w14:paraId="674A2A9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900" w:type="dxa"/>
            <w:tcBorders>
              <w:top w:val="single" w:sz="4" w:space="0" w:color="auto"/>
              <w:left w:val="single" w:sz="4" w:space="0" w:color="auto"/>
              <w:bottom w:val="single" w:sz="4" w:space="0" w:color="auto"/>
              <w:right w:val="single" w:sz="4" w:space="0" w:color="auto"/>
            </w:tcBorders>
            <w:noWrap/>
            <w:hideMark/>
          </w:tcPr>
          <w:p w14:paraId="235064E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55</w:t>
            </w:r>
          </w:p>
        </w:tc>
        <w:tc>
          <w:tcPr>
            <w:tcW w:w="900" w:type="dxa"/>
            <w:tcBorders>
              <w:top w:val="single" w:sz="4" w:space="0" w:color="auto"/>
              <w:left w:val="single" w:sz="4" w:space="0" w:color="auto"/>
              <w:bottom w:val="single" w:sz="4" w:space="0" w:color="auto"/>
              <w:right w:val="single" w:sz="4" w:space="0" w:color="auto"/>
            </w:tcBorders>
            <w:noWrap/>
            <w:hideMark/>
          </w:tcPr>
          <w:p w14:paraId="5E3AE1E8"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3F956C7"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F82CD6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80FFD8E" w14:textId="77777777" w:rsidR="00664D9B" w:rsidRPr="00C126BD" w:rsidRDefault="00664D9B" w:rsidP="00664D9B">
            <w:pPr>
              <w:rPr>
                <w:rFonts w:ascii="Calibri" w:hAnsi="Calibri" w:cs="Calibri"/>
                <w:sz w:val="16"/>
                <w:szCs w:val="16"/>
              </w:rPr>
            </w:pPr>
          </w:p>
        </w:tc>
      </w:tr>
      <w:tr w:rsidR="00664D9B" w:rsidRPr="00C73DE7" w14:paraId="0B23E746" w14:textId="77777777" w:rsidTr="00C126BD">
        <w:trPr>
          <w:trHeight w:val="118"/>
        </w:trPr>
        <w:tc>
          <w:tcPr>
            <w:tcW w:w="3060" w:type="dxa"/>
            <w:tcBorders>
              <w:top w:val="single" w:sz="4" w:space="0" w:color="auto"/>
              <w:left w:val="single" w:sz="4" w:space="0" w:color="auto"/>
              <w:bottom w:val="single" w:sz="4" w:space="0" w:color="auto"/>
              <w:right w:val="single" w:sz="4" w:space="0" w:color="auto"/>
            </w:tcBorders>
            <w:noWrap/>
            <w:hideMark/>
          </w:tcPr>
          <w:p w14:paraId="1D80609B" w14:textId="178E83BF"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{"citationItems":[{"id":"ITEM-1","itemData":{"DOI":"10.1038/npp.2014.333","ISBN":"0893-133x","ISSN":"1740634X","PMID":"25547711","abstract":"Depression involves impairments in a range of cognitive and emotional capacities. It is unknown whether these functions can inform medication choice when considered as a composite predictive biomarker. We tested whether behavioral tests, grounded in the neurobiology of cognitive and emotional functions, predict outcome with common antidepressants. Medication-free outpatients with nonpsychotic major depressive disorder (N = 1008; 665 completers) were assessed before treatment using 13 computerized tests of psychomotor, executive, memory-attention, processing speed, inhibitory, and emotional functions. Matched healthy controls (N = 336) provided a normative reference sample for test performance. Depressed participants were then randomized to escitalopram, sertraline, or venlafaxine-extended release, and were assessed using the 16-item Quick Inventory of Depressive Symptomatology (QIDS-SR16) and the 17-item Hamilton Rating Scale for Depression. Given the heterogeneity of depression, analyses were furthermore stratified by pretreatment performance. We then used pattern classification with cross-validation to determine individual patient-level composite predictive biomarkers of antidepressant outcome based on test performance. A subgroup of depressed participants (approximately one-quarter of patients) were found to be impaired across most cognitive tests relative to the healthy norm, from which they could be discriminated with 91% accuracy. These patients with generally impaired cognitive task performance had poorer treatment outcomes. For this impaired subgroup, task performance furthermore predicted remission on the QIDS-SR16 at 72% accuracy specifically following treatment with escitalopram but not the other medications. Therefore, tests of cognitive and emotional functions can form a clinically meaningful composite biomarker that may help drive general treatment outcome prediction for optimal treatment selection in depression, particularly for escitalopram.","author":[{"dropping-particle":"","family":"Etkin","given":"Amit","non-dropping-particle":"","parse-names":false,"suffix":""},{"dropping-particle":"","family":"Patenaude","given":"Brian","non-dropping-particle":"","parse-names":false,"suffix":""},{"dropping-particle":"","family":"Song","given":"Yun Ju C.","non-dropping-particle":"","parse-names":false,"suffix":""},{"dropping-particle":"","family":"Usherwood","given":"Timothy","non-dropping-particle":"","parse-names":false,"suffix":""},{"dropping-particle":"","family":"Rekshan","given":"William","non-dropping-particle":"","parse-names":false,"suffix":""},{"dropping-particle":"","family":"Schatzberg","given":"Alan F.","non-dropping-particle":"","parse-names":false,"suffix":""},{"dropping-particle":"","family":"Rush","given":"A. John","non-dropping-particle":"","parse-names":false,"suffix":""},{"dropping-particle":"","family":"Williams","given":"Leanne M.","non-dropping-particle":"","parse-names":false,"suffix":""}],"container-title":"Neuropsychopharmacology","edition":"2014/12/31","id":"ITEM-1","issue":"6","issued":{"date-parts":[["2015"]]},"language":"eng","note":"1740-634x\nEtkin, Amit\nPatenaude, Brian\nSong, Yun Ju C\nUsherwood, Timothy\nRekshan, William\nSchatzberg, Alan F\nRush, A John\nWilliams, Leanne M\nJournal Article\nMulticenter Study\nRandomized Controlled Trial\nResearch Support, Non-U.S. Gov't\nEngland\nNeuropsychopharmacology. 2015 May;40(6):1332-42. doi: 10.1038/npp.2014.333. Epub 2014 Dec 30.","page":"1332-1342","title":"A Cognitive-Emotional Biomarker for Predicting Remission with Antidepressant Medications: A Report from the iSPOT-D Trial","type":"article-journal","volume":"40"},"uris":["http://www.mendeley.com/documents/?uuid=93ec616c-26f2-4888-a99e-a556b54cc286"]}],"mendeley":{"formattedCitation":"(Etkin et al., 2015)","plainTextFormattedCitation":"(Etkin et al., 2015)","previouslyFormattedCitation":"(Etkin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(Etkin et al., 2015)</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106EC21"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23592E78" w14:textId="5E56F390"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HRSD</w:t>
            </w:r>
            <w:r>
              <w:rPr>
                <w:rFonts w:ascii="Calibri" w:eastAsia="Times New Roman" w:hAnsi="Calibri" w:cs="Calibri"/>
                <w:color w:val="000000"/>
                <w:sz w:val="16"/>
                <w:szCs w:val="16"/>
              </w:rPr>
              <w:t xml:space="preserve">, </w:t>
            </w:r>
            <w:r w:rsidRPr="00AA1491">
              <w:rPr>
                <w:rFonts w:ascii="Calibri" w:eastAsia="Times New Roman" w:hAnsi="Calibri" w:cs="Calibri"/>
                <w:color w:val="000000"/>
                <w:sz w:val="16"/>
                <w:szCs w:val="16"/>
              </w:rPr>
              <w:t>QIDS-SR16</w:t>
            </w:r>
          </w:p>
        </w:tc>
        <w:tc>
          <w:tcPr>
            <w:tcW w:w="990" w:type="dxa"/>
            <w:tcBorders>
              <w:top w:val="single" w:sz="4" w:space="0" w:color="auto"/>
              <w:left w:val="single" w:sz="4" w:space="0" w:color="auto"/>
              <w:bottom w:val="single" w:sz="4" w:space="0" w:color="auto"/>
              <w:right w:val="single" w:sz="4" w:space="0" w:color="auto"/>
            </w:tcBorders>
          </w:tcPr>
          <w:p w14:paraId="276CBCDF" w14:textId="1F7CC89C"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 xml:space="preserve">8 weeks </w:t>
            </w:r>
          </w:p>
        </w:tc>
        <w:tc>
          <w:tcPr>
            <w:tcW w:w="900" w:type="dxa"/>
            <w:tcBorders>
              <w:top w:val="single" w:sz="4" w:space="0" w:color="auto"/>
              <w:left w:val="single" w:sz="4" w:space="0" w:color="auto"/>
              <w:bottom w:val="single" w:sz="4" w:space="0" w:color="auto"/>
              <w:right w:val="single" w:sz="4" w:space="0" w:color="auto"/>
            </w:tcBorders>
            <w:noWrap/>
            <w:hideMark/>
          </w:tcPr>
          <w:p w14:paraId="619D9550" w14:textId="19BDF500"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0.54</w:t>
            </w:r>
          </w:p>
        </w:tc>
        <w:tc>
          <w:tcPr>
            <w:tcW w:w="990" w:type="dxa"/>
            <w:tcBorders>
              <w:top w:val="single" w:sz="4" w:space="0" w:color="auto"/>
              <w:left w:val="single" w:sz="4" w:space="0" w:color="auto"/>
              <w:bottom w:val="single" w:sz="4" w:space="0" w:color="auto"/>
              <w:right w:val="single" w:sz="4" w:space="0" w:color="auto"/>
            </w:tcBorders>
            <w:noWrap/>
            <w:hideMark/>
          </w:tcPr>
          <w:p w14:paraId="75760A6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0.54</w:t>
            </w:r>
          </w:p>
        </w:tc>
        <w:tc>
          <w:tcPr>
            <w:tcW w:w="630" w:type="dxa"/>
            <w:tcBorders>
              <w:top w:val="single" w:sz="4" w:space="0" w:color="auto"/>
              <w:left w:val="single" w:sz="4" w:space="0" w:color="auto"/>
              <w:bottom w:val="single" w:sz="4" w:space="0" w:color="auto"/>
              <w:right w:val="single" w:sz="4" w:space="0" w:color="auto"/>
            </w:tcBorders>
            <w:noWrap/>
            <w:hideMark/>
          </w:tcPr>
          <w:p w14:paraId="4C7A2AA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5C2E75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175</w:t>
            </w:r>
          </w:p>
        </w:tc>
        <w:tc>
          <w:tcPr>
            <w:tcW w:w="900" w:type="dxa"/>
            <w:tcBorders>
              <w:top w:val="single" w:sz="4" w:space="0" w:color="auto"/>
              <w:left w:val="single" w:sz="4" w:space="0" w:color="auto"/>
              <w:bottom w:val="single" w:sz="4" w:space="0" w:color="auto"/>
              <w:right w:val="single" w:sz="4" w:space="0" w:color="auto"/>
            </w:tcBorders>
            <w:noWrap/>
            <w:hideMark/>
          </w:tcPr>
          <w:p w14:paraId="2130CD1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w:t>
            </w:r>
          </w:p>
        </w:tc>
        <w:tc>
          <w:tcPr>
            <w:tcW w:w="900" w:type="dxa"/>
            <w:tcBorders>
              <w:top w:val="single" w:sz="4" w:space="0" w:color="auto"/>
              <w:left w:val="single" w:sz="4" w:space="0" w:color="auto"/>
              <w:bottom w:val="single" w:sz="4" w:space="0" w:color="auto"/>
              <w:right w:val="single" w:sz="4" w:space="0" w:color="auto"/>
            </w:tcBorders>
            <w:noWrap/>
            <w:hideMark/>
          </w:tcPr>
          <w:p w14:paraId="6837D951" w14:textId="77777777" w:rsidR="00664D9B" w:rsidRPr="00C126BD" w:rsidRDefault="00664D9B" w:rsidP="00664D9B">
            <w:pPr>
              <w:rPr>
                <w:rFonts w:ascii="Calibri" w:eastAsia="Times New Roman" w:hAnsi="Calibri" w:cs="Calibri"/>
                <w:color w:val="000000"/>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4198F7F4"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246D2B53" w14:textId="77777777" w:rsidR="00664D9B" w:rsidRPr="00C126BD" w:rsidRDefault="00664D9B" w:rsidP="00664D9B">
            <w:pPr>
              <w:rPr>
                <w:rFonts w:ascii="Calibri" w:hAnsi="Calibri" w:cs="Calibri"/>
                <w:sz w:val="16"/>
                <w:szCs w:val="16"/>
              </w:rPr>
            </w:pPr>
          </w:p>
        </w:tc>
      </w:tr>
      <w:tr w:rsidR="00664D9B" w:rsidRPr="00C73DE7" w14:paraId="52C62A90" w14:textId="77777777" w:rsidTr="00C126BD">
        <w:trPr>
          <w:trHeight w:val="91"/>
        </w:trPr>
        <w:tc>
          <w:tcPr>
            <w:tcW w:w="3060" w:type="dxa"/>
            <w:tcBorders>
              <w:top w:val="single" w:sz="4" w:space="0" w:color="auto"/>
              <w:left w:val="single" w:sz="4" w:space="0" w:color="auto"/>
              <w:bottom w:val="single" w:sz="4" w:space="0" w:color="auto"/>
              <w:right w:val="single" w:sz="4" w:space="0" w:color="auto"/>
            </w:tcBorders>
            <w:noWrap/>
            <w:hideMark/>
          </w:tcPr>
          <w:p w14:paraId="7B6C0CEB" w14:textId="45B0FE9C"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lastRenderedPageBreak/>
              <w:fldChar w:fldCharType="begin" w:fldLock="1"/>
            </w:r>
            <w:r w:rsidR="0011264D">
              <w:rPr>
                <w:rFonts w:ascii="Calibri" w:eastAsia="Times New Roman" w:hAnsi="Calibri" w:cs="Calibri"/>
                <w:color w:val="000000"/>
                <w:sz w:val="16"/>
                <w:szCs w:val="16"/>
              </w:rPr>
              <w:instrText>ADDIN CSL_CITATION {"citationItems":[{"id":"ITEM-1","itemData":{"DOI":"10.1038/npp.2014.333","ISBN":"0893-133x","ISSN":"1740634X","PMID":"25547711","abstract":"Depression involves impairments in a range of cognitive and emotional capacities. It is unknown whether these functions can inform medication choice when considered as a composite predictive biomarker. We tested whether behavioral tests, grounded in the neurobiology of cognitive and emotional functions, predict outcome with common antidepressants. Medication-free outpatients with nonpsychotic major depressive disorder (N = 1008; 665 completers) were assessed before treatment using 13 computerized tests of psychomotor, executive, memory-attention, processing speed, inhibitory, and emotional functions. Matched healthy controls (N = 336) provided a normative reference sample for test performance. Depressed participants were then randomized to escitalopram, sertraline, or venlafaxine-extended release, and were assessed using the 16-item Quick Inventory of Depressive Symptomatology (QIDS-SR16) and the 17-item Hamilton Rating Scale for Depression. Given the heterogeneity of depression, analyses were furthermore stratified by pretreatment performance. We then used pattern classification with cross-validation to determine individual patient-level composite predictive biomarkers of antidepressant outcome based on test performance. A subgroup of depressed participants (approximately one-quarter of patients) were found to be impaired across most cognitive tests relative to the healthy norm, from which they could be discriminated with 91% accuracy. These patients with generally impaired cognitive task performance had poorer treatment outcomes. For this impaired subgroup, task performance furthermore predicted remission on the QIDS-SR16 at 72% accuracy specifically following treatment with escitalopram but not the other medications. Therefore, tests of cognitive and emotional functions can form a clinically meaningful composite biomarker that may help drive general treatment outcome prediction for optimal treatment selection in depression, particularly for escitalopram.","author":[{"dropping-particle":"","family":"Etkin","given":"Amit","non-dropping-particle":"","parse-names":false,"suffix":""},{"dropping-particle":"","family":"Patenaude","given":"Brian","non-dropping-particle":"","parse-names":false,"suffix":""},{"dropping-particle":"","family":"Song","given":"Yun Ju C.","non-dropping-particle":"","parse-names":false,"suffix":""},{"dropping-particle":"","family":"Usherwood","given":"Timothy","non-dropping-particle":"","parse-names":false,"suffix":""},{"dropping-particle":"","family":"Rekshan","given":"William","non-dropping-particle":"","parse-names":false,"suffix":""},{"dropping-particle":"","family":"Schatzberg","given":"Alan F.","non-dropping-particle":"","parse-names":false,"suffix":""},{"dropping-particle":"","family":"Rush","given":"A. John","non-dropping-particle":"","parse-names":false,"suffix":""},{"dropping-particle":"","family":"Williams","given":"Leanne M.","non-dropping-particle":"","parse-names":false,"suffix":""}],"container-title":"Neuropsychopharmacology","edition":"2014/12/31","id":"ITEM-1","issue":"6","issued":{"date-parts":[["2015"]]},"language":"eng","note":"1740-634x\nEtkin, Amit\nPatenaude, Brian\nSong, Yun Ju C\nUsherwood, Timothy\nRekshan, William\nSchatzberg, Alan F\nRush, A John\nWilliams, Leanne M\nJournal Article\nMulticenter Study\nRandomized Controlled Trial\nResearch Support, Non-U.S. Gov't\nEngland\nNeuropsychopharmacology. 2015 May;40(6):1332-42. doi: 10.1038/npp.2014.333. Epub 2014 Dec 30.","page":"1332-1342","title":"A Cognitive-Emotional Biomarker for Predicting Remission with Antidepressant Medications: A Report from the iSPOT-D Trial","type":"article-journal","volume":"40"},"uris":["http://www.mendeley.com/documents/?uuid=93ec616c-26f2-4888-a99e-a556b54cc286"]}],"mendeley":{"formattedCitation":"(Etkin et al., 2015)","plainTextFormattedCitation":"(Etkin et al., 2015)","previouslyFormattedCitation":"(Etkin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(Etkin et al., 2015)</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7B387ED1"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6E102ADD" w14:textId="48CAD37F" w:rsidR="00664D9B" w:rsidRPr="00C126BD" w:rsidRDefault="00664D9B" w:rsidP="00C126BD">
            <w:pPr>
              <w:rPr>
                <w:rFonts w:ascii="Calibri" w:eastAsia="Times New Roman" w:hAnsi="Calibri" w:cs="Calibri"/>
                <w:color w:val="000000"/>
                <w:sz w:val="16"/>
                <w:szCs w:val="16"/>
              </w:rPr>
            </w:pPr>
            <w:r w:rsidRPr="00AA1491">
              <w:rPr>
                <w:rFonts w:ascii="Calibri" w:eastAsia="Times New Roman" w:hAnsi="Calibri" w:cs="Calibri"/>
                <w:color w:val="000000"/>
                <w:sz w:val="16"/>
                <w:szCs w:val="16"/>
              </w:rPr>
              <w:t>HRSD</w:t>
            </w:r>
            <w:r>
              <w:rPr>
                <w:rFonts w:ascii="Calibri" w:eastAsia="Times New Roman" w:hAnsi="Calibri" w:cs="Calibri"/>
                <w:color w:val="000000"/>
                <w:sz w:val="16"/>
                <w:szCs w:val="16"/>
              </w:rPr>
              <w:t xml:space="preserve">, </w:t>
            </w:r>
            <w:r w:rsidRPr="00AA1491">
              <w:rPr>
                <w:rFonts w:ascii="Calibri" w:eastAsia="Times New Roman" w:hAnsi="Calibri" w:cs="Calibri"/>
                <w:color w:val="000000"/>
                <w:sz w:val="16"/>
                <w:szCs w:val="16"/>
              </w:rPr>
              <w:t>QIDS-SR16</w:t>
            </w:r>
          </w:p>
        </w:tc>
        <w:tc>
          <w:tcPr>
            <w:tcW w:w="990" w:type="dxa"/>
            <w:tcBorders>
              <w:top w:val="single" w:sz="4" w:space="0" w:color="auto"/>
              <w:left w:val="single" w:sz="4" w:space="0" w:color="auto"/>
              <w:bottom w:val="single" w:sz="4" w:space="0" w:color="auto"/>
              <w:right w:val="single" w:sz="4" w:space="0" w:color="auto"/>
            </w:tcBorders>
          </w:tcPr>
          <w:p w14:paraId="5340A66B" w14:textId="7713868C"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4166040C" w14:textId="11966F83"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0.54</w:t>
            </w:r>
          </w:p>
        </w:tc>
        <w:tc>
          <w:tcPr>
            <w:tcW w:w="990" w:type="dxa"/>
            <w:tcBorders>
              <w:top w:val="single" w:sz="4" w:space="0" w:color="auto"/>
              <w:left w:val="single" w:sz="4" w:space="0" w:color="auto"/>
              <w:bottom w:val="single" w:sz="4" w:space="0" w:color="auto"/>
              <w:right w:val="single" w:sz="4" w:space="0" w:color="auto"/>
            </w:tcBorders>
            <w:noWrap/>
            <w:hideMark/>
          </w:tcPr>
          <w:p w14:paraId="01B61E6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0.53</w:t>
            </w:r>
          </w:p>
        </w:tc>
        <w:tc>
          <w:tcPr>
            <w:tcW w:w="630" w:type="dxa"/>
            <w:tcBorders>
              <w:top w:val="single" w:sz="4" w:space="0" w:color="auto"/>
              <w:left w:val="single" w:sz="4" w:space="0" w:color="auto"/>
              <w:bottom w:val="single" w:sz="4" w:space="0" w:color="auto"/>
              <w:right w:val="single" w:sz="4" w:space="0" w:color="auto"/>
            </w:tcBorders>
            <w:noWrap/>
            <w:hideMark/>
          </w:tcPr>
          <w:p w14:paraId="42B8E0F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99AEFC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175</w:t>
            </w:r>
          </w:p>
        </w:tc>
        <w:tc>
          <w:tcPr>
            <w:tcW w:w="900" w:type="dxa"/>
            <w:tcBorders>
              <w:top w:val="single" w:sz="4" w:space="0" w:color="auto"/>
              <w:left w:val="single" w:sz="4" w:space="0" w:color="auto"/>
              <w:bottom w:val="single" w:sz="4" w:space="0" w:color="auto"/>
              <w:right w:val="single" w:sz="4" w:space="0" w:color="auto"/>
            </w:tcBorders>
            <w:noWrap/>
            <w:hideMark/>
          </w:tcPr>
          <w:p w14:paraId="57EE38F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0.55</w:t>
            </w:r>
          </w:p>
        </w:tc>
        <w:tc>
          <w:tcPr>
            <w:tcW w:w="900" w:type="dxa"/>
            <w:tcBorders>
              <w:top w:val="single" w:sz="4" w:space="0" w:color="auto"/>
              <w:left w:val="single" w:sz="4" w:space="0" w:color="auto"/>
              <w:bottom w:val="single" w:sz="4" w:space="0" w:color="auto"/>
              <w:right w:val="single" w:sz="4" w:space="0" w:color="auto"/>
            </w:tcBorders>
            <w:noWrap/>
            <w:hideMark/>
          </w:tcPr>
          <w:p w14:paraId="690BCC4B" w14:textId="77777777" w:rsidR="00664D9B" w:rsidRPr="00C126BD" w:rsidRDefault="00664D9B" w:rsidP="00664D9B">
            <w:pPr>
              <w:rPr>
                <w:rFonts w:ascii="Calibri" w:eastAsia="Times New Roman" w:hAnsi="Calibri" w:cs="Calibri"/>
                <w:color w:val="000000"/>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4A9496B"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D723E1F" w14:textId="77777777" w:rsidR="00664D9B" w:rsidRPr="00C126BD" w:rsidRDefault="00664D9B" w:rsidP="00664D9B">
            <w:pPr>
              <w:rPr>
                <w:rFonts w:ascii="Calibri" w:hAnsi="Calibri" w:cs="Calibri"/>
                <w:sz w:val="16"/>
                <w:szCs w:val="16"/>
              </w:rPr>
            </w:pPr>
          </w:p>
        </w:tc>
      </w:tr>
      <w:tr w:rsidR="00664D9B" w:rsidRPr="00C73DE7" w14:paraId="00964CA9" w14:textId="77777777" w:rsidTr="00C126BD">
        <w:trPr>
          <w:trHeight w:val="64"/>
        </w:trPr>
        <w:tc>
          <w:tcPr>
            <w:tcW w:w="3060" w:type="dxa"/>
            <w:tcBorders>
              <w:top w:val="single" w:sz="4" w:space="0" w:color="auto"/>
              <w:left w:val="single" w:sz="4" w:space="0" w:color="auto"/>
              <w:bottom w:val="single" w:sz="4" w:space="0" w:color="auto"/>
              <w:right w:val="single" w:sz="4" w:space="0" w:color="auto"/>
            </w:tcBorders>
            <w:noWrap/>
            <w:hideMark/>
          </w:tcPr>
          <w:p w14:paraId="175BC788" w14:textId="2F78E287"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{"citationItems":[{"id":"ITEM-1","itemData":{"DOI":"10.1038/s41398-018-0100-3","ISBN":"2158-3188 (Electronic)\r2158-3188 (Linking)","ISSN":"21583188","PMID":"29507282","abstract":"Default mode network (DMN) dysfunction (particularly within the anterior cingulate cortex (ACC) and medial prefrontal cortex (mPFC)) has been implicated in major depressive disorder (MDD); however, its contribution to treatment outcome has not been clearly established. Here we tested the role of DMN functional connectivity as a general and differential biomarker for predicting treatment outcomes in a large, unmedicated adult sample with MDD. Seventy-five MDD outpatients completed fMRI scans before and 8 weeks after randomization to escitalopram, sertraline, or venlafaxine-XR. A whole-brain voxel-wise t-test identified profiles of pretreatment intrinsic functional connectivity that distinguished patients who were subsequently classified as remitters or non-remitters at follow-up. Connectivity was seeded in the PCC, an important node of the DMN. We further characterized differences between remitters, non-remitters, and 31 healthy controls and characterized changes pretreatment to posttreatment. Remitters were distinguished from non-remitters by relatively intact connectivity between the PCC and ACC/mPFC, not distinguishable from healthy controls, while non-remitters showed relative hypo-connectivity. In validation analyses, we demonstrate that PCC-ACC/mPFC connectivity predicts remission status with &gt;80% cross-validated accuracy. In analyses testing whether intrinsic connectivity differentially relates to outcomes for a specific type of antidepressant, interaction models did not survive the corrected threshold. Our findings demonstrate that the overall capacity to remit on commonly used antidepressants may depend on intact organization of intrinsic functional connectivity between PCC and ACC/mPFC prior to treatment. The findings highlight the potential utility of functional scans for advancing a more precise approach to tailoring antidepressant treatment choices.","author":[{"dropping-particle":"","family":"Goldstein-Piekarski","given":"Andrea N.","non-dropping-particle":"","parse-names":false,"suffix":""},{"dropping-particle":"","family":"Staveland","given":"Brooke R.","non-dropping-particle":"","parse-names":false,"suffix":""},{"dropping-particle":"","family":"Ball","given":"Tali M.","non-dropping-particle":"","parse-names":false,"suffix":""},{"dropping-particle":"","family":"Yesavage","given":"Jerome","non-dropping-particle":"","parse-names":false,"suffix":""},{"dropping-particle":"","family":"Korgaonkar","given":"Mayuresh S.","non-dropping-particle":"","parse-names":false,"suffix":""},{"dropping-particle":"","family":"Williams","given":"Leanne M.","non-dropping-particle":"","parse-names":false,"suffix":""}],"container-title":"Translational Psychiatry","edition":"2018/03/07","id":"ITEM-1","issue":"1","issued":{"date-parts":[["2018"]]},"note":"Goldstein-Piekarski, Andrea N\nStaveland, Brooke R\nBall, Tali M\nYesavage, Jerome\nKorgaonkar, Mayuresh S\nWilliams, Leanne M\neng\nR01 MH101496/MH/NIMH NIH HHS/\nF32 MH108299/MH/NIMH NIH HHS/\nT32 MH019938/MH/NIMH NIH HHS/\nRandomized Controlled Trial\nResearch Support, N.I.H., Extramural\nResearch Support, Non-U.S. Gov't\nTransl Psychiatry. 2018 Mar 6;8(1):57. doi: 10.1038/s41398-018-0100-3.","page":"57","title":"Intrinsic functional connectivity predicts remission on antidepressants: A randomized controlled trial to identify clinically applicable imaging biomarkers","type":"article-journal","volume":"8"},"uris":["http://www.mendeley.com/documents/?uuid=3ddc4b7c-0233-4dda-b676-720e896feb2b"]}],"mendeley":{"formattedCitation":"(Goldstein-Piekarski et al., 2018)","plainTextFormattedCitation":"(Goldstein-Piekarski et al., 2018)","previouslyFormattedCitation":"(Goldstein-Piekarski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(Goldstein-Piekarski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3702717E"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7F8C553F" w14:textId="05448740" w:rsidR="00664D9B" w:rsidRPr="00C126BD" w:rsidRDefault="00850368" w:rsidP="00C126BD">
            <w:pPr>
              <w:rPr>
                <w:rFonts w:ascii="Calibri" w:eastAsia="Times New Roman" w:hAnsi="Calibri" w:cs="Calibri"/>
                <w:color w:val="000000"/>
                <w:sz w:val="16"/>
                <w:szCs w:val="16"/>
              </w:rPr>
            </w:pPr>
            <w:r w:rsidRPr="00C126BD">
              <w:rPr>
                <w:rFonts w:ascii="Calibri" w:hAnsi="Calibri" w:cs="Calibri"/>
                <w:sz w:val="16"/>
                <w:szCs w:val="16"/>
              </w:rPr>
              <w:t>HRSD-17</w:t>
            </w:r>
          </w:p>
        </w:tc>
        <w:tc>
          <w:tcPr>
            <w:tcW w:w="990" w:type="dxa"/>
            <w:tcBorders>
              <w:top w:val="single" w:sz="4" w:space="0" w:color="auto"/>
              <w:left w:val="single" w:sz="4" w:space="0" w:color="auto"/>
              <w:bottom w:val="single" w:sz="4" w:space="0" w:color="auto"/>
              <w:right w:val="single" w:sz="4" w:space="0" w:color="auto"/>
            </w:tcBorders>
          </w:tcPr>
          <w:p w14:paraId="2F4EF5A1" w14:textId="2A6A532C"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73C8B461" w14:textId="723D28B1"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990" w:type="dxa"/>
            <w:tcBorders>
              <w:top w:val="single" w:sz="4" w:space="0" w:color="auto"/>
              <w:left w:val="single" w:sz="4" w:space="0" w:color="auto"/>
              <w:bottom w:val="single" w:sz="4" w:space="0" w:color="auto"/>
              <w:right w:val="single" w:sz="4" w:space="0" w:color="auto"/>
            </w:tcBorders>
            <w:noWrap/>
            <w:hideMark/>
          </w:tcPr>
          <w:p w14:paraId="75BCE39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630" w:type="dxa"/>
            <w:tcBorders>
              <w:top w:val="single" w:sz="4" w:space="0" w:color="auto"/>
              <w:left w:val="single" w:sz="4" w:space="0" w:color="auto"/>
              <w:bottom w:val="single" w:sz="4" w:space="0" w:color="auto"/>
              <w:right w:val="single" w:sz="4" w:space="0" w:color="auto"/>
            </w:tcBorders>
            <w:noWrap/>
            <w:hideMark/>
          </w:tcPr>
          <w:p w14:paraId="6A754AA9"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0BE37F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96</w:t>
            </w:r>
          </w:p>
        </w:tc>
        <w:tc>
          <w:tcPr>
            <w:tcW w:w="900" w:type="dxa"/>
            <w:tcBorders>
              <w:top w:val="single" w:sz="4" w:space="0" w:color="auto"/>
              <w:left w:val="single" w:sz="4" w:space="0" w:color="auto"/>
              <w:bottom w:val="single" w:sz="4" w:space="0" w:color="auto"/>
              <w:right w:val="single" w:sz="4" w:space="0" w:color="auto"/>
            </w:tcBorders>
            <w:noWrap/>
            <w:hideMark/>
          </w:tcPr>
          <w:p w14:paraId="0C76FC1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BB2D381"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668D614"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EE98B6B" w14:textId="77777777" w:rsidR="00664D9B" w:rsidRPr="00C126BD" w:rsidRDefault="00664D9B" w:rsidP="00664D9B">
            <w:pPr>
              <w:rPr>
                <w:rFonts w:ascii="Calibri" w:hAnsi="Calibri" w:cs="Calibri"/>
                <w:sz w:val="16"/>
                <w:szCs w:val="16"/>
              </w:rPr>
            </w:pPr>
          </w:p>
        </w:tc>
      </w:tr>
      <w:tr w:rsidR="00664D9B" w:rsidRPr="00C73DE7" w14:paraId="275575D7" w14:textId="77777777" w:rsidTr="00C126BD">
        <w:trPr>
          <w:trHeight w:val="136"/>
        </w:trPr>
        <w:tc>
          <w:tcPr>
            <w:tcW w:w="3060" w:type="dxa"/>
            <w:tcBorders>
              <w:top w:val="single" w:sz="4" w:space="0" w:color="auto"/>
              <w:left w:val="single" w:sz="4" w:space="0" w:color="auto"/>
              <w:bottom w:val="single" w:sz="4" w:space="0" w:color="auto"/>
              <w:right w:val="single" w:sz="4" w:space="0" w:color="auto"/>
            </w:tcBorders>
            <w:noWrap/>
            <w:hideMark/>
          </w:tcPr>
          <w:p w14:paraId="21079922" w14:textId="161012C1"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{"citationItems":[{"id":"ITEM-1","itemData":{"DOI":"10.2147/NDT.S75975","ISBN":"1176-6328 (Print)\r1176-6328","ISSN":"11782021","PMID":"25750532","abstract":"Purpose: To evaluate the performance of a cognitive and emotional test battery in a representative sample of depressed outpatients to inform likelihood of remission over 8 weeks of treatment with each of three common antidepressant medications. Patients and methods: Outpatients 18–65 years old with nonpsychotic major depressive disorder (17 sites) were randomized to escitalopram, sertraline or venlafaxine-XR (extended release). Participants scored ≥ 12 on the baseline 16-item Quick Inventory of Depressive Symptomatology – Self-Report and completed 8 weeks of treatment. The baseline test battery measured cognitive and emotional status. Exploratory multivariate logistic regression models predicting remission (16-item Quick Inventory of Depressive Symptomatology – Self-Report score ≤5 at 8 weeks) were developed independently for each medication in subgroups stratified by age, sex, or cognitive and emotional test performance. The model with the highest cross-validated accuracy determined the participant proportion in each arm for whom remission could be predicted with an accuracy ≥10% above chance. The proportion for whom a prediction could be made with very high certainty (positive predictive value and negative predictive value exceeding 80%) was calculated by incrementally increasing test battery thresholds to predict remission/non-remission. Results: The test battery, individually developed for each medication, improved identification of remitting and non-remitting participants by ≥ 10% beyond chance for 243 of 467 participants. The overall remission rates were escitalopram: 40.8%, sertraline: 30.3%, and venlafaxine-XR: 31.1%. Within this subset for whom prediction exceeded chance, test battery thresholds established a negative predictive value of ≥ 80%, which identified 40.9% of participants not remitting on escitalopram, 77.1% of participants not remitting on sertraline, and 38.7% of participants not remitting on venlafaxine-XR (all including 20% false negatives). Conclusion: The test battery identified about 50% of each medication group as being ≥10% more or less likely to remit than by chance, and identified about 38% of individuals who did not remit with ≥ 80% certainty. Clinicians might choose to avoid this specific medication in these particular patients.","author":[{"dropping-particle":"","family":"Gordon","given":"Evian","non-dropping-particle":"","parse-names":false,"suffix":""},{"dropping-particle":"","family":"Rush","given":"A. John","non-dropping-particle":"","parse-names":false,"suffix":""},{"dropping-particle":"","family":"Palmer","given":"Donna M.","non-dropping-particle":"","parse-names":false,"suffix":""},{"dropping-particle":"","family":"Braund","given":"Taylor A.","non-dropping-particle":"","parse-names":false,"suffix":""},{"dropping-particle":"","family":"Rekshan","given":"William","non-dropping-particle":"","parse-names":false,"suffix":""}],"container-title":"Neuropsychiatric Disease and Treatment","edition":"2015/03/10","id":"ITEM-1","issued":{"date-parts":[["2015"]]},"language":"eng","note":"Gordon, Evian\nRush, A John\nPalmer, Donna M\nBraund, Taylor A\nRekshan, William\nJournal Article\nNew Zealand\nNeuropsychiatr Dis Treat. 2015 Feb 26;11:517-31. doi: 10.2147/NDT.S75975. eCollection 2015.","page":"517-531","title":"Toward an online cognitive and emotional battery to predict treatment remission in depression","type":"article-journal","volume":"11"},"uris":["http://www.mendeley.com/documents/?uuid=c3098c3e-3a14-42cf-8fea-435c20d2fc90"]}],"mendeley":{"formattedCitation":"(Gordon et al., 2015)","plainTextFormattedCitation":"(Gordon et al., 2015)","previouslyFormattedCitation":"(Gordon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(Gordon et al., 2015)</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3B8A677F"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6EE4F105" w14:textId="27671A26" w:rsidR="00664D9B" w:rsidRPr="00C126BD" w:rsidRDefault="00664D9B">
            <w:pPr>
              <w:rPr>
                <w:rFonts w:ascii="Calibri" w:eastAsia="Times New Roman" w:hAnsi="Calibri" w:cs="Calibri"/>
                <w:color w:val="000000"/>
                <w:sz w:val="16"/>
                <w:szCs w:val="16"/>
              </w:rPr>
            </w:pPr>
            <w:r w:rsidRPr="00D31A34">
              <w:rPr>
                <w:rFonts w:ascii="Calibri" w:eastAsia="Times New Roman" w:hAnsi="Calibri" w:cs="Calibri"/>
                <w:color w:val="000000"/>
                <w:sz w:val="16"/>
                <w:szCs w:val="16"/>
              </w:rPr>
              <w:t>QID</w:t>
            </w:r>
            <w:r w:rsidR="001B370B">
              <w:rPr>
                <w:rFonts w:ascii="Calibri" w:eastAsia="Times New Roman" w:hAnsi="Calibri" w:cs="Calibri"/>
                <w:color w:val="000000"/>
                <w:sz w:val="16"/>
                <w:szCs w:val="16"/>
              </w:rPr>
              <w:t>S</w:t>
            </w:r>
            <w:r w:rsidR="00176D5D">
              <w:rPr>
                <w:rFonts w:ascii="Calibri" w:eastAsia="Times New Roman" w:hAnsi="Calibri" w:cs="Calibri"/>
                <w:color w:val="000000"/>
                <w:sz w:val="16"/>
                <w:szCs w:val="16"/>
              </w:rPr>
              <w:t>-</w:t>
            </w:r>
            <w:r w:rsidRPr="00D31A34">
              <w:rPr>
                <w:rFonts w:ascii="Calibri" w:eastAsia="Times New Roman" w:hAnsi="Calibri" w:cs="Calibri"/>
                <w:color w:val="000000"/>
                <w:sz w:val="16"/>
                <w:szCs w:val="16"/>
              </w:rPr>
              <w:t>SRS</w:t>
            </w:r>
            <w:r w:rsidR="00176D5D">
              <w:rPr>
                <w:rFonts w:ascii="Calibri" w:eastAsia="Times New Roman" w:hAnsi="Calibri" w:cs="Calibri"/>
                <w:color w:val="000000"/>
                <w:sz w:val="16"/>
                <w:szCs w:val="16"/>
              </w:rPr>
              <w:t>16</w:t>
            </w:r>
          </w:p>
        </w:tc>
        <w:tc>
          <w:tcPr>
            <w:tcW w:w="990" w:type="dxa"/>
            <w:tcBorders>
              <w:top w:val="single" w:sz="4" w:space="0" w:color="auto"/>
              <w:left w:val="single" w:sz="4" w:space="0" w:color="auto"/>
              <w:bottom w:val="single" w:sz="4" w:space="0" w:color="auto"/>
              <w:right w:val="single" w:sz="4" w:space="0" w:color="auto"/>
            </w:tcBorders>
          </w:tcPr>
          <w:p w14:paraId="2C8CB955" w14:textId="325FCF5D"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 xml:space="preserve">8 weeks </w:t>
            </w:r>
          </w:p>
        </w:tc>
        <w:tc>
          <w:tcPr>
            <w:tcW w:w="900" w:type="dxa"/>
            <w:tcBorders>
              <w:top w:val="single" w:sz="4" w:space="0" w:color="auto"/>
              <w:left w:val="single" w:sz="4" w:space="0" w:color="auto"/>
              <w:bottom w:val="single" w:sz="4" w:space="0" w:color="auto"/>
              <w:right w:val="single" w:sz="4" w:space="0" w:color="auto"/>
            </w:tcBorders>
            <w:noWrap/>
            <w:hideMark/>
          </w:tcPr>
          <w:p w14:paraId="47B156AE" w14:textId="0331E78D"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795723C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630" w:type="dxa"/>
            <w:tcBorders>
              <w:top w:val="single" w:sz="4" w:space="0" w:color="auto"/>
              <w:left w:val="single" w:sz="4" w:space="0" w:color="auto"/>
              <w:bottom w:val="single" w:sz="4" w:space="0" w:color="auto"/>
              <w:right w:val="single" w:sz="4" w:space="0" w:color="auto"/>
            </w:tcBorders>
            <w:noWrap/>
            <w:hideMark/>
          </w:tcPr>
          <w:p w14:paraId="1F048FF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0.66</w:t>
            </w:r>
          </w:p>
        </w:tc>
        <w:tc>
          <w:tcPr>
            <w:tcW w:w="900" w:type="dxa"/>
            <w:tcBorders>
              <w:top w:val="single" w:sz="4" w:space="0" w:color="auto"/>
              <w:left w:val="single" w:sz="4" w:space="0" w:color="auto"/>
              <w:bottom w:val="single" w:sz="4" w:space="0" w:color="auto"/>
              <w:right w:val="single" w:sz="4" w:space="0" w:color="auto"/>
            </w:tcBorders>
            <w:noWrap/>
            <w:hideMark/>
          </w:tcPr>
          <w:p w14:paraId="0D12D3C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179</w:t>
            </w:r>
          </w:p>
        </w:tc>
        <w:tc>
          <w:tcPr>
            <w:tcW w:w="900" w:type="dxa"/>
            <w:tcBorders>
              <w:top w:val="single" w:sz="4" w:space="0" w:color="auto"/>
              <w:left w:val="single" w:sz="4" w:space="0" w:color="auto"/>
              <w:bottom w:val="single" w:sz="4" w:space="0" w:color="auto"/>
              <w:right w:val="single" w:sz="4" w:space="0" w:color="auto"/>
            </w:tcBorders>
            <w:noWrap/>
            <w:hideMark/>
          </w:tcPr>
          <w:p w14:paraId="2652B70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457E69"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B0F5251"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5D5D4E6" w14:textId="77777777" w:rsidR="00664D9B" w:rsidRPr="00C126BD" w:rsidRDefault="00664D9B" w:rsidP="00664D9B">
            <w:pPr>
              <w:rPr>
                <w:rFonts w:ascii="Calibri" w:hAnsi="Calibri" w:cs="Calibri"/>
                <w:sz w:val="16"/>
                <w:szCs w:val="16"/>
              </w:rPr>
            </w:pPr>
          </w:p>
        </w:tc>
      </w:tr>
      <w:tr w:rsidR="00664D9B" w:rsidRPr="00C73DE7" w14:paraId="25F19168" w14:textId="77777777" w:rsidTr="00C126BD">
        <w:trPr>
          <w:trHeight w:val="109"/>
        </w:trPr>
        <w:tc>
          <w:tcPr>
            <w:tcW w:w="3060" w:type="dxa"/>
            <w:tcBorders>
              <w:top w:val="single" w:sz="4" w:space="0" w:color="auto"/>
              <w:left w:val="single" w:sz="4" w:space="0" w:color="auto"/>
              <w:bottom w:val="single" w:sz="4" w:space="0" w:color="auto"/>
              <w:right w:val="single" w:sz="4" w:space="0" w:color="auto"/>
            </w:tcBorders>
            <w:noWrap/>
            <w:hideMark/>
          </w:tcPr>
          <w:p w14:paraId="14967D5E" w14:textId="4F00831E"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{"citationItems":[{"id":"ITEM-1","itemData":{"DOI":"10.1038/npp.2014.226","ISBN":"0893-133x","ISSN":"1740634X","PMID":"25176167","abstract":"Major depressive disorder (MDD) in general, and anxious-depression in particular, are characterized by poor rates of remission with first-line treatments, contributing to the chronic illness burden suffered by many patients. Prospective research is needed to identify the biomarkers predicting nonremission prior to treatment initiation. We collected blood samples from a discovery cohort of 34 adult MDD patients with co-occurring anxiety and 33 matched, nondepressed controls at baseline and after 12 weeks (of citalopram plus psychotherapy treatment for the depressed cohort). Samples were processed on gene arrays and group differences in gene expression were investigated. Exploratory analyses suggest that at pretreatment baseline, nonremitting patients differ from controls with gene function and transcription factor analyses potentially related to elevated inflammation and immune activation. In a second phase, we applied an unbiased machine learning prediction model and corrected for model-selection bias. Results show that baseline gene expression predicted nonremission with 79.4% corrected accuracy with a 13-gene model. The same gene-only model predicted nonremission after 8 weeks of citalopram treatment with 76% corrected accuracy in an independent validation cohort of 63 MDD patients treated with citalopram at another institution. Together, these results demonstrate the potential, but also the limitations, of baseline peripheral blood-based gene expression to predict nonremission after citalopram treatment. These results not only support their use in future prediction tools but also suggest that increased accuracy may be obtained with the inclusion of additional predictors (eg, genetics and clinical scales).","author":[{"dropping-particle":"","family":"Guilloux","given":"Jean Philippe","non-dropping-particle":"","parse-names":false,"suffix":""},{"dropping-particle":"","family":"Bassi","given":"Sabrina","non-dropping-particle":"","parse-names":false,"suffix":""},{"dropping-particle":"","family":"Ding","given":"Ying","non-dropping-particle":"","parse-names":false,"suffix":""},{"dropping-particle":"","family":"Walsh","given":"Chris","non-dropping-particle":"","parse-names":false,"suffix":""},{"dropping-particle":"","family":"Turecki","given":"Gustavo","non-dropping-particle":"","parse-names":false,"suffix":""},{"dropping-particle":"","family":"Tseng","given":"George","non-dropping-particle":"","parse-names":false,"suffix":""},{"dropping-particle":"","family":"Cyranowski","given":"Jill M.","non-dropping-particle":"","parse-names":false,"suffix":""},{"dropping-particle":"","family":"Sibille","given":"Etienne","non-dropping-particle":"","parse-names":false,"suffix":""}],"container-title":"Neuropsychopharmacology","edition":"2014/09/02","id":"ITEM-1","issue":"3","issued":{"date-parts":[["2015"]]},"language":"eng","note":"1740-634x\nGuilloux, Jean-Philippe\nBassi, Sabrina\nDing, Ying\nWalsh, Chris\nTurecki, Gustavo\nTseng, George\nCyranowski, Jill M\nSibille, Etienne\nMH086637/MH/NIMH NIH HHS/United States\nMH084060/MH/NIMH NIH HHS/United States\nR01 MH077159/MH/NIMH NIH HHS/United States\nMH085874/MH/NIMH NIH HHS/United States\nK02 MH084060/MH/NIMH NIH HHS/United States\nR21 MH086637/MH/NIMH NIH HHS/United States\nJournal Article\nRandomized Controlled Trial\nResearch Support, N.I.H., Extramural\nResearch Support, Non-U.S. Gov't\nEngland\nNeuropsychopharmacology. 2015 Feb;40(3):701-10. doi: 10.1038/npp.2014.226. Epub 2014 Sep 1.","page":"701-710","title":"Testing the predictive value of peripheral gene expression for nonremission following citalopram treatment for major depression","type":"article-journal","volume":"40"},"uris":["http://www.mendeley.com/documents/?uuid=307d03d1-ff03-4b6f-bac7-9bf76fe415c0"]}],"mendeley":{"formattedCitation":"(Guilloux et al., 2015)","plainTextFormattedCitation":"(Guilloux et al., 2015)","previouslyFormattedCitation":"(Guilloux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(Guilloux et al., 2015)</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6C5444D4"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Non-Remission</w:t>
            </w:r>
          </w:p>
        </w:tc>
        <w:tc>
          <w:tcPr>
            <w:tcW w:w="1440" w:type="dxa"/>
            <w:tcBorders>
              <w:top w:val="single" w:sz="4" w:space="0" w:color="auto"/>
              <w:left w:val="single" w:sz="4" w:space="0" w:color="auto"/>
              <w:bottom w:val="single" w:sz="4" w:space="0" w:color="auto"/>
              <w:right w:val="single" w:sz="4" w:space="0" w:color="auto"/>
            </w:tcBorders>
          </w:tcPr>
          <w:p w14:paraId="5B7AA131" w14:textId="0F387C0E" w:rsidR="00664D9B" w:rsidRPr="00C126BD" w:rsidRDefault="00253F56" w:rsidP="00C126BD">
            <w:pPr>
              <w:rPr>
                <w:rFonts w:ascii="Calibri" w:eastAsia="Times New Roman" w:hAnsi="Calibri" w:cs="Calibri"/>
                <w:color w:val="000000"/>
                <w:sz w:val="16"/>
                <w:szCs w:val="16"/>
              </w:rPr>
            </w:pPr>
            <w:r w:rsidRPr="00442B31">
              <w:rPr>
                <w:rFonts w:ascii="Calibri" w:hAnsi="Calibri" w:cs="Calibri"/>
                <w:sz w:val="16"/>
                <w:szCs w:val="16"/>
              </w:rPr>
              <w:t>HRSD-17</w:t>
            </w:r>
          </w:p>
        </w:tc>
        <w:tc>
          <w:tcPr>
            <w:tcW w:w="990" w:type="dxa"/>
            <w:tcBorders>
              <w:top w:val="single" w:sz="4" w:space="0" w:color="auto"/>
              <w:left w:val="single" w:sz="4" w:space="0" w:color="auto"/>
              <w:bottom w:val="single" w:sz="4" w:space="0" w:color="auto"/>
              <w:right w:val="single" w:sz="4" w:space="0" w:color="auto"/>
            </w:tcBorders>
          </w:tcPr>
          <w:p w14:paraId="220A25B7" w14:textId="2A61511D"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77E1765E" w14:textId="2DAEB2B2"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90" w:type="dxa"/>
            <w:tcBorders>
              <w:top w:val="single" w:sz="4" w:space="0" w:color="auto"/>
              <w:left w:val="single" w:sz="4" w:space="0" w:color="auto"/>
              <w:bottom w:val="single" w:sz="4" w:space="0" w:color="auto"/>
              <w:right w:val="single" w:sz="4" w:space="0" w:color="auto"/>
            </w:tcBorders>
            <w:noWrap/>
            <w:hideMark/>
          </w:tcPr>
          <w:p w14:paraId="1F86F00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630" w:type="dxa"/>
            <w:tcBorders>
              <w:top w:val="single" w:sz="4" w:space="0" w:color="auto"/>
              <w:left w:val="single" w:sz="4" w:space="0" w:color="auto"/>
              <w:bottom w:val="single" w:sz="4" w:space="0" w:color="auto"/>
              <w:right w:val="single" w:sz="4" w:space="0" w:color="auto"/>
            </w:tcBorders>
            <w:noWrap/>
            <w:hideMark/>
          </w:tcPr>
          <w:p w14:paraId="16B239F2"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65BBC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34</w:t>
            </w:r>
          </w:p>
        </w:tc>
        <w:tc>
          <w:tcPr>
            <w:tcW w:w="900" w:type="dxa"/>
            <w:tcBorders>
              <w:top w:val="single" w:sz="4" w:space="0" w:color="auto"/>
              <w:left w:val="single" w:sz="4" w:space="0" w:color="auto"/>
              <w:bottom w:val="single" w:sz="4" w:space="0" w:color="auto"/>
              <w:right w:val="single" w:sz="4" w:space="0" w:color="auto"/>
            </w:tcBorders>
            <w:noWrap/>
            <w:hideMark/>
          </w:tcPr>
          <w:p w14:paraId="2FE08F7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4ED86F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540" w:type="dxa"/>
            <w:tcBorders>
              <w:top w:val="single" w:sz="4" w:space="0" w:color="auto"/>
              <w:left w:val="single" w:sz="4" w:space="0" w:color="auto"/>
              <w:bottom w:val="single" w:sz="4" w:space="0" w:color="auto"/>
              <w:right w:val="single" w:sz="4" w:space="0" w:color="auto"/>
            </w:tcBorders>
            <w:noWrap/>
            <w:hideMark/>
          </w:tcPr>
          <w:p w14:paraId="375FF31F" w14:textId="77777777" w:rsidR="00664D9B" w:rsidRPr="00C126BD" w:rsidRDefault="00664D9B" w:rsidP="00664D9B">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6FEBEF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63</w:t>
            </w:r>
          </w:p>
        </w:tc>
      </w:tr>
      <w:tr w:rsidR="00664D9B" w:rsidRPr="00C73DE7" w14:paraId="468F60C7"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F63FDC0" w14:textId="0327B33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{"citationItems":[{"id":"ITEM-1","itemData":{"DOI":"10.1016/j.jad.2019.05.070","ISBN":"1573-2517 (Electronic)\r0165-0327 (Linking)","ISSN":"15732517","PMID":"31176185","abstract":"Background: Prediction of therapeutic outcome of repetitive transcranial magnetic stimulation (rTMS) treatment is an important purpose that eliminates financial and psychological consequences of applying inefficient therapy. To achieve this goal we proposed a method based on machine learning to classify responders (R) and non- responders (NR) to rTMS treatment for major depression disorder (MDD) patients. Methods: 19 electrodes resting state EEG was recorded from 46 MDD patients before treatment. Then patients underwent 7 weeks of rTMS, and 23 of them responded to treatment. Features extracted from EEG include Lempel-Ziv complexity (LZC), Katz fractal dimension (KFD), correlation dimension (CD), the power spectral density, features based on bispectrum, frontal and prefrontal cordance and combination of them. The most relevant features were selected by the minimal-redundancy-maximal-relevance (mRMR) feature selection algorithm. For classifying two groups of R and NR, k-nearest neighbors (KNN) were applied. The performance of the proposed method was evaluated by leave-1-out cross-validation. For further study, the capability of features in differentiating R and NR was investigated by a statistical test. Results: Effective EEG features for prediction of rTMS treatment response were found. EEG beta power, the sum of bispectrum diagonal elements in delta and beta bands and CD were the most discriminative features. Power of beta classified R and NR with the high performance of 91.3% accuracy, 91.3% specificity, and 91.3% sensitivity. Limitations: Lack of large sample size restricted our method for using in clinical applications. Conclusion: This considerable high accuracy indicates that our proposed method with power and some of the nonlinear and bispectral features can lead to promising results in predicting treatment outcome of rTMS for MDD patients only by one session pretreatment EEG recording.","author":[{"dropping-particle":"","family":"Hasanzadeh","given":"Fatemeh","non-dropping-particle":"","parse-names":false,"suffix":""},{"dropping-particle":"","family":"Mohebbi","given":"Maryam","non-dropping-particle":"","parse-names":false,"suffix":""},{"dropping-particle":"","family":"Rostami","given":"Reza","non-dropping-particle":"","parse-names":false,"suffix":""}],"container-title":"Journal of Affective Disorders","edition":"2019/06/09","id":"ITEM-1","issued":{"date-parts":[["2019"]]},"note":"Hasanzadeh, Fatemeh\nMohebbi, Maryam\nRostami, Reza\neng\nNetherlands\nJ Affect Disord. 2019 Sep 1;256:132-142. doi: 10.1016/j.jad.2019.05.070. Epub 2019 May 28.","page":"132-142","title":"Prediction of rTMS treatment response in major depressive disorder using machine learning techniques and nonlinear features of EEG signal","type":"article-journal","volume":"256"},"uris":["http://www.mendeley.com/documents/?uuid=67a834f4-de98-4268-bbb9-8cf3d980757e"]}],"mendeley":{"formattedCitation":"(Hasanzadeh et al., 2019)","plainTextFormattedCitation":"(Hasanzadeh et al., 2019)","previouslyFormattedCitation":"(Hasanzadeh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(Hasanzadeh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7A0A86B6"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6E5C1EED" w14:textId="447D8EA3" w:rsidR="00664D9B" w:rsidRPr="00C126BD" w:rsidRDefault="00664D9B" w:rsidP="00C126BD">
            <w:pPr>
              <w:rPr>
                <w:rFonts w:ascii="Calibri" w:eastAsia="Times New Roman" w:hAnsi="Calibri" w:cs="Calibri"/>
                <w:color w:val="000000"/>
                <w:sz w:val="16"/>
                <w:szCs w:val="16"/>
              </w:rPr>
            </w:pPr>
            <w:r w:rsidRPr="00D31A34">
              <w:rPr>
                <w:rFonts w:ascii="Calibri" w:eastAsia="Times New Roman" w:hAnsi="Calibri" w:cs="Calibri"/>
                <w:color w:val="000000"/>
                <w:sz w:val="16"/>
                <w:szCs w:val="16"/>
              </w:rPr>
              <w:t>HRSD, BDI-II</w:t>
            </w:r>
          </w:p>
        </w:tc>
        <w:tc>
          <w:tcPr>
            <w:tcW w:w="990" w:type="dxa"/>
            <w:tcBorders>
              <w:top w:val="single" w:sz="4" w:space="0" w:color="auto"/>
              <w:left w:val="single" w:sz="4" w:space="0" w:color="auto"/>
              <w:bottom w:val="single" w:sz="4" w:space="0" w:color="auto"/>
              <w:right w:val="single" w:sz="4" w:space="0" w:color="auto"/>
            </w:tcBorders>
          </w:tcPr>
          <w:p w14:paraId="43474EE7" w14:textId="17BF8779" w:rsidR="00664D9B" w:rsidRPr="00C126BD" w:rsidRDefault="00664D9B" w:rsidP="00C126BD">
            <w:pPr>
              <w:rPr>
                <w:rFonts w:ascii="Calibri" w:eastAsia="Times New Roman" w:hAnsi="Calibri" w:cs="Calibri"/>
                <w:color w:val="000000"/>
                <w:sz w:val="16"/>
                <w:szCs w:val="16"/>
              </w:rPr>
            </w:pPr>
            <w:r w:rsidRPr="00D31A34">
              <w:rPr>
                <w:rFonts w:ascii="Calibri" w:eastAsia="Times New Roman" w:hAnsi="Calibri" w:cs="Calibri"/>
                <w:color w:val="000000"/>
                <w:sz w:val="16"/>
                <w:szCs w:val="16"/>
              </w:rPr>
              <w:t>7 weeks</w:t>
            </w:r>
          </w:p>
        </w:tc>
        <w:tc>
          <w:tcPr>
            <w:tcW w:w="900" w:type="dxa"/>
            <w:tcBorders>
              <w:top w:val="single" w:sz="4" w:space="0" w:color="auto"/>
              <w:left w:val="single" w:sz="4" w:space="0" w:color="auto"/>
              <w:bottom w:val="single" w:sz="4" w:space="0" w:color="auto"/>
              <w:right w:val="single" w:sz="4" w:space="0" w:color="auto"/>
            </w:tcBorders>
            <w:noWrap/>
            <w:hideMark/>
          </w:tcPr>
          <w:p w14:paraId="00DEFDC4" w14:textId="7A55A928"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990" w:type="dxa"/>
            <w:tcBorders>
              <w:top w:val="single" w:sz="4" w:space="0" w:color="auto"/>
              <w:left w:val="single" w:sz="4" w:space="0" w:color="auto"/>
              <w:bottom w:val="single" w:sz="4" w:space="0" w:color="auto"/>
              <w:right w:val="single" w:sz="4" w:space="0" w:color="auto"/>
            </w:tcBorders>
            <w:noWrap/>
            <w:hideMark/>
          </w:tcPr>
          <w:p w14:paraId="05B9EF3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630" w:type="dxa"/>
            <w:tcBorders>
              <w:top w:val="single" w:sz="4" w:space="0" w:color="auto"/>
              <w:left w:val="single" w:sz="4" w:space="0" w:color="auto"/>
              <w:bottom w:val="single" w:sz="4" w:space="0" w:color="auto"/>
              <w:right w:val="single" w:sz="4" w:space="0" w:color="auto"/>
            </w:tcBorders>
            <w:noWrap/>
            <w:hideMark/>
          </w:tcPr>
          <w:p w14:paraId="491BE95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D4002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46</w:t>
            </w:r>
          </w:p>
        </w:tc>
        <w:tc>
          <w:tcPr>
            <w:tcW w:w="900" w:type="dxa"/>
            <w:tcBorders>
              <w:top w:val="single" w:sz="4" w:space="0" w:color="auto"/>
              <w:left w:val="single" w:sz="4" w:space="0" w:color="auto"/>
              <w:bottom w:val="single" w:sz="4" w:space="0" w:color="auto"/>
              <w:right w:val="single" w:sz="4" w:space="0" w:color="auto"/>
            </w:tcBorders>
            <w:noWrap/>
            <w:hideMark/>
          </w:tcPr>
          <w:p w14:paraId="3616228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A37201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7FD5ADD2"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37A5157" w14:textId="77777777" w:rsidR="00664D9B" w:rsidRPr="00C126BD" w:rsidRDefault="00664D9B" w:rsidP="00664D9B">
            <w:pPr>
              <w:rPr>
                <w:rFonts w:ascii="Calibri" w:hAnsi="Calibri" w:cs="Calibri"/>
                <w:sz w:val="16"/>
                <w:szCs w:val="16"/>
              </w:rPr>
            </w:pPr>
          </w:p>
        </w:tc>
      </w:tr>
      <w:tr w:rsidR="00664D9B" w:rsidRPr="00C73DE7" w14:paraId="498190A7" w14:textId="77777777" w:rsidTr="00C126BD">
        <w:trPr>
          <w:trHeight w:val="145"/>
        </w:trPr>
        <w:tc>
          <w:tcPr>
            <w:tcW w:w="3060" w:type="dxa"/>
            <w:tcBorders>
              <w:top w:val="single" w:sz="4" w:space="0" w:color="auto"/>
              <w:left w:val="single" w:sz="4" w:space="0" w:color="auto"/>
              <w:bottom w:val="single" w:sz="4" w:space="0" w:color="auto"/>
              <w:right w:val="single" w:sz="4" w:space="0" w:color="auto"/>
            </w:tcBorders>
            <w:noWrap/>
            <w:hideMark/>
          </w:tcPr>
          <w:p w14:paraId="05809AE6" w14:textId="2558E190"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{"citationItems":[{"id":"ITEM-1","itemData":{"DOI":"10.1016/j.jpsychires.2016.03.016","ISBN":"0022-3956","ISSN":"18791379","PMID":"27089522","abstract":"The outcome of treatment with antidepressants varies markedly across people with the same diagnosis. A clinically significant prediction of outcomes could spare the frustration of trial and error approach and improve the outcomes of major depressive disorder through individualized treatment selection. It is likely that a combination of multiple predictors is needed to achieve such prediction. We used elastic net regularized regression to optimize prediction of symptom improvement and remission during treatment with escitalopram or nortriptyline and to identify contributing predictors from a range of demographic and clinical variables in 793 adults with major depressive disorder. A combination of demographic and clinical variables, with strong contributions from symptoms of depressed mood, reduced interest, decreased activity, indecisiveness, pessimism and anxiety significantly predicted treatment outcomes, explaining 5-10% of variance in symptom improvement with escitalopram. Similar combinations of variables predicted remission with area under the curve 0.72, explaining approximately 15% of variance (pseudo R2) in who achieves remission, with strong contributions from body mass index, appetite, interest-activity symptom dimension and anxious-somatizing depression subtype. Escitalopram-specific outcome prediction was more accurate than generic outcome prediction, and reached effect sizes that were near or above a previously established benchmark for clinical significance. Outcome prediction on the nortriptyline arm did not significantly differ from chance. These results suggest that easily obtained demographic and clinical variables can predict therapeutic response to escitalopram with clinically meaningful accuracy, suggesting a potential for individualized prescription of this antidepressant drug.","author":[{"dropping-particle":"","family":"Iniesta","given":"Raquel","non-dropping-particle":"","parse-names":false,"suffix":""},{"dropping-particle":"","family":"Malki","given":"Karim","non-dropping-particle":"","parse-names":false,"suffix":""},{"dropping-particle":"","family":"Maier","given":"Wolfgang","non-dropping-particle":"","parse-names":false,"suffix":""},{"dropping-particle":"","family":"Rietschel","given":"Marcella","non-dropping-particle":"","parse-names":false,"suffix":""},{"dropping-particle":"","family":"Mors","given":"Ole","non-dropping-particle":"","parse-names":false,"suffix":""},{"dropping-particle":"","family":"Hauser","given":"Joanna","non-dropping-particle":"","parse-names":false,"suffix":""},{"dropping-particle":"","family":"Henigsberg","given":"Neven","non-dropping-particle":"","parse-names":false,"suffix":""},{"dropping-particle":"","family":"Dernovsek","given":"Mojca Zvezdana","non-dropping-particle":"","parse-names":false,"suffix":""},{"dropping-particle":"","family":"Souery","given":"Daniel","non-dropping-particle":"","parse-names":false,"suffix":""},{"dropping-particle":"","family":"Stahl","given":"Daniel","non-dropping-particle":"","parse-names":false,"suffix":""},{"dropping-particle":"","family":"Dobson","given":"Richard","non-dropping-particle":"","parse-names":false,"suffix":""},{"dropping-particle":"","family":"Aitchison","given":"Katherine J.","non-dropping-particle":"","parse-names":false,"suffix":""},{"dropping-particle":"","family":"Farmer","given":"Anne","non-dropping-particle":"","parse-names":false,"suffix":""},{"dropping-particle":"","family":"Lewis","given":"Cathryn M.","non-dropping-particle":"","parse-names":false,"suffix":""},{"dropping-particle":"","family":"McGuffin","given":"Peter","non-dropping-particle":"","parse-names":false,"suffix":""},{"dropping-particle":"","family":"Uher","given":"Rudolf","non-dropping-particle":"","parse-names":false,"suffix":""}],"container-title":"Journal of Psychiatric Research","edition":"2016/04/19","id":"ITEM-1","issued":{"date-parts":[["2016"]]},"language":"eng","note":"1879-1379\nIniesta, Raquel\nMalki, Karim\nMaier, Wolfgang\nRietschel, Marcella\nMors, Ole\nHauser, Joanna\nHenigsberg, Neven\nDernovsek, Mojca Zvezdana\nSouery, Daniel\nStahl, Daniel\nDobson, Richard\nAitchison, Katherine J\nFarmer, Anne\nLewis, Cathryn M\nMcGuffin, Peter\nUher, Rudolf\nComparative Study\nJournal Article\nMulticenter Study\nRandomized Controlled Trial\nResearch Support, Non-U.S. Gov't\nEngland\nJ Psychiatr Res. 2016 Jul;78:94-102. doi: 10.1016/j.jpsychires.2016.03.016. Epub 2016 Apr 1.","page":"94-102","title":"Combining clinical variables to optimize prediction of antidepressant treatment outcomes","type":"article-journal","volume":"78"},"uris":["http://www.mendeley.com/documents/?uuid=06bb5b03-e20f-4a6c-bbc7-ec7651b6b76b"]}],"mendeley":{"formattedCitation":"(Iniesta et al., 2016)","plainTextFormattedCitation":"(Iniesta et al., 2016)","previouslyFormattedCitation":"(Iniesta et al., 2016)"},"properties":{"noteIndex":0},"schema":"https://github.com/citation-style-language/schema/raw/master/csl-citation.json"}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(Iniesta et al., 2016)</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31C30C8C"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36B36136" w14:textId="11C1FE5C" w:rsidR="00664D9B" w:rsidRPr="00C126BD" w:rsidRDefault="00664D9B">
            <w:pPr>
              <w:rPr>
                <w:rFonts w:ascii="Calibri" w:eastAsia="Times New Roman" w:hAnsi="Calibri" w:cs="Calibri"/>
                <w:color w:val="000000"/>
                <w:sz w:val="16"/>
                <w:szCs w:val="16"/>
              </w:rPr>
            </w:pPr>
            <w:r w:rsidRPr="00C87F83">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325389C0" w14:textId="66939886"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22C52A08" w14:textId="21AAD90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00EA403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630" w:type="dxa"/>
            <w:tcBorders>
              <w:top w:val="single" w:sz="4" w:space="0" w:color="auto"/>
              <w:left w:val="single" w:sz="4" w:space="0" w:color="auto"/>
              <w:bottom w:val="single" w:sz="4" w:space="0" w:color="auto"/>
              <w:right w:val="single" w:sz="4" w:space="0" w:color="auto"/>
            </w:tcBorders>
            <w:noWrap/>
            <w:hideMark/>
          </w:tcPr>
          <w:p w14:paraId="35AE202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900" w:type="dxa"/>
            <w:tcBorders>
              <w:top w:val="single" w:sz="4" w:space="0" w:color="auto"/>
              <w:left w:val="single" w:sz="4" w:space="0" w:color="auto"/>
              <w:bottom w:val="single" w:sz="4" w:space="0" w:color="auto"/>
              <w:right w:val="single" w:sz="4" w:space="0" w:color="auto"/>
            </w:tcBorders>
            <w:noWrap/>
            <w:hideMark/>
          </w:tcPr>
          <w:p w14:paraId="7414250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793</w:t>
            </w:r>
          </w:p>
        </w:tc>
        <w:tc>
          <w:tcPr>
            <w:tcW w:w="900" w:type="dxa"/>
            <w:tcBorders>
              <w:top w:val="single" w:sz="4" w:space="0" w:color="auto"/>
              <w:left w:val="single" w:sz="4" w:space="0" w:color="auto"/>
              <w:bottom w:val="single" w:sz="4" w:space="0" w:color="auto"/>
              <w:right w:val="single" w:sz="4" w:space="0" w:color="auto"/>
            </w:tcBorders>
            <w:noWrap/>
            <w:hideMark/>
          </w:tcPr>
          <w:p w14:paraId="43DE417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0820856"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786951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113A3D8" w14:textId="77777777" w:rsidR="00664D9B" w:rsidRPr="00C126BD" w:rsidRDefault="00664D9B" w:rsidP="00664D9B">
            <w:pPr>
              <w:rPr>
                <w:rFonts w:ascii="Calibri" w:hAnsi="Calibri" w:cs="Calibri"/>
                <w:sz w:val="16"/>
                <w:szCs w:val="16"/>
              </w:rPr>
            </w:pPr>
          </w:p>
        </w:tc>
      </w:tr>
      <w:tr w:rsidR="00664D9B" w:rsidRPr="00C73DE7" w14:paraId="6F9450D2"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0A9721D3" w14:textId="1459C1FB"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{"citationItems":[{"id":"ITEM-1","itemData":{"DOI":"10.1038/s41598-018-23584-z","ISBN":"2045-2322","ISSN":"20452322","PMID":"29615645","abstract":"Individuals with depression differ substantially in their response to treatment with antidepressants. Specific predictors explain only a small proportion of these differences. To meaningfully predict who will respond to which antidepressant, it may be necessary to combine multiple biomarkers and clinical variables. Using statistical learning on common genetic variants and clinical information in a training sample of 280 individuals randomly allocated to 12-week treatment with antidepressants escitalopram or nortriptyline, we derived models to predict remission with each antidepressant drug. We tested the reproducibility of each prediction in a validation set of 150 participants not used in model derivation. An elastic net logistic model based on eleven genetic and six clinical variables predicted remission with escitalopram in the validation dataset with area under the curve 0.77 (95%CI; 0.66-0.88; p = 0.004), explaining approximately 30% of variance in who achieves remission. A model derived from 20 genetic variables predicted remission with nortriptyline in the validation dataset with an area under the curve 0.77 (95%CI; 0.65-0.90; p &lt; 0.001), explaining approximately 36% of variance in who achieves remission. The predictive models were antidepressant drug-specific. Validated drug-specific predictions suggest that a relatively small number of genetic and clinical variables can help select treatment between escitalopram and nortriptyline.","author":[{"dropping-particle":"","family":"Iniesta","given":"Raquel","non-dropping-particle":"","parse-names":false,"suffix":""},{"dropping-particle":"","family":"Hodgson","given":"Karen","non-dropping-particle":"","parse-names":false,"suffix":""},{"dropping-particle":"","family":"Stahl","given":"Daniel","non-dropping-particle":"","parse-names":false,"suffix":""},{"dropping-particle":"","family":"Malki","given":"Karim","non-dropping-particle":"","parse-names":false,"suffix":""},{"dropping-particle":"","family":"Maier","given":"Wolfgang","non-dropping-particle":"","parse-names":false,"suffix":""},{"dropping-particle":"","family":"Rietschel","given":"Marcella","non-dropping-particle":"","parse-names":false,"suffix":""},{"dropping-particle":"","family":"Mors","given":"Ole","non-dropping-particle":"","parse-names":false,"suffix":""},{"dropping-particle":"","family":"Hauser","given":"Joanna","non-dropping-particle":"","parse-names":false,"suffix":""},{"dropping-particle":"","family":"Henigsberg","given":"Neven","non-dropping-particle":"","parse-names":false,"suffix":""},{"dropping-particle":"","family":"Dernovsek","given":"Mojca Zvezdana","non-dropping-particle":"","parse-names":false,"suffix":""},{"dropping-particle":"","family":"Souery","given":"Daniel","non-dropping-particle":"","parse-names":false,"suffix":""},{"dropping-particle":"","family":"Dobson","given":"Richard","non-dropping-particle":"","parse-names":false,"suffix":""},{"dropping-particle":"","family":"Aitchison","given":"Katherine J.","non-dropping-particle":"","parse-names":false,"suffix":""},{"dropping-particle":"","family":"Farmer","given":"Anne","non-dropping-particle":"","parse-names":false,"suffix":""},{"dropping-particle":"","family":"McGuffin","given":"Peter","non-dropping-particle":"","parse-names":false,"suffix":""},{"dropping-particle":"","family":"Lewis","given":"Cathryn M.","non-dropping-particle":"","parse-names":false,"suffix":""},{"dropping-particle":"","family":"Uher","given":"Rudolf","non-dropping-particle":"","parse-names":false,"suffix":""}],"container-title":"Scientific Reports","edition":"2018/04/05","id":"ITEM-1","issue":"1","issued":{"date-parts":[["2018"]]},"language":"eng","note":"2045-2322\nIniesta, Raquel\nHodgson, Karen\nStahl, Daniel\nMalki, Karim\nMaier, Wolfgang\nRietschel, Marcella\nOrcid: 0000-0002-5236-6149\nMors, Ole\nHauser, Joanna\nHenigsberg, Neven\nDernovsek, Mojca Zvezdana\nSouery, Daniel\nDobson, Richard\nOrcid: 0000-0003-4224-9245\nAitchison, Katherine J\nFarmer, Anne\nMcGuffin, Peter\nLewis, Cathryn M\nOrcid: 0000-0002-8249-8476\nUher, Rudolf\nJournal Article\nRandomized Controlled Trial\nEngland\nSci Rep. 2018 Apr 3;8(1):5530. doi: 10.1038/s41598-018-23584-z.","page":"5530","title":"Antidepressant drug-specific prediction of depression treatment outcomes from genetic and clinical variables","type":"article-journal","volume":"8"},"uris":["http://www.mendeley.com/documents/?uuid=bf18dd36-8be9-4926-b21e-81831f598fb4"]}],"mendeley":{"formattedCitation":"(Iniesta et al., 2018)","plainTextFormattedCitation":"(Iniesta et al., 2018)","previouslyFormattedCitation":"(Iniesta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(Iniesta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2F9563F" w14:textId="77777777" w:rsidR="00664D9B" w:rsidRPr="004C1A4F" w:rsidRDefault="00664D9B" w:rsidP="00664D9B">
            <w:pPr>
              <w:rPr>
                <w:rFonts w:ascii="Calibri" w:eastAsia="Times New Roman" w:hAnsi="Calibri" w:cs="Calibri"/>
                <w:color w:val="000000" w:themeColor="text1"/>
                <w:sz w:val="16"/>
                <w:szCs w:val="16"/>
              </w:rPr>
            </w:pPr>
            <w:r w:rsidRPr="004C1A4F">
              <w:rPr>
                <w:rFonts w:ascii="Calibri" w:eastAsia="Times New Roman" w:hAnsi="Calibri" w:cs="Calibri"/>
                <w:color w:val="000000" w:themeColor="text1"/>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4B3F4F58" w14:textId="2688487D" w:rsidR="00664D9B" w:rsidRPr="004C1A4F" w:rsidRDefault="00664D9B">
            <w:pPr>
              <w:rPr>
                <w:rFonts w:ascii="Calibri" w:eastAsia="Times New Roman" w:hAnsi="Calibri" w:cs="Calibri"/>
                <w:color w:val="000000" w:themeColor="text1"/>
                <w:sz w:val="16"/>
                <w:szCs w:val="16"/>
              </w:rPr>
            </w:pPr>
            <w:r w:rsidRPr="00C87F83">
              <w:rPr>
                <w:rFonts w:ascii="Calibri" w:eastAsia="Times New Roman" w:hAnsi="Calibri" w:cs="Calibri"/>
                <w:color w:val="000000" w:themeColor="text1"/>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0CDFCECF" w14:textId="786A8D0A" w:rsidR="00664D9B" w:rsidRPr="004C1A4F" w:rsidRDefault="00664D9B">
            <w:pP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126E8A61" w14:textId="49D85FCB" w:rsidR="00664D9B" w:rsidRPr="004C1A4F" w:rsidRDefault="00664D9B" w:rsidP="00664D9B">
            <w:pPr>
              <w:rPr>
                <w:rFonts w:ascii="Calibri" w:eastAsia="Times New Roman" w:hAnsi="Calibri" w:cs="Calibri"/>
                <w:color w:val="000000" w:themeColor="text1"/>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35BF5666" w14:textId="77777777" w:rsidR="00664D9B" w:rsidRPr="00C126BD" w:rsidRDefault="00664D9B" w:rsidP="00664D9B">
            <w:pPr>
              <w:jc w:val="center"/>
              <w:rPr>
                <w:rFonts w:ascii="Calibri" w:eastAsia="Calibri" w:hAnsi="Calibri" w:cs="Calibri"/>
                <w:color w:val="000000" w:themeColor="text1"/>
                <w:sz w:val="16"/>
                <w:szCs w:val="16"/>
              </w:rPr>
            </w:pPr>
            <w:r w:rsidRPr="00C126BD">
              <w:rPr>
                <w:rFonts w:ascii="Calibri" w:eastAsia="Calibri" w:hAnsi="Calibri" w:cs="Calibri"/>
                <w:color w:val="000000" w:themeColor="text1"/>
                <w:sz w:val="16"/>
                <w:szCs w:val="16"/>
              </w:rPr>
              <w:t>0.70</w:t>
            </w:r>
          </w:p>
        </w:tc>
        <w:tc>
          <w:tcPr>
            <w:tcW w:w="630" w:type="dxa"/>
            <w:tcBorders>
              <w:top w:val="single" w:sz="4" w:space="0" w:color="auto"/>
              <w:left w:val="single" w:sz="4" w:space="0" w:color="auto"/>
              <w:bottom w:val="single" w:sz="4" w:space="0" w:color="auto"/>
              <w:right w:val="single" w:sz="4" w:space="0" w:color="auto"/>
            </w:tcBorders>
            <w:noWrap/>
            <w:hideMark/>
          </w:tcPr>
          <w:p w14:paraId="08625283" w14:textId="77777777" w:rsidR="00664D9B" w:rsidRPr="00C73DE7" w:rsidRDefault="00664D9B" w:rsidP="00664D9B">
            <w:pPr>
              <w:jc w:val="center"/>
              <w:rPr>
                <w:rFonts w:ascii="Calibri" w:eastAsia="Times New Roman" w:hAnsi="Calibri" w:cs="Calibri"/>
                <w:color w:val="000000" w:themeColor="text1"/>
                <w:sz w:val="16"/>
                <w:szCs w:val="16"/>
              </w:rPr>
            </w:pPr>
            <w:r w:rsidRPr="00C73DE7">
              <w:rPr>
                <w:rFonts w:ascii="Calibri" w:eastAsia="Times New Roman" w:hAnsi="Calibri" w:cs="Calibri"/>
                <w:color w:val="000000" w:themeColor="text1"/>
                <w:sz w:val="16"/>
                <w:szCs w:val="16"/>
              </w:rPr>
              <w:t>0.82</w:t>
            </w:r>
          </w:p>
        </w:tc>
        <w:tc>
          <w:tcPr>
            <w:tcW w:w="900" w:type="dxa"/>
            <w:tcBorders>
              <w:top w:val="single" w:sz="4" w:space="0" w:color="auto"/>
              <w:left w:val="single" w:sz="4" w:space="0" w:color="auto"/>
              <w:bottom w:val="single" w:sz="4" w:space="0" w:color="auto"/>
              <w:right w:val="single" w:sz="4" w:space="0" w:color="auto"/>
            </w:tcBorders>
            <w:noWrap/>
            <w:hideMark/>
          </w:tcPr>
          <w:p w14:paraId="3F041BB2" w14:textId="77777777" w:rsidR="00664D9B" w:rsidRPr="00C73DE7" w:rsidRDefault="00664D9B" w:rsidP="00664D9B">
            <w:pPr>
              <w:jc w:val="center"/>
              <w:rPr>
                <w:rFonts w:ascii="Calibri" w:eastAsia="Times New Roman" w:hAnsi="Calibri" w:cs="Calibri"/>
                <w:color w:val="000000" w:themeColor="text1"/>
                <w:sz w:val="16"/>
                <w:szCs w:val="16"/>
              </w:rPr>
            </w:pPr>
            <w:r w:rsidRPr="00C73DE7">
              <w:rPr>
                <w:rFonts w:ascii="Calibri" w:eastAsia="Times New Roman" w:hAnsi="Calibri" w:cs="Calibri"/>
                <w:color w:val="000000" w:themeColor="text1"/>
                <w:sz w:val="16"/>
                <w:szCs w:val="16"/>
              </w:rPr>
              <w:t>143</w:t>
            </w:r>
          </w:p>
        </w:tc>
        <w:tc>
          <w:tcPr>
            <w:tcW w:w="900" w:type="dxa"/>
            <w:tcBorders>
              <w:top w:val="single" w:sz="4" w:space="0" w:color="auto"/>
              <w:left w:val="single" w:sz="4" w:space="0" w:color="auto"/>
              <w:bottom w:val="single" w:sz="4" w:space="0" w:color="auto"/>
              <w:right w:val="single" w:sz="4" w:space="0" w:color="auto"/>
            </w:tcBorders>
            <w:noWrap/>
            <w:hideMark/>
          </w:tcPr>
          <w:p w14:paraId="1BA746AB" w14:textId="77777777" w:rsidR="00664D9B" w:rsidRPr="00C73DE7" w:rsidRDefault="00664D9B" w:rsidP="00664D9B">
            <w:pPr>
              <w:rPr>
                <w:rFonts w:ascii="Calibri" w:eastAsia="Times New Roman" w:hAnsi="Calibri" w:cs="Calibri"/>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B4EE123" w14:textId="77777777" w:rsidR="00664D9B" w:rsidRPr="00C73DE7" w:rsidRDefault="00664D9B" w:rsidP="00664D9B">
            <w:pPr>
              <w:jc w:val="center"/>
              <w:rPr>
                <w:rFonts w:ascii="Calibri" w:eastAsia="Times New Roman" w:hAnsi="Calibri" w:cs="Calibri"/>
                <w:color w:val="000000" w:themeColor="text1"/>
                <w:sz w:val="16"/>
                <w:szCs w:val="16"/>
              </w:rPr>
            </w:pPr>
            <w:r w:rsidRPr="00C73DE7">
              <w:rPr>
                <w:rFonts w:ascii="Calibri" w:eastAsia="Times New Roman" w:hAnsi="Calibri" w:cs="Calibri"/>
                <w:color w:val="000000" w:themeColor="text1"/>
                <w:sz w:val="16"/>
                <w:szCs w:val="16"/>
              </w:rPr>
              <w:t>0.74</w:t>
            </w:r>
          </w:p>
        </w:tc>
        <w:tc>
          <w:tcPr>
            <w:tcW w:w="540" w:type="dxa"/>
            <w:tcBorders>
              <w:top w:val="single" w:sz="4" w:space="0" w:color="auto"/>
              <w:left w:val="single" w:sz="4" w:space="0" w:color="auto"/>
              <w:bottom w:val="single" w:sz="4" w:space="0" w:color="auto"/>
              <w:right w:val="single" w:sz="4" w:space="0" w:color="auto"/>
            </w:tcBorders>
            <w:noWrap/>
            <w:hideMark/>
          </w:tcPr>
          <w:p w14:paraId="1C2005CF" w14:textId="77777777" w:rsidR="00664D9B" w:rsidRPr="00C73DE7" w:rsidRDefault="00664D9B" w:rsidP="00664D9B">
            <w:pPr>
              <w:jc w:val="center"/>
              <w:rPr>
                <w:rFonts w:ascii="Calibri" w:eastAsia="Times New Roman" w:hAnsi="Calibri" w:cs="Calibri"/>
                <w:color w:val="000000" w:themeColor="text1"/>
                <w:sz w:val="16"/>
                <w:szCs w:val="16"/>
              </w:rPr>
            </w:pPr>
            <w:r w:rsidRPr="00C73DE7">
              <w:rPr>
                <w:rFonts w:ascii="Calibri" w:eastAsia="Times New Roman" w:hAnsi="Calibri" w:cs="Calibri"/>
                <w:color w:val="000000" w:themeColor="text1"/>
                <w:sz w:val="16"/>
                <w:szCs w:val="16"/>
              </w:rPr>
              <w:t>0.77</w:t>
            </w:r>
          </w:p>
        </w:tc>
        <w:tc>
          <w:tcPr>
            <w:tcW w:w="905" w:type="dxa"/>
            <w:tcBorders>
              <w:top w:val="single" w:sz="4" w:space="0" w:color="auto"/>
              <w:left w:val="single" w:sz="4" w:space="0" w:color="auto"/>
              <w:bottom w:val="single" w:sz="4" w:space="0" w:color="auto"/>
              <w:right w:val="single" w:sz="4" w:space="0" w:color="auto"/>
            </w:tcBorders>
            <w:noWrap/>
            <w:hideMark/>
          </w:tcPr>
          <w:p w14:paraId="138BA70D" w14:textId="77777777" w:rsidR="00664D9B" w:rsidRPr="00C73DE7" w:rsidRDefault="00664D9B" w:rsidP="00664D9B">
            <w:pPr>
              <w:jc w:val="center"/>
              <w:rPr>
                <w:rFonts w:ascii="Calibri" w:eastAsia="Times New Roman" w:hAnsi="Calibri" w:cs="Calibri"/>
                <w:color w:val="000000" w:themeColor="text1"/>
                <w:sz w:val="16"/>
                <w:szCs w:val="16"/>
              </w:rPr>
            </w:pPr>
            <w:r w:rsidRPr="00C73DE7">
              <w:rPr>
                <w:rFonts w:ascii="Calibri" w:eastAsia="Times New Roman" w:hAnsi="Calibri" w:cs="Calibri"/>
                <w:color w:val="000000" w:themeColor="text1"/>
                <w:sz w:val="16"/>
                <w:szCs w:val="16"/>
              </w:rPr>
              <w:t>150</w:t>
            </w:r>
          </w:p>
        </w:tc>
      </w:tr>
      <w:tr w:rsidR="00664D9B" w:rsidRPr="00C73DE7" w14:paraId="77DC1E9C" w14:textId="77777777" w:rsidTr="00C126BD">
        <w:trPr>
          <w:trHeight w:val="91"/>
        </w:trPr>
        <w:tc>
          <w:tcPr>
            <w:tcW w:w="3060" w:type="dxa"/>
            <w:tcBorders>
              <w:top w:val="single" w:sz="4" w:space="0" w:color="auto"/>
              <w:left w:val="single" w:sz="4" w:space="0" w:color="auto"/>
              <w:bottom w:val="single" w:sz="4" w:space="0" w:color="auto"/>
              <w:right w:val="single" w:sz="4" w:space="0" w:color="auto"/>
            </w:tcBorders>
            <w:noWrap/>
            <w:hideMark/>
          </w:tcPr>
          <w:p w14:paraId="27ED83D9" w14:textId="7AAA4D0F"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{"citationItems":[{"id":"ITEM-1","itemData":{"DOI":"10.3389/fpsyt.2018.00768","ISBN":"1664-0640","ISSN":"16640640","abstract":"Background: Individuals with major depressive disorder (MDD) vary in their response to antidepressants. However, identifying objective biomarkers, prior to or early in the course of treatment that can predict antidepressant efficacy, remains a challenge. Methods:Individuals with MDD participated in a 12-week antidepressant pharmacotherapy trial. Electroencephalographic (EEG) data was collected before and 1 week post-treatment initiation in 51 patients. Response status at week 12 was established with the Montgomery-Asberg Depression Scale (MADRS), with a ≥50% decrease characterizing responders (N = 27/24 responders/non-responders). We used a machine learning (ML)-approach for predicting response status. We focused on Random Forests, though other ML methods were compared. First, we used a tree-based estimator to select a relatively small number of significant features from: (a) demographic/clinical data (age, sex, individual item/total MADRS scores at baseline, week 1, change scores); (b) scalp-level EEG power; (c) source-localized current density (via exact low-resolution electromagnetic tomography [eLORETA] software). Second, we applied kernel principal component analysis to reduce and map important features. Third, a set of ML models were constructed to classify response outcome based on mapped features. For each dataset, predictive features were extracted, followed by a model of all predictive features, and finally by a model of the most predictive features. Results: Fifty eLORETA features were predictive of response (across bands, both time-points); alpha1/theta eLORETA features showed the highest predictive value. Eighty-eight scalp EEG features were predictive of response (across bands, both time-points), with theta/alpha2 being most predictive. Clinical/demographic data consisted of 31 features, with the most important being week 1 “concentration difficulty” scores. When all features were included into one model, its predictive utility was high (88% accuracy). When the most important features were extracted in the final model, 12 predictive features emerged (78% accuracy), including baseline scalp-EEG frontopolar theta, parietal alpha2 and frontopolar alpha1. Conclusions: These findings suggest that ML models of pre- and early treatment-emergent EEG profiles and clinical features can serve as tools for predicting antidepressant response. While this must be replicated using large independent samples, it lays the groundwork for research on personali…","author":[{"dropping-particle":"","family":"Jaworska","given":"Natalia","non-dropping-particle":"","parse-names":false,"suffix":""},{"dropping-particle":"","family":"La Salle","given":"Sara","non-dropping-particle":"De","parse-names":false,"suffix":""},{"dropping-particle":"","family":"Ibrahim","given":"Mohamed Hamza","non-dropping-particle":"","parse-names":false,"suffix":""},{"dropping-particle":"","family":"Blier","given":"Pierre","non-dropping-particle":"","parse-names":false,"suffix":""},{"dropping-particle":"","family":"Knott","given":"Verner","non-dropping-particle":"","parse-names":false,"suffix":""}],"container-title":"Frontiers in Psychiatry","id":"ITEM-1","issue":"JAN","issued":{"date-parts":[["2019"]]},"page":"768","title":"Leveraging machine learning approaches for predicting antidepressant treatment response using electroencephalography (EEG) and clinical data","type":"article","volume":"10"},"uris":["http://www.mendeley.com/documents/?uuid=15940ce6-2baf-45b8-9865-d9f94b8de2d0"]}],"mendeley":{"formattedCitation":"(Jaworska et al., 2019)","plainTextFormattedCitation":"(Jaworska et al., 2019)","previouslyFormattedCitation":"(Jaworska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(Jaworska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DE7E389"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34A0B06" w14:textId="7AF1CFA0" w:rsidR="00664D9B" w:rsidRPr="00C126BD" w:rsidRDefault="00664D9B">
            <w:pPr>
              <w:rPr>
                <w:rFonts w:ascii="Calibri" w:eastAsia="Times New Roman" w:hAnsi="Calibri" w:cs="Calibri"/>
                <w:color w:val="000000"/>
                <w:sz w:val="16"/>
                <w:szCs w:val="16"/>
              </w:rPr>
            </w:pPr>
            <w:r w:rsidRPr="0001661E">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7F5E1D92" w14:textId="017936F6"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2410F875" w14:textId="010D896F"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3A185362"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524396E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0.74</w:t>
            </w:r>
          </w:p>
        </w:tc>
        <w:tc>
          <w:tcPr>
            <w:tcW w:w="900" w:type="dxa"/>
            <w:tcBorders>
              <w:top w:val="single" w:sz="4" w:space="0" w:color="auto"/>
              <w:left w:val="single" w:sz="4" w:space="0" w:color="auto"/>
              <w:bottom w:val="single" w:sz="4" w:space="0" w:color="auto"/>
              <w:right w:val="single" w:sz="4" w:space="0" w:color="auto"/>
            </w:tcBorders>
            <w:noWrap/>
            <w:hideMark/>
          </w:tcPr>
          <w:p w14:paraId="06007CD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51</w:t>
            </w:r>
          </w:p>
        </w:tc>
        <w:tc>
          <w:tcPr>
            <w:tcW w:w="900" w:type="dxa"/>
            <w:tcBorders>
              <w:top w:val="single" w:sz="4" w:space="0" w:color="auto"/>
              <w:left w:val="single" w:sz="4" w:space="0" w:color="auto"/>
              <w:bottom w:val="single" w:sz="4" w:space="0" w:color="auto"/>
              <w:right w:val="single" w:sz="4" w:space="0" w:color="auto"/>
            </w:tcBorders>
            <w:noWrap/>
            <w:hideMark/>
          </w:tcPr>
          <w:p w14:paraId="5BC175E1"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7D420AA"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FF5F121"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9302A85" w14:textId="77777777" w:rsidR="00664D9B" w:rsidRPr="00C126BD" w:rsidRDefault="00664D9B" w:rsidP="00664D9B">
            <w:pPr>
              <w:rPr>
                <w:rFonts w:ascii="Calibri" w:hAnsi="Calibri" w:cs="Calibri"/>
                <w:sz w:val="16"/>
                <w:szCs w:val="16"/>
              </w:rPr>
            </w:pPr>
          </w:p>
        </w:tc>
      </w:tr>
      <w:tr w:rsidR="00664D9B" w:rsidRPr="00C73DE7" w14:paraId="125A873A" w14:textId="77777777" w:rsidTr="00C126BD">
        <w:trPr>
          <w:trHeight w:val="82"/>
        </w:trPr>
        <w:tc>
          <w:tcPr>
            <w:tcW w:w="3060" w:type="dxa"/>
            <w:tcBorders>
              <w:top w:val="single" w:sz="4" w:space="0" w:color="auto"/>
              <w:left w:val="single" w:sz="4" w:space="0" w:color="auto"/>
              <w:bottom w:val="single" w:sz="4" w:space="0" w:color="auto"/>
              <w:right w:val="single" w:sz="4" w:space="0" w:color="auto"/>
            </w:tcBorders>
            <w:noWrap/>
            <w:hideMark/>
          </w:tcPr>
          <w:p w14:paraId="528F2EE5" w14:textId="2BC5A304"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{"citationItems":[{"id":"ITEM-1","itemData":{"DOI":"10.1038/npp.2017.165","ISBN":"1740-634X (Electronic)\r0893-133X (Linking)","ISSN":"1740634X","PMID":"28758644","abstract":"Owing to the rapid and robust clinical effects, electroconvulsive therapy (ECT) represents an optimal model to develop and test treatment predictors for major depressive disorders (MDDs), whereas imaging markers can be informative in identifying MDD patients who will respond to a specific antidepressant treatment or not. Here we aim to predict post-ECT depressive rating changes and remission status using pre-ECT gray matter (GM) in 38 MDD patients and validate in two independent data sets. Six GM regions including the right hippocampus/parahippocampus, right orbitofrontal gyrus, right inferior temporal gyrus (ITG), left postcentral gyrus/precuneus, left supplementary motor area, and left lingual gyrus were identified as predictors of ECT response, achieving accuracy of 89, 90 and 86% for remission prediction in three independent, age-matched data sets, respectively. For MDD patients, GM density increases only in the left supplementary motor cortex and left postcentral gyrus/precuneus after ECT. These results suggest that treatment-predictive and treatment-responsive regions may be anatomically different but functionally related in the context of ECT response. To the best of our knowledge, this is the first attempt to quantitatively identify and validate the ECT treatment biomarkers using multi-site GM data. We address a major clinical challenge and provide potential opportunities for more effective and timely interventions for electroconvulsive treatment.","author":[{"dropping-particle":"","family":"Jiang","given":"Rongtao","non-dropping-particle":"","parse-names":false,"suffix":""},{"dropping-particle":"","family":"Abbott","given":"Christopher C.","non-dropping-particle":"","parse-names":false,"suffix":""},{"dropping-particle":"","family":"Jiang","given":"Tianzi","non-dropping-particle":"","parse-names":false,"suffix":""},{"dropping-particle":"","family":"Du","given":"Yuhui","non-dropping-particle":"","parse-names":false,"suffix":""},{"dropping-particle":"","family":"Espinoza","given":"Randall","non-dropping-particle":"","parse-names":false,"suffix":""},{"dropping-particle":"","family":"Narr","given":"Katherine L.","non-dropping-particle":"","parse-names":false,"suffix":""},{"dropping-particle":"","family":"Wade","given":"Benjamin","non-dropping-particle":"","parse-names":false,"suffix":""},{"dropping-particle":"","family":"Yu","given":"Qingbao","non-dropping-particle":"","parse-names":false,"suffix":""},{"dropping-particle":"","family":"Song","given":"Ming","non-dropping-particle":"","parse-names":false,"suffix":""},{"dropping-particle":"","family":"Lin","given":"Dongdong","non-dropping-particle":"","parse-names":false,"suffix":""},{"dropping-particle":"","family":"Chen","given":"Jiayu","non-dropping-particle":"","parse-names":false,"suffix":""},{"dropping-particle":"","family":"Jones","given":"Thomas","non-dropping-particle":"","parse-names":false,"suffix":""},{"dropping-particle":"","family":"Argyelan","given":"Miklos","non-dropping-particle":"","parse-names":false,"suffix":""},{"dropping-particle":"","family":"Petrides","given":"Georgios","non-dropping-particle":"","parse-names":false,"suffix":""},{"dropping-particle":"","family":"Sui","given":"Jing","non-dropping-particle":"","parse-names":false,"suffix":""},{"dropping-particle":"","family":"Calhoun","given":"Vince D.","non-dropping-particle":"","parse-names":false,"suffix":""}],"container-title":"Neuropsychopharmacology","edition":"2017/08/02","id":"ITEM-1","issue":"5","issued":{"date-parts":[["2018"]]},"note":"Jiang, Rongtao\nAbbott, Christopher C\nJiang, Tianzi\nDu, Yuhui\nEspinoza, Randall\nNarr, Katherine L\nWade, Benjamin\nYu, Qingbao\nSong, Ming\nLin, Dongdong\nChen, Jiayu\nJones, Thomas\nArgyelan, Miklos\nPetrides, Georgios\nSui, Jing\nCalhoun, Vince D\neng\nP20 GM103472/GM/NIGMS NIH HHS/\nR01 EB005846/EB/NIBIB NIH HHS/\nR01 MH094524/MH/NIMH NIH HHS/\nR01 EB006841/EB/NIBIB NIH HHS/\nU01 MH111826/MH/NIMH NIH HHS/\nResearch Support, N.I.H., Extramural\nResearch Support, Non-U.S. Gov't\nValidation Study\nEngland\nNeuropsychopharmacology. 2018 Apr;43(5):1078-1087. doi: 10.1038/npp.2017.165. Epub 2017 Jul 31.","page":"1078-1087","title":"SMRI biomarkers predict electroconvulsive treatment outcomes: Accuracy with Independent Data Sets","type":"article-journal","volume":"43"},"uris":["http://www.mendeley.com/documents/?uuid=3e092e72-f01a-491a-831e-f391a6aff0b2"]}],"mendeley":{"formattedCitation":"(Jiang et al., 2018)","plainTextFormattedCitation":"(Jiang et al., 2018)","previouslyFormattedCitation":"(Jiang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(Jiang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5A06FA81"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76A6E6DE" w14:textId="017A9C6E" w:rsidR="00664D9B" w:rsidRPr="00C126BD" w:rsidRDefault="00664D9B" w:rsidP="00C126BD">
            <w:pPr>
              <w:rPr>
                <w:rFonts w:ascii="Calibri" w:eastAsia="Times New Roman" w:hAnsi="Calibri" w:cs="Calibri"/>
                <w:color w:val="000000"/>
                <w:sz w:val="16"/>
                <w:szCs w:val="16"/>
              </w:rPr>
            </w:pPr>
            <w:r w:rsidRPr="009728FA">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40A14A66" w14:textId="7777777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8C5159B" w14:textId="58A1575C"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0.88</w:t>
            </w:r>
          </w:p>
        </w:tc>
        <w:tc>
          <w:tcPr>
            <w:tcW w:w="990" w:type="dxa"/>
            <w:tcBorders>
              <w:top w:val="single" w:sz="4" w:space="0" w:color="auto"/>
              <w:left w:val="single" w:sz="4" w:space="0" w:color="auto"/>
              <w:bottom w:val="single" w:sz="4" w:space="0" w:color="auto"/>
              <w:right w:val="single" w:sz="4" w:space="0" w:color="auto"/>
            </w:tcBorders>
            <w:noWrap/>
            <w:hideMark/>
          </w:tcPr>
          <w:p w14:paraId="1BDAC6F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630" w:type="dxa"/>
            <w:tcBorders>
              <w:top w:val="single" w:sz="4" w:space="0" w:color="auto"/>
              <w:left w:val="single" w:sz="4" w:space="0" w:color="auto"/>
              <w:bottom w:val="single" w:sz="4" w:space="0" w:color="auto"/>
              <w:right w:val="single" w:sz="4" w:space="0" w:color="auto"/>
            </w:tcBorders>
            <w:noWrap/>
            <w:hideMark/>
          </w:tcPr>
          <w:p w14:paraId="331065B3"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71A47B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38</w:t>
            </w:r>
          </w:p>
        </w:tc>
        <w:tc>
          <w:tcPr>
            <w:tcW w:w="900" w:type="dxa"/>
            <w:tcBorders>
              <w:top w:val="single" w:sz="4" w:space="0" w:color="auto"/>
              <w:left w:val="single" w:sz="4" w:space="0" w:color="auto"/>
              <w:bottom w:val="single" w:sz="4" w:space="0" w:color="auto"/>
              <w:right w:val="single" w:sz="4" w:space="0" w:color="auto"/>
            </w:tcBorders>
            <w:noWrap/>
            <w:hideMark/>
          </w:tcPr>
          <w:p w14:paraId="663D0599"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0CB68B"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8C3C4EB"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9663DB7" w14:textId="77777777" w:rsidR="00664D9B" w:rsidRPr="00C126BD" w:rsidRDefault="00664D9B" w:rsidP="00664D9B">
            <w:pPr>
              <w:rPr>
                <w:rFonts w:ascii="Calibri" w:hAnsi="Calibri" w:cs="Calibri"/>
                <w:sz w:val="16"/>
                <w:szCs w:val="16"/>
              </w:rPr>
            </w:pPr>
          </w:p>
        </w:tc>
      </w:tr>
      <w:tr w:rsidR="00664D9B" w:rsidRPr="00C73DE7" w14:paraId="0443449E" w14:textId="77777777" w:rsidTr="00C126BD">
        <w:trPr>
          <w:trHeight w:val="467"/>
        </w:trPr>
        <w:tc>
          <w:tcPr>
            <w:tcW w:w="3060" w:type="dxa"/>
            <w:tcBorders>
              <w:top w:val="single" w:sz="4" w:space="0" w:color="auto"/>
              <w:left w:val="single" w:sz="4" w:space="0" w:color="auto"/>
              <w:bottom w:val="single" w:sz="4" w:space="0" w:color="auto"/>
              <w:right w:val="single" w:sz="4" w:space="0" w:color="auto"/>
            </w:tcBorders>
            <w:noWrap/>
            <w:hideMark/>
          </w:tcPr>
          <w:p w14:paraId="36026535" w14:textId="6BE10352"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{"citationItems":[{"id":"ITEM-1","itemData":{"DOI":"10.1016/j.jad.2020.01.118","ISBN":"1573-2517 (Electronic)\r0165-0327 (Linking)","ISSN":"15732517","PMID":"32090773","author":[{"dropping-particle":"","family":"Kambeitz","given":"Joseph","non-dropping-particle":"","parse-names":false,"suffix":""},{"dropping-particle":"","family":"Goerigk","given":"Stephan","non-dropping-particle":"","parse-names":false,"suffix":""},{"dropping-particle":"","family":"Gattaz","given":"Wagner","non-dropping-particle":"","parse-names":false,"suffix":""},{"dropping-particle":"","family":"Falkai","given":"Peter","non-dropping-particle":"","parse-names":false,"suffix":""},{"dropping-particle":"","family":"Benseñor","given":"Isabela M.","non-dropping-particle":"","parse-names":false,"suffix":""},{"dropping-particle":"","family":"Lotufo","given":"Paulo A.","non-dropping-particle":"","parse-names":false,"suffix":""},{"dropping-particle":"","family":"Bühner","given":"Markus","non-dropping-particle":"","parse-names":false,"suffix":""},{"dropping-particle":"","family":"Koutsouleris","given":"Nikolaos","non-dropping-particle":"","parse-names":false,"suffix":""},{"dropping-particle":"","family":"Padberg","given":"Frank","non-dropping-particle":"","parse-names":false,"suffix":""},{"dropping-particle":"","family":"Brunoni","given":"Andre R.","non-dropping-particle":"","parse-names":false,"suffix":""}],"container-title":"Journal of Affective Disorders","edition":"2020/02/25","id":"ITEM-1","issued":{"date-parts":[["2020"]]},"note":"Kambeitz, Joseph\nGoerigk, Stephan\nGattaz, Wagner\nFalkai, Peter\nBensenor, Isabela M\nLotufo, Paulo A\nBuhner, Markus\nKoutsouleris, Nikolaos\nPadberg, Frank\nBrunoni, Andre R\neng\nNetherlands\nJ Affect Disord. 2020 Mar 15;265:460-467. doi: 10.1016/j.jad.2020.01.118. Epub 2020 Jan 22.","page":"460-467","title":"Clinical patterns differentially predict response to transcranial direct current stimulation (tDCS) and escitalopram in major depression: A machine learning analysis of the ELECT-TDCS study","type":"article-journal","volume":"265"},"uris":["http://www.mendeley.com/documents/?uuid=0e2f6eb2-b7ba-4863-9a91-aed629843b27"]}],"mendeley":{"formattedCitation":"(Kambeitz et al., 2020)","plainTextFormattedCitation":"(Kambeitz et al., 2020)","previouslyFormattedCitation":"(Kambeitz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(Kambeitz et al., 2020)</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14F17162"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 to anti-depressant</w:t>
            </w:r>
          </w:p>
        </w:tc>
        <w:tc>
          <w:tcPr>
            <w:tcW w:w="1440" w:type="dxa"/>
            <w:tcBorders>
              <w:top w:val="single" w:sz="4" w:space="0" w:color="auto"/>
              <w:left w:val="single" w:sz="4" w:space="0" w:color="auto"/>
              <w:bottom w:val="single" w:sz="4" w:space="0" w:color="auto"/>
              <w:right w:val="single" w:sz="4" w:space="0" w:color="auto"/>
            </w:tcBorders>
          </w:tcPr>
          <w:p w14:paraId="50914D89" w14:textId="20091739" w:rsidR="00664D9B" w:rsidRPr="00C126BD" w:rsidRDefault="004D3780">
            <w:pPr>
              <w:rPr>
                <w:rFonts w:ascii="Calibri" w:eastAsia="Times New Roman" w:hAnsi="Calibri" w:cs="Calibri"/>
                <w:color w:val="000000"/>
                <w:sz w:val="16"/>
                <w:szCs w:val="16"/>
              </w:rPr>
            </w:pPr>
            <w:r w:rsidRPr="00C126BD">
              <w:rPr>
                <w:rFonts w:ascii="Calibri" w:eastAsia="CharisSIL" w:hAnsi="Calibri" w:cs="Calibri"/>
                <w:sz w:val="16"/>
                <w:szCs w:val="16"/>
              </w:rPr>
              <w:t>HDRS-17</w:t>
            </w:r>
          </w:p>
        </w:tc>
        <w:tc>
          <w:tcPr>
            <w:tcW w:w="990" w:type="dxa"/>
            <w:tcBorders>
              <w:top w:val="single" w:sz="4" w:space="0" w:color="auto"/>
              <w:left w:val="single" w:sz="4" w:space="0" w:color="auto"/>
              <w:bottom w:val="single" w:sz="4" w:space="0" w:color="auto"/>
              <w:right w:val="single" w:sz="4" w:space="0" w:color="auto"/>
            </w:tcBorders>
          </w:tcPr>
          <w:p w14:paraId="2AF1E8C5" w14:textId="58D00EE1" w:rsidR="00664D9B" w:rsidRPr="00C126BD" w:rsidRDefault="004978C1">
            <w:pPr>
              <w:rPr>
                <w:rFonts w:ascii="Calibri" w:eastAsia="Times New Roman" w:hAnsi="Calibri" w:cs="Calibri"/>
                <w:color w:val="000000"/>
                <w:sz w:val="16"/>
                <w:szCs w:val="16"/>
              </w:rPr>
            </w:pPr>
            <w:r>
              <w:rPr>
                <w:rFonts w:ascii="Calibri" w:eastAsia="Times New Roman" w:hAnsi="Calibri" w:cs="Calibri"/>
                <w:color w:val="000000"/>
                <w:sz w:val="16"/>
                <w:szCs w:val="16"/>
              </w:rPr>
              <w:t>10</w:t>
            </w:r>
            <w:r w:rsidR="00664D9B" w:rsidRPr="009728FA">
              <w:rPr>
                <w:rFonts w:ascii="Calibri" w:eastAsia="Times New Roman" w:hAnsi="Calibri" w:cs="Calibri"/>
                <w:color w:val="000000"/>
                <w:sz w:val="16"/>
                <w:szCs w:val="16"/>
              </w:rPr>
              <w:t xml:space="preserve"> weeks</w:t>
            </w:r>
          </w:p>
        </w:tc>
        <w:tc>
          <w:tcPr>
            <w:tcW w:w="900" w:type="dxa"/>
            <w:tcBorders>
              <w:top w:val="single" w:sz="4" w:space="0" w:color="auto"/>
              <w:left w:val="single" w:sz="4" w:space="0" w:color="auto"/>
              <w:bottom w:val="single" w:sz="4" w:space="0" w:color="auto"/>
              <w:right w:val="single" w:sz="4" w:space="0" w:color="auto"/>
            </w:tcBorders>
            <w:noWrap/>
            <w:hideMark/>
          </w:tcPr>
          <w:p w14:paraId="0D9768E3" w14:textId="06B00D11"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049F8D5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0.49</w:t>
            </w:r>
          </w:p>
        </w:tc>
        <w:tc>
          <w:tcPr>
            <w:tcW w:w="630" w:type="dxa"/>
            <w:tcBorders>
              <w:top w:val="single" w:sz="4" w:space="0" w:color="auto"/>
              <w:left w:val="single" w:sz="4" w:space="0" w:color="auto"/>
              <w:bottom w:val="single" w:sz="4" w:space="0" w:color="auto"/>
              <w:right w:val="single" w:sz="4" w:space="0" w:color="auto"/>
            </w:tcBorders>
            <w:noWrap/>
            <w:hideMark/>
          </w:tcPr>
          <w:p w14:paraId="77FE9B12"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D8FF88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94</w:t>
            </w:r>
          </w:p>
        </w:tc>
        <w:tc>
          <w:tcPr>
            <w:tcW w:w="900" w:type="dxa"/>
            <w:tcBorders>
              <w:top w:val="single" w:sz="4" w:space="0" w:color="auto"/>
              <w:left w:val="single" w:sz="4" w:space="0" w:color="auto"/>
              <w:bottom w:val="single" w:sz="4" w:space="0" w:color="auto"/>
              <w:right w:val="single" w:sz="4" w:space="0" w:color="auto"/>
            </w:tcBorders>
            <w:noWrap/>
            <w:hideMark/>
          </w:tcPr>
          <w:p w14:paraId="173E179B"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41C5094"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D4C0B3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9581C52" w14:textId="77777777" w:rsidR="00664D9B" w:rsidRPr="00C126BD" w:rsidRDefault="00664D9B" w:rsidP="00664D9B">
            <w:pPr>
              <w:rPr>
                <w:rFonts w:ascii="Calibri" w:hAnsi="Calibri" w:cs="Calibri"/>
                <w:sz w:val="16"/>
                <w:szCs w:val="16"/>
              </w:rPr>
            </w:pPr>
          </w:p>
        </w:tc>
      </w:tr>
      <w:tr w:rsidR="00664D9B" w:rsidRPr="00C73DE7" w14:paraId="17DBC6FC" w14:textId="77777777" w:rsidTr="00C126BD">
        <w:trPr>
          <w:trHeight w:val="172"/>
        </w:trPr>
        <w:tc>
          <w:tcPr>
            <w:tcW w:w="3060" w:type="dxa"/>
            <w:tcBorders>
              <w:top w:val="single" w:sz="4" w:space="0" w:color="auto"/>
              <w:left w:val="single" w:sz="4" w:space="0" w:color="auto"/>
              <w:bottom w:val="single" w:sz="4" w:space="0" w:color="auto"/>
              <w:right w:val="single" w:sz="4" w:space="0" w:color="auto"/>
            </w:tcBorders>
            <w:noWrap/>
            <w:hideMark/>
          </w:tcPr>
          <w:p w14:paraId="23AC182C" w14:textId="43C8369E"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{"citationItems":[{"id":"ITEM-1","itemData":{"DOI":"10.1016/j.jad.2020.01.118","ISBN":"1573-2517 (Electronic)\r0165-0327 (Linking)","ISSN":"15732517","PMID":"32090773","author":[{"dropping-particle":"","family":"Kambeitz","given":"Joseph","non-dropping-particle":"","parse-names":false,"suffix":""},{"dropping-particle":"","family":"Goerigk","given":"Stephan","non-dropping-particle":"","parse-names":false,"suffix":""},{"dropping-particle":"","family":"Gattaz","given":"Wagner","non-dropping-particle":"","parse-names":false,"suffix":""},{"dropping-particle":"","family":"Falkai","given":"Peter","non-dropping-particle":"","parse-names":false,"suffix":""},{"dropping-particle":"","family":"Benseñor","given":"Isabela M.","non-dropping-particle":"","parse-names":false,"suffix":""},{"dropping-particle":"","family":"Lotufo","given":"Paulo A.","non-dropping-particle":"","parse-names":false,"suffix":""},{"dropping-particle":"","family":"Bühner","given":"Markus","non-dropping-particle":"","parse-names":false,"suffix":""},{"dropping-particle":"","family":"Koutsouleris","given":"Nikolaos","non-dropping-particle":"","parse-names":false,"suffix":""},{"dropping-particle":"","family":"Padberg","given":"Frank","non-dropping-particle":"","parse-names":false,"suffix":""},{"dropping-particle":"","family":"Brunoni","given":"Andre R.","non-dropping-particle":"","parse-names":false,"suffix":""}],"container-title":"Journal of Affective Disorders","edition":"2020/02/25","id":"ITEM-1","issued":{"date-parts":[["2020"]]},"note":"Kambeitz, Joseph\nGoerigk, Stephan\nGattaz, Wagner\nFalkai, Peter\nBensenor, Isabela M\nLotufo, Paulo A\nBuhner, Markus\nKoutsouleris, Nikolaos\nPadberg, Frank\nBrunoni, Andre R\neng\nNetherlands\nJ Affect Disord. 2020 Mar 15;265:460-467. doi: 10.1016/j.jad.2020.01.118. Epub 2020 Jan 22.","page":"460-467","title":"Clinical patterns differentially predict response to transcranial direct current stimulation (tDCS) and escitalopram in major depression: A machine learning analysis of the ELECT-TDCS study","type":"article-journal","volume":"265"},"uris":["http://www.mendeley.com/documents/?uuid=0e2f6eb2-b7ba-4863-9a91-aed629843b27"]}],"mendeley":{"formattedCitation":"(Kambeitz et al., 2020)","plainTextFormattedCitation":"(Kambeitz et al., 2020)","previouslyFormattedCitation":"(Kambeitz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(Kambeitz et al., 2020)</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1C28215C"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 xml:space="preserve">Response to </w:t>
            </w:r>
            <w:proofErr w:type="spellStart"/>
            <w:r w:rsidRPr="00C126BD">
              <w:rPr>
                <w:rFonts w:ascii="Calibri" w:eastAsia="Times New Roman" w:hAnsi="Calibri" w:cs="Calibri"/>
                <w:color w:val="000000"/>
                <w:sz w:val="16"/>
                <w:szCs w:val="16"/>
              </w:rPr>
              <w:t>tDCS</w:t>
            </w:r>
            <w:proofErr w:type="spellEnd"/>
          </w:p>
        </w:tc>
        <w:tc>
          <w:tcPr>
            <w:tcW w:w="1440" w:type="dxa"/>
            <w:tcBorders>
              <w:top w:val="single" w:sz="4" w:space="0" w:color="auto"/>
              <w:left w:val="single" w:sz="4" w:space="0" w:color="auto"/>
              <w:bottom w:val="single" w:sz="4" w:space="0" w:color="auto"/>
              <w:right w:val="single" w:sz="4" w:space="0" w:color="auto"/>
            </w:tcBorders>
          </w:tcPr>
          <w:p w14:paraId="6639DD19" w14:textId="15A66513" w:rsidR="00664D9B" w:rsidRPr="00C126BD" w:rsidRDefault="004D3780">
            <w:pPr>
              <w:rPr>
                <w:rFonts w:ascii="Calibri" w:eastAsia="Times New Roman" w:hAnsi="Calibri" w:cs="Calibri"/>
                <w:color w:val="000000"/>
                <w:sz w:val="16"/>
                <w:szCs w:val="16"/>
              </w:rPr>
            </w:pPr>
            <w:r w:rsidRPr="00442B31">
              <w:rPr>
                <w:rFonts w:ascii="Calibri" w:eastAsia="CharisSIL" w:hAnsi="Calibri" w:cs="Calibri"/>
                <w:sz w:val="16"/>
                <w:szCs w:val="16"/>
              </w:rPr>
              <w:t>HDRS-17</w:t>
            </w:r>
          </w:p>
        </w:tc>
        <w:tc>
          <w:tcPr>
            <w:tcW w:w="990" w:type="dxa"/>
            <w:tcBorders>
              <w:top w:val="single" w:sz="4" w:space="0" w:color="auto"/>
              <w:left w:val="single" w:sz="4" w:space="0" w:color="auto"/>
              <w:bottom w:val="single" w:sz="4" w:space="0" w:color="auto"/>
              <w:right w:val="single" w:sz="4" w:space="0" w:color="auto"/>
            </w:tcBorders>
          </w:tcPr>
          <w:p w14:paraId="27AD622D" w14:textId="10F063B3" w:rsidR="00664D9B" w:rsidRPr="00C126BD" w:rsidRDefault="004D3780">
            <w:pPr>
              <w:rPr>
                <w:rFonts w:ascii="Calibri" w:eastAsia="Times New Roman" w:hAnsi="Calibri" w:cs="Calibri"/>
                <w:color w:val="000000"/>
                <w:sz w:val="16"/>
                <w:szCs w:val="16"/>
              </w:rPr>
            </w:pPr>
            <w:r>
              <w:rPr>
                <w:rFonts w:ascii="Calibri" w:eastAsia="Times New Roman" w:hAnsi="Calibri" w:cs="Calibri"/>
                <w:color w:val="000000"/>
                <w:sz w:val="16"/>
                <w:szCs w:val="16"/>
              </w:rPr>
              <w:t>10</w:t>
            </w:r>
            <w:r w:rsidR="00253F56">
              <w:rPr>
                <w:rFonts w:ascii="Calibri" w:eastAsia="Times New Roman" w:hAnsi="Calibri" w:cs="Calibri"/>
                <w:color w:val="000000"/>
                <w:sz w:val="16"/>
                <w:szCs w:val="16"/>
              </w:rPr>
              <w:t xml:space="preserve"> weeks</w:t>
            </w:r>
          </w:p>
        </w:tc>
        <w:tc>
          <w:tcPr>
            <w:tcW w:w="900" w:type="dxa"/>
            <w:tcBorders>
              <w:top w:val="single" w:sz="4" w:space="0" w:color="auto"/>
              <w:left w:val="single" w:sz="4" w:space="0" w:color="auto"/>
              <w:bottom w:val="single" w:sz="4" w:space="0" w:color="auto"/>
              <w:right w:val="single" w:sz="4" w:space="0" w:color="auto"/>
            </w:tcBorders>
            <w:noWrap/>
            <w:hideMark/>
          </w:tcPr>
          <w:p w14:paraId="4A9483F0" w14:textId="1D7B8BC2"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3E966CE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0.55</w:t>
            </w:r>
          </w:p>
        </w:tc>
        <w:tc>
          <w:tcPr>
            <w:tcW w:w="630" w:type="dxa"/>
            <w:tcBorders>
              <w:top w:val="single" w:sz="4" w:space="0" w:color="auto"/>
              <w:left w:val="single" w:sz="4" w:space="0" w:color="auto"/>
              <w:bottom w:val="single" w:sz="4" w:space="0" w:color="auto"/>
              <w:right w:val="single" w:sz="4" w:space="0" w:color="auto"/>
            </w:tcBorders>
            <w:noWrap/>
            <w:hideMark/>
          </w:tcPr>
          <w:p w14:paraId="2BDC7DC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4D3484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94</w:t>
            </w:r>
          </w:p>
        </w:tc>
        <w:tc>
          <w:tcPr>
            <w:tcW w:w="900" w:type="dxa"/>
            <w:tcBorders>
              <w:top w:val="single" w:sz="4" w:space="0" w:color="auto"/>
              <w:left w:val="single" w:sz="4" w:space="0" w:color="auto"/>
              <w:bottom w:val="single" w:sz="4" w:space="0" w:color="auto"/>
              <w:right w:val="single" w:sz="4" w:space="0" w:color="auto"/>
            </w:tcBorders>
            <w:noWrap/>
            <w:hideMark/>
          </w:tcPr>
          <w:p w14:paraId="788818E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830BC66"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0B86468"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5CF0AAF8" w14:textId="77777777" w:rsidR="00664D9B" w:rsidRPr="00C126BD" w:rsidRDefault="00664D9B" w:rsidP="00664D9B">
            <w:pPr>
              <w:rPr>
                <w:rFonts w:ascii="Calibri" w:hAnsi="Calibri" w:cs="Calibri"/>
                <w:sz w:val="16"/>
                <w:szCs w:val="16"/>
              </w:rPr>
            </w:pPr>
          </w:p>
        </w:tc>
      </w:tr>
      <w:tr w:rsidR="00664D9B" w:rsidRPr="00C73DE7" w14:paraId="40AC835F"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656D71AF" w14:textId="3BE63D5C"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{"citationItems":[{"id":"ITEM-1","itemData":{"DOI":"10.1016/j.nicl.2018.06.006","ISBN":"2213-1582 (Electronic)\r2213-1582 (Linking)","ISSN":"22131582","PMID":"30013927","abstract":"Pharmacological treatment of major depressive disorder (MDD) typically involves a lengthy trial and error process to identify an effective intervention. This lengthy period prolongs suffering and worsens all-cause mortality, including from suicide, and is typically longer in late-life depression (LLD). Our group has recently demonstrated that during an open-label venlafaxine (serotonin-norepinephrine reuptake inhibitor) trial, significant changes in functional resting state connectivity occurred following a single dose of treatment, which persisted until the end of the trial. In this work, we propose an analysis framework to translate these perturbations in functional networks into predictors of clinical remission. Participants with LLD (N = 49) completed 12-weeks of treatment with venlafaxine and underwent functional magnetic resonance imaging (fMRI) at baseline and a day following a single dose of venlafaxine. Data was collected at rest as well as during an emotion reactivity task and an emotion regulation task. Remission was defined as a Montgomery-Asberg Depression Rating Scale (MADRS) ≤10 for two weeks. We computed eigenvector centrality (whole brain connectivity) and activation during the emotion regulation and emotion reactivity tasks. We employed principal components analysis, Tikhonov-regularized logistic classification, and least angle regression feature selection to predict remission by the end of the 12-week trial. We utilized ten-fold cross-validation and Receiver Operator Curves (ROC) curve analysis. To determine task-region pairs that significantly contributed to the algorithm's ability to predict remission, we used permutation testing. Using the fMRI data at both baseline and after the first dose of treatment yielded a sensitivity of 72% and a specificity of 68% (AUC = 0.77), a 15% increase in accuracy over baseline MADRS. In general, the accuracy at baseline was further improved by using the change in activation following a single dose. Activation of the frontal cortex, hippocampus, parahippocampus, caudate, thalamus, medial temporal cortex, middle cingulate, and visual cortex predicted treatment remission. Acute, dynamic trajectories of functional imaging metrics in response to a pharmacological intervention are a valuable tool for predicting treatment response in late-life depression and elucidating the mechanism of pharmacological therapies in the context of the brain's functional architecture.","author":[{"dropping-particle":"","family":"Karim","given":"Helmet T.","non-dropping-particle":"","parse-names":false,"suffix":""},{"dropping-particle":"","family":"Wang","given":"Maxwell","non-dropping-particle":"","parse-names":false,"suffix":""},{"dropping-particle":"","family":"Andreescu","given":"Carmen","non-dropping-particle":"","parse-names":false,"suffix":""},{"dropping-particle":"","family":"Tudorascu","given":"Dana","non-dropping-particle":"","parse-names":false,"suffix":""},{"dropping-particle":"","family":"Butters","given":"Meryl A.","non-dropping-particle":"","parse-names":false,"suffix":""},{"dropping-particle":"","family":"Karp","given":"Jordan F.","non-dropping-particle":"","parse-names":false,"suffix":""},{"dropping-particle":"","family":"Reynolds","given":"Charles F.","non-dropping-particle":"","parse-names":false,"suffix":""},{"dropping-particle":"","family":"Aizenstein","given":"Howard J.","non-dropping-particle":"","parse-names":false,"suffix":""}],"container-title":"NeuroImage: Clinical","edition":"2018/07/18","id":"ITEM-1","issued":{"date-parts":[["2018"]]},"note":"Karim, Helmet T\nWang, Maxwell\nAndreescu, Carmen\nTudorascu, Dana\nButters, Meryl A\nKarp, Jordan F\nReynolds, Charles F 3rd\nAizenstein, Howard J\neng\nP30 MH090333/MH/NIMH NIH HHS/\nR01 MH083660/MH/NIMH NIH HHS/\nT32 MH019986/MH/NIMH NIH HHS/\nK23 MH086686/MH/NIMH NIH HHS/\nR01 AG033575/AG/NIA NIH HHS/\nR01 MH108509/MH/NIMH NIH HHS/\nP50 AG005133/AG/NIA NIH HHS/\nR01 MH076079/MH/NIMH NIH HHS/\nResearch Support, N.I.H., Extramural\nNetherlands\nNeuroimage Clin. 2018 Jun 8;19:831-839. doi: 10.1016/j.nicl.2018.06.006. eCollection 2018.","page":"831-839","title":"Acute trajectories of neural activation predict remission to pharmacotherapy in late-life depression","type":"article-journal","volume":"19"},"uris":["http://www.mendeley.com/documents/?uuid=a289f34e-71ff-4de6-9774-c5d231456a3a"]}],"mendeley":{"formattedCitation":"(Karim et al., 2018)","plainTextFormattedCitation":"(Karim et al., 2018)","previouslyFormattedCitation":"(Karim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(Karim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32AF32FF"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4AFC2BBE" w14:textId="191ECD72" w:rsidR="00664D9B" w:rsidRPr="00C126BD" w:rsidRDefault="00664D9B">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1E1925D0" w14:textId="39B32280" w:rsidR="00664D9B" w:rsidRPr="00C126BD" w:rsidRDefault="00664D9B">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0644341C" w14:textId="419C23E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018FD6F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630" w:type="dxa"/>
            <w:tcBorders>
              <w:top w:val="single" w:sz="4" w:space="0" w:color="auto"/>
              <w:left w:val="single" w:sz="4" w:space="0" w:color="auto"/>
              <w:bottom w:val="single" w:sz="4" w:space="0" w:color="auto"/>
              <w:right w:val="single" w:sz="4" w:space="0" w:color="auto"/>
            </w:tcBorders>
            <w:noWrap/>
            <w:hideMark/>
          </w:tcPr>
          <w:p w14:paraId="06375FF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900" w:type="dxa"/>
            <w:tcBorders>
              <w:top w:val="single" w:sz="4" w:space="0" w:color="auto"/>
              <w:left w:val="single" w:sz="4" w:space="0" w:color="auto"/>
              <w:bottom w:val="single" w:sz="4" w:space="0" w:color="auto"/>
              <w:right w:val="single" w:sz="4" w:space="0" w:color="auto"/>
            </w:tcBorders>
            <w:noWrap/>
            <w:hideMark/>
          </w:tcPr>
          <w:p w14:paraId="15690EC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49</w:t>
            </w:r>
          </w:p>
        </w:tc>
        <w:tc>
          <w:tcPr>
            <w:tcW w:w="900" w:type="dxa"/>
            <w:tcBorders>
              <w:top w:val="single" w:sz="4" w:space="0" w:color="auto"/>
              <w:left w:val="single" w:sz="4" w:space="0" w:color="auto"/>
              <w:bottom w:val="single" w:sz="4" w:space="0" w:color="auto"/>
              <w:right w:val="single" w:sz="4" w:space="0" w:color="auto"/>
            </w:tcBorders>
            <w:noWrap/>
            <w:hideMark/>
          </w:tcPr>
          <w:p w14:paraId="7A67AB6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628871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BD256A5"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F52A5BA" w14:textId="77777777" w:rsidR="00664D9B" w:rsidRPr="00C126BD" w:rsidRDefault="00664D9B" w:rsidP="00664D9B">
            <w:pPr>
              <w:rPr>
                <w:rFonts w:ascii="Calibri" w:hAnsi="Calibri" w:cs="Calibri"/>
                <w:sz w:val="16"/>
                <w:szCs w:val="16"/>
              </w:rPr>
            </w:pPr>
          </w:p>
        </w:tc>
      </w:tr>
      <w:tr w:rsidR="00664D9B" w:rsidRPr="00C73DE7" w14:paraId="35D0416F"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538B332" w14:textId="18C9ABE2"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{"citationItems":[{"id":"ITEM-1","itemData":{"DOI":"10.4088/JCP.15m10381","ISBN":"0160-6689","ISSN":"01606689","PMID":"28068461","abstract":"Objective: Despite a broad arsenal of antidepressants, about a third of patients suffering from major depressive disorder (MDD) do not respond sufficiently to adequate treatment. Using the data pool of the Group for the Study of Resistant Depression and machine learning, we intended to draw new insights featuring 48 clinical, sociodemographic, and psychosocial predictors for treatment outcome. Method: Patients were enrolled starting from January 2000 and diagnosed according to DSM-IV. Treatment-resistant depression (TRD) was defined by a 17-item Hamilton Depression Rating Scale (HDRS) score ≥17 after at least 2 antidepressant trials of adequate dosage and length. Remission was defined by an HDRS score &lt; 8. Stepwise predictor reduction using randomForest was performed to find the optimal number for classification of treatment outcome. After importance values were generated, prediction for remission and resistance was performed in a training sample of 400 patients. For prediction, we used a set of 80 patients not featured in the training sample and computed receiver operating characteristics. Results: The most useful predictors for treatment outcome were the timespan between first and last depressive episode, age at first antidepressant treatment, response to first antidepressant treatment, severity, suicidality, melancholia, number of lifetime depressive episodes, patients' admittance type, education, occupation, and comorbid diabetes, panic, and thyroid disorder. While single predictors could not reach a prediction accuracy much different from random guessing, by combining all predictors, we could detect resistance with an accuracy of 0.737 and remission with an accuracy of 0.850. Consequently, 65.5% of predictions for TRD and 77.7% for remission can be expected to be accurate. Conclusions: Using machine learning algorithms, we could demonstrate success rates of 0.737 for predicting TRD and 0.850 for predicting remission, surpassing predictive capabilities of clinicians. Our results strengthen data mining and suggest the benefit of focus on interaction-based statistics. Considering that all predictors can easily be obtained in a clinical setting, we hope that our model can be tested by other research groups.","author":[{"dropping-particle":"","family":"Kautzky","given":"Alexander","non-dropping-particle":"","parse-names":false,"suffix":""},{"dropping-particle":"","family":"Baldinger-Melich","given":"Pia","non-dropping-particle":"","parse-names":false,"suffix":""},{"dropping-particle":"","family":"Kranz","given":"Georg S.","non-dropping-particle":"","parse-names":false,"suffix":""},{"dropping-particle":"","family":"Vanicek","given":"Thomas","non-dropping-particle":"","parse-names":false,"suffix":""},{"dropping-particle":"","family":"Souery","given":"Daniel","non-dropping-particle":"","parse-names":false,"suffix":""},{"dropping-particle":"","family":"Montgomery","given":"Stuart","non-dropping-particle":"","parse-names":false,"suffix":""},{"dropping-particle":"","family":"Mendlewicz","given":"Julien","non-dropping-particle":"","parse-names":false,"suffix":""},{"dropping-particle":"","family":"Zohar","given":"Joseph","non-dropping-particle":"","parse-names":false,"suffix":""},{"dropping-particle":"","family":"Serretti","given":"Alessandro","non-dropping-particle":"","parse-names":false,"suffix":""},{"dropping-particle":"","family":"Lanzenberger","given":"Rupert","non-dropping-particle":"","parse-names":false,"suffix":""},{"dropping-particle":"","family":"Kasper","given":"Siegfried","non-dropping-particle":"","parse-names":false,"suffix":""}],"container-title":"Journal of Clinical Psychiatry","edition":"2017/01/10","id":"ITEM-1","issue":"2","issued":{"date-parts":[["2017"]]},"language":"eng","note":"1555-2101\nKautzky, Alexander\nBaldinger-Melich, Pia\nKranz, Georg S\nVanicek, Thomas\nSouery, Daniel\nMontgomery, Stuart\nMendlewicz, Julien\nZohar, Joseph\nSerretti, Alessandro\nLanzenberger, Rupert\nKasper, Siegfried\nJournal Article\nUnited States\nJ Clin Psychiatry. 2017 Feb;78(2):215-222. doi: 10.4088/JCP.15m10381.","page":"215-222","title":"A new prediction model for evaluating treatment-resistant depression","type":"article-journal","volume":"78"},"uris":["http://www.mendeley.com/documents/?uuid=2c7d9004-16d5-4839-9154-8f51adfc8176"]}],"mendeley":{"formattedCitation":"(Alexander Kautzky et al., 2017)","plainTextFormattedCitation":"(Alexander Kautzky et al., 2017)","previouslyFormattedCitation":"(Alexander Kautzky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(Alexander Kautzky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B3F5D47"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3DB1AA98" w14:textId="2BA15803" w:rsidR="00664D9B" w:rsidRPr="00C126BD" w:rsidRDefault="00664D9B" w:rsidP="00C126BD">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4D0FDFCF" w14:textId="7777777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8EA5E03" w14:textId="45CC6372"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0.65</w:t>
            </w:r>
          </w:p>
        </w:tc>
        <w:tc>
          <w:tcPr>
            <w:tcW w:w="990" w:type="dxa"/>
            <w:tcBorders>
              <w:top w:val="single" w:sz="4" w:space="0" w:color="auto"/>
              <w:left w:val="single" w:sz="4" w:space="0" w:color="auto"/>
              <w:bottom w:val="single" w:sz="4" w:space="0" w:color="auto"/>
              <w:right w:val="single" w:sz="4" w:space="0" w:color="auto"/>
            </w:tcBorders>
            <w:noWrap/>
            <w:hideMark/>
          </w:tcPr>
          <w:p w14:paraId="42255E2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0.63</w:t>
            </w:r>
          </w:p>
        </w:tc>
        <w:tc>
          <w:tcPr>
            <w:tcW w:w="630" w:type="dxa"/>
            <w:tcBorders>
              <w:top w:val="single" w:sz="4" w:space="0" w:color="auto"/>
              <w:left w:val="single" w:sz="4" w:space="0" w:color="auto"/>
              <w:bottom w:val="single" w:sz="4" w:space="0" w:color="auto"/>
              <w:right w:val="single" w:sz="4" w:space="0" w:color="auto"/>
            </w:tcBorders>
            <w:noWrap/>
            <w:hideMark/>
          </w:tcPr>
          <w:p w14:paraId="2E9AA9F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E76EC0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480</w:t>
            </w:r>
          </w:p>
        </w:tc>
        <w:tc>
          <w:tcPr>
            <w:tcW w:w="900" w:type="dxa"/>
            <w:tcBorders>
              <w:top w:val="single" w:sz="4" w:space="0" w:color="auto"/>
              <w:left w:val="single" w:sz="4" w:space="0" w:color="auto"/>
              <w:bottom w:val="single" w:sz="4" w:space="0" w:color="auto"/>
              <w:right w:val="single" w:sz="4" w:space="0" w:color="auto"/>
            </w:tcBorders>
            <w:noWrap/>
            <w:hideMark/>
          </w:tcPr>
          <w:p w14:paraId="3349A21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ADBDBDE"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4F8E9E20"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2D552098" w14:textId="77777777" w:rsidR="00664D9B" w:rsidRPr="00C126BD" w:rsidRDefault="00664D9B" w:rsidP="00664D9B">
            <w:pPr>
              <w:jc w:val="center"/>
              <w:rPr>
                <w:rFonts w:ascii="Calibri" w:eastAsia="Times New Roman" w:hAnsi="Calibri" w:cs="Calibri"/>
                <w:color w:val="000000"/>
                <w:sz w:val="16"/>
                <w:szCs w:val="16"/>
              </w:rPr>
            </w:pPr>
          </w:p>
        </w:tc>
      </w:tr>
      <w:tr w:rsidR="00664D9B" w:rsidRPr="00C73DE7" w14:paraId="3E193E1B"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16B0D7A" w14:textId="1E7DC756"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{"citationItems":[{"id":"ITEM-1","itemData":{"DOI":"10.4088/JCP.15m10381","ISBN":"0160-6689","ISSN":"01606689","PMID":"28068461","abstract":"Objective: Despite a broad arsenal of antidepressants, about a third of patients suffering from major depressive disorder (MDD) do not respond sufficiently to adequate treatment. Using the data pool of the Group for the Study of Resistant Depression and machine learning, we intended to draw new insights featuring 48 clinical, sociodemographic, and psychosocial predictors for treatment outcome. Method: Patients were enrolled starting from January 2000 and diagnosed according to DSM-IV. Treatment-resistant depression (TRD) was defined by a 17-item Hamilton Depression Rating Scale (HDRS) score ≥17 after at least 2 antidepressant trials of adequate dosage and length. Remission was defined by an HDRS score &lt; 8. Stepwise predictor reduction using randomForest was performed to find the optimal number for classification of treatment outcome. After importance values were generated, prediction for remission and resistance was performed in a training sample of 400 patients. For prediction, we used a set of 80 patients not featured in the training sample and computed receiver operating characteristics. Results: The most useful predictors for treatment outcome were the timespan between first and last depressive episode, age at first antidepressant treatment, response to first antidepressant treatment, severity, suicidality, melancholia, number of lifetime depressive episodes, patients' admittance type, education, occupation, and comorbid diabetes, panic, and thyroid disorder. While single predictors could not reach a prediction accuracy much different from random guessing, by combining all predictors, we could detect resistance with an accuracy of 0.737 and remission with an accuracy of 0.850. Consequently, 65.5% of predictions for TRD and 77.7% for remission can be expected to be accurate. Conclusions: Using machine learning algorithms, we could demonstrate success rates of 0.737 for predicting TRD and 0.850 for predicting remission, surpassing predictive capabilities of clinicians. Our results strengthen data mining and suggest the benefit of focus on interaction-based statistics. Considering that all predictors can easily be obtained in a clinical setting, we hope that our model can be tested by other research groups.","author":[{"dropping-particle":"","family":"Kautzky","given":"Alexander","non-dropping-particle":"","parse-names":false,"suffix":""},{"dropping-particle":"","family":"Baldinger-Melich","given":"Pia","non-dropping-particle":"","parse-names":false,"suffix":""},{"dropping-particle":"","family":"Kranz","given":"Georg S.","non-dropping-particle":"","parse-names":false,"suffix":""},{"dropping-particle":"","family":"Vanicek","given":"Thomas","non-dropping-particle":"","parse-names":false,"suffix":""},{"dropping-particle":"","family":"Souery","given":"Daniel","non-dropping-particle":"","parse-names":false,"suffix":""},{"dropping-particle":"","family":"Montgomery","given":"Stuart","non-dropping-particle":"","parse-names":false,"suffix":""},{"dropping-particle":"","family":"Mendlewicz","given":"Julien","non-dropping-particle":"","parse-names":false,"suffix":""},{"dropping-particle":"","family":"Zohar","given":"Joseph","non-dropping-particle":"","parse-names":false,"suffix":""},{"dropping-particle":"","family":"Serretti","given":"Alessandro","non-dropping-particle":"","parse-names":false,"suffix":""},{"dropping-particle":"","family":"Lanzenberger","given":"Rupert","non-dropping-particle":"","parse-names":false,"suffix":""},{"dropping-particle":"","family":"Kasper","given":"Siegfried","non-dropping-particle":"","parse-names":false,"suffix":""}],"container-title":"Journal of Clinical Psychiatry","edition":"2017/01/10","id":"ITEM-1","issue":"2","issued":{"date-parts":[["2017"]]},"language":"eng","note":"1555-2101\nKautzky, Alexander\nBaldinger-Melich, Pia\nKranz, Georg S\nVanicek, Thomas\nSouery, Daniel\nMontgomery, Stuart\nMendlewicz, Julien\nZohar, Joseph\nSerretti, Alessandro\nLanzenberger, Rupert\nKasper, Siegfried\nJournal Article\nUnited States\nJ Clin Psychiatry. 2017 Feb;78(2):215-222. doi: 10.4088/JCP.15m10381.","page":"215-222","title":"A new prediction model for evaluating treatment-resistant depression","type":"article-journal","volume":"78"},"uris":["http://www.mendeley.com/documents/?uuid=2c7d9004-16d5-4839-9154-8f51adfc8176"]}],"mendeley":{"formattedCitation":"(Alexander Kautzky et al., 2017)","plainTextFormattedCitation":"(Alexander Kautzky et al., 2017)","previouslyFormattedCitation":"(Alexander Kautzky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(Alexander Kautzky et al., 2017)</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52F0C61B"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306019B6" w14:textId="75863C01" w:rsidR="00664D9B" w:rsidRPr="00C126BD" w:rsidRDefault="00664D9B" w:rsidP="00C126BD">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1825C051" w14:textId="7777777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9ECC9E7" w14:textId="7509E86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990" w:type="dxa"/>
            <w:tcBorders>
              <w:top w:val="single" w:sz="4" w:space="0" w:color="auto"/>
              <w:left w:val="single" w:sz="4" w:space="0" w:color="auto"/>
              <w:bottom w:val="single" w:sz="4" w:space="0" w:color="auto"/>
              <w:right w:val="single" w:sz="4" w:space="0" w:color="auto"/>
            </w:tcBorders>
            <w:noWrap/>
            <w:hideMark/>
          </w:tcPr>
          <w:p w14:paraId="0C0AA9C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0.68</w:t>
            </w:r>
          </w:p>
        </w:tc>
        <w:tc>
          <w:tcPr>
            <w:tcW w:w="630" w:type="dxa"/>
            <w:tcBorders>
              <w:top w:val="single" w:sz="4" w:space="0" w:color="auto"/>
              <w:left w:val="single" w:sz="4" w:space="0" w:color="auto"/>
              <w:bottom w:val="single" w:sz="4" w:space="0" w:color="auto"/>
              <w:right w:val="single" w:sz="4" w:space="0" w:color="auto"/>
            </w:tcBorders>
            <w:noWrap/>
            <w:hideMark/>
          </w:tcPr>
          <w:p w14:paraId="1020826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A38537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480</w:t>
            </w:r>
          </w:p>
        </w:tc>
        <w:tc>
          <w:tcPr>
            <w:tcW w:w="900" w:type="dxa"/>
            <w:tcBorders>
              <w:top w:val="single" w:sz="4" w:space="0" w:color="auto"/>
              <w:left w:val="single" w:sz="4" w:space="0" w:color="auto"/>
              <w:bottom w:val="single" w:sz="4" w:space="0" w:color="auto"/>
              <w:right w:val="single" w:sz="4" w:space="0" w:color="auto"/>
            </w:tcBorders>
            <w:noWrap/>
            <w:hideMark/>
          </w:tcPr>
          <w:p w14:paraId="6DE7854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5EFD3D8"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C9EFF61"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AB7F405" w14:textId="77777777" w:rsidR="00664D9B" w:rsidRPr="00C126BD" w:rsidRDefault="00664D9B" w:rsidP="00664D9B">
            <w:pPr>
              <w:jc w:val="center"/>
              <w:rPr>
                <w:rFonts w:ascii="Calibri" w:eastAsia="Times New Roman" w:hAnsi="Calibri" w:cs="Calibri"/>
                <w:color w:val="000000"/>
                <w:sz w:val="16"/>
                <w:szCs w:val="16"/>
              </w:rPr>
            </w:pPr>
          </w:p>
        </w:tc>
      </w:tr>
      <w:tr w:rsidR="00664D9B" w:rsidRPr="00C73DE7" w14:paraId="40DB1C89"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697066ED" w14:textId="268AC9D1" w:rsidR="00664D9B" w:rsidRPr="00C126BD" w:rsidRDefault="00664D9B" w:rsidP="00664D9B">
            <w:pPr>
              <w:rPr>
                <w:rFonts w:ascii="Calibri" w:eastAsia="Times New Roman" w:hAnsi="Calibri" w:cs="Calibri"/>
                <w:color w:val="000000"/>
                <w:sz w:val="16"/>
                <w:szCs w:val="16"/>
                <w:vertAlign w:val="superscript"/>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{"citationItems":[{"id":"ITEM-1","itemData":{"DOI":"10.1111/acps.12959","ISBN":"1600-0447 (Electronic)\r0001-690X (Linking)","ISSN":"16000447","PMID":"30291625","abstract":"Objectives: Clinical variables were investigated in the ‘treatment resistant depression (TRD)- III’ sample to replicate earlier findings by the European research consortium ‘Group for the Study of Resistant Depression’ (GSRD) and enable cross-sample prediction of treatment outcome in TRD. Experimental procedures: TRD was defined by a Montgomery and Åsberg Depression Rating Scale (MADRS) score ≥22 after at least two antidepressive trials. Response was defined by a decline in MADRS score by ≥50% and below a threshold of 22. Logistic regression was applied to replicate predictors for TRD among 16 clinical variables in 916 patients. Elastic net regression was applied for prediction of treatment outcome. Results: Symptom severity (odds ratio (OR) = 3.31), psychotic symptoms (OR = 2.52), suicidal risk (OR = 1.74), generalized anxiety disorder (OR = 1.68), inpatient status (OR = 1.65), higher number of antidepressants administered previously (OR = 1.23), and lifetime depressive episodes (OR = 1.15) as well as longer duration of the current episode (OR = 1.022) increased the risk of TRD. Prediction of TRD reached an accuracy of 0.86 in the independent validation set, TRD-I. Conclusion: Symptom severity, suicidal risk, higher number of lifetime depressive episodes, and comorbid anxiety disorder were replicated as the most prominent risk factors for TRD. Significant predictors in TRD-III enabled robust prediction of treatment outcome in TRD-I.","author":[{"dropping-particle":"","family":"Kautzky","given":"A.","non-dropping-particle":"","parse-names":false,"suffix":""},{"dropping-particle":"","family":"Dold","given":"M.","non-dropping-particle":"","parse-names":false,"suffix":""},{"dropping-particle":"","family":"Bartova","given":"L.","non-dropping-particle":"","parse-names":false,"suffix":""},{"dropping-particle":"","family":"Spies","given":"M.","non-dropping-particle":"","parse-names":false,"suffix":""},{"dropping-particle":"","family":"Kranz","given":"G. S.","non-dropping-particle":"","parse-names":false,"suffix":""},{"dropping-particle":"","family":"Souery","given":"D.","non-dropping-particle":"","parse-names":false,"suffix":""},{"dropping-particle":"","family":"Montgomery","given":"S.","non-dropping-particle":"","parse-names":false,"suffix":""},{"dropping-particle":"","family":"Mendlewicz","given":"J.","non-dropping-particle":"","parse-names":false,"suffix":""},{"dropping-particle":"","family":"Zohar","given":"J.","non-dropping-particle":"","parse-names":false,"suffix":""},{"dropping-particle":"","family":"Fabbri","given":"C.","non-dropping-particle":"","parse-names":false,"suffix":""},{"dropping-particle":"","family":"Serretti","given":"A.","non-dropping-particle":"","parse-names":false,"suffix":""},{"dropping-particle":"","family":"Lanzenberger","given":"R.","non-dropping-particle":"","parse-names":false,"suffix":""},{"dropping-particle":"","family":"Dikeos","given":"D.","non-dropping-particle":"","parse-names":false,"suffix":""},{"dropping-particle":"","family":"Rujescu","given":"D.","non-dropping-particle":"","parse-names":false,"suffix":""},{"dropping-particle":"","family":"Kasper","given":"S.","non-dropping-particle":"","parse-names":false,"suffix":""}],"container-title":"Acta Psychiatrica Scandinavica","edition":"2018/10/07","id":"ITEM-1","issue":"1","issued":{"date-parts":[["2019"]]},"note":"Kautzky, A\nDold, M\nBartova, L\nSpies, M\nKranz, G S\nSouery, D\nMontgomery, S\nMendlewicz, J\nZohar, J\nFabbri, C\nSerretti, A\nLanzenberger, R\nDikeos, D\nRujescu, D\nKasper, S\neng\nLundbeck/International\nGlaxoSmithKline/International\nServier/International\nPfizer/International\nResearch Support, Non-U.S. Gov't\nActa Psychiatr Scand. 2019 Jan;139(1):78-88. doi: 10.1111/acps.12959. Epub 2018 Oct 5.","page":"78-88","title":"Clinical factors predicting treatment resistant depression: affirmative results from the European multicenter study","type":"article-journal","volume":"139"},"uris":["http://www.mendeley.com/documents/?uuid=1aff9651-dc4b-4399-86ad-6602d2f590ba"]}],"mendeley":{"formattedCitation":"(A. Kautzky et al., 2019)","plainTextFormattedCitation":"(A. Kautzky et al., 2019)","previouslyFormattedCitation":"(A. Kautzky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(A. Kautzky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18297920"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7FF74750" w14:textId="5E103847" w:rsidR="00664D9B" w:rsidRPr="00C126BD" w:rsidRDefault="00664D9B">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368DF6E7" w14:textId="77777777" w:rsidR="00664D9B" w:rsidRPr="00C126BD" w:rsidRDefault="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A18911A" w14:textId="7B4F9181"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B834911"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2696FAFA"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9270E9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916</w:t>
            </w:r>
          </w:p>
        </w:tc>
        <w:tc>
          <w:tcPr>
            <w:tcW w:w="900" w:type="dxa"/>
            <w:tcBorders>
              <w:top w:val="single" w:sz="4" w:space="0" w:color="auto"/>
              <w:left w:val="single" w:sz="4" w:space="0" w:color="auto"/>
              <w:bottom w:val="single" w:sz="4" w:space="0" w:color="auto"/>
              <w:right w:val="single" w:sz="4" w:space="0" w:color="auto"/>
            </w:tcBorders>
            <w:noWrap/>
            <w:hideMark/>
          </w:tcPr>
          <w:p w14:paraId="3A6721B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185ADD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540" w:type="dxa"/>
            <w:tcBorders>
              <w:top w:val="single" w:sz="4" w:space="0" w:color="auto"/>
              <w:left w:val="single" w:sz="4" w:space="0" w:color="auto"/>
              <w:bottom w:val="single" w:sz="4" w:space="0" w:color="auto"/>
              <w:right w:val="single" w:sz="4" w:space="0" w:color="auto"/>
            </w:tcBorders>
            <w:noWrap/>
            <w:hideMark/>
          </w:tcPr>
          <w:p w14:paraId="206BFA90" w14:textId="77777777" w:rsidR="00664D9B" w:rsidRPr="00C126BD" w:rsidRDefault="00664D9B" w:rsidP="00664D9B">
            <w:pPr>
              <w:rPr>
                <w:rFonts w:ascii="Calibri" w:eastAsia="Times New Roman" w:hAnsi="Calibri" w:cs="Calibri"/>
                <w:color w:val="000000"/>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97822C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702</w:t>
            </w:r>
          </w:p>
        </w:tc>
      </w:tr>
      <w:tr w:rsidR="00664D9B" w:rsidRPr="00C73DE7" w14:paraId="075D132A"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0E2915B" w14:textId="526BD9FC"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{"citationItems":[{"id":"ITEM-1","itemData":{"DOI":"10.1109/IEMBS.2010.5627823","ISBN":"9781424441235","PMID":"21097134","abstract":"The problem of identifying in advance the most effective treatment agent for various psychiatric conditions remains an elusive goal. To address this challenge, we propose a machine learning (ML) methodology to predict the response to a selective serotonin reuptake inhibitor (SSRI) medication in subjects suffering from major depressive disorder (MDD), using pre-treatment electroencephalograph (EEG) measurements. The proposed feature selection technique is a modification of the method of Peng et al [10] that is based on a Kullback- Leibler (KL) distance measure. The classifier was realized as a kernelized partial least squares regression procedure, whose output is the predicted response. A low-dimensional kernelized principal component representation of the feature space was used for the purposes of visualization and clustering analysis. The overall method was evaluated using an 11-fold nested crossvalidation procedure for which over 85% average prediction performance is obtained. The results indicate that ML methods hold considerable promise in predicting the efficacy of SSRI antidepressant therapy for major depression. © 2010 IEEE.","author":[{"dropping-particle":"","family":"Khodayari-Rostamabad","given":"Ahmad","non-dropping-particle":"","parse-names":false,"suffix":""},{"dropping-particle":"","family":"Reilly","given":"James P.","non-dropping-particle":"","parse-names":false,"suffix":""},{"dropping-particle":"","family":"Hasey","given":"Gary","non-dropping-particle":"","parse-names":false,"suffix":""},{"dropping-particle":"","family":"Bruin","given":"Hubert","non-dropping-particle":"De","parse-names":false,"suffix":""},{"dropping-particle":"","family":"MacCrimmon","given":"Duncan","non-dropping-particle":"","parse-names":false,"suffix":""}],"container-title":"2010 Annual International Conference of the IEEE Engineering in Medicine and Biology Society, EMBC'10","edition":"2010/11/26","id":"ITEM-1","issued":{"date-parts":[["2010"]]},"language":"eng","note":"Khodayari-Rostamabad, Ahmad\nReilly, James P\nHasey, Gary\nDebruin, Hubert\nMaccrimmon, Duncan\nClinical Trial\nJournal Article\nUnited States\nConf Proc IEEE Eng Med Biol Soc. 2010;2010:6103-6. doi: 10.1109/IEMBS.2010.5627823.","page":"6103-6106","title":"Using pre-treatment EEG data to predict response to SSRI treatment for MDD","type":"article-journal","volume":"2010"},"uris":["http://www.mendeley.com/documents/?uuid=ace720a0-51a9-4ecb-b4de-8fe687488307"]}],"mendeley":{"formattedCitation":"(Khodayari-Rostamabad et al., 2010)","plainTextFormattedCitation":"(Khodayari-Rostamabad et al., 2010)","previouslyFormattedCitation":"(Khodayari-Rostamabad et al., 2010)"},"properties":{"noteIndex":0},"schema":"https://github.com/citation-style-language/schema/raw/master/csl-citation.json"}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(Khodayari-Rostamabad et al., 2010)</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7EEF24E0"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2AF722B1" w14:textId="2972A298" w:rsidR="00664D9B" w:rsidRPr="00C126BD" w:rsidRDefault="00664D9B" w:rsidP="00C126BD">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3393D741" w14:textId="749733B2"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376696E4" w14:textId="7F45CB43"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990" w:type="dxa"/>
            <w:tcBorders>
              <w:top w:val="single" w:sz="4" w:space="0" w:color="auto"/>
              <w:left w:val="single" w:sz="4" w:space="0" w:color="auto"/>
              <w:bottom w:val="single" w:sz="4" w:space="0" w:color="auto"/>
              <w:right w:val="single" w:sz="4" w:space="0" w:color="auto"/>
            </w:tcBorders>
            <w:noWrap/>
            <w:hideMark/>
          </w:tcPr>
          <w:p w14:paraId="75B789D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0.86</w:t>
            </w:r>
          </w:p>
        </w:tc>
        <w:tc>
          <w:tcPr>
            <w:tcW w:w="630" w:type="dxa"/>
            <w:tcBorders>
              <w:top w:val="single" w:sz="4" w:space="0" w:color="auto"/>
              <w:left w:val="single" w:sz="4" w:space="0" w:color="auto"/>
              <w:bottom w:val="single" w:sz="4" w:space="0" w:color="auto"/>
              <w:right w:val="single" w:sz="4" w:space="0" w:color="auto"/>
            </w:tcBorders>
            <w:noWrap/>
            <w:hideMark/>
          </w:tcPr>
          <w:p w14:paraId="1D309F61"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D5F19C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22</w:t>
            </w:r>
          </w:p>
        </w:tc>
        <w:tc>
          <w:tcPr>
            <w:tcW w:w="900" w:type="dxa"/>
            <w:tcBorders>
              <w:top w:val="single" w:sz="4" w:space="0" w:color="auto"/>
              <w:left w:val="single" w:sz="4" w:space="0" w:color="auto"/>
              <w:bottom w:val="single" w:sz="4" w:space="0" w:color="auto"/>
              <w:right w:val="single" w:sz="4" w:space="0" w:color="auto"/>
            </w:tcBorders>
            <w:noWrap/>
            <w:hideMark/>
          </w:tcPr>
          <w:p w14:paraId="746D342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C7660A9"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466F88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D5A2C29" w14:textId="77777777" w:rsidR="00664D9B" w:rsidRPr="00C126BD" w:rsidRDefault="00664D9B" w:rsidP="00664D9B">
            <w:pPr>
              <w:rPr>
                <w:rFonts w:ascii="Calibri" w:hAnsi="Calibri" w:cs="Calibri"/>
                <w:sz w:val="16"/>
                <w:szCs w:val="16"/>
              </w:rPr>
            </w:pPr>
          </w:p>
        </w:tc>
      </w:tr>
      <w:tr w:rsidR="00664D9B" w:rsidRPr="00C73DE7" w14:paraId="19FD57E2"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8B4E5E3" w14:textId="526EA719"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{"citationItems":[{"id":"ITEM-1","itemData":{"DOI":"10.1109/IEMBS.2011.6091584","ISBN":"9781424441211","ISSN":"1557170X","PMID":"22255807","abstract":"We investigate the use of machine learning methods based on the pre-treatment electroencephalograph (EEG) to predict response to repetitive transcranial magnetic stimulation (rTMS), which is a non-pharmacological form of therapy for treating major depressive disorder (MDD). The learning procedure involves the extraction of a large number of candidate features from EEG data, from which a very small subset of most statistically relevant features is selected for further processing. A statistical prediction model based on mixture of factor analysis (MFA) model is constructed from a training set that classifies the respective subject into responder and non-responder classes. A leave-2-out (L2O) cross-validation procedure is used to evaluate the prediction performance. This pilot study involves 27 subjects who received either left high-frequency (HF) active rTMS therapy or simultaneous left HF and right low-frequency active rTMS therapy. Our results indicate that it is possible to predict rTMS treatment efficacy of either treatment modality with a specificity of 83% and a sensitivity of 78%, for a combined accuracy of 80%. © 2011 IEEE.","author":[{"dropping-particle":"","family":"Khodayari-Rostamabad","given":"Ahmad","non-dropping-particle":"","parse-names":false,"suffix":""},{"dropping-particle":"","family":"Reilly","given":"James P.","non-dropping-particle":"","parse-names":false,"suffix":""},{"dropping-particle":"","family":"Hasey","given":"Gary M.","non-dropping-particle":"","parse-names":false,"suffix":""},{"dropping-particle":"","family":"Bruin","given":"Hubert","non-dropping-particle":"De","parse-names":false,"suffix":""},{"dropping-particle":"","family":"MacCrimmon","given":"Duncan","non-dropping-particle":"","parse-names":false,"suffix":""}],"container-title":"Proceedings of the Annual International Conference of the IEEE Engineering in Medicine and Biology Society, EMBS","edition":"2012/01/19","id":"ITEM-1","issued":{"date-parts":[["2011"]]},"language":"eng","note":"Khodayari-Rostamabad, Ahmad\nReilly, James P\nHasey, Gary M\ndeBruin, Hubert\nMacCrimmon, Duncan\nJournal Article\nResearch Support, Non-U.S. Gov't\nUnited States\nConf Proc IEEE Eng Med Biol Soc. 2011;2011:6418-21. doi: 10.1109/IEMBS.2011.6091584.","page":"6418-6421","title":"Using pre-treatment electroencephalography data to predict response to transcranial magnetic stimulation therapy for major depression","type":"article-journal","volume":"2011"},"uris":["http://www.mendeley.com/documents/?uuid=40d6c013-f6bc-4dd6-aacb-38d02b4d305b"]}],"mendeley":{"formattedCitation":"(Khodayari-Rostamabad et al., 2011)","plainTextFormattedCitation":"(Khodayari-Rostamabad et al., 2011)","previouslyFormattedCitation":"(Khodayari-Rostamabad et al., 2011)"},"properties":{"noteIndex":0},"schema":"https://github.com/citation-style-language/schema/raw/master/csl-citation.json"}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(Khodayari-Rostamabad et al., 2011)</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EE3EEB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5D2E7AFC" w14:textId="4141BE4A" w:rsidR="00664D9B" w:rsidRPr="00C126BD" w:rsidRDefault="00664D9B">
            <w:pPr>
              <w:rPr>
                <w:rFonts w:ascii="Calibri" w:eastAsia="Times New Roman" w:hAnsi="Calibri" w:cs="Calibri"/>
                <w:color w:val="000000"/>
                <w:sz w:val="16"/>
                <w:szCs w:val="16"/>
              </w:rPr>
            </w:pPr>
            <w:r w:rsidRPr="00BF62E2">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5AB9DBBE" w14:textId="246C1A9A"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39498D44" w14:textId="49B5B3A7"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55BD38C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0.81</w:t>
            </w:r>
          </w:p>
        </w:tc>
        <w:tc>
          <w:tcPr>
            <w:tcW w:w="630" w:type="dxa"/>
            <w:tcBorders>
              <w:top w:val="single" w:sz="4" w:space="0" w:color="auto"/>
              <w:left w:val="single" w:sz="4" w:space="0" w:color="auto"/>
              <w:bottom w:val="single" w:sz="4" w:space="0" w:color="auto"/>
              <w:right w:val="single" w:sz="4" w:space="0" w:color="auto"/>
            </w:tcBorders>
            <w:noWrap/>
            <w:hideMark/>
          </w:tcPr>
          <w:p w14:paraId="57370FC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665A3C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27</w:t>
            </w:r>
          </w:p>
        </w:tc>
        <w:tc>
          <w:tcPr>
            <w:tcW w:w="900" w:type="dxa"/>
            <w:tcBorders>
              <w:top w:val="single" w:sz="4" w:space="0" w:color="auto"/>
              <w:left w:val="single" w:sz="4" w:space="0" w:color="auto"/>
              <w:bottom w:val="single" w:sz="4" w:space="0" w:color="auto"/>
              <w:right w:val="single" w:sz="4" w:space="0" w:color="auto"/>
            </w:tcBorders>
            <w:noWrap/>
            <w:hideMark/>
          </w:tcPr>
          <w:p w14:paraId="3448081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A6C3B0B"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521EE29"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1BA7A93" w14:textId="77777777" w:rsidR="00664D9B" w:rsidRPr="00C126BD" w:rsidRDefault="00664D9B" w:rsidP="00664D9B">
            <w:pPr>
              <w:rPr>
                <w:rFonts w:ascii="Calibri" w:hAnsi="Calibri" w:cs="Calibri"/>
                <w:sz w:val="16"/>
                <w:szCs w:val="16"/>
              </w:rPr>
            </w:pPr>
          </w:p>
        </w:tc>
      </w:tr>
      <w:tr w:rsidR="00664D9B" w:rsidRPr="00C73DE7" w14:paraId="71038974"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72143F5" w14:textId="2EF57583"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{"citationItems":[{"id":"ITEM-1","itemData":{"DOI":"10.1016/j.clinph.2013.04.010","ISBN":"1388-2457","ISSN":"13882457","PMID":"23684127","abstract":"Objective: The problem of identifying, in advance, the most effective treatment agent for various psychiatric conditions remains an elusive goal. To address this challenge, we investigate the performance of the proposed machine learning (ML) methodology (based on the pre-treatment electroencephalogram (EEG)) for prediction of response to treatment with a selective serotonin reuptake inhibitor (SSRI) medication in subjects suffering from major depressive disorder (MDD). Methods: A relatively small number of most discriminating features are selected from a large group of candidate features extracted from the subject's pre-treatment EEG, using a machine learning procedure for feature selection. The selected features are fed into a classifier, which was realized as a mixture of factor analysis (MFA) model, whose output is the predicted response in the form of a likelihood value. This likelihood indicates the extent to which the subject belongs to the responder vs. non-responder classes. The overall method was evaluated using a \"leave- n-out\" randomized permutation cross-validation procedure. Results: A list of discriminating EEG biomarkers (features) was found. The specificity of the proposed method is 80.9% while sensitivity is 94.9%, for an overall prediction accuracy of 87.9%. There is a 98.76% confidence that the estimated prediction rate is within the interval [75%, 100%]. Conclusions: These results indicate that the proposed ML method holds considerable promise in predicting the efficacy of SSRI antidepressant therapy for MDD, based on a simple and cost-effective pre-treatment EEG. Significance: The proposed approach offers the potential to improve the treatment of major depression and to reduce health care costs. © 2013 International Federation of Clinical Neurophysiology.","author":[{"dropping-particle":"","family":"Khodayari-Rostamabad","given":"Ahmad","non-dropping-particle":"","parse-names":false,"suffix":""},{"dropping-particle":"","family":"Reilly","given":"James P.","non-dropping-particle":"","parse-names":false,"suffix":""},{"dropping-particle":"","family":"Hasey","given":"Gary M.","non-dropping-particle":"","parse-names":false,"suffix":""},{"dropping-particle":"","family":"Bruin","given":"Hubert","non-dropping-particle":"de","parse-names":false,"suffix":""},{"dropping-particle":"","family":"MacCrimmon","given":"Duncan J.","non-dropping-particle":"","parse-names":false,"suffix":""}],"container-title":"Clinical Neurophysiology","edition":"2013/05/21","id":"ITEM-1","issue":"10","issued":{"date-parts":[["2013"]]},"language":"eng","note":"1872-8952\nKhodayari-Rostamabad, Ahmad\nReilly, James P\nHasey, Gary M\nde Bruin, Hubert\nMaccrimmon, Duncan J\nJournal Article\nRandomized Controlled Trial\nResearch Support, Non-U.S. Gov't\nNetherlands\nClin Neurophysiol. 2013 Oct;124(10):1975-85. doi: 10.1016/j.clinph.2013.04.010. Epub 2013 May 15.","page":"1975-1985","title":"A machine learning approach using EEG data to predict response to SSRI treatment for major depressive disorder","type":"article-journal","volume":"124"},"uris":["http://www.mendeley.com/documents/?uuid=5d6837ba-89ac-418f-a0f5-6a4859559037"]}],"mendeley":{"formattedCitation":"(Khodayari-Rostamabad et al., 2013)","plainTextFormattedCitation":"(Khodayari-Rostamabad et al., 2013)","previouslyFormattedCitation":"(Khodayari-Rostamabad et al., 2013)"},"properties":{"noteIndex":0},"schema":"https://github.com/citation-style-language/schema/raw/master/csl-citation.json"}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(Khodayari-Rostamabad et al., 2013)</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4238D317"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0022D1B8" w14:textId="6BECB8E2" w:rsidR="00664D9B" w:rsidRPr="00C126BD" w:rsidRDefault="00771A26" w:rsidP="00C126BD">
            <w:pPr>
              <w:rPr>
                <w:rFonts w:ascii="Calibri" w:eastAsia="Times New Roman" w:hAnsi="Calibri" w:cs="Calibri"/>
                <w:color w:val="000000"/>
                <w:sz w:val="16"/>
                <w:szCs w:val="16"/>
              </w:rPr>
            </w:pPr>
            <w:r>
              <w:rPr>
                <w:rFonts w:ascii="Calibri" w:eastAsia="Times New Roman" w:hAnsi="Calibri" w:cs="Calibri"/>
                <w:color w:val="000000"/>
                <w:sz w:val="16"/>
                <w:szCs w:val="16"/>
              </w:rPr>
              <w:t>HAM</w:t>
            </w:r>
            <w:r w:rsidR="00664D9B" w:rsidRPr="004C1A4F">
              <w:rPr>
                <w:rFonts w:ascii="Calibri" w:eastAsia="Times New Roman" w:hAnsi="Calibri" w:cs="Calibri"/>
                <w:color w:val="000000"/>
                <w:sz w:val="16"/>
                <w:szCs w:val="16"/>
              </w:rPr>
              <w:t>D-17</w:t>
            </w:r>
          </w:p>
        </w:tc>
        <w:tc>
          <w:tcPr>
            <w:tcW w:w="990" w:type="dxa"/>
            <w:tcBorders>
              <w:top w:val="single" w:sz="4" w:space="0" w:color="auto"/>
              <w:left w:val="single" w:sz="4" w:space="0" w:color="auto"/>
              <w:bottom w:val="single" w:sz="4" w:space="0" w:color="auto"/>
              <w:right w:val="single" w:sz="4" w:space="0" w:color="auto"/>
            </w:tcBorders>
          </w:tcPr>
          <w:p w14:paraId="74855B1B" w14:textId="60BF8D50"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1906DEF7" w14:textId="272FEC34"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0.9</w:t>
            </w:r>
          </w:p>
        </w:tc>
        <w:tc>
          <w:tcPr>
            <w:tcW w:w="990" w:type="dxa"/>
            <w:tcBorders>
              <w:top w:val="single" w:sz="4" w:space="0" w:color="auto"/>
              <w:left w:val="single" w:sz="4" w:space="0" w:color="auto"/>
              <w:bottom w:val="single" w:sz="4" w:space="0" w:color="auto"/>
              <w:right w:val="single" w:sz="4" w:space="0" w:color="auto"/>
            </w:tcBorders>
            <w:noWrap/>
            <w:hideMark/>
          </w:tcPr>
          <w:p w14:paraId="37A479C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0.88</w:t>
            </w:r>
          </w:p>
        </w:tc>
        <w:tc>
          <w:tcPr>
            <w:tcW w:w="630" w:type="dxa"/>
            <w:tcBorders>
              <w:top w:val="single" w:sz="4" w:space="0" w:color="auto"/>
              <w:left w:val="single" w:sz="4" w:space="0" w:color="auto"/>
              <w:bottom w:val="single" w:sz="4" w:space="0" w:color="auto"/>
              <w:right w:val="single" w:sz="4" w:space="0" w:color="auto"/>
            </w:tcBorders>
            <w:noWrap/>
            <w:hideMark/>
          </w:tcPr>
          <w:p w14:paraId="3BDFBAA7"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10874D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22</w:t>
            </w:r>
          </w:p>
        </w:tc>
        <w:tc>
          <w:tcPr>
            <w:tcW w:w="900" w:type="dxa"/>
            <w:tcBorders>
              <w:top w:val="single" w:sz="4" w:space="0" w:color="auto"/>
              <w:left w:val="single" w:sz="4" w:space="0" w:color="auto"/>
              <w:bottom w:val="single" w:sz="4" w:space="0" w:color="auto"/>
              <w:right w:val="single" w:sz="4" w:space="0" w:color="auto"/>
            </w:tcBorders>
            <w:noWrap/>
            <w:hideMark/>
          </w:tcPr>
          <w:p w14:paraId="0C76D2E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585418E"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430BE6D"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D062D44" w14:textId="77777777" w:rsidR="00664D9B" w:rsidRPr="00C126BD" w:rsidRDefault="00664D9B" w:rsidP="00664D9B">
            <w:pPr>
              <w:rPr>
                <w:rFonts w:ascii="Calibri" w:hAnsi="Calibri" w:cs="Calibri"/>
                <w:sz w:val="16"/>
                <w:szCs w:val="16"/>
              </w:rPr>
            </w:pPr>
          </w:p>
        </w:tc>
      </w:tr>
      <w:tr w:rsidR="00664D9B" w:rsidRPr="00C73DE7" w14:paraId="579690C1"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4A841A25" w14:textId="372D2595" w:rsidR="00664D9B" w:rsidRPr="004C1A4F" w:rsidRDefault="00664D9B" w:rsidP="00664D9B">
            <w:pPr>
              <w:rPr>
                <w:rFonts w:ascii="Calibri" w:eastAsia="Times New Roman" w:hAnsi="Calibri" w:cs="Calibri"/>
                <w:color w:val="000000"/>
                <w:sz w:val="16"/>
                <w:szCs w:val="16"/>
              </w:rPr>
            </w:pPr>
            <w:r>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{"citationItems":[{"id":"ITEM-1","itemData":{"DOI":"10.1016/j.ebiom.2014.12.002","ISBN":"2352-3964 (Print)\r2352-3964 (Linking)","ISSN":"23523964","PMID":"26137532","abstract":"Background: Less than 50% of patients with Major Depressive Disorder (MDD) reach symptomatic remission with their initial antidepressant medication (ADM). There are currently no objective measures with which to reliably predict which individuals will achieve remission to ADMs. Methods: 157 participants with MDD from the International Study to Predict Optimized Treatment in Depression (iSPOT-D) underwent baseline MRIs and completed eight weeks of treatment with escitalopram, sertraline or venlafaxine-ER. A score at week 8 of 7 or less on the 17 item Hamilton Rating Scale for Depression defined remission. Receiver Operator Characteristics (ROC) analysis using the first 50% participants was performed to define decision trees of baseline MRI volumetric and connectivity (fractional anisotropy) measures that differentiated non-remitters from remitters with maximal sensitivity and specificity. These decision trees were tested for replication in the remaining participants. Findings: Overall, 35% of all participants achieved remission. ROC analyses identified two decision trees that predicted a high probability of non-remission and that were replicated: 1. Left middle frontal volume. &lt;. 14. ·. 8. mL &amp; right angular gyrus volume. &gt;. 6. ·. 3. mL identified 55% of non-remitters with 85% accuracy; and 2. Fractional anisotropy values in the left cingulum bundle. &lt;. 0. ·. 63, right superior fronto-occipital fasciculus. &lt;. 0. ·. 54 and right superior longitudinal fasciculus. &lt;. 0 · 50 identified 15% of the non-remitters with 84% accuracy. All participants who met criteria for both decision trees were correctly identified as non-remitters. Interpretation: Pretreatment MRI measures seem to reliably identify a subset of patients who do not remit with a first step medication that includes one of these commonly used medications. Findings are consistent with a neuroanatomical basis for non-remission in depressed patients.","author":[{"dropping-particle":"","family":"Korgaonkar","given":"Mayuresh S.","non-dropping-particle":"","parse-names":false,"suffix":""},{"dropping-particle":"","family":"Rekshan","given":"William","non-dropping-particle":"","parse-names":false,"suffix":""},{"dropping-particle":"","family":"Gordon","given":"Evian","non-dropping-particle":"","parse-names":false,"suffix":""},{"dropping-particle":"","family":"Rush","given":"A. John","non-dropping-particle":"","parse-names":false,"suffix":""},{"dropping-particle":"","family":"Williams","given":"Leanne M.","non-dropping-particle":"","parse-names":false,"suffix":""},{"dropping-particle":"","family":"Blasey","given":"Christine","non-dropping-particle":"","parse-names":false,"suffix":""},{"dropping-particle":"","family":"Grieve","given":"Stuart M.","non-dropping-particle":"","parse-names":false,"suffix":""}],"container-title":"EBioMedicine","edition":"2015/07/03","id":"ITEM-1","issue":"1","issued":{"date-parts":[["2015"]]},"note":"Korgaonkar, Mayuresh S\nRekshan, William\nGordon, Evian\nRush, A John\nWilliams, Leanne M\nBlasey, Christine\nGrieve, Stuart M\neng\nResearch Support, Non-U.S. Gov't\nNetherlands\nEBioMedicine. 2014 Dec 3;2(1):37-45. doi: 10.1016/j.ebiom.2014.12.002. eCollection 2015 Jan.","page":"37-45","title":"Magnetic Resonance Imaging Measures of Brain Structure to Predict Antidepressant Treatment Outcome in Major Depressive Disorder","type":"article-journal","volume":"2"},"uris":["http://www.mendeley.com/documents/?uuid=ea073cc6-78fc-4405-b74c-113b4011f48b"]}],"mendeley":{"formattedCitation":"(Korgaonkar et al., 2015)","plainTextFormattedCitation":"(Korgaonkar et al., 2015)","previouslyFormattedCitation":"(Korgaonkar et al., 2015)"},"properties":{"noteIndex":0},"schema":"https://github.com/citation-style-language/schema/raw/master/csl-citation.json"}</w:instrText>
            </w:r>
            <w:r>
              <w:rPr>
                <w:rFonts w:ascii="Calibri" w:eastAsia="Times New Roman" w:hAnsi="Calibri" w:cs="Calibri"/>
                <w:color w:val="000000"/>
                <w:sz w:val="16"/>
                <w:szCs w:val="16"/>
              </w:rPr>
              <w:fldChar w:fldCharType="separate"/>
            </w:r>
            <w:r w:rsidRPr="004C1A4F">
              <w:rPr>
                <w:rFonts w:ascii="Calibri" w:eastAsia="Times New Roman" w:hAnsi="Calibri" w:cs="Calibri"/>
                <w:noProof/>
                <w:color w:val="000000"/>
                <w:sz w:val="16"/>
                <w:szCs w:val="16"/>
              </w:rPr>
              <w:t>(Korgaonkar et al., 2015)</w:t>
            </w:r>
            <w:r>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48EBE5F7" w14:textId="0065A4A9" w:rsidR="00664D9B" w:rsidRPr="00C126BD" w:rsidRDefault="00664D9B" w:rsidP="00664D9B">
            <w:pPr>
              <w:rPr>
                <w:rFonts w:ascii="Calibri" w:eastAsia="Times New Roman" w:hAnsi="Calibri" w:cs="Calibri"/>
                <w:color w:val="FF0000"/>
                <w:sz w:val="16"/>
                <w:szCs w:val="16"/>
                <w:highlight w:val="yellow"/>
              </w:rPr>
            </w:pPr>
            <w:r w:rsidRPr="00442B31">
              <w:rPr>
                <w:rFonts w:ascii="Calibri" w:eastAsia="Times New Roman" w:hAnsi="Calibri" w:cs="Calibri"/>
                <w:color w:val="000000"/>
                <w:sz w:val="16"/>
                <w:szCs w:val="16"/>
              </w:rPr>
              <w:t>Non-remission</w:t>
            </w:r>
          </w:p>
        </w:tc>
        <w:tc>
          <w:tcPr>
            <w:tcW w:w="1440" w:type="dxa"/>
            <w:tcBorders>
              <w:top w:val="single" w:sz="4" w:space="0" w:color="auto"/>
              <w:left w:val="single" w:sz="4" w:space="0" w:color="auto"/>
              <w:bottom w:val="single" w:sz="4" w:space="0" w:color="auto"/>
              <w:right w:val="single" w:sz="4" w:space="0" w:color="auto"/>
            </w:tcBorders>
          </w:tcPr>
          <w:p w14:paraId="1CE21D7C" w14:textId="76EFCE80" w:rsidR="00664D9B" w:rsidRPr="004C1A4F" w:rsidRDefault="00664D9B" w:rsidP="00C126BD">
            <w:pPr>
              <w:rPr>
                <w:rFonts w:ascii="Calibri" w:eastAsia="Times New Roman" w:hAnsi="Calibri" w:cs="Calibri"/>
                <w:color w:val="000000"/>
                <w:sz w:val="16"/>
                <w:szCs w:val="16"/>
              </w:rPr>
            </w:pPr>
            <w:r w:rsidRPr="004C1A4F">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2991CEFA" w14:textId="0D6AFAF2" w:rsidR="00664D9B"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tcPr>
          <w:p w14:paraId="59BE17BF" w14:textId="45D45B1E" w:rsidR="00664D9B" w:rsidRPr="004C1A4F" w:rsidRDefault="00664D9B" w:rsidP="00664D9B">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0.9</w:t>
            </w:r>
          </w:p>
        </w:tc>
        <w:tc>
          <w:tcPr>
            <w:tcW w:w="990" w:type="dxa"/>
            <w:tcBorders>
              <w:top w:val="single" w:sz="4" w:space="0" w:color="auto"/>
              <w:left w:val="single" w:sz="4" w:space="0" w:color="auto"/>
              <w:bottom w:val="single" w:sz="4" w:space="0" w:color="auto"/>
              <w:right w:val="single" w:sz="4" w:space="0" w:color="auto"/>
            </w:tcBorders>
            <w:noWrap/>
          </w:tcPr>
          <w:p w14:paraId="6CA1ECCD" w14:textId="77777777" w:rsidR="00664D9B" w:rsidRPr="004C1A4F" w:rsidRDefault="00664D9B" w:rsidP="00664D9B">
            <w:pPr>
              <w:jc w:val="cente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tcPr>
          <w:p w14:paraId="1B065C53" w14:textId="77777777" w:rsidR="00664D9B" w:rsidRPr="00C73DE7"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5E10ACB3" w14:textId="749E7FEC" w:rsidR="00664D9B" w:rsidRPr="00C73DE7" w:rsidRDefault="00664D9B" w:rsidP="00664D9B">
            <w:pPr>
              <w:jc w:val="center"/>
              <w:rPr>
                <w:rFonts w:ascii="Calibri" w:eastAsia="Times New Roman" w:hAnsi="Calibri" w:cs="Calibri"/>
                <w:color w:val="000000"/>
                <w:sz w:val="16"/>
                <w:szCs w:val="16"/>
              </w:rPr>
            </w:pPr>
            <w:r>
              <w:rPr>
                <w:rFonts w:ascii="Calibri" w:eastAsia="Times New Roman" w:hAnsi="Calibri" w:cs="Calibri"/>
                <w:color w:val="000000"/>
                <w:sz w:val="16"/>
                <w:szCs w:val="16"/>
              </w:rPr>
              <w:t>74</w:t>
            </w:r>
          </w:p>
        </w:tc>
        <w:tc>
          <w:tcPr>
            <w:tcW w:w="900" w:type="dxa"/>
            <w:tcBorders>
              <w:top w:val="single" w:sz="4" w:space="0" w:color="auto"/>
              <w:left w:val="single" w:sz="4" w:space="0" w:color="auto"/>
              <w:bottom w:val="single" w:sz="4" w:space="0" w:color="auto"/>
              <w:right w:val="single" w:sz="4" w:space="0" w:color="auto"/>
            </w:tcBorders>
            <w:noWrap/>
          </w:tcPr>
          <w:p w14:paraId="40BE32FB" w14:textId="7D9EADBC" w:rsidR="00664D9B" w:rsidRPr="00C73DE7" w:rsidRDefault="00664D9B" w:rsidP="00664D9B">
            <w:pPr>
              <w:rPr>
                <w:rFonts w:ascii="Calibri" w:eastAsia="Times New Roman" w:hAnsi="Calibri" w:cs="Calibri"/>
                <w:color w:val="000000"/>
                <w:sz w:val="16"/>
                <w:szCs w:val="16"/>
              </w:rPr>
            </w:pPr>
            <w:r>
              <w:rPr>
                <w:rFonts w:ascii="Calibri" w:eastAsia="Times New Roman" w:hAnsi="Calibri" w:cs="Calibri"/>
                <w:color w:val="000000"/>
                <w:sz w:val="16"/>
                <w:szCs w:val="16"/>
              </w:rPr>
              <w:t>0.78</w:t>
            </w:r>
          </w:p>
        </w:tc>
        <w:tc>
          <w:tcPr>
            <w:tcW w:w="900" w:type="dxa"/>
            <w:tcBorders>
              <w:top w:val="single" w:sz="4" w:space="0" w:color="auto"/>
              <w:left w:val="single" w:sz="4" w:space="0" w:color="auto"/>
              <w:bottom w:val="single" w:sz="4" w:space="0" w:color="auto"/>
              <w:right w:val="single" w:sz="4" w:space="0" w:color="auto"/>
            </w:tcBorders>
            <w:noWrap/>
          </w:tcPr>
          <w:p w14:paraId="5BB6ACDC" w14:textId="77777777" w:rsidR="00664D9B" w:rsidRPr="00C73DE7"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0A12606C" w14:textId="77777777" w:rsidR="00664D9B" w:rsidRPr="00C73DE7"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7E09C34E" w14:textId="36FE4E5B" w:rsidR="00664D9B" w:rsidRPr="00C73DE7" w:rsidRDefault="00664D9B" w:rsidP="00664D9B">
            <w:pPr>
              <w:rPr>
                <w:rFonts w:ascii="Calibri" w:hAnsi="Calibri" w:cs="Calibri"/>
                <w:sz w:val="16"/>
                <w:szCs w:val="16"/>
              </w:rPr>
            </w:pPr>
            <w:r>
              <w:rPr>
                <w:rFonts w:ascii="Calibri" w:hAnsi="Calibri" w:cs="Calibri"/>
                <w:sz w:val="16"/>
                <w:szCs w:val="16"/>
              </w:rPr>
              <w:t>83</w:t>
            </w:r>
          </w:p>
        </w:tc>
      </w:tr>
      <w:tr w:rsidR="00664D9B" w:rsidRPr="00C73DE7" w14:paraId="50C93776"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FBD1BCE" w14:textId="470BF9CF" w:rsidR="00664D9B" w:rsidRPr="00C126BD" w:rsidRDefault="00664D9B" w:rsidP="00664D9B">
            <w:pPr>
              <w:rPr>
                <w:rFonts w:ascii="Calibri" w:hAnsi="Calibri" w:cs="Calibri"/>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{"citationItems":[{"id":"ITEM-1","itemData":{"DOI":"10.3389/fpsyt.2018.00092","ISBN":"1664-0640 (Print)\r1664-0640","ISSN":"16640640","PMID":"29618992","abstract":"Background: Electroconvulsive therapy (ECT) is arguably the most effective available treatment for severe depression. Recent studies have used MRI data to predict clinical outcome to ECT and other antidepressant therapies. One challenge facing such studies is selecting from among the many available metrics, which characterize complementary and sometimes non-overlapping aspects of brain function and connectomics. Here, we assessed the ability of aggregated, functional MRI metrics of basal brain activity and connectivity to predict antidepressant response to ECT using machine learning. Methods: A radial support vector machine was trained using arterial spin labeling (ASL) and blood-oxygen-level-dependent (BOLD) functional magnetic resonance imaging (fMRI) metrics from n = 46 (26 female, mean age 42) depressed patients prior to ECT (majority right-unilateral stimulation). Image preprocessing was applied using standard procedures, and metrics included cerebral blood flow in ASL, and regional homogeneity, fractional amplitude of low-frequency modulations, and graph theory metrics (strength, local efficiency, and clustering) in BOLD data. A 5-repeated 5-fold cross-validation procedure with nested feature-selection validated model performance. Linear regressions were applied post hoc to aid interpretation of discriminative features. Results: The range of balanced accuracy in models performing statistically above chance was 58-68%. Here, prediction of non-responders was slightly higher than for responders (maximum performance 74 and 64%, respectively). Several features were consistently selected across cross-validation folds, mostly within frontal and temporal regions. Among these were connectivity strength among: a fronto-parietal network [including left dorsolateral prefrontal cortex (DLPFC)], motor and temporal networks (near ECT electrodes), and/or subgenual anterior cingulate cortex (sgACC). Conclusion: Our data indicate that pattern classification of multimodal fMRI metrics can successfully predict ECT outcome, particularly for individuals who will not respond to treatment. Notably, connectivity with networks highly relevant to ECT and depression were consistently selected as important predictive features. These included the left DLPFC and the sgACC, which are both targets of other neurostimulation therapies for depression, as well as connectivity between motor and right temporal cortices near electrode sites. Future studies that probe additional function…","author":[{"dropping-particle":"","family":"Leaver","given":"Amber M.","non-dropping-particle":"","parse-names":false,"suffix":""},{"dropping-particle":"","family":"Wade","given":"Benjamin","non-dropping-particle":"","parse-names":false,"suffix":""},{"dropping-particle":"","family":"Vasavada","given":"Megha","non-dropping-particle":"","parse-names":false,"suffix":""},{"dropping-particle":"","family":"Hellemann","given":"Gerhard","non-dropping-particle":"","parse-names":false,"suffix":""},{"dropping-particle":"","family":"Joshi","given":"Shantanu H.","non-dropping-particle":"","parse-names":false,"suffix":""},{"dropping-particle":"","family":"Espinoza","given":"Randall","non-dropping-particle":"","parse-names":false,"suffix":""},{"dropping-particle":"","family":"Narr","given":"Katherine L.","non-dropping-particle":"","parse-names":false,"suffix":""}],"container-title":"Frontiers in Psychiatry","edition":"2018/04/06","id":"ITEM-1","issue":"MAR","issued":{"date-parts":[["2018"]]},"language":"eng","note":"Leaver, Amber M\nWade, Benjamin\nVasavada, Megha\nHellemann, Gerhard\nJoshi, Shantanu H\nEspinoza, Randall\nNarr, Katherine L\nK24 MH102743/MH/NIMH NIH HHS/United States\nU01 MH110008/MH/NIMH NIH HHS/United States\nJournal Article\nSwitzerland\nFront Psychiatry. 2018 Mar 21;9:92. doi: 10.3389/fpsyt.2018.00092. eCollection 2018.","page":"92","title":"Fronto-temporal connectivity predicts ECT outcome in major depression","type":"article-journal","volume":"9"},"uris":["http://www.mendeley.com/documents/?uuid=93ebe686-aa32-4f5f-a567-cdbdbc3ce48a"]}],"mendeley":{"formattedCitation":"(Leaver et al., 2018)","plainTextFormattedCitation":"(Leaver et al., 2018)","previouslyFormattedCitation":"(Leaver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(Leaver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04E080A3"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Non-remission</w:t>
            </w:r>
          </w:p>
        </w:tc>
        <w:tc>
          <w:tcPr>
            <w:tcW w:w="1440" w:type="dxa"/>
            <w:tcBorders>
              <w:top w:val="single" w:sz="4" w:space="0" w:color="auto"/>
              <w:left w:val="single" w:sz="4" w:space="0" w:color="auto"/>
              <w:bottom w:val="single" w:sz="4" w:space="0" w:color="auto"/>
              <w:right w:val="single" w:sz="4" w:space="0" w:color="auto"/>
            </w:tcBorders>
          </w:tcPr>
          <w:p w14:paraId="5E0A2191"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HAM-17,</w:t>
            </w:r>
          </w:p>
          <w:p w14:paraId="45B6A419"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MADRS,</w:t>
            </w:r>
          </w:p>
          <w:p w14:paraId="2F51DE87" w14:textId="0AC2268E" w:rsidR="00664D9B" w:rsidRPr="00C126B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QIDS-SR,</w:t>
            </w:r>
          </w:p>
        </w:tc>
        <w:tc>
          <w:tcPr>
            <w:tcW w:w="990" w:type="dxa"/>
            <w:tcBorders>
              <w:top w:val="single" w:sz="4" w:space="0" w:color="auto"/>
              <w:left w:val="single" w:sz="4" w:space="0" w:color="auto"/>
              <w:bottom w:val="single" w:sz="4" w:space="0" w:color="auto"/>
              <w:right w:val="single" w:sz="4" w:space="0" w:color="auto"/>
            </w:tcBorders>
          </w:tcPr>
          <w:p w14:paraId="4EDB88F9" w14:textId="608CEADF"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 xml:space="preserve">4 weeks </w:t>
            </w:r>
          </w:p>
        </w:tc>
        <w:tc>
          <w:tcPr>
            <w:tcW w:w="900" w:type="dxa"/>
            <w:tcBorders>
              <w:top w:val="single" w:sz="4" w:space="0" w:color="auto"/>
              <w:left w:val="single" w:sz="4" w:space="0" w:color="auto"/>
              <w:bottom w:val="single" w:sz="4" w:space="0" w:color="auto"/>
              <w:right w:val="single" w:sz="4" w:space="0" w:color="auto"/>
            </w:tcBorders>
            <w:noWrap/>
            <w:hideMark/>
          </w:tcPr>
          <w:p w14:paraId="33B395AD" w14:textId="3B05214E"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0.88</w:t>
            </w:r>
          </w:p>
        </w:tc>
        <w:tc>
          <w:tcPr>
            <w:tcW w:w="990" w:type="dxa"/>
            <w:tcBorders>
              <w:top w:val="single" w:sz="4" w:space="0" w:color="auto"/>
              <w:left w:val="single" w:sz="4" w:space="0" w:color="auto"/>
              <w:bottom w:val="single" w:sz="4" w:space="0" w:color="auto"/>
              <w:right w:val="single" w:sz="4" w:space="0" w:color="auto"/>
            </w:tcBorders>
            <w:noWrap/>
            <w:hideMark/>
          </w:tcPr>
          <w:p w14:paraId="0B81EAFD"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122096EC"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74A994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74</w:t>
            </w:r>
          </w:p>
        </w:tc>
        <w:tc>
          <w:tcPr>
            <w:tcW w:w="900" w:type="dxa"/>
            <w:tcBorders>
              <w:top w:val="single" w:sz="4" w:space="0" w:color="auto"/>
              <w:left w:val="single" w:sz="4" w:space="0" w:color="auto"/>
              <w:bottom w:val="single" w:sz="4" w:space="0" w:color="auto"/>
              <w:right w:val="single" w:sz="4" w:space="0" w:color="auto"/>
            </w:tcBorders>
            <w:noWrap/>
            <w:hideMark/>
          </w:tcPr>
          <w:p w14:paraId="53E60AF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900" w:type="dxa"/>
            <w:tcBorders>
              <w:top w:val="single" w:sz="4" w:space="0" w:color="auto"/>
              <w:left w:val="single" w:sz="4" w:space="0" w:color="auto"/>
              <w:bottom w:val="single" w:sz="4" w:space="0" w:color="auto"/>
              <w:right w:val="single" w:sz="4" w:space="0" w:color="auto"/>
            </w:tcBorders>
            <w:noWrap/>
            <w:hideMark/>
          </w:tcPr>
          <w:p w14:paraId="3B3F499F" w14:textId="77777777" w:rsidR="00664D9B" w:rsidRPr="00C126BD" w:rsidRDefault="00664D9B" w:rsidP="00664D9B">
            <w:pPr>
              <w:rPr>
                <w:rFonts w:ascii="Calibri" w:eastAsia="Times New Roman" w:hAnsi="Calibri" w:cs="Calibri"/>
                <w:color w:val="000000"/>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5F832D4"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DC2AF3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83</w:t>
            </w:r>
          </w:p>
        </w:tc>
      </w:tr>
      <w:tr w:rsidR="00664D9B" w:rsidRPr="00C73DE7" w14:paraId="7B8C8F19"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2617937" w14:textId="6967B0D1" w:rsidR="00664D9B" w:rsidRPr="00C126BD" w:rsidRDefault="00664D9B" w:rsidP="00664D9B">
            <w:pPr>
              <w:rPr>
                <w:rFonts w:ascii="Calibri" w:hAnsi="Calibri" w:cs="Calibri"/>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{"citationItems":[{"id":"ITEM-1","itemData":{"DOI":"10.3389/fpsyt.2018.00092","ISBN":"1664-0640 (Print)\r1664-0640","ISSN":"16640640","PMID":"29618992","abstract":"Background: Electroconvulsive therapy (ECT) is arguably the most effective available treatment for severe depression. Recent studies have used MRI data to predict clinical outcome to ECT and other antidepressant therapies. One challenge facing such studies is selecting from among the many available metrics, which characterize complementary and sometimes non-overlapping aspects of brain function and connectomics. Here, we assessed the ability of aggregated, functional MRI metrics of basal brain activity and connectivity to predict antidepressant response to ECT using machine learning. Methods: A radial support vector machine was trained using arterial spin labeling (ASL) and blood-oxygen-level-dependent (BOLD) functional magnetic resonance imaging (fMRI) metrics from n = 46 (26 female, mean age 42) depressed patients prior to ECT (majority right-unilateral stimulation). Image preprocessing was applied using standard procedures, and metrics included cerebral blood flow in ASL, and regional homogeneity, fractional amplitude of low-frequency modulations, and graph theory metrics (strength, local efficiency, and clustering) in BOLD data. A 5-repeated 5-fold cross-validation procedure with nested feature-selection validated model performance. Linear regressions were applied post hoc to aid interpretation of discriminative features. Results: The range of balanced accuracy in models performing statistically above chance was 58-68%. Here, prediction of non-responders was slightly higher than for responders (maximum performance 74 and 64%, respectively). Several features were consistently selected across cross-validation folds, mostly within frontal and temporal regions. Among these were connectivity strength among: a fronto-parietal network [including left dorsolateral prefrontal cortex (DLPFC)], motor and temporal networks (near ECT electrodes), and/or subgenual anterior cingulate cortex (sgACC). Conclusion: Our data indicate that pattern classification of multimodal fMRI metrics can successfully predict ECT outcome, particularly for individuals who will not respond to treatment. Notably, connectivity with networks highly relevant to ECT and depression were consistently selected as important predictive features. These included the left DLPFC and the sgACC, which are both targets of other neurostimulation therapies for depression, as well as connectivity between motor and right temporal cortices near electrode sites. Future studies that probe additional function…","author":[{"dropping-particle":"","family":"Leaver","given":"Amber M.","non-dropping-particle":"","parse-names":false,"suffix":""},{"dropping-particle":"","family":"Wade","given":"Benjamin","non-dropping-particle":"","parse-names":false,"suffix":""},{"dropping-particle":"","family":"Vasavada","given":"Megha","non-dropping-particle":"","parse-names":false,"suffix":""},{"dropping-particle":"","family":"Hellemann","given":"Gerhard","non-dropping-particle":"","parse-names":false,"suffix":""},{"dropping-particle":"","family":"Joshi","given":"Shantanu H.","non-dropping-particle":"","parse-names":false,"suffix":""},{"dropping-particle":"","family":"Espinoza","given":"Randall","non-dropping-particle":"","parse-names":false,"suffix":""},{"dropping-particle":"","family":"Narr","given":"Katherine L.","non-dropping-particle":"","parse-names":false,"suffix":""}],"container-title":"Frontiers in Psychiatry","edition":"2018/04/06","id":"ITEM-1","issue":"MAR","issued":{"date-parts":[["2018"]]},"language":"eng","note":"Leaver, Amber M\nWade, Benjamin\nVasavada, Megha\nHellemann, Gerhard\nJoshi, Shantanu H\nEspinoza, Randall\nNarr, Katherine L\nK24 MH102743/MH/NIMH NIH HHS/United States\nU01 MH110008/MH/NIMH NIH HHS/United States\nJournal Article\nSwitzerland\nFront Psychiatry. 2018 Mar 21;9:92. doi: 10.3389/fpsyt.2018.00092. eCollection 2018.","page":"92","title":"Fronto-temporal connectivity predicts ECT outcome in major depression","type":"article-journal","volume":"9"},"uris":["http://www.mendeley.com/documents/?uuid=93ebe686-aa32-4f5f-a567-cdbdbc3ce48a"]}],"mendeley":{"formattedCitation":"(Leaver et al., 2018)","plainTextFormattedCitation":"(Leaver et al., 2018)","previouslyFormattedCitation":"(Leaver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(Leaver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00741A89"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3AB12C0F"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HAM-17,</w:t>
            </w:r>
          </w:p>
          <w:p w14:paraId="39F41777"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MADRS,</w:t>
            </w:r>
          </w:p>
          <w:p w14:paraId="17783760" w14:textId="6434FCCE" w:rsidR="00664D9B" w:rsidRPr="00C126B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QIDS-SR,</w:t>
            </w:r>
          </w:p>
        </w:tc>
        <w:tc>
          <w:tcPr>
            <w:tcW w:w="990" w:type="dxa"/>
            <w:tcBorders>
              <w:top w:val="single" w:sz="4" w:space="0" w:color="auto"/>
              <w:left w:val="single" w:sz="4" w:space="0" w:color="auto"/>
              <w:bottom w:val="single" w:sz="4" w:space="0" w:color="auto"/>
              <w:right w:val="single" w:sz="4" w:space="0" w:color="auto"/>
            </w:tcBorders>
          </w:tcPr>
          <w:p w14:paraId="652AD594" w14:textId="0B4E7F62"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4 weeks</w:t>
            </w:r>
          </w:p>
        </w:tc>
        <w:tc>
          <w:tcPr>
            <w:tcW w:w="900" w:type="dxa"/>
            <w:tcBorders>
              <w:top w:val="single" w:sz="4" w:space="0" w:color="auto"/>
              <w:left w:val="single" w:sz="4" w:space="0" w:color="auto"/>
              <w:bottom w:val="single" w:sz="4" w:space="0" w:color="auto"/>
              <w:right w:val="single" w:sz="4" w:space="0" w:color="auto"/>
            </w:tcBorders>
            <w:noWrap/>
            <w:hideMark/>
          </w:tcPr>
          <w:p w14:paraId="012AAE4C" w14:textId="572297EA"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0.64</w:t>
            </w:r>
          </w:p>
        </w:tc>
        <w:tc>
          <w:tcPr>
            <w:tcW w:w="990" w:type="dxa"/>
            <w:tcBorders>
              <w:top w:val="single" w:sz="4" w:space="0" w:color="auto"/>
              <w:left w:val="single" w:sz="4" w:space="0" w:color="auto"/>
              <w:bottom w:val="single" w:sz="4" w:space="0" w:color="auto"/>
              <w:right w:val="single" w:sz="4" w:space="0" w:color="auto"/>
            </w:tcBorders>
            <w:noWrap/>
            <w:hideMark/>
          </w:tcPr>
          <w:p w14:paraId="5D6D59B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0.68</w:t>
            </w:r>
          </w:p>
        </w:tc>
        <w:tc>
          <w:tcPr>
            <w:tcW w:w="630" w:type="dxa"/>
            <w:tcBorders>
              <w:top w:val="single" w:sz="4" w:space="0" w:color="auto"/>
              <w:left w:val="single" w:sz="4" w:space="0" w:color="auto"/>
              <w:bottom w:val="single" w:sz="4" w:space="0" w:color="auto"/>
              <w:right w:val="single" w:sz="4" w:space="0" w:color="auto"/>
            </w:tcBorders>
            <w:noWrap/>
            <w:hideMark/>
          </w:tcPr>
          <w:p w14:paraId="4718EC4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22E5DD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37</w:t>
            </w:r>
          </w:p>
        </w:tc>
        <w:tc>
          <w:tcPr>
            <w:tcW w:w="900" w:type="dxa"/>
            <w:tcBorders>
              <w:top w:val="single" w:sz="4" w:space="0" w:color="auto"/>
              <w:left w:val="single" w:sz="4" w:space="0" w:color="auto"/>
              <w:bottom w:val="single" w:sz="4" w:space="0" w:color="auto"/>
              <w:right w:val="single" w:sz="4" w:space="0" w:color="auto"/>
            </w:tcBorders>
            <w:noWrap/>
            <w:hideMark/>
          </w:tcPr>
          <w:p w14:paraId="67D35527"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17694A8"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D31C28E"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9018D0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w:t>
            </w:r>
          </w:p>
        </w:tc>
      </w:tr>
      <w:tr w:rsidR="00664D9B" w:rsidRPr="00C73DE7" w14:paraId="5F8EC208" w14:textId="77777777" w:rsidTr="00C126BD">
        <w:trPr>
          <w:trHeight w:val="82"/>
        </w:trPr>
        <w:tc>
          <w:tcPr>
            <w:tcW w:w="3060" w:type="dxa"/>
            <w:tcBorders>
              <w:top w:val="single" w:sz="4" w:space="0" w:color="auto"/>
              <w:left w:val="single" w:sz="4" w:space="0" w:color="auto"/>
              <w:bottom w:val="single" w:sz="4" w:space="0" w:color="auto"/>
              <w:right w:val="single" w:sz="4" w:space="0" w:color="auto"/>
            </w:tcBorders>
            <w:noWrap/>
            <w:hideMark/>
          </w:tcPr>
          <w:p w14:paraId="5A5AA372" w14:textId="0AE21780"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{"citationItems":[{"id":"ITEM-1","itemData":{"DOI":"10.3389/fpsyt.2018.00092","ISBN":"1664-0640 (Print)\r1664-0640","ISSN":"16640640","PMID":"29618992","abstract":"Background: Electroconvulsive therapy (ECT) is arguably the most effective available treatment for severe depression. Recent studies have used MRI data to predict clinical outcome to ECT and other antidepressant therapies. One challenge facing such studies is selecting from among the many available metrics, which characterize complementary and sometimes non-overlapping aspects of brain function and connectomics. Here, we assessed the ability of aggregated, functional MRI metrics of basal brain activity and connectivity to predict antidepressant response to ECT using machine learning. Methods: A radial support vector machine was trained using arterial spin labeling (ASL) and blood-oxygen-level-dependent (BOLD) functional magnetic resonance imaging (fMRI) metrics from n = 46 (26 female, mean age 42) depressed patients prior to ECT (majority right-unilateral stimulation). Image preprocessing was applied using standard procedures, and metrics included cerebral blood flow in ASL, and regional homogeneity, fractional amplitude of low-frequency modulations, and graph theory metrics (strength, local efficiency, and clustering) in BOLD data. A 5-repeated 5-fold cross-validation procedure with nested feature-selection validated model performance. Linear regressions were applied post hoc to aid interpretation of discriminative features. Results: The range of balanced accuracy in models performing statistically above chance was 58-68%. Here, prediction of non-responders was slightly higher than for responders (maximum performance 74 and 64%, respectively). Several features were consistently selected across cross-validation folds, mostly within frontal and temporal regions. Among these were connectivity strength among: a fronto-parietal network [including left dorsolateral prefrontal cortex (DLPFC)], motor and temporal networks (near ECT electrodes), and/or subgenual anterior cingulate cortex (sgACC). Conclusion: Our data indicate that pattern classification of multimodal fMRI metrics can successfully predict ECT outcome, particularly for individuals who will not respond to treatment. Notably, connectivity with networks highly relevant to ECT and depression were consistently selected as important predictive features. These included the left DLPFC and the sgACC, which are both targets of other neurostimulation therapies for depression, as well as connectivity between motor and right temporal cortices near electrode sites. Future studies that probe additional function…","author":[{"dropping-particle":"","family":"Leaver","given":"Amber M.","non-dropping-particle":"","parse-names":false,"suffix":""},{"dropping-particle":"","family":"Wade","given":"Benjamin","non-dropping-particle":"","parse-names":false,"suffix":""},{"dropping-particle":"","family":"Vasavada","given":"Megha","non-dropping-particle":"","parse-names":false,"suffix":""},{"dropping-particle":"","family":"Hellemann","given":"Gerhard","non-dropping-particle":"","parse-names":false,"suffix":""},{"dropping-particle":"","family":"Joshi","given":"Shantanu H.","non-dropping-particle":"","parse-names":false,"suffix":""},{"dropping-particle":"","family":"Espinoza","given":"Randall","non-dropping-particle":"","parse-names":false,"suffix":""},{"dropping-particle":"","family":"Narr","given":"Katherine L.","non-dropping-particle":"","parse-names":false,"suffix":""}],"container-title":"Frontiers in Psychiatry","edition":"2018/04/06","id":"ITEM-1","issue":"MAR","issued":{"date-parts":[["2018"]]},"language":"eng","note":"Leaver, Amber M\nWade, Benjamin\nVasavada, Megha\nHellemann, Gerhard\nJoshi, Shantanu H\nEspinoza, Randall\nNarr, Katherine L\nK24 MH102743/MH/NIMH NIH HHS/United States\nU01 MH110008/MH/NIMH NIH HHS/United States\nJournal Article\nSwitzerland\nFront Psychiatry. 2018 Mar 21;9:92. doi: 10.3389/fpsyt.2018.00092. eCollection 2018.","page":"92","title":"Fronto-temporal connectivity predicts ECT outcome in major depression","type":"article-journal","volume":"9"},"uris":["http://www.mendeley.com/documents/?uuid=93ebe686-aa32-4f5f-a567-cdbdbc3ce48a"]}],"mendeley":{"formattedCitation":"(Leaver et al., 2018)","plainTextFormattedCitation":"(Leaver et al., 2018)","previouslyFormattedCitation":"(Leaver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(Leaver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23D45DF"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Non-response</w:t>
            </w:r>
          </w:p>
        </w:tc>
        <w:tc>
          <w:tcPr>
            <w:tcW w:w="1440" w:type="dxa"/>
            <w:tcBorders>
              <w:top w:val="single" w:sz="4" w:space="0" w:color="auto"/>
              <w:left w:val="single" w:sz="4" w:space="0" w:color="auto"/>
              <w:bottom w:val="single" w:sz="4" w:space="0" w:color="auto"/>
              <w:right w:val="single" w:sz="4" w:space="0" w:color="auto"/>
            </w:tcBorders>
          </w:tcPr>
          <w:p w14:paraId="174E9C5F"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HAM-17,</w:t>
            </w:r>
          </w:p>
          <w:p w14:paraId="3DD1B444" w14:textId="77777777" w:rsidR="00664D9B" w:rsidRPr="007224D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MADRS,</w:t>
            </w:r>
          </w:p>
          <w:p w14:paraId="2FCC0006" w14:textId="30FD60AF" w:rsidR="00664D9B" w:rsidRPr="00C126BD" w:rsidRDefault="00664D9B" w:rsidP="00C126BD">
            <w:pPr>
              <w:rPr>
                <w:rFonts w:ascii="Calibri" w:eastAsia="Times New Roman" w:hAnsi="Calibri" w:cs="Calibri"/>
                <w:color w:val="000000"/>
                <w:sz w:val="16"/>
                <w:szCs w:val="16"/>
              </w:rPr>
            </w:pPr>
            <w:r w:rsidRPr="007224DD">
              <w:rPr>
                <w:rFonts w:ascii="Calibri" w:eastAsia="Times New Roman" w:hAnsi="Calibri" w:cs="Calibri"/>
                <w:color w:val="000000"/>
                <w:sz w:val="16"/>
                <w:szCs w:val="16"/>
              </w:rPr>
              <w:t>QIDS-SR,</w:t>
            </w:r>
          </w:p>
        </w:tc>
        <w:tc>
          <w:tcPr>
            <w:tcW w:w="990" w:type="dxa"/>
            <w:tcBorders>
              <w:top w:val="single" w:sz="4" w:space="0" w:color="auto"/>
              <w:left w:val="single" w:sz="4" w:space="0" w:color="auto"/>
              <w:bottom w:val="single" w:sz="4" w:space="0" w:color="auto"/>
              <w:right w:val="single" w:sz="4" w:space="0" w:color="auto"/>
            </w:tcBorders>
          </w:tcPr>
          <w:p w14:paraId="2824F64B" w14:textId="1AE86083"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4 weeks</w:t>
            </w:r>
          </w:p>
        </w:tc>
        <w:tc>
          <w:tcPr>
            <w:tcW w:w="900" w:type="dxa"/>
            <w:tcBorders>
              <w:top w:val="single" w:sz="4" w:space="0" w:color="auto"/>
              <w:left w:val="single" w:sz="4" w:space="0" w:color="auto"/>
              <w:bottom w:val="single" w:sz="4" w:space="0" w:color="auto"/>
              <w:right w:val="single" w:sz="4" w:space="0" w:color="auto"/>
            </w:tcBorders>
            <w:noWrap/>
            <w:hideMark/>
          </w:tcPr>
          <w:p w14:paraId="63AE66B5" w14:textId="37508C59"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0.74</w:t>
            </w:r>
          </w:p>
        </w:tc>
        <w:tc>
          <w:tcPr>
            <w:tcW w:w="990" w:type="dxa"/>
            <w:tcBorders>
              <w:top w:val="single" w:sz="4" w:space="0" w:color="auto"/>
              <w:left w:val="single" w:sz="4" w:space="0" w:color="auto"/>
              <w:bottom w:val="single" w:sz="4" w:space="0" w:color="auto"/>
              <w:right w:val="single" w:sz="4" w:space="0" w:color="auto"/>
            </w:tcBorders>
            <w:noWrap/>
            <w:hideMark/>
          </w:tcPr>
          <w:p w14:paraId="34A720C5"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0AA0F871"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C67B67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37</w:t>
            </w:r>
          </w:p>
        </w:tc>
        <w:tc>
          <w:tcPr>
            <w:tcW w:w="900" w:type="dxa"/>
            <w:tcBorders>
              <w:top w:val="single" w:sz="4" w:space="0" w:color="auto"/>
              <w:left w:val="single" w:sz="4" w:space="0" w:color="auto"/>
              <w:bottom w:val="single" w:sz="4" w:space="0" w:color="auto"/>
              <w:right w:val="single" w:sz="4" w:space="0" w:color="auto"/>
            </w:tcBorders>
            <w:noWrap/>
            <w:hideMark/>
          </w:tcPr>
          <w:p w14:paraId="11D065B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2DA55C7"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D196D4A"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238279F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9</w:t>
            </w:r>
          </w:p>
        </w:tc>
      </w:tr>
      <w:tr w:rsidR="00664D9B" w:rsidRPr="00C73DE7" w14:paraId="4B1D2908"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02B6836A" w14:textId="1A2BBD0B"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Pr="00C126BD">
              <w:rPr>
                <w:rFonts w:ascii="Calibri" w:eastAsia="Times New Roman" w:hAnsi="Calibri" w:cs="Calibri"/>
                <w:color w:val="000000"/>
                <w:sz w:val="16"/>
                <w:szCs w:val="16"/>
              </w:rPr>
              <w:instrText>ADDIN CSL_CITATION {"citationItems":[{"id":"ITEM-1","itemData":{"DOI":"10.3389/fpsyt.2018.00290","ISBN":"1664-0640 (Print)\r1664-0640","PMID":"30034349","abstract":"In the wake of recent advances in scientific research, personalized medicine using deep learning techniques represents a new paradigm. In this work, our goal was to establish deep learning models which distinguish responders from non-responders, and also to predict possible antidepressant treatment outcomes in major depressive disorder (MDD). To uncover relationships between the responsiveness of antidepressant treatment and biomarkers, we developed a deep learning prediction approach resulting from the analysis of genetic and clinical factors such as single nucleotide polymorphisms (SNPs), age, sex, baseline Hamilton Rating Scale for Depression score, depressive episodes, marital status, and suicide attempt status of MDD patients. The cohort consisted of 455 patients who were treated with selective serotonin reuptake inhibitors (treatment-response rate = 61.0%; remission rate = 33.0%). By using the SNP dataset that was original to a genome-wide association study, we selected 10 SNPs (including ABCA13 rs4917029, BNIP3 rs9419139, CACNA1E rs704329, EXOC4 rs6978272, GRIN2B rs7954376, LHFPL3 rs4352778, NELL1 rs2139423, NUAK1 rs2956406, PREX1 rs4810894, and SLIT3 rs139863958) which were associated with antidepressant treatment response. Furthermore, we pinpointed 10 SNPs (including ARNTL rs11022778, CAMK1D rs2724812, GABRB3 rs12904459, GRM8 rs35864549, NAALADL2 rs9878985, NCALD rs483986, PLA2G4A rs12046378, PROK2 rs73103153, RBFOX1 rs17134927, and ZNF536 rs77554113) in relation to remission. Then, we employed multilayer feedforward neural networks (MFNNs) containing 1-3 hidden layers and compared MFNN models with logistic regression models. Our analysis results revealed that the MFNN model with 2 hidden layers (area under the receiver operating characteristic curve (AUC) = 0.8228 +/- 0.0571; sensitivity = 0.7546 +/- 0.0619; specificity = 0.6922 +/- 0.0765) performed maximally among predictive models to infer the complex relationship between antidepressant treatment response and biomarkers. In addition, the MFNN model with 3 hidden layers (AUC = 0.8060 +/- 0.0722; sensitivity = 0.7732 +/- 0.0583; specificity = 0.6623 +/- 0.0853) achieved best among predictive models to predict remission. Our study indicates that the deep MFNN framework may provide a suitable method to establish a tool for distinguishing treatment responders from non-responders prior to antidepressant therapy.","author":[{"dropping-particle":"","family":"Lin","given":"E","non-dropping-particle":"","parse-names":false,"suffix":""},{"dropping-particle":"","family":"Kuo","given":"P H","non-dropping-particle":"","parse-names":false,"suffix":""},{"dropping-particle":"","family":"Liu","given":"Y L","non-dropping-particle":"","parse-names":false,"suffix":""},{"dropping-particle":"","family":"Yu","given":"Y W","non-dropping-particle":"","parse-names":false,"suffix":""},{"dropping-particle":"","family":"Yang","given":"A C","non-dropping-particle":"","parse-names":false,"suffix":""},{"dropping-particle":"","family":"Tsai","given":"S J","non-dropping-particle":"","parse-names":false,"suffix":""}],"container-title":"Front Psychiatry","edition":"2018/07/24","id":"ITEM-1","issued":{"date-parts":[["2018"]]},"language":"eng","note":"Lin, Eugene\nKuo, Po-Hsiu\nLiu, Yu-Li\nYu, Younger W-Y\nYang, Albert C\nTsai, Shih-Jen\nJournal Article\nSwitzerland\nFront Psychiatry. 2018 Jul 6;9:290. doi: 10.3389/fpsyt.2018.00290. eCollection 2018.","page":"290","title":"A Deep Learning Approach for Predicting Antidepressant Response in Major Depression Using Clinical and Genetic Biomarkers","type":"article-journal","volume":"9"},"uris":["http://www.mendeley.com/documents/?uuid=bde8efdf-9c56-4d36-bcc1-6537a24bcc45"]}],"mendeley":{"formattedCitation":"(Lin et al., 2018)","plainTextFormattedCitation":"(Lin et al., 2018)","previouslyFormattedCitation":"(Lin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(Lin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2EDC34DA"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1BE95ACD" w14:textId="589BE9E8" w:rsidR="00664D9B" w:rsidRPr="00C126BD" w:rsidRDefault="00664D9B">
            <w:pPr>
              <w:rPr>
                <w:rFonts w:ascii="Calibri" w:eastAsia="Times New Roman" w:hAnsi="Calibri" w:cs="Calibri"/>
                <w:color w:val="000000"/>
                <w:sz w:val="16"/>
                <w:szCs w:val="16"/>
              </w:rPr>
            </w:pPr>
            <w:r w:rsidRPr="00B70460">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5D6ACF58" w14:textId="59AE8E94"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50E463A4" w14:textId="2D096B6C"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4CF704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0.61</w:t>
            </w:r>
          </w:p>
        </w:tc>
        <w:tc>
          <w:tcPr>
            <w:tcW w:w="630" w:type="dxa"/>
            <w:tcBorders>
              <w:top w:val="single" w:sz="4" w:space="0" w:color="auto"/>
              <w:left w:val="single" w:sz="4" w:space="0" w:color="auto"/>
              <w:bottom w:val="single" w:sz="4" w:space="0" w:color="auto"/>
              <w:right w:val="single" w:sz="4" w:space="0" w:color="auto"/>
            </w:tcBorders>
            <w:noWrap/>
            <w:hideMark/>
          </w:tcPr>
          <w:p w14:paraId="05125A1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900" w:type="dxa"/>
            <w:tcBorders>
              <w:top w:val="single" w:sz="4" w:space="0" w:color="auto"/>
              <w:left w:val="single" w:sz="4" w:space="0" w:color="auto"/>
              <w:bottom w:val="single" w:sz="4" w:space="0" w:color="auto"/>
              <w:right w:val="single" w:sz="4" w:space="0" w:color="auto"/>
            </w:tcBorders>
            <w:noWrap/>
            <w:hideMark/>
          </w:tcPr>
          <w:p w14:paraId="2C17BE9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421</w:t>
            </w:r>
          </w:p>
        </w:tc>
        <w:tc>
          <w:tcPr>
            <w:tcW w:w="900" w:type="dxa"/>
            <w:tcBorders>
              <w:top w:val="single" w:sz="4" w:space="0" w:color="auto"/>
              <w:left w:val="single" w:sz="4" w:space="0" w:color="auto"/>
              <w:bottom w:val="single" w:sz="4" w:space="0" w:color="auto"/>
              <w:right w:val="single" w:sz="4" w:space="0" w:color="auto"/>
            </w:tcBorders>
            <w:noWrap/>
            <w:hideMark/>
          </w:tcPr>
          <w:p w14:paraId="25F849BB"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131435B"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9F1CB49"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C105F19" w14:textId="77777777" w:rsidR="00664D9B" w:rsidRPr="00C126BD" w:rsidRDefault="00664D9B" w:rsidP="00664D9B">
            <w:pPr>
              <w:rPr>
                <w:rFonts w:ascii="Calibri" w:hAnsi="Calibri" w:cs="Calibri"/>
                <w:sz w:val="16"/>
                <w:szCs w:val="16"/>
              </w:rPr>
            </w:pPr>
          </w:p>
        </w:tc>
      </w:tr>
      <w:tr w:rsidR="00664D9B" w:rsidRPr="00C73DE7" w14:paraId="7144F932"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8BC07ED" w14:textId="2707E44E"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Pr="00C126BD">
              <w:rPr>
                <w:rFonts w:ascii="Calibri" w:eastAsia="Times New Roman" w:hAnsi="Calibri" w:cs="Calibri"/>
                <w:color w:val="000000"/>
                <w:sz w:val="16"/>
                <w:szCs w:val="16"/>
              </w:rPr>
              <w:instrText>ADDIN CSL_CITATION {"citationItems":[{"id":"ITEM-1","itemData":{"DOI":"10.3389/fpsyt.2018.00290","ISBN":"1664-0640 (Print)\r1664-0640","PMID":"30034349","abstract":"In the wake of recent advances in scientific research, personalized medicine using deep learning techniques represents a new paradigm. In this work, our goal was to establish deep learning models which distinguish responders from non-responders, and also to predict possible antidepressant treatment outcomes in major depressive disorder (MDD). To uncover relationships between the responsiveness of antidepressant treatment and biomarkers, we developed a deep learning prediction approach resulting from the analysis of genetic and clinical factors such as single nucleotide polymorphisms (SNPs), age, sex, baseline Hamilton Rating Scale for Depression score, depressive episodes, marital status, and suicide attempt status of MDD patients. The cohort consisted of 455 patients who were treated with selective serotonin reuptake inhibitors (treatment-response rate = 61.0%; remission rate = 33.0%). By using the SNP dataset that was original to a genome-wide association study, we selected 10 SNPs (including ABCA13 rs4917029, BNIP3 rs9419139, CACNA1E rs704329, EXOC4 rs6978272, GRIN2B rs7954376, LHFPL3 rs4352778, NELL1 rs2139423, NUAK1 rs2956406, PREX1 rs4810894, and SLIT3 rs139863958) which were associated with antidepressant treatment response. Furthermore, we pinpointed 10 SNPs (including ARNTL rs11022778, CAMK1D rs2724812, GABRB3 rs12904459, GRM8 rs35864549, NAALADL2 rs9878985, NCALD rs483986, PLA2G4A rs12046378, PROK2 rs73103153, RBFOX1 rs17134927, and ZNF536 rs77554113) in relation to remission. Then, we employed multilayer feedforward neural networks (MFNNs) containing 1-3 hidden layers and compared MFNN models with logistic regression models. Our analysis results revealed that the MFNN model with 2 hidden layers (area under the receiver operating characteristic curve (AUC) = 0.8228 +/- 0.0571; sensitivity = 0.7546 +/- 0.0619; specificity = 0.6922 +/- 0.0765) performed maximally among predictive models to infer the complex relationship between antidepressant treatment response and biomarkers. In addition, the MFNN model with 3 hidden layers (AUC = 0.8060 +/- 0.0722; sensitivity = 0.7732 +/- 0.0583; specificity = 0.6623 +/- 0.0853) achieved best among predictive models to predict remission. Our study indicates that the deep MFNN framework may provide a suitable method to establish a tool for distinguishing treatment responders from non-responders prior to antidepressant therapy.","author":[{"dropping-particle":"","family":"Lin","given":"E","non-dropping-particle":"","parse-names":false,"suffix":""},{"dropping-particle":"","family":"Kuo","given":"P H","non-dropping-particle":"","parse-names":false,"suffix":""},{"dropping-particle":"","family":"Liu","given":"Y L","non-dropping-particle":"","parse-names":false,"suffix":""},{"dropping-particle":"","family":"Yu","given":"Y W","non-dropping-particle":"","parse-names":false,"suffix":""},{"dropping-particle":"","family":"Yang","given":"A C","non-dropping-particle":"","parse-names":false,"suffix":""},{"dropping-particle":"","family":"Tsai","given":"S J","non-dropping-particle":"","parse-names":false,"suffix":""}],"container-title":"Front Psychiatry","edition":"2018/07/24","id":"ITEM-1","issued":{"date-parts":[["2018"]]},"language":"eng","note":"Lin, Eugene\nKuo, Po-Hsiu\nLiu, Yu-Li\nYu, Younger W-Y\nYang, Albert C\nTsai, Shih-Jen\nJournal Article\nSwitzerland\nFront Psychiatry. 2018 Jul 6;9:290. doi: 10.3389/fpsyt.2018.00290. eCollection 2018.","page":"290","title":"A Deep Learning Approach for Predicting Antidepressant Response in Major Depression Using Clinical and Genetic Biomarkers","type":"article-journal","volume":"9"},"uris":["http://www.mendeley.com/documents/?uuid=bde8efdf-9c56-4d36-bcc1-6537a24bcc45"]}],"mendeley":{"formattedCitation":"(Lin et al., 2018)","plainTextFormattedCitation":"(Lin et al., 2018)","previouslyFormattedCitation":"(Lin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(Lin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2088D7C8"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47AA5519" w14:textId="620B9931" w:rsidR="00664D9B" w:rsidRPr="00C126BD" w:rsidRDefault="00664D9B">
            <w:pPr>
              <w:rPr>
                <w:rFonts w:ascii="Calibri" w:eastAsia="Times New Roman" w:hAnsi="Calibri" w:cs="Calibri"/>
                <w:color w:val="000000"/>
                <w:sz w:val="16"/>
                <w:szCs w:val="16"/>
              </w:rPr>
            </w:pPr>
            <w:r w:rsidRPr="00B70460">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7A834ADF" w14:textId="54320A03"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3CCACE7A" w14:textId="65A15D4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4B5FE85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0.61</w:t>
            </w:r>
          </w:p>
        </w:tc>
        <w:tc>
          <w:tcPr>
            <w:tcW w:w="630" w:type="dxa"/>
            <w:tcBorders>
              <w:top w:val="single" w:sz="4" w:space="0" w:color="auto"/>
              <w:left w:val="single" w:sz="4" w:space="0" w:color="auto"/>
              <w:bottom w:val="single" w:sz="4" w:space="0" w:color="auto"/>
              <w:right w:val="single" w:sz="4" w:space="0" w:color="auto"/>
            </w:tcBorders>
            <w:noWrap/>
            <w:hideMark/>
          </w:tcPr>
          <w:p w14:paraId="396189D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900" w:type="dxa"/>
            <w:tcBorders>
              <w:top w:val="single" w:sz="4" w:space="0" w:color="auto"/>
              <w:left w:val="single" w:sz="4" w:space="0" w:color="auto"/>
              <w:bottom w:val="single" w:sz="4" w:space="0" w:color="auto"/>
              <w:right w:val="single" w:sz="4" w:space="0" w:color="auto"/>
            </w:tcBorders>
            <w:noWrap/>
            <w:hideMark/>
          </w:tcPr>
          <w:p w14:paraId="6DF2632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421</w:t>
            </w:r>
          </w:p>
        </w:tc>
        <w:tc>
          <w:tcPr>
            <w:tcW w:w="900" w:type="dxa"/>
            <w:tcBorders>
              <w:top w:val="single" w:sz="4" w:space="0" w:color="auto"/>
              <w:left w:val="single" w:sz="4" w:space="0" w:color="auto"/>
              <w:bottom w:val="single" w:sz="4" w:space="0" w:color="auto"/>
              <w:right w:val="single" w:sz="4" w:space="0" w:color="auto"/>
            </w:tcBorders>
            <w:noWrap/>
            <w:hideMark/>
          </w:tcPr>
          <w:p w14:paraId="06D2019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194E463"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80A8994"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74C9D8D" w14:textId="77777777" w:rsidR="00664D9B" w:rsidRPr="00C126BD" w:rsidRDefault="00664D9B" w:rsidP="00664D9B">
            <w:pPr>
              <w:rPr>
                <w:rFonts w:ascii="Calibri" w:hAnsi="Calibri" w:cs="Calibri"/>
                <w:sz w:val="16"/>
                <w:szCs w:val="16"/>
              </w:rPr>
            </w:pPr>
          </w:p>
        </w:tc>
      </w:tr>
      <w:tr w:rsidR="00664D9B" w:rsidRPr="00C73DE7" w14:paraId="06A64D24"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7E18DE3C" w14:textId="3B7DA95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{"citationItems":[{"id":"ITEM-1","itemData":{"DOI":"10.1016/j.jpsychires.2017.12.009","ISBN":"0022-3956","ISSN":"18791379","PMID":"29407288","abstract":"Major depressive disorder (MDD) is one of the most prevalent psychiatric disorders and is commonly treated with antidepressant drugs. However, large variability is observed in terms of response to antidepressants. Machine learning (ML) models may be useful to predict treatment outcomes. A sample of 186 MDD patients received treatment with duloxetine for up to 8 weeks were categorized as “responders” based on a MADRS change &gt;50% from baseline; or “remitters” based on a MADRS score ≤10 at end point. The initial dataset (N = 186) was randomly divided into training and test sets in a nested 5-fold cross-validation, where 80% was used as a training set and 20% made up five independent test sets. We performed genome-wide logistic regression to identify potentially significant variants related to duloxetine response/remission and extracted the most promising predictors using LASSO regression. Subsequently, classification-regression trees (CRT) and support vector machines (SVM) were applied to construct models, using ten-fold cross-validation. With regards to response, none of the pairs performed significantly better than chance (accuracy p &gt;.1). For remission, SVM achieved moderate performance with an accuracy = 0.52, a sensitivity = 0.58, and a specificity = 0.46, and 0.51 for all coefficients for CRT. The best performing SVM fold was characterized by an accuracy = 0.66 (p =.071), sensitivity = 0.70 and a sensitivity = 0.61. In this study, the potential of using GWAS data to predict duloxetine outcomes was examined using ML models. The models were characterized by a promising sensitivity, but specificity remained moderate at best. The inclusion of additional non-genetic variables to create integrated models may improve prediction.","author":[{"dropping-particle":"","family":"Maciukiewicz","given":"Malgorzata","non-dropping-particle":"","parse-names":false,"suffix":""},{"dropping-particle":"","family":"Marshe","given":"Victoria S.","non-dropping-particle":"","parse-names":false,"suffix":""},{"dropping-particle":"","family":"Hauschild","given":"Anne Christin","non-dropping-particle":"","parse-names":false,"suffix":""},{"dropping-particle":"","family":"Foster","given":"Jane A.","non-dropping-particle":"","parse-names":false,"suffix":""},{"dropping-particle":"","family":"Rotzinger","given":"Susan","non-dropping-particle":"","parse-names":false,"suffix":""},{"dropping-particle":"","family":"Kennedy","given":"James L.","non-dropping-particle":"","parse-names":false,"suffix":""},{"dropping-particle":"","family":"Kennedy","given":"Sidney H.","non-dropping-particle":"","parse-names":false,"suffix":""},{"dropping-particle":"","family":"Müller","given":"Daniel J.","non-dropping-particle":"","parse-names":false,"suffix":""},{"dropping-particle":"","family":"Geraci","given":"Joseph","non-dropping-particle":"","parse-names":false,"suffix":""}],"container-title":"Journal of Psychiatric Research","edition":"2018/02/07","id":"ITEM-1","issued":{"date-parts":[["2018"]]},"language":"eng","note":"1879-1379\nMaciukiewicz, Malgorzata\nMarshe, Victoria S\nHauschild, Anne-Christin\nFoster, Jane A\nRotzinger, Susan\nKennedy, James L\nKennedy, Sidney H\nMuller, Daniel J\nGeraci, Joseph\nCIHR/Canada\nJournal Article\nResearch Support, Non-U.S. Gov't\nEngland\nJ Psychiatr Res. 2018 Apr;99:62-68. doi: 10.1016/j.jpsychires.2017.12.009. Epub 2018 Feb 2.","page":"62-68","title":"GWAS-based machine learning approach to predict duloxetine response in major depressive disorder","type":"article-journal","volume":"99"},"uris":["http://www.mendeley.com/documents/?uuid=59727ad5-c982-4ddf-9367-48fe5f3c9d11"]}],"mendeley":{"formattedCitation":"(Maciukiewicz et al., 2018)","plainTextFormattedCitation":"(Maciukiewicz et al., 2018)","previouslyFormattedCitation":"(Maciukiewicz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(Maciukiewicz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1B12935E"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58A9945E" w14:textId="42731B1A" w:rsidR="00664D9B" w:rsidRPr="00C126BD" w:rsidRDefault="00664D9B" w:rsidP="00C126BD">
            <w:pPr>
              <w:rPr>
                <w:rFonts w:ascii="Calibri" w:eastAsia="Times New Roman" w:hAnsi="Calibri" w:cs="Calibri"/>
                <w:color w:val="000000"/>
                <w:sz w:val="16"/>
                <w:szCs w:val="16"/>
              </w:rPr>
            </w:pPr>
            <w:r w:rsidRPr="00B70460">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3085CB98" w14:textId="186EC7F8"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tcPr>
          <w:p w14:paraId="32AC4275" w14:textId="19DC3910"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0.61</w:t>
            </w:r>
          </w:p>
        </w:tc>
        <w:tc>
          <w:tcPr>
            <w:tcW w:w="990" w:type="dxa"/>
            <w:tcBorders>
              <w:top w:val="single" w:sz="4" w:space="0" w:color="auto"/>
              <w:left w:val="single" w:sz="4" w:space="0" w:color="auto"/>
              <w:bottom w:val="single" w:sz="4" w:space="0" w:color="auto"/>
              <w:right w:val="single" w:sz="4" w:space="0" w:color="auto"/>
            </w:tcBorders>
            <w:noWrap/>
          </w:tcPr>
          <w:p w14:paraId="157E5D0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0.46</w:t>
            </w:r>
          </w:p>
        </w:tc>
        <w:tc>
          <w:tcPr>
            <w:tcW w:w="630" w:type="dxa"/>
            <w:tcBorders>
              <w:top w:val="single" w:sz="4" w:space="0" w:color="auto"/>
              <w:left w:val="single" w:sz="4" w:space="0" w:color="auto"/>
              <w:bottom w:val="single" w:sz="4" w:space="0" w:color="auto"/>
              <w:right w:val="single" w:sz="4" w:space="0" w:color="auto"/>
            </w:tcBorders>
            <w:noWrap/>
          </w:tcPr>
          <w:p w14:paraId="2BC34C7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7E59BEFB"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54009B25"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364CACF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36934C81"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4BEAB81F" w14:textId="77777777" w:rsidR="00664D9B" w:rsidRPr="00C126BD" w:rsidRDefault="00664D9B" w:rsidP="00664D9B">
            <w:pPr>
              <w:rPr>
                <w:rFonts w:ascii="Calibri" w:hAnsi="Calibri" w:cs="Calibri"/>
                <w:sz w:val="16"/>
                <w:szCs w:val="16"/>
              </w:rPr>
            </w:pPr>
          </w:p>
        </w:tc>
      </w:tr>
      <w:tr w:rsidR="00664D9B" w:rsidRPr="00C73DE7" w14:paraId="0714F329"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34EA0352" w14:textId="36CF625C"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{"citationItems":[{"id":"ITEM-1","itemData":{"DOI":"10.1016/j.jpsychires.2017.12.009","ISBN":"0022-3956","ISSN":"18791379","PMID":"29407288","abstract":"Major depressive disorder (MDD) is one of the most prevalent psychiatric disorders and is commonly treated with antidepressant drugs. However, large variability is observed in terms of response to antidepressants. Machine learning (ML) models may be useful to predict treatment outcomes. A sample of 186 MDD patients received treatment with duloxetine for up to 8 weeks were categorized as “responders” based on a MADRS change &gt;50% from baseline; or “remitters” based on a MADRS score ≤10 at end point. The initial dataset (N = 186) was randomly divided into training and test sets in a nested 5-fold cross-validation, where 80% was used as a training set and 20% made up five independent test sets. We performed genome-wide logistic regression to identify potentially significant variants related to duloxetine response/remission and extracted the most promising predictors using LASSO regression. Subsequently, classification-regression trees (CRT) and support vector machines (SVM) were applied to construct models, using ten-fold cross-validation. With regards to response, none of the pairs performed significantly better than chance (accuracy p &gt;.1). For remission, SVM achieved moderate performance with an accuracy = 0.52, a sensitivity = 0.58, and a specificity = 0.46, and 0.51 for all coefficients for CRT. The best performing SVM fold was characterized by an accuracy = 0.66 (p =.071), sensitivity = 0.70 and a sensitivity = 0.61. In this study, the potential of using GWAS data to predict duloxetine outcomes was examined using ML models. The models were characterized by a promising sensitivity, but specificity remained moderate at best. The inclusion of additional non-genetic variables to create integrated models may improve prediction.","author":[{"dropping-particle":"","family":"Maciukiewicz","given":"Malgorzata","non-dropping-particle":"","parse-names":false,"suffix":""},{"dropping-particle":"","family":"Marshe","given":"Victoria S.","non-dropping-particle":"","parse-names":false,"suffix":""},{"dropping-particle":"","family":"Hauschild","given":"Anne Christin","non-dropping-particle":"","parse-names":false,"suffix":""},{"dropping-particle":"","family":"Foster","given":"Jane A.","non-dropping-particle":"","parse-names":false,"suffix":""},{"dropping-particle":"","family":"Rotzinger","given":"Susan","non-dropping-particle":"","parse-names":false,"suffix":""},{"dropping-particle":"","family":"Kennedy","given":"James L.","non-dropping-particle":"","parse-names":false,"suffix":""},{"dropping-particle":"","family":"Kennedy","given":"Sidney H.","non-dropping-particle":"","parse-names":false,"suffix":""},{"dropping-particle":"","family":"Müller","given":"Daniel J.","non-dropping-particle":"","parse-names":false,"suffix":""},{"dropping-particle":"","family":"Geraci","given":"Joseph","non-dropping-particle":"","parse-names":false,"suffix":""}],"container-title":"Journal of Psychiatric Research","edition":"2018/02/07","id":"ITEM-1","issued":{"date-parts":[["2018"]]},"language":"eng","note":"1879-1379\nMaciukiewicz, Malgorzata\nMarshe, Victoria S\nHauschild, Anne-Christin\nFoster, Jane A\nRotzinger, Susan\nKennedy, James L\nKennedy, Sidney H\nMuller, Daniel J\nGeraci, Joseph\nCIHR/Canada\nJournal Article\nResearch Support, Non-U.S. Gov't\nEngland\nJ Psychiatr Res. 2018 Apr;99:62-68. doi: 10.1016/j.jpsychires.2017.12.009. Epub 2018 Feb 2.","page":"62-68","title":"GWAS-based machine learning approach to predict duloxetine response in major depressive disorder","type":"article-journal","volume":"99"},"uris":["http://www.mendeley.com/documents/?uuid=59727ad5-c982-4ddf-9367-48fe5f3c9d11"]}],"mendeley":{"formattedCitation":"(Maciukiewicz et al., 2018)","plainTextFormattedCitation":"(Maciukiewicz et al., 2018)","previouslyFormattedCitation":"(Maciukiewicz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(Maciukiewicz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108E1ED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32BB9618" w14:textId="49FDFAD7" w:rsidR="00664D9B" w:rsidRPr="00C126BD" w:rsidRDefault="00664D9B" w:rsidP="00C126BD">
            <w:pPr>
              <w:rPr>
                <w:rFonts w:ascii="Calibri" w:eastAsia="Times New Roman" w:hAnsi="Calibri" w:cs="Calibri"/>
                <w:color w:val="000000"/>
                <w:sz w:val="16"/>
                <w:szCs w:val="16"/>
              </w:rPr>
            </w:pPr>
            <w:r w:rsidRPr="00B70460">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117F42EA" w14:textId="2F8CEC6A"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tcPr>
          <w:p w14:paraId="37419424" w14:textId="17E0433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0.50</w:t>
            </w:r>
          </w:p>
        </w:tc>
        <w:tc>
          <w:tcPr>
            <w:tcW w:w="990" w:type="dxa"/>
            <w:tcBorders>
              <w:top w:val="single" w:sz="4" w:space="0" w:color="auto"/>
              <w:left w:val="single" w:sz="4" w:space="0" w:color="auto"/>
              <w:bottom w:val="single" w:sz="4" w:space="0" w:color="auto"/>
              <w:right w:val="single" w:sz="4" w:space="0" w:color="auto"/>
            </w:tcBorders>
            <w:noWrap/>
          </w:tcPr>
          <w:p w14:paraId="69DCFCD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0.50</w:t>
            </w:r>
          </w:p>
        </w:tc>
        <w:tc>
          <w:tcPr>
            <w:tcW w:w="630" w:type="dxa"/>
            <w:tcBorders>
              <w:top w:val="single" w:sz="4" w:space="0" w:color="auto"/>
              <w:left w:val="single" w:sz="4" w:space="0" w:color="auto"/>
              <w:bottom w:val="single" w:sz="4" w:space="0" w:color="auto"/>
              <w:right w:val="single" w:sz="4" w:space="0" w:color="auto"/>
            </w:tcBorders>
            <w:noWrap/>
          </w:tcPr>
          <w:p w14:paraId="5DDCED8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7F90D53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149</w:t>
            </w:r>
          </w:p>
        </w:tc>
        <w:tc>
          <w:tcPr>
            <w:tcW w:w="900" w:type="dxa"/>
            <w:tcBorders>
              <w:top w:val="single" w:sz="4" w:space="0" w:color="auto"/>
              <w:left w:val="single" w:sz="4" w:space="0" w:color="auto"/>
              <w:bottom w:val="single" w:sz="4" w:space="0" w:color="auto"/>
              <w:right w:val="single" w:sz="4" w:space="0" w:color="auto"/>
            </w:tcBorders>
            <w:noWrap/>
          </w:tcPr>
          <w:p w14:paraId="725181C3"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3BEC18BD"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6B7DF116"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5996BE7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37</w:t>
            </w:r>
          </w:p>
        </w:tc>
      </w:tr>
      <w:tr w:rsidR="00664D9B" w:rsidRPr="00C73DE7" w14:paraId="1A24A9AD"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49C113E8" w14:textId="7A73EB8D"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{"citationItems":[{"id":"ITEM-1","itemData":{"DOI":"10.1038/s41598-019-41175-4","ISBN":"2045-2322 (Electronic)\r2045-2322 (Linking)","ISSN":"20452322","PMID":"30911075","abstract":"There is increasing focus on use of resting-state functional connectivity (RSFC) analyses to subtype depression and to predict treatment response. To date, identification of RSFC patterns associated with response to electroconvulsive therapy (ECT) remain limited, and focused on interactions between dorsal prefrontal and regions of the limbic or default-mode networks. Deficits in visual processing are reported in depression, however, RSFC with or within the visual network have not been explored in recent models of depression. Here, we support prior studies showing in a sample of 18 patients with depression that connectivity between dorsal prefrontal and regions of the limbic and default-mode networks serves as a significant predictor. In addition, however, we demonstrate that including visual connectivity measures greatly increases predictive power of the RSFC algorithm (&gt;80% accuracy of remission). These exploratory results encourage further investigation into visual dysfunction in depression, and use of RSFC algorithms incorporating the visual network in prediction of response to both ECT and transcranial magnetic stimulation (TMS), offering a new framework for the development of RSFC-guided TMS interventions in depression.","author":[{"dropping-particle":"","family":"Moreno-Ortega","given":"M.","non-dropping-particle":"","parse-names":false,"suffix":""},{"dropping-particle":"","family":"Prudic","given":"J.","non-dropping-particle":"","parse-names":false,"suffix":""},{"dropping-particle":"","family":"Rowny","given":"S.","non-dropping-particle":"","parse-names":false,"suffix":""},{"dropping-particle":"","family":"Patel","given":"G. H.","non-dropping-particle":"","parse-names":false,"suffix":""},{"dropping-particle":"","family":"Kangarlu","given":"A.","non-dropping-particle":"","parse-names":false,"suffix":""},{"dropping-particle":"","family":"Lee","given":"S.","non-dropping-particle":"","parse-names":false,"suffix":""},{"dropping-particle":"","family":"Grinband","given":"J.","non-dropping-particle":"","parse-names":false,"suffix":""},{"dropping-particle":"","family":"Palomo","given":"T.","non-dropping-particle":"","parse-names":false,"suffix":""},{"dropping-particle":"","family":"Perera","given":"T.","non-dropping-particle":"","parse-names":false,"suffix":""},{"dropping-particle":"","family":"Glasser","given":"M. F.","non-dropping-particle":"","parse-names":false,"suffix":""},{"dropping-particle":"","family":"Javitt","given":"D. C.","non-dropping-particle":"","parse-names":false,"suffix":""}],"container-title":"Scientific Reports","edition":"2019/03/27","id":"ITEM-1","issue":"1","issued":{"date-parts":[["2019"]]},"note":"Moreno-Ortega, M\nPrudic, J\nRowny, S\nPatel, G H\nKangarlu, A\nLee, S\nGrinband, J\nPalomo, T\nPerera, T\nGlasser, M F\nJavitt, D C\neng\nEngland\nSci Rep. 2019 Mar 25;9(1):5071. doi: 10.1038/s41598-019-41175-4.","page":"5071","title":"Resting state functional connectivity predictors of treatment response to electroconvulsive therapy in depression","type":"article-journal","volume":"9"},"uris":["http://www.mendeley.com/documents/?uuid=81b94154-b2aa-4ea3-b0bb-2cddc20dfa1e"]}],"mendeley":{"formattedCitation":"(Moreno-Ortega et al., 2019)","plainTextFormattedCitation":"(Moreno-Ortega et al., 2019)","previouslyFormattedCitation":"(Moreno-Ortega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(Moreno-Ortega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0F2584F9"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1E47ED09" w14:textId="793B29AF" w:rsidR="00664D9B" w:rsidRPr="00C126BD" w:rsidRDefault="00E76E95" w:rsidP="00C126BD">
            <w:pPr>
              <w:rPr>
                <w:rFonts w:ascii="Calibri" w:eastAsia="Times New Roman" w:hAnsi="Calibri" w:cs="Calibri"/>
                <w:color w:val="000000"/>
                <w:sz w:val="16"/>
                <w:szCs w:val="16"/>
              </w:rPr>
            </w:pPr>
            <w:r w:rsidRPr="00C126BD">
              <w:rPr>
                <w:rFonts w:ascii="Calibri" w:hAnsi="Calibri" w:cs="Calibri"/>
                <w:sz w:val="16"/>
                <w:szCs w:val="16"/>
              </w:rPr>
              <w:t>HDRS-24</w:t>
            </w:r>
          </w:p>
        </w:tc>
        <w:tc>
          <w:tcPr>
            <w:tcW w:w="990" w:type="dxa"/>
            <w:tcBorders>
              <w:top w:val="single" w:sz="4" w:space="0" w:color="auto"/>
              <w:left w:val="single" w:sz="4" w:space="0" w:color="auto"/>
              <w:bottom w:val="single" w:sz="4" w:space="0" w:color="auto"/>
              <w:right w:val="single" w:sz="4" w:space="0" w:color="auto"/>
            </w:tcBorders>
          </w:tcPr>
          <w:p w14:paraId="033335D5" w14:textId="64EBF06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2D6B0832" w14:textId="5A36CBBF"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w:t>
            </w:r>
          </w:p>
        </w:tc>
        <w:tc>
          <w:tcPr>
            <w:tcW w:w="990" w:type="dxa"/>
            <w:tcBorders>
              <w:top w:val="single" w:sz="4" w:space="0" w:color="auto"/>
              <w:left w:val="single" w:sz="4" w:space="0" w:color="auto"/>
              <w:bottom w:val="single" w:sz="4" w:space="0" w:color="auto"/>
              <w:right w:val="single" w:sz="4" w:space="0" w:color="auto"/>
            </w:tcBorders>
            <w:noWrap/>
          </w:tcPr>
          <w:p w14:paraId="7E26216E"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tcPr>
          <w:p w14:paraId="17DD6CCE"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24A3C76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18</w:t>
            </w:r>
          </w:p>
        </w:tc>
        <w:tc>
          <w:tcPr>
            <w:tcW w:w="900" w:type="dxa"/>
            <w:tcBorders>
              <w:top w:val="single" w:sz="4" w:space="0" w:color="auto"/>
              <w:left w:val="single" w:sz="4" w:space="0" w:color="auto"/>
              <w:bottom w:val="single" w:sz="4" w:space="0" w:color="auto"/>
              <w:right w:val="single" w:sz="4" w:space="0" w:color="auto"/>
            </w:tcBorders>
            <w:noWrap/>
          </w:tcPr>
          <w:p w14:paraId="3A2630A2"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66248BBE"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2311F083"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02448811" w14:textId="77777777" w:rsidR="00664D9B" w:rsidRPr="00C126BD" w:rsidRDefault="00664D9B" w:rsidP="00664D9B">
            <w:pPr>
              <w:rPr>
                <w:rFonts w:ascii="Calibri" w:hAnsi="Calibri" w:cs="Calibri"/>
                <w:sz w:val="16"/>
                <w:szCs w:val="16"/>
              </w:rPr>
            </w:pPr>
          </w:p>
        </w:tc>
      </w:tr>
      <w:tr w:rsidR="00664D9B" w:rsidRPr="00C73DE7" w14:paraId="2374443F"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0B8E1FDB" w14:textId="6A0BB9D8"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{"citationItems":[{"id":"ITEM-1","itemData":{"DOI":"10.1038/s41598-019-41175-4","ISBN":"2045-2322 (Electronic)\r2045-2322 (Linking)","ISSN":"20452322","PMID":"30911075","abstract":"There is increasing focus on use of resting-state functional connectivity (RSFC) analyses to subtype depression and to predict treatment response. To date, identification of RSFC patterns associated with response to electroconvulsive therapy (ECT) remain limited, and focused on interactions between dorsal prefrontal and regions of the limbic or default-mode networks. Deficits in visual processing are reported in depression, however, RSFC with or within the visual network have not been explored in recent models of depression. Here, we support prior studies showing in a sample of 18 patients with depression that connectivity between dorsal prefrontal and regions of the limbic and default-mode networks serves as a significant predictor. In addition, however, we demonstrate that including visual connectivity measures greatly increases predictive power of the RSFC algorithm (&gt;80% accuracy of remission). These exploratory results encourage further investigation into visual dysfunction in depression, and use of RSFC algorithms incorporating the visual network in prediction of response to both ECT and transcranial magnetic stimulation (TMS), offering a new framework for the development of RSFC-guided TMS interventions in depression.","author":[{"dropping-particle":"","family":"Moreno-Ortega","given":"M.","non-dropping-particle":"","parse-names":false,"suffix":""},{"dropping-particle":"","family":"Prudic","given":"J.","non-dropping-particle":"","parse-names":false,"suffix":""},{"dropping-particle":"","family":"Rowny","given":"S.","non-dropping-particle":"","parse-names":false,"suffix":""},{"dropping-particle":"","family":"Patel","given":"G. H.","non-dropping-particle":"","parse-names":false,"suffix":""},{"dropping-particle":"","family":"Kangarlu","given":"A.","non-dropping-particle":"","parse-names":false,"suffix":""},{"dropping-particle":"","family":"Lee","given":"S.","non-dropping-particle":"","parse-names":false,"suffix":""},{"dropping-particle":"","family":"Grinband","given":"J.","non-dropping-particle":"","parse-names":false,"suffix":""},{"dropping-particle":"","family":"Palomo","given":"T.","non-dropping-particle":"","parse-names":false,"suffix":""},{"dropping-particle":"","family":"Perera","given":"T.","non-dropping-particle":"","parse-names":false,"suffix":""},{"dropping-particle":"","family":"Glasser","given":"M. F.","non-dropping-particle":"","parse-names":false,"suffix":""},{"dropping-particle":"","family":"Javitt","given":"D. C.","non-dropping-particle":"","parse-names":false,"suffix":""}],"container-title":"Scientific Reports","edition":"2019/03/27","id":"ITEM-1","issue":"1","issued":{"date-parts":[["2019"]]},"note":"Moreno-Ortega, M\nPrudic, J\nRowny, S\nPatel, G H\nKangarlu, A\nLee, S\nGrinband, J\nPalomo, T\nPerera, T\nGlasser, M F\nJavitt, D C\neng\nEngland\nSci Rep. 2019 Mar 25;9(1):5071. doi: 10.1038/s41598-019-41175-4.","page":"5071","title":"Resting state functional connectivity predictors of treatment response to electroconvulsive therapy in depression","type":"article-journal","volume":"9"},"uris":["http://www.mendeley.com/documents/?uuid=81b94154-b2aa-4ea3-b0bb-2cddc20dfa1e"]}],"mendeley":{"formattedCitation":"(Moreno-Ortega et al., 2019)","plainTextFormattedCitation":"(Moreno-Ortega et al., 2019)","previouslyFormattedCitation":"(Moreno-Ortega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(Moreno-Ortega et al., 2019)</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6668BC0B"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3D51EA73" w14:textId="075FF183" w:rsidR="00664D9B" w:rsidRPr="00C126BD" w:rsidRDefault="00E76E95" w:rsidP="00C126BD">
            <w:pPr>
              <w:rPr>
                <w:rFonts w:ascii="Calibri" w:eastAsia="Times New Roman" w:hAnsi="Calibri" w:cs="Calibri"/>
                <w:color w:val="000000"/>
                <w:sz w:val="16"/>
                <w:szCs w:val="16"/>
              </w:rPr>
            </w:pPr>
            <w:r w:rsidRPr="00C126BD">
              <w:rPr>
                <w:rFonts w:ascii="Calibri" w:hAnsi="Calibri" w:cs="Calibri"/>
                <w:sz w:val="16"/>
                <w:szCs w:val="16"/>
              </w:rPr>
              <w:t>HDRS-24</w:t>
            </w:r>
          </w:p>
        </w:tc>
        <w:tc>
          <w:tcPr>
            <w:tcW w:w="990" w:type="dxa"/>
            <w:tcBorders>
              <w:top w:val="single" w:sz="4" w:space="0" w:color="auto"/>
              <w:left w:val="single" w:sz="4" w:space="0" w:color="auto"/>
              <w:bottom w:val="single" w:sz="4" w:space="0" w:color="auto"/>
              <w:right w:val="single" w:sz="4" w:space="0" w:color="auto"/>
            </w:tcBorders>
          </w:tcPr>
          <w:p w14:paraId="760747E9" w14:textId="31A02CD1"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5B02E7A2" w14:textId="5EA4DEE1"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0.85</w:t>
            </w:r>
          </w:p>
        </w:tc>
        <w:tc>
          <w:tcPr>
            <w:tcW w:w="990" w:type="dxa"/>
            <w:tcBorders>
              <w:top w:val="single" w:sz="4" w:space="0" w:color="auto"/>
              <w:left w:val="single" w:sz="4" w:space="0" w:color="auto"/>
              <w:bottom w:val="single" w:sz="4" w:space="0" w:color="auto"/>
              <w:right w:val="single" w:sz="4" w:space="0" w:color="auto"/>
            </w:tcBorders>
            <w:noWrap/>
          </w:tcPr>
          <w:p w14:paraId="197D1270"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tcPr>
          <w:p w14:paraId="6E390B5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0.88</w:t>
            </w:r>
          </w:p>
        </w:tc>
        <w:tc>
          <w:tcPr>
            <w:tcW w:w="900" w:type="dxa"/>
            <w:tcBorders>
              <w:top w:val="single" w:sz="4" w:space="0" w:color="auto"/>
              <w:left w:val="single" w:sz="4" w:space="0" w:color="auto"/>
              <w:bottom w:val="single" w:sz="4" w:space="0" w:color="auto"/>
              <w:right w:val="single" w:sz="4" w:space="0" w:color="auto"/>
            </w:tcBorders>
            <w:noWrap/>
          </w:tcPr>
          <w:p w14:paraId="1D74A20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18</w:t>
            </w:r>
          </w:p>
        </w:tc>
        <w:tc>
          <w:tcPr>
            <w:tcW w:w="900" w:type="dxa"/>
            <w:tcBorders>
              <w:top w:val="single" w:sz="4" w:space="0" w:color="auto"/>
              <w:left w:val="single" w:sz="4" w:space="0" w:color="auto"/>
              <w:bottom w:val="single" w:sz="4" w:space="0" w:color="auto"/>
              <w:right w:val="single" w:sz="4" w:space="0" w:color="auto"/>
            </w:tcBorders>
            <w:noWrap/>
          </w:tcPr>
          <w:p w14:paraId="1E77F062"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7A4DA847"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103DB357"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2A15DAB6" w14:textId="77777777" w:rsidR="00664D9B" w:rsidRPr="00C126BD" w:rsidRDefault="00664D9B" w:rsidP="00664D9B">
            <w:pPr>
              <w:rPr>
                <w:rFonts w:ascii="Calibri" w:hAnsi="Calibri" w:cs="Calibri"/>
                <w:sz w:val="16"/>
                <w:szCs w:val="16"/>
              </w:rPr>
            </w:pPr>
          </w:p>
        </w:tc>
      </w:tr>
      <w:tr w:rsidR="00664D9B" w:rsidRPr="00C73DE7" w14:paraId="3783F9FB"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E6AED58" w14:textId="7DA074B0"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{"citationItems":[{"id":"ITEM-1","itemData":{"DOI":"10.1371/journal.pone.0171409","ISBN":"1932-6203","ISSN":"19326203","PMID":"28152063","abstract":"Treatment management for Major Depressive Disorder (MDD) has been challenging. However, electroencephalogram (EEG)-based predictions of antidepressant's treatment outcome may help during antidepressant's selection and ultimately improve the quality of life for MDD patients. In this study, a machine learning (ML) method involving pretreatment EEG data was proposed to perform such predictions for Selective Serotonin Reuptake Inhibitor (SSRIs). For this purpose, the acquisition of experimental data involved 34 MDD patients and 30 healthy controls. Consequently, a feature matrix was constructed involving time-frequency decomposition of EEG data based on wavelet transform (WT) analysis, termed as EEG data matrix. However, the resultant EEG data matrix had high dimensionality. Therefore, dimension reduction was performed based on a rank-based feature selection method according to a criterion, i.e., receiver operating characteristic (ROC). As a result, the most significant features were identified and further be utilized during the training and testing of a classification model, i.e., the logistic regression (LR) classifier. Finally, the LR model was validated with 100 iterations of 10-fold cross-validation (10-CV). The classification results were compared with short-Time Fourier transform (STFT) analysis, and empirical mode decompositions (EMD). The wavelet features extracted from frontal and temporal EEG data were found statistically significant. In comparison with other time-frequency approaches such as the STFT and EMD, the WT analysis has shown highest classification accuracy, i.e., accuracy = 87.5%, sensitivity = 95%, and specificity = 80%. In conclusion, significant wavelet coefficients extracted from frontal and temporal pre-Treatment EEG data involving delta and theta frequency bands may predict antidepressant's treatment outcome for the MDD patients.","author":[{"dropping-particle":"","family":"Mumtaz","given":"Wajid","non-dropping-particle":"","parse-names":false,"suffix":""},{"dropping-particle":"","family":"Xia","given":"Likun","non-dropping-particle":"","parse-names":false,"suffix":""},{"dropping-particle":"","family":"Yasin","given":"Mohd Azhar Mohd","non-dropping-particle":"","parse-names":false,"suffix":""},{"dropping-particle":"","family":"Ali","given":"Syed Saad Azhar","non-dropping-particle":"","parse-names":false,"suffix":""},{"dropping-particle":"","family":"Malik","given":"Aamir Saeed","non-dropping-particle":"","parse-names":false,"suffix":""}],"container-title":"PLoS ONE","edition":"2017/02/06","id":"ITEM-1","issue":"2","issued":{"date-parts":[["2017"]]},"language":"eng","note":"1932-6203\nMumtaz, Wajid\nORCID: http://orcid.org/0000-0001-6468-8666\nXia, Likun\nMohd Yasin, Mohd Azhar\nAzhar Ali, Syed Saad\nMalik, Aamir Saeed\nJournal Article\nUnited States\nPLoS One. 2017 Feb 2;12(2):e0171409. doi: 10.1371/journal.pone.0171409. eCollection 2017.","page":"e0171409","title":"A wavelet-based technique to predict treatment outcome for Major Depressive Disorder","type":"article-journal","volume":"12"},"uris":["http://www.mendeley.com/documents/?uuid=62eaad7b-976e-4f36-a33a-c39679483ee7"]}],"mendeley":{"formattedCitation":"(Mumtaz et al., 2017)","plainTextFormattedCitation":"(Mumtaz et al., 2017)","previouslyFormattedCitation":"(Mumtaz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(Mumtaz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2720153F"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2017E786" w14:textId="78A648B5" w:rsidR="00664D9B" w:rsidRPr="00C126BD" w:rsidRDefault="00664D9B" w:rsidP="00C126BD">
            <w:pPr>
              <w:rPr>
                <w:rFonts w:ascii="Calibri" w:eastAsia="Times New Roman" w:hAnsi="Calibri" w:cs="Calibri"/>
                <w:color w:val="000000"/>
                <w:sz w:val="16"/>
                <w:szCs w:val="16"/>
              </w:rPr>
            </w:pPr>
            <w:r w:rsidRPr="00B70460">
              <w:rPr>
                <w:rFonts w:ascii="Calibri" w:eastAsia="Times New Roman" w:hAnsi="Calibri" w:cs="Calibri"/>
                <w:color w:val="000000"/>
                <w:sz w:val="16"/>
                <w:szCs w:val="16"/>
              </w:rPr>
              <w:t>BDI-II</w:t>
            </w:r>
            <w:r>
              <w:rPr>
                <w:rFonts w:ascii="Calibri" w:eastAsia="Times New Roman" w:hAnsi="Calibri" w:cs="Calibri"/>
                <w:color w:val="000000"/>
                <w:sz w:val="16"/>
                <w:szCs w:val="16"/>
              </w:rPr>
              <w:t>,</w:t>
            </w:r>
            <w:r w:rsidRPr="00B70460">
              <w:rPr>
                <w:rFonts w:ascii="Calibri" w:eastAsia="Times New Roman" w:hAnsi="Calibri" w:cs="Calibri"/>
                <w:color w:val="000000"/>
                <w:sz w:val="16"/>
                <w:szCs w:val="16"/>
              </w:rPr>
              <w:t xml:space="preserve"> HADS</w:t>
            </w:r>
          </w:p>
        </w:tc>
        <w:tc>
          <w:tcPr>
            <w:tcW w:w="990" w:type="dxa"/>
            <w:tcBorders>
              <w:top w:val="single" w:sz="4" w:space="0" w:color="auto"/>
              <w:left w:val="single" w:sz="4" w:space="0" w:color="auto"/>
              <w:bottom w:val="single" w:sz="4" w:space="0" w:color="auto"/>
              <w:right w:val="single" w:sz="4" w:space="0" w:color="auto"/>
            </w:tcBorders>
          </w:tcPr>
          <w:p w14:paraId="1C5C189E" w14:textId="26D4040B"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14DBE848" w14:textId="105EB540"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990" w:type="dxa"/>
            <w:tcBorders>
              <w:top w:val="single" w:sz="4" w:space="0" w:color="auto"/>
              <w:left w:val="single" w:sz="4" w:space="0" w:color="auto"/>
              <w:bottom w:val="single" w:sz="4" w:space="0" w:color="auto"/>
              <w:right w:val="single" w:sz="4" w:space="0" w:color="auto"/>
            </w:tcBorders>
            <w:noWrap/>
            <w:hideMark/>
          </w:tcPr>
          <w:p w14:paraId="536AD631"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630" w:type="dxa"/>
            <w:tcBorders>
              <w:top w:val="single" w:sz="4" w:space="0" w:color="auto"/>
              <w:left w:val="single" w:sz="4" w:space="0" w:color="auto"/>
              <w:bottom w:val="single" w:sz="4" w:space="0" w:color="auto"/>
              <w:right w:val="single" w:sz="4" w:space="0" w:color="auto"/>
            </w:tcBorders>
            <w:noWrap/>
            <w:hideMark/>
          </w:tcPr>
          <w:p w14:paraId="44A7ECF1"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939BCE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64</w:t>
            </w:r>
          </w:p>
        </w:tc>
        <w:tc>
          <w:tcPr>
            <w:tcW w:w="900" w:type="dxa"/>
            <w:tcBorders>
              <w:top w:val="single" w:sz="4" w:space="0" w:color="auto"/>
              <w:left w:val="single" w:sz="4" w:space="0" w:color="auto"/>
              <w:bottom w:val="single" w:sz="4" w:space="0" w:color="auto"/>
              <w:right w:val="single" w:sz="4" w:space="0" w:color="auto"/>
            </w:tcBorders>
            <w:noWrap/>
            <w:hideMark/>
          </w:tcPr>
          <w:p w14:paraId="3710E49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E1DC295"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76BE862C"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062E4118" w14:textId="77777777" w:rsidR="00664D9B" w:rsidRPr="00C126BD" w:rsidRDefault="00664D9B" w:rsidP="00664D9B">
            <w:pPr>
              <w:rPr>
                <w:rFonts w:ascii="Calibri" w:hAnsi="Calibri" w:cs="Calibri"/>
                <w:sz w:val="16"/>
                <w:szCs w:val="16"/>
              </w:rPr>
            </w:pPr>
          </w:p>
        </w:tc>
      </w:tr>
      <w:tr w:rsidR="00664D9B" w:rsidRPr="00C73DE7" w14:paraId="63EA44A5"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D19D7DE" w14:textId="547C07F0"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{"citationItems":[{"id":"ITEM-1","itemData":{"DOI":"10.1371/journal.pone.0197268","ISBN":"1932-6203","ISSN":"19326203","PMID":"29879133","abstract":"Identification of risk factors of treatment resistance may be useful to guide treatment selection, avoid inefficient trial-and-error, and improve major depressive disorder (MDD) care. We extended the work in predictive modeling of treatment resistant depression (TRD) via partition of the data from the Sequenced Treatment Alternatives to Relieve Depression (STAR*D) cohort into a training and a testing dataset. We also included data from a small yet completely independent cohort RIS-INT-93 as an external test dataset. We used features from enrollment and level 1 treatment (up to week 2 response only) of STAR*D to explore the feature space comprehensively and applied machine learning methods to model TRD outcome at level 2. For TRD defined using QIDS-C16 remission criteria, multiple machine learning models were internally cross-validated in the STAR*D training dataset and externally validated in both the STAR*D testing dataset and RIS-INT-93 independent dataset with an area under the receiver operating characteristic curve (AUC) of 0.70–0.78 and 0.72–0.77, respectively. The upper bound for the AUC achievable with the full set of features could be as high as 0.78 in the STAR*D testing dataset. Model developed using top 30 features identified using feature selection technique (k-means clustering followed by χ2 test) achieved an AUC of 0.77 in the STAR*D testing dataset. In addition, the model developed using overlapping features between STAR*D and RIS-INT-93, achieved an AUC of &gt; 0.70 in both the STAR*D testing and RIS-INT-93 datasets. Among all the features explored in STAR*D and RIS-INT-93 datasets, the most important feature was early or initial treatment response or symptom severity at week 2. These results indicate that prediction of TRD prior to undergoing a second round of antidepressant treatment could be feasible even in the absence of biomarker data.","author":[{"dropping-particle":"","family":"Nie","given":"Zhi","non-dropping-particle":"","parse-names":false,"suffix":""},{"dropping-particle":"","family":"Vairavan","given":"Srinivasan","non-dropping-particle":"","parse-names":false,"suffix":""},{"dropping-particle":"","family":"Narayan","given":"Vaibhav A.","non-dropping-particle":"","parse-names":false,"suffix":""},{"dropping-particle":"","family":"Ye","given":"Jieping","non-dropping-particle":"","parse-names":false,"suffix":""},{"dropping-particle":"","family":"Li","given":"Qingqin S.","non-dropping-particle":"","parse-names":false,"suffix":""}],"container-title":"PLoS ONE","edition":"2018/06/08","id":"ITEM-1","issue":"6","issued":{"date-parts":[["2018"]]},"language":"eng","note":"1932-6203\nNie, Zhi\nVairavan, Srinivasan\nNarayan, Vaibhav A\nYe, Jieping\nLi, Qingqin S\nOrcid: 0000-0003-4182-4535\nN01MH90003/MH/NIMH NIH HHS/United States\nClinical Trial\nJournal Article\nMulticenter Study\nResearch Support, N.I.H., Extramural\nResearch Support, Non-U.S. Gov't\nUnited States\nPLoS One. 2018 Jun 7;13(6):e0197268. doi: 10.1371/journal.pone.0197268. eCollection 2018.","page":"e0197268","title":"Predictive modeling of treatment resistant depression using data from STARD and an independent clinical study","type":"article-journal","volume":"13"},"uris":["http://www.mendeley.com/documents/?uuid=282aa46b-c33f-4e6d-a129-503fa66561b6"]}],"mendeley":{"formattedCitation":"(Nie et al., 2018)","plainTextFormattedCitation":"(Nie et al., 2018)","previouslyFormattedCitation":"(Nie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(Nie et al., 2018)</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437B36A4"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05E68C9A" w14:textId="45DE3D39" w:rsidR="00664D9B" w:rsidRPr="00C126BD" w:rsidRDefault="00664D9B">
            <w:pPr>
              <w:rPr>
                <w:rFonts w:ascii="Calibri" w:eastAsia="Times New Roman" w:hAnsi="Calibri" w:cs="Calibri"/>
                <w:color w:val="000000"/>
                <w:sz w:val="16"/>
                <w:szCs w:val="16"/>
              </w:rPr>
            </w:pPr>
            <w:r w:rsidRPr="007967A0">
              <w:rPr>
                <w:rFonts w:ascii="Calibri" w:eastAsia="Times New Roman" w:hAnsi="Calibri" w:cs="Calibri"/>
                <w:color w:val="000000"/>
                <w:sz w:val="16"/>
                <w:szCs w:val="16"/>
              </w:rPr>
              <w:t>QIDS-C16</w:t>
            </w:r>
          </w:p>
        </w:tc>
        <w:tc>
          <w:tcPr>
            <w:tcW w:w="990" w:type="dxa"/>
            <w:tcBorders>
              <w:top w:val="single" w:sz="4" w:space="0" w:color="auto"/>
              <w:left w:val="single" w:sz="4" w:space="0" w:color="auto"/>
              <w:bottom w:val="single" w:sz="4" w:space="0" w:color="auto"/>
              <w:right w:val="single" w:sz="4" w:space="0" w:color="auto"/>
            </w:tcBorders>
          </w:tcPr>
          <w:p w14:paraId="07D7391C" w14:textId="0F501DFD" w:rsidR="00664D9B" w:rsidRPr="00C126BD" w:rsidRDefault="00385155">
            <w:pPr>
              <w:rPr>
                <w:rFonts w:ascii="Calibri" w:eastAsia="Times New Roman" w:hAnsi="Calibri" w:cs="Calibri"/>
                <w:color w:val="000000"/>
                <w:sz w:val="16"/>
                <w:szCs w:val="16"/>
              </w:rPr>
            </w:pPr>
            <w:r>
              <w:rPr>
                <w:rFonts w:ascii="Calibri" w:eastAsia="Times New Roman" w:hAnsi="Calibri" w:cs="Calibri"/>
                <w:color w:val="000000"/>
                <w:sz w:val="16"/>
                <w:szCs w:val="16"/>
              </w:rPr>
              <w:t>6-24</w:t>
            </w:r>
            <w:r w:rsidR="00664D9B">
              <w:rPr>
                <w:rFonts w:ascii="Calibri" w:eastAsia="Times New Roman" w:hAnsi="Calibri" w:cs="Calibri"/>
                <w:color w:val="000000"/>
                <w:sz w:val="16"/>
                <w:szCs w:val="16"/>
              </w:rPr>
              <w:t xml:space="preserve"> weeks</w:t>
            </w:r>
          </w:p>
        </w:tc>
        <w:tc>
          <w:tcPr>
            <w:tcW w:w="900" w:type="dxa"/>
            <w:tcBorders>
              <w:top w:val="single" w:sz="4" w:space="0" w:color="auto"/>
              <w:left w:val="single" w:sz="4" w:space="0" w:color="auto"/>
              <w:bottom w:val="single" w:sz="4" w:space="0" w:color="auto"/>
              <w:right w:val="single" w:sz="4" w:space="0" w:color="auto"/>
            </w:tcBorders>
            <w:noWrap/>
            <w:hideMark/>
          </w:tcPr>
          <w:p w14:paraId="68EC06FF" w14:textId="14291A0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41D5412C"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2D321B57"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64F90B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1964</w:t>
            </w:r>
          </w:p>
        </w:tc>
        <w:tc>
          <w:tcPr>
            <w:tcW w:w="900" w:type="dxa"/>
            <w:tcBorders>
              <w:top w:val="single" w:sz="4" w:space="0" w:color="auto"/>
              <w:left w:val="single" w:sz="4" w:space="0" w:color="auto"/>
              <w:bottom w:val="single" w:sz="4" w:space="0" w:color="auto"/>
              <w:right w:val="single" w:sz="4" w:space="0" w:color="auto"/>
            </w:tcBorders>
            <w:noWrap/>
            <w:hideMark/>
          </w:tcPr>
          <w:p w14:paraId="65700B4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00" w:type="dxa"/>
            <w:tcBorders>
              <w:top w:val="single" w:sz="4" w:space="0" w:color="auto"/>
              <w:left w:val="single" w:sz="4" w:space="0" w:color="auto"/>
              <w:bottom w:val="single" w:sz="4" w:space="0" w:color="auto"/>
              <w:right w:val="single" w:sz="4" w:space="0" w:color="auto"/>
            </w:tcBorders>
            <w:noWrap/>
            <w:hideMark/>
          </w:tcPr>
          <w:p w14:paraId="166DAF9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0.68</w:t>
            </w:r>
          </w:p>
        </w:tc>
        <w:tc>
          <w:tcPr>
            <w:tcW w:w="540" w:type="dxa"/>
            <w:tcBorders>
              <w:top w:val="single" w:sz="4" w:space="0" w:color="auto"/>
              <w:left w:val="single" w:sz="4" w:space="0" w:color="auto"/>
              <w:bottom w:val="single" w:sz="4" w:space="0" w:color="auto"/>
              <w:right w:val="single" w:sz="4" w:space="0" w:color="auto"/>
            </w:tcBorders>
            <w:noWrap/>
            <w:hideMark/>
          </w:tcPr>
          <w:p w14:paraId="08F5CC9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0.74</w:t>
            </w:r>
          </w:p>
        </w:tc>
        <w:tc>
          <w:tcPr>
            <w:tcW w:w="905" w:type="dxa"/>
            <w:tcBorders>
              <w:top w:val="single" w:sz="4" w:space="0" w:color="auto"/>
              <w:left w:val="single" w:sz="4" w:space="0" w:color="auto"/>
              <w:bottom w:val="single" w:sz="4" w:space="0" w:color="auto"/>
              <w:right w:val="single" w:sz="4" w:space="0" w:color="auto"/>
            </w:tcBorders>
            <w:noWrap/>
            <w:hideMark/>
          </w:tcPr>
          <w:p w14:paraId="58B647B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490</w:t>
            </w:r>
          </w:p>
        </w:tc>
      </w:tr>
      <w:tr w:rsidR="00664D9B" w:rsidRPr="00C73DE7" w14:paraId="62652088"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D584FE0" w14:textId="2114387D"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{"citationItems":[{"id":"ITEM-1","itemData":{"DOI":"10.1016/j.neuroimage.2010.05.023","ISBN":"1053-8119","ISSN":"10538119","PMID":"20483379","abstract":"There is rapidly accumulating evidence that the application of machine learning classification to neuroimaging measurements may be valuable for the development of diagnostic and prognostic prediction tools in psychiatry. However, current methods do not produce a measure of the reliability of the predictions. Knowing the risk of the error associated with a given prediction is essential for the development of neuroimaging-based clinical tools. We propose a general probabilistic classification method to produce measures of confidence for magnetic resonance imaging (MRI) data. We describe the application of transductive conformal predictor (TCP) to MRI images. TCP generates the most likely prediction and a valid measure of confidence, as well as the set of all possible predictions for a given confidence level. We present the theoretical motivation for TCP, and we have applied TCP to structural and functional MRI data in patients and healthy controls to investigate diagnostic and prognostic prediction in depression. We verify that TCP predictions are as accurate as those obtained with more standard machine learning methods, such as support vector machine, while providing the additional benefit of a valid measure of confidence for each prediction. © 2010 Elsevier Inc.","author":[{"dropping-particle":"","family":"Nouretdinov","given":"Ilia","non-dropping-particle":"","parse-names":false,"suffix":""},{"dropping-particle":"","family":"Costafreda","given":"Sergi G.","non-dropping-particle":"","parse-names":false,"suffix":""},{"dropping-particle":"","family":"Gammerman","given":"Alexander","non-dropping-particle":"","parse-names":false,"suffix":""},{"dropping-particle":"","family":"Chervonenkis","given":"Alexey","non-dropping-particle":"","parse-names":false,"suffix":""},{"dropping-particle":"","family":"Vovk","given":"Vladimir","non-dropping-particle":"","parse-names":false,"suffix":""},{"dropping-particle":"","family":"Vapnik","given":"Vladimir","non-dropping-particle":"","parse-names":false,"suffix":""},{"dropping-particle":"","family":"Fu","given":"Cynthia H.Y.","non-dropping-particle":"","parse-names":false,"suffix":""}],"container-title":"NeuroImage","edition":"2010/05/21","id":"ITEM-1","issue":"2","issued":{"date-parts":[["2011"]]},"language":"eng","note":"1095-9572\nNouretdinov, Ilia\nCostafreda, Sergi G\nGammerman, Alexander\nChervonenkis, Alexey\nVovk, Vladimir\nVapnik, Vladimir\nFu, Cynthia H Y\nG0802594/Medical Research Council/United Kingdom\nJournal Article\nResearch Support, Non-U.S. Gov't\nUnited States\nNeuroimage. 2011 May 15;56(2):809-13. doi: 10.1016/j.neuroimage.2010.05.023. Epub 2010 May 17.","page":"809-813","title":"Machine learning classification with confidence: Application of transductive conformal predictors to MRI-based diagnostic and prognostic markers in depression","type":"article-journal","volume":"56"},"uris":["http://www.mendeley.com/documents/?uuid=d0fea6ef-bd56-4ac8-bbbe-8fb53552f42f"]}],"mendeley":{"formattedCitation":"(Nouretdinov et al., 2011)","plainTextFormattedCitation":"(Nouretdinov et al., 2011)","previouslyFormattedCitation":"(Nouretdinov et al., 2011)"},"properties":{"noteIndex":0},"schema":"https://github.com/citation-style-language/schema/raw/master/csl-citation.json"}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(Nouretdinov et al., 2011)</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2FFD075D"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Diagnosis</w:t>
            </w:r>
          </w:p>
        </w:tc>
        <w:tc>
          <w:tcPr>
            <w:tcW w:w="1440" w:type="dxa"/>
            <w:tcBorders>
              <w:top w:val="single" w:sz="4" w:space="0" w:color="auto"/>
              <w:left w:val="single" w:sz="4" w:space="0" w:color="auto"/>
              <w:bottom w:val="single" w:sz="4" w:space="0" w:color="auto"/>
              <w:right w:val="single" w:sz="4" w:space="0" w:color="auto"/>
            </w:tcBorders>
          </w:tcPr>
          <w:p w14:paraId="130EAC03" w14:textId="77777777" w:rsidR="00664D9B" w:rsidRPr="00C126BD" w:rsidRDefault="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tcPr>
          <w:p w14:paraId="08826B05" w14:textId="126AC390" w:rsidR="00664D9B" w:rsidRPr="00C126BD" w:rsidRDefault="000B7DC3">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19103D19" w14:textId="66B6A91B"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1F04B86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0.80</w:t>
            </w:r>
          </w:p>
        </w:tc>
        <w:tc>
          <w:tcPr>
            <w:tcW w:w="630" w:type="dxa"/>
            <w:tcBorders>
              <w:top w:val="single" w:sz="4" w:space="0" w:color="auto"/>
              <w:left w:val="single" w:sz="4" w:space="0" w:color="auto"/>
              <w:bottom w:val="single" w:sz="4" w:space="0" w:color="auto"/>
              <w:right w:val="single" w:sz="4" w:space="0" w:color="auto"/>
            </w:tcBorders>
            <w:noWrap/>
            <w:hideMark/>
          </w:tcPr>
          <w:p w14:paraId="13233CD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9E1830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38</w:t>
            </w:r>
          </w:p>
        </w:tc>
        <w:tc>
          <w:tcPr>
            <w:tcW w:w="900" w:type="dxa"/>
            <w:tcBorders>
              <w:top w:val="single" w:sz="4" w:space="0" w:color="auto"/>
              <w:left w:val="single" w:sz="4" w:space="0" w:color="auto"/>
              <w:bottom w:val="single" w:sz="4" w:space="0" w:color="auto"/>
              <w:right w:val="single" w:sz="4" w:space="0" w:color="auto"/>
            </w:tcBorders>
            <w:noWrap/>
            <w:hideMark/>
          </w:tcPr>
          <w:p w14:paraId="6B6D9B7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6F1BC81"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62D99B5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512A64AD" w14:textId="77777777" w:rsidR="00664D9B" w:rsidRPr="00C126BD" w:rsidRDefault="00664D9B" w:rsidP="00664D9B">
            <w:pPr>
              <w:rPr>
                <w:rFonts w:ascii="Calibri" w:hAnsi="Calibri" w:cs="Calibri"/>
                <w:sz w:val="16"/>
                <w:szCs w:val="16"/>
              </w:rPr>
            </w:pPr>
          </w:p>
        </w:tc>
      </w:tr>
      <w:tr w:rsidR="00664D9B" w:rsidRPr="00C73DE7" w14:paraId="38EB9979"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C9DD985" w14:textId="3A8E95B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{"citationItems":[{"id":"ITEM-1","itemData":{"DOI":"10.1016/j.neuroimage.2010.05.023","ISBN":"1053-8119","ISSN":"10538119","PMID":"20483379","abstract":"There is rapidly accumulating evidence that the application of machine learning classification to neuroimaging measurements may be valuable for the development of diagnostic and prognostic prediction tools in psychiatry. However, current methods do not produce a measure of the reliability of the predictions. Knowing the risk of the error associated with a given prediction is essential for the development of neuroimaging-based clinical tools. We propose a general probabilistic classification method to produce measures of confidence for magnetic resonance imaging (MRI) data. We describe the application of transductive conformal predictor (TCP) to MRI images. TCP generates the most likely prediction and a valid measure of confidence, as well as the set of all possible predictions for a given confidence level. We present the theoretical motivation for TCP, and we have applied TCP to structural and functional MRI data in patients and healthy controls to investigate diagnostic and prognostic prediction in depression. We verify that TCP predictions are as accurate as those obtained with more standard machine learning methods, such as support vector machine, while providing the additional benefit of a valid measure of confidence for each prediction. © 2010 Elsevier Inc.","author":[{"dropping-particle":"","family":"Nouretdinov","given":"Ilia","non-dropping-particle":"","parse-names":false,"suffix":""},{"dropping-particle":"","family":"Costafreda","given":"Sergi G.","non-dropping-particle":"","parse-names":false,"suffix":""},{"dropping-particle":"","family":"Gammerman","given":"Alexander","non-dropping-particle":"","parse-names":false,"suffix":""},{"dropping-particle":"","family":"Chervonenkis","given":"Alexey","non-dropping-particle":"","parse-names":false,"suffix":""},{"dropping-particle":"","family":"Vovk","given":"Vladimir","non-dropping-particle":"","parse-names":false,"suffix":""},{"dropping-particle":"","family":"Vapnik","given":"Vladimir","non-dropping-particle":"","parse-names":false,"suffix":""},{"dropping-particle":"","family":"Fu","given":"Cynthia H.Y.","non-dropping-particle":"","parse-names":false,"suffix":""}],"container-title":"NeuroImage","edition":"2010/05/21","id":"ITEM-1","issue":"2","issued":{"date-parts":[["2011"]]},"language":"eng","note":"1095-9572\nNouretdinov, Ilia\nCostafreda, Sergi G\nGammerman, Alexander\nChervonenkis, Alexey\nVovk, Vladimir\nVapnik, Vladimir\nFu, Cynthia H Y\nG0802594/Medical Research Council/United Kingdom\nJournal Article\nResearch Support, Non-U.S. Gov't\nUnited States\nNeuroimage. 2011 May 15;56(2):809-13. doi: 10.1016/j.neuroimage.2010.05.023. Epub 2010 May 17.","page":"809-813","title":"Machine learning classification with confidence: Application of transductive conformal predictors to MRI-based diagnostic and prognostic markers in depression","type":"article-journal","volume":"56"},"uris":["http://www.mendeley.com/documents/?uuid=d0fea6ef-bd56-4ac8-bbbe-8fb53552f42f"]}],"mendeley":{"formattedCitation":"(Nouretdinov et al., 2011)","plainTextFormattedCitation":"(Nouretdinov et al., 2011)","previouslyFormattedCitation":"(Nouretdinov et al., 2011)"},"properties":{"noteIndex":0},"schema":"https://github.com/citation-style-language/schema/raw/master/csl-citation.json"}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(Nouretdinov et al., 2011)</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2EAEB489"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Prognosis</w:t>
            </w:r>
          </w:p>
        </w:tc>
        <w:tc>
          <w:tcPr>
            <w:tcW w:w="1440" w:type="dxa"/>
            <w:tcBorders>
              <w:top w:val="single" w:sz="4" w:space="0" w:color="auto"/>
              <w:left w:val="single" w:sz="4" w:space="0" w:color="auto"/>
              <w:bottom w:val="single" w:sz="4" w:space="0" w:color="auto"/>
              <w:right w:val="single" w:sz="4" w:space="0" w:color="auto"/>
            </w:tcBorders>
          </w:tcPr>
          <w:p w14:paraId="02AF5F1C" w14:textId="77777777" w:rsidR="00664D9B" w:rsidRPr="00C126BD" w:rsidRDefault="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tcPr>
          <w:p w14:paraId="3BEA67FA" w14:textId="1601A09A" w:rsidR="00664D9B" w:rsidRPr="00C126BD" w:rsidRDefault="000B7DC3">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7F50B0DA" w14:textId="0E505C1C"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559D872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0.83</w:t>
            </w:r>
          </w:p>
        </w:tc>
        <w:tc>
          <w:tcPr>
            <w:tcW w:w="630" w:type="dxa"/>
            <w:tcBorders>
              <w:top w:val="single" w:sz="4" w:space="0" w:color="auto"/>
              <w:left w:val="single" w:sz="4" w:space="0" w:color="auto"/>
              <w:bottom w:val="single" w:sz="4" w:space="0" w:color="auto"/>
              <w:right w:val="single" w:sz="4" w:space="0" w:color="auto"/>
            </w:tcBorders>
            <w:noWrap/>
            <w:hideMark/>
          </w:tcPr>
          <w:p w14:paraId="17574CB9"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B270F5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38</w:t>
            </w:r>
          </w:p>
        </w:tc>
        <w:tc>
          <w:tcPr>
            <w:tcW w:w="900" w:type="dxa"/>
            <w:tcBorders>
              <w:top w:val="single" w:sz="4" w:space="0" w:color="auto"/>
              <w:left w:val="single" w:sz="4" w:space="0" w:color="auto"/>
              <w:bottom w:val="single" w:sz="4" w:space="0" w:color="auto"/>
              <w:right w:val="single" w:sz="4" w:space="0" w:color="auto"/>
            </w:tcBorders>
            <w:noWrap/>
            <w:hideMark/>
          </w:tcPr>
          <w:p w14:paraId="7484C7BC"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4EF618C"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E7E0138"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3016E27" w14:textId="77777777" w:rsidR="00664D9B" w:rsidRPr="00C126BD" w:rsidRDefault="00664D9B" w:rsidP="00664D9B">
            <w:pPr>
              <w:rPr>
                <w:rFonts w:ascii="Calibri" w:hAnsi="Calibri" w:cs="Calibri"/>
                <w:sz w:val="16"/>
                <w:szCs w:val="16"/>
              </w:rPr>
            </w:pPr>
          </w:p>
        </w:tc>
      </w:tr>
      <w:tr w:rsidR="00664D9B" w:rsidRPr="00C73DE7" w14:paraId="409ED975"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16B7F7D" w14:textId="129E624B"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{"citationItems":[{"id":"ITEM-1","itemData":{"DOI":"10.1002/gps.4262","ISBN":"0885-6230","ISSN":"10991166","PMID":"25689482","abstract":"Objective Currently, depression diagnosis relies primarily on behavioral symptoms and signs, and treatment is guided by trial and error instead of evaluating associated underlying brain characteristics. Unlike past studies, we attempted to estimate accurate prediction models for late-life depression diagnosis and treatment response using multiple machine learning methods with inputs of multi-modal imaging and non-imaging whole brain and network-based features. Methods Late-life depression patients (medicated post-recruitment) (n = 33) and older non-depressed individuals (n = 35) were recruited. Their demographics and cognitive ability scores were recorded, and brain characteristics were acquired using multi-modal magnetic resonance imaging pretreatment. Linear and nonlinear learning methods were tested for estimating accurate prediction models. Results A learning method called alternating decision trees estimated the most accurate prediction models for late-life depression diagnosis (87.27% accuracy) and treatment response (89.47% accuracy). The diagnosis model included measures of age, Mini-mental state examination score, and structural imaging (e.g. whole brain atrophy and global white mater hyperintensity burden). The treatment response model included measures of structural and functional connectivity. Conclusions Combinations of multi-modal imaging and/or non-imaging measures may help better predict late-life depression diagnosis and treatment response. As a preliminary observation, we speculate that the results may also suggest that different underlying brain characteristics defined by multi-modal imaging measures - rather than region-based differences - are associated with depression versus depression recovery because to our knowledge this is the first depression study to accurately predict both using the same approach. These findings may help better understand late-life depression and identify preliminary steps toward personalized late-life depression treatment.","author":[{"dropping-particle":"","family":"Patel","given":"Meenal J.","non-dropping-particle":"","parse-names":false,"suffix":""},{"dropping-particle":"","family":"Andreescu","given":"Carmen","non-dropping-particle":"","parse-names":false,"suffix":""},{"dropping-particle":"","family":"Price","given":"Julie C.","non-dropping-particle":"","parse-names":false,"suffix":""},{"dropping-particle":"","family":"Edelman","given":"Kathryn L.","non-dropping-particle":"","parse-names":false,"suffix":""},{"dropping-particle":"","family":"Reynolds","given":"Charles F.","non-dropping-particle":"","parse-names":false,"suffix":""},{"dropping-particle":"","family":"Aizenstein","given":"Howard J.","non-dropping-particle":"","parse-names":false,"suffix":""}],"container-title":"International Journal of Geriatric Psychiatry","edition":"2015/02/18","id":"ITEM-1","issue":"10","issued":{"date-parts":[["2015"]]},"language":"eng","note":"1099-1166\nPatel, Meenal J\nAndreescu, Carmen\nPrice, Julie C\nEdelman, Kathryn L\nReynolds, Charles F 3rd\nAizenstein, Howard J\nP30 MH052247/MH/NIMH NIH HHS/United States\nP30 AG024827/AG/NIA NIH HHS/United States\nP30 MH090333/MH/NIMH NIH HHS/United States\nMH 086686/MH/NIMH NIH HHS/United States\nMH076079-04S1/MH/NIMH NIH HHS/United States\nP30-MH52247/MH/NIMH NIH HHS/United States\nKL2 RR024154/RR/NCRR NIH HHS/United States\nK23 MH086686/MH/NIMH NIH HHS/United States\nR37 AG025516/AG/NIA NIH HHS/United States\nP30 MH071944/MH/NIMH NIH HHS/United States\nP30 MH90333/MH/NIMH NIH HHS/United States\nMH0-76079/MH/NIMH NIH HHS/United States\nRF1 AG025516/AG/NIA NIH HHS/United States\nMH K23 086606/MH/NIMH NIH HHS/United States\nP30 MH71944/MH/NIMH NIH HHS/United States\nR21 NS060184/NS/NINDS NIH HHS/United States\nR01 MH076079/MH/NIMH NIH HHS/United States\nJournal Article\nResearch Support, N.I.H., Extramural\nResearch Support, Non-U.S. Gov't\nEngland\nInt J Geriatr Psychiatry. 2015 Oct;30(10):1056-67. doi: 10.1002/gps.4262. Epub 2015 Feb 17.","page":"1056-1067","title":"Machine learning approaches for integrating clinical and imaging features in late-life depression classification and response prediction","type":"article-journal","volume":"30"},"uris":["http://www.mendeley.com/documents/?uuid=35731b62-6588-4966-a038-56d452a88fae"]}],"mendeley":{"formattedCitation":"(Patel et al., 2015)","plainTextFormattedCitation":"(Patel et al., 2015)","previouslyFormattedCitation":"(Patel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(Patel et al., 2015)</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5406B1A8"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Diagnosis</w:t>
            </w:r>
          </w:p>
        </w:tc>
        <w:tc>
          <w:tcPr>
            <w:tcW w:w="1440" w:type="dxa"/>
            <w:tcBorders>
              <w:top w:val="single" w:sz="4" w:space="0" w:color="auto"/>
              <w:left w:val="single" w:sz="4" w:space="0" w:color="auto"/>
              <w:bottom w:val="single" w:sz="4" w:space="0" w:color="auto"/>
              <w:right w:val="single" w:sz="4" w:space="0" w:color="auto"/>
            </w:tcBorders>
          </w:tcPr>
          <w:p w14:paraId="67F33BCA" w14:textId="55EA5D5A" w:rsidR="00664D9B" w:rsidRPr="00C126BD" w:rsidRDefault="00FE1040" w:rsidP="00C126BD">
            <w:pPr>
              <w:rPr>
                <w:rFonts w:ascii="Calibri" w:eastAsia="Times New Roman" w:hAnsi="Calibri" w:cs="Calibri"/>
                <w:color w:val="000000"/>
                <w:sz w:val="16"/>
                <w:szCs w:val="16"/>
              </w:rPr>
            </w:pPr>
            <w:r w:rsidRPr="007967A0">
              <w:rPr>
                <w:rFonts w:ascii="Calibri" w:eastAsia="Times New Roman" w:hAnsi="Calibri" w:cs="Calibri"/>
                <w:color w:val="000000"/>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65E779A0" w14:textId="411879C3" w:rsidR="00664D9B" w:rsidRPr="00C126BD" w:rsidRDefault="00BE1315"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1FDA4C4E" w14:textId="2AA3B870"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990" w:type="dxa"/>
            <w:tcBorders>
              <w:top w:val="single" w:sz="4" w:space="0" w:color="auto"/>
              <w:left w:val="single" w:sz="4" w:space="0" w:color="auto"/>
              <w:bottom w:val="single" w:sz="4" w:space="0" w:color="auto"/>
              <w:right w:val="single" w:sz="4" w:space="0" w:color="auto"/>
            </w:tcBorders>
            <w:noWrap/>
            <w:hideMark/>
          </w:tcPr>
          <w:p w14:paraId="14AE10C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0.87</w:t>
            </w:r>
          </w:p>
        </w:tc>
        <w:tc>
          <w:tcPr>
            <w:tcW w:w="630" w:type="dxa"/>
            <w:tcBorders>
              <w:top w:val="single" w:sz="4" w:space="0" w:color="auto"/>
              <w:left w:val="single" w:sz="4" w:space="0" w:color="auto"/>
              <w:bottom w:val="single" w:sz="4" w:space="0" w:color="auto"/>
              <w:right w:val="single" w:sz="4" w:space="0" w:color="auto"/>
            </w:tcBorders>
            <w:noWrap/>
            <w:hideMark/>
          </w:tcPr>
          <w:p w14:paraId="74C54301"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EA8727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55</w:t>
            </w:r>
          </w:p>
        </w:tc>
        <w:tc>
          <w:tcPr>
            <w:tcW w:w="900" w:type="dxa"/>
            <w:tcBorders>
              <w:top w:val="single" w:sz="4" w:space="0" w:color="auto"/>
              <w:left w:val="single" w:sz="4" w:space="0" w:color="auto"/>
              <w:bottom w:val="single" w:sz="4" w:space="0" w:color="auto"/>
              <w:right w:val="single" w:sz="4" w:space="0" w:color="auto"/>
            </w:tcBorders>
            <w:noWrap/>
            <w:hideMark/>
          </w:tcPr>
          <w:p w14:paraId="2F3C889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04FD8C6"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23C0350"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357F6AB" w14:textId="77777777" w:rsidR="00664D9B" w:rsidRPr="00C126BD" w:rsidRDefault="00664D9B" w:rsidP="00664D9B">
            <w:pPr>
              <w:rPr>
                <w:rFonts w:ascii="Calibri" w:hAnsi="Calibri" w:cs="Calibri"/>
                <w:sz w:val="16"/>
                <w:szCs w:val="16"/>
              </w:rPr>
            </w:pPr>
          </w:p>
        </w:tc>
      </w:tr>
      <w:tr w:rsidR="00664D9B" w:rsidRPr="00C73DE7" w14:paraId="1C680668"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9094774" w14:textId="178BCF63"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{"citationItems":[{"id":"ITEM-1","itemData":{"DOI":"10.1002/gps.4262","ISBN":"0885-6230","ISSN":"10991166","PMID":"25689482","abstract":"Objective Currently, depression diagnosis relies primarily on behavioral symptoms and signs, and treatment is guided by trial and error instead of evaluating associated underlying brain characteristics. Unlike past studies, we attempted to estimate accurate prediction models for late-life depression diagnosis and treatment response using multiple machine learning methods with inputs of multi-modal imaging and non-imaging whole brain and network-based features. Methods Late-life depression patients (medicated post-recruitment) (n = 33) and older non-depressed individuals (n = 35) were recruited. Their demographics and cognitive ability scores were recorded, and brain characteristics were acquired using multi-modal magnetic resonance imaging pretreatment. Linear and nonlinear learning methods were tested for estimating accurate prediction models. Results A learning method called alternating decision trees estimated the most accurate prediction models for late-life depression diagnosis (87.27% accuracy) and treatment response (89.47% accuracy). The diagnosis model included measures of age, Mini-mental state examination score, and structural imaging (e.g. whole brain atrophy and global white mater hyperintensity burden). The treatment response model included measures of structural and functional connectivity. Conclusions Combinations of multi-modal imaging and/or non-imaging measures may help better predict late-life depression diagnosis and treatment response. As a preliminary observation, we speculate that the results may also suggest that different underlying brain characteristics defined by multi-modal imaging measures - rather than region-based differences - are associated with depression versus depression recovery because to our knowledge this is the first depression study to accurately predict both using the same approach. These findings may help better understand late-life depression and identify preliminary steps toward personalized late-life depression treatment.","author":[{"dropping-particle":"","family":"Patel","given":"Meenal J.","non-dropping-particle":"","parse-names":false,"suffix":""},{"dropping-particle":"","family":"Andreescu","given":"Carmen","non-dropping-particle":"","parse-names":false,"suffix":""},{"dropping-particle":"","family":"Price","given":"Julie C.","non-dropping-particle":"","parse-names":false,"suffix":""},{"dropping-particle":"","family":"Edelman","given":"Kathryn L.","non-dropping-particle":"","parse-names":false,"suffix":""},{"dropping-particle":"","family":"Reynolds","given":"Charles F.","non-dropping-particle":"","parse-names":false,"suffix":""},{"dropping-particle":"","family":"Aizenstein","given":"Howard J.","non-dropping-particle":"","parse-names":false,"suffix":""}],"container-title":"International Journal of Geriatric Psychiatry","edition":"2015/02/18","id":"ITEM-1","issue":"10","issued":{"date-parts":[["2015"]]},"language":"eng","note":"1099-1166\nPatel, Meenal J\nAndreescu, Carmen\nPrice, Julie C\nEdelman, Kathryn L\nReynolds, Charles F 3rd\nAizenstein, Howard J\nP30 MH052247/MH/NIMH NIH HHS/United States\nP30 AG024827/AG/NIA NIH HHS/United States\nP30 MH090333/MH/NIMH NIH HHS/United States\nMH 086686/MH/NIMH NIH HHS/United States\nMH076079-04S1/MH/NIMH NIH HHS/United States\nP30-MH52247/MH/NIMH NIH HHS/United States\nKL2 RR024154/RR/NCRR NIH HHS/United States\nK23 MH086686/MH/NIMH NIH HHS/United States\nR37 AG025516/AG/NIA NIH HHS/United States\nP30 MH071944/MH/NIMH NIH HHS/United States\nP30 MH90333/MH/NIMH NIH HHS/United States\nMH0-76079/MH/NIMH NIH HHS/United States\nRF1 AG025516/AG/NIA NIH HHS/United States\nMH K23 086606/MH/NIMH NIH HHS/United States\nP30 MH71944/MH/NIMH NIH HHS/United States\nR21 NS060184/NS/NINDS NIH HHS/United States\nR01 MH076079/MH/NIMH NIH HHS/United States\nJournal Article\nResearch Support, N.I.H., Extramural\nResearch Support, Non-U.S. Gov't\nEngland\nInt J Geriatr Psychiatry. 2015 Oct;30(10):1056-67. doi: 10.1002/gps.4262. Epub 2015 Feb 17.","page":"1056-1067","title":"Machine learning approaches for integrating clinical and imaging features in late-life depression classification and response prediction","type":"article-journal","volume":"30"},"uris":["http://www.mendeley.com/documents/?uuid=35731b62-6588-4966-a038-56d452a88fae"]}],"mendeley":{"formattedCitation":"(Patel et al., 2015)","plainTextFormattedCitation":"(Patel et al., 2015)","previouslyFormattedCitation":"(Patel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(Patel et al., 2015)</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640700D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6690C4E" w14:textId="51C0EEF4" w:rsidR="00664D9B" w:rsidRPr="00C126BD" w:rsidRDefault="00664D9B" w:rsidP="00C126BD">
            <w:pPr>
              <w:rPr>
                <w:rFonts w:ascii="Calibri" w:eastAsia="Times New Roman" w:hAnsi="Calibri" w:cs="Calibri"/>
                <w:color w:val="000000"/>
                <w:sz w:val="16"/>
                <w:szCs w:val="16"/>
              </w:rPr>
            </w:pPr>
            <w:r w:rsidRPr="007967A0">
              <w:rPr>
                <w:rFonts w:ascii="Calibri" w:eastAsia="Times New Roman" w:hAnsi="Calibri" w:cs="Calibri"/>
                <w:color w:val="000000"/>
                <w:sz w:val="16"/>
                <w:szCs w:val="16"/>
              </w:rPr>
              <w:t>HAM-D</w:t>
            </w:r>
          </w:p>
        </w:tc>
        <w:tc>
          <w:tcPr>
            <w:tcW w:w="990" w:type="dxa"/>
            <w:tcBorders>
              <w:top w:val="single" w:sz="4" w:space="0" w:color="auto"/>
              <w:left w:val="single" w:sz="4" w:space="0" w:color="auto"/>
              <w:bottom w:val="single" w:sz="4" w:space="0" w:color="auto"/>
              <w:right w:val="single" w:sz="4" w:space="0" w:color="auto"/>
            </w:tcBorders>
          </w:tcPr>
          <w:p w14:paraId="2075752F" w14:textId="767F8ADF" w:rsidR="00664D9B" w:rsidRPr="00C126BD" w:rsidRDefault="00BE1315"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7BB7E775" w14:textId="7C31E043"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990" w:type="dxa"/>
            <w:tcBorders>
              <w:top w:val="single" w:sz="4" w:space="0" w:color="auto"/>
              <w:left w:val="single" w:sz="4" w:space="0" w:color="auto"/>
              <w:bottom w:val="single" w:sz="4" w:space="0" w:color="auto"/>
              <w:right w:val="single" w:sz="4" w:space="0" w:color="auto"/>
            </w:tcBorders>
            <w:noWrap/>
            <w:hideMark/>
          </w:tcPr>
          <w:p w14:paraId="59376BE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630" w:type="dxa"/>
            <w:tcBorders>
              <w:top w:val="single" w:sz="4" w:space="0" w:color="auto"/>
              <w:left w:val="single" w:sz="4" w:space="0" w:color="auto"/>
              <w:bottom w:val="single" w:sz="4" w:space="0" w:color="auto"/>
              <w:right w:val="single" w:sz="4" w:space="0" w:color="auto"/>
            </w:tcBorders>
            <w:noWrap/>
            <w:hideMark/>
          </w:tcPr>
          <w:p w14:paraId="3E33C5F3"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33DE23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24</w:t>
            </w:r>
          </w:p>
        </w:tc>
        <w:tc>
          <w:tcPr>
            <w:tcW w:w="900" w:type="dxa"/>
            <w:tcBorders>
              <w:top w:val="single" w:sz="4" w:space="0" w:color="auto"/>
              <w:left w:val="single" w:sz="4" w:space="0" w:color="auto"/>
              <w:bottom w:val="single" w:sz="4" w:space="0" w:color="auto"/>
              <w:right w:val="single" w:sz="4" w:space="0" w:color="auto"/>
            </w:tcBorders>
            <w:noWrap/>
            <w:hideMark/>
          </w:tcPr>
          <w:p w14:paraId="581CBAF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13C6A4B"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65C6A8AB"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14197C4" w14:textId="77777777" w:rsidR="00664D9B" w:rsidRPr="00C126BD" w:rsidRDefault="00664D9B" w:rsidP="00664D9B">
            <w:pPr>
              <w:rPr>
                <w:rFonts w:ascii="Calibri" w:hAnsi="Calibri" w:cs="Calibri"/>
                <w:sz w:val="16"/>
                <w:szCs w:val="16"/>
              </w:rPr>
            </w:pPr>
          </w:p>
        </w:tc>
      </w:tr>
      <w:tr w:rsidR="00664D9B" w:rsidRPr="00C73DE7" w14:paraId="1EE28A33"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DCA9334" w14:textId="43667876"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{"citationItems":[{"id":"ITEM-1","itemData":{"DOI":"10.1002/jmri.27029","ISBN":"1522-2586 (Electronic)\r1053-1807 (Linking)","ISSN":"15222586","PMID":"31859419","abstract":"Background: In order to reduce unsuccessful treatment trials for depression, neuroimaging and genetic information can be considered as biomarkers. Together with machine-learning methods, prediction models have proved to be valuable for baseline prediction. Purpose: To propose an ensemble learning modeling framework that integrates imaging and genetic information for individualized baseline prediction of early-stage treatment response of antidepressants in major depressive disorder (MDD). Study Type: Prospective. Subjects: In all, 98 inpatients with MDD. Field Strength/Sequence: 3.0T MRI and gradient-echo echo-planar imaging sequence. Assessment: Participants were divided into responders and nonresponders based on reducing rates of HDRS-6 after early-stage treatment of 2 weeks. Fourteen brain regions of interest were selected according to previous studies. An ensemble learning modeling framework was used to integrate imaging data and genetic data. Statistical Tests: Support vector machine (SVM) with linear kernel was utilized to integrate multimode information and then to construct the prediction model. Leave-one-out cross-validation (LOOCV) was used to evaluate the performance. The position characteristics obtained through SVM-RFE (recursive feature elimination) algorithm and LOOCV was considered to compare each feature's relative importance for the prediction model. Results: Compared with the single-level prediction model, the ensemble learning prediction model showed improvement in prediction performance (accuracy from 0.61 to 0.86 with imaging data and genetic data). Integrated with 14 priori brain regions, the region of interest (ROI) map ensemble learning prediction model can achieve a performance that is analogous with the model with information from whole-brain regions (both with accuracy of 0.81). The integration of genetic features further improved the sensitivity of prediction (sensitivity from 0.78 to 0.87 under the ensemble learning framework). Data Conclusion: Our ensemble learning prediction model demonstrated significant advantages in interpretability and information integration. The findings may provide more assistance for clinical treatment selection in MDD at the individual level. Level of Evidence: 1. Technical Efficacy: Stage 2. J. Magn. Reson. Imaging 2020;52:161–171.","author":[{"dropping-particle":"","family":"Pei","given":"Cong","non-dropping-particle":"","parse-names":false,"suffix":""},{"dropping-particle":"","family":"Sun","given":"Yurong","non-dropping-particle":"","parse-names":false,"suffix":""},{"dropping-particle":"","family":"Zhu","given":"Jinlong","non-dropping-particle":"","parse-names":false,"suffix":""},{"dropping-particle":"","family":"Wang","given":"Xinyi","non-dropping-particle":"","parse-names":false,"suffix":""},{"dropping-particle":"","family":"Zhang","given":"Yujie","non-dropping-particle":"","parse-names":false,"suffix":""},{"dropping-particle":"","family":"Zhang","given":"Shuqiang","non-dropping-particle":"","parse-names":false,"suffix":""},{"dropping-particle":"","family":"Yao","given":"Zhijian","non-dropping-particle":"","parse-names":false,"suffix":""},{"dropping-particle":"","family":"Lu","given":"Qing","non-dropping-particle":"","parse-names":false,"suffix":""}],"container-title":"Journal of Magnetic Resonance Imaging","edition":"2019/12/21","id":"ITEM-1","issue":"1","issued":{"date-parts":[["2020"]]},"note":"Pei, Cong\nSun, Yurong\nZhu, Jinlong\nWang, Xinyi\nZhang, Yujie\nZhang, Shuqiang\nYao, Zhijian\nLu, Qing\neng\nBE2018609/Jiangsu Provincial key research and development program\nBE2019675/Jiangsu Provincial key research and development program\nCXTDC2016004/Jiangsu Provincial Medical Innovation Team of the Project of Invigorating Health Care through Science, Technology and Education\n81571639/National Natural Science Foundation of China\n81871066/National Natural Science Foundation of China\nJ Magn Reson Imaging. 2019 Dec 20. doi: 10.1002/jmri.27029.","page":"161-171","title":"Ensemble Learning for Early-Response Prediction of Antidepressant Treatment in Major Depressive Disorder","type":"article-journal","volume":"52"},"uris":["http://www.mendeley.com/documents/?uuid=421a0b14-48e4-4208-a721-48a9aee721c1"]}],"mendeley":{"formattedCitation":"(Pei et al., 2020)","plainTextFormattedCitation":"(Pei et al., 2020)","previouslyFormattedCitation":"(Pei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(Pei et al., 2020)</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F7E2069"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Early-response</w:t>
            </w:r>
          </w:p>
        </w:tc>
        <w:tc>
          <w:tcPr>
            <w:tcW w:w="1440" w:type="dxa"/>
            <w:tcBorders>
              <w:top w:val="single" w:sz="4" w:space="0" w:color="auto"/>
              <w:left w:val="single" w:sz="4" w:space="0" w:color="auto"/>
              <w:bottom w:val="single" w:sz="4" w:space="0" w:color="auto"/>
              <w:right w:val="single" w:sz="4" w:space="0" w:color="auto"/>
            </w:tcBorders>
          </w:tcPr>
          <w:p w14:paraId="2BBA241E" w14:textId="79B543B9" w:rsidR="00664D9B" w:rsidRPr="00C126BD" w:rsidRDefault="00664D9B" w:rsidP="00C126BD">
            <w:pPr>
              <w:rPr>
                <w:rFonts w:ascii="Calibri" w:eastAsia="Times New Roman" w:hAnsi="Calibri" w:cs="Calibri"/>
                <w:color w:val="000000"/>
                <w:sz w:val="16"/>
                <w:szCs w:val="16"/>
              </w:rPr>
            </w:pPr>
            <w:r w:rsidRPr="007967A0">
              <w:rPr>
                <w:rFonts w:ascii="Calibri" w:eastAsia="Times New Roman" w:hAnsi="Calibri" w:cs="Calibri"/>
                <w:color w:val="000000"/>
                <w:sz w:val="16"/>
                <w:szCs w:val="16"/>
              </w:rPr>
              <w:t>HDRS-6</w:t>
            </w:r>
          </w:p>
        </w:tc>
        <w:tc>
          <w:tcPr>
            <w:tcW w:w="990" w:type="dxa"/>
            <w:tcBorders>
              <w:top w:val="single" w:sz="4" w:space="0" w:color="auto"/>
              <w:left w:val="single" w:sz="4" w:space="0" w:color="auto"/>
              <w:bottom w:val="single" w:sz="4" w:space="0" w:color="auto"/>
              <w:right w:val="single" w:sz="4" w:space="0" w:color="auto"/>
            </w:tcBorders>
          </w:tcPr>
          <w:p w14:paraId="61746F5B" w14:textId="559261DF"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2 weeks</w:t>
            </w:r>
          </w:p>
        </w:tc>
        <w:tc>
          <w:tcPr>
            <w:tcW w:w="900" w:type="dxa"/>
            <w:tcBorders>
              <w:top w:val="single" w:sz="4" w:space="0" w:color="auto"/>
              <w:left w:val="single" w:sz="4" w:space="0" w:color="auto"/>
              <w:bottom w:val="single" w:sz="4" w:space="0" w:color="auto"/>
              <w:right w:val="single" w:sz="4" w:space="0" w:color="auto"/>
            </w:tcBorders>
            <w:noWrap/>
            <w:hideMark/>
          </w:tcPr>
          <w:p w14:paraId="64AE32E9" w14:textId="551D55E1"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990" w:type="dxa"/>
            <w:tcBorders>
              <w:top w:val="single" w:sz="4" w:space="0" w:color="auto"/>
              <w:left w:val="single" w:sz="4" w:space="0" w:color="auto"/>
              <w:bottom w:val="single" w:sz="4" w:space="0" w:color="auto"/>
              <w:right w:val="single" w:sz="4" w:space="0" w:color="auto"/>
            </w:tcBorders>
            <w:noWrap/>
            <w:hideMark/>
          </w:tcPr>
          <w:p w14:paraId="09E3FB8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w:t>
            </w:r>
          </w:p>
        </w:tc>
        <w:tc>
          <w:tcPr>
            <w:tcW w:w="630" w:type="dxa"/>
            <w:tcBorders>
              <w:top w:val="single" w:sz="4" w:space="0" w:color="auto"/>
              <w:left w:val="single" w:sz="4" w:space="0" w:color="auto"/>
              <w:bottom w:val="single" w:sz="4" w:space="0" w:color="auto"/>
              <w:right w:val="single" w:sz="4" w:space="0" w:color="auto"/>
            </w:tcBorders>
            <w:noWrap/>
            <w:hideMark/>
          </w:tcPr>
          <w:p w14:paraId="0A350638"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F3C5136"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804474E"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7304824"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24C4786"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360AD3B" w14:textId="77777777" w:rsidR="00664D9B" w:rsidRPr="00C126BD" w:rsidRDefault="00664D9B" w:rsidP="00664D9B">
            <w:pPr>
              <w:rPr>
                <w:rFonts w:ascii="Calibri" w:hAnsi="Calibri" w:cs="Calibri"/>
                <w:sz w:val="16"/>
                <w:szCs w:val="16"/>
              </w:rPr>
            </w:pPr>
          </w:p>
        </w:tc>
      </w:tr>
      <w:tr w:rsidR="00664D9B" w:rsidRPr="00C73DE7" w14:paraId="258242E3"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73DC913A" w14:textId="6627FEF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{"citationItems":[{"id":"ITEM-1","itemData":{"DOI":"10.1016/j.biopsych.2012.12.007","ISBN":"0006-3223","ISSN":"00063223","PMID":"23380715","abstract":"Background: Early identification of depressed individuals at high risk for treatment resistance could be helpful in selecting optimal setting and intensity of care. At present, validated tools to facilitate this risk stratification are rarely used in psychiatric practice. Methods: Data were drawn from the first two treatment levels of a multicenter antidepressant effectiveness study in major depressive disorder, the STARD (Sequenced Treatment Alternatives to Relieve Depression) cohort. This cohort was divided into training, testing, and validation subsets. Only clinical or sociodemographic variables available by or readily amenable to self-report were considered. Multivariate models were developed to discriminate individuals reaching remission with a first or second pharmacological treatment trial from those not reaching remission despite two trials. Results: A logistic regression model achieved an area under the receiver operating characteristic curve exceeding.71 in training, testing, and validation cohorts and maintained good calibration across cohorts. Performance of three alternative models with machine learning approaches - a naïve Bayes classifier and a support vector machine, and a random forest model - was less consistent. Similar performance was observed between more and less severe depression, men and women, and primary versus specialty care sites. A web-based calculator was developed that implements this tool and provides graphical estimates of risk. Conclusion: Risk for treatment resistance among outpatients with major depressive disorder can be estimated with a simple model incorporating baseline sociodemographic and clinical features. Future studies should examine the performance of this model in other clinical populations and its utility in treatment selection or clinical trial design. © 2013 Society of Biological Psychiatry.","author":[{"dropping-particle":"","family":"Perlis","given":"Roy H.","non-dropping-particle":"","parse-names":false,"suffix":""}],"container-title":"Biological Psychiatry","edition":"2013/02/06","id":"ITEM-1","issue":"1","issued":{"date-parts":[["2013"]]},"language":"eng","note":"1873-2402\nPerlis, Roy H\nN01 MH090003/MH/NIMH NIH HHS/United States\nR01 MH086026/MH/NIMH NIH HHS/United States\nMH086026/MH/NIMH NIH HHS/United States\nN01 MH-90003/MH/NIMH NIH HHS/United States\nJournal Article\nResearch Support, N.I.H., Extramural\nResearch Support, Non-U.S. Gov't\nUnited States\nBiol Psychiatry. 2013 Jul 1;74(1):7-14. doi: 10.1016/j.biopsych.2012.12.007. Epub 2013 Feb 4.","page":"7-14","title":"A clinical risk stratification tool for predicting treatment resistance in major depressive disorder","type":"article-journal","volume":"74"},"uris":["http://www.mendeley.com/documents/?uuid=591ba417-a50e-4b36-960c-4a3a6d80acbf"]}],"mendeley":{"formattedCitation":"(Perlis, 2013)","plainTextFormattedCitation":"(Perlis, 2013)","previouslyFormattedCitation":"(Perlis, 2013)"},"properties":{"noteIndex":0},"schema":"https://github.com/citation-style-language/schema/raw/master/csl-citation.json"}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(Perlis, 2013)</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FBC61F1"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1CB71495" w14:textId="0D4006DA" w:rsidR="00664D9B" w:rsidRPr="00C126BD" w:rsidRDefault="00664D9B" w:rsidP="00C126BD">
            <w:pPr>
              <w:rPr>
                <w:rFonts w:ascii="Calibri" w:eastAsia="Times New Roman" w:hAnsi="Calibri" w:cs="Calibri"/>
                <w:color w:val="000000"/>
                <w:sz w:val="16"/>
                <w:szCs w:val="16"/>
              </w:rPr>
            </w:pPr>
            <w:r w:rsidRPr="002673DA">
              <w:rPr>
                <w:rFonts w:ascii="Calibri" w:eastAsia="Times New Roman" w:hAnsi="Calibri" w:cs="Calibri"/>
                <w:color w:val="000000"/>
                <w:sz w:val="16"/>
                <w:szCs w:val="16"/>
              </w:rPr>
              <w:t>QIDS-SR</w:t>
            </w:r>
          </w:p>
        </w:tc>
        <w:tc>
          <w:tcPr>
            <w:tcW w:w="990" w:type="dxa"/>
            <w:tcBorders>
              <w:top w:val="single" w:sz="4" w:space="0" w:color="auto"/>
              <w:left w:val="single" w:sz="4" w:space="0" w:color="auto"/>
              <w:bottom w:val="single" w:sz="4" w:space="0" w:color="auto"/>
              <w:right w:val="single" w:sz="4" w:space="0" w:color="auto"/>
            </w:tcBorders>
          </w:tcPr>
          <w:p w14:paraId="2D71FDC8" w14:textId="6C36F42D" w:rsidR="00664D9B" w:rsidRPr="00C126BD" w:rsidRDefault="007A4756" w:rsidP="00C126BD">
            <w:pPr>
              <w:rPr>
                <w:rFonts w:ascii="Calibri" w:eastAsia="Times New Roman" w:hAnsi="Calibri" w:cs="Calibri"/>
                <w:color w:val="000000"/>
                <w:sz w:val="16"/>
                <w:szCs w:val="16"/>
              </w:rPr>
            </w:pPr>
            <w:r>
              <w:rPr>
                <w:rFonts w:ascii="Calibri" w:eastAsia="Times New Roman" w:hAnsi="Calibri" w:cs="Calibri"/>
                <w:color w:val="000000"/>
                <w:sz w:val="16"/>
                <w:szCs w:val="16"/>
              </w:rPr>
              <w:t>24 weeks</w:t>
            </w:r>
          </w:p>
        </w:tc>
        <w:tc>
          <w:tcPr>
            <w:tcW w:w="900" w:type="dxa"/>
            <w:tcBorders>
              <w:top w:val="single" w:sz="4" w:space="0" w:color="auto"/>
              <w:left w:val="single" w:sz="4" w:space="0" w:color="auto"/>
              <w:bottom w:val="single" w:sz="4" w:space="0" w:color="auto"/>
              <w:right w:val="single" w:sz="4" w:space="0" w:color="auto"/>
            </w:tcBorders>
            <w:noWrap/>
            <w:hideMark/>
          </w:tcPr>
          <w:p w14:paraId="29064EC4" w14:textId="4AE0CF00"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990" w:type="dxa"/>
            <w:tcBorders>
              <w:top w:val="single" w:sz="4" w:space="0" w:color="auto"/>
              <w:left w:val="single" w:sz="4" w:space="0" w:color="auto"/>
              <w:bottom w:val="single" w:sz="4" w:space="0" w:color="auto"/>
              <w:right w:val="single" w:sz="4" w:space="0" w:color="auto"/>
            </w:tcBorders>
            <w:noWrap/>
            <w:hideMark/>
          </w:tcPr>
          <w:p w14:paraId="7208848D"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4BD1FCC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00" w:type="dxa"/>
            <w:tcBorders>
              <w:top w:val="single" w:sz="4" w:space="0" w:color="auto"/>
              <w:left w:val="single" w:sz="4" w:space="0" w:color="auto"/>
              <w:bottom w:val="single" w:sz="4" w:space="0" w:color="auto"/>
              <w:right w:val="single" w:sz="4" w:space="0" w:color="auto"/>
            </w:tcBorders>
            <w:noWrap/>
            <w:hideMark/>
          </w:tcPr>
          <w:p w14:paraId="51DB12F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1571</w:t>
            </w:r>
          </w:p>
        </w:tc>
        <w:tc>
          <w:tcPr>
            <w:tcW w:w="900" w:type="dxa"/>
            <w:tcBorders>
              <w:top w:val="single" w:sz="4" w:space="0" w:color="auto"/>
              <w:left w:val="single" w:sz="4" w:space="0" w:color="auto"/>
              <w:bottom w:val="single" w:sz="4" w:space="0" w:color="auto"/>
              <w:right w:val="single" w:sz="4" w:space="0" w:color="auto"/>
            </w:tcBorders>
            <w:noWrap/>
            <w:hideMark/>
          </w:tcPr>
          <w:p w14:paraId="5C73822B"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0.67</w:t>
            </w:r>
          </w:p>
        </w:tc>
        <w:tc>
          <w:tcPr>
            <w:tcW w:w="900" w:type="dxa"/>
            <w:tcBorders>
              <w:top w:val="single" w:sz="4" w:space="0" w:color="auto"/>
              <w:left w:val="single" w:sz="4" w:space="0" w:color="auto"/>
              <w:bottom w:val="single" w:sz="4" w:space="0" w:color="auto"/>
              <w:right w:val="single" w:sz="4" w:space="0" w:color="auto"/>
            </w:tcBorders>
            <w:noWrap/>
            <w:hideMark/>
          </w:tcPr>
          <w:p w14:paraId="56558FCD"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0.61</w:t>
            </w:r>
          </w:p>
        </w:tc>
        <w:tc>
          <w:tcPr>
            <w:tcW w:w="540" w:type="dxa"/>
            <w:tcBorders>
              <w:top w:val="single" w:sz="4" w:space="0" w:color="auto"/>
              <w:left w:val="single" w:sz="4" w:space="0" w:color="auto"/>
              <w:bottom w:val="single" w:sz="4" w:space="0" w:color="auto"/>
              <w:right w:val="single" w:sz="4" w:space="0" w:color="auto"/>
            </w:tcBorders>
            <w:noWrap/>
            <w:hideMark/>
          </w:tcPr>
          <w:p w14:paraId="2B7A7FB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w:t>
            </w:r>
          </w:p>
        </w:tc>
        <w:tc>
          <w:tcPr>
            <w:tcW w:w="905" w:type="dxa"/>
            <w:tcBorders>
              <w:top w:val="single" w:sz="4" w:space="0" w:color="auto"/>
              <w:left w:val="single" w:sz="4" w:space="0" w:color="auto"/>
              <w:bottom w:val="single" w:sz="4" w:space="0" w:color="auto"/>
              <w:right w:val="single" w:sz="4" w:space="0" w:color="auto"/>
            </w:tcBorders>
            <w:noWrap/>
            <w:hideMark/>
          </w:tcPr>
          <w:p w14:paraId="15818970"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523</w:t>
            </w:r>
          </w:p>
        </w:tc>
      </w:tr>
      <w:tr w:rsidR="00664D9B" w:rsidRPr="00C73DE7" w14:paraId="552DCAB8"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14CD6F5" w14:textId="4C47F54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{"citationItems":[{"id":"ITEM-1","itemData":{"DOI":"10.1001/jamapsychiatry.2016.0316","ISBN":"2168-622x","ISSN":"2168622X","PMID":"27145449","abstract":"Importance: Electroconvulsive therapy (ECT) is one of the most effective treatments for severe depression. However, biomarkers that accurately predict a response to ECT remain unidentified. Objective: To investigate whether certain factors identified by structural magnetic resonance imaging (MRI) techniques are able to predict ECT response. Design, Setting, and Participants: In this nonrandomized prospective study, gray matter structure was assessed twice at approximately 6 weeks apart using 3-T MRI and voxel-based morphometry. Patients were recruited through the inpatient service of the Department of Psychiatry, University of Muenster, from March 11, 2010, to March 27, 2015. Two patient groups with acute major depressive disorder were included. One group received an ECT series in addition to antidepressants (n = 24); a comparison sample was treated solely with antidepressants (n = 23). Both groups were compared with a sample of healthy control participants (n = 21). Main Outcomes and Measures: Binary pattern classificationwas used to predict ECT response by structural MRI that was performed before treatment. In addition, univariate analysis was conducted to predict reduction of the Hamilton Depression Rating Scale score by pretreatment gray matter volumes and to investigate ECT-related structural changes. Results: One participant in the ECT sample was excluded from the analysis, leaving 67 participants (27 men and 40 women; mean [SD] age, 43.7 [10.6] years). The binary pattern classification yielded a successful prediction of ECT response, with accuracy rates of 78.3% (18 of 23 patients in the ECT sample) and sensitivity rates of 100% (13 of 13 who responded to ECT). Furthermore, a support vector regression yielded a significant prediction of relative reduction in the Hamilton Depression Rating Scale score. The principal findings of the univariate model indicated a positive association between pretreatment subgenual cingulate volume and individual ECT response (Montreal Neurological Institute [MNI] coordinates x = 8, y = 21, z = -18; Z score, 4.00; P &lt; .001; peak voxel r = 0.73). Furthermore, the analysis of treatment effects revealed a increase in hippocampal volume in the ECT sample (MNI coordinates x = -28, y = -9, z = -18; Z score, 7.81; P &lt; .001) that was missing in the medication-only sample. Conclusions and Relevance: A relatively small degree of structural impairment in the subgenual cingulate cortex before therapy seems to be associated with s…","author":[{"dropping-particle":"","family":"Redlich","given":"Ronny","non-dropping-particle":"","parse-names":false,"suffix":""},{"dropping-particle":"","family":"Opel","given":"Nils","non-dropping-particle":"","parse-names":false,"suffix":""},{"dropping-particle":"","family":"Grotegerd","given":"Dominik","non-dropping-particle":"","parse-names":false,"suffix":""},{"dropping-particle":"","family":"Dohm","given":"Katharina","non-dropping-particle":"","parse-names":false,"suffix":""},{"dropping-particle":"","family":"Zaremba","given":"Dario","non-dropping-particle":"","parse-names":false,"suffix":""},{"dropping-particle":"","family":"Burger","given":"Christian","non-dropping-particle":"","parse-names":false,"suffix":""},{"dropping-particle":"","family":"Munker","given":"Sandra","non-dropping-particle":"","parse-names":false,"suffix":""},{"dropping-particle":"","family":"Muhlmann","given":"Lisa","non-dropping-particle":"","parse-names":false,"suffix":""},{"dropping-particle":"","family":"Wahl","given":"Patricia","non-dropping-particle":"","parse-names":false,"suffix":""},{"dropping-particle":"","family":"Heindel","given":"Walter","non-dropping-particle":"","parse-names":false,"suffix":""},{"dropping-particle":"","family":"Arolt","given":"Volker","non-dropping-particle":"","parse-names":false,"suffix":""},{"dropping-particle":"","family":"Alferink","given":"Judith","non-dropping-particle":"","parse-names":false,"suffix":""},{"dropping-particle":"","family":"Zwanzger","given":"Peter","non-dropping-particle":"","parse-names":false,"suffix":""},{"dropping-particle":"","family":"Zavorotnyy","given":"Maxim","non-dropping-particle":"","parse-names":false,"suffix":""},{"dropping-particle":"","family":"Kugel","given":"Harald","non-dropping-particle":"","parse-names":false,"suffix":""},{"dropping-particle":"","family":"Dannlowski","given":"Udo","non-dropping-particle":"","parse-names":false,"suffix":""}],"container-title":"JAMA Psychiatry","edition":"2016/05/05","id":"ITEM-1","issue":"6","issued":{"date-parts":[["2016"]]},"language":"eng","note":"2168-6238\nRedlich, Ronny\nOpel, Nils\nGrotegerd, Dominik\nDohm, Katharina\nZaremba, Dario\nBurger, Christian\nMunker, Sandra\nMuhlmann, Lisa\nWahl, Patricia\nHeindel, Walter\nArolt, Volker\nAlferink, Judith\nZwanzger, Peter\nZavorotnyy, Maxim\nKugel, Harald\nDannlowski, Udo\nClinical Trial\nComparative Study\nJournal Article\nUnited States\nJAMA Psychiatry. 2016 Jun 1;73(6):557-64. doi: 10.1001/jamapsychiatry.2016.0316.","page":"557-564","title":"Prediction of individual response to electroconvulsive therapy via machine learning on structural magnetic resonance imaging data","type":"article-journal","volume":"73"},"uris":["http://www.mendeley.com/documents/?uuid=21dd9bb0-b5d0-4720-abb5-d0d8b4aeb114"]}],"mendeley":{"formattedCitation":"(Redlich et al., 2016)","plainTextFormattedCitation":"(Redlich et al., 2016)","previouslyFormattedCitation":"(Redlich et al., 2016)"},"properties":{"noteIndex":0},"schema":"https://github.com/citation-style-language/schema/raw/master/csl-citation.json"}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(Redlich et al., 2016)</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4BDF3C56"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4DA37160" w14:textId="4C04B849" w:rsidR="00664D9B" w:rsidRPr="00C126BD" w:rsidRDefault="007E5FD7" w:rsidP="00C126BD">
            <w:pPr>
              <w:rPr>
                <w:rFonts w:ascii="Calibri" w:eastAsia="Times New Roman" w:hAnsi="Calibri" w:cs="Calibri"/>
                <w:color w:val="000000"/>
                <w:sz w:val="16"/>
                <w:szCs w:val="16"/>
              </w:rPr>
            </w:pPr>
            <w:r>
              <w:rPr>
                <w:rFonts w:ascii="Calibri" w:eastAsia="Times New Roman" w:hAnsi="Calibri" w:cs="Calibri"/>
                <w:color w:val="000000"/>
                <w:sz w:val="16"/>
                <w:szCs w:val="16"/>
              </w:rPr>
              <w:t>DSM-IV</w:t>
            </w:r>
          </w:p>
        </w:tc>
        <w:tc>
          <w:tcPr>
            <w:tcW w:w="990" w:type="dxa"/>
            <w:tcBorders>
              <w:top w:val="single" w:sz="4" w:space="0" w:color="auto"/>
              <w:left w:val="single" w:sz="4" w:space="0" w:color="auto"/>
              <w:bottom w:val="single" w:sz="4" w:space="0" w:color="auto"/>
              <w:right w:val="single" w:sz="4" w:space="0" w:color="auto"/>
            </w:tcBorders>
          </w:tcPr>
          <w:p w14:paraId="69FB38A8" w14:textId="2698C7C9" w:rsidR="00664D9B" w:rsidRPr="00C126BD" w:rsidRDefault="007E5FD7" w:rsidP="00C126BD">
            <w:pPr>
              <w:rPr>
                <w:rFonts w:ascii="Calibri" w:eastAsia="Times New Roman" w:hAnsi="Calibri" w:cs="Calibri"/>
                <w:color w:val="000000"/>
                <w:sz w:val="16"/>
                <w:szCs w:val="16"/>
              </w:rPr>
            </w:pPr>
            <w:r>
              <w:rPr>
                <w:rFonts w:ascii="Calibri" w:eastAsia="Times New Roman" w:hAnsi="Calibri" w:cs="Calibri"/>
                <w:color w:val="000000"/>
                <w:sz w:val="16"/>
                <w:szCs w:val="16"/>
              </w:rPr>
              <w:t>6 weeks</w:t>
            </w:r>
          </w:p>
        </w:tc>
        <w:tc>
          <w:tcPr>
            <w:tcW w:w="900" w:type="dxa"/>
            <w:tcBorders>
              <w:top w:val="single" w:sz="4" w:space="0" w:color="auto"/>
              <w:left w:val="single" w:sz="4" w:space="0" w:color="auto"/>
              <w:bottom w:val="single" w:sz="4" w:space="0" w:color="auto"/>
              <w:right w:val="single" w:sz="4" w:space="0" w:color="auto"/>
            </w:tcBorders>
            <w:noWrap/>
            <w:hideMark/>
          </w:tcPr>
          <w:p w14:paraId="4E1A8615" w14:textId="09219FC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0.76</w:t>
            </w:r>
          </w:p>
        </w:tc>
        <w:tc>
          <w:tcPr>
            <w:tcW w:w="990" w:type="dxa"/>
            <w:tcBorders>
              <w:top w:val="single" w:sz="4" w:space="0" w:color="auto"/>
              <w:left w:val="single" w:sz="4" w:space="0" w:color="auto"/>
              <w:bottom w:val="single" w:sz="4" w:space="0" w:color="auto"/>
              <w:right w:val="single" w:sz="4" w:space="0" w:color="auto"/>
            </w:tcBorders>
            <w:noWrap/>
            <w:hideMark/>
          </w:tcPr>
          <w:p w14:paraId="6A96C17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0.73</w:t>
            </w:r>
          </w:p>
        </w:tc>
        <w:tc>
          <w:tcPr>
            <w:tcW w:w="630" w:type="dxa"/>
            <w:tcBorders>
              <w:top w:val="single" w:sz="4" w:space="0" w:color="auto"/>
              <w:left w:val="single" w:sz="4" w:space="0" w:color="auto"/>
              <w:bottom w:val="single" w:sz="4" w:space="0" w:color="auto"/>
              <w:right w:val="single" w:sz="4" w:space="0" w:color="auto"/>
            </w:tcBorders>
            <w:noWrap/>
            <w:hideMark/>
          </w:tcPr>
          <w:p w14:paraId="348923B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C2CC8E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67</w:t>
            </w:r>
          </w:p>
        </w:tc>
        <w:tc>
          <w:tcPr>
            <w:tcW w:w="900" w:type="dxa"/>
            <w:tcBorders>
              <w:top w:val="single" w:sz="4" w:space="0" w:color="auto"/>
              <w:left w:val="single" w:sz="4" w:space="0" w:color="auto"/>
              <w:bottom w:val="single" w:sz="4" w:space="0" w:color="auto"/>
              <w:right w:val="single" w:sz="4" w:space="0" w:color="auto"/>
            </w:tcBorders>
            <w:noWrap/>
            <w:hideMark/>
          </w:tcPr>
          <w:p w14:paraId="2D240516"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9E3D53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1476751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1F77E235" w14:textId="77777777" w:rsidR="00664D9B" w:rsidRPr="00C126BD" w:rsidRDefault="00664D9B" w:rsidP="00664D9B">
            <w:pPr>
              <w:rPr>
                <w:rFonts w:ascii="Calibri" w:hAnsi="Calibri" w:cs="Calibri"/>
                <w:sz w:val="16"/>
                <w:szCs w:val="16"/>
              </w:rPr>
            </w:pPr>
          </w:p>
        </w:tc>
      </w:tr>
      <w:tr w:rsidR="00664D9B" w:rsidRPr="00C73DE7" w14:paraId="13A0EDF5"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8C6C8E9" w14:textId="594A2ABD"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{"citationItems":[{"id":"ITEM-1","itemData":{"DOI":"10.1002/da.22670","ISBN":"1091-4269","ISSN":"15206394","PMID":"28672073","abstract":"Background: Only one-third of patients with major depressive disorder (MDD) achieve remission with initial treatment. Consequently, current clinical practice relies on a “trial-and-error” approach to identify an effective treatment for each patient. The purpose of this report was to determine whether we could identify a set of clinical and biological parameters with potential clinical utility for prescription of exercise for treatment of MDD in a secondary analysis of the Treatment with Exercise Augmentation in Depression (TREAD) trial. Methods: Participants with nonremitted MDD were randomized to one of two exercise doses for 12 weeks. Participants were categorized as “remitters” (≤12 on the IDS-C), nonresponders (&lt;30% drop in IDS-C), or neither. The least absolute shrinkage and selection operator (LASSO) and random forests were used to evaluate 30 variables as predictors of both remission and nonresponse. Predictors were used to model treatment outcomes using logistic regression. Results: Of the 122 participants, 36 were categorized as remitters (29.5%), 56 as nonresponders (45.9%), and 30 as neither (24.6%). Predictors of remission were higher levels of brain-derived neurotrophic factor (BDNF) and IL-1B, greater depressive symptom severity, and higher postexercise positive affect. Predictors of treatment nonresponse were low cardiorespiratory fitness, lower levels of IL-6 and BDNF, and lower postexercise positive affect. Models including these predictors resulted in predictive values greater than 70% (true predicted remitters/all predicted remitters) with specificities greater than 25% (true predicted remitters/all remitters). Conclusions: Results indicate feasibility in identifying patients who will either remit or not respond to exercise as a treatment for MDD utilizing a clinical decision model that incorporates multiple patient characteristics.","author":[{"dropping-particle":"","family":"Rethorst","given":"Chad D.","non-dropping-particle":"","parse-names":false,"suffix":""},{"dropping-particle":"","family":"South","given":"Charles C.","non-dropping-particle":"","parse-names":false,"suffix":""},{"dropping-particle":"","family":"Rush","given":"A. John","non-dropping-particle":"","parse-names":false,"suffix":""},{"dropping-particle":"","family":"Greer","given":"Tracy L.","non-dropping-particle":"","parse-names":false,"suffix":""},{"dropping-particle":"","family":"Trivedi","given":"Madhukar H.","non-dropping-particle":"","parse-names":false,"suffix":""}],"container-title":"Depression and Anxiety","edition":"2017/07/04","id":"ITEM-1","issue":"12","issued":{"date-parts":[["2017"]]},"language":"eng","note":"1520-6394\nRethorst, Chad D\nOrcid: 0000-0002-8168-2829\nSouth, Charles C\nRush, A John\nGreer, Tracy L\nTrivedi, Madhukar H\nOrcid: 0000-0002-2983-1110\nK01 MH097847/MH/NIMH NIH HHS/United States\nR01 MH067692/MH/NIMH NIH HHS/United States\nJournal Article\nRandomized Controlled Trial\nResearch Support, N.I.H., Extramural\nResearch Support, Non-U.S. Gov't\nUnited States\nDepress Anxiety. 2017 Dec;34(12):1116-1122. doi: 10.1002/da.22670. Epub 2017 Jul 3.","page":"1116-1122","title":"Prediction of treatment outcomes to exercise in patients with nonremitted major depressive disorder","type":"article-journal","volume":"34"},"uris":["http://www.mendeley.com/documents/?uuid=f8e638ed-7c50-40f2-b5aa-87faedbd755c"]}],"mendeley":{"formattedCitation":"(Rethorst et al., 2017)","plainTextFormattedCitation":"(Rethorst et al., 2017)","previouslyFormattedCitation":"(Rethorst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(Rethorst et al., 2017)</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5D168B34"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Non-response</w:t>
            </w:r>
          </w:p>
        </w:tc>
        <w:tc>
          <w:tcPr>
            <w:tcW w:w="1440" w:type="dxa"/>
            <w:tcBorders>
              <w:top w:val="single" w:sz="4" w:space="0" w:color="auto"/>
              <w:left w:val="single" w:sz="4" w:space="0" w:color="auto"/>
              <w:bottom w:val="single" w:sz="4" w:space="0" w:color="auto"/>
              <w:right w:val="single" w:sz="4" w:space="0" w:color="auto"/>
            </w:tcBorders>
          </w:tcPr>
          <w:p w14:paraId="6C17D5C6" w14:textId="5C4BB766" w:rsidR="00664D9B" w:rsidRPr="00C126BD" w:rsidRDefault="00AE4E73">
            <w:pPr>
              <w:rPr>
                <w:rFonts w:ascii="Calibri" w:eastAsia="Times New Roman" w:hAnsi="Calibri" w:cs="Calibri"/>
                <w:color w:val="000000"/>
                <w:sz w:val="16"/>
                <w:szCs w:val="16"/>
              </w:rPr>
            </w:pPr>
            <w:r w:rsidRPr="00C126BD">
              <w:rPr>
                <w:rFonts w:ascii="Calibri" w:hAnsi="Calibri" w:cs="Calibri"/>
                <w:sz w:val="16"/>
                <w:szCs w:val="16"/>
              </w:rPr>
              <w:t>IDS-C</w:t>
            </w:r>
          </w:p>
        </w:tc>
        <w:tc>
          <w:tcPr>
            <w:tcW w:w="990" w:type="dxa"/>
            <w:tcBorders>
              <w:top w:val="single" w:sz="4" w:space="0" w:color="auto"/>
              <w:left w:val="single" w:sz="4" w:space="0" w:color="auto"/>
              <w:bottom w:val="single" w:sz="4" w:space="0" w:color="auto"/>
              <w:right w:val="single" w:sz="4" w:space="0" w:color="auto"/>
            </w:tcBorders>
          </w:tcPr>
          <w:p w14:paraId="17B2320F" w14:textId="03EE29CA" w:rsidR="00664D9B" w:rsidRPr="00C126BD" w:rsidRDefault="00664D9B">
            <w:pPr>
              <w:rPr>
                <w:rFonts w:ascii="Calibri" w:eastAsia="Times New Roman" w:hAnsi="Calibri" w:cs="Calibri"/>
                <w:color w:val="000000"/>
                <w:sz w:val="16"/>
                <w:szCs w:val="16"/>
              </w:rPr>
            </w:pPr>
            <w:r w:rsidRPr="002673DA">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44E72DB2" w14:textId="65B97B0B"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73D0DD67"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2ECAAD2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00" w:type="dxa"/>
            <w:tcBorders>
              <w:top w:val="single" w:sz="4" w:space="0" w:color="auto"/>
              <w:left w:val="single" w:sz="4" w:space="0" w:color="auto"/>
              <w:bottom w:val="single" w:sz="4" w:space="0" w:color="auto"/>
              <w:right w:val="single" w:sz="4" w:space="0" w:color="auto"/>
            </w:tcBorders>
            <w:noWrap/>
            <w:hideMark/>
          </w:tcPr>
          <w:p w14:paraId="3061B15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122</w:t>
            </w:r>
          </w:p>
        </w:tc>
        <w:tc>
          <w:tcPr>
            <w:tcW w:w="900" w:type="dxa"/>
            <w:tcBorders>
              <w:top w:val="single" w:sz="4" w:space="0" w:color="auto"/>
              <w:left w:val="single" w:sz="4" w:space="0" w:color="auto"/>
              <w:bottom w:val="single" w:sz="4" w:space="0" w:color="auto"/>
              <w:right w:val="single" w:sz="4" w:space="0" w:color="auto"/>
            </w:tcBorders>
            <w:noWrap/>
            <w:hideMark/>
          </w:tcPr>
          <w:p w14:paraId="2EDE5B2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35CF377"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FF4EA75"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1D35642" w14:textId="77777777" w:rsidR="00664D9B" w:rsidRPr="00C126BD" w:rsidRDefault="00664D9B" w:rsidP="00664D9B">
            <w:pPr>
              <w:rPr>
                <w:rFonts w:ascii="Calibri" w:hAnsi="Calibri" w:cs="Calibri"/>
                <w:sz w:val="16"/>
                <w:szCs w:val="16"/>
              </w:rPr>
            </w:pPr>
          </w:p>
        </w:tc>
      </w:tr>
      <w:tr w:rsidR="00664D9B" w:rsidRPr="00C73DE7" w14:paraId="7010282B"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FD58A86" w14:textId="4CC7E8C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lastRenderedPageBreak/>
              <w:fldChar w:fldCharType="begin" w:fldLock="1"/>
            </w:r>
            <w:r w:rsidR="0011264D">
              <w:rPr>
                <w:rFonts w:ascii="Calibri" w:eastAsia="Times New Roman" w:hAnsi="Calibri" w:cs="Calibri"/>
                <w:color w:val="000000"/>
                <w:sz w:val="16"/>
                <w:szCs w:val="16"/>
              </w:rPr>
              <w:instrText>ADDIN CSL_CITATION {"citationItems":[{"id":"ITEM-1","itemData":{"DOI":"10.1002/da.22670","ISBN":"1091-4269","ISSN":"15206394","PMID":"28672073","abstract":"Background: Only one-third of patients with major depressive disorder (MDD) achieve remission with initial treatment. Consequently, current clinical practice relies on a “trial-and-error” approach to identify an effective treatment for each patient. The purpose of this report was to determine whether we could identify a set of clinical and biological parameters with potential clinical utility for prescription of exercise for treatment of MDD in a secondary analysis of the Treatment with Exercise Augmentation in Depression (TREAD) trial. Methods: Participants with nonremitted MDD were randomized to one of two exercise doses for 12 weeks. Participants were categorized as “remitters” (≤12 on the IDS-C), nonresponders (&lt;30% drop in IDS-C), or neither. The least absolute shrinkage and selection operator (LASSO) and random forests were used to evaluate 30 variables as predictors of both remission and nonresponse. Predictors were used to model treatment outcomes using logistic regression. Results: Of the 122 participants, 36 were categorized as remitters (29.5%), 56 as nonresponders (45.9%), and 30 as neither (24.6%). Predictors of remission were higher levels of brain-derived neurotrophic factor (BDNF) and IL-1B, greater depressive symptom severity, and higher postexercise positive affect. Predictors of treatment nonresponse were low cardiorespiratory fitness, lower levels of IL-6 and BDNF, and lower postexercise positive affect. Models including these predictors resulted in predictive values greater than 70% (true predicted remitters/all predicted remitters) with specificities greater than 25% (true predicted remitters/all remitters). Conclusions: Results indicate feasibility in identifying patients who will either remit or not respond to exercise as a treatment for MDD utilizing a clinical decision model that incorporates multiple patient characteristics.","author":[{"dropping-particle":"","family":"Rethorst","given":"Chad D.","non-dropping-particle":"","parse-names":false,"suffix":""},{"dropping-particle":"","family":"South","given":"Charles C.","non-dropping-particle":"","parse-names":false,"suffix":""},{"dropping-particle":"","family":"Rush","given":"A. John","non-dropping-particle":"","parse-names":false,"suffix":""},{"dropping-particle":"","family":"Greer","given":"Tracy L.","non-dropping-particle":"","parse-names":false,"suffix":""},{"dropping-particle":"","family":"Trivedi","given":"Madhukar H.","non-dropping-particle":"","parse-names":false,"suffix":""}],"container-title":"Depression and Anxiety","edition":"2017/07/04","id":"ITEM-1","issue":"12","issued":{"date-parts":[["2017"]]},"language":"eng","note":"1520-6394\nRethorst, Chad D\nOrcid: 0000-0002-8168-2829\nSouth, Charles C\nRush, A John\nGreer, Tracy L\nTrivedi, Madhukar H\nOrcid: 0000-0002-2983-1110\nK01 MH097847/MH/NIMH NIH HHS/United States\nR01 MH067692/MH/NIMH NIH HHS/United States\nJournal Article\nRandomized Controlled Trial\nResearch Support, N.I.H., Extramural\nResearch Support, Non-U.S. Gov't\nUnited States\nDepress Anxiety. 2017 Dec;34(12):1116-1122. doi: 10.1002/da.22670. Epub 2017 Jul 3.","page":"1116-1122","title":"Prediction of treatment outcomes to exercise in patients with nonremitted major depressive disorder","type":"article-journal","volume":"34"},"uris":["http://www.mendeley.com/documents/?uuid=f8e638ed-7c50-40f2-b5aa-87faedbd755c"]}],"mendeley":{"formattedCitation":"(Rethorst et al., 2017)","plainTextFormattedCitation":"(Rethorst et al., 2017)","previouslyFormattedCitation":"(Rethorst et al., 2017)"},"properties":{"noteIndex":0},"schema":"https://github.com/citation-style-language/schema/raw/master/csl-citation.json"}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(Rethorst et al., 2017)</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E300B33"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2DF2870D" w14:textId="2F7275C6" w:rsidR="00664D9B" w:rsidRPr="00C126BD" w:rsidRDefault="00AE4E73">
            <w:pPr>
              <w:rPr>
                <w:rFonts w:ascii="Calibri" w:eastAsia="Times New Roman" w:hAnsi="Calibri" w:cs="Calibri"/>
                <w:color w:val="000000"/>
                <w:sz w:val="16"/>
                <w:szCs w:val="16"/>
              </w:rPr>
            </w:pPr>
            <w:r w:rsidRPr="00C126BD">
              <w:rPr>
                <w:rFonts w:ascii="Calibri" w:hAnsi="Calibri" w:cs="Calibri"/>
                <w:sz w:val="16"/>
                <w:szCs w:val="16"/>
              </w:rPr>
              <w:t>IDS-C</w:t>
            </w:r>
          </w:p>
        </w:tc>
        <w:tc>
          <w:tcPr>
            <w:tcW w:w="990" w:type="dxa"/>
            <w:tcBorders>
              <w:top w:val="single" w:sz="4" w:space="0" w:color="auto"/>
              <w:left w:val="single" w:sz="4" w:space="0" w:color="auto"/>
              <w:bottom w:val="single" w:sz="4" w:space="0" w:color="auto"/>
              <w:right w:val="single" w:sz="4" w:space="0" w:color="auto"/>
            </w:tcBorders>
          </w:tcPr>
          <w:p w14:paraId="22CD1A33" w14:textId="7872B034" w:rsidR="00664D9B" w:rsidRPr="00C126BD" w:rsidRDefault="00664D9B">
            <w:pPr>
              <w:rPr>
                <w:rFonts w:ascii="Calibri" w:eastAsia="Times New Roman" w:hAnsi="Calibri" w:cs="Calibri"/>
                <w:color w:val="000000"/>
                <w:sz w:val="16"/>
                <w:szCs w:val="16"/>
              </w:rPr>
            </w:pPr>
            <w:r w:rsidRPr="002673DA">
              <w:rPr>
                <w:rFonts w:ascii="Calibri" w:eastAsia="Times New Roman" w:hAnsi="Calibri" w:cs="Calibri"/>
                <w:color w:val="000000"/>
                <w:sz w:val="16"/>
                <w:szCs w:val="16"/>
              </w:rPr>
              <w:t>12 weeks</w:t>
            </w:r>
          </w:p>
        </w:tc>
        <w:tc>
          <w:tcPr>
            <w:tcW w:w="900" w:type="dxa"/>
            <w:tcBorders>
              <w:top w:val="single" w:sz="4" w:space="0" w:color="auto"/>
              <w:left w:val="single" w:sz="4" w:space="0" w:color="auto"/>
              <w:bottom w:val="single" w:sz="4" w:space="0" w:color="auto"/>
              <w:right w:val="single" w:sz="4" w:space="0" w:color="auto"/>
            </w:tcBorders>
            <w:noWrap/>
            <w:hideMark/>
          </w:tcPr>
          <w:p w14:paraId="742A792B" w14:textId="2A3733DB"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1C775811"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297A37F4"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00" w:type="dxa"/>
            <w:tcBorders>
              <w:top w:val="single" w:sz="4" w:space="0" w:color="auto"/>
              <w:left w:val="single" w:sz="4" w:space="0" w:color="auto"/>
              <w:bottom w:val="single" w:sz="4" w:space="0" w:color="auto"/>
              <w:right w:val="single" w:sz="4" w:space="0" w:color="auto"/>
            </w:tcBorders>
            <w:noWrap/>
            <w:hideMark/>
          </w:tcPr>
          <w:p w14:paraId="50C152D2"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122</w:t>
            </w:r>
          </w:p>
        </w:tc>
        <w:tc>
          <w:tcPr>
            <w:tcW w:w="900" w:type="dxa"/>
            <w:tcBorders>
              <w:top w:val="single" w:sz="4" w:space="0" w:color="auto"/>
              <w:left w:val="single" w:sz="4" w:space="0" w:color="auto"/>
              <w:bottom w:val="single" w:sz="4" w:space="0" w:color="auto"/>
              <w:right w:val="single" w:sz="4" w:space="0" w:color="auto"/>
            </w:tcBorders>
            <w:noWrap/>
            <w:hideMark/>
          </w:tcPr>
          <w:p w14:paraId="2393318F"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0E10AAC"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34634C84"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07B2A3C" w14:textId="77777777" w:rsidR="00664D9B" w:rsidRPr="00C126BD" w:rsidRDefault="00664D9B" w:rsidP="00664D9B">
            <w:pPr>
              <w:rPr>
                <w:rFonts w:ascii="Calibri" w:hAnsi="Calibri" w:cs="Calibri"/>
                <w:sz w:val="16"/>
                <w:szCs w:val="16"/>
              </w:rPr>
            </w:pPr>
          </w:p>
        </w:tc>
      </w:tr>
      <w:tr w:rsidR="00664D9B" w:rsidRPr="00C73DE7" w14:paraId="07599077"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36E1FACC" w14:textId="2D740D93"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{"citationItems":[{"id":"ITEM-1","itemData":{"DOI":"10.1001/archgenpsychiatry.2012.65","ISBN":"0003-990x","ISSN":"0003990X","PMID":"22945620","abstract":"Context: Among depressed individuals not receiving medication in controlled trials, 40% to 60% respond to cognitive therapy (CT). Multiple previous studies suggest that activity in the subgenual anterior cingulate cortex (sgACC; Brodmann area 25) predicts outcome in CT for depression, but these results have not been prospectively replicated. Objective: To examine whether sgACC activity is a reliable and robust prognostic outcome marker of CT for depression and whether sgACC activity changes in treatment. Design: Two inception cohorts underwent assessment with functional magnetic resonance imaging using different scanners on a task sensitive to sustained emotional information processing before and after 16 to 20 sessions of CT, along with a sample of control participants who underwent testing at comparable intervals. Setting: A hospital outpatient clinic. Patients: Forty-nine unmedicated depressed adults and 35 healthy controls. Main Outcome Measures: Pretreatment sgACC activity in an a priori region in response to negative words was correlated with residual severity and used to classify response and remission. Results: As expected, in both samples, participants with the lowest pretreatment sustained sgACC reactivity in response to negative words displayed the most improvement after CT (R 2 = 0.29, &gt;75% correct classification of response, &gt;70% correct classification of remission). Other a priori regions explained additional variance. Response/remission in cohort 2 was predicted based on thresholds from cohort 1. Subgenual anterior cingulate activity remained low for patients in remission after treatment. Conclusions: Neuroimaging provides a quick, valid, and clinically applicable way of assessing neural systems associated with treatment response/remission. Subgenual anterior cingulate activity, in particular, may reflect processes that interfere with treatment (eg, emotion generation) in addition to its putative regulatory role; alternately, its absence may facilitate treatment response. ©2012 American Medical Association. All rights reserved.","author":[{"dropping-particle":"","family":"Siegle","given":"Greg J.","non-dropping-particle":"","parse-names":false,"suffix":""},{"dropping-particle":"","family":"Thompson","given":"Wesley K.","non-dropping-particle":"","parse-names":false,"suffix":""},{"dropping-particle":"","family":"Collier","given":"Amanda","non-dropping-particle":"","parse-names":false,"suffix":""},{"dropping-particle":"","family":"Berman","given":"Susan R.","non-dropping-particle":"","parse-names":false,"suffix":""},{"dropping-particle":"","family":"Feldmiller","given":"Joshua","non-dropping-particle":"","parse-names":false,"suffix":""},{"dropping-particle":"","family":"Thase","given":"Michael E.","non-dropping-particle":"","parse-names":false,"suffix":""},{"dropping-particle":"","family":"Friedman","given":"Edward S.","non-dropping-particle":"","parse-names":false,"suffix":""}],"container-title":"Archives of General Psychiatry","edition":"2012/09/05","id":"ITEM-1","issue":"9","issued":{"date-parts":[["2012"]]},"language":"eng","note":"1538-3636\nSiegle, Greg J\nThompson, Wesley K\nCollier, Amanda\nBerman, Susan R\nFeldmiller, Joshua\nThase, Michael E\nFriedman, Edward S\nK02 MH082998/MH/NIMH NIH HHS/United States\nR01 MH074807/MH/NIMH NIH HHS/United States\nMH074807/MH/NIMH NIH HHS/United States\nR01 MH058356/MH/NIMH NIH HHS/United States\nMH69618/MH/NIMH NIH HHS/United States\nMH58397/MH/NIMH NIH HHS/United States\nMH082998/MH/NIMH NIH HHS/United States\nR01 MH058397/MH/NIMH NIH HHS/United States\nR01 MH069618/MH/NIMH NIH HHS/United States\nMH58356/MH/NIMH NIH HHS/United States\nComparative Study\nJournal Article\nMulticenter Study\nRandomized Controlled Trial\nResearch Support, N.I.H., Extramural\nResearch Support, Non-U.S. Gov't\nUnited States\nArch Gen Psychiatry. 2012 Sep;69(9):913-24. doi: 10.1001/archgenpsychiatry.2012.65.","page":"913-924","title":"Toward clinically useful neuroimaging in depression treatment: Prognostic utility of subgenual cingulate activity for determining depression outcome in cognitive therapy across studies, scanners, and patient characteristics","type":"article-journal","volume":"69"},"uris":["http://www.mendeley.com/documents/?uuid=b6400a2e-2192-449d-9036-e60964496498"]}],"mendeley":{"formattedCitation":"(Siegle et al., 2012)","plainTextFormattedCitation":"(Siegle et al., 2012)","previouslyFormattedCitation":"(Siegle et al., 2012)"},"properties":{"noteIndex":0},"schema":"https://github.com/citation-style-language/schema/raw/master/csl-citation.json"}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(Siegle et al., 2012)</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165F43A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7C125EC8" w14:textId="5525D46F" w:rsidR="00664D9B" w:rsidRPr="00C126BD" w:rsidRDefault="00664D9B">
            <w:pPr>
              <w:rPr>
                <w:rFonts w:ascii="Calibri" w:eastAsia="Times New Roman" w:hAnsi="Calibri" w:cs="Calibri"/>
                <w:color w:val="000000"/>
                <w:sz w:val="16"/>
                <w:szCs w:val="16"/>
              </w:rPr>
            </w:pPr>
            <w:r w:rsidRPr="002673DA">
              <w:rPr>
                <w:rFonts w:ascii="Calibri" w:eastAsia="Times New Roman" w:hAnsi="Calibri" w:cs="Calibri"/>
                <w:color w:val="000000"/>
                <w:sz w:val="16"/>
                <w:szCs w:val="16"/>
              </w:rPr>
              <w:t>BDI</w:t>
            </w:r>
            <w:r>
              <w:rPr>
                <w:rFonts w:ascii="Calibri" w:eastAsia="Times New Roman" w:hAnsi="Calibri" w:cs="Calibri"/>
                <w:color w:val="000000"/>
                <w:sz w:val="16"/>
                <w:szCs w:val="16"/>
              </w:rPr>
              <w:t xml:space="preserve">, </w:t>
            </w:r>
            <w:r w:rsidRPr="00B96CB6">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1C68D247" w14:textId="4EFC2182" w:rsidR="00664D9B" w:rsidRPr="00C126BD" w:rsidRDefault="007144AD">
            <w:pPr>
              <w:rPr>
                <w:rFonts w:ascii="Calibri" w:eastAsia="Times New Roman" w:hAnsi="Calibri" w:cs="Calibri"/>
                <w:color w:val="000000"/>
                <w:sz w:val="16"/>
                <w:szCs w:val="16"/>
              </w:rPr>
            </w:pPr>
            <w:r>
              <w:rPr>
                <w:rFonts w:ascii="Calibri" w:eastAsia="Times New Roman" w:hAnsi="Calibri" w:cs="Calibri"/>
                <w:color w:val="000000"/>
                <w:sz w:val="16"/>
                <w:szCs w:val="16"/>
              </w:rPr>
              <w:t>16</w:t>
            </w:r>
            <w:r w:rsidR="006501FC" w:rsidRPr="002673DA">
              <w:rPr>
                <w:rFonts w:ascii="Calibri" w:eastAsia="Times New Roman" w:hAnsi="Calibri" w:cs="Calibri"/>
                <w:color w:val="000000"/>
                <w:sz w:val="16"/>
                <w:szCs w:val="16"/>
              </w:rPr>
              <w:t xml:space="preserve"> weeks</w:t>
            </w:r>
          </w:p>
        </w:tc>
        <w:tc>
          <w:tcPr>
            <w:tcW w:w="900" w:type="dxa"/>
            <w:tcBorders>
              <w:top w:val="single" w:sz="4" w:space="0" w:color="auto"/>
              <w:left w:val="single" w:sz="4" w:space="0" w:color="auto"/>
              <w:bottom w:val="single" w:sz="4" w:space="0" w:color="auto"/>
              <w:right w:val="single" w:sz="4" w:space="0" w:color="auto"/>
            </w:tcBorders>
            <w:noWrap/>
            <w:hideMark/>
          </w:tcPr>
          <w:p w14:paraId="5FB2DB1E" w14:textId="3172CE8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6B8D075B"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1C6018C2"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DA29721"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18C9FD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0.61</w:t>
            </w:r>
          </w:p>
        </w:tc>
        <w:tc>
          <w:tcPr>
            <w:tcW w:w="900" w:type="dxa"/>
            <w:tcBorders>
              <w:top w:val="single" w:sz="4" w:space="0" w:color="auto"/>
              <w:left w:val="single" w:sz="4" w:space="0" w:color="auto"/>
              <w:bottom w:val="single" w:sz="4" w:space="0" w:color="auto"/>
              <w:right w:val="single" w:sz="4" w:space="0" w:color="auto"/>
            </w:tcBorders>
            <w:noWrap/>
            <w:hideMark/>
          </w:tcPr>
          <w:p w14:paraId="1ADD90B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0.63</w:t>
            </w:r>
          </w:p>
        </w:tc>
        <w:tc>
          <w:tcPr>
            <w:tcW w:w="540" w:type="dxa"/>
            <w:tcBorders>
              <w:top w:val="single" w:sz="4" w:space="0" w:color="auto"/>
              <w:left w:val="single" w:sz="4" w:space="0" w:color="auto"/>
              <w:bottom w:val="single" w:sz="4" w:space="0" w:color="auto"/>
              <w:right w:val="single" w:sz="4" w:space="0" w:color="auto"/>
            </w:tcBorders>
            <w:noWrap/>
            <w:hideMark/>
          </w:tcPr>
          <w:p w14:paraId="4105957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0.67</w:t>
            </w:r>
          </w:p>
        </w:tc>
        <w:tc>
          <w:tcPr>
            <w:tcW w:w="905" w:type="dxa"/>
            <w:tcBorders>
              <w:top w:val="single" w:sz="4" w:space="0" w:color="auto"/>
              <w:left w:val="single" w:sz="4" w:space="0" w:color="auto"/>
              <w:bottom w:val="single" w:sz="4" w:space="0" w:color="auto"/>
              <w:right w:val="single" w:sz="4" w:space="0" w:color="auto"/>
            </w:tcBorders>
            <w:noWrap/>
            <w:hideMark/>
          </w:tcPr>
          <w:p w14:paraId="0E44FAE3"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32</w:t>
            </w:r>
          </w:p>
        </w:tc>
      </w:tr>
      <w:tr w:rsidR="00664D9B" w:rsidRPr="00C73DE7" w14:paraId="1AE7F8CA"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207C8F9" w14:textId="390CBF21"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{"citationItems":[{"id":"ITEM-1","itemData":{"DOI":"10.1001/archgenpsychiatry.2012.65","ISBN":"0003-990x","ISSN":"0003990X","PMID":"22945620","abstract":"Context: Among depressed individuals not receiving medication in controlled trials, 40% to 60% respond to cognitive therapy (CT). Multiple previous studies suggest that activity in the subgenual anterior cingulate cortex (sgACC; Brodmann area 25) predicts outcome in CT for depression, but these results have not been prospectively replicated. Objective: To examine whether sgACC activity is a reliable and robust prognostic outcome marker of CT for depression and whether sgACC activity changes in treatment. Design: Two inception cohorts underwent assessment with functional magnetic resonance imaging using different scanners on a task sensitive to sustained emotional information processing before and after 16 to 20 sessions of CT, along with a sample of control participants who underwent testing at comparable intervals. Setting: A hospital outpatient clinic. Patients: Forty-nine unmedicated depressed adults and 35 healthy controls. Main Outcome Measures: Pretreatment sgACC activity in an a priori region in response to negative words was correlated with residual severity and used to classify response and remission. Results: As expected, in both samples, participants with the lowest pretreatment sustained sgACC reactivity in response to negative words displayed the most improvement after CT (R 2 = 0.29, &gt;75% correct classification of response, &gt;70% correct classification of remission). Other a priori regions explained additional variance. Response/remission in cohort 2 was predicted based on thresholds from cohort 1. Subgenual anterior cingulate activity remained low for patients in remission after treatment. Conclusions: Neuroimaging provides a quick, valid, and clinically applicable way of assessing neural systems associated with treatment response/remission. Subgenual anterior cingulate activity, in particular, may reflect processes that interfere with treatment (eg, emotion generation) in addition to its putative regulatory role; alternately, its absence may facilitate treatment response. ©2012 American Medical Association. All rights reserved.","author":[{"dropping-particle":"","family":"Siegle","given":"Greg J.","non-dropping-particle":"","parse-names":false,"suffix":""},{"dropping-particle":"","family":"Thompson","given":"Wesley K.","non-dropping-particle":"","parse-names":false,"suffix":""},{"dropping-particle":"","family":"Collier","given":"Amanda","non-dropping-particle":"","parse-names":false,"suffix":""},{"dropping-particle":"","family":"Berman","given":"Susan R.","non-dropping-particle":"","parse-names":false,"suffix":""},{"dropping-particle":"","family":"Feldmiller","given":"Joshua","non-dropping-particle":"","parse-names":false,"suffix":""},{"dropping-particle":"","family":"Thase","given":"Michael E.","non-dropping-particle":"","parse-names":false,"suffix":""},{"dropping-particle":"","family":"Friedman","given":"Edward S.","non-dropping-particle":"","parse-names":false,"suffix":""}],"container-title":"Archives of General Psychiatry","edition":"2012/09/05","id":"ITEM-1","issue":"9","issued":{"date-parts":[["2012"]]},"language":"eng","note":"1538-3636\nSiegle, Greg J\nThompson, Wesley K\nCollier, Amanda\nBerman, Susan R\nFeldmiller, Joshua\nThase, Michael E\nFriedman, Edward S\nK02 MH082998/MH/NIMH NIH HHS/United States\nR01 MH074807/MH/NIMH NIH HHS/United States\nMH074807/MH/NIMH NIH HHS/United States\nR01 MH058356/MH/NIMH NIH HHS/United States\nMH69618/MH/NIMH NIH HHS/United States\nMH58397/MH/NIMH NIH HHS/United States\nMH082998/MH/NIMH NIH HHS/United States\nR01 MH058397/MH/NIMH NIH HHS/United States\nR01 MH069618/MH/NIMH NIH HHS/United States\nMH58356/MH/NIMH NIH HHS/United States\nComparative Study\nJournal Article\nMulticenter Study\nRandomized Controlled Trial\nResearch Support, N.I.H., Extramural\nResearch Support, Non-U.S. Gov't\nUnited States\nArch Gen Psychiatry. 2012 Sep;69(9):913-24. doi: 10.1001/archgenpsychiatry.2012.65.","page":"913-924","title":"Toward clinically useful neuroimaging in depression treatment: Prognostic utility of subgenual cingulate activity for determining depression outcome in cognitive therapy across studies, scanners, and patient characteristics","type":"article-journal","volume":"69"},"uris":["http://www.mendeley.com/documents/?uuid=b6400a2e-2192-449d-9036-e60964496498"]}],"mendeley":{"formattedCitation":"(Siegle et al., 2012)","plainTextFormattedCitation":"(Siegle et al., 2012)","previouslyFormattedCitation":"(Siegle et al., 2012)"},"properties":{"noteIndex":0},"schema":"https://github.com/citation-style-language/schema/raw/master/csl-citation.json"}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(Siegle et al., 2012)</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4FB5C49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775A4502" w14:textId="322EB7EF" w:rsidR="00664D9B" w:rsidRPr="00C126BD" w:rsidRDefault="00664D9B" w:rsidP="00C126BD">
            <w:pPr>
              <w:rPr>
                <w:rFonts w:ascii="Calibri" w:eastAsia="Times New Roman" w:hAnsi="Calibri" w:cs="Calibri"/>
                <w:color w:val="000000"/>
                <w:sz w:val="16"/>
                <w:szCs w:val="16"/>
              </w:rPr>
            </w:pPr>
            <w:r w:rsidRPr="002673DA">
              <w:rPr>
                <w:rFonts w:ascii="Calibri" w:eastAsia="Times New Roman" w:hAnsi="Calibri" w:cs="Calibri"/>
                <w:color w:val="000000"/>
                <w:sz w:val="16"/>
                <w:szCs w:val="16"/>
              </w:rPr>
              <w:t>BDI</w:t>
            </w:r>
            <w:r>
              <w:rPr>
                <w:rFonts w:ascii="Calibri" w:eastAsia="Times New Roman" w:hAnsi="Calibri" w:cs="Calibri"/>
                <w:color w:val="000000"/>
                <w:sz w:val="16"/>
                <w:szCs w:val="16"/>
              </w:rPr>
              <w:t xml:space="preserve">, </w:t>
            </w:r>
            <w:r w:rsidRPr="002673DA">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4BF1C1C9" w14:textId="38E59F7B" w:rsidR="00664D9B" w:rsidRPr="00C126BD" w:rsidRDefault="007144AD" w:rsidP="00C126BD">
            <w:pPr>
              <w:rPr>
                <w:rFonts w:ascii="Calibri" w:eastAsia="Times New Roman" w:hAnsi="Calibri" w:cs="Calibri"/>
                <w:color w:val="000000"/>
                <w:sz w:val="16"/>
                <w:szCs w:val="16"/>
              </w:rPr>
            </w:pPr>
            <w:r>
              <w:rPr>
                <w:rFonts w:ascii="Calibri" w:eastAsia="Times New Roman" w:hAnsi="Calibri" w:cs="Calibri"/>
                <w:color w:val="000000"/>
                <w:sz w:val="16"/>
                <w:szCs w:val="16"/>
              </w:rPr>
              <w:t>16</w:t>
            </w:r>
            <w:r w:rsidR="006501FC" w:rsidRPr="002673DA">
              <w:rPr>
                <w:rFonts w:ascii="Calibri" w:eastAsia="Times New Roman" w:hAnsi="Calibri" w:cs="Calibri"/>
                <w:color w:val="000000"/>
                <w:sz w:val="16"/>
                <w:szCs w:val="16"/>
              </w:rPr>
              <w:t xml:space="preserve"> weeks</w:t>
            </w:r>
          </w:p>
        </w:tc>
        <w:tc>
          <w:tcPr>
            <w:tcW w:w="900" w:type="dxa"/>
            <w:tcBorders>
              <w:top w:val="single" w:sz="4" w:space="0" w:color="auto"/>
              <w:left w:val="single" w:sz="4" w:space="0" w:color="auto"/>
              <w:bottom w:val="single" w:sz="4" w:space="0" w:color="auto"/>
              <w:right w:val="single" w:sz="4" w:space="0" w:color="auto"/>
            </w:tcBorders>
            <w:noWrap/>
            <w:hideMark/>
          </w:tcPr>
          <w:p w14:paraId="0B4376F4" w14:textId="7C57B618"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90" w:type="dxa"/>
            <w:tcBorders>
              <w:top w:val="single" w:sz="4" w:space="0" w:color="auto"/>
              <w:left w:val="single" w:sz="4" w:space="0" w:color="auto"/>
              <w:bottom w:val="single" w:sz="4" w:space="0" w:color="auto"/>
              <w:right w:val="single" w:sz="4" w:space="0" w:color="auto"/>
            </w:tcBorders>
            <w:noWrap/>
            <w:hideMark/>
          </w:tcPr>
          <w:p w14:paraId="3637148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0.76</w:t>
            </w:r>
          </w:p>
        </w:tc>
        <w:tc>
          <w:tcPr>
            <w:tcW w:w="630" w:type="dxa"/>
            <w:tcBorders>
              <w:top w:val="single" w:sz="4" w:space="0" w:color="auto"/>
              <w:left w:val="single" w:sz="4" w:space="0" w:color="auto"/>
              <w:bottom w:val="single" w:sz="4" w:space="0" w:color="auto"/>
              <w:right w:val="single" w:sz="4" w:space="0" w:color="auto"/>
            </w:tcBorders>
            <w:noWrap/>
            <w:hideMark/>
          </w:tcPr>
          <w:p w14:paraId="7A1C61FA"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2DE79E3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49</w:t>
            </w:r>
          </w:p>
        </w:tc>
        <w:tc>
          <w:tcPr>
            <w:tcW w:w="900" w:type="dxa"/>
            <w:tcBorders>
              <w:top w:val="single" w:sz="4" w:space="0" w:color="auto"/>
              <w:left w:val="single" w:sz="4" w:space="0" w:color="auto"/>
              <w:bottom w:val="single" w:sz="4" w:space="0" w:color="auto"/>
              <w:right w:val="single" w:sz="4" w:space="0" w:color="auto"/>
            </w:tcBorders>
            <w:noWrap/>
            <w:hideMark/>
          </w:tcPr>
          <w:p w14:paraId="29ADA17D"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518F568"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98B44B7"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5ED7E138" w14:textId="77777777" w:rsidR="00664D9B" w:rsidRPr="00C126BD" w:rsidRDefault="00664D9B" w:rsidP="00664D9B">
            <w:pPr>
              <w:rPr>
                <w:rFonts w:ascii="Calibri" w:hAnsi="Calibri" w:cs="Calibri"/>
                <w:sz w:val="16"/>
                <w:szCs w:val="16"/>
              </w:rPr>
            </w:pPr>
          </w:p>
        </w:tc>
      </w:tr>
      <w:tr w:rsidR="00664D9B" w:rsidRPr="00C73DE7" w14:paraId="236A9571"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50400FE2" w14:textId="66D5A72A"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{"citationItems":[{"id":"ITEM-1","itemData":{"DOI":"10.1016/j.bpsc.2015.10.002","ISBN":"2451-9022 (Print)\r2451-9022","ISSN":"24519022","PMID":"26709390","abstract":"Background Recent neuroimaging studies have demonstrated resting-state functional connectivity (rsFC) abnormalities among intrinsic brain networks in major depressive disorder (MDD); however, their role as predictors of treatment response has not yet been explored. Here, we investigate whether network-based rsFC predicts antidepressant and placebo effects in MDD. Methods We performed a randomized controlled trial of two week-long, identical placebos (described either as having active fast-acting, antidepressant effects or as inactive) followed by a 10-week open-label antidepressant medication treatment. Twenty-nine participants underwent an rsFC functional magnetic resonance imaging scan at the completion of each placebo condition. Networks were isolated from resting-state blood oxygen level-dependent signal fluctuations using independent component analysis. Baseline and placebo-induced changes in rsFC within the default mode, salience, and executive networks were examined for associations with placebo and antidepressant treatment response. Results Increased baseline rsFC in the rostral anterior cingulate within the salience network, a region classically implicated in the formation of placebo analgesia and the prediction of treatment response in MDD, was associated with greater response to 1 week of active placebo and 10 weeks of antidepressant treatment. Machine learning further demonstrated that increased salience network rsFC, mainly within the rostral anterior cingulate, significantly predicts individual responses to placebo administration. Conclusions These data demonstrate that baseline rsFC within the salience network is linked to clinical placebo responses. This information could be employed to identify patients who would benefit from lower doses of antidepressant medication or nonpharmacologic approaches or to develop biomarkers of placebo effects in clinical trials.","author":[{"dropping-particle":"","family":"Sikora","given":"Magdalena","non-dropping-particle":"","parse-names":false,"suffix":""},{"dropping-particle":"","family":"Heffernan","given":"Joseph","non-dropping-particle":"","parse-names":false,"suffix":""},{"dropping-particle":"","family":"Avery","given":"Erich T.","non-dropping-particle":"","parse-names":false,"suffix":""},{"dropping-particle":"","family":"Mickey","given":"Brian J.","non-dropping-particle":"","parse-names":false,"suffix":""},{"dropping-particle":"","family":"Zubieta","given":"Jon Kar","non-dropping-particle":"","parse-names":false,"suffix":""},{"dropping-particle":"","family":"Peciña","given":"Marta","non-dropping-particle":"","parse-names":false,"suffix":""}],"container-title":"Biological Psychiatry: Cognitive Neuroscience and Neuroimaging","edition":"2015/12/29","id":"ITEM-1","issue":"1","issued":{"date-parts":[["2016"]]},"language":"eng","note":"Sikora, Magdalena\nHeffernan, Joseph\nAvery, Erich T\nMickey, Brian J\nZubieta, Jon-Kar\nPecina, Marta\nR01 MH086858/MH/NIMH NIH HHS/United States\nT32 NS076401/NS/NINDS NIH HHS/United States\nUL1 RR024986/RR/NCRR NIH HHS/United States\nUL1 TR000433/TR/NCATS NIH HHS/United States\nJournal Article\nUnited States\nBiol Psychiatry Cogn Neurosci Neuroimaging. 2016 Jan;1(1):68-76. doi: 10.1016/j.bpsc.2015.10.002.","page":"68-76","title":"Salience Network Functional Connectivity Predicts Placebo Effects in Major Depression","type":"article-journal","volume":"1"},"uris":["http://www.mendeley.com/documents/?uuid=60a78688-ee43-4903-8c1b-2984fb88b218"]}],"mendeley":{"formattedCitation":"(Sikora et al., 2016)","plainTextFormattedCitation":"(Sikora et al., 2016)","previouslyFormattedCitation":"(Sikora et al., 2016)"},"properties":{"noteIndex":0},"schema":"https://github.com/citation-style-language/schema/raw/master/csl-citation.json"}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(Sikora et al., 2016)</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44AE3B46"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3ADF8AA9" w14:textId="3C03F288" w:rsidR="00664D9B" w:rsidRPr="00C126BD" w:rsidRDefault="00664D9B">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QIDS</w:t>
            </w:r>
          </w:p>
        </w:tc>
        <w:tc>
          <w:tcPr>
            <w:tcW w:w="990" w:type="dxa"/>
            <w:tcBorders>
              <w:top w:val="single" w:sz="4" w:space="0" w:color="auto"/>
              <w:left w:val="single" w:sz="4" w:space="0" w:color="auto"/>
              <w:bottom w:val="single" w:sz="4" w:space="0" w:color="auto"/>
              <w:right w:val="single" w:sz="4" w:space="0" w:color="auto"/>
            </w:tcBorders>
          </w:tcPr>
          <w:p w14:paraId="769F6250" w14:textId="03A685C8" w:rsidR="00664D9B" w:rsidRPr="00C126BD" w:rsidRDefault="003F2333">
            <w:pPr>
              <w:rPr>
                <w:rFonts w:ascii="Calibri" w:eastAsia="Times New Roman" w:hAnsi="Calibri" w:cs="Calibri"/>
                <w:color w:val="000000"/>
                <w:sz w:val="16"/>
                <w:szCs w:val="16"/>
              </w:rPr>
            </w:pPr>
            <w:r>
              <w:rPr>
                <w:rFonts w:ascii="Calibri" w:eastAsia="Times New Roman" w:hAnsi="Calibri" w:cs="Calibri"/>
                <w:color w:val="000000"/>
                <w:sz w:val="16"/>
                <w:szCs w:val="16"/>
              </w:rPr>
              <w:t>10 weeks</w:t>
            </w:r>
          </w:p>
        </w:tc>
        <w:tc>
          <w:tcPr>
            <w:tcW w:w="900" w:type="dxa"/>
            <w:tcBorders>
              <w:top w:val="single" w:sz="4" w:space="0" w:color="auto"/>
              <w:left w:val="single" w:sz="4" w:space="0" w:color="auto"/>
              <w:bottom w:val="single" w:sz="4" w:space="0" w:color="auto"/>
              <w:right w:val="single" w:sz="4" w:space="0" w:color="auto"/>
            </w:tcBorders>
            <w:noWrap/>
            <w:hideMark/>
          </w:tcPr>
          <w:p w14:paraId="6B24D507" w14:textId="14A41AA8"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7F0D5D42"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3EBFA696" w14:textId="77777777" w:rsidR="00664D9B" w:rsidRPr="00C126BD" w:rsidRDefault="00664D9B" w:rsidP="00664D9B">
            <w:pPr>
              <w:rPr>
                <w:rFonts w:ascii="Calibri" w:hAnsi="Calibri" w:cs="Calibri"/>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9669AD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29</w:t>
            </w:r>
          </w:p>
        </w:tc>
        <w:tc>
          <w:tcPr>
            <w:tcW w:w="900" w:type="dxa"/>
            <w:tcBorders>
              <w:top w:val="single" w:sz="4" w:space="0" w:color="auto"/>
              <w:left w:val="single" w:sz="4" w:space="0" w:color="auto"/>
              <w:bottom w:val="single" w:sz="4" w:space="0" w:color="auto"/>
              <w:right w:val="single" w:sz="4" w:space="0" w:color="auto"/>
            </w:tcBorders>
            <w:noWrap/>
            <w:hideMark/>
          </w:tcPr>
          <w:p w14:paraId="504EF57C"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02C658D"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42407AFC"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EBAE832" w14:textId="77777777" w:rsidR="00664D9B" w:rsidRPr="00C126BD" w:rsidRDefault="00664D9B" w:rsidP="00664D9B">
            <w:pPr>
              <w:rPr>
                <w:rFonts w:ascii="Calibri" w:hAnsi="Calibri" w:cs="Calibri"/>
                <w:sz w:val="16"/>
                <w:szCs w:val="16"/>
              </w:rPr>
            </w:pPr>
          </w:p>
        </w:tc>
      </w:tr>
      <w:tr w:rsidR="00664D9B" w:rsidRPr="00C73DE7" w14:paraId="54966D12"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AF3CA45" w14:textId="0C115CA8"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{"citationItems":[{"id":"ITEM-1","itemData":{"DOI":"10.1016/j.nicl.2019.102080","ISSN":"22131582","PMID":"31735637","abstract":"Electroconvulsive therapy (ECT) works rapidly and has been widely used to treat depressive disorders (DEP). However, identifying biomarkers predictive of response to ECT remains a priority to individually tailor treatment and understand treatment mechanisms. This study used a connectome-based predictive modeling (CPM) approach in 122 patients with DEP to determine if pre-ECT whole-brain functional connectivity (FC) predicts depressive rating changes and remission status after ECT (47 of 122 total subjects or 38.5% of sample), and whether pre-ECT and longitudinal changes (pre/post-ECT) in regional brain network biomarkers are associated with treatment-related changes in depression ratings. Results show the networks with the best predictive performance of ECT response were negative (anti-correlated) FC networks, which predict the post-ECT depression severity (continuous measure) with a 76.23% accuracy for remission prediction. FC networks with the greatest predictive power were concentrated in the prefrontal and temporal cortices and subcortical nuclei, and include the inferior frontal (IFG), superior frontal (SFG), superior temporal (STG), inferior temporal gyri (ITG), basal ganglia (BG), and thalamus (Tha). Several of these brain regions were also identified as nodes in the FC networks that show significant change pre-/post-ECT, but these networks were not related to treatment response. This study design has limitations regarding the longitudinal design and the absence of a control group that limit the causal inference regarding mechanism of post-treatment status. Though predictive biomarkers remained below the threshold of those recommended for potential translation, the analysis methods and results demonstrate the promise and generalizability of biomarkers for advancing personalized treatment strategies.","author":[{"dropping-particle":"","family":"Sun","given":"Hailun","non-dropping-particle":"","parse-names":false,"suffix":""},{"dropping-particle":"","family":"Jiang","given":"Rongtao","non-dropping-particle":"","parse-names":false,"suffix":""},{"dropping-particle":"","family":"Qi","given":"Shile","non-dropping-particle":"","parse-names":false,"suffix":""},{"dropping-particle":"","family":"Narr","given":"Katherine L.","non-dropping-particle":"","parse-names":false,"suffix":""},{"dropping-particle":"","family":"Wade","given":"Benjamin SC","non-dropping-particle":"","parse-names":false,"suffix":""},{"dropping-particle":"","family":"Upston","given":"Joel","non-dropping-particle":"","parse-names":false,"suffix":""},{"dropping-particle":"","family":"Espinoza","given":"Randall","non-dropping-particle":"","parse-names":false,"suffix":""},{"dropping-particle":"","family":"Jones","given":"Tom","non-dropping-particle":"","parse-names":false,"suffix":""},{"dropping-particle":"","family":"Calhoun","given":"Vince D.","non-dropping-particle":"","parse-names":false,"suffix":""},{"dropping-particle":"","family":"Abbott","given":"Christopher C.","non-dropping-particle":"","parse-names":false,"suffix":""},{"dropping-particle":"","family":"Sui","given":"Jing","non-dropping-particle":"","parse-names":false,"suffix":""}],"container-title":"NeuroImage: Clinical","id":"ITEM-1","issued":{"date-parts":[["2020"]]},"page":"102080","title":"Preliminary prediction of individual response to electroconvulsive therapy using whole-brain functional magnetic resonance imaging data","type":"article-journal","volume":"26"},"uris":["http://www.mendeley.com/documents/?uuid=62dfecca-a3df-4efb-a77c-00b2a9c99be5","http://www.mendeley.com/documents/?uuid=050e12fd-a5a8-4a1b-a168-a9f820b996dd"]}],"mendeley":{"formattedCitation":"(Sun et al., 2020)","plainTextFormattedCitation":"(Sun et al., 2020)","previouslyFormattedCitation":"(Sun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(Sun et al., 2020)</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05A39814"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Remission</w:t>
            </w:r>
          </w:p>
        </w:tc>
        <w:tc>
          <w:tcPr>
            <w:tcW w:w="1440" w:type="dxa"/>
            <w:tcBorders>
              <w:top w:val="single" w:sz="4" w:space="0" w:color="auto"/>
              <w:left w:val="single" w:sz="4" w:space="0" w:color="auto"/>
              <w:bottom w:val="single" w:sz="4" w:space="0" w:color="auto"/>
              <w:right w:val="single" w:sz="4" w:space="0" w:color="auto"/>
            </w:tcBorders>
          </w:tcPr>
          <w:p w14:paraId="578F4A6E" w14:textId="183EA5E2" w:rsidR="00664D9B" w:rsidRPr="00C126BD" w:rsidRDefault="005C770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HDRS</w:t>
            </w:r>
          </w:p>
        </w:tc>
        <w:tc>
          <w:tcPr>
            <w:tcW w:w="990" w:type="dxa"/>
            <w:tcBorders>
              <w:top w:val="single" w:sz="4" w:space="0" w:color="auto"/>
              <w:left w:val="single" w:sz="4" w:space="0" w:color="auto"/>
              <w:bottom w:val="single" w:sz="4" w:space="0" w:color="auto"/>
              <w:right w:val="single" w:sz="4" w:space="0" w:color="auto"/>
            </w:tcBorders>
          </w:tcPr>
          <w:p w14:paraId="15DD95F4" w14:textId="7777777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00DF707" w14:textId="5B8B9B9C"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0.69</w:t>
            </w:r>
          </w:p>
        </w:tc>
        <w:tc>
          <w:tcPr>
            <w:tcW w:w="990" w:type="dxa"/>
            <w:tcBorders>
              <w:top w:val="single" w:sz="4" w:space="0" w:color="auto"/>
              <w:left w:val="single" w:sz="4" w:space="0" w:color="auto"/>
              <w:bottom w:val="single" w:sz="4" w:space="0" w:color="auto"/>
              <w:right w:val="single" w:sz="4" w:space="0" w:color="auto"/>
            </w:tcBorders>
            <w:noWrap/>
            <w:hideMark/>
          </w:tcPr>
          <w:p w14:paraId="62CAB77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0.63</w:t>
            </w:r>
          </w:p>
        </w:tc>
        <w:tc>
          <w:tcPr>
            <w:tcW w:w="630" w:type="dxa"/>
            <w:tcBorders>
              <w:top w:val="single" w:sz="4" w:space="0" w:color="auto"/>
              <w:left w:val="single" w:sz="4" w:space="0" w:color="auto"/>
              <w:bottom w:val="single" w:sz="4" w:space="0" w:color="auto"/>
              <w:right w:val="single" w:sz="4" w:space="0" w:color="auto"/>
            </w:tcBorders>
            <w:noWrap/>
            <w:hideMark/>
          </w:tcPr>
          <w:p w14:paraId="15EDF84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0.63</w:t>
            </w:r>
          </w:p>
        </w:tc>
        <w:tc>
          <w:tcPr>
            <w:tcW w:w="900" w:type="dxa"/>
            <w:tcBorders>
              <w:top w:val="single" w:sz="4" w:space="0" w:color="auto"/>
              <w:left w:val="single" w:sz="4" w:space="0" w:color="auto"/>
              <w:bottom w:val="single" w:sz="4" w:space="0" w:color="auto"/>
              <w:right w:val="single" w:sz="4" w:space="0" w:color="auto"/>
            </w:tcBorders>
            <w:noWrap/>
            <w:hideMark/>
          </w:tcPr>
          <w:p w14:paraId="655A624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122</w:t>
            </w:r>
          </w:p>
        </w:tc>
        <w:tc>
          <w:tcPr>
            <w:tcW w:w="900" w:type="dxa"/>
            <w:tcBorders>
              <w:top w:val="single" w:sz="4" w:space="0" w:color="auto"/>
              <w:left w:val="single" w:sz="4" w:space="0" w:color="auto"/>
              <w:bottom w:val="single" w:sz="4" w:space="0" w:color="auto"/>
              <w:right w:val="single" w:sz="4" w:space="0" w:color="auto"/>
            </w:tcBorders>
            <w:noWrap/>
            <w:hideMark/>
          </w:tcPr>
          <w:p w14:paraId="577A321C"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5E14BF8"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F2C1CD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A5C5E31" w14:textId="77777777" w:rsidR="00664D9B" w:rsidRPr="00C126BD" w:rsidRDefault="00664D9B" w:rsidP="00664D9B">
            <w:pPr>
              <w:rPr>
                <w:rFonts w:ascii="Calibri" w:hAnsi="Calibri" w:cs="Calibri"/>
                <w:sz w:val="16"/>
                <w:szCs w:val="16"/>
              </w:rPr>
            </w:pPr>
          </w:p>
        </w:tc>
      </w:tr>
      <w:tr w:rsidR="00664D9B" w:rsidRPr="00C73DE7" w14:paraId="03CCC2CC"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9E31B44" w14:textId="79F6C69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{"citationItems":[{"id":"ITEM-1","itemData":{"DOI":"10.1002/hbm.24872","ISBN":"1097-0193 (Electronic)\r1065-9471 (Linking)","ISSN":"10970193","PMID":"31758634","abstract":"Neuroimaging biomarkers of treatment efficacy can be used to guide personalized treatment in major depressive disorder (MDD). Escitalopram is recommended as first-line therapy for MDD and severe depression. An interesting hypothesis suggests that the reconfiguration of dynamic brain networks might provide important insights into antidepressant mechanisms. The present study assesses whether the spatiotemporal modulation across functional brain networks could serve as a predictor of effective antidepressant treatment with escitalopram. A total of 106 first-episode, drug-naïve patients and 109 healthy controls from three different multicenters underwent resting-state functional magnetic resonance imaging. Patients were considered as responders if they had a reduction of at least 50% in Hamilton Rating Scale for Depression scores at endpoint (&gt;2 weeks). Multilayer modularity framework was applied on the whole brain to construct features in relation to network dynamic characters that were used for multivariate pattern analysis. Linear soft-threshold support vector machine models were used to separate responders from nonresponders. The permutation tests demonstrated the robustness of discrimination performances. The discriminative regions formed a spatially distributed pattern with anterior cingulate cortex (ACC) as the hub in the default mode subnetwork. Interestingly, a significantly larger module allegiance of ACC was also found in treatment responders compared to nonresponders, suggesting high interactivities of ACC to other regions may be beneficial for the recovery after treatment. Consistent results across multicenters confirmed that ACC could serve as a predictor of escitalopram monotherapy treatment outcome, implying strong likelihood of replication in the future.","author":[{"dropping-particle":"","family":"Tian","given":"Shui","non-dropping-particle":"","parse-names":false,"suffix":""},{"dropping-particle":"","family":"Sun","given":"Yurong","non-dropping-particle":"","parse-names":false,"suffix":""},{"dropping-particle":"","family":"Shao","given":"Junneng","non-dropping-particle":"","parse-names":false,"suffix":""},{"dropping-particle":"","family":"Zhang","given":"Siqi","non-dropping-particle":"","parse-names":false,"suffix":""},{"dropping-particle":"","family":"Mo","given":"Zhaoqi","non-dropping-particle":"","parse-names":false,"suffix":""},{"dropping-particle":"","family":"Liu","given":"Xiaoxue","non-dropping-particle":"","parse-names":false,"suffix":""},{"dropping-particle":"","family":"Wang","given":"Qiang","non-dropping-particle":"","parse-names":false,"suffix":""},{"dropping-particle":"","family":"Wang","given":"Li","non-dropping-particle":"","parse-names":false,"suffix":""},{"dropping-particle":"","family":"Zhao","given":"Peng","non-dropping-particle":"","parse-names":false,"suffix":""},{"dropping-particle":"","family":"Chattun","given":"Mohammad Ridwan","non-dropping-particle":"","parse-names":false,"suffix":""},{"dropping-particle":"","family":"Yao","given":"Zhijian","non-dropping-particle":"","parse-names":false,"suffix":""},{"dropping-particle":"","family":"Si","given":"Tianmei","non-dropping-particle":"","parse-names":false,"suffix":""},{"dropping-particle":"","family":"Lu","given":"Qing","non-dropping-particle":"","parse-names":false,"suffix":""}],"container-title":"Human Brain Mapping","edition":"2019/11/24","id":"ITEM-1","issue":"5","issued":{"date-parts":[["2020"]]},"note":"Tian, Shui\nSun, Yurong\nShao, Junneng\nZhang, Siqi\nMo, Zhaoqi\nLiu, Xiaoxue\nWang, Qiang\nWang, Li\nZhao, Peng\nChattun, Mohammad Ridwan\nYao, Zhijian\nSi, Tianmei\nLu, Qing\neng\nBE2018609/Jiangsu Provincial key research and development program\nCXTDC2016004/Jiangsu Provincial Medical Innovation Team of the project of Invigorating Health Care through Science, Technology and Education\n81571639/National Natural Science Foundation of China\n81871066/National Natural Science Foundation of China\n81701779/National Natural Science Foundation of Youth Science Fund Project\nHum Brain Mapp. 2019 Nov 22. doi: 10.1002/hbm.24872.","page":"1249-1260","title":"Predicting escitalopram monotherapy response in depression: The role of anterior cingulate cortex","type":"article-journal","volume":"41"},"uris":["http://www.mendeley.com/documents/?uuid=275b10e1-5d04-4ce4-b0f2-13d89888fa67"]}],"mendeley":{"formattedCitation":"(Tian et al., 2020)","plainTextFormattedCitation":"(Tian et al., 2020)","previouslyFormattedCitation":"(Tian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0011264D" w:rsidRPr="0011264D">
              <w:rPr>
                <w:rFonts w:ascii="Calibri" w:eastAsia="Times New Roman" w:hAnsi="Calibri" w:cs="Calibri"/>
                <w:noProof/>
                <w:color w:val="000000"/>
                <w:sz w:val="16"/>
                <w:szCs w:val="16"/>
              </w:rPr>
              <w:t>(Tian et al., 2020)</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0899BD5F"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0F9FD91F" w14:textId="60A13CF4" w:rsidR="00664D9B" w:rsidRPr="00C126BD" w:rsidRDefault="00664D9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38B0E595" w14:textId="525BFA8E" w:rsidR="00664D9B" w:rsidRPr="00C126BD" w:rsidRDefault="009247A2"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0D02ABCC" w14:textId="70CE62CA"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0.79</w:t>
            </w:r>
          </w:p>
        </w:tc>
        <w:tc>
          <w:tcPr>
            <w:tcW w:w="990" w:type="dxa"/>
            <w:tcBorders>
              <w:top w:val="single" w:sz="4" w:space="0" w:color="auto"/>
              <w:left w:val="single" w:sz="4" w:space="0" w:color="auto"/>
              <w:bottom w:val="single" w:sz="4" w:space="0" w:color="auto"/>
              <w:right w:val="single" w:sz="4" w:space="0" w:color="auto"/>
            </w:tcBorders>
            <w:noWrap/>
            <w:hideMark/>
          </w:tcPr>
          <w:p w14:paraId="3A85731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0.85</w:t>
            </w:r>
          </w:p>
        </w:tc>
        <w:tc>
          <w:tcPr>
            <w:tcW w:w="630" w:type="dxa"/>
            <w:tcBorders>
              <w:top w:val="single" w:sz="4" w:space="0" w:color="auto"/>
              <w:left w:val="single" w:sz="4" w:space="0" w:color="auto"/>
              <w:bottom w:val="single" w:sz="4" w:space="0" w:color="auto"/>
              <w:right w:val="single" w:sz="4" w:space="0" w:color="auto"/>
            </w:tcBorders>
            <w:noWrap/>
            <w:hideMark/>
          </w:tcPr>
          <w:p w14:paraId="2C9E4714"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F19836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215</w:t>
            </w:r>
          </w:p>
        </w:tc>
        <w:tc>
          <w:tcPr>
            <w:tcW w:w="900" w:type="dxa"/>
            <w:tcBorders>
              <w:top w:val="single" w:sz="4" w:space="0" w:color="auto"/>
              <w:left w:val="single" w:sz="4" w:space="0" w:color="auto"/>
              <w:bottom w:val="single" w:sz="4" w:space="0" w:color="auto"/>
              <w:right w:val="single" w:sz="4" w:space="0" w:color="auto"/>
            </w:tcBorders>
            <w:noWrap/>
            <w:hideMark/>
          </w:tcPr>
          <w:p w14:paraId="20D429D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00" w:type="dxa"/>
            <w:tcBorders>
              <w:top w:val="single" w:sz="4" w:space="0" w:color="auto"/>
              <w:left w:val="single" w:sz="4" w:space="0" w:color="auto"/>
              <w:bottom w:val="single" w:sz="4" w:space="0" w:color="auto"/>
              <w:right w:val="single" w:sz="4" w:space="0" w:color="auto"/>
            </w:tcBorders>
            <w:noWrap/>
            <w:hideMark/>
          </w:tcPr>
          <w:p w14:paraId="0656FCBF" w14:textId="77777777" w:rsidR="00664D9B" w:rsidRPr="00C126BD" w:rsidRDefault="00664D9B" w:rsidP="00664D9B">
            <w:pPr>
              <w:rPr>
                <w:rFonts w:ascii="Calibri" w:eastAsia="Times New Roman" w:hAnsi="Calibri" w:cs="Calibri"/>
                <w:color w:val="000000"/>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22AEFB8"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543B58DC" w14:textId="77777777" w:rsidR="00664D9B" w:rsidRPr="00C126BD" w:rsidRDefault="00664D9B" w:rsidP="00664D9B">
            <w:pPr>
              <w:rPr>
                <w:rFonts w:ascii="Calibri" w:hAnsi="Calibri" w:cs="Calibri"/>
                <w:sz w:val="16"/>
                <w:szCs w:val="16"/>
              </w:rPr>
            </w:pPr>
          </w:p>
        </w:tc>
      </w:tr>
      <w:tr w:rsidR="00664D9B" w:rsidRPr="00C73DE7" w14:paraId="34D5CB3C" w14:textId="77777777" w:rsidTr="00C126BD">
        <w:trPr>
          <w:trHeight w:val="127"/>
        </w:trPr>
        <w:tc>
          <w:tcPr>
            <w:tcW w:w="3060" w:type="dxa"/>
            <w:tcBorders>
              <w:top w:val="single" w:sz="4" w:space="0" w:color="auto"/>
              <w:left w:val="single" w:sz="4" w:space="0" w:color="auto"/>
              <w:bottom w:val="single" w:sz="4" w:space="0" w:color="auto"/>
              <w:right w:val="single" w:sz="4" w:space="0" w:color="auto"/>
            </w:tcBorders>
            <w:noWrap/>
            <w:hideMark/>
          </w:tcPr>
          <w:p w14:paraId="6159BB8A" w14:textId="4FC36A5B"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{"citationItems":[{"id":"ITEM-1","itemData":{"DOI":"10.1016/j.invent.2017.08.003","ISBN":"2214-7829","ISSN":"22147829","PMID":"29862165","abstract":"In this paper, we explore the potential of predicting therapy success for patients in mental health care. Such predictions can eventually improve the process of matching effective therapy types to individuals. In the EU project E-COMPARED, a variety of information is gathered about patients suffering from depression. We use this data, where 276 patients received treatment as usual and 227 received blended treatment, to investigate to what extent we are able to predict therapy success. We utilize different encoding strategies for preprocessing, varying feature selection techniques, and different statistical procedures for this purpose. Significant predictive power is found with average AUC values up to 0.7628 for treatment as usual and 0.7765 for blended treatment. Adding daily assessment data for blended treatment does currently not add predictive accuracy. Cost effectiveness analysis is needed to determine the added potential for real-world applications.","author":[{"dropping-particle":"","family":"Breda","given":"Ward","non-dropping-particle":"van","parse-names":false,"suffix":""},{"dropping-particle":"","family":"Bremer","given":"Vincent","non-dropping-particle":"","parse-names":false,"suffix":""},{"dropping-particle":"","family":"Becker","given":"Dennis","non-dropping-particle":"","parse-names":false,"suffix":""},{"dropping-particle":"","family":"Hoogendoorn","given":"Mark","non-dropping-particle":"","parse-names":false,"suffix":""},{"dropping-particle":"","family":"Funk","given":"Burkhardt","non-dropping-particle":"","parse-names":false,"suffix":""},{"dropping-particle":"","family":"Ruwaard","given":"Jeroen","non-dropping-particle":"","parse-names":false,"suffix":""},{"dropping-particle":"","family":"Riper","given":"Heleen","non-dropping-particle":"","parse-names":false,"suffix":""}],"container-title":"Internet Interventions","edition":"2018/06/05","id":"ITEM-1","issued":{"date-parts":[["2018"]]},"language":"eng","note":"2214-7829\nvan Breda, Ward\nBremer, Vincent\nBecker, Dennis\nHoogendoorn, Mark\nFunk, Burkhardt\nRuwaard, Jeroen\nRiper, Heleen\nJournal Article\nNetherlands\nInternet Interv. 2018 Jun;12:100-104. doi: 10.1016/j.invent.2017.08.003.","page":"100-104","title":"Predicting therapy success for treatment as usual and blended treatment in the domain of depression","type":"article-journal","volume":"12"},"uris":["http://www.mendeley.com/documents/?uuid=53227bb4-26a6-4a87-b94d-0493ff3ccb56"]}],"mendeley":{"formattedCitation":"(van Breda et al., 2018)","plainTextFormattedCitation":"(van Breda et al., 2018)","previouslyFormattedCitation":"(van Breda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(van Breda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4A7C7626"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Therapy success</w:t>
            </w:r>
          </w:p>
        </w:tc>
        <w:tc>
          <w:tcPr>
            <w:tcW w:w="1440" w:type="dxa"/>
            <w:tcBorders>
              <w:top w:val="single" w:sz="4" w:space="0" w:color="auto"/>
              <w:left w:val="single" w:sz="4" w:space="0" w:color="auto"/>
              <w:bottom w:val="single" w:sz="4" w:space="0" w:color="auto"/>
              <w:right w:val="single" w:sz="4" w:space="0" w:color="auto"/>
            </w:tcBorders>
          </w:tcPr>
          <w:p w14:paraId="32399D76" w14:textId="0616C58D" w:rsidR="00664D9B" w:rsidRPr="00C126BD" w:rsidRDefault="00664D9B">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PHQ-9</w:t>
            </w:r>
          </w:p>
        </w:tc>
        <w:tc>
          <w:tcPr>
            <w:tcW w:w="990" w:type="dxa"/>
            <w:tcBorders>
              <w:top w:val="single" w:sz="4" w:space="0" w:color="auto"/>
              <w:left w:val="single" w:sz="4" w:space="0" w:color="auto"/>
              <w:bottom w:val="single" w:sz="4" w:space="0" w:color="auto"/>
              <w:right w:val="single" w:sz="4" w:space="0" w:color="auto"/>
            </w:tcBorders>
          </w:tcPr>
          <w:p w14:paraId="22B3CEC6" w14:textId="64536859" w:rsidR="00664D9B" w:rsidRPr="00C126BD" w:rsidRDefault="00211BCF">
            <w:pPr>
              <w:rPr>
                <w:rFonts w:ascii="Calibri" w:eastAsia="Times New Roman" w:hAnsi="Calibri" w:cs="Calibri"/>
                <w:color w:val="000000"/>
                <w:sz w:val="16"/>
                <w:szCs w:val="16"/>
              </w:rPr>
            </w:pPr>
            <w:r>
              <w:rPr>
                <w:rFonts w:ascii="Calibri" w:eastAsia="Times New Roman" w:hAnsi="Calibri" w:cs="Calibri"/>
                <w:color w:val="000000"/>
                <w:sz w:val="16"/>
                <w:szCs w:val="16"/>
              </w:rPr>
              <w:t>3 months</w:t>
            </w:r>
          </w:p>
        </w:tc>
        <w:tc>
          <w:tcPr>
            <w:tcW w:w="900" w:type="dxa"/>
            <w:tcBorders>
              <w:top w:val="single" w:sz="4" w:space="0" w:color="auto"/>
              <w:left w:val="single" w:sz="4" w:space="0" w:color="auto"/>
              <w:bottom w:val="single" w:sz="4" w:space="0" w:color="auto"/>
              <w:right w:val="single" w:sz="4" w:space="0" w:color="auto"/>
            </w:tcBorders>
            <w:noWrap/>
            <w:hideMark/>
          </w:tcPr>
          <w:p w14:paraId="23CD618E" w14:textId="756444E4"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19243E95" w14:textId="77777777" w:rsidR="00664D9B" w:rsidRPr="00C126BD" w:rsidRDefault="00664D9B" w:rsidP="00664D9B">
            <w:pPr>
              <w:rPr>
                <w:rFonts w:ascii="Calibri" w:hAnsi="Calibri" w:cs="Calibri"/>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1E81A43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00" w:type="dxa"/>
            <w:tcBorders>
              <w:top w:val="single" w:sz="4" w:space="0" w:color="auto"/>
              <w:left w:val="single" w:sz="4" w:space="0" w:color="auto"/>
              <w:bottom w:val="single" w:sz="4" w:space="0" w:color="auto"/>
              <w:right w:val="single" w:sz="4" w:space="0" w:color="auto"/>
            </w:tcBorders>
            <w:noWrap/>
            <w:hideMark/>
          </w:tcPr>
          <w:p w14:paraId="6E865DE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276</w:t>
            </w:r>
          </w:p>
        </w:tc>
        <w:tc>
          <w:tcPr>
            <w:tcW w:w="900" w:type="dxa"/>
            <w:tcBorders>
              <w:top w:val="single" w:sz="4" w:space="0" w:color="auto"/>
              <w:left w:val="single" w:sz="4" w:space="0" w:color="auto"/>
              <w:bottom w:val="single" w:sz="4" w:space="0" w:color="auto"/>
              <w:right w:val="single" w:sz="4" w:space="0" w:color="auto"/>
            </w:tcBorders>
            <w:noWrap/>
            <w:hideMark/>
          </w:tcPr>
          <w:p w14:paraId="33CE158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041DB4F1"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2B3388D"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308D3923" w14:textId="77777777" w:rsidR="00664D9B" w:rsidRPr="00C126BD" w:rsidRDefault="00664D9B" w:rsidP="00664D9B">
            <w:pPr>
              <w:rPr>
                <w:rFonts w:ascii="Calibri" w:hAnsi="Calibri" w:cs="Calibri"/>
                <w:sz w:val="16"/>
                <w:szCs w:val="16"/>
              </w:rPr>
            </w:pPr>
          </w:p>
        </w:tc>
      </w:tr>
      <w:tr w:rsidR="00664D9B" w:rsidRPr="00C73DE7" w14:paraId="684556EC"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08E28D46" w14:textId="63BB5C50"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{"citationItems":[{"id":"ITEM-1","itemData":{"DOI":"10.1038/npp.2016.48","ISBN":"1740-634X (Electronic)\r0893-133X (Linking)","ISSN":"1740634X","PMID":"27067127","abstract":"Patients with major depression show reductions in striatal and paleostriatal volumes. The functional integrity and connectivity of these regions are also shown to change with antidepressant response. Electroconvulsive therapy (ECT) is a robust and rapidly acting treatment for severe depression. However, whether morphological changes in the dorsal and ventral striatum/pallidum relate to or predict therapeutic response to ECT is unknown. Using structural MRI, we assessed cross-sectional effects of diagnosis and longitudinal effects of ECT for volume and surface-based shape metrics of the caudate, putamen, pallidum, and nucleus accumbens in 53 depressed patients (mean age: 44.1 years, 13.8 SD; 52% female) and 33 healthy controls (mean age: 39.3 years, 12.4 SD; 57% female). Patients were assessed before ECT, after their second ECT, and after completing an ECT treatment index. Controls were evaluated at two time points. Support vector machines determined whether morphometric measures at baseline predicted ECT-related clinical response. Patients showed smaller baseline accumbens and pallidal volumes than controls (P&lt;0.05). Increases in left putamen volume (P&lt;0.03) occurred with ECT. Global increases in accumbens volume and local changes in pallidum and caudate volume occurred in patients defined as treatment responders. Morphometric changes were absent across time in controls. Baseline volume and shape metrics predicted overall response to ECT with up to 89% accuracy. Results support that ECT elicits structural plasticity in the dorsal and ventral striatum/pallidum. The morphometry of these structures, forming key components of limbic-cortical-striatal-pallidal-thalamic circuitry involved in mood and emotional regulation, may determine patients likely to benefit from treatment.","author":[{"dropping-particle":"","family":"Wade","given":"Benjamin S.C.","non-dropping-particle":"","parse-names":false,"suffix":""},{"dropping-particle":"","family":"Joshi","given":"Shantanu H.","non-dropping-particle":"","parse-names":false,"suffix":""},{"dropping-particle":"","family":"Njau","given":"Stephanie","non-dropping-particle":"","parse-names":false,"suffix":""},{"dropping-particle":"","family":"Leaver","given":"Amber M.","non-dropping-particle":"","parse-names":false,"suffix":""},{"dropping-particle":"","family":"Vasavada","given":"Megha","non-dropping-particle":"","parse-names":false,"suffix":""},{"dropping-particle":"","family":"Woods","given":"Roger P.","non-dropping-particle":"","parse-names":false,"suffix":""},{"dropping-particle":"","family":"Gutman","given":"Boris A.","non-dropping-particle":"","parse-names":false,"suffix":""},{"dropping-particle":"","family":"Thompson","given":"Paul M.","non-dropping-particle":"","parse-names":false,"suffix":""},{"dropping-particle":"","family":"Espinoza","given":"Randall","non-dropping-particle":"","parse-names":false,"suffix":""},{"dropping-particle":"","family":"Narr","given":"Katherine L.","non-dropping-particle":"","parse-names":false,"suffix":""}],"container-title":"Neuropsychopharmacology","edition":"2016/04/14","id":"ITEM-1","issue":"10","issued":{"date-parts":[["2016"]]},"note":"Wade, Benjamin S C\nJoshi, Shantanu H\nNjau, Stephanie\nLeaver, Amber M\nVasavada, Megha\nWoods, Roger P\nGutman, Boris A\nThompson, Paul M\nEspinoza, Randall\nNarr, Katherine L\neng\nK24 MH102743/MH/NIMH NIH HHS/\nR01 MH092301/MH/NIMH NIH HHS/\nU54 EB020403/EB/NIBIB NIH HHS/\nResearch Support, N.I.H., Extramural\nResearch Support, U.S. Gov't, Non-P.H.S.\nEngland\nNeuropsychopharmacology. 2016 Sep;41(10):2481-91. doi: 10.1038/npp.2016.48. Epub 2016 Apr 12.","page":"2481-2491","title":"Effect of Electroconvulsive Therapy on Striatal Morphometry in Major Depressive Disorder","type":"article-journal","volume":"41"},"uris":["http://www.mendeley.com/documents/?uuid=0f77d522-58c8-424d-af35-c7d7087332b6"]}],"mendeley":{"formattedCitation":"(Wade et al., 2016)","plainTextFormattedCitation":"(Wade et al., 2016)","previouslyFormattedCitation":"(Wade et al., 2016)"},"properties":{"noteIndex":0},"schema":"https://github.com/citation-style-language/schema/raw/master/csl-citation.json"}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(Wade et al., 2016)</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14:paraId="76526D0D"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9218F18" w14:textId="449F47B8" w:rsidR="00664D9B" w:rsidRPr="00C126BD" w:rsidRDefault="00664D9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QIDS</w:t>
            </w:r>
            <w:r>
              <w:rPr>
                <w:rFonts w:ascii="Calibri" w:eastAsia="Times New Roman" w:hAnsi="Calibri" w:cs="Calibri"/>
                <w:color w:val="000000"/>
                <w:sz w:val="16"/>
                <w:szCs w:val="16"/>
              </w:rPr>
              <w:t>, HAMD, QIDS</w:t>
            </w:r>
          </w:p>
        </w:tc>
        <w:tc>
          <w:tcPr>
            <w:tcW w:w="990" w:type="dxa"/>
            <w:tcBorders>
              <w:top w:val="single" w:sz="4" w:space="0" w:color="auto"/>
              <w:left w:val="single" w:sz="4" w:space="0" w:color="auto"/>
              <w:bottom w:val="single" w:sz="4" w:space="0" w:color="auto"/>
              <w:right w:val="single" w:sz="4" w:space="0" w:color="auto"/>
            </w:tcBorders>
          </w:tcPr>
          <w:p w14:paraId="76058F9F" w14:textId="77777777"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32E7585" w14:textId="671043CA"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0.89</w:t>
            </w:r>
          </w:p>
        </w:tc>
        <w:tc>
          <w:tcPr>
            <w:tcW w:w="990" w:type="dxa"/>
            <w:tcBorders>
              <w:top w:val="single" w:sz="4" w:space="0" w:color="auto"/>
              <w:left w:val="single" w:sz="4" w:space="0" w:color="auto"/>
              <w:bottom w:val="single" w:sz="4" w:space="0" w:color="auto"/>
              <w:right w:val="single" w:sz="4" w:space="0" w:color="auto"/>
            </w:tcBorders>
            <w:noWrap/>
            <w:hideMark/>
          </w:tcPr>
          <w:p w14:paraId="385F5B70" w14:textId="77777777" w:rsidR="00664D9B" w:rsidRPr="00C126BD" w:rsidRDefault="00664D9B" w:rsidP="00664D9B">
            <w:pP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hideMark/>
          </w:tcPr>
          <w:p w14:paraId="3D43B5A6"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0.70</w:t>
            </w:r>
          </w:p>
        </w:tc>
        <w:tc>
          <w:tcPr>
            <w:tcW w:w="900" w:type="dxa"/>
            <w:tcBorders>
              <w:top w:val="single" w:sz="4" w:space="0" w:color="auto"/>
              <w:left w:val="single" w:sz="4" w:space="0" w:color="auto"/>
              <w:bottom w:val="single" w:sz="4" w:space="0" w:color="auto"/>
              <w:right w:val="single" w:sz="4" w:space="0" w:color="auto"/>
            </w:tcBorders>
            <w:noWrap/>
            <w:hideMark/>
          </w:tcPr>
          <w:p w14:paraId="699C729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86</w:t>
            </w:r>
          </w:p>
        </w:tc>
        <w:tc>
          <w:tcPr>
            <w:tcW w:w="900" w:type="dxa"/>
            <w:tcBorders>
              <w:top w:val="single" w:sz="4" w:space="0" w:color="auto"/>
              <w:left w:val="single" w:sz="4" w:space="0" w:color="auto"/>
              <w:bottom w:val="single" w:sz="4" w:space="0" w:color="auto"/>
              <w:right w:val="single" w:sz="4" w:space="0" w:color="auto"/>
            </w:tcBorders>
            <w:noWrap/>
            <w:hideMark/>
          </w:tcPr>
          <w:p w14:paraId="31E55ADC"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6DB6664"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69F3D435"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A20D2D7" w14:textId="77777777" w:rsidR="00664D9B" w:rsidRPr="00C126BD" w:rsidRDefault="00664D9B" w:rsidP="00664D9B">
            <w:pPr>
              <w:rPr>
                <w:rFonts w:ascii="Calibri" w:hAnsi="Calibri" w:cs="Calibri"/>
                <w:sz w:val="16"/>
                <w:szCs w:val="16"/>
              </w:rPr>
            </w:pPr>
          </w:p>
        </w:tc>
      </w:tr>
      <w:tr w:rsidR="00664D9B" w:rsidRPr="00C73DE7" w14:paraId="6DDECAF0"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7248D40" w14:textId="42FB4035"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{"citationItems":[{"id":"ITEM-1","itemData":{"DOI":"10.1016/j.jad.2017.09.001","ISBN":"1573-2517 (Electronic)\r0165-0327 (Linking)","ISSN":"15732517","PMID":"28910748","abstract":"Background Electroconvulsive therapy (ECT) has been demonstrated to be an effective treatment of major depressive disorder (MDD). However, the neuroanatomical basis of response to ECT is still largely unknown. Methods In present study, we used functional connectivity density (FCD) and resting-state functional connectivity (RSFC) to identify the relationship between the changes of resting-state activities and ECT responses in 23 MDD patients before and after ECT. In addition, the identified neural indices as classification characteristics were entered into multivariate pattern analysis using linear support vector machine (SVM) to classify 23 MDD patients before ECT from 25 gender, age and years of education matched healthy controls. Results We found that the changes of local FCD (lFCD), not long-range FCD, of the left pre-/postcentral gyrus (Pre-/postCG), left superior temporal gyrus (STG), and right STG were significantly correlated with the changes of Hamilton Rating Scale for Depression (HRSD) scores in MDD patients before and after ECT. The subsequent functional connectivity analysis revealed significantly decreased functional connectivity between right STG and right intraparietal sulcus (IPS) in MDD after ECT in spite of no correlation with HRSD scores. Finally, SVM-based classification achieved an accuracy of 72.92% with a sensitivity of 73.91% and a specificity of 72% by leave-one-out cross-validation. Conclusions Our findings indicated that Pre-/postCG and bilateral STG play an important role in response of ECT in MDD patients, and the lFCD in these areas may serve as a biomarker for predicting ECT response.","author":[{"dropping-particle":"","family":"Wang","given":"Jiaojian","non-dropping-particle":"","parse-names":false,"suffix":""},{"dropping-particle":"","family":"Wei","given":"Qiang","non-dropping-particle":"","parse-names":false,"suffix":""},{"dropping-particle":"","family":"Yuan","given":"Xinru","non-dropping-particle":"","parse-names":false,"suffix":""},{"dropping-particle":"","family":"Jiang","given":"Xiaoyan","non-dropping-particle":"","parse-names":false,"suffix":""},{"dropping-particle":"","family":"Xu","given":"Jinping","non-dropping-particle":"","parse-names":false,"suffix":""},{"dropping-particle":"","family":"Zhou","given":"Xiaoqin","non-dropping-particle":"","parse-names":false,"suffix":""},{"dropping-particle":"","family":"Tian","given":"Yanghua","non-dropping-particle":"","parse-names":false,"suffix":""},{"dropping-particle":"","family":"Wang","given":"Kai","non-dropping-particle":"","parse-names":false,"suffix":""}],"container-title":"Journal of Affective Disorders","edition":"2017/09/15","id":"ITEM-1","issued":{"date-parts":[["2018"]]},"note":"Wang, Jiaojian\nWei, Qiang\nYuan, Xinru\nJiang, Xiaoyan\nXu, Jinping\nZhou, Xiaoqin\nTian, Yanghua\nWang, Kai\neng\nNetherlands\nJ Affect Disord. 2018 Jan 1;225:658-664. doi: 10.1016/j.jad.2017.09.001. Epub 2017 Sep 6.","page":"658-664","title":"Local functional connectivity density is closely associated with the response of electroconvulsive therapy in major depressive disorder","type":"article-journal","volume":"225"},"uris":["http://www.mendeley.com/documents/?uuid=9ae78292-63d4-47e2-8b5b-d8b651d84071"]}],"mendeley":{"formattedCitation":"(Wang et al., 2018)","plainTextFormattedCitation":"(Wang et al., 2018)","previouslyFormattedCitation":"(Wang et al., 2018)"},"properties":{"noteIndex":0},"schema":"https://github.com/citation-style-language/schema/raw/master/csl-citation.json"}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(Wang et al., 2018)</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604BB135"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102D282" w14:textId="4224D85B" w:rsidR="00664D9B" w:rsidRPr="00C126BD" w:rsidRDefault="00664D9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HRSD</w:t>
            </w:r>
          </w:p>
        </w:tc>
        <w:tc>
          <w:tcPr>
            <w:tcW w:w="990" w:type="dxa"/>
            <w:tcBorders>
              <w:top w:val="single" w:sz="4" w:space="0" w:color="auto"/>
              <w:left w:val="single" w:sz="4" w:space="0" w:color="auto"/>
              <w:bottom w:val="single" w:sz="4" w:space="0" w:color="auto"/>
              <w:right w:val="single" w:sz="4" w:space="0" w:color="auto"/>
            </w:tcBorders>
          </w:tcPr>
          <w:p w14:paraId="612BADA3" w14:textId="4B3757E5" w:rsidR="00664D9B" w:rsidRPr="00C126BD" w:rsidRDefault="00664D9B" w:rsidP="00C126BD">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2DA19BE" w14:textId="4E63AE89"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0.73</w:t>
            </w:r>
          </w:p>
        </w:tc>
        <w:tc>
          <w:tcPr>
            <w:tcW w:w="990" w:type="dxa"/>
            <w:tcBorders>
              <w:top w:val="single" w:sz="4" w:space="0" w:color="auto"/>
              <w:left w:val="single" w:sz="4" w:space="0" w:color="auto"/>
              <w:bottom w:val="single" w:sz="4" w:space="0" w:color="auto"/>
              <w:right w:val="single" w:sz="4" w:space="0" w:color="auto"/>
            </w:tcBorders>
            <w:noWrap/>
            <w:hideMark/>
          </w:tcPr>
          <w:p w14:paraId="141A5F8C"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0.73</w:t>
            </w:r>
          </w:p>
        </w:tc>
        <w:tc>
          <w:tcPr>
            <w:tcW w:w="630" w:type="dxa"/>
            <w:tcBorders>
              <w:top w:val="single" w:sz="4" w:space="0" w:color="auto"/>
              <w:left w:val="single" w:sz="4" w:space="0" w:color="auto"/>
              <w:bottom w:val="single" w:sz="4" w:space="0" w:color="auto"/>
              <w:right w:val="single" w:sz="4" w:space="0" w:color="auto"/>
            </w:tcBorders>
            <w:noWrap/>
            <w:hideMark/>
          </w:tcPr>
          <w:p w14:paraId="52D0495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1B995888"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48</w:t>
            </w:r>
          </w:p>
        </w:tc>
        <w:tc>
          <w:tcPr>
            <w:tcW w:w="900" w:type="dxa"/>
            <w:tcBorders>
              <w:top w:val="single" w:sz="4" w:space="0" w:color="auto"/>
              <w:left w:val="single" w:sz="4" w:space="0" w:color="auto"/>
              <w:bottom w:val="single" w:sz="4" w:space="0" w:color="auto"/>
              <w:right w:val="single" w:sz="4" w:space="0" w:color="auto"/>
            </w:tcBorders>
            <w:noWrap/>
            <w:hideMark/>
          </w:tcPr>
          <w:p w14:paraId="64E62468"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C0FA32A"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2EF365FD"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4A9C6BC2" w14:textId="77777777" w:rsidR="00664D9B" w:rsidRPr="00C126BD" w:rsidRDefault="00664D9B" w:rsidP="00664D9B">
            <w:pPr>
              <w:rPr>
                <w:rFonts w:ascii="Calibri" w:hAnsi="Calibri" w:cs="Calibri"/>
                <w:sz w:val="16"/>
                <w:szCs w:val="16"/>
              </w:rPr>
            </w:pPr>
          </w:p>
        </w:tc>
      </w:tr>
      <w:tr w:rsidR="00664D9B" w:rsidRPr="00C73DE7" w14:paraId="05B6A4D7"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171C54BF" w14:textId="2A7CA7F6"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{"citationItems":[{"id":"ITEM-1","itemData":{"DOI":"10.1038/npp.2015.89","ISBN":"1740-634X (Electronic)\r0893-133X (Linking)","ISSN":"1740634X","PMID":"25824424","abstract":"Although the cost of poor treatment outcomes of depression is staggering, we do not yet have clinically useful methods for selecting the most effective antidepressant for each depressed person. Emotional brain activation is altered in major depressive disorder (MDD) and implicated in treatment response. Identifying which aspects of emotional brain activation are predictive of general and specific responses to antidepressants may help clinicians and patients when making treatment decisions. We examined whether amygdala activation probed by emotion stimuli is a general or differential predictor of response to three commonly prescribed antidepressants, using functional magnetic resonance imaging (fMRI). A test-retest design was used to assess patients with MDD in an academic setting as part of the International Study to Predict Optimized Treatment in Depression. A total of 80 MDD outpatients were scanned prior to treatment and 8 weeks after randomization to the selective serotonin reuptake inhibitors escitalopram and sertraline and the serotonin-norepinephrine reuptake inhibitor, venlafaxine-extended release (XR). A total of 34 matched controls were scanned at the same timepoints. We quantified the blood oxygen level-dependent signal of the amygdala during subliminal and supraliminal viewing of facial expressions of emotion. Response to treatment was defined by ≥50% symptom improvement on the 17-item Hamilton Depression Rating Scale. Pre-treatment amygdala hypo-reactivity to subliminal happy and threat was a general predictor of treatment response, regardless of medication type (Cohen's d effect size 0.63 to 0.77; classification accuracy, 75%). Responders showed hypo-reactivity compared to controls at baseline, and an increase toward 'normalization' post-treatment. Pre-treatment amygdala reactivity to subliminal sadness was a differential moderator of non-response to venlafaxine-XR (Cohen's d effect size 1.5; classification accuracy, 81%). Non-responders to venlafaxine-XR showed pre-treatment hyper-reactivity, which progressed to hypo-reactivity rather than normalization post-treatment, and hypo-reactivity post-treatment was abnormal compared to controls. Impaired amygdala activation has not previously been highlighted in the general vs differential prediction of antidepressant outcomes. Amygdala hypo-reactivity to emotions signaling reward and threat predicts the general capacity to respond to antidepressants. Amygdala hyper-reactivity to sad emotion is i…","author":[{"dropping-particle":"","family":"Williams","given":"Leanne M.","non-dropping-particle":"","parse-names":false,"suffix":""},{"dropping-particle":"","family":"Korgaonkar","given":"Mayuresh S.","non-dropping-particle":"","parse-names":false,"suffix":""},{"dropping-particle":"","family":"Song","given":"Yun C.","non-dropping-particle":"","parse-names":false,"suffix":""},{"dropping-particle":"","family":"Paton","given":"Rebecca","non-dropping-particle":"","parse-names":false,"suffix":""},{"dropping-particle":"","family":"Eagles","given":"Sarah","non-dropping-particle":"","parse-names":false,"suffix":""},{"dropping-particle":"","family":"Goldstein-Piekarski","given":"Andrea","non-dropping-particle":"","parse-names":false,"suffix":""},{"dropping-particle":"","family":"Grieve","given":"Stuart M.","non-dropping-particle":"","parse-names":false,"suffix":""},{"dropping-particle":"","family":"Harris","given":"Anthony W.F.","non-dropping-particle":"","parse-names":false,"suffix":""},{"dropping-particle":"","family":"Usherwood","given":"Tim","non-dropping-particle":"","parse-names":false,"suffix":""},{"dropping-particle":"","family":"Etkin","given":"Amit","non-dropping-particle":"","parse-names":false,"suffix":""}],"container-title":"Neuropsychopharmacology","edition":"2015/04/01","id":"ITEM-1","issue":"10","issued":{"date-parts":[["2015"]]},"note":"Williams, Leanne M\nKorgaonkar, Mayuresh S\nSong, Yun C\nPaton, Rebecca\nEagles, Sarah\nGoldstein-Piekarski, Andrea\nGrieve, Stuart M\nHarris, Anthony W F\nUsherwood, Tim\nEtkin, Amit\neng\nRandomized Controlled Trial\nResearch Support, Non-U.S. Gov't\nEngland\nNeuropsychopharmacology. 2015 Sep;40(10):2398-408. doi: 10.1038/npp.2015.89. Epub 2015 Mar 31.","page":"2398-2408","title":"Amygdala Reactivity to Emotional Faces in the Prediction of General and Medication-Specific Responses to Antidepressant Treatment in the Randomized iSPOT-D Trial","type":"article-journal","volume":"40"},"uris":["http://www.mendeley.com/documents/?uuid=a4473991-e90e-4ba8-9708-1f2a6c7ebb04"]}],"mendeley":{"formattedCitation":"(Williams et al., 2015)","plainTextFormattedCitation":"(Williams et al., 2015)","previouslyFormattedCitation":"(Williams et al., 2015)"},"properties":{"noteIndex":0},"schema":"https://github.com/citation-style-language/schema/raw/master/csl-citation.json"}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(Williams et al., 2015)</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34EBEB18"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5BB0DA44" w14:textId="163C3129" w:rsidR="00664D9B" w:rsidRPr="00C126BD" w:rsidRDefault="00664D9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HDRS-17</w:t>
            </w:r>
          </w:p>
        </w:tc>
        <w:tc>
          <w:tcPr>
            <w:tcW w:w="990" w:type="dxa"/>
            <w:tcBorders>
              <w:top w:val="single" w:sz="4" w:space="0" w:color="auto"/>
              <w:left w:val="single" w:sz="4" w:space="0" w:color="auto"/>
              <w:bottom w:val="single" w:sz="4" w:space="0" w:color="auto"/>
              <w:right w:val="single" w:sz="4" w:space="0" w:color="auto"/>
            </w:tcBorders>
          </w:tcPr>
          <w:p w14:paraId="1E3E5E37" w14:textId="6C20DF28" w:rsidR="00664D9B" w:rsidRPr="00C126BD" w:rsidRDefault="00D15515"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59A6CB0A" w14:textId="63B12752"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0.78</w:t>
            </w:r>
          </w:p>
        </w:tc>
        <w:tc>
          <w:tcPr>
            <w:tcW w:w="990" w:type="dxa"/>
            <w:tcBorders>
              <w:top w:val="single" w:sz="4" w:space="0" w:color="auto"/>
              <w:left w:val="single" w:sz="4" w:space="0" w:color="auto"/>
              <w:bottom w:val="single" w:sz="4" w:space="0" w:color="auto"/>
              <w:right w:val="single" w:sz="4" w:space="0" w:color="auto"/>
            </w:tcBorders>
            <w:noWrap/>
            <w:hideMark/>
          </w:tcPr>
          <w:p w14:paraId="6EC817D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0.77</w:t>
            </w:r>
          </w:p>
        </w:tc>
        <w:tc>
          <w:tcPr>
            <w:tcW w:w="630" w:type="dxa"/>
            <w:tcBorders>
              <w:top w:val="single" w:sz="4" w:space="0" w:color="auto"/>
              <w:left w:val="single" w:sz="4" w:space="0" w:color="auto"/>
              <w:bottom w:val="single" w:sz="4" w:space="0" w:color="auto"/>
              <w:right w:val="single" w:sz="4" w:space="0" w:color="auto"/>
            </w:tcBorders>
            <w:noWrap/>
            <w:hideMark/>
          </w:tcPr>
          <w:p w14:paraId="0D48ACAB"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814C9E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114</w:t>
            </w:r>
          </w:p>
        </w:tc>
        <w:tc>
          <w:tcPr>
            <w:tcW w:w="900" w:type="dxa"/>
            <w:tcBorders>
              <w:top w:val="single" w:sz="4" w:space="0" w:color="auto"/>
              <w:left w:val="single" w:sz="4" w:space="0" w:color="auto"/>
              <w:bottom w:val="single" w:sz="4" w:space="0" w:color="auto"/>
              <w:right w:val="single" w:sz="4" w:space="0" w:color="auto"/>
            </w:tcBorders>
            <w:noWrap/>
            <w:hideMark/>
          </w:tcPr>
          <w:p w14:paraId="10927C16"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5EAF1150"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7D38022D"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68B86990" w14:textId="77777777" w:rsidR="00664D9B" w:rsidRPr="00C126BD" w:rsidRDefault="00664D9B" w:rsidP="00664D9B">
            <w:pPr>
              <w:rPr>
                <w:rFonts w:ascii="Calibri" w:hAnsi="Calibri" w:cs="Calibri"/>
                <w:sz w:val="16"/>
                <w:szCs w:val="16"/>
              </w:rPr>
            </w:pPr>
          </w:p>
        </w:tc>
      </w:tr>
      <w:tr w:rsidR="00664D9B" w:rsidRPr="00C73DE7" w14:paraId="3DAC7E93"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61021095" w14:textId="26A35FD2"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{"citationItems":[{"id":"ITEM-1","itemData":{"DOI":"10.1038/s41587-019-0397-3","ISSN":"15461696","PMID":"32042166","abstract":"Antidepressants are widely prescribed, but their efficacy relative to placebo is modest, in part because the clinical diagnosis of major depression encompasses biologically heterogeneous conditions. Here, we sought to identify a neurobiological signature of response to antidepressant treatment as compared to placebo. We designed a latent-space machine-learning algorithm tailored for resting-state electroencephalography (EEG) and applied it to data from the largest imaging-coupled, placebo-controlled antidepressant study (n = 309). Symptom improvement was robustly predicted in a manner both specific for the antidepressant sertraline (versus placebo) and generalizable across different study sites and EEG equipment. This sertraline-predictive EEG signature generalized to two depression samples, wherein it reflected general antidepressant medication responsivity and related differentially to a repetitive transcranial magnetic stimulation treatment outcome. Furthermore, we found that the sertraline resting-state EEG signature indexed prefrontal neural responsivity, as measured by concurrent transcranial magnetic stimulation and EEG. Our findings advance the neurobiological understanding of antidepressant treatment through an EEG-tailored computational model and provide a clinical avenue for personalized treatment of depression.","author":[{"dropping-particle":"","family":"Wu","given":"Wei","non-dropping-particle":"","parse-names":false,"suffix":""},{"dropping-particle":"","family":"Zhang","given":"Yu","non-dropping-particle":"","parse-names":false,"suffix":""},{"dropping-particle":"","family":"Jiang","given":"Jing","non-dropping-particle":"","parse-names":false,"suffix":""},{"dropping-particle":"V.","family":"Lucas","given":"Molly","non-dropping-particle":"","parse-names":false,"suffix":""},{"dropping-particle":"","family":"Fonzo","given":"Gregory A.","non-dropping-particle":"","parse-names":false,"suffix":""},{"dropping-particle":"","family":"Rolle","given":"Camarin E.","non-dropping-particle":"","parse-names":false,"suffix":""},{"dropping-particle":"","family":"Cooper","given":"Crystal","non-dropping-particle":"","parse-names":false,"suffix":""},{"dropping-particle":"","family":"Chin-Fatt","given":"Cherise","non-dropping-particle":"","parse-names":false,"suffix":""},{"dropping-particle":"","family":"Krepel","given":"Noralie","non-dropping-particle":"","parse-names":false,"suffix":""},{"dropping-particle":"","family":"Cornelssen","given":"Carena A.","non-dropping-particle":"","parse-names":false,"suffix":""},{"dropping-particle":"","family":"Wright","given":"Rachael","non-dropping-particle":"","parse-names":false,"suffix":""},{"dropping-particle":"","family":"Toll","given":"Russell T.","non-dropping-particle":"","parse-names":false,"suffix":""},{"dropping-particle":"","family":"Trivedi","given":"Hersh M.","non-dropping-particle":"","parse-names":false,"suffix":""},{"dropping-particle":"","family":"Monuszko","given":"Karen","non-dropping-particle":"","parse-names":false,"suffix":""},{"dropping-particle":"","family":"Caudle","given":"Trevor L.","non-dropping-particle":"","parse-names":false,"suffix":""},{"dropping-particle":"","family":"Sarhadi","given":"Kamron","non-dropping-particle":"","parse-names":false,"suffix":""},{"dropping-particle":"","family":"Jha","given":"Manish K.","non-dropping-particle":"","parse-names":false,"suffix":""},{"dropping-particle":"","family":"Trombello","given":"Joseph M.","non-dropping-particle":"","parse-names":false,"suffix":""},{"dropping-particle":"","family":"Deckersbach","given":"Thilo","non-dropping-particle":"","parse-names":false,"suffix":""},{"dropping-particle":"","family":"Adams","given":"Phil","non-dropping-particle":"","parse-names":false,"suffix":""},{"dropping-particle":"","family":"McGrath","given":"Patrick J.","non-dropping-particle":"","parse-names":false,"suffix":""},{"dropping-particle":"","family":"Weissman","given":"Myrna M.","non-dropping-particle":"","parse-names":false,"suffix":""},{"dropping-particle":"","family":"Fava","given":"Maurizio","non-dropping-particle":"","parse-names":false,"suffix":""},{"dropping-particle":"","family":"Pizzagalli","given":"Diego A.","non-dropping-particle":"","parse-names":false,"suffix":""},{"dropping-particle":"","family":"Arns","given":"Martijn","non-dropping-particle":"","parse-names":false,"suffix":""},{"dropping-particle":"","family":"Trivedi","given":"Madhukar H.","non-dropping-particle":"","parse-names":false,"suffix":""},{"dropping-particle":"","family":"Etkin","given":"Amit","non-dropping-particle":"","parse-names":false,"suffix":""}],"container-title":"Nature Biotechnology","id":"ITEM-1","issue":"4","issued":{"date-parts":[["2020","4"]]},"language":"eng","page":"439-447","title":"An electroencephalographic signature predicts antidepressant response in major depression","type":"article-journal","volume":"38"},"uris":["http://www.mendeley.com/documents/?uuid=32344dab-5a21-4d49-b751-fdd7cf70653a"]}],"mendeley":{"formattedCitation":"(Wu et al., 2020)","plainTextFormattedCitation":"(Wu et al., 2020)","previouslyFormattedCitation":"(Wu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(Wu et al., 2020)</w:t>
            </w:r>
            <w:r w:rsidRPr="00C126BD">
              <w:rPr>
                <w:rFonts w:ascii="Calibri" w:eastAsia="Times New Roman" w:hAnsi="Calibri" w:cs="Calibri"/>
                <w:color w:val="000000"/>
                <w:sz w:val="16"/>
                <w:szCs w:val="16"/>
              </w:rPr>
              <w:fldChar w:fldCharType="end"/>
            </w:r>
          </w:p>
        </w:tc>
        <w:tc>
          <w:tcPr>
            <w:tcW w:w="1800" w:type="dxa"/>
            <w:tcBorders>
              <w:top w:val="single" w:sz="4" w:space="0" w:color="auto"/>
              <w:left w:val="single" w:sz="4" w:space="0" w:color="auto"/>
              <w:bottom w:val="single" w:sz="4" w:space="0" w:color="auto"/>
              <w:right w:val="single" w:sz="4" w:space="0" w:color="auto"/>
            </w:tcBorders>
          </w:tcPr>
          <w:p w14:paraId="27430397" w14:textId="15CAF340"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16B784E8" w14:textId="59778871" w:rsidR="00664D9B" w:rsidRPr="00C126BD" w:rsidRDefault="00664D9B" w:rsidP="00C126BD">
            <w:pPr>
              <w:rPr>
                <w:rFonts w:ascii="Calibri" w:eastAsia="Times New Roman" w:hAnsi="Calibri" w:cs="Calibri"/>
                <w:color w:val="000000"/>
                <w:sz w:val="16"/>
                <w:szCs w:val="16"/>
              </w:rPr>
            </w:pPr>
            <w:r w:rsidRPr="00D94EA3">
              <w:rPr>
                <w:rFonts w:ascii="Calibri" w:eastAsia="Times New Roman" w:hAnsi="Calibri" w:cs="Calibri"/>
                <w:color w:val="000000"/>
                <w:sz w:val="16"/>
                <w:szCs w:val="16"/>
              </w:rPr>
              <w:t>HAMD17</w:t>
            </w:r>
          </w:p>
        </w:tc>
        <w:tc>
          <w:tcPr>
            <w:tcW w:w="990" w:type="dxa"/>
            <w:tcBorders>
              <w:top w:val="single" w:sz="4" w:space="0" w:color="auto"/>
              <w:left w:val="single" w:sz="4" w:space="0" w:color="auto"/>
              <w:bottom w:val="single" w:sz="4" w:space="0" w:color="auto"/>
              <w:right w:val="single" w:sz="4" w:space="0" w:color="auto"/>
            </w:tcBorders>
          </w:tcPr>
          <w:p w14:paraId="7D222F8A" w14:textId="70D4E3BE" w:rsidR="00664D9B" w:rsidRPr="00C126BD" w:rsidRDefault="00664D9B"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tcPr>
          <w:p w14:paraId="50ED7B11" w14:textId="59B12D42" w:rsidR="00664D9B" w:rsidRPr="00C126BD" w:rsidRDefault="00664D9B" w:rsidP="00664D9B">
            <w:pPr>
              <w:jc w:val="cente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tcPr>
          <w:p w14:paraId="41971264" w14:textId="77777777" w:rsidR="00664D9B" w:rsidRPr="00C126BD" w:rsidRDefault="00664D9B" w:rsidP="00664D9B">
            <w:pPr>
              <w:jc w:val="center"/>
              <w:rPr>
                <w:rFonts w:ascii="Calibri" w:eastAsia="Times New Roman" w:hAnsi="Calibri" w:cs="Calibri"/>
                <w:color w:val="000000"/>
                <w:sz w:val="16"/>
                <w:szCs w:val="16"/>
              </w:rPr>
            </w:pPr>
          </w:p>
        </w:tc>
        <w:tc>
          <w:tcPr>
            <w:tcW w:w="630" w:type="dxa"/>
            <w:tcBorders>
              <w:top w:val="single" w:sz="4" w:space="0" w:color="auto"/>
              <w:left w:val="single" w:sz="4" w:space="0" w:color="auto"/>
              <w:bottom w:val="single" w:sz="4" w:space="0" w:color="auto"/>
              <w:right w:val="single" w:sz="4" w:space="0" w:color="auto"/>
            </w:tcBorders>
            <w:noWrap/>
          </w:tcPr>
          <w:p w14:paraId="5BA970A6"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0E5386D8" w14:textId="1BB9718B"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309</w:t>
            </w:r>
          </w:p>
        </w:tc>
        <w:tc>
          <w:tcPr>
            <w:tcW w:w="900" w:type="dxa"/>
            <w:tcBorders>
              <w:top w:val="single" w:sz="4" w:space="0" w:color="auto"/>
              <w:left w:val="single" w:sz="4" w:space="0" w:color="auto"/>
              <w:bottom w:val="single" w:sz="4" w:space="0" w:color="auto"/>
              <w:right w:val="single" w:sz="4" w:space="0" w:color="auto"/>
            </w:tcBorders>
            <w:noWrap/>
          </w:tcPr>
          <w:p w14:paraId="3568CD95"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10A3A10D"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706633FB"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1BE5103C" w14:textId="5471CF43" w:rsidR="00664D9B" w:rsidRPr="00C126BD" w:rsidRDefault="00664D9B" w:rsidP="00664D9B">
            <w:pPr>
              <w:rPr>
                <w:rFonts w:ascii="Calibri" w:hAnsi="Calibri" w:cs="Calibri"/>
                <w:sz w:val="16"/>
                <w:szCs w:val="16"/>
              </w:rPr>
            </w:pPr>
            <w:r w:rsidRPr="00C126BD">
              <w:rPr>
                <w:rFonts w:ascii="Calibri" w:hAnsi="Calibri" w:cs="Calibri"/>
                <w:sz w:val="16"/>
                <w:szCs w:val="16"/>
              </w:rPr>
              <w:t>152</w:t>
            </w:r>
          </w:p>
        </w:tc>
      </w:tr>
      <w:tr w:rsidR="00664D9B" w:rsidRPr="00C73DE7" w14:paraId="7EC409AC"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4ADE7252" w14:textId="36D626B3"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{"citationItems":[{"id":"ITEM-1","itemData":{"DOI":"10.1016/j.jad.2019.03.077","ISBN":"1573-2517 (Electronic)\r0165-0327 (Linking)","ISSN":"15732517","PMID":"30978624","abstract":"Background: Repetitive transcranial magnetic stimulation (TMS) is clinically effective for major depressive disorder (MDD) and investigational for other conditions including posttraumatic stress disorder (PTSD). Understanding the mechanisms of TMS action and developing biomarkers predicting response remain important goals. We applied a combination of machine learning and electroencephalography (EEG), testing whether machine learning analysis of EEG coherence would (1) predict clinical outcomes in individuals with comorbid MDD and PTSD, and (2) determine whether an individual had received a TMS course. Methods: We collected resting-state 8-channel EEG before and after TMS (5 Hz to the left dorsolateral prefrontal cortex). We used Lasso regression and Support Vector Machine (SVM) to test the hypothesis that baseline EEG coherence predicted the outcome and to assess if EEG coherence changed after TMS. Results: In our sample, clinical response to TMS were predictable based on pretreatment EEG coherence (n = 29). After treatment, 13/29 had more than 50% reduction in MDD self-report score 12/29 had more than 50% reduction in PTSD self-report score. For MDD, area under roc curve was for MDD was 0.83 (95% confidence interval 0.69–0.94) and for PTSD was 0.71 (95% confidence interval 0.54–0.87). SVM classifier was able to accurately assign EEG recordings to pre- and post-TMS treatment. The accuracy for Alpha, Beta, Theta and Delta bands was 75.4 ± 1.5%, 77.4 ± 1.4%, 73.8 ± 1.5%, and 78.6 ± 1.4%, respectively, all significantly better than chance (50%, p &lt; 0.001). Limitation: Limitations of this work include lack of sham condition, modest sample size, and a sparse electrode array. Despite these methodological limitations, we found validated and clinically meaningful results. Conclusions: Machine learning successfully predicted non-response to TMS with high specificity, and identified pre- and post-TMS status using EEG coherence. This approach may provide mechanistic insights and may also become a clinically useful screening tool for TMS candidates.","author":[{"dropping-particle":"","family":"Zandvakili","given":"Amin","non-dropping-particle":"","parse-names":false,"suffix":""},{"dropping-particle":"","family":"Philip","given":"Noah S.","non-dropping-particle":"","parse-names":false,"suffix":""},{"dropping-particle":"","family":"Jones","given":"Stephanie R.","non-dropping-particle":"","parse-names":false,"suffix":""},{"dropping-particle":"","family":"Tyrka","given":"Audrey R.","non-dropping-particle":"","parse-names":false,"suffix":""},{"dropping-particle":"","family":"Greenberg","given":"Benjamin D.","non-dropping-particle":"","parse-names":false,"suffix":""},{"dropping-particle":"","family":"Carpenter","given":"Linda L.","non-dropping-particle":"","parse-names":false,"suffix":""}],"container-title":"Journal of Affective Disorders","edition":"2019/04/13","id":"ITEM-1","issued":{"date-parts":[["2019"]]},"note":"Zandvakili, Amin\nPhilip, Noah S\nJones, Stephanie R\nTyrka, Audrey R\nGreenberg, Benjamin D\nCarpenter, Linda L\neng\nIK2 CX000724/CX/CSRD VA/\nR25 MH101076/MH/NIMH NIH HHS/\nU54 GM115677/GM/NIGMS NIH HHS/\nClinical Trial\nResearch Support, N.I.H., Extramural\nResearch Support, Non-U.S. Gov't\nResearch Support, U.S. Gov't, Non-P.H.S.\nNetherlands\nJ Affect Disord. 2019 Jun 1;252:47-54. doi: 10.1016/j.jad.2019.03.077. Epub 2019 Mar 30.","page":"47-54","title":"Use of machine learning in predicting clinical response to transcranial magnetic stimulation in comorbid posttraumatic stress disorder and major depression: A resting state electroencephalography study","type":"article-journal","volume":"252"},"uris":["http://www.mendeley.com/documents/?uuid=8027b806-1e46-4da9-8944-b46874298f38"]}],"mendeley":{"formattedCitation":"(Zandvakili et al., 2019)","plainTextFormattedCitation":"(Zandvakili et al., 2019)","previouslyFormattedCitation":"(Zandvakili et al., 2019)"},"properties":{"noteIndex":0},"schema":"https://github.com/citation-style-language/schema/raw/master/csl-citation.json"}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(Zandvakili et al., 2019)</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2D47FB1"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57DBA948" w14:textId="2D99D72F" w:rsidR="00664D9B" w:rsidRPr="00C126BD" w:rsidRDefault="00664D9B">
            <w:pPr>
              <w:rPr>
                <w:rFonts w:ascii="Calibri" w:eastAsia="Times New Roman" w:hAnsi="Calibri" w:cs="Calibri"/>
                <w:color w:val="000000"/>
                <w:sz w:val="16"/>
                <w:szCs w:val="16"/>
              </w:rPr>
            </w:pPr>
            <w:r w:rsidRPr="008625C3">
              <w:rPr>
                <w:rFonts w:ascii="Calibri" w:eastAsia="Times New Roman" w:hAnsi="Calibri" w:cs="Calibri"/>
                <w:color w:val="000000"/>
                <w:sz w:val="16"/>
                <w:szCs w:val="16"/>
              </w:rPr>
              <w:t>IDS-SR</w:t>
            </w:r>
          </w:p>
        </w:tc>
        <w:tc>
          <w:tcPr>
            <w:tcW w:w="990" w:type="dxa"/>
            <w:tcBorders>
              <w:top w:val="single" w:sz="4" w:space="0" w:color="auto"/>
              <w:left w:val="single" w:sz="4" w:space="0" w:color="auto"/>
              <w:bottom w:val="single" w:sz="4" w:space="0" w:color="auto"/>
              <w:right w:val="single" w:sz="4" w:space="0" w:color="auto"/>
            </w:tcBorders>
          </w:tcPr>
          <w:p w14:paraId="022443E5" w14:textId="56DAEFDC" w:rsidR="00664D9B" w:rsidRPr="00C126BD" w:rsidRDefault="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3D338337" w14:textId="2386B6EC"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7C3DAD9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0.68</w:t>
            </w:r>
          </w:p>
        </w:tc>
        <w:tc>
          <w:tcPr>
            <w:tcW w:w="630" w:type="dxa"/>
            <w:tcBorders>
              <w:top w:val="single" w:sz="4" w:space="0" w:color="auto"/>
              <w:left w:val="single" w:sz="4" w:space="0" w:color="auto"/>
              <w:bottom w:val="single" w:sz="4" w:space="0" w:color="auto"/>
              <w:right w:val="single" w:sz="4" w:space="0" w:color="auto"/>
            </w:tcBorders>
            <w:noWrap/>
            <w:hideMark/>
          </w:tcPr>
          <w:p w14:paraId="653A8207"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0.76</w:t>
            </w:r>
          </w:p>
        </w:tc>
        <w:tc>
          <w:tcPr>
            <w:tcW w:w="900" w:type="dxa"/>
            <w:tcBorders>
              <w:top w:val="single" w:sz="4" w:space="0" w:color="auto"/>
              <w:left w:val="single" w:sz="4" w:space="0" w:color="auto"/>
              <w:bottom w:val="single" w:sz="4" w:space="0" w:color="auto"/>
              <w:right w:val="single" w:sz="4" w:space="0" w:color="auto"/>
            </w:tcBorders>
            <w:noWrap/>
            <w:hideMark/>
          </w:tcPr>
          <w:p w14:paraId="109B3BA9"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29</w:t>
            </w:r>
          </w:p>
        </w:tc>
        <w:tc>
          <w:tcPr>
            <w:tcW w:w="900" w:type="dxa"/>
            <w:tcBorders>
              <w:top w:val="single" w:sz="4" w:space="0" w:color="auto"/>
              <w:left w:val="single" w:sz="4" w:space="0" w:color="auto"/>
              <w:bottom w:val="single" w:sz="4" w:space="0" w:color="auto"/>
              <w:right w:val="single" w:sz="4" w:space="0" w:color="auto"/>
            </w:tcBorders>
            <w:noWrap/>
            <w:hideMark/>
          </w:tcPr>
          <w:p w14:paraId="2E4C7233"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45C5E405"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53C97752"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72F36704" w14:textId="77777777" w:rsidR="00664D9B" w:rsidRPr="00C126BD" w:rsidRDefault="00664D9B" w:rsidP="00664D9B">
            <w:pPr>
              <w:rPr>
                <w:rFonts w:ascii="Calibri" w:hAnsi="Calibri" w:cs="Calibri"/>
                <w:sz w:val="16"/>
                <w:szCs w:val="16"/>
              </w:rPr>
            </w:pPr>
          </w:p>
        </w:tc>
      </w:tr>
      <w:tr w:rsidR="00664D9B" w:rsidRPr="00C73DE7" w14:paraId="7F740C91"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tcPr>
          <w:p w14:paraId="41B40A30" w14:textId="42C2E03A"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{"citationItems":[{"id":"ITEM-1","itemData":{"DOI":"10.3389/fpsyt.2020.00493","ISSN":"16640640","abstract":"Background: A large proportion of major depressive patients will experience recurring episodes. Many patients still do not response to available antidepressants. In order to meaningfully predict who will not respond to which antidepressant, it may be necessary to combine multiple biomarkers and clinical variables. Methods: Eight hundred fifty-seven patients with recurrent major depressive disorder who were followed up 3–10 years involved 32 variables including socio-demographic, clinical features, and SSRIs treatment features when they received the first treatment. Also, 34 tagSNPs related to 5-HT signaling pathway, were detected by using mass spectrometry analysis. The training samples which had 12 clinical variables and four tagSNPs with statistical differences were learned repeatedly to establish prediction models based on support vector machine (SVM). Results: Twelve clinical features (psychomotor retardation, psychotic symptoms, suicidality, weight loss, SSRIs average dose, first-course treatment response, sleep disturbance, residual symptoms, personality, onset age, frequency of episode, and duration) were found significantly difference (P&lt; 0.05) between 302 SSRI-resistance and 304 SSRI non-resistance group. Ten SSRI-resistance predicting models were finally selected by using support vector machine, and our study found that mutations in tagSNPs increased the accuracy of these models to a certain degree. Conclusion: Using a data-driven machine learning method, we found 10 predictive models by mining existing clinical data, which might enable prospective identification of patients who are likely to resistance to SSRIs antidepressant.","author":[{"dropping-particle":"","family":"Zhang","given":"Huijie","non-dropping-particle":"","parse-names":false,"suffix":""},{"dropping-particle":"","family":"Li","given":"Xianglu","non-dropping-particle":"","parse-names":false,"suffix":""},{"dropping-particle":"","family":"Pang","given":"Jianyue","non-dropping-particle":"","parse-names":false,"suffix":""},{"dropping-particle":"","family":"Zhao","given":"Xiaofeng","non-dropping-particle":"","parse-names":false,"suffix":""},{"dropping-particle":"","family":"Cao","given":"Suxia","non-dropping-particle":"","parse-names":false,"suffix":""},{"dropping-particle":"","family":"Wang","given":"Xinyou","non-dropping-particle":"","parse-names":false,"suffix":""},{"dropping-particle":"","family":"Wang","given":"Xingbang","non-dropping-particle":"","parse-names":false,"suffix":""},{"dropping-particle":"","family":"Li","given":"Hengfen","non-dropping-particle":"","parse-names":false,"suffix":""}],"container-title":"Frontiers in Psychiatry","id":"ITEM-1","issued":{"date-parts":[["2020","6"]]},"language":"eng","page":"493","publisher":"Frontiers Media S.A.","title":"Predicting SSRI-Resistance: Clinical Features and tagSNPs Prediction Models Based on Support Vector Machine","type":"article-journal","volume":"11"},"uris":["http://www.mendeley.com/documents/?uuid=5ec5b3bc-46b7-44f5-a27e-8207da016996","http://www.mendeley.com/documents/?uuid=a4577ef3-eb56-4c58-ac56-5e04879b8ab2"]}],"mendeley":{"formattedCitation":"(Zhang et al., 2020)","plainTextFormattedCitation":"(Zhang et al., 2020)","previouslyFormattedCitation":"(Zhang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(Zhang et al., 2020)</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rPr>
              <w:t xml:space="preserve"> </w:t>
            </w:r>
          </w:p>
        </w:tc>
        <w:tc>
          <w:tcPr>
            <w:tcW w:w="1800" w:type="dxa"/>
            <w:tcBorders>
              <w:top w:val="single" w:sz="4" w:space="0" w:color="auto"/>
              <w:left w:val="single" w:sz="4" w:space="0" w:color="auto"/>
              <w:bottom w:val="single" w:sz="4" w:space="0" w:color="auto"/>
              <w:right w:val="single" w:sz="4" w:space="0" w:color="auto"/>
            </w:tcBorders>
          </w:tcPr>
          <w:p w14:paraId="32F7B346"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Resistance</w:t>
            </w:r>
          </w:p>
        </w:tc>
        <w:tc>
          <w:tcPr>
            <w:tcW w:w="1440" w:type="dxa"/>
            <w:tcBorders>
              <w:top w:val="single" w:sz="4" w:space="0" w:color="auto"/>
              <w:left w:val="single" w:sz="4" w:space="0" w:color="auto"/>
              <w:bottom w:val="single" w:sz="4" w:space="0" w:color="auto"/>
              <w:right w:val="single" w:sz="4" w:space="0" w:color="auto"/>
            </w:tcBorders>
          </w:tcPr>
          <w:p w14:paraId="361D8EF2" w14:textId="3ABF1F8F" w:rsidR="00664D9B" w:rsidRPr="00C126BD" w:rsidRDefault="00664D9B" w:rsidP="00C126BD">
            <w:pPr>
              <w:rPr>
                <w:rFonts w:ascii="Calibri" w:eastAsia="Times New Roman" w:hAnsi="Calibri" w:cs="Calibri"/>
                <w:color w:val="000000"/>
                <w:sz w:val="16"/>
                <w:szCs w:val="16"/>
              </w:rPr>
            </w:pPr>
            <w:r w:rsidRPr="008625C3">
              <w:rPr>
                <w:rFonts w:ascii="Calibri" w:eastAsia="Times New Roman" w:hAnsi="Calibri" w:cs="Calibri"/>
                <w:color w:val="000000"/>
                <w:sz w:val="16"/>
                <w:szCs w:val="16"/>
              </w:rPr>
              <w:t>HDRS-24</w:t>
            </w:r>
          </w:p>
        </w:tc>
        <w:tc>
          <w:tcPr>
            <w:tcW w:w="990" w:type="dxa"/>
            <w:tcBorders>
              <w:top w:val="single" w:sz="4" w:space="0" w:color="auto"/>
              <w:left w:val="single" w:sz="4" w:space="0" w:color="auto"/>
              <w:bottom w:val="single" w:sz="4" w:space="0" w:color="auto"/>
              <w:right w:val="single" w:sz="4" w:space="0" w:color="auto"/>
            </w:tcBorders>
          </w:tcPr>
          <w:p w14:paraId="664CA618" w14:textId="76A07A4E" w:rsidR="00664D9B" w:rsidRPr="00C126BD" w:rsidRDefault="00A95366" w:rsidP="00C126BD">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tcPr>
          <w:p w14:paraId="63A5441E" w14:textId="444D5898"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0.71</w:t>
            </w:r>
          </w:p>
        </w:tc>
        <w:tc>
          <w:tcPr>
            <w:tcW w:w="990" w:type="dxa"/>
            <w:tcBorders>
              <w:top w:val="single" w:sz="4" w:space="0" w:color="auto"/>
              <w:left w:val="single" w:sz="4" w:space="0" w:color="auto"/>
              <w:bottom w:val="single" w:sz="4" w:space="0" w:color="auto"/>
              <w:right w:val="single" w:sz="4" w:space="0" w:color="auto"/>
            </w:tcBorders>
            <w:noWrap/>
          </w:tcPr>
          <w:p w14:paraId="56331BDF"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0.73</w:t>
            </w:r>
          </w:p>
        </w:tc>
        <w:tc>
          <w:tcPr>
            <w:tcW w:w="630" w:type="dxa"/>
            <w:tcBorders>
              <w:top w:val="single" w:sz="4" w:space="0" w:color="auto"/>
              <w:left w:val="single" w:sz="4" w:space="0" w:color="auto"/>
              <w:bottom w:val="single" w:sz="4" w:space="0" w:color="auto"/>
              <w:right w:val="single" w:sz="4" w:space="0" w:color="auto"/>
            </w:tcBorders>
            <w:noWrap/>
          </w:tcPr>
          <w:p w14:paraId="01C12636" w14:textId="77777777" w:rsidR="00664D9B" w:rsidRPr="00C126BD" w:rsidRDefault="00664D9B" w:rsidP="00664D9B">
            <w:pPr>
              <w:jc w:val="cente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69E3A42E"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606</w:t>
            </w:r>
          </w:p>
        </w:tc>
        <w:tc>
          <w:tcPr>
            <w:tcW w:w="900" w:type="dxa"/>
            <w:tcBorders>
              <w:top w:val="single" w:sz="4" w:space="0" w:color="auto"/>
              <w:left w:val="single" w:sz="4" w:space="0" w:color="auto"/>
              <w:bottom w:val="single" w:sz="4" w:space="0" w:color="auto"/>
              <w:right w:val="single" w:sz="4" w:space="0" w:color="auto"/>
            </w:tcBorders>
            <w:noWrap/>
          </w:tcPr>
          <w:p w14:paraId="5D1E6C40"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tcPr>
          <w:p w14:paraId="732BC789"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tcPr>
          <w:p w14:paraId="7192CF5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tcPr>
          <w:p w14:paraId="282A726A" w14:textId="77777777" w:rsidR="00664D9B" w:rsidRPr="00C126BD" w:rsidRDefault="00664D9B" w:rsidP="00664D9B">
            <w:pPr>
              <w:rPr>
                <w:rFonts w:ascii="Calibri" w:hAnsi="Calibri" w:cs="Calibri"/>
                <w:sz w:val="16"/>
                <w:szCs w:val="16"/>
              </w:rPr>
            </w:pPr>
          </w:p>
        </w:tc>
      </w:tr>
      <w:tr w:rsidR="00664D9B" w:rsidRPr="00C73DE7" w14:paraId="6C341D2C" w14:textId="77777777" w:rsidTr="00C126BD">
        <w:trPr>
          <w:trHeight w:val="56"/>
        </w:trPr>
        <w:tc>
          <w:tcPr>
            <w:tcW w:w="3060" w:type="dxa"/>
            <w:tcBorders>
              <w:top w:val="single" w:sz="4" w:space="0" w:color="auto"/>
              <w:left w:val="single" w:sz="4" w:space="0" w:color="auto"/>
              <w:bottom w:val="single" w:sz="4" w:space="0" w:color="auto"/>
              <w:right w:val="single" w:sz="4" w:space="0" w:color="auto"/>
            </w:tcBorders>
            <w:noWrap/>
            <w:hideMark/>
          </w:tcPr>
          <w:p w14:paraId="2213227E" w14:textId="4036A96B"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fldChar w:fldCharType="begin" w:fldLock="1"/>
            </w:r>
            <w:r w:rsidR="0011264D">
              <w:rPr>
                <w:rFonts w:ascii="Calibri" w:eastAsia="Times New Roman" w:hAnsi="Calibri" w:cs="Calibri"/>
                <w:color w:val="000000"/>
                <w:sz w:val="16"/>
                <w:szCs w:val="16"/>
              </w:rPr>
              <w:instrText>ADDIN CSL_CITATION {"citationItems":[{"id":"ITEM-1","itemData":{"DOI":"10.1001/jamanetworkopen.2019.18377","ISBN":"2574-3805 (Electronic)\r2574-3805 (Linking)","ISSN":"25743805","PMID":"31899530","abstract":"Importance: Social and economic costs of depression are exacerbated by prolonged periods spent identifying treatments that would be effective for a particular patient. Thus, a tool that reliably predicts an individual patient's response to treatment could significantly reduce the burden of depression. Objective: To estimate how accurately an outcome of escitalopram treatment can be predicted from electroencephalographic (EEG) data on patients with depression. Design, Setting, and Participants: This prognostic study used a support vector machine classifier to predict treatment outcome using data from the first Canadian Biomarker Integration Network in Depression (CAN-BIND-1) study. The CAN-BIND-1 study comprised 180 patients (aged 18-60 years) diagnosed with major depressive disorder who had completed 8 weeks of treatment. Of this group, 122 patients had EEG data recorded before the treatment; 115 also had EEG data recorded after the first 2 weeks of treatment. Interventions: All participants completed 8 weeks of open-label escitalopram (10-20 mg) treatment. Main Outcomes and Measures: The ability of EEG data to predict treatment outcome, measured as accuracy, specificity, and sensitivity of the classifier at baseline and after the first 2 weeks of treatment. The treatment outcome was defined in terms of change in symptom severity, measured by the Montgomery-Åsberg Depression Rating Scale, before and after 8 weeks of treatment. A patient was designated as a responder if the Montgomery-Åsberg Depression Rating Scale score decreased by at least 50% during the 8 weeks and as a nonresponder if the score decrease was less than 50%. Results: Of the 122 participants who completed a baseline EEG recording (mean [SD] age, 36.3 [12.7] years; 76 [62.3%] female), the classifier was able to identify responders with an estimated accuracy of 79.2% (sensitivity, 67.3%; specificity, 91.0%) when using only the baseline EEG data. For a subset of 115 participants who had additional EEG data recorded after the first 2 weeks of treatment, use of these data increased the accuracy to 82.4% (sensitivity, 79.2%; specificity, 85.5%). Conclusions and Relevance: These findings demonstrate the potential utility of EEG as a treatment planning tool for escitalopram therapy. Further development of the classification tools presented in this study holds the promise of expediting the search for optimal treatment for each patient.","author":[{"dropping-particle":"","family":"Zhdanov","given":"Andrey","non-dropping-particle":"","parse-names":false,"suffix":""},{"dropping-particle":"","family":"Atluri","given":"Sravya","non-dropping-particle":"","parse-names":false,"suffix":""},{"dropping-particle":"","family":"Wong","given":"Willy","non-dropping-particle":"","parse-names":false,"suffix":""},{"dropping-particle":"","family":"Vaghei","given":"Yasaman","non-dropping-particle":"","parse-names":false,"suffix":""},{"dropping-particle":"","family":"Daskalakis","given":"Zafiris J.","non-dropping-particle":"","parse-names":false,"suffix":""},{"dropping-particle":"","family":"Blumberger","given":"Daniel M.","non-dropping-particle":"","parse-names":false,"suffix":""},{"dropping-particle":"","family":"Frey","given":"Benicio N.","non-dropping-particle":"","parse-names":false,"suffix":""},{"dropping-particle":"","family":"Giacobbe","given":"Peter","non-dropping-particle":"","parse-names":false,"suffix":""},{"dropping-particle":"","family":"Lam","given":"Raymond W.","non-dropping-particle":"","parse-names":false,"suffix":""},{"dropping-particle":"","family":"Milev","given":"Roumen","non-dropping-particle":"","parse-names":false,"suffix":""},{"dropping-particle":"","family":"Mueller","given":"Daniel J.","non-dropping-particle":"","parse-names":false,"suffix":""},{"dropping-particle":"","family":"Turecki","given":"Gustavo","non-dropping-particle":"","parse-names":false,"suffix":""},{"dropping-particle":"V.","family":"Parikh","given":"Sagar","non-dropping-particle":"","parse-names":false,"suffix":""},{"dropping-particle":"","family":"Rotzinger","given":"Susan","non-dropping-particle":"","parse-names":false,"suffix":""},{"dropping-particle":"","family":"Soares","given":"Claudio N.","non-dropping-particle":"","parse-names":false,"suffix":""},{"dropping-particle":"","family":"Brenner","given":"Colleen A.","non-dropping-particle":"","parse-names":false,"suffix":""},{"dropping-particle":"","family":"Vila-Rodriguez","given":"Fidel","non-dropping-particle":"","parse-names":false,"suffix":""},{"dropping-particle":"","family":"McAndrews","given":"Mary Pat","non-dropping-particle":"","parse-names":false,"suffix":""},{"dropping-particle":"","family":"Kleffner","given":"Killian","non-dropping-particle":"","parse-names":false,"suffix":""},{"dropping-particle":"","family":"Alonso-Prieto","given":"Esther","non-dropping-particle":"","parse-names":false,"suffix":""},{"dropping-particle":"","family":"Arnott","given":"Stephen R.","non-dropping-particle":"","parse-names":false,"suffix":""},{"dropping-particle":"","family":"Foster","given":"Jane A.","non-dropping-particle":"","parse-names":false,"suffix":""},{"dropping-particle":"","family":"Strother","given":"Stephen C.","non-dropping-particle":"","parse-names":false,"suffix":""},{"dropping-particle":"","family":"Uher","given":"Rudolf","non-dropping-particle":"","parse-names":false,"suffix":""},{"dropping-particle":"","family":"Kennedy","given":"Sidney H.","non-dropping-particle":"","parse-names":false,"suffix":""},{"dropping-particle":"","family":"Farzan","given":"Faranak","non-dropping-particle":"","parse-names":false,"suffix":""}],"container-title":"JAMA network open","edition":"2020/01/04","id":"ITEM-1","issue":"1","issued":{"date-parts":[["2020"]]},"note":"Zhdanov, Andrey\nAtluri, Sravya\nWong, Willy\nVaghei, Yasaman\nDaskalakis, Zafiris J\nBlumberger, Daniel M\nFrey, Benicio N\nGiacobbe, Peter\nLam, Raymond W\nMilev, Roumen\nMueller, Daniel J\nTurecki, Gustavo\nParikh, Sagar V\nRotzinger, Susan\nSoares, Claudio N\nBrenner, Colleen A\nVila-Rodriguez, Fidel\nMcAndrews, Mary Pat\nKleffner, Killian\nAlonso-Prieto, Esther\nArnott, Stephen R\nFoster, Jane A\nStrother, Stephen C\nUher, Rudolf\nKennedy, Sidney H\nFarzan, Faranak\neng\nJAMA Netw Open. 2020 Jan 3;3(1):e1918377. doi: 10.1001/jamanetworkopen.2019.18377.","page":"e1918377","title":"Use of Machine Learning for Predicting Escitalopram Treatment Outcome From Electroencephalography Recordings in Adult Patients With Depression","type":"article-journal","volume":"3"},"uris":["http://www.mendeley.com/documents/?uuid=9e1c8f53-75e5-42e2-93c9-5c2d3ba68c49"]}],"mendeley":{"formattedCitation":"(Zhdanov et al., 2020)","plainTextFormattedCitation":"(Zhdanov et al., 2020)","previouslyFormattedCitation":"(Zhdanov et al., 2020)"},"properties":{"noteIndex":0},"schema":"https://github.com/citation-style-language/schema/raw/master/csl-citation.json"}</w:instrText>
            </w:r>
            <w:r w:rsidRPr="00C126BD">
              <w:rPr>
                <w:rFonts w:ascii="Calibri" w:eastAsia="Times New Roman" w:hAnsi="Calibri" w:cs="Calibri"/>
                <w:color w:val="000000"/>
                <w:sz w:val="16"/>
                <w:szCs w:val="16"/>
              </w:rPr>
              <w:fldChar w:fldCharType="separate"/>
            </w:r>
            <w:r w:rsidRPr="00C126BD">
              <w:rPr>
                <w:rFonts w:ascii="Calibri" w:eastAsia="Times New Roman" w:hAnsi="Calibri" w:cs="Calibri"/>
                <w:noProof/>
                <w:color w:val="000000"/>
                <w:sz w:val="16"/>
                <w:szCs w:val="16"/>
              </w:rPr>
              <w:t>(Zhdanov et al., 2020)</w:t>
            </w:r>
            <w:r w:rsidRPr="00C126BD">
              <w:rPr>
                <w:rFonts w:ascii="Calibri" w:eastAsia="Times New Roman" w:hAnsi="Calibri" w:cs="Calibri"/>
                <w:color w:val="000000"/>
                <w:sz w:val="16"/>
                <w:szCs w:val="16"/>
              </w:rPr>
              <w:fldChar w:fldCharType="end"/>
            </w:r>
            <w:r w:rsidRPr="00C126BD">
              <w:rPr>
                <w:rFonts w:ascii="Calibri" w:eastAsia="Times New Roman" w:hAnsi="Calibri" w:cs="Calibri"/>
                <w:color w:val="000000"/>
                <w:sz w:val="16"/>
                <w:szCs w:val="16"/>
                <w:vertAlign w:val="superscript"/>
              </w:rPr>
              <w:t xml:space="preserve"> </w:t>
            </w:r>
          </w:p>
        </w:tc>
        <w:tc>
          <w:tcPr>
            <w:tcW w:w="1800" w:type="dxa"/>
            <w:tcBorders>
              <w:top w:val="single" w:sz="4" w:space="0" w:color="auto"/>
              <w:left w:val="single" w:sz="4" w:space="0" w:color="auto"/>
              <w:bottom w:val="single" w:sz="4" w:space="0" w:color="auto"/>
              <w:right w:val="single" w:sz="4" w:space="0" w:color="auto"/>
            </w:tcBorders>
            <w:hideMark/>
          </w:tcPr>
          <w:p w14:paraId="531F1383" w14:textId="77777777" w:rsidR="00664D9B" w:rsidRPr="00C126BD" w:rsidRDefault="00664D9B" w:rsidP="00664D9B">
            <w:pPr>
              <w:rPr>
                <w:rFonts w:ascii="Calibri" w:eastAsia="Times New Roman" w:hAnsi="Calibri" w:cs="Calibri"/>
                <w:color w:val="000000"/>
                <w:sz w:val="16"/>
                <w:szCs w:val="16"/>
              </w:rPr>
            </w:pPr>
            <w:r w:rsidRPr="00C126BD">
              <w:rPr>
                <w:rFonts w:ascii="Calibri" w:eastAsia="Times New Roman" w:hAnsi="Calibri" w:cs="Calibri"/>
                <w:color w:val="000000"/>
                <w:sz w:val="16"/>
                <w:szCs w:val="16"/>
              </w:rPr>
              <w:t>Response</w:t>
            </w:r>
          </w:p>
        </w:tc>
        <w:tc>
          <w:tcPr>
            <w:tcW w:w="1440" w:type="dxa"/>
            <w:tcBorders>
              <w:top w:val="single" w:sz="4" w:space="0" w:color="auto"/>
              <w:left w:val="single" w:sz="4" w:space="0" w:color="auto"/>
              <w:bottom w:val="single" w:sz="4" w:space="0" w:color="auto"/>
              <w:right w:val="single" w:sz="4" w:space="0" w:color="auto"/>
            </w:tcBorders>
          </w:tcPr>
          <w:p w14:paraId="032C74E6" w14:textId="13F4563A" w:rsidR="00664D9B" w:rsidRPr="00C126BD" w:rsidRDefault="00664D9B">
            <w:pPr>
              <w:rPr>
                <w:rFonts w:ascii="Calibri" w:eastAsia="Times New Roman" w:hAnsi="Calibri" w:cs="Calibri"/>
                <w:color w:val="000000"/>
                <w:sz w:val="16"/>
                <w:szCs w:val="16"/>
              </w:rPr>
            </w:pPr>
            <w:r w:rsidRPr="008625C3">
              <w:rPr>
                <w:rFonts w:ascii="Calibri" w:eastAsia="Times New Roman" w:hAnsi="Calibri" w:cs="Calibri"/>
                <w:color w:val="000000"/>
                <w:sz w:val="16"/>
                <w:szCs w:val="16"/>
              </w:rPr>
              <w:t>MADRS</w:t>
            </w:r>
          </w:p>
        </w:tc>
        <w:tc>
          <w:tcPr>
            <w:tcW w:w="990" w:type="dxa"/>
            <w:tcBorders>
              <w:top w:val="single" w:sz="4" w:space="0" w:color="auto"/>
              <w:left w:val="single" w:sz="4" w:space="0" w:color="auto"/>
              <w:bottom w:val="single" w:sz="4" w:space="0" w:color="auto"/>
              <w:right w:val="single" w:sz="4" w:space="0" w:color="auto"/>
            </w:tcBorders>
          </w:tcPr>
          <w:p w14:paraId="29783DED" w14:textId="019EBF6C" w:rsidR="00664D9B" w:rsidRPr="00C126BD" w:rsidRDefault="00664D9B">
            <w:pPr>
              <w:rPr>
                <w:rFonts w:ascii="Calibri" w:eastAsia="Times New Roman" w:hAnsi="Calibri" w:cs="Calibri"/>
                <w:color w:val="000000"/>
                <w:sz w:val="16"/>
                <w:szCs w:val="16"/>
              </w:rPr>
            </w:pPr>
            <w:r>
              <w:rPr>
                <w:rFonts w:ascii="Calibri" w:eastAsia="Times New Roman" w:hAnsi="Calibri" w:cs="Calibri"/>
                <w:color w:val="000000"/>
                <w:sz w:val="16"/>
                <w:szCs w:val="16"/>
              </w:rPr>
              <w:t>8 weeks</w:t>
            </w:r>
          </w:p>
        </w:tc>
        <w:tc>
          <w:tcPr>
            <w:tcW w:w="900" w:type="dxa"/>
            <w:tcBorders>
              <w:top w:val="single" w:sz="4" w:space="0" w:color="auto"/>
              <w:left w:val="single" w:sz="4" w:space="0" w:color="auto"/>
              <w:bottom w:val="single" w:sz="4" w:space="0" w:color="auto"/>
              <w:right w:val="single" w:sz="4" w:space="0" w:color="auto"/>
            </w:tcBorders>
            <w:noWrap/>
            <w:hideMark/>
          </w:tcPr>
          <w:p w14:paraId="6A3C7D53" w14:textId="258CE6A0" w:rsidR="00664D9B" w:rsidRPr="00C126BD" w:rsidRDefault="00664D9B" w:rsidP="00664D9B">
            <w:pPr>
              <w:rPr>
                <w:rFonts w:ascii="Calibri" w:eastAsia="Times New Roman" w:hAnsi="Calibri" w:cs="Calibri"/>
                <w:color w:val="000000"/>
                <w:sz w:val="16"/>
                <w:szCs w:val="16"/>
              </w:rPr>
            </w:pPr>
          </w:p>
        </w:tc>
        <w:tc>
          <w:tcPr>
            <w:tcW w:w="990" w:type="dxa"/>
            <w:tcBorders>
              <w:top w:val="single" w:sz="4" w:space="0" w:color="auto"/>
              <w:left w:val="single" w:sz="4" w:space="0" w:color="auto"/>
              <w:bottom w:val="single" w:sz="4" w:space="0" w:color="auto"/>
              <w:right w:val="single" w:sz="4" w:space="0" w:color="auto"/>
            </w:tcBorders>
            <w:noWrap/>
            <w:hideMark/>
          </w:tcPr>
          <w:p w14:paraId="2DA0D935"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0.76</w:t>
            </w:r>
          </w:p>
        </w:tc>
        <w:tc>
          <w:tcPr>
            <w:tcW w:w="630" w:type="dxa"/>
            <w:tcBorders>
              <w:top w:val="single" w:sz="4" w:space="0" w:color="auto"/>
              <w:left w:val="single" w:sz="4" w:space="0" w:color="auto"/>
              <w:bottom w:val="single" w:sz="4" w:space="0" w:color="auto"/>
              <w:right w:val="single" w:sz="4" w:space="0" w:color="auto"/>
            </w:tcBorders>
            <w:noWrap/>
            <w:hideMark/>
          </w:tcPr>
          <w:p w14:paraId="0EB989FE"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7EEF908A" w14:textId="77777777" w:rsidR="00664D9B" w:rsidRPr="00C126BD" w:rsidRDefault="00664D9B" w:rsidP="00664D9B">
            <w:pPr>
              <w:jc w:val="center"/>
              <w:rPr>
                <w:rFonts w:ascii="Calibri" w:eastAsia="Times New Roman" w:hAnsi="Calibri" w:cs="Calibri"/>
                <w:color w:val="000000"/>
                <w:sz w:val="16"/>
                <w:szCs w:val="16"/>
              </w:rPr>
            </w:pPr>
            <w:r w:rsidRPr="00C126BD">
              <w:rPr>
                <w:rFonts w:ascii="Calibri" w:eastAsia="Times New Roman" w:hAnsi="Calibri" w:cs="Calibri"/>
                <w:color w:val="000000"/>
                <w:sz w:val="16"/>
                <w:szCs w:val="16"/>
              </w:rPr>
              <w:t>122</w:t>
            </w:r>
          </w:p>
        </w:tc>
        <w:tc>
          <w:tcPr>
            <w:tcW w:w="900" w:type="dxa"/>
            <w:tcBorders>
              <w:top w:val="single" w:sz="4" w:space="0" w:color="auto"/>
              <w:left w:val="single" w:sz="4" w:space="0" w:color="auto"/>
              <w:bottom w:val="single" w:sz="4" w:space="0" w:color="auto"/>
              <w:right w:val="single" w:sz="4" w:space="0" w:color="auto"/>
            </w:tcBorders>
            <w:noWrap/>
            <w:hideMark/>
          </w:tcPr>
          <w:p w14:paraId="4788F1F9" w14:textId="77777777" w:rsidR="00664D9B" w:rsidRPr="00C126BD" w:rsidRDefault="00664D9B" w:rsidP="00664D9B">
            <w:pPr>
              <w:rPr>
                <w:rFonts w:ascii="Calibri" w:eastAsia="Times New Roman" w:hAnsi="Calibri"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noWrap/>
            <w:hideMark/>
          </w:tcPr>
          <w:p w14:paraId="6BB7B066" w14:textId="77777777" w:rsidR="00664D9B" w:rsidRPr="00C126BD" w:rsidRDefault="00664D9B" w:rsidP="00664D9B">
            <w:pPr>
              <w:rPr>
                <w:rFonts w:ascii="Calibri" w:hAnsi="Calibri" w:cs="Calibri"/>
                <w:sz w:val="16"/>
                <w:szCs w:val="16"/>
              </w:rPr>
            </w:pPr>
          </w:p>
        </w:tc>
        <w:tc>
          <w:tcPr>
            <w:tcW w:w="540" w:type="dxa"/>
            <w:tcBorders>
              <w:top w:val="single" w:sz="4" w:space="0" w:color="auto"/>
              <w:left w:val="single" w:sz="4" w:space="0" w:color="auto"/>
              <w:bottom w:val="single" w:sz="4" w:space="0" w:color="auto"/>
              <w:right w:val="single" w:sz="4" w:space="0" w:color="auto"/>
            </w:tcBorders>
            <w:noWrap/>
            <w:hideMark/>
          </w:tcPr>
          <w:p w14:paraId="00F73C2F" w14:textId="77777777" w:rsidR="00664D9B" w:rsidRPr="00C126BD" w:rsidRDefault="00664D9B" w:rsidP="00664D9B">
            <w:pPr>
              <w:rPr>
                <w:rFonts w:ascii="Calibri" w:hAnsi="Calibri" w:cs="Calibri"/>
                <w:sz w:val="16"/>
                <w:szCs w:val="16"/>
              </w:rPr>
            </w:pPr>
          </w:p>
        </w:tc>
        <w:tc>
          <w:tcPr>
            <w:tcW w:w="905" w:type="dxa"/>
            <w:tcBorders>
              <w:top w:val="single" w:sz="4" w:space="0" w:color="auto"/>
              <w:left w:val="single" w:sz="4" w:space="0" w:color="auto"/>
              <w:bottom w:val="single" w:sz="4" w:space="0" w:color="auto"/>
              <w:right w:val="single" w:sz="4" w:space="0" w:color="auto"/>
            </w:tcBorders>
            <w:noWrap/>
            <w:hideMark/>
          </w:tcPr>
          <w:p w14:paraId="27CC85C2" w14:textId="77777777" w:rsidR="00664D9B" w:rsidRPr="00C126BD" w:rsidRDefault="00664D9B" w:rsidP="00664D9B">
            <w:pPr>
              <w:rPr>
                <w:rFonts w:ascii="Calibri" w:hAnsi="Calibri" w:cs="Calibri"/>
                <w:sz w:val="16"/>
                <w:szCs w:val="16"/>
              </w:rPr>
            </w:pPr>
          </w:p>
        </w:tc>
      </w:tr>
    </w:tbl>
    <w:p w14:paraId="26500115" w14:textId="0D295CB4" w:rsidR="00E10D94" w:rsidRDefault="00E10D94" w:rsidP="00E80CB4">
      <w:pPr>
        <w:pStyle w:val="EndNoteBibliography"/>
        <w:tabs>
          <w:tab w:val="left" w:pos="2329"/>
        </w:tabs>
      </w:pPr>
    </w:p>
    <w:p w14:paraId="06D622B0" w14:textId="2FC1BC9A" w:rsidR="007619B3" w:rsidRDefault="007619B3" w:rsidP="00E80CB4">
      <w:pPr>
        <w:pStyle w:val="EndNoteBibliography"/>
        <w:tabs>
          <w:tab w:val="left" w:pos="2329"/>
        </w:tabs>
      </w:pPr>
      <w:r>
        <w:br w:type="page"/>
      </w:r>
    </w:p>
    <w:p w14:paraId="366D2D0C" w14:textId="77777777" w:rsidR="007619B3" w:rsidRDefault="007619B3" w:rsidP="00E80CB4">
      <w:pPr>
        <w:pStyle w:val="EndNoteBibliography"/>
        <w:tabs>
          <w:tab w:val="left" w:pos="2329"/>
        </w:tabs>
      </w:pPr>
    </w:p>
    <w:p w14:paraId="2A68C17D" w14:textId="772561FD" w:rsidR="00E80CB4" w:rsidRDefault="00D06DF5" w:rsidP="004615F3">
      <w:pPr>
        <w:pStyle w:val="EndNoteBibliography"/>
        <w:tabs>
          <w:tab w:val="left" w:pos="2329"/>
        </w:tabs>
      </w:pPr>
      <w:r w:rsidRPr="00247F7D">
        <w:rPr>
          <w:b/>
          <w:bCs/>
        </w:rPr>
        <w:t xml:space="preserve">Figure </w:t>
      </w:r>
      <w:r w:rsidR="00087F7F">
        <w:rPr>
          <w:b/>
          <w:bCs/>
        </w:rPr>
        <w:t>S</w:t>
      </w:r>
      <w:r w:rsidR="004615F3" w:rsidRPr="00247F7D">
        <w:rPr>
          <w:b/>
          <w:bCs/>
        </w:rPr>
        <w:t>1</w:t>
      </w:r>
      <w:r w:rsidRPr="00247F7D">
        <w:rPr>
          <w:b/>
          <w:bCs/>
        </w:rPr>
        <w:t>.</w:t>
      </w:r>
      <w:r>
        <w:t xml:space="preserve"> </w:t>
      </w:r>
      <w:r w:rsidR="007708CA">
        <w:t>Accuracy and AUC of validation method</w:t>
      </w:r>
      <w:r w:rsidR="0018410F">
        <w:t>s</w:t>
      </w:r>
      <w:r w:rsidR="007708CA">
        <w:t xml:space="preserve"> versus </w:t>
      </w:r>
      <w:r w:rsidR="00A04D7A">
        <w:t xml:space="preserve">the </w:t>
      </w:r>
      <w:r w:rsidR="00D310AF">
        <w:t>number of predictors before feature selection</w:t>
      </w:r>
    </w:p>
    <w:p w14:paraId="0FD3B194" w14:textId="77777777" w:rsidR="00E80CB4" w:rsidRDefault="00E80CB4" w:rsidP="00E80CB4">
      <w:pPr>
        <w:pStyle w:val="EndNoteBibliography"/>
        <w:tabs>
          <w:tab w:val="left" w:pos="2329"/>
        </w:tabs>
      </w:pPr>
    </w:p>
    <w:p w14:paraId="47503416" w14:textId="77777777" w:rsidR="00E80CB4" w:rsidRDefault="00386687" w:rsidP="00E80CB4">
      <w:pPr>
        <w:pStyle w:val="EndNoteBibliography"/>
        <w:tabs>
          <w:tab w:val="left" w:pos="2329"/>
        </w:tabs>
      </w:pPr>
      <w:r w:rsidRPr="00386687">
        <w:drawing>
          <wp:inline distT="0" distB="0" distL="0" distR="0" wp14:anchorId="59354339" wp14:editId="6B60BBFE">
            <wp:extent cx="8229600" cy="4114800"/>
            <wp:effectExtent l="0" t="0" r="0" b="0"/>
            <wp:docPr id="14" name="Picture 14" descr="P:\Dal\sys.paper\sys.revDecember2019\plots\beforeFS.ACCAU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al\sys.paper\sys.revDecember2019\plots\beforeFS.ACCAUC.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2F40098D" w14:textId="77777777" w:rsidR="007619B3" w:rsidRDefault="007619B3" w:rsidP="007619B3">
      <w:pPr>
        <w:pStyle w:val="EndNoteBibliography"/>
        <w:tabs>
          <w:tab w:val="left" w:pos="2329"/>
        </w:tabs>
      </w:pPr>
    </w:p>
    <w:p w14:paraId="3AAE3991" w14:textId="77777777" w:rsidR="007619B3" w:rsidRDefault="007619B3" w:rsidP="007619B3">
      <w:pPr>
        <w:pStyle w:val="EndNoteBibliography"/>
        <w:tabs>
          <w:tab w:val="left" w:pos="2329"/>
        </w:tabs>
      </w:pPr>
      <w:r>
        <w:br w:type="page"/>
      </w:r>
    </w:p>
    <w:p w14:paraId="6E1F18FE" w14:textId="4E981018" w:rsidR="0018410F" w:rsidRDefault="0018410F" w:rsidP="007619B3">
      <w:pPr>
        <w:pStyle w:val="EndNoteBibliography"/>
        <w:tabs>
          <w:tab w:val="left" w:pos="2329"/>
        </w:tabs>
      </w:pPr>
      <w:r w:rsidRPr="00247F7D">
        <w:rPr>
          <w:b/>
          <w:bCs/>
        </w:rPr>
        <w:lastRenderedPageBreak/>
        <w:t xml:space="preserve">Figure </w:t>
      </w:r>
      <w:r w:rsidR="00087F7F">
        <w:rPr>
          <w:b/>
          <w:bCs/>
        </w:rPr>
        <w:t>S</w:t>
      </w:r>
      <w:r w:rsidR="004615F3" w:rsidRPr="00247F7D">
        <w:rPr>
          <w:b/>
          <w:bCs/>
        </w:rPr>
        <w:t>2</w:t>
      </w:r>
      <w:r>
        <w:t xml:space="preserve">. Accuracy and AUC of validation method versus </w:t>
      </w:r>
      <w:r w:rsidR="00A04D7A">
        <w:t xml:space="preserve">the </w:t>
      </w:r>
      <w:r>
        <w:t>number of predictors used in the model</w:t>
      </w:r>
    </w:p>
    <w:p w14:paraId="3A0EC88D" w14:textId="77777777" w:rsidR="00E80CB4" w:rsidRDefault="00E80CB4" w:rsidP="00E80CB4">
      <w:pPr>
        <w:pStyle w:val="EndNoteBibliography"/>
        <w:tabs>
          <w:tab w:val="left" w:pos="2329"/>
        </w:tabs>
      </w:pPr>
    </w:p>
    <w:p w14:paraId="6430A1DC" w14:textId="77777777" w:rsidR="00E80CB4" w:rsidRDefault="00386687" w:rsidP="00E80CB4">
      <w:pPr>
        <w:pStyle w:val="EndNoteBibliography"/>
        <w:tabs>
          <w:tab w:val="left" w:pos="2329"/>
        </w:tabs>
      </w:pPr>
      <w:r w:rsidRPr="00386687">
        <w:drawing>
          <wp:inline distT="0" distB="0" distL="0" distR="0" wp14:anchorId="7918FAC1" wp14:editId="4E58A524">
            <wp:extent cx="8229600" cy="4114800"/>
            <wp:effectExtent l="0" t="0" r="0" b="0"/>
            <wp:docPr id="15" name="Picture 15" descr="P:\Dal\sys.paper\sys.revDecember2019\plots\AfterFS.ACCAU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al\sys.paper\sys.revDecember2019\plots\AfterFS.ACCAUC.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38BE708E" w14:textId="77777777" w:rsidR="00361CCE" w:rsidRDefault="00361CCE" w:rsidP="00E80CB4">
      <w:pPr>
        <w:pStyle w:val="EndNoteBibliography"/>
        <w:tabs>
          <w:tab w:val="left" w:pos="2329"/>
        </w:tabs>
      </w:pPr>
    </w:p>
    <w:p w14:paraId="7CF0C62F" w14:textId="77777777" w:rsidR="00361CCE" w:rsidRDefault="00361CCE" w:rsidP="00E80CB4">
      <w:pPr>
        <w:pStyle w:val="EndNoteBibliography"/>
        <w:tabs>
          <w:tab w:val="left" w:pos="2329"/>
        </w:tabs>
      </w:pPr>
    </w:p>
    <w:p w14:paraId="3BEFE7AB" w14:textId="7CCACDDA" w:rsidR="007619B3" w:rsidRDefault="007619B3" w:rsidP="00E80CB4">
      <w:pPr>
        <w:pStyle w:val="EndNoteBibliography"/>
        <w:tabs>
          <w:tab w:val="left" w:pos="2329"/>
        </w:tabs>
      </w:pPr>
      <w:r>
        <w:br w:type="page"/>
      </w:r>
    </w:p>
    <w:p w14:paraId="0B481D48" w14:textId="77777777" w:rsidR="00361CCE" w:rsidRDefault="00361CCE" w:rsidP="00E80CB4">
      <w:pPr>
        <w:pStyle w:val="EndNoteBibliography"/>
        <w:tabs>
          <w:tab w:val="left" w:pos="2329"/>
        </w:tabs>
      </w:pPr>
    </w:p>
    <w:p w14:paraId="349E7C51" w14:textId="22CEB37B" w:rsidR="00BC2929" w:rsidRDefault="00BC2929" w:rsidP="004615F3">
      <w:pPr>
        <w:pStyle w:val="EndNoteBibliography"/>
        <w:tabs>
          <w:tab w:val="left" w:pos="2329"/>
        </w:tabs>
      </w:pPr>
      <w:r w:rsidRPr="00247F7D">
        <w:rPr>
          <w:b/>
          <w:bCs/>
        </w:rPr>
        <w:t xml:space="preserve">Figure </w:t>
      </w:r>
      <w:r w:rsidR="00087F7F">
        <w:rPr>
          <w:b/>
          <w:bCs/>
        </w:rPr>
        <w:t>S</w:t>
      </w:r>
      <w:r w:rsidR="004615F3" w:rsidRPr="00247F7D">
        <w:rPr>
          <w:b/>
          <w:bCs/>
        </w:rPr>
        <w:t>3</w:t>
      </w:r>
      <w:r>
        <w:t xml:space="preserve">. Accuracy and AUC of validation method versus </w:t>
      </w:r>
      <w:r w:rsidR="00A04D7A">
        <w:t xml:space="preserve">the </w:t>
      </w:r>
      <w:r>
        <w:t>number of subjects</w:t>
      </w:r>
    </w:p>
    <w:p w14:paraId="3F13F27D" w14:textId="77777777" w:rsidR="00E80CB4" w:rsidRDefault="00E80CB4" w:rsidP="00E80CB4">
      <w:pPr>
        <w:pStyle w:val="EndNoteBibliography"/>
        <w:tabs>
          <w:tab w:val="left" w:pos="2329"/>
        </w:tabs>
      </w:pPr>
    </w:p>
    <w:p w14:paraId="7B4A6EB0" w14:textId="77777777" w:rsidR="00361CCE" w:rsidRDefault="00386687" w:rsidP="00E80CB4">
      <w:pPr>
        <w:pStyle w:val="EndNoteBibliography"/>
        <w:tabs>
          <w:tab w:val="left" w:pos="2329"/>
        </w:tabs>
      </w:pPr>
      <w:r w:rsidRPr="00386687">
        <w:drawing>
          <wp:inline distT="0" distB="0" distL="0" distR="0" wp14:anchorId="39C426A0" wp14:editId="350AAC15">
            <wp:extent cx="8229600" cy="4114800"/>
            <wp:effectExtent l="0" t="0" r="0" b="0"/>
            <wp:docPr id="16" name="Picture 16" descr="P:\Dal\sys.paper\sys.revDecember2019\plots\Nsubj.ACCAU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al\sys.paper\sys.revDecember2019\plots\Nsubj.ACCAUC.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71854880" w14:textId="77777777" w:rsidR="00361CCE" w:rsidRDefault="00361CCE" w:rsidP="00E80CB4">
      <w:pPr>
        <w:pStyle w:val="EndNoteBibliography"/>
        <w:tabs>
          <w:tab w:val="left" w:pos="2329"/>
        </w:tabs>
      </w:pPr>
    </w:p>
    <w:p w14:paraId="213B4C5D" w14:textId="281E528B" w:rsidR="007619B3" w:rsidRDefault="007619B3" w:rsidP="00E80CB4">
      <w:pPr>
        <w:pStyle w:val="EndNoteBibliography"/>
        <w:tabs>
          <w:tab w:val="left" w:pos="2329"/>
        </w:tabs>
      </w:pPr>
      <w:r>
        <w:br w:type="page"/>
      </w:r>
    </w:p>
    <w:p w14:paraId="56D30FCC" w14:textId="7C5BEC72" w:rsidR="00361CCE" w:rsidRDefault="00D15870" w:rsidP="004615F3">
      <w:pPr>
        <w:pStyle w:val="EndNoteBibliography"/>
        <w:tabs>
          <w:tab w:val="left" w:pos="2329"/>
        </w:tabs>
      </w:pPr>
      <w:r w:rsidRPr="00247F7D">
        <w:rPr>
          <w:b/>
          <w:bCs/>
        </w:rPr>
        <w:lastRenderedPageBreak/>
        <w:t xml:space="preserve">Figure </w:t>
      </w:r>
      <w:r w:rsidR="00087F7F">
        <w:rPr>
          <w:b/>
          <w:bCs/>
        </w:rPr>
        <w:t>S</w:t>
      </w:r>
      <w:r w:rsidR="004615F3" w:rsidRPr="00247F7D">
        <w:rPr>
          <w:b/>
          <w:bCs/>
        </w:rPr>
        <w:t>4</w:t>
      </w:r>
      <w:r>
        <w:t>. Accu</w:t>
      </w:r>
      <w:r w:rsidR="00F62629">
        <w:t xml:space="preserve">racy in external validation </w:t>
      </w:r>
      <w:r w:rsidR="00592C53">
        <w:t xml:space="preserve">versus </w:t>
      </w:r>
      <w:r w:rsidR="00A04D7A">
        <w:t xml:space="preserve">the </w:t>
      </w:r>
      <w:r w:rsidR="00592C53">
        <w:t>number of internal subjects</w:t>
      </w:r>
    </w:p>
    <w:p w14:paraId="48F5BA0E" w14:textId="77777777" w:rsidR="00A93277" w:rsidRDefault="00A93277" w:rsidP="004615F3">
      <w:pPr>
        <w:pStyle w:val="EndNoteBibliography"/>
        <w:tabs>
          <w:tab w:val="left" w:pos="2329"/>
        </w:tabs>
      </w:pPr>
    </w:p>
    <w:p w14:paraId="7A11D74D" w14:textId="0BF86CCE" w:rsidR="00361CCE" w:rsidRDefault="00A93277" w:rsidP="00E80CB4">
      <w:pPr>
        <w:pStyle w:val="EndNoteBibliography"/>
        <w:tabs>
          <w:tab w:val="left" w:pos="2329"/>
        </w:tabs>
      </w:pPr>
      <w:r w:rsidRPr="00C7159E">
        <w:drawing>
          <wp:inline distT="0" distB="0" distL="0" distR="0" wp14:anchorId="5472C82B" wp14:editId="158BF1C1">
            <wp:extent cx="8229600" cy="4114800"/>
            <wp:effectExtent l="0" t="0" r="0" b="0"/>
            <wp:docPr id="1" name="Picture 1" descr="P:\Dal\sys.paper\sys.revDecember2019\plots\intSub.Ex.ACCAUC.Labe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al\sys.paper\sys.revDecember2019\plots\intSub.Ex.ACCAUC.Labels.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a:ln>
                      <a:noFill/>
                    </a:ln>
                  </pic:spPr>
                </pic:pic>
              </a:graphicData>
            </a:graphic>
          </wp:inline>
        </w:drawing>
      </w:r>
    </w:p>
    <w:p w14:paraId="197DAF25" w14:textId="1094D78A" w:rsidR="00361CCE" w:rsidRDefault="00361CCE" w:rsidP="00E80CB4">
      <w:pPr>
        <w:pStyle w:val="EndNoteBibliography"/>
        <w:tabs>
          <w:tab w:val="left" w:pos="2329"/>
        </w:tabs>
      </w:pPr>
    </w:p>
    <w:p w14:paraId="05B4CFD3" w14:textId="4659B25C" w:rsidR="007619B3" w:rsidRDefault="007619B3" w:rsidP="00E80CB4">
      <w:pPr>
        <w:pStyle w:val="EndNoteBibliography"/>
        <w:tabs>
          <w:tab w:val="left" w:pos="2329"/>
        </w:tabs>
      </w:pPr>
      <w:r>
        <w:br w:type="page"/>
      </w:r>
    </w:p>
    <w:p w14:paraId="45A9000E" w14:textId="0B3B1084" w:rsidR="00BA762D" w:rsidRDefault="00BA762D" w:rsidP="00965F76">
      <w:pPr>
        <w:rPr>
          <w:b/>
          <w:bCs/>
        </w:rPr>
        <w:sectPr w:rsidR="00BA762D" w:rsidSect="009815D3">
          <w:pgSz w:w="15840" w:h="12240" w:orient="landscape"/>
          <w:pgMar w:top="1440" w:right="1440" w:bottom="1440" w:left="1440" w:header="720" w:footer="720" w:gutter="0"/>
          <w:cols w:space="720"/>
          <w:docGrid w:linePitch="360"/>
        </w:sectPr>
      </w:pPr>
    </w:p>
    <w:p w14:paraId="10348037" w14:textId="6C48613C" w:rsidR="00BA762D" w:rsidRDefault="00087DE9" w:rsidP="00FF3D7D">
      <w:r w:rsidRPr="00247F7D">
        <w:rPr>
          <w:b/>
          <w:bCs/>
        </w:rPr>
        <w:lastRenderedPageBreak/>
        <w:t xml:space="preserve">Figure </w:t>
      </w:r>
      <w:r w:rsidR="00087F7F">
        <w:rPr>
          <w:b/>
          <w:bCs/>
        </w:rPr>
        <w:t>S</w:t>
      </w:r>
      <w:r w:rsidR="00965F76">
        <w:rPr>
          <w:b/>
          <w:bCs/>
        </w:rPr>
        <w:t>5</w:t>
      </w:r>
      <w:r w:rsidRPr="00247F7D">
        <w:rPr>
          <w:b/>
          <w:bCs/>
        </w:rPr>
        <w:t>.</w:t>
      </w:r>
      <w:r>
        <w:t xml:space="preserve"> </w:t>
      </w:r>
      <w:r w:rsidRPr="0096394F">
        <w:t>Frequency of feature selection/extraction methods</w:t>
      </w:r>
    </w:p>
    <w:p w14:paraId="1B29B360" w14:textId="3EB192EF" w:rsidR="004974D2" w:rsidRDefault="004974D2" w:rsidP="00386687">
      <w:pPr>
        <w:pStyle w:val="EndNoteBibliography"/>
        <w:tabs>
          <w:tab w:val="left" w:pos="2329"/>
        </w:tabs>
        <w:rPr>
          <w:b/>
          <w:bCs/>
        </w:rPr>
      </w:pPr>
      <w:r w:rsidRPr="004974D2">
        <w:rPr>
          <w:b/>
          <w:bCs/>
        </w:rPr>
        <w:drawing>
          <wp:inline distT="0" distB="0" distL="0" distR="0" wp14:anchorId="7003F264" wp14:editId="169DCC41">
            <wp:extent cx="5486400" cy="2743200"/>
            <wp:effectExtent l="0" t="0" r="0" b="0"/>
            <wp:docPr id="20" name="Picture 20" descr="P:\Dal\sys.paper\sys.revDecember2019\plots\fig4.FS.methods.Frequency.ty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Dal\sys.paper\sys.revDecember2019\plots\fig4.FS.methods.Frequency.type.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A1D102B" w14:textId="77777777" w:rsidR="004974D2" w:rsidRDefault="004974D2" w:rsidP="00386687">
      <w:pPr>
        <w:pStyle w:val="EndNoteBibliography"/>
        <w:tabs>
          <w:tab w:val="left" w:pos="2329"/>
        </w:tabs>
        <w:rPr>
          <w:b/>
          <w:bCs/>
        </w:rPr>
      </w:pPr>
    </w:p>
    <w:p w14:paraId="074121E0" w14:textId="507F1D5E" w:rsidR="004974D2" w:rsidRDefault="004974D2" w:rsidP="004974D2">
      <w:pPr>
        <w:pStyle w:val="EndNoteBibliography"/>
        <w:tabs>
          <w:tab w:val="left" w:pos="2329"/>
        </w:tabs>
        <w:rPr>
          <w:b/>
          <w:bCs/>
        </w:rPr>
      </w:pPr>
    </w:p>
    <w:p w14:paraId="53049AB4" w14:textId="60F4A2E8" w:rsidR="007619B3" w:rsidRPr="007619B3" w:rsidRDefault="004974D2" w:rsidP="007619B3">
      <w:pPr>
        <w:pStyle w:val="EndNoteBibliography"/>
        <w:tabs>
          <w:tab w:val="left" w:pos="2329"/>
        </w:tabs>
      </w:pPr>
      <w:r w:rsidRPr="00247F7D">
        <w:rPr>
          <w:b/>
          <w:bCs/>
        </w:rPr>
        <w:t xml:space="preserve">Figure </w:t>
      </w:r>
      <w:r w:rsidR="00087F7F">
        <w:rPr>
          <w:b/>
          <w:bCs/>
        </w:rPr>
        <w:t>S</w:t>
      </w:r>
      <w:r>
        <w:rPr>
          <w:b/>
          <w:bCs/>
        </w:rPr>
        <w:t>6</w:t>
      </w:r>
      <w:r w:rsidRPr="00247F7D">
        <w:rPr>
          <w:b/>
          <w:bCs/>
        </w:rPr>
        <w:t>.</w:t>
      </w:r>
      <w:r>
        <w:t xml:space="preserve"> </w:t>
      </w:r>
      <w:r w:rsidRPr="0096394F">
        <w:t xml:space="preserve">Frequency of </w:t>
      </w:r>
      <w:r>
        <w:t xml:space="preserve">types of </w:t>
      </w:r>
      <w:r w:rsidRPr="0096394F">
        <w:t>machine learning methods used in this study</w:t>
      </w:r>
    </w:p>
    <w:p w14:paraId="730A8083" w14:textId="77777777" w:rsidR="007619B3" w:rsidRDefault="007619B3" w:rsidP="00386687">
      <w:pPr>
        <w:pStyle w:val="EndNoteBibliography"/>
        <w:tabs>
          <w:tab w:val="left" w:pos="2329"/>
        </w:tabs>
        <w:rPr>
          <w:b/>
          <w:bCs/>
        </w:rPr>
      </w:pPr>
    </w:p>
    <w:p w14:paraId="432051EA" w14:textId="0F70BCDF" w:rsidR="00BA762D" w:rsidRDefault="004974D2" w:rsidP="00386687">
      <w:pPr>
        <w:pStyle w:val="EndNoteBibliography"/>
        <w:tabs>
          <w:tab w:val="left" w:pos="2329"/>
        </w:tabs>
        <w:rPr>
          <w:b/>
          <w:bCs/>
        </w:rPr>
        <w:sectPr w:rsidR="00BA762D" w:rsidSect="00C126BD">
          <w:pgSz w:w="12240" w:h="15840"/>
          <w:pgMar w:top="1440" w:right="1440" w:bottom="1440" w:left="1440" w:header="720" w:footer="720" w:gutter="0"/>
          <w:cols w:space="720"/>
          <w:docGrid w:linePitch="360"/>
        </w:sectPr>
      </w:pPr>
      <w:r w:rsidRPr="004974D2">
        <w:rPr>
          <w:b/>
          <w:bCs/>
        </w:rPr>
        <w:drawing>
          <wp:inline distT="0" distB="0" distL="0" distR="0" wp14:anchorId="20F5FF94" wp14:editId="6EA34047">
            <wp:extent cx="5486400" cy="2743200"/>
            <wp:effectExtent l="0" t="0" r="0" b="0"/>
            <wp:docPr id="12" name="Picture 12" descr="P:\Dal\sys.paper\sys.revDecember2019\plots\fig2.ML.methods.Frequency.ty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al\sys.paper\sys.revDecember2019\plots\fig2.ML.methods.Frequency.type.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5694872" w14:textId="0646A1F4" w:rsidR="003B4EF0" w:rsidRDefault="004974D2" w:rsidP="00FF3D7D">
      <w:pPr>
        <w:pStyle w:val="EndNoteBibliography"/>
        <w:tabs>
          <w:tab w:val="left" w:pos="2329"/>
        </w:tabs>
      </w:pPr>
      <w:r>
        <w:rPr>
          <w:b/>
          <w:bCs/>
        </w:rPr>
        <w:lastRenderedPageBreak/>
        <w:t>F</w:t>
      </w:r>
      <w:r w:rsidR="003B4EF0" w:rsidRPr="00247F7D">
        <w:rPr>
          <w:b/>
          <w:bCs/>
        </w:rPr>
        <w:t xml:space="preserve">igure </w:t>
      </w:r>
      <w:r w:rsidR="00087F7F">
        <w:rPr>
          <w:b/>
          <w:bCs/>
        </w:rPr>
        <w:t>S</w:t>
      </w:r>
      <w:r w:rsidR="00965F76">
        <w:rPr>
          <w:b/>
          <w:bCs/>
        </w:rPr>
        <w:t>7</w:t>
      </w:r>
      <w:r w:rsidR="003B4EF0">
        <w:t xml:space="preserve">. </w:t>
      </w:r>
      <w:r w:rsidR="0096394F" w:rsidRPr="0096394F">
        <w:t>Prevalence of various machine learning methods used in this study</w:t>
      </w:r>
    </w:p>
    <w:p w14:paraId="22BC3960" w14:textId="0615D6D1" w:rsidR="004974D2" w:rsidRDefault="004974D2" w:rsidP="00386687">
      <w:pPr>
        <w:pStyle w:val="EndNoteBibliography"/>
        <w:tabs>
          <w:tab w:val="left" w:pos="2329"/>
        </w:tabs>
      </w:pPr>
    </w:p>
    <w:p w14:paraId="6E8D1A65" w14:textId="5D5A5FB6" w:rsidR="004974D2" w:rsidRDefault="004974D2" w:rsidP="00386687">
      <w:pPr>
        <w:pStyle w:val="EndNoteBibliography"/>
        <w:tabs>
          <w:tab w:val="left" w:pos="2329"/>
        </w:tabs>
      </w:pPr>
    </w:p>
    <w:p w14:paraId="6F16B815" w14:textId="451D7B99" w:rsidR="004974D2" w:rsidRDefault="004974D2" w:rsidP="00386687">
      <w:pPr>
        <w:pStyle w:val="EndNoteBibliography"/>
        <w:tabs>
          <w:tab w:val="left" w:pos="2329"/>
        </w:tabs>
      </w:pPr>
      <w:r w:rsidRPr="004974D2">
        <w:drawing>
          <wp:inline distT="0" distB="0" distL="0" distR="0" wp14:anchorId="7671B169" wp14:editId="4CB7E01C">
            <wp:extent cx="5486400" cy="2743200"/>
            <wp:effectExtent l="0" t="0" r="0" b="0"/>
            <wp:docPr id="18" name="Picture 18" descr="P:\Dal\sys.paper\sys.revDecember2019\plots\fig1.ML.methods.Frequenc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al\sys.paper\sys.revDecember2019\plots\fig1.ML.methods.Frequency.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4162B54" w14:textId="12E33E0A" w:rsidR="004974D2" w:rsidRDefault="004974D2" w:rsidP="00386687">
      <w:pPr>
        <w:pStyle w:val="EndNoteBibliography"/>
        <w:tabs>
          <w:tab w:val="left" w:pos="2329"/>
        </w:tabs>
      </w:pPr>
    </w:p>
    <w:p w14:paraId="32CFD32F" w14:textId="540510B9" w:rsidR="004974D2" w:rsidRDefault="004974D2" w:rsidP="00386687">
      <w:pPr>
        <w:pStyle w:val="EndNoteBibliography"/>
        <w:tabs>
          <w:tab w:val="left" w:pos="2329"/>
        </w:tabs>
      </w:pPr>
    </w:p>
    <w:p w14:paraId="615F5A5A" w14:textId="0D54F0A8" w:rsidR="004974D2" w:rsidRDefault="004974D2" w:rsidP="00386687">
      <w:pPr>
        <w:pStyle w:val="EndNoteBibliography"/>
        <w:tabs>
          <w:tab w:val="left" w:pos="2329"/>
        </w:tabs>
      </w:pPr>
    </w:p>
    <w:p w14:paraId="03B6E712" w14:textId="27BB56E5" w:rsidR="004974D2" w:rsidRDefault="004974D2" w:rsidP="004974D2">
      <w:pPr>
        <w:pStyle w:val="EndNoteBibliography"/>
        <w:tabs>
          <w:tab w:val="left" w:pos="2329"/>
        </w:tabs>
      </w:pPr>
      <w:r>
        <w:t>F</w:t>
      </w:r>
      <w:r w:rsidRPr="00247F7D">
        <w:rPr>
          <w:b/>
          <w:bCs/>
        </w:rPr>
        <w:t xml:space="preserve">igure </w:t>
      </w:r>
      <w:r w:rsidR="00087F7F">
        <w:rPr>
          <w:b/>
          <w:bCs/>
        </w:rPr>
        <w:t>S</w:t>
      </w:r>
      <w:r>
        <w:rPr>
          <w:b/>
          <w:bCs/>
        </w:rPr>
        <w:t>8</w:t>
      </w:r>
      <w:r w:rsidRPr="00247F7D">
        <w:rPr>
          <w:b/>
          <w:bCs/>
        </w:rPr>
        <w:t>.</w:t>
      </w:r>
      <w:r>
        <w:t xml:space="preserve"> Frequency of validation</w:t>
      </w:r>
      <w:r w:rsidRPr="0096394F">
        <w:t xml:space="preserve"> methods used in this study</w:t>
      </w:r>
    </w:p>
    <w:p w14:paraId="0EA12497" w14:textId="2BEAB0C7" w:rsidR="004974D2" w:rsidRDefault="004974D2" w:rsidP="00386687">
      <w:pPr>
        <w:pStyle w:val="EndNoteBibliography"/>
        <w:tabs>
          <w:tab w:val="left" w:pos="2329"/>
        </w:tabs>
      </w:pPr>
    </w:p>
    <w:p w14:paraId="658C84AD" w14:textId="6D3B7ABF" w:rsidR="004974D2" w:rsidRDefault="004974D2" w:rsidP="00386687">
      <w:pPr>
        <w:pStyle w:val="EndNoteBibliography"/>
        <w:tabs>
          <w:tab w:val="left" w:pos="2329"/>
        </w:tabs>
        <w:sectPr w:rsidR="004974D2" w:rsidSect="00C126BD">
          <w:pgSz w:w="12240" w:h="15840"/>
          <w:pgMar w:top="1440" w:right="1440" w:bottom="1440" w:left="1440" w:header="720" w:footer="720" w:gutter="0"/>
          <w:cols w:space="720"/>
          <w:docGrid w:linePitch="360"/>
        </w:sectPr>
      </w:pPr>
      <w:r w:rsidRPr="004974D2">
        <w:drawing>
          <wp:inline distT="0" distB="0" distL="0" distR="0" wp14:anchorId="1D5A6659" wp14:editId="491607F1">
            <wp:extent cx="5486400" cy="2743200"/>
            <wp:effectExtent l="0" t="0" r="0" b="0"/>
            <wp:docPr id="17" name="Picture 17" descr="P:\Dal\sys.paper\sys.revDecember2019\plots\fig3.validation.methods.Frequency.typ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Dal\sys.paper\sys.revDecember2019\plots\fig3.validation.methods.Frequency.type.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50FC5FF1" w14:textId="3C6F0235" w:rsidR="00E80CB4" w:rsidRPr="007619B3" w:rsidRDefault="007619B3" w:rsidP="007619B3">
      <w:pPr>
        <w:pStyle w:val="EndNoteBibliography"/>
        <w:rPr>
          <w:rFonts w:asciiTheme="minorHAnsi" w:hAnsiTheme="minorHAnsi" w:cstheme="minorHAnsi"/>
          <w:b/>
          <w:bCs/>
          <w:lang w:val="en-AU"/>
        </w:rPr>
      </w:pPr>
      <w:r>
        <w:rPr>
          <w:rFonts w:asciiTheme="minorHAnsi" w:hAnsiTheme="minorHAnsi" w:cstheme="minorHAnsi"/>
          <w:b/>
          <w:bCs/>
          <w:lang w:val="en-AU"/>
        </w:rPr>
        <w:lastRenderedPageBreak/>
        <w:t>R</w:t>
      </w:r>
      <w:r w:rsidR="00320347">
        <w:rPr>
          <w:rFonts w:asciiTheme="minorHAnsi" w:hAnsiTheme="minorHAnsi" w:cstheme="minorHAnsi"/>
          <w:b/>
          <w:bCs/>
          <w:lang w:val="en-AU"/>
        </w:rPr>
        <w:t>eferences</w:t>
      </w:r>
    </w:p>
    <w:p w14:paraId="2C77909B" w14:textId="33D61A20" w:rsidR="00695315" w:rsidRPr="00695315" w:rsidRDefault="00CD4F1E" w:rsidP="00695315">
      <w:pPr>
        <w:widowControl w:val="0"/>
        <w:autoSpaceDE w:val="0"/>
        <w:autoSpaceDN w:val="0"/>
        <w:adjustRightInd w:val="0"/>
        <w:spacing w:before="100" w:after="100" w:line="240" w:lineRule="auto"/>
        <w:ind w:left="480" w:hanging="480"/>
        <w:rPr>
          <w:rFonts w:ascii="Calibri" w:hAnsi="Calibri" w:cs="Calibri"/>
          <w:noProof/>
          <w:szCs w:val="24"/>
        </w:rPr>
      </w:pPr>
      <w:r>
        <w:rPr>
          <w:rFonts w:eastAsia="Times New Roman" w:cstheme="minorHAnsi"/>
        </w:rPr>
        <w:fldChar w:fldCharType="begin" w:fldLock="1"/>
      </w:r>
      <w:r>
        <w:rPr>
          <w:rFonts w:eastAsia="Times New Roman" w:cstheme="minorHAnsi"/>
        </w:rPr>
        <w:instrText xml:space="preserve">ADDIN Mendeley Bibliography CSL_BIBLIOGRAPHY </w:instrText>
      </w:r>
      <w:r>
        <w:rPr>
          <w:rFonts w:eastAsia="Times New Roman" w:cstheme="minorHAnsi"/>
        </w:rPr>
        <w:fldChar w:fldCharType="separate"/>
      </w:r>
      <w:r w:rsidR="00695315" w:rsidRPr="00695315">
        <w:rPr>
          <w:rFonts w:ascii="Calibri" w:hAnsi="Calibri" w:cs="Calibri"/>
          <w:noProof/>
          <w:szCs w:val="24"/>
        </w:rPr>
        <w:t xml:space="preserve">Al-Kaysi, A. M., Al-Ani, A., Loo, C. K., Powell, T. Y., Martin, D. M., Breakspear, M., &amp; Boonstra, T. W. (2017). Predicting tDCS treatment outcomes of patients with major depressive disorder using automated EEG classification. </w:t>
      </w:r>
      <w:r w:rsidR="00695315" w:rsidRPr="00695315">
        <w:rPr>
          <w:rFonts w:ascii="Calibri" w:hAnsi="Calibri" w:cs="Calibri"/>
          <w:i/>
          <w:iCs/>
          <w:noProof/>
          <w:szCs w:val="24"/>
        </w:rPr>
        <w:t>Journal of Affective Disorders</w:t>
      </w:r>
      <w:r w:rsidR="00695315" w:rsidRPr="00695315">
        <w:rPr>
          <w:rFonts w:ascii="Calibri" w:hAnsi="Calibri" w:cs="Calibri"/>
          <w:noProof/>
          <w:szCs w:val="24"/>
        </w:rPr>
        <w:t xml:space="preserve">, </w:t>
      </w:r>
      <w:r w:rsidR="00695315" w:rsidRPr="00695315">
        <w:rPr>
          <w:rFonts w:ascii="Calibri" w:hAnsi="Calibri" w:cs="Calibri"/>
          <w:i/>
          <w:iCs/>
          <w:noProof/>
          <w:szCs w:val="24"/>
        </w:rPr>
        <w:t>208</w:t>
      </w:r>
      <w:r w:rsidR="00695315" w:rsidRPr="00695315">
        <w:rPr>
          <w:rFonts w:ascii="Calibri" w:hAnsi="Calibri" w:cs="Calibri"/>
          <w:noProof/>
          <w:szCs w:val="24"/>
        </w:rPr>
        <w:t>, 597–603. https://doi.org/10.1016/j.jad.2016.10.021</w:t>
      </w:r>
    </w:p>
    <w:p w14:paraId="01F34967"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Alemi, F., Zargoush, M., Erdman, H., Vang, J., Epstein, S., &amp; Ayman, F. (2011). Genetic markers anticipate response to citalopram in a majority of patients. </w:t>
      </w:r>
      <w:r w:rsidRPr="00695315">
        <w:rPr>
          <w:rFonts w:ascii="Calibri" w:hAnsi="Calibri" w:cs="Calibri"/>
          <w:i/>
          <w:iCs/>
          <w:noProof/>
          <w:szCs w:val="24"/>
        </w:rPr>
        <w:t>Psychiatric Genetics</w:t>
      </w:r>
      <w:r w:rsidRPr="00695315">
        <w:rPr>
          <w:rFonts w:ascii="Calibri" w:hAnsi="Calibri" w:cs="Calibri"/>
          <w:noProof/>
          <w:szCs w:val="24"/>
        </w:rPr>
        <w:t xml:space="preserve">, </w:t>
      </w:r>
      <w:r w:rsidRPr="00695315">
        <w:rPr>
          <w:rFonts w:ascii="Calibri" w:hAnsi="Calibri" w:cs="Calibri"/>
          <w:i/>
          <w:iCs/>
          <w:noProof/>
          <w:szCs w:val="24"/>
        </w:rPr>
        <w:t>21</w:t>
      </w:r>
      <w:r w:rsidRPr="00695315">
        <w:rPr>
          <w:rFonts w:ascii="Calibri" w:hAnsi="Calibri" w:cs="Calibri"/>
          <w:noProof/>
          <w:szCs w:val="24"/>
        </w:rPr>
        <w:t>(6), 287–293. https://doi.org/10.1097/YPG.0b013e3283480485</w:t>
      </w:r>
    </w:p>
    <w:p w14:paraId="6D53A5A5"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Athreya, A. P., Neavin, D., Carrillo-Roa, T., Skime, M., Biernacka, J., Frye, M. A., … Bobo, W. V. (2019). Pharmacogenomics-Driven Prediction of Antidepressant Treatment Outcomes: A Machine-Learning Approach With Multi-trial Replication. </w:t>
      </w:r>
      <w:r w:rsidRPr="00695315">
        <w:rPr>
          <w:rFonts w:ascii="Calibri" w:hAnsi="Calibri" w:cs="Calibri"/>
          <w:i/>
          <w:iCs/>
          <w:noProof/>
          <w:szCs w:val="24"/>
        </w:rPr>
        <w:t>Clinical Pharmacology and Therapeutics</w:t>
      </w:r>
      <w:r w:rsidRPr="00695315">
        <w:rPr>
          <w:rFonts w:ascii="Calibri" w:hAnsi="Calibri" w:cs="Calibri"/>
          <w:noProof/>
          <w:szCs w:val="24"/>
        </w:rPr>
        <w:t xml:space="preserve">, </w:t>
      </w:r>
      <w:r w:rsidRPr="00695315">
        <w:rPr>
          <w:rFonts w:ascii="Calibri" w:hAnsi="Calibri" w:cs="Calibri"/>
          <w:i/>
          <w:iCs/>
          <w:noProof/>
          <w:szCs w:val="24"/>
        </w:rPr>
        <w:t>106</w:t>
      </w:r>
      <w:r w:rsidRPr="00695315">
        <w:rPr>
          <w:rFonts w:ascii="Calibri" w:hAnsi="Calibri" w:cs="Calibri"/>
          <w:noProof/>
          <w:szCs w:val="24"/>
        </w:rPr>
        <w:t>(4), 855–865. https://doi.org/10.1002/cpt.1482</w:t>
      </w:r>
    </w:p>
    <w:p w14:paraId="3D0691BF"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Bailey, N. W., Hoy, K. E., Rogasch, N. C., Thomson, R. H., McQueen, S., Elliot, D., … Fitzgerald, P. B. (2018). Responders to rTMS for depression show increased fronto-midline theta and theta connectivity compared to non-responders. </w:t>
      </w:r>
      <w:r w:rsidRPr="00695315">
        <w:rPr>
          <w:rFonts w:ascii="Calibri" w:hAnsi="Calibri" w:cs="Calibri"/>
          <w:i/>
          <w:iCs/>
          <w:noProof/>
          <w:szCs w:val="24"/>
        </w:rPr>
        <w:t>Brain Stimulation</w:t>
      </w:r>
      <w:r w:rsidRPr="00695315">
        <w:rPr>
          <w:rFonts w:ascii="Calibri" w:hAnsi="Calibri" w:cs="Calibri"/>
          <w:noProof/>
          <w:szCs w:val="24"/>
        </w:rPr>
        <w:t xml:space="preserve">, </w:t>
      </w:r>
      <w:r w:rsidRPr="00695315">
        <w:rPr>
          <w:rFonts w:ascii="Calibri" w:hAnsi="Calibri" w:cs="Calibri"/>
          <w:i/>
          <w:iCs/>
          <w:noProof/>
          <w:szCs w:val="24"/>
        </w:rPr>
        <w:t>11</w:t>
      </w:r>
      <w:r w:rsidRPr="00695315">
        <w:rPr>
          <w:rFonts w:ascii="Calibri" w:hAnsi="Calibri" w:cs="Calibri"/>
          <w:noProof/>
          <w:szCs w:val="24"/>
        </w:rPr>
        <w:t>(1), 190–203. https://doi.org/10.1016/j.brs.2017.10.015</w:t>
      </w:r>
    </w:p>
    <w:p w14:paraId="40121F0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Bailey, N. W., Hoy, K. E., Rogasch, N. C., Thomson, R. H., McQueen, S., Elliot, D., … Fitzgerald, P. B. (2019). Differentiating responders and non-responders to rTMS treatment for depression after one week using resting EEG connectivity measures.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242</w:t>
      </w:r>
      <w:r w:rsidRPr="00695315">
        <w:rPr>
          <w:rFonts w:ascii="Calibri" w:hAnsi="Calibri" w:cs="Calibri"/>
          <w:noProof/>
          <w:szCs w:val="24"/>
        </w:rPr>
        <w:t>, 68–79. https://doi.org/10.1016/j.jad.2018.08.058</w:t>
      </w:r>
    </w:p>
    <w:p w14:paraId="123D5D29"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Bartlett, E. A., DeLorenzo, C., Sharma, P., Yang, J., Zhang, M., Petkova, E., … Parsey, R. V. (2018). Pretreatment and early-treatment cortical thickness is associated with SSRI treatment response in major depressive disorder.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43</w:t>
      </w:r>
      <w:r w:rsidRPr="00695315">
        <w:rPr>
          <w:rFonts w:ascii="Calibri" w:hAnsi="Calibri" w:cs="Calibri"/>
          <w:noProof/>
          <w:szCs w:val="24"/>
        </w:rPr>
        <w:t>(11), 2221–2230. https://doi.org/10.1038/s41386-018-0122-9</w:t>
      </w:r>
    </w:p>
    <w:p w14:paraId="572BACE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Browning, M., Kingslake, J., Dourish, C. T., Goodwin, G. M., Harmer, C. J., &amp; Dawson, G. R. (2019). Predicting treatment response to antidepressant medication using early changes in emotional processing. </w:t>
      </w:r>
      <w:r w:rsidRPr="00695315">
        <w:rPr>
          <w:rFonts w:ascii="Calibri" w:hAnsi="Calibri" w:cs="Calibri"/>
          <w:i/>
          <w:iCs/>
          <w:noProof/>
          <w:szCs w:val="24"/>
        </w:rPr>
        <w:t>European Neuropsychopharmacology</w:t>
      </w:r>
      <w:r w:rsidRPr="00695315">
        <w:rPr>
          <w:rFonts w:ascii="Calibri" w:hAnsi="Calibri" w:cs="Calibri"/>
          <w:noProof/>
          <w:szCs w:val="24"/>
        </w:rPr>
        <w:t xml:space="preserve">, </w:t>
      </w:r>
      <w:r w:rsidRPr="00695315">
        <w:rPr>
          <w:rFonts w:ascii="Calibri" w:hAnsi="Calibri" w:cs="Calibri"/>
          <w:i/>
          <w:iCs/>
          <w:noProof/>
          <w:szCs w:val="24"/>
        </w:rPr>
        <w:t>29</w:t>
      </w:r>
      <w:r w:rsidRPr="00695315">
        <w:rPr>
          <w:rFonts w:ascii="Calibri" w:hAnsi="Calibri" w:cs="Calibri"/>
          <w:noProof/>
          <w:szCs w:val="24"/>
        </w:rPr>
        <w:t>(1), 66–75. https://doi.org/10.1016/j.euroneuro.2018.11.1102</w:t>
      </w:r>
    </w:p>
    <w:p w14:paraId="41953745"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Cao, B., Luo, Q., Fu, Y., Du, L., Qiu, T., Yang, X., … Qiu, H. (2018). Predicting individual responses to the electroconvulsive therapy with hippocampal subfield volumes in major depression disorder. </w:t>
      </w:r>
      <w:r w:rsidRPr="00695315">
        <w:rPr>
          <w:rFonts w:ascii="Calibri" w:hAnsi="Calibri" w:cs="Calibri"/>
          <w:i/>
          <w:iCs/>
          <w:noProof/>
          <w:szCs w:val="24"/>
        </w:rPr>
        <w:t>Scientific Reports</w:t>
      </w:r>
      <w:r w:rsidRPr="00695315">
        <w:rPr>
          <w:rFonts w:ascii="Calibri" w:hAnsi="Calibri" w:cs="Calibri"/>
          <w:noProof/>
          <w:szCs w:val="24"/>
        </w:rPr>
        <w:t xml:space="preserve">, </w:t>
      </w:r>
      <w:r w:rsidRPr="00695315">
        <w:rPr>
          <w:rFonts w:ascii="Calibri" w:hAnsi="Calibri" w:cs="Calibri"/>
          <w:i/>
          <w:iCs/>
          <w:noProof/>
          <w:szCs w:val="24"/>
        </w:rPr>
        <w:t>8</w:t>
      </w:r>
      <w:r w:rsidRPr="00695315">
        <w:rPr>
          <w:rFonts w:ascii="Calibri" w:hAnsi="Calibri" w:cs="Calibri"/>
          <w:noProof/>
          <w:szCs w:val="24"/>
        </w:rPr>
        <w:t>(1), 5434. https://doi.org/10.1038/s41598-018-23685-9</w:t>
      </w:r>
    </w:p>
    <w:p w14:paraId="147616A1"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Carrillo, F., Sigman, M., Fernández Slezak, D., Ashton, P., Fitzgerald, L., Stroud, J., … Carhart-Harris, R. L. (2018). Natural speech algorithm applied to baseline interview data can predict which patients will respond to psilocybin for treatment-resistant depression.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230</w:t>
      </w:r>
      <w:r w:rsidRPr="00695315">
        <w:rPr>
          <w:rFonts w:ascii="Calibri" w:hAnsi="Calibri" w:cs="Calibri"/>
          <w:noProof/>
          <w:szCs w:val="24"/>
        </w:rPr>
        <w:t>, 84–86. https://doi.org/10.1016/j.jad.2018.01.006</w:t>
      </w:r>
    </w:p>
    <w:p w14:paraId="114ED9AF"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Cash, R. F. H., Cocchi, L., Anderson, R., Rogachov, A., Kucyi, A., Barnett, A. J., … Fitzgerald, P. B. (2019). A multivariate neuroimaging biomarker of individual outcome to transcranial magnetic stimulation in depression. </w:t>
      </w:r>
      <w:r w:rsidRPr="00695315">
        <w:rPr>
          <w:rFonts w:ascii="Calibri" w:hAnsi="Calibri" w:cs="Calibri"/>
          <w:i/>
          <w:iCs/>
          <w:noProof/>
          <w:szCs w:val="24"/>
        </w:rPr>
        <w:t>Human Brain Mapping</w:t>
      </w:r>
      <w:r w:rsidRPr="00695315">
        <w:rPr>
          <w:rFonts w:ascii="Calibri" w:hAnsi="Calibri" w:cs="Calibri"/>
          <w:noProof/>
          <w:szCs w:val="24"/>
        </w:rPr>
        <w:t xml:space="preserve">, </w:t>
      </w:r>
      <w:r w:rsidRPr="00695315">
        <w:rPr>
          <w:rFonts w:ascii="Calibri" w:hAnsi="Calibri" w:cs="Calibri"/>
          <w:i/>
          <w:iCs/>
          <w:noProof/>
          <w:szCs w:val="24"/>
        </w:rPr>
        <w:t>40</w:t>
      </w:r>
      <w:r w:rsidRPr="00695315">
        <w:rPr>
          <w:rFonts w:ascii="Calibri" w:hAnsi="Calibri" w:cs="Calibri"/>
          <w:noProof/>
          <w:szCs w:val="24"/>
        </w:rPr>
        <w:t>(16), 4618–4629. https://doi.org/10.1002/hbm.24725</w:t>
      </w:r>
    </w:p>
    <w:p w14:paraId="1901D516"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Cepeda, M. S., Reps, J., Fife, D., Blacketer, C., Stang, P., &amp; Ryan, P. (2018). Finding treatment-resistant depression in real-world data: How a data-driven approach compares with expert-based heuristics. </w:t>
      </w:r>
      <w:r w:rsidRPr="00695315">
        <w:rPr>
          <w:rFonts w:ascii="Calibri" w:hAnsi="Calibri" w:cs="Calibri"/>
          <w:i/>
          <w:iCs/>
          <w:noProof/>
          <w:szCs w:val="24"/>
        </w:rPr>
        <w:t>Depression and Anxiety</w:t>
      </w:r>
      <w:r w:rsidRPr="00695315">
        <w:rPr>
          <w:rFonts w:ascii="Calibri" w:hAnsi="Calibri" w:cs="Calibri"/>
          <w:noProof/>
          <w:szCs w:val="24"/>
        </w:rPr>
        <w:t xml:space="preserve">, </w:t>
      </w:r>
      <w:r w:rsidRPr="00695315">
        <w:rPr>
          <w:rFonts w:ascii="Calibri" w:hAnsi="Calibri" w:cs="Calibri"/>
          <w:i/>
          <w:iCs/>
          <w:noProof/>
          <w:szCs w:val="24"/>
        </w:rPr>
        <w:t>35</w:t>
      </w:r>
      <w:r w:rsidRPr="00695315">
        <w:rPr>
          <w:rFonts w:ascii="Calibri" w:hAnsi="Calibri" w:cs="Calibri"/>
          <w:noProof/>
          <w:szCs w:val="24"/>
        </w:rPr>
        <w:t>(3), 220–228. https://doi.org/10.1002/da.22705</w:t>
      </w:r>
    </w:p>
    <w:p w14:paraId="76585D8B"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Chekroud, A. M., Zotti, R. J., Shehzad, Z., Gueorguieva, R., Johnson, M. K., Trivedi, M. H., … Corlett, P. R. (2016). Cross-trial prediction of treatment outcome in depression: A machine learning approach. </w:t>
      </w:r>
      <w:r w:rsidRPr="00695315">
        <w:rPr>
          <w:rFonts w:ascii="Calibri" w:hAnsi="Calibri" w:cs="Calibri"/>
          <w:i/>
          <w:iCs/>
          <w:noProof/>
          <w:szCs w:val="24"/>
        </w:rPr>
        <w:lastRenderedPageBreak/>
        <w:t>The Lancet Psychiatry</w:t>
      </w:r>
      <w:r w:rsidRPr="00695315">
        <w:rPr>
          <w:rFonts w:ascii="Calibri" w:hAnsi="Calibri" w:cs="Calibri"/>
          <w:noProof/>
          <w:szCs w:val="24"/>
        </w:rPr>
        <w:t xml:space="preserve">, </w:t>
      </w:r>
      <w:r w:rsidRPr="00695315">
        <w:rPr>
          <w:rFonts w:ascii="Calibri" w:hAnsi="Calibri" w:cs="Calibri"/>
          <w:i/>
          <w:iCs/>
          <w:noProof/>
          <w:szCs w:val="24"/>
        </w:rPr>
        <w:t>3</w:t>
      </w:r>
      <w:r w:rsidRPr="00695315">
        <w:rPr>
          <w:rFonts w:ascii="Calibri" w:hAnsi="Calibri" w:cs="Calibri"/>
          <w:noProof/>
          <w:szCs w:val="24"/>
        </w:rPr>
        <w:t>(3), 243–250. https://doi.org/10.1016/S2215-0366(15)00471-X</w:t>
      </w:r>
    </w:p>
    <w:p w14:paraId="3709924F"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Corlier, J., Wilson, A., Hunter, A. M., Vince-Cruz, N., Krantz, D., Levitt, J., … Leuchter, A. F. (2019). Changes in Functional Connectivity Predict Outcome of Repetitive Transcranial Magnetic Stimulation Treatment of Major Depressive Disorder. </w:t>
      </w:r>
      <w:r w:rsidRPr="00695315">
        <w:rPr>
          <w:rFonts w:ascii="Calibri" w:hAnsi="Calibri" w:cs="Calibri"/>
          <w:i/>
          <w:iCs/>
          <w:noProof/>
          <w:szCs w:val="24"/>
        </w:rPr>
        <w:t>Cerebral Cortex</w:t>
      </w:r>
      <w:r w:rsidRPr="00695315">
        <w:rPr>
          <w:rFonts w:ascii="Calibri" w:hAnsi="Calibri" w:cs="Calibri"/>
          <w:noProof/>
          <w:szCs w:val="24"/>
        </w:rPr>
        <w:t xml:space="preserve">, </w:t>
      </w:r>
      <w:r w:rsidRPr="00695315">
        <w:rPr>
          <w:rFonts w:ascii="Calibri" w:hAnsi="Calibri" w:cs="Calibri"/>
          <w:i/>
          <w:iCs/>
          <w:noProof/>
          <w:szCs w:val="24"/>
        </w:rPr>
        <w:t>29</w:t>
      </w:r>
      <w:r w:rsidRPr="00695315">
        <w:rPr>
          <w:rFonts w:ascii="Calibri" w:hAnsi="Calibri" w:cs="Calibri"/>
          <w:noProof/>
          <w:szCs w:val="24"/>
        </w:rPr>
        <w:t>(12), 4958–4967. https://doi.org/10.1093/cercor/bhz035</w:t>
      </w:r>
    </w:p>
    <w:p w14:paraId="053EC17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Costafreda, S. G., Khanna, A., Mourao-Miranda, J., &amp; Fu, C. H. Y. (2009). Neural correlates of sad faces predict clinical remission to cognitive behavioural therapy in depression. </w:t>
      </w:r>
      <w:r w:rsidRPr="00695315">
        <w:rPr>
          <w:rFonts w:ascii="Calibri" w:hAnsi="Calibri" w:cs="Calibri"/>
          <w:i/>
          <w:iCs/>
          <w:noProof/>
          <w:szCs w:val="24"/>
        </w:rPr>
        <w:t>NeuroReport</w:t>
      </w:r>
      <w:r w:rsidRPr="00695315">
        <w:rPr>
          <w:rFonts w:ascii="Calibri" w:hAnsi="Calibri" w:cs="Calibri"/>
          <w:noProof/>
          <w:szCs w:val="24"/>
        </w:rPr>
        <w:t xml:space="preserve">, </w:t>
      </w:r>
      <w:r w:rsidRPr="00695315">
        <w:rPr>
          <w:rFonts w:ascii="Calibri" w:hAnsi="Calibri" w:cs="Calibri"/>
          <w:i/>
          <w:iCs/>
          <w:noProof/>
          <w:szCs w:val="24"/>
        </w:rPr>
        <w:t>20</w:t>
      </w:r>
      <w:r w:rsidRPr="00695315">
        <w:rPr>
          <w:rFonts w:ascii="Calibri" w:hAnsi="Calibri" w:cs="Calibri"/>
          <w:noProof/>
          <w:szCs w:val="24"/>
        </w:rPr>
        <w:t>(7), 637–641. https://doi.org/10.1097/WNR.0b013e3283294159</w:t>
      </w:r>
    </w:p>
    <w:p w14:paraId="538F85E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Crane, N. A., Jenkins, L. M., Bhaumik, R., Dion, C., Gowins, J. R., Mickey, B. J., … Langenecker, S. A. (2017). Multidimensional prediction of treatment response to antidepressants with cognitive control and functional MRI. </w:t>
      </w:r>
      <w:r w:rsidRPr="00695315">
        <w:rPr>
          <w:rFonts w:ascii="Calibri" w:hAnsi="Calibri" w:cs="Calibri"/>
          <w:i/>
          <w:iCs/>
          <w:noProof/>
          <w:szCs w:val="24"/>
        </w:rPr>
        <w:t>Brain</w:t>
      </w:r>
      <w:r w:rsidRPr="00695315">
        <w:rPr>
          <w:rFonts w:ascii="Calibri" w:hAnsi="Calibri" w:cs="Calibri"/>
          <w:noProof/>
          <w:szCs w:val="24"/>
        </w:rPr>
        <w:t xml:space="preserve">, </w:t>
      </w:r>
      <w:r w:rsidRPr="00695315">
        <w:rPr>
          <w:rFonts w:ascii="Calibri" w:hAnsi="Calibri" w:cs="Calibri"/>
          <w:i/>
          <w:iCs/>
          <w:noProof/>
          <w:szCs w:val="24"/>
        </w:rPr>
        <w:t>140</w:t>
      </w:r>
      <w:r w:rsidRPr="00695315">
        <w:rPr>
          <w:rFonts w:ascii="Calibri" w:hAnsi="Calibri" w:cs="Calibri"/>
          <w:noProof/>
          <w:szCs w:val="24"/>
        </w:rPr>
        <w:t>(2), 472–486. https://doi.org/10.1093/brain/aww326</w:t>
      </w:r>
    </w:p>
    <w:p w14:paraId="4410F32B"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Delgadillo, J., &amp; Salas Duhne, P. G. (2020). Targeted prescription of cognitive-behavioral therapy versus person-centered counseling for depression using a machine learning approach. </w:t>
      </w:r>
      <w:r w:rsidRPr="00695315">
        <w:rPr>
          <w:rFonts w:ascii="Calibri" w:hAnsi="Calibri" w:cs="Calibri"/>
          <w:i/>
          <w:iCs/>
          <w:noProof/>
          <w:szCs w:val="24"/>
        </w:rPr>
        <w:t>Journal of Consulting and Clinical Psychology</w:t>
      </w:r>
      <w:r w:rsidRPr="00695315">
        <w:rPr>
          <w:rFonts w:ascii="Calibri" w:hAnsi="Calibri" w:cs="Calibri"/>
          <w:noProof/>
          <w:szCs w:val="24"/>
        </w:rPr>
        <w:t xml:space="preserve">, </w:t>
      </w:r>
      <w:r w:rsidRPr="00695315">
        <w:rPr>
          <w:rFonts w:ascii="Calibri" w:hAnsi="Calibri" w:cs="Calibri"/>
          <w:i/>
          <w:iCs/>
          <w:noProof/>
          <w:szCs w:val="24"/>
        </w:rPr>
        <w:t>88</w:t>
      </w:r>
      <w:r w:rsidRPr="00695315">
        <w:rPr>
          <w:rFonts w:ascii="Calibri" w:hAnsi="Calibri" w:cs="Calibri"/>
          <w:noProof/>
          <w:szCs w:val="24"/>
        </w:rPr>
        <w:t>(1), 14–24. https://doi.org/10.1037/ccp0000476</w:t>
      </w:r>
    </w:p>
    <w:p w14:paraId="594D82F3"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Drysdale, A. T., Grosenick, L., Downar, J., Dunlop, K., Mansouri, F., Meng, Y., … Liston, C. (2017). Resting-state connectivity biomarkers define neurophysiological subtypes of depression. </w:t>
      </w:r>
      <w:r w:rsidRPr="00695315">
        <w:rPr>
          <w:rFonts w:ascii="Calibri" w:hAnsi="Calibri" w:cs="Calibri"/>
          <w:i/>
          <w:iCs/>
          <w:noProof/>
          <w:szCs w:val="24"/>
        </w:rPr>
        <w:t>Nature Medicine</w:t>
      </w:r>
      <w:r w:rsidRPr="00695315">
        <w:rPr>
          <w:rFonts w:ascii="Calibri" w:hAnsi="Calibri" w:cs="Calibri"/>
          <w:noProof/>
          <w:szCs w:val="24"/>
        </w:rPr>
        <w:t xml:space="preserve">, </w:t>
      </w:r>
      <w:r w:rsidRPr="00695315">
        <w:rPr>
          <w:rFonts w:ascii="Calibri" w:hAnsi="Calibri" w:cs="Calibri"/>
          <w:i/>
          <w:iCs/>
          <w:noProof/>
          <w:szCs w:val="24"/>
        </w:rPr>
        <w:t>23</w:t>
      </w:r>
      <w:r w:rsidRPr="00695315">
        <w:rPr>
          <w:rFonts w:ascii="Calibri" w:hAnsi="Calibri" w:cs="Calibri"/>
          <w:noProof/>
          <w:szCs w:val="24"/>
        </w:rPr>
        <w:t>(1), 28–38. https://doi.org/10.1038/nm.4246</w:t>
      </w:r>
    </w:p>
    <w:p w14:paraId="0DA5855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Erguzel, T. T., Ozekes, S., Gultekin, S., Tarhan, N., Sayar, G. H., &amp; Bayram, A. (2015). Neural network based response prediction of rTMS in major depressive disorder using QEEG cordance. </w:t>
      </w:r>
      <w:r w:rsidRPr="00695315">
        <w:rPr>
          <w:rFonts w:ascii="Calibri" w:hAnsi="Calibri" w:cs="Calibri"/>
          <w:i/>
          <w:iCs/>
          <w:noProof/>
          <w:szCs w:val="24"/>
        </w:rPr>
        <w:t>Psychiatry Investigation</w:t>
      </w:r>
      <w:r w:rsidRPr="00695315">
        <w:rPr>
          <w:rFonts w:ascii="Calibri" w:hAnsi="Calibri" w:cs="Calibri"/>
          <w:noProof/>
          <w:szCs w:val="24"/>
        </w:rPr>
        <w:t xml:space="preserve">, </w:t>
      </w:r>
      <w:r w:rsidRPr="00695315">
        <w:rPr>
          <w:rFonts w:ascii="Calibri" w:hAnsi="Calibri" w:cs="Calibri"/>
          <w:i/>
          <w:iCs/>
          <w:noProof/>
          <w:szCs w:val="24"/>
        </w:rPr>
        <w:t>12</w:t>
      </w:r>
      <w:r w:rsidRPr="00695315">
        <w:rPr>
          <w:rFonts w:ascii="Calibri" w:hAnsi="Calibri" w:cs="Calibri"/>
          <w:noProof/>
          <w:szCs w:val="24"/>
        </w:rPr>
        <w:t>(1), 61–65. https://doi.org/10.4306/pi.2015.12.1.61</w:t>
      </w:r>
    </w:p>
    <w:p w14:paraId="21F80A2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Etkin, A., Patenaude, B., Song, Y. J. C., Usherwood, T., Rekshan, W., Schatzberg, A. F., … Williams, L. M. (2015). A Cognitive-Emotional Biomarker for Predicting Remission with Antidepressant Medications: A Report from the iSPOT-D Trial.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40</w:t>
      </w:r>
      <w:r w:rsidRPr="00695315">
        <w:rPr>
          <w:rFonts w:ascii="Calibri" w:hAnsi="Calibri" w:cs="Calibri"/>
          <w:noProof/>
          <w:szCs w:val="24"/>
        </w:rPr>
        <w:t>(6), 1332–1342. https://doi.org/10.1038/npp.2014.333</w:t>
      </w:r>
    </w:p>
    <w:p w14:paraId="43AA6DEF"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Goldstein-Piekarski, A. N., Staveland, B. R., Ball, T. M., Yesavage, J., Korgaonkar, M. S., &amp; Williams, L. M. (2018). Intrinsic functional connectivity predicts remission on antidepressants: A randomized controlled trial to identify clinically applicable imaging biomarkers. </w:t>
      </w:r>
      <w:r w:rsidRPr="00695315">
        <w:rPr>
          <w:rFonts w:ascii="Calibri" w:hAnsi="Calibri" w:cs="Calibri"/>
          <w:i/>
          <w:iCs/>
          <w:noProof/>
          <w:szCs w:val="24"/>
        </w:rPr>
        <w:t>Translational Psychiatry</w:t>
      </w:r>
      <w:r w:rsidRPr="00695315">
        <w:rPr>
          <w:rFonts w:ascii="Calibri" w:hAnsi="Calibri" w:cs="Calibri"/>
          <w:noProof/>
          <w:szCs w:val="24"/>
        </w:rPr>
        <w:t xml:space="preserve">, </w:t>
      </w:r>
      <w:r w:rsidRPr="00695315">
        <w:rPr>
          <w:rFonts w:ascii="Calibri" w:hAnsi="Calibri" w:cs="Calibri"/>
          <w:i/>
          <w:iCs/>
          <w:noProof/>
          <w:szCs w:val="24"/>
        </w:rPr>
        <w:t>8</w:t>
      </w:r>
      <w:r w:rsidRPr="00695315">
        <w:rPr>
          <w:rFonts w:ascii="Calibri" w:hAnsi="Calibri" w:cs="Calibri"/>
          <w:noProof/>
          <w:szCs w:val="24"/>
        </w:rPr>
        <w:t>(1), 57. https://doi.org/10.1038/s41398-018-0100-3</w:t>
      </w:r>
    </w:p>
    <w:p w14:paraId="7C4835A6"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Gordon, E., Rush, A. J., Palmer, D. M., Braund, T. A., &amp; Rekshan, W. (2015). Toward an online cognitive and emotional battery to predict treatment remission in depression. </w:t>
      </w:r>
      <w:r w:rsidRPr="00695315">
        <w:rPr>
          <w:rFonts w:ascii="Calibri" w:hAnsi="Calibri" w:cs="Calibri"/>
          <w:i/>
          <w:iCs/>
          <w:noProof/>
          <w:szCs w:val="24"/>
        </w:rPr>
        <w:t>Neuropsychiatric Disease and Treatment</w:t>
      </w:r>
      <w:r w:rsidRPr="00695315">
        <w:rPr>
          <w:rFonts w:ascii="Calibri" w:hAnsi="Calibri" w:cs="Calibri"/>
          <w:noProof/>
          <w:szCs w:val="24"/>
        </w:rPr>
        <w:t xml:space="preserve">, </w:t>
      </w:r>
      <w:r w:rsidRPr="00695315">
        <w:rPr>
          <w:rFonts w:ascii="Calibri" w:hAnsi="Calibri" w:cs="Calibri"/>
          <w:i/>
          <w:iCs/>
          <w:noProof/>
          <w:szCs w:val="24"/>
        </w:rPr>
        <w:t>11</w:t>
      </w:r>
      <w:r w:rsidRPr="00695315">
        <w:rPr>
          <w:rFonts w:ascii="Calibri" w:hAnsi="Calibri" w:cs="Calibri"/>
          <w:noProof/>
          <w:szCs w:val="24"/>
        </w:rPr>
        <w:t>, 517–531. https://doi.org/10.2147/NDT.S75975</w:t>
      </w:r>
    </w:p>
    <w:p w14:paraId="793F1A9C"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Guilloux, J. P., Bassi, S., Ding, Y., Walsh, C., Turecki, G., Tseng, G., … Sibille, E. (2015). Testing the predictive value of peripheral gene expression for nonremission following citalopram treatment for major depression.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40</w:t>
      </w:r>
      <w:r w:rsidRPr="00695315">
        <w:rPr>
          <w:rFonts w:ascii="Calibri" w:hAnsi="Calibri" w:cs="Calibri"/>
          <w:noProof/>
          <w:szCs w:val="24"/>
        </w:rPr>
        <w:t>(3), 701–710. https://doi.org/10.1038/npp.2014.226</w:t>
      </w:r>
    </w:p>
    <w:p w14:paraId="04ECD5E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Hasanzadeh, F., Mohebbi, M., &amp; Rostami, R. (2019). Prediction of rTMS treatment response in major depressive disorder using machine learning techniques and nonlinear features of EEG signal.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256</w:t>
      </w:r>
      <w:r w:rsidRPr="00695315">
        <w:rPr>
          <w:rFonts w:ascii="Calibri" w:hAnsi="Calibri" w:cs="Calibri"/>
          <w:noProof/>
          <w:szCs w:val="24"/>
        </w:rPr>
        <w:t>, 132–142. https://doi.org/10.1016/j.jad.2019.05.070</w:t>
      </w:r>
    </w:p>
    <w:p w14:paraId="0CD5A7F4"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Iniesta, R., Hodgson, K., Stahl, D., Malki, K., Maier, W., Rietschel, M., … Uher, R. (2018). Antidepressant drug-specific prediction of depression treatment outcomes from genetic and clinical variables. </w:t>
      </w:r>
      <w:r w:rsidRPr="00695315">
        <w:rPr>
          <w:rFonts w:ascii="Calibri" w:hAnsi="Calibri" w:cs="Calibri"/>
          <w:i/>
          <w:iCs/>
          <w:noProof/>
          <w:szCs w:val="24"/>
        </w:rPr>
        <w:t>Scientific Reports</w:t>
      </w:r>
      <w:r w:rsidRPr="00695315">
        <w:rPr>
          <w:rFonts w:ascii="Calibri" w:hAnsi="Calibri" w:cs="Calibri"/>
          <w:noProof/>
          <w:szCs w:val="24"/>
        </w:rPr>
        <w:t xml:space="preserve">, </w:t>
      </w:r>
      <w:r w:rsidRPr="00695315">
        <w:rPr>
          <w:rFonts w:ascii="Calibri" w:hAnsi="Calibri" w:cs="Calibri"/>
          <w:i/>
          <w:iCs/>
          <w:noProof/>
          <w:szCs w:val="24"/>
        </w:rPr>
        <w:t>8</w:t>
      </w:r>
      <w:r w:rsidRPr="00695315">
        <w:rPr>
          <w:rFonts w:ascii="Calibri" w:hAnsi="Calibri" w:cs="Calibri"/>
          <w:noProof/>
          <w:szCs w:val="24"/>
        </w:rPr>
        <w:t>(1), 5530. https://doi.org/10.1038/s41598-018-23584-z</w:t>
      </w:r>
    </w:p>
    <w:p w14:paraId="7B98EA3E"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Iniesta, R., Malki, K., Maier, W., Rietschel, M., Mors, O., Hauser, J., … Uher, R. (2016). Combining clinical variables to optimize prediction of antidepressant treatment outcomes. </w:t>
      </w:r>
      <w:r w:rsidRPr="00695315">
        <w:rPr>
          <w:rFonts w:ascii="Calibri" w:hAnsi="Calibri" w:cs="Calibri"/>
          <w:i/>
          <w:iCs/>
          <w:noProof/>
          <w:szCs w:val="24"/>
        </w:rPr>
        <w:t xml:space="preserve">Journal of Psychiatric </w:t>
      </w:r>
      <w:r w:rsidRPr="00695315">
        <w:rPr>
          <w:rFonts w:ascii="Calibri" w:hAnsi="Calibri" w:cs="Calibri"/>
          <w:i/>
          <w:iCs/>
          <w:noProof/>
          <w:szCs w:val="24"/>
        </w:rPr>
        <w:lastRenderedPageBreak/>
        <w:t>Research</w:t>
      </w:r>
      <w:r w:rsidRPr="00695315">
        <w:rPr>
          <w:rFonts w:ascii="Calibri" w:hAnsi="Calibri" w:cs="Calibri"/>
          <w:noProof/>
          <w:szCs w:val="24"/>
        </w:rPr>
        <w:t xml:space="preserve">, </w:t>
      </w:r>
      <w:r w:rsidRPr="00695315">
        <w:rPr>
          <w:rFonts w:ascii="Calibri" w:hAnsi="Calibri" w:cs="Calibri"/>
          <w:i/>
          <w:iCs/>
          <w:noProof/>
          <w:szCs w:val="24"/>
        </w:rPr>
        <w:t>78</w:t>
      </w:r>
      <w:r w:rsidRPr="00695315">
        <w:rPr>
          <w:rFonts w:ascii="Calibri" w:hAnsi="Calibri" w:cs="Calibri"/>
          <w:noProof/>
          <w:szCs w:val="24"/>
        </w:rPr>
        <w:t>, 94–102. https://doi.org/10.1016/j.jpsychires.2016.03.016</w:t>
      </w:r>
    </w:p>
    <w:p w14:paraId="345F4BFA"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Jaworska, N., De La Salle, S., Ibrahim, M. H., Blier, P., &amp; Knott, V. (2019). Leveraging machine learning approaches for predicting antidepressant treatment response using electroencephalography (EEG) and clinical data. </w:t>
      </w:r>
      <w:r w:rsidRPr="00695315">
        <w:rPr>
          <w:rFonts w:ascii="Calibri" w:hAnsi="Calibri" w:cs="Calibri"/>
          <w:i/>
          <w:iCs/>
          <w:noProof/>
          <w:szCs w:val="24"/>
        </w:rPr>
        <w:t>Frontiers in Psychiatry</w:t>
      </w:r>
      <w:r w:rsidRPr="00695315">
        <w:rPr>
          <w:rFonts w:ascii="Calibri" w:hAnsi="Calibri" w:cs="Calibri"/>
          <w:noProof/>
          <w:szCs w:val="24"/>
        </w:rPr>
        <w:t>, Vol. 10, p. 768. https://doi.org/10.3389/fpsyt.2018.00768</w:t>
      </w:r>
    </w:p>
    <w:p w14:paraId="46F28E9C"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Jiang, R., Abbott, C. C., Jiang, T., Du, Y., Espinoza, R., Narr, K. L., … Calhoun, V. D. (2018). SMRI biomarkers predict electroconvulsive treatment outcomes: Accuracy with Independent Data Sets.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43</w:t>
      </w:r>
      <w:r w:rsidRPr="00695315">
        <w:rPr>
          <w:rFonts w:ascii="Calibri" w:hAnsi="Calibri" w:cs="Calibri"/>
          <w:noProof/>
          <w:szCs w:val="24"/>
        </w:rPr>
        <w:t>(5), 1078–1087. https://doi.org/10.1038/npp.2017.165</w:t>
      </w:r>
    </w:p>
    <w:p w14:paraId="6255D9E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Kambeitz, J., Goerigk, S., Gattaz, W., Falkai, P., Benseñor, I. M., Lotufo, P. A., … Brunoni, A. R. (2020). Clinical patterns differentially predict response to transcranial direct current stimulation (tDCS) and escitalopram in major depression: A machine learning analysis of the ELECT-TDCS study.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265</w:t>
      </w:r>
      <w:r w:rsidRPr="00695315">
        <w:rPr>
          <w:rFonts w:ascii="Calibri" w:hAnsi="Calibri" w:cs="Calibri"/>
          <w:noProof/>
          <w:szCs w:val="24"/>
        </w:rPr>
        <w:t>, 460–467. https://doi.org/10.1016/j.jad.2020.01.118</w:t>
      </w:r>
    </w:p>
    <w:p w14:paraId="12945319"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Karim, H. T., Wang, M., Andreescu, C., Tudorascu, D., Butters, M. A., Karp, J. F., … Aizenstein, H. J. (2018). Acute trajectories of neural activation predict remission to pharmacotherapy in late-life depression. </w:t>
      </w:r>
      <w:r w:rsidRPr="00695315">
        <w:rPr>
          <w:rFonts w:ascii="Calibri" w:hAnsi="Calibri" w:cs="Calibri"/>
          <w:i/>
          <w:iCs/>
          <w:noProof/>
          <w:szCs w:val="24"/>
        </w:rPr>
        <w:t>NeuroImage: Clinical</w:t>
      </w:r>
      <w:r w:rsidRPr="00695315">
        <w:rPr>
          <w:rFonts w:ascii="Calibri" w:hAnsi="Calibri" w:cs="Calibri"/>
          <w:noProof/>
          <w:szCs w:val="24"/>
        </w:rPr>
        <w:t xml:space="preserve">, </w:t>
      </w:r>
      <w:r w:rsidRPr="00695315">
        <w:rPr>
          <w:rFonts w:ascii="Calibri" w:hAnsi="Calibri" w:cs="Calibri"/>
          <w:i/>
          <w:iCs/>
          <w:noProof/>
          <w:szCs w:val="24"/>
        </w:rPr>
        <w:t>19</w:t>
      </w:r>
      <w:r w:rsidRPr="00695315">
        <w:rPr>
          <w:rFonts w:ascii="Calibri" w:hAnsi="Calibri" w:cs="Calibri"/>
          <w:noProof/>
          <w:szCs w:val="24"/>
        </w:rPr>
        <w:t>, 831–839. https://doi.org/10.1016/j.nicl.2018.06.006</w:t>
      </w:r>
    </w:p>
    <w:p w14:paraId="5F44AF1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Kautzky, A., Dold, M., Bartova, L., Spies, M., Kranz, G. S., Souery, D., … Kasper, S. (2019). Clinical factors predicting treatment resistant depression: affirmative results from the European multicenter study. </w:t>
      </w:r>
      <w:r w:rsidRPr="00695315">
        <w:rPr>
          <w:rFonts w:ascii="Calibri" w:hAnsi="Calibri" w:cs="Calibri"/>
          <w:i/>
          <w:iCs/>
          <w:noProof/>
          <w:szCs w:val="24"/>
        </w:rPr>
        <w:t>Acta Psychiatrica Scandinavica</w:t>
      </w:r>
      <w:r w:rsidRPr="00695315">
        <w:rPr>
          <w:rFonts w:ascii="Calibri" w:hAnsi="Calibri" w:cs="Calibri"/>
          <w:noProof/>
          <w:szCs w:val="24"/>
        </w:rPr>
        <w:t xml:space="preserve">, </w:t>
      </w:r>
      <w:r w:rsidRPr="00695315">
        <w:rPr>
          <w:rFonts w:ascii="Calibri" w:hAnsi="Calibri" w:cs="Calibri"/>
          <w:i/>
          <w:iCs/>
          <w:noProof/>
          <w:szCs w:val="24"/>
        </w:rPr>
        <w:t>139</w:t>
      </w:r>
      <w:r w:rsidRPr="00695315">
        <w:rPr>
          <w:rFonts w:ascii="Calibri" w:hAnsi="Calibri" w:cs="Calibri"/>
          <w:noProof/>
          <w:szCs w:val="24"/>
        </w:rPr>
        <w:t>(1), 78–88. https://doi.org/10.1111/acps.12959</w:t>
      </w:r>
    </w:p>
    <w:p w14:paraId="68FCCF81"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Kautzky, Alexander, Baldinger-Melich, P., Kranz, G. S., Vanicek, T., Souery, D., Montgomery, S., … Kasper, S. (2017). A new prediction model for evaluating treatment-resistant depression. </w:t>
      </w:r>
      <w:r w:rsidRPr="00695315">
        <w:rPr>
          <w:rFonts w:ascii="Calibri" w:hAnsi="Calibri" w:cs="Calibri"/>
          <w:i/>
          <w:iCs/>
          <w:noProof/>
          <w:szCs w:val="24"/>
        </w:rPr>
        <w:t>Journal of Clinical Psychiatry</w:t>
      </w:r>
      <w:r w:rsidRPr="00695315">
        <w:rPr>
          <w:rFonts w:ascii="Calibri" w:hAnsi="Calibri" w:cs="Calibri"/>
          <w:noProof/>
          <w:szCs w:val="24"/>
        </w:rPr>
        <w:t xml:space="preserve">, </w:t>
      </w:r>
      <w:r w:rsidRPr="00695315">
        <w:rPr>
          <w:rFonts w:ascii="Calibri" w:hAnsi="Calibri" w:cs="Calibri"/>
          <w:i/>
          <w:iCs/>
          <w:noProof/>
          <w:szCs w:val="24"/>
        </w:rPr>
        <w:t>78</w:t>
      </w:r>
      <w:r w:rsidRPr="00695315">
        <w:rPr>
          <w:rFonts w:ascii="Calibri" w:hAnsi="Calibri" w:cs="Calibri"/>
          <w:noProof/>
          <w:szCs w:val="24"/>
        </w:rPr>
        <w:t>(2), 215–222. https://doi.org/10.4088/JCP.15m10381</w:t>
      </w:r>
    </w:p>
    <w:p w14:paraId="45B167C5"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Khodayari-Rostamabad, A., Reilly, J. P., Hasey, G., De Bruin, H., &amp; MacCrimmon, D. (2010). Using pre-treatment EEG data to predict response to SSRI treatment for MDD. </w:t>
      </w:r>
      <w:r w:rsidRPr="00695315">
        <w:rPr>
          <w:rFonts w:ascii="Calibri" w:hAnsi="Calibri" w:cs="Calibri"/>
          <w:i/>
          <w:iCs/>
          <w:noProof/>
          <w:szCs w:val="24"/>
        </w:rPr>
        <w:t>2010 Annual International Conference of the IEEE Engineering in Medicine and Biology Society, EMBC’10</w:t>
      </w:r>
      <w:r w:rsidRPr="00695315">
        <w:rPr>
          <w:rFonts w:ascii="Calibri" w:hAnsi="Calibri" w:cs="Calibri"/>
          <w:noProof/>
          <w:szCs w:val="24"/>
        </w:rPr>
        <w:t xml:space="preserve">, </w:t>
      </w:r>
      <w:r w:rsidRPr="00695315">
        <w:rPr>
          <w:rFonts w:ascii="Calibri" w:hAnsi="Calibri" w:cs="Calibri"/>
          <w:i/>
          <w:iCs/>
          <w:noProof/>
          <w:szCs w:val="24"/>
        </w:rPr>
        <w:t>2010</w:t>
      </w:r>
      <w:r w:rsidRPr="00695315">
        <w:rPr>
          <w:rFonts w:ascii="Calibri" w:hAnsi="Calibri" w:cs="Calibri"/>
          <w:noProof/>
          <w:szCs w:val="24"/>
        </w:rPr>
        <w:t>, 6103–6106. https://doi.org/10.1109/IEMBS.2010.5627823</w:t>
      </w:r>
    </w:p>
    <w:p w14:paraId="41E6DD96"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Khodayari-Rostamabad, A., Reilly, J. P., Hasey, G. M., De Bruin, H., &amp; MacCrimmon, D. (2011). Using pre-treatment electroencephalography data to predict response to transcranial magnetic stimulation therapy for major depression. </w:t>
      </w:r>
      <w:r w:rsidRPr="00695315">
        <w:rPr>
          <w:rFonts w:ascii="Calibri" w:hAnsi="Calibri" w:cs="Calibri"/>
          <w:i/>
          <w:iCs/>
          <w:noProof/>
          <w:szCs w:val="24"/>
        </w:rPr>
        <w:t>Proceedings of the Annual International Conference of the IEEE Engineering in Medicine and Biology Society, EMBS</w:t>
      </w:r>
      <w:r w:rsidRPr="00695315">
        <w:rPr>
          <w:rFonts w:ascii="Calibri" w:hAnsi="Calibri" w:cs="Calibri"/>
          <w:noProof/>
          <w:szCs w:val="24"/>
        </w:rPr>
        <w:t xml:space="preserve">, </w:t>
      </w:r>
      <w:r w:rsidRPr="00695315">
        <w:rPr>
          <w:rFonts w:ascii="Calibri" w:hAnsi="Calibri" w:cs="Calibri"/>
          <w:i/>
          <w:iCs/>
          <w:noProof/>
          <w:szCs w:val="24"/>
        </w:rPr>
        <w:t>2011</w:t>
      </w:r>
      <w:r w:rsidRPr="00695315">
        <w:rPr>
          <w:rFonts w:ascii="Calibri" w:hAnsi="Calibri" w:cs="Calibri"/>
          <w:noProof/>
          <w:szCs w:val="24"/>
        </w:rPr>
        <w:t>, 6418–6421. https://doi.org/10.1109/IEMBS.2011.6091584</w:t>
      </w:r>
    </w:p>
    <w:p w14:paraId="50CFA85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Khodayari-Rostamabad, A., Reilly, J. P., Hasey, G. M., de Bruin, H., &amp; MacCrimmon, D. J. (2013). A machine learning approach using EEG data to predict response to SSRI treatment for major depressive disorder. </w:t>
      </w:r>
      <w:r w:rsidRPr="00695315">
        <w:rPr>
          <w:rFonts w:ascii="Calibri" w:hAnsi="Calibri" w:cs="Calibri"/>
          <w:i/>
          <w:iCs/>
          <w:noProof/>
          <w:szCs w:val="24"/>
        </w:rPr>
        <w:t>Clinical Neurophysiology</w:t>
      </w:r>
      <w:r w:rsidRPr="00695315">
        <w:rPr>
          <w:rFonts w:ascii="Calibri" w:hAnsi="Calibri" w:cs="Calibri"/>
          <w:noProof/>
          <w:szCs w:val="24"/>
        </w:rPr>
        <w:t xml:space="preserve">, </w:t>
      </w:r>
      <w:r w:rsidRPr="00695315">
        <w:rPr>
          <w:rFonts w:ascii="Calibri" w:hAnsi="Calibri" w:cs="Calibri"/>
          <w:i/>
          <w:iCs/>
          <w:noProof/>
          <w:szCs w:val="24"/>
        </w:rPr>
        <w:t>124</w:t>
      </w:r>
      <w:r w:rsidRPr="00695315">
        <w:rPr>
          <w:rFonts w:ascii="Calibri" w:hAnsi="Calibri" w:cs="Calibri"/>
          <w:noProof/>
          <w:szCs w:val="24"/>
        </w:rPr>
        <w:t>(10), 1975–1985. https://doi.org/10.1016/j.clinph.2013.04.010</w:t>
      </w:r>
    </w:p>
    <w:p w14:paraId="497A248A"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Korgaonkar, M. S., Rekshan, W., Gordon, E., Rush, A. J., Williams, L. M., Blasey, C., &amp; Grieve, S. M. (2015). Magnetic Resonance Imaging Measures of Brain Structure to Predict Antidepressant Treatment Outcome in Major Depressive Disorder. </w:t>
      </w:r>
      <w:r w:rsidRPr="00695315">
        <w:rPr>
          <w:rFonts w:ascii="Calibri" w:hAnsi="Calibri" w:cs="Calibri"/>
          <w:i/>
          <w:iCs/>
          <w:noProof/>
          <w:szCs w:val="24"/>
        </w:rPr>
        <w:t>EBioMedicine</w:t>
      </w:r>
      <w:r w:rsidRPr="00695315">
        <w:rPr>
          <w:rFonts w:ascii="Calibri" w:hAnsi="Calibri" w:cs="Calibri"/>
          <w:noProof/>
          <w:szCs w:val="24"/>
        </w:rPr>
        <w:t xml:space="preserve">, </w:t>
      </w:r>
      <w:r w:rsidRPr="00695315">
        <w:rPr>
          <w:rFonts w:ascii="Calibri" w:hAnsi="Calibri" w:cs="Calibri"/>
          <w:i/>
          <w:iCs/>
          <w:noProof/>
          <w:szCs w:val="24"/>
        </w:rPr>
        <w:t>2</w:t>
      </w:r>
      <w:r w:rsidRPr="00695315">
        <w:rPr>
          <w:rFonts w:ascii="Calibri" w:hAnsi="Calibri" w:cs="Calibri"/>
          <w:noProof/>
          <w:szCs w:val="24"/>
        </w:rPr>
        <w:t>(1), 37–45. https://doi.org/10.1016/j.ebiom.2014.12.002</w:t>
      </w:r>
    </w:p>
    <w:p w14:paraId="6DD8A38A"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Leaver, A. M., Wade, B., Vasavada, M., Hellemann, G., Joshi, S. H., Espinoza, R., &amp; Narr, K. L. (2018). Fronto-temporal connectivity predicts ECT outcome in major depression. </w:t>
      </w:r>
      <w:r w:rsidRPr="00695315">
        <w:rPr>
          <w:rFonts w:ascii="Calibri" w:hAnsi="Calibri" w:cs="Calibri"/>
          <w:i/>
          <w:iCs/>
          <w:noProof/>
          <w:szCs w:val="24"/>
        </w:rPr>
        <w:t>Frontiers in Psychiatry</w:t>
      </w:r>
      <w:r w:rsidRPr="00695315">
        <w:rPr>
          <w:rFonts w:ascii="Calibri" w:hAnsi="Calibri" w:cs="Calibri"/>
          <w:noProof/>
          <w:szCs w:val="24"/>
        </w:rPr>
        <w:t xml:space="preserve">, </w:t>
      </w:r>
      <w:r w:rsidRPr="00695315">
        <w:rPr>
          <w:rFonts w:ascii="Calibri" w:hAnsi="Calibri" w:cs="Calibri"/>
          <w:i/>
          <w:iCs/>
          <w:noProof/>
          <w:szCs w:val="24"/>
        </w:rPr>
        <w:t>9</w:t>
      </w:r>
      <w:r w:rsidRPr="00695315">
        <w:rPr>
          <w:rFonts w:ascii="Calibri" w:hAnsi="Calibri" w:cs="Calibri"/>
          <w:noProof/>
          <w:szCs w:val="24"/>
        </w:rPr>
        <w:t>(MAR), 92. https://doi.org/10.3389/fpsyt.2018.00092</w:t>
      </w:r>
    </w:p>
    <w:p w14:paraId="2B06C412"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Lin, E., Kuo, P. H., Liu, Y. L., Yu, Y. W., Yang, A. C., &amp; Tsai, S. J. (2018). A Deep Learning Approach for Predicting Antidepressant Response in Major Depression Using Clinical and Genetic Biomarkers. </w:t>
      </w:r>
      <w:r w:rsidRPr="00695315">
        <w:rPr>
          <w:rFonts w:ascii="Calibri" w:hAnsi="Calibri" w:cs="Calibri"/>
          <w:i/>
          <w:iCs/>
          <w:noProof/>
          <w:szCs w:val="24"/>
        </w:rPr>
        <w:t>Front Psychiatry</w:t>
      </w:r>
      <w:r w:rsidRPr="00695315">
        <w:rPr>
          <w:rFonts w:ascii="Calibri" w:hAnsi="Calibri" w:cs="Calibri"/>
          <w:noProof/>
          <w:szCs w:val="24"/>
        </w:rPr>
        <w:t xml:space="preserve">, </w:t>
      </w:r>
      <w:r w:rsidRPr="00695315">
        <w:rPr>
          <w:rFonts w:ascii="Calibri" w:hAnsi="Calibri" w:cs="Calibri"/>
          <w:i/>
          <w:iCs/>
          <w:noProof/>
          <w:szCs w:val="24"/>
        </w:rPr>
        <w:t>9</w:t>
      </w:r>
      <w:r w:rsidRPr="00695315">
        <w:rPr>
          <w:rFonts w:ascii="Calibri" w:hAnsi="Calibri" w:cs="Calibri"/>
          <w:noProof/>
          <w:szCs w:val="24"/>
        </w:rPr>
        <w:t>, 290. https://doi.org/10.3389/fpsyt.2018.00290</w:t>
      </w:r>
    </w:p>
    <w:p w14:paraId="3D9C9F69"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lastRenderedPageBreak/>
        <w:t xml:space="preserve">Maciukiewicz, M., Marshe, V. S., Hauschild, A. C., Foster, J. A., Rotzinger, S., Kennedy, J. L., … Geraci, J. (2018). GWAS-based machine learning approach to predict duloxetine response in major depressive disorder. </w:t>
      </w:r>
      <w:r w:rsidRPr="00695315">
        <w:rPr>
          <w:rFonts w:ascii="Calibri" w:hAnsi="Calibri" w:cs="Calibri"/>
          <w:i/>
          <w:iCs/>
          <w:noProof/>
          <w:szCs w:val="24"/>
        </w:rPr>
        <w:t>Journal of Psychiatric Research</w:t>
      </w:r>
      <w:r w:rsidRPr="00695315">
        <w:rPr>
          <w:rFonts w:ascii="Calibri" w:hAnsi="Calibri" w:cs="Calibri"/>
          <w:noProof/>
          <w:szCs w:val="24"/>
        </w:rPr>
        <w:t xml:space="preserve">, </w:t>
      </w:r>
      <w:r w:rsidRPr="00695315">
        <w:rPr>
          <w:rFonts w:ascii="Calibri" w:hAnsi="Calibri" w:cs="Calibri"/>
          <w:i/>
          <w:iCs/>
          <w:noProof/>
          <w:szCs w:val="24"/>
        </w:rPr>
        <w:t>99</w:t>
      </w:r>
      <w:r w:rsidRPr="00695315">
        <w:rPr>
          <w:rFonts w:ascii="Calibri" w:hAnsi="Calibri" w:cs="Calibri"/>
          <w:noProof/>
          <w:szCs w:val="24"/>
        </w:rPr>
        <w:t>, 62–68. https://doi.org/10.1016/j.jpsychires.2017.12.009</w:t>
      </w:r>
    </w:p>
    <w:p w14:paraId="3C9C53D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Moreno-Ortega, M., Prudic, J., Rowny, S., Patel, G. H., Kangarlu, A., Lee, S., … Javitt, D. C. (2019). Resting state functional connectivity predictors of treatment response to electroconvulsive therapy in depression. </w:t>
      </w:r>
      <w:r w:rsidRPr="00695315">
        <w:rPr>
          <w:rFonts w:ascii="Calibri" w:hAnsi="Calibri" w:cs="Calibri"/>
          <w:i/>
          <w:iCs/>
          <w:noProof/>
          <w:szCs w:val="24"/>
        </w:rPr>
        <w:t>Scientific Reports</w:t>
      </w:r>
      <w:r w:rsidRPr="00695315">
        <w:rPr>
          <w:rFonts w:ascii="Calibri" w:hAnsi="Calibri" w:cs="Calibri"/>
          <w:noProof/>
          <w:szCs w:val="24"/>
        </w:rPr>
        <w:t xml:space="preserve">, </w:t>
      </w:r>
      <w:r w:rsidRPr="00695315">
        <w:rPr>
          <w:rFonts w:ascii="Calibri" w:hAnsi="Calibri" w:cs="Calibri"/>
          <w:i/>
          <w:iCs/>
          <w:noProof/>
          <w:szCs w:val="24"/>
        </w:rPr>
        <w:t>9</w:t>
      </w:r>
      <w:r w:rsidRPr="00695315">
        <w:rPr>
          <w:rFonts w:ascii="Calibri" w:hAnsi="Calibri" w:cs="Calibri"/>
          <w:noProof/>
          <w:szCs w:val="24"/>
        </w:rPr>
        <w:t>(1), 5071. https://doi.org/10.1038/s41598-019-41175-4</w:t>
      </w:r>
    </w:p>
    <w:p w14:paraId="54483624"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Mumtaz, W., Xia, L., Yasin, M. A. M., Ali, S. S. A., &amp; Malik, A. S. (2017). A wavelet-based technique to predict treatment outcome for Major Depressive Disorder. </w:t>
      </w:r>
      <w:r w:rsidRPr="00695315">
        <w:rPr>
          <w:rFonts w:ascii="Calibri" w:hAnsi="Calibri" w:cs="Calibri"/>
          <w:i/>
          <w:iCs/>
          <w:noProof/>
          <w:szCs w:val="24"/>
        </w:rPr>
        <w:t>PLoS ONE</w:t>
      </w:r>
      <w:r w:rsidRPr="00695315">
        <w:rPr>
          <w:rFonts w:ascii="Calibri" w:hAnsi="Calibri" w:cs="Calibri"/>
          <w:noProof/>
          <w:szCs w:val="24"/>
        </w:rPr>
        <w:t xml:space="preserve">, </w:t>
      </w:r>
      <w:r w:rsidRPr="00695315">
        <w:rPr>
          <w:rFonts w:ascii="Calibri" w:hAnsi="Calibri" w:cs="Calibri"/>
          <w:i/>
          <w:iCs/>
          <w:noProof/>
          <w:szCs w:val="24"/>
        </w:rPr>
        <w:t>12</w:t>
      </w:r>
      <w:r w:rsidRPr="00695315">
        <w:rPr>
          <w:rFonts w:ascii="Calibri" w:hAnsi="Calibri" w:cs="Calibri"/>
          <w:noProof/>
          <w:szCs w:val="24"/>
        </w:rPr>
        <w:t>(2), e0171409. https://doi.org/10.1371/journal.pone.0171409</w:t>
      </w:r>
    </w:p>
    <w:p w14:paraId="7151EC46"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Nie, Z., Vairavan, S., Narayan, V. A., Ye, J., &amp; Li, Q. S. (2018). Predictive modeling of treatment resistant depression using data from STARD and an independent clinical study. </w:t>
      </w:r>
      <w:r w:rsidRPr="00695315">
        <w:rPr>
          <w:rFonts w:ascii="Calibri" w:hAnsi="Calibri" w:cs="Calibri"/>
          <w:i/>
          <w:iCs/>
          <w:noProof/>
          <w:szCs w:val="24"/>
        </w:rPr>
        <w:t>PLoS ONE</w:t>
      </w:r>
      <w:r w:rsidRPr="00695315">
        <w:rPr>
          <w:rFonts w:ascii="Calibri" w:hAnsi="Calibri" w:cs="Calibri"/>
          <w:noProof/>
          <w:szCs w:val="24"/>
        </w:rPr>
        <w:t xml:space="preserve">, </w:t>
      </w:r>
      <w:r w:rsidRPr="00695315">
        <w:rPr>
          <w:rFonts w:ascii="Calibri" w:hAnsi="Calibri" w:cs="Calibri"/>
          <w:i/>
          <w:iCs/>
          <w:noProof/>
          <w:szCs w:val="24"/>
        </w:rPr>
        <w:t>13</w:t>
      </w:r>
      <w:r w:rsidRPr="00695315">
        <w:rPr>
          <w:rFonts w:ascii="Calibri" w:hAnsi="Calibri" w:cs="Calibri"/>
          <w:noProof/>
          <w:szCs w:val="24"/>
        </w:rPr>
        <w:t>(6), e0197268. https://doi.org/10.1371/journal.pone.0197268</w:t>
      </w:r>
    </w:p>
    <w:p w14:paraId="6EE23A87"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Nouretdinov, I., Costafreda, S. G., Gammerman, A., Chervonenkis, A., Vovk, V., Vapnik, V., &amp; Fu, C. H. Y. (2011). Machine learning classification with confidence: Application of transductive conformal predictors to MRI-based diagnostic and prognostic markers in depression. </w:t>
      </w:r>
      <w:r w:rsidRPr="00695315">
        <w:rPr>
          <w:rFonts w:ascii="Calibri" w:hAnsi="Calibri" w:cs="Calibri"/>
          <w:i/>
          <w:iCs/>
          <w:noProof/>
          <w:szCs w:val="24"/>
        </w:rPr>
        <w:t>NeuroImage</w:t>
      </w:r>
      <w:r w:rsidRPr="00695315">
        <w:rPr>
          <w:rFonts w:ascii="Calibri" w:hAnsi="Calibri" w:cs="Calibri"/>
          <w:noProof/>
          <w:szCs w:val="24"/>
        </w:rPr>
        <w:t xml:space="preserve">, </w:t>
      </w:r>
      <w:r w:rsidRPr="00695315">
        <w:rPr>
          <w:rFonts w:ascii="Calibri" w:hAnsi="Calibri" w:cs="Calibri"/>
          <w:i/>
          <w:iCs/>
          <w:noProof/>
          <w:szCs w:val="24"/>
        </w:rPr>
        <w:t>56</w:t>
      </w:r>
      <w:r w:rsidRPr="00695315">
        <w:rPr>
          <w:rFonts w:ascii="Calibri" w:hAnsi="Calibri" w:cs="Calibri"/>
          <w:noProof/>
          <w:szCs w:val="24"/>
        </w:rPr>
        <w:t>(2), 809–813. https://doi.org/10.1016/j.neuroimage.2010.05.023</w:t>
      </w:r>
    </w:p>
    <w:p w14:paraId="77EC4C0B"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Patel, M. J., Andreescu, C., Price, J. C., Edelman, K. L., Reynolds, C. F., &amp; Aizenstein, H. J. (2015). Machine learning approaches for integrating clinical and imaging features in late-life depression classification and response prediction. </w:t>
      </w:r>
      <w:r w:rsidRPr="00695315">
        <w:rPr>
          <w:rFonts w:ascii="Calibri" w:hAnsi="Calibri" w:cs="Calibri"/>
          <w:i/>
          <w:iCs/>
          <w:noProof/>
          <w:szCs w:val="24"/>
        </w:rPr>
        <w:t>International Journal of Geriatric Psychiatry</w:t>
      </w:r>
      <w:r w:rsidRPr="00695315">
        <w:rPr>
          <w:rFonts w:ascii="Calibri" w:hAnsi="Calibri" w:cs="Calibri"/>
          <w:noProof/>
          <w:szCs w:val="24"/>
        </w:rPr>
        <w:t xml:space="preserve">, </w:t>
      </w:r>
      <w:r w:rsidRPr="00695315">
        <w:rPr>
          <w:rFonts w:ascii="Calibri" w:hAnsi="Calibri" w:cs="Calibri"/>
          <w:i/>
          <w:iCs/>
          <w:noProof/>
          <w:szCs w:val="24"/>
        </w:rPr>
        <w:t>30</w:t>
      </w:r>
      <w:r w:rsidRPr="00695315">
        <w:rPr>
          <w:rFonts w:ascii="Calibri" w:hAnsi="Calibri" w:cs="Calibri"/>
          <w:noProof/>
          <w:szCs w:val="24"/>
        </w:rPr>
        <w:t>(10), 1056–1067. https://doi.org/10.1002/gps.4262</w:t>
      </w:r>
    </w:p>
    <w:p w14:paraId="3F2E3DB4"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Pei, C., Sun, Y., Zhu, J., Wang, X., Zhang, Y., Zhang, S., … Lu, Q. (2020). Ensemble Learning for Early-Response Prediction of Antidepressant Treatment in Major Depressive Disorder. </w:t>
      </w:r>
      <w:r w:rsidRPr="00695315">
        <w:rPr>
          <w:rFonts w:ascii="Calibri" w:hAnsi="Calibri" w:cs="Calibri"/>
          <w:i/>
          <w:iCs/>
          <w:noProof/>
          <w:szCs w:val="24"/>
        </w:rPr>
        <w:t>Journal of Magnetic Resonance Imaging</w:t>
      </w:r>
      <w:r w:rsidRPr="00695315">
        <w:rPr>
          <w:rFonts w:ascii="Calibri" w:hAnsi="Calibri" w:cs="Calibri"/>
          <w:noProof/>
          <w:szCs w:val="24"/>
        </w:rPr>
        <w:t xml:space="preserve">, </w:t>
      </w:r>
      <w:r w:rsidRPr="00695315">
        <w:rPr>
          <w:rFonts w:ascii="Calibri" w:hAnsi="Calibri" w:cs="Calibri"/>
          <w:i/>
          <w:iCs/>
          <w:noProof/>
          <w:szCs w:val="24"/>
        </w:rPr>
        <w:t>52</w:t>
      </w:r>
      <w:r w:rsidRPr="00695315">
        <w:rPr>
          <w:rFonts w:ascii="Calibri" w:hAnsi="Calibri" w:cs="Calibri"/>
          <w:noProof/>
          <w:szCs w:val="24"/>
        </w:rPr>
        <w:t>(1), 161–171. https://doi.org/10.1002/jmri.27029</w:t>
      </w:r>
    </w:p>
    <w:p w14:paraId="6C01F80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Perlis, R. H. (2013). A clinical risk stratification tool for predicting treatment resistance in major depressive disorder. </w:t>
      </w:r>
      <w:r w:rsidRPr="00695315">
        <w:rPr>
          <w:rFonts w:ascii="Calibri" w:hAnsi="Calibri" w:cs="Calibri"/>
          <w:i/>
          <w:iCs/>
          <w:noProof/>
          <w:szCs w:val="24"/>
        </w:rPr>
        <w:t>Biological Psychiatry</w:t>
      </w:r>
      <w:r w:rsidRPr="00695315">
        <w:rPr>
          <w:rFonts w:ascii="Calibri" w:hAnsi="Calibri" w:cs="Calibri"/>
          <w:noProof/>
          <w:szCs w:val="24"/>
        </w:rPr>
        <w:t xml:space="preserve">, </w:t>
      </w:r>
      <w:r w:rsidRPr="00695315">
        <w:rPr>
          <w:rFonts w:ascii="Calibri" w:hAnsi="Calibri" w:cs="Calibri"/>
          <w:i/>
          <w:iCs/>
          <w:noProof/>
          <w:szCs w:val="24"/>
        </w:rPr>
        <w:t>74</w:t>
      </w:r>
      <w:r w:rsidRPr="00695315">
        <w:rPr>
          <w:rFonts w:ascii="Calibri" w:hAnsi="Calibri" w:cs="Calibri"/>
          <w:noProof/>
          <w:szCs w:val="24"/>
        </w:rPr>
        <w:t>(1), 7–14. https://doi.org/10.1016/j.biopsych.2012.12.007</w:t>
      </w:r>
    </w:p>
    <w:p w14:paraId="22953C5A"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Redlich, R., Opel, N., Grotegerd, D., Dohm, K., Zaremba, D., Burger, C., … Dannlowski, U. (2016). Prediction of individual response to electroconvulsive therapy via machine learning on structural magnetic resonance imaging data. </w:t>
      </w:r>
      <w:r w:rsidRPr="00695315">
        <w:rPr>
          <w:rFonts w:ascii="Calibri" w:hAnsi="Calibri" w:cs="Calibri"/>
          <w:i/>
          <w:iCs/>
          <w:noProof/>
          <w:szCs w:val="24"/>
        </w:rPr>
        <w:t>JAMA Psychiatry</w:t>
      </w:r>
      <w:r w:rsidRPr="00695315">
        <w:rPr>
          <w:rFonts w:ascii="Calibri" w:hAnsi="Calibri" w:cs="Calibri"/>
          <w:noProof/>
          <w:szCs w:val="24"/>
        </w:rPr>
        <w:t xml:space="preserve">, </w:t>
      </w:r>
      <w:r w:rsidRPr="00695315">
        <w:rPr>
          <w:rFonts w:ascii="Calibri" w:hAnsi="Calibri" w:cs="Calibri"/>
          <w:i/>
          <w:iCs/>
          <w:noProof/>
          <w:szCs w:val="24"/>
        </w:rPr>
        <w:t>73</w:t>
      </w:r>
      <w:r w:rsidRPr="00695315">
        <w:rPr>
          <w:rFonts w:ascii="Calibri" w:hAnsi="Calibri" w:cs="Calibri"/>
          <w:noProof/>
          <w:szCs w:val="24"/>
        </w:rPr>
        <w:t>(6), 557–564. https://doi.org/10.1001/jamapsychiatry.2016.0316</w:t>
      </w:r>
    </w:p>
    <w:p w14:paraId="5238FC7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Rethorst, C. D., South, C. C., Rush, A. J., Greer, T. L., &amp; Trivedi, M. H. (2017). Prediction of treatment outcomes to exercise in patients with nonremitted major depressive disorder. </w:t>
      </w:r>
      <w:r w:rsidRPr="00695315">
        <w:rPr>
          <w:rFonts w:ascii="Calibri" w:hAnsi="Calibri" w:cs="Calibri"/>
          <w:i/>
          <w:iCs/>
          <w:noProof/>
          <w:szCs w:val="24"/>
        </w:rPr>
        <w:t>Depression and Anxiety</w:t>
      </w:r>
      <w:r w:rsidRPr="00695315">
        <w:rPr>
          <w:rFonts w:ascii="Calibri" w:hAnsi="Calibri" w:cs="Calibri"/>
          <w:noProof/>
          <w:szCs w:val="24"/>
        </w:rPr>
        <w:t xml:space="preserve">, </w:t>
      </w:r>
      <w:r w:rsidRPr="00695315">
        <w:rPr>
          <w:rFonts w:ascii="Calibri" w:hAnsi="Calibri" w:cs="Calibri"/>
          <w:i/>
          <w:iCs/>
          <w:noProof/>
          <w:szCs w:val="24"/>
        </w:rPr>
        <w:t>34</w:t>
      </w:r>
      <w:r w:rsidRPr="00695315">
        <w:rPr>
          <w:rFonts w:ascii="Calibri" w:hAnsi="Calibri" w:cs="Calibri"/>
          <w:noProof/>
          <w:szCs w:val="24"/>
        </w:rPr>
        <w:t>(12), 1116–1122. https://doi.org/10.1002/da.22670</w:t>
      </w:r>
    </w:p>
    <w:p w14:paraId="6F3A7523"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Siegle, G. J., Thompson, W. K., Collier, A., Berman, S. R., Feldmiller, J., Thase, M. E., &amp; Friedman, E. S. (2012). Toward clinically useful neuroimaging in depression treatment: Prognostic utility of subgenual cingulate activity for determining depression outcome in cognitive therapy across studies, scanners, and patient characteristics. </w:t>
      </w:r>
      <w:r w:rsidRPr="00695315">
        <w:rPr>
          <w:rFonts w:ascii="Calibri" w:hAnsi="Calibri" w:cs="Calibri"/>
          <w:i/>
          <w:iCs/>
          <w:noProof/>
          <w:szCs w:val="24"/>
        </w:rPr>
        <w:t>Archives of General Psychiatry</w:t>
      </w:r>
      <w:r w:rsidRPr="00695315">
        <w:rPr>
          <w:rFonts w:ascii="Calibri" w:hAnsi="Calibri" w:cs="Calibri"/>
          <w:noProof/>
          <w:szCs w:val="24"/>
        </w:rPr>
        <w:t xml:space="preserve">, </w:t>
      </w:r>
      <w:r w:rsidRPr="00695315">
        <w:rPr>
          <w:rFonts w:ascii="Calibri" w:hAnsi="Calibri" w:cs="Calibri"/>
          <w:i/>
          <w:iCs/>
          <w:noProof/>
          <w:szCs w:val="24"/>
        </w:rPr>
        <w:t>69</w:t>
      </w:r>
      <w:r w:rsidRPr="00695315">
        <w:rPr>
          <w:rFonts w:ascii="Calibri" w:hAnsi="Calibri" w:cs="Calibri"/>
          <w:noProof/>
          <w:szCs w:val="24"/>
        </w:rPr>
        <w:t>(9), 913–924. https://doi.org/10.1001/archgenpsychiatry.2012.65</w:t>
      </w:r>
    </w:p>
    <w:p w14:paraId="30ACAEFC"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Sikora, M., Heffernan, J., Avery, E. T., Mickey, B. J., Zubieta, J. K., &amp; Peciña, M. (2016). Salience Network Functional Connectivity Predicts Placebo Effects in Major Depression. </w:t>
      </w:r>
      <w:r w:rsidRPr="00695315">
        <w:rPr>
          <w:rFonts w:ascii="Calibri" w:hAnsi="Calibri" w:cs="Calibri"/>
          <w:i/>
          <w:iCs/>
          <w:noProof/>
          <w:szCs w:val="24"/>
        </w:rPr>
        <w:t>Biological Psychiatry: Cognitive Neuroscience and Neuroimaging</w:t>
      </w:r>
      <w:r w:rsidRPr="00695315">
        <w:rPr>
          <w:rFonts w:ascii="Calibri" w:hAnsi="Calibri" w:cs="Calibri"/>
          <w:noProof/>
          <w:szCs w:val="24"/>
        </w:rPr>
        <w:t xml:space="preserve">, </w:t>
      </w:r>
      <w:r w:rsidRPr="00695315">
        <w:rPr>
          <w:rFonts w:ascii="Calibri" w:hAnsi="Calibri" w:cs="Calibri"/>
          <w:i/>
          <w:iCs/>
          <w:noProof/>
          <w:szCs w:val="24"/>
        </w:rPr>
        <w:t>1</w:t>
      </w:r>
      <w:r w:rsidRPr="00695315">
        <w:rPr>
          <w:rFonts w:ascii="Calibri" w:hAnsi="Calibri" w:cs="Calibri"/>
          <w:noProof/>
          <w:szCs w:val="24"/>
        </w:rPr>
        <w:t>(1), 68–76. https://doi.org/10.1016/j.bpsc.2015.10.002</w:t>
      </w:r>
    </w:p>
    <w:p w14:paraId="6BC1C95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lastRenderedPageBreak/>
        <w:t xml:space="preserve">Sun, H., Jiang, R., Qi, S., Narr, K. L., Wade, B. S., Upston, J., … Sui, J. (2020). Preliminary prediction of individual response to electroconvulsive therapy using whole-brain functional magnetic resonance imaging data. </w:t>
      </w:r>
      <w:r w:rsidRPr="00695315">
        <w:rPr>
          <w:rFonts w:ascii="Calibri" w:hAnsi="Calibri" w:cs="Calibri"/>
          <w:i/>
          <w:iCs/>
          <w:noProof/>
          <w:szCs w:val="24"/>
        </w:rPr>
        <w:t>NeuroImage: Clinical</w:t>
      </w:r>
      <w:r w:rsidRPr="00695315">
        <w:rPr>
          <w:rFonts w:ascii="Calibri" w:hAnsi="Calibri" w:cs="Calibri"/>
          <w:noProof/>
          <w:szCs w:val="24"/>
        </w:rPr>
        <w:t xml:space="preserve">, </w:t>
      </w:r>
      <w:r w:rsidRPr="00695315">
        <w:rPr>
          <w:rFonts w:ascii="Calibri" w:hAnsi="Calibri" w:cs="Calibri"/>
          <w:i/>
          <w:iCs/>
          <w:noProof/>
          <w:szCs w:val="24"/>
        </w:rPr>
        <w:t>26</w:t>
      </w:r>
      <w:r w:rsidRPr="00695315">
        <w:rPr>
          <w:rFonts w:ascii="Calibri" w:hAnsi="Calibri" w:cs="Calibri"/>
          <w:noProof/>
          <w:szCs w:val="24"/>
        </w:rPr>
        <w:t>, 102080. https://doi.org/10.1016/j.nicl.2019.102080</w:t>
      </w:r>
    </w:p>
    <w:p w14:paraId="04561FF8"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Tian, S., Sun, Y., Shao, J., Zhang, S., Mo, Z., Liu, X., … Lu, Q. (2020). Predicting escitalopram monotherapy response in depression: The role of anterior cingulate cortex. </w:t>
      </w:r>
      <w:r w:rsidRPr="00695315">
        <w:rPr>
          <w:rFonts w:ascii="Calibri" w:hAnsi="Calibri" w:cs="Calibri"/>
          <w:i/>
          <w:iCs/>
          <w:noProof/>
          <w:szCs w:val="24"/>
        </w:rPr>
        <w:t>Human Brain Mapping</w:t>
      </w:r>
      <w:r w:rsidRPr="00695315">
        <w:rPr>
          <w:rFonts w:ascii="Calibri" w:hAnsi="Calibri" w:cs="Calibri"/>
          <w:noProof/>
          <w:szCs w:val="24"/>
        </w:rPr>
        <w:t xml:space="preserve">, </w:t>
      </w:r>
      <w:r w:rsidRPr="00695315">
        <w:rPr>
          <w:rFonts w:ascii="Calibri" w:hAnsi="Calibri" w:cs="Calibri"/>
          <w:i/>
          <w:iCs/>
          <w:noProof/>
          <w:szCs w:val="24"/>
        </w:rPr>
        <w:t>41</w:t>
      </w:r>
      <w:r w:rsidRPr="00695315">
        <w:rPr>
          <w:rFonts w:ascii="Calibri" w:hAnsi="Calibri" w:cs="Calibri"/>
          <w:noProof/>
          <w:szCs w:val="24"/>
        </w:rPr>
        <w:t>(5), 1249–1260. https://doi.org/10.1002/hbm.24872</w:t>
      </w:r>
    </w:p>
    <w:p w14:paraId="77152F41"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van Breda, W., Bremer, V., Becker, D., Hoogendoorn, M., Funk, B., Ruwaard, J., &amp; Riper, H. (2018). Predicting therapy success for treatment as usual and blended treatment in the domain of depression. </w:t>
      </w:r>
      <w:r w:rsidRPr="00695315">
        <w:rPr>
          <w:rFonts w:ascii="Calibri" w:hAnsi="Calibri" w:cs="Calibri"/>
          <w:i/>
          <w:iCs/>
          <w:noProof/>
          <w:szCs w:val="24"/>
        </w:rPr>
        <w:t>Internet Interventions</w:t>
      </w:r>
      <w:r w:rsidRPr="00695315">
        <w:rPr>
          <w:rFonts w:ascii="Calibri" w:hAnsi="Calibri" w:cs="Calibri"/>
          <w:noProof/>
          <w:szCs w:val="24"/>
        </w:rPr>
        <w:t xml:space="preserve">, </w:t>
      </w:r>
      <w:r w:rsidRPr="00695315">
        <w:rPr>
          <w:rFonts w:ascii="Calibri" w:hAnsi="Calibri" w:cs="Calibri"/>
          <w:i/>
          <w:iCs/>
          <w:noProof/>
          <w:szCs w:val="24"/>
        </w:rPr>
        <w:t>12</w:t>
      </w:r>
      <w:r w:rsidRPr="00695315">
        <w:rPr>
          <w:rFonts w:ascii="Calibri" w:hAnsi="Calibri" w:cs="Calibri"/>
          <w:noProof/>
          <w:szCs w:val="24"/>
        </w:rPr>
        <w:t>, 100–104. https://doi.org/10.1016/j.invent.2017.08.003</w:t>
      </w:r>
    </w:p>
    <w:p w14:paraId="02C2B95E"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Wade, B. S. C., Joshi, S. H., Njau, S., Leaver, A. M., Vasavada, M., Woods, R. P., … Narr, K. L. (2016). Effect of Electroconvulsive Therapy on Striatal Morphometry in Major Depressive Disorder.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41</w:t>
      </w:r>
      <w:r w:rsidRPr="00695315">
        <w:rPr>
          <w:rFonts w:ascii="Calibri" w:hAnsi="Calibri" w:cs="Calibri"/>
          <w:noProof/>
          <w:szCs w:val="24"/>
        </w:rPr>
        <w:t>(10), 2481–2491. https://doi.org/10.1038/npp.2016.48</w:t>
      </w:r>
    </w:p>
    <w:p w14:paraId="034DFC3B"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Wang, J., Wei, Q., Yuan, X., Jiang, X., Xu, J., Zhou, X., … Wang, K. (2018). Local functional connectivity density is closely associated with the response of electroconvulsive therapy in major depressive disorder.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225</w:t>
      </w:r>
      <w:r w:rsidRPr="00695315">
        <w:rPr>
          <w:rFonts w:ascii="Calibri" w:hAnsi="Calibri" w:cs="Calibri"/>
          <w:noProof/>
          <w:szCs w:val="24"/>
        </w:rPr>
        <w:t>, 658–664. https://doi.org/10.1016/j.jad.2017.09.001</w:t>
      </w:r>
    </w:p>
    <w:p w14:paraId="61D215F0"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Williams, L. M., Korgaonkar, M. S., Song, Y. C., Paton, R., Eagles, S., Goldstein-Piekarski, A., … Etkin, A. (2015). Amygdala Reactivity to Emotional Faces in the Prediction of General and Medication-Specific Responses to Antidepressant Treatment in the Randomized iSPOT-D Trial. </w:t>
      </w:r>
      <w:r w:rsidRPr="00695315">
        <w:rPr>
          <w:rFonts w:ascii="Calibri" w:hAnsi="Calibri" w:cs="Calibri"/>
          <w:i/>
          <w:iCs/>
          <w:noProof/>
          <w:szCs w:val="24"/>
        </w:rPr>
        <w:t>Neuropsychopharmacology</w:t>
      </w:r>
      <w:r w:rsidRPr="00695315">
        <w:rPr>
          <w:rFonts w:ascii="Calibri" w:hAnsi="Calibri" w:cs="Calibri"/>
          <w:noProof/>
          <w:szCs w:val="24"/>
        </w:rPr>
        <w:t xml:space="preserve">, </w:t>
      </w:r>
      <w:r w:rsidRPr="00695315">
        <w:rPr>
          <w:rFonts w:ascii="Calibri" w:hAnsi="Calibri" w:cs="Calibri"/>
          <w:i/>
          <w:iCs/>
          <w:noProof/>
          <w:szCs w:val="24"/>
        </w:rPr>
        <w:t>40</w:t>
      </w:r>
      <w:r w:rsidRPr="00695315">
        <w:rPr>
          <w:rFonts w:ascii="Calibri" w:hAnsi="Calibri" w:cs="Calibri"/>
          <w:noProof/>
          <w:szCs w:val="24"/>
        </w:rPr>
        <w:t>(10), 2398–2408. https://doi.org/10.1038/npp.2015.89</w:t>
      </w:r>
    </w:p>
    <w:p w14:paraId="53A072FF"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Wu, W., Zhang, Y., Jiang, J., Lucas, M. V., Fonzo, G. A., Rolle, C. E., … Etkin, A. (2020). An electroencephalographic signature predicts antidepressant response in major depression. </w:t>
      </w:r>
      <w:r w:rsidRPr="00695315">
        <w:rPr>
          <w:rFonts w:ascii="Calibri" w:hAnsi="Calibri" w:cs="Calibri"/>
          <w:i/>
          <w:iCs/>
          <w:noProof/>
          <w:szCs w:val="24"/>
        </w:rPr>
        <w:t>Nature Biotechnology</w:t>
      </w:r>
      <w:r w:rsidRPr="00695315">
        <w:rPr>
          <w:rFonts w:ascii="Calibri" w:hAnsi="Calibri" w:cs="Calibri"/>
          <w:noProof/>
          <w:szCs w:val="24"/>
        </w:rPr>
        <w:t xml:space="preserve">, </w:t>
      </w:r>
      <w:r w:rsidRPr="00695315">
        <w:rPr>
          <w:rFonts w:ascii="Calibri" w:hAnsi="Calibri" w:cs="Calibri"/>
          <w:i/>
          <w:iCs/>
          <w:noProof/>
          <w:szCs w:val="24"/>
        </w:rPr>
        <w:t>38</w:t>
      </w:r>
      <w:r w:rsidRPr="00695315">
        <w:rPr>
          <w:rFonts w:ascii="Calibri" w:hAnsi="Calibri" w:cs="Calibri"/>
          <w:noProof/>
          <w:szCs w:val="24"/>
        </w:rPr>
        <w:t>(4), 439–447. https://doi.org/10.1038/s41587-019-0397-3</w:t>
      </w:r>
    </w:p>
    <w:p w14:paraId="4D687887"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Zandvakili, A., Philip, N. S., Jones, S. R., Tyrka, A. R., Greenberg, B. D., &amp; Carpenter, L. L. (2019). Use of machine learning in predicting clinical response to transcranial magnetic stimulation in comorbid posttraumatic stress disorder and major depression: A resting state electroencephalography study. </w:t>
      </w:r>
      <w:r w:rsidRPr="00695315">
        <w:rPr>
          <w:rFonts w:ascii="Calibri" w:hAnsi="Calibri" w:cs="Calibri"/>
          <w:i/>
          <w:iCs/>
          <w:noProof/>
          <w:szCs w:val="24"/>
        </w:rPr>
        <w:t>Journal of Affective Disorders</w:t>
      </w:r>
      <w:r w:rsidRPr="00695315">
        <w:rPr>
          <w:rFonts w:ascii="Calibri" w:hAnsi="Calibri" w:cs="Calibri"/>
          <w:noProof/>
          <w:szCs w:val="24"/>
        </w:rPr>
        <w:t xml:space="preserve">, </w:t>
      </w:r>
      <w:r w:rsidRPr="00695315">
        <w:rPr>
          <w:rFonts w:ascii="Calibri" w:hAnsi="Calibri" w:cs="Calibri"/>
          <w:i/>
          <w:iCs/>
          <w:noProof/>
          <w:szCs w:val="24"/>
        </w:rPr>
        <w:t>252</w:t>
      </w:r>
      <w:r w:rsidRPr="00695315">
        <w:rPr>
          <w:rFonts w:ascii="Calibri" w:hAnsi="Calibri" w:cs="Calibri"/>
          <w:noProof/>
          <w:szCs w:val="24"/>
        </w:rPr>
        <w:t>, 47–54. https://doi.org/10.1016/j.jad.2019.03.077</w:t>
      </w:r>
    </w:p>
    <w:p w14:paraId="3BE4AF5B"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szCs w:val="24"/>
        </w:rPr>
      </w:pPr>
      <w:r w:rsidRPr="00695315">
        <w:rPr>
          <w:rFonts w:ascii="Calibri" w:hAnsi="Calibri" w:cs="Calibri"/>
          <w:noProof/>
          <w:szCs w:val="24"/>
        </w:rPr>
        <w:t xml:space="preserve">Zhang, H., Li, X., Pang, J., Zhao, X., Cao, S., Wang, X., … Li, H. (2020). Predicting SSRI-Resistance: Clinical Features and tagSNPs Prediction Models Based on Support Vector Machine. </w:t>
      </w:r>
      <w:r w:rsidRPr="00695315">
        <w:rPr>
          <w:rFonts w:ascii="Calibri" w:hAnsi="Calibri" w:cs="Calibri"/>
          <w:i/>
          <w:iCs/>
          <w:noProof/>
          <w:szCs w:val="24"/>
        </w:rPr>
        <w:t>Frontiers in Psychiatry</w:t>
      </w:r>
      <w:r w:rsidRPr="00695315">
        <w:rPr>
          <w:rFonts w:ascii="Calibri" w:hAnsi="Calibri" w:cs="Calibri"/>
          <w:noProof/>
          <w:szCs w:val="24"/>
        </w:rPr>
        <w:t xml:space="preserve">, </w:t>
      </w:r>
      <w:r w:rsidRPr="00695315">
        <w:rPr>
          <w:rFonts w:ascii="Calibri" w:hAnsi="Calibri" w:cs="Calibri"/>
          <w:i/>
          <w:iCs/>
          <w:noProof/>
          <w:szCs w:val="24"/>
        </w:rPr>
        <w:t>11</w:t>
      </w:r>
      <w:r w:rsidRPr="00695315">
        <w:rPr>
          <w:rFonts w:ascii="Calibri" w:hAnsi="Calibri" w:cs="Calibri"/>
          <w:noProof/>
          <w:szCs w:val="24"/>
        </w:rPr>
        <w:t>, 493. https://doi.org/10.3389/fpsyt.2020.00493</w:t>
      </w:r>
    </w:p>
    <w:p w14:paraId="4F280781" w14:textId="77777777" w:rsidR="00695315" w:rsidRPr="00695315" w:rsidRDefault="00695315" w:rsidP="00695315">
      <w:pPr>
        <w:widowControl w:val="0"/>
        <w:autoSpaceDE w:val="0"/>
        <w:autoSpaceDN w:val="0"/>
        <w:adjustRightInd w:val="0"/>
        <w:spacing w:before="100" w:after="100" w:line="240" w:lineRule="auto"/>
        <w:ind w:left="480" w:hanging="480"/>
        <w:rPr>
          <w:rFonts w:ascii="Calibri" w:hAnsi="Calibri" w:cs="Calibri"/>
          <w:noProof/>
        </w:rPr>
      </w:pPr>
      <w:r w:rsidRPr="00695315">
        <w:rPr>
          <w:rFonts w:ascii="Calibri" w:hAnsi="Calibri" w:cs="Calibri"/>
          <w:noProof/>
          <w:szCs w:val="24"/>
        </w:rPr>
        <w:t xml:space="preserve">Zhdanov, A., Atluri, S., Wong, W., Vaghei, Y., Daskalakis, Z. J., Blumberger, D. M., … Farzan, F. (2020). Use of Machine Learning for Predicting Escitalopram Treatment Outcome From Electroencephalography Recordings in Adult Patients With Depression. </w:t>
      </w:r>
      <w:r w:rsidRPr="00695315">
        <w:rPr>
          <w:rFonts w:ascii="Calibri" w:hAnsi="Calibri" w:cs="Calibri"/>
          <w:i/>
          <w:iCs/>
          <w:noProof/>
          <w:szCs w:val="24"/>
        </w:rPr>
        <w:t>JAMA Network Open</w:t>
      </w:r>
      <w:r w:rsidRPr="00695315">
        <w:rPr>
          <w:rFonts w:ascii="Calibri" w:hAnsi="Calibri" w:cs="Calibri"/>
          <w:noProof/>
          <w:szCs w:val="24"/>
        </w:rPr>
        <w:t xml:space="preserve">, </w:t>
      </w:r>
      <w:r w:rsidRPr="00695315">
        <w:rPr>
          <w:rFonts w:ascii="Calibri" w:hAnsi="Calibri" w:cs="Calibri"/>
          <w:i/>
          <w:iCs/>
          <w:noProof/>
          <w:szCs w:val="24"/>
        </w:rPr>
        <w:t>3</w:t>
      </w:r>
      <w:r w:rsidRPr="00695315">
        <w:rPr>
          <w:rFonts w:ascii="Calibri" w:hAnsi="Calibri" w:cs="Calibri"/>
          <w:noProof/>
          <w:szCs w:val="24"/>
        </w:rPr>
        <w:t>(1), e1918377. https://doi.org/10.1001/jamanetworkopen.2019.18377</w:t>
      </w:r>
    </w:p>
    <w:p w14:paraId="109FB025" w14:textId="027C3920" w:rsidR="004A714E" w:rsidRPr="004A714E" w:rsidRDefault="00CD4F1E" w:rsidP="00CD4F1E">
      <w:pPr>
        <w:spacing w:before="100" w:beforeAutospacing="1" w:after="100" w:afterAutospacing="1" w:line="240" w:lineRule="auto"/>
        <w:ind w:left="640" w:hanging="640"/>
        <w:rPr>
          <w:rFonts w:eastAsia="Times New Roman" w:cstheme="minorHAnsi"/>
        </w:rPr>
      </w:pPr>
      <w:r>
        <w:rPr>
          <w:rFonts w:eastAsia="Times New Roman" w:cstheme="minorHAnsi"/>
        </w:rPr>
        <w:fldChar w:fldCharType="end"/>
      </w:r>
    </w:p>
    <w:sectPr w:rsidR="004A714E" w:rsidRPr="004A714E" w:rsidSect="00D70D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92477" w14:textId="77777777" w:rsidR="00F61B40" w:rsidRDefault="00F61B40" w:rsidP="003B36EE">
      <w:pPr>
        <w:spacing w:after="0" w:line="240" w:lineRule="auto"/>
      </w:pPr>
      <w:r>
        <w:separator/>
      </w:r>
    </w:p>
  </w:endnote>
  <w:endnote w:type="continuationSeparator" w:id="0">
    <w:p w14:paraId="6A2BA087" w14:textId="77777777" w:rsidR="00F61B40" w:rsidRDefault="00F61B40" w:rsidP="003B3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58653"/>
      <w:docPartObj>
        <w:docPartGallery w:val="Page Numbers (Bottom of Page)"/>
        <w:docPartUnique/>
      </w:docPartObj>
    </w:sdtPr>
    <w:sdtEndPr>
      <w:rPr>
        <w:noProof/>
      </w:rPr>
    </w:sdtEndPr>
    <w:sdtContent>
      <w:p w14:paraId="0F7B3C2F" w14:textId="54214B11" w:rsidR="009D0684" w:rsidRDefault="009D0684">
        <w:pPr>
          <w:pStyle w:val="Footer"/>
          <w:jc w:val="right"/>
        </w:pPr>
        <w:r>
          <w:fldChar w:fldCharType="begin"/>
        </w:r>
        <w:r>
          <w:instrText xml:space="preserve"> PAGE   \* MERGEFORMAT </w:instrText>
        </w:r>
        <w:r>
          <w:fldChar w:fldCharType="separate"/>
        </w:r>
        <w:r w:rsidR="00695315">
          <w:rPr>
            <w:noProof/>
          </w:rPr>
          <w:t>2</w:t>
        </w:r>
        <w:r>
          <w:rPr>
            <w:noProof/>
          </w:rPr>
          <w:fldChar w:fldCharType="end"/>
        </w:r>
      </w:p>
    </w:sdtContent>
  </w:sdt>
  <w:p w14:paraId="6F4EC66A" w14:textId="77777777" w:rsidR="009D0684" w:rsidRDefault="009D0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776333"/>
      <w:docPartObj>
        <w:docPartGallery w:val="Page Numbers (Bottom of Page)"/>
        <w:docPartUnique/>
      </w:docPartObj>
    </w:sdtPr>
    <w:sdtEndPr>
      <w:rPr>
        <w:noProof/>
      </w:rPr>
    </w:sdtEndPr>
    <w:sdtContent>
      <w:p w14:paraId="195442E1" w14:textId="522256EA" w:rsidR="009D0684" w:rsidRDefault="009D0684">
        <w:pPr>
          <w:pStyle w:val="Footer"/>
          <w:jc w:val="right"/>
        </w:pPr>
        <w:r>
          <w:fldChar w:fldCharType="begin"/>
        </w:r>
        <w:r>
          <w:instrText xml:space="preserve"> PAGE   \* MERGEFORMAT </w:instrText>
        </w:r>
        <w:r>
          <w:fldChar w:fldCharType="separate"/>
        </w:r>
        <w:r w:rsidR="00695315">
          <w:rPr>
            <w:noProof/>
          </w:rPr>
          <w:t>23</w:t>
        </w:r>
        <w:r>
          <w:rPr>
            <w:noProof/>
          </w:rPr>
          <w:fldChar w:fldCharType="end"/>
        </w:r>
      </w:p>
    </w:sdtContent>
  </w:sdt>
  <w:p w14:paraId="0F851592" w14:textId="77777777" w:rsidR="009D0684" w:rsidRDefault="009D0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9250A" w14:textId="77777777" w:rsidR="00F61B40" w:rsidRDefault="00F61B40" w:rsidP="003B36EE">
      <w:pPr>
        <w:spacing w:after="0" w:line="240" w:lineRule="auto"/>
      </w:pPr>
      <w:r>
        <w:separator/>
      </w:r>
    </w:p>
  </w:footnote>
  <w:footnote w:type="continuationSeparator" w:id="0">
    <w:p w14:paraId="2E40367B" w14:textId="77777777" w:rsidR="00F61B40" w:rsidRDefault="00F61B40" w:rsidP="003B3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BF1AB" w14:textId="77777777" w:rsidR="009D0684" w:rsidRPr="00523765" w:rsidRDefault="009D0684" w:rsidP="00283406">
    <w:pPr>
      <w:pStyle w:val="Title"/>
      <w:pBdr>
        <w:bottom w:val="none" w:sz="0" w:space="0" w:color="auto"/>
      </w:pBdr>
      <w:spacing w:before="120" w:after="120" w:line="276" w:lineRule="auto"/>
      <w:jc w:val="right"/>
      <w:rPr>
        <w:rFonts w:asciiTheme="minorHAnsi" w:hAnsiTheme="minorHAnsi" w:cstheme="minorHAnsi"/>
        <w:bCs/>
        <w:color w:val="000000" w:themeColor="text1"/>
        <w:sz w:val="22"/>
        <w:szCs w:val="22"/>
      </w:rPr>
    </w:pPr>
    <w:r>
      <w:rPr>
        <w:rFonts w:ascii="Times New Roman" w:hAnsi="Times New Roman" w:cs="Times New Roman"/>
        <w:bCs/>
        <w:sz w:val="22"/>
        <w:szCs w:val="22"/>
        <w:lang w:val="en-AU"/>
      </w:rPr>
      <w:t>Sajjadian et al.</w:t>
    </w:r>
    <w:r w:rsidRPr="00523765">
      <w:rPr>
        <w:rFonts w:ascii="Times New Roman" w:hAnsi="Times New Roman" w:cs="Times New Roman"/>
        <w:bCs/>
        <w:sz w:val="22"/>
        <w:szCs w:val="22"/>
        <w:lang w:val="en-AU"/>
      </w:rPr>
      <w:t xml:space="preserve">, </w:t>
    </w:r>
    <w:r w:rsidRPr="00523765">
      <w:rPr>
        <w:rFonts w:asciiTheme="minorHAnsi" w:hAnsiTheme="minorHAnsi" w:cstheme="minorHAnsi"/>
        <w:bCs/>
        <w:color w:val="000000" w:themeColor="text1"/>
        <w:sz w:val="22"/>
        <w:szCs w:val="22"/>
      </w:rPr>
      <w:t>Machine learning in the prediction of depression treatment outcomes</w:t>
    </w:r>
  </w:p>
  <w:p w14:paraId="0BF3296E" w14:textId="77777777" w:rsidR="009D0684" w:rsidRDefault="009D06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ztjQyMTU1trQwMzZX0lEKTi0uzszPAykwNqwFAHFUZMYtAAAA"/>
    <w:docVar w:name="EN.InstantFormat" w:val="&lt;ENInstantFormat&gt;&lt;Enabled&gt;1&lt;/Enabled&gt;&lt;ScanUnformatted&gt;1&lt;/ScanUnformatted&gt;&lt;ScanChanges&gt;1&lt;/ScanChanges&gt;&lt;Suspended&gt;0&lt;/Suspended&gt;&lt;/ENInstantFormat&gt;"/>
    <w:docVar w:name="EN.Layout" w:val="&lt;ENLayout&gt;&lt;Style&gt;Chicago 17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2e0xfanzxesmee9xox5seca525asxeeswr&quot;&gt;My EndNote Library&lt;record-ids&gt;&lt;item&gt;13&lt;/item&gt;&lt;/record-ids&gt;&lt;/item&gt;&lt;/Libraries&gt;"/>
  </w:docVars>
  <w:rsids>
    <w:rsidRoot w:val="009C158A"/>
    <w:rsid w:val="00001A23"/>
    <w:rsid w:val="000132BC"/>
    <w:rsid w:val="0001661E"/>
    <w:rsid w:val="000178D9"/>
    <w:rsid w:val="00040886"/>
    <w:rsid w:val="00040985"/>
    <w:rsid w:val="000432B2"/>
    <w:rsid w:val="00044221"/>
    <w:rsid w:val="00046B76"/>
    <w:rsid w:val="0005075C"/>
    <w:rsid w:val="00055166"/>
    <w:rsid w:val="00056524"/>
    <w:rsid w:val="00064FC7"/>
    <w:rsid w:val="000703B0"/>
    <w:rsid w:val="00075DB5"/>
    <w:rsid w:val="00075EF5"/>
    <w:rsid w:val="0008708E"/>
    <w:rsid w:val="00087DE9"/>
    <w:rsid w:val="00087F7F"/>
    <w:rsid w:val="000904A0"/>
    <w:rsid w:val="000A00ED"/>
    <w:rsid w:val="000A4179"/>
    <w:rsid w:val="000A4B97"/>
    <w:rsid w:val="000A54EE"/>
    <w:rsid w:val="000B6E8B"/>
    <w:rsid w:val="000B7386"/>
    <w:rsid w:val="000B7DC3"/>
    <w:rsid w:val="000D12A7"/>
    <w:rsid w:val="000D46CE"/>
    <w:rsid w:val="000E3687"/>
    <w:rsid w:val="000F4381"/>
    <w:rsid w:val="000F71BC"/>
    <w:rsid w:val="00110523"/>
    <w:rsid w:val="0011264D"/>
    <w:rsid w:val="00112FEE"/>
    <w:rsid w:val="001141EB"/>
    <w:rsid w:val="001178DB"/>
    <w:rsid w:val="001248A3"/>
    <w:rsid w:val="00131679"/>
    <w:rsid w:val="00134E63"/>
    <w:rsid w:val="0013577A"/>
    <w:rsid w:val="001441A6"/>
    <w:rsid w:val="00152A65"/>
    <w:rsid w:val="00157F0A"/>
    <w:rsid w:val="00164223"/>
    <w:rsid w:val="00172A25"/>
    <w:rsid w:val="001758E6"/>
    <w:rsid w:val="00176D5D"/>
    <w:rsid w:val="0017723E"/>
    <w:rsid w:val="0018138E"/>
    <w:rsid w:val="0018410F"/>
    <w:rsid w:val="0019126E"/>
    <w:rsid w:val="00192095"/>
    <w:rsid w:val="001B26B4"/>
    <w:rsid w:val="001B370B"/>
    <w:rsid w:val="001B43FC"/>
    <w:rsid w:val="001B6C3E"/>
    <w:rsid w:val="001B759B"/>
    <w:rsid w:val="001C0276"/>
    <w:rsid w:val="001E2F55"/>
    <w:rsid w:val="001F4DBE"/>
    <w:rsid w:val="0020318C"/>
    <w:rsid w:val="00205FAA"/>
    <w:rsid w:val="00210114"/>
    <w:rsid w:val="00211BCF"/>
    <w:rsid w:val="0021442C"/>
    <w:rsid w:val="00216D68"/>
    <w:rsid w:val="002214C2"/>
    <w:rsid w:val="002233B8"/>
    <w:rsid w:val="00227D12"/>
    <w:rsid w:val="00227D33"/>
    <w:rsid w:val="0023041E"/>
    <w:rsid w:val="00230DE9"/>
    <w:rsid w:val="00232A28"/>
    <w:rsid w:val="00247F7D"/>
    <w:rsid w:val="00253F56"/>
    <w:rsid w:val="0025617C"/>
    <w:rsid w:val="002673DA"/>
    <w:rsid w:val="00275FC4"/>
    <w:rsid w:val="00280588"/>
    <w:rsid w:val="00281152"/>
    <w:rsid w:val="002832B2"/>
    <w:rsid w:val="00283406"/>
    <w:rsid w:val="00283679"/>
    <w:rsid w:val="00286488"/>
    <w:rsid w:val="00291A86"/>
    <w:rsid w:val="002955F6"/>
    <w:rsid w:val="002B035E"/>
    <w:rsid w:val="002B3D76"/>
    <w:rsid w:val="002B73E6"/>
    <w:rsid w:val="002C16B7"/>
    <w:rsid w:val="002C276A"/>
    <w:rsid w:val="002C72A1"/>
    <w:rsid w:val="002D0041"/>
    <w:rsid w:val="002D0264"/>
    <w:rsid w:val="002E297E"/>
    <w:rsid w:val="002E5DD5"/>
    <w:rsid w:val="002E7CDB"/>
    <w:rsid w:val="00300FEF"/>
    <w:rsid w:val="003064AF"/>
    <w:rsid w:val="0031756B"/>
    <w:rsid w:val="00320347"/>
    <w:rsid w:val="00327032"/>
    <w:rsid w:val="0033277A"/>
    <w:rsid w:val="00342897"/>
    <w:rsid w:val="0034508D"/>
    <w:rsid w:val="00353E5A"/>
    <w:rsid w:val="0036014F"/>
    <w:rsid w:val="00361CCE"/>
    <w:rsid w:val="00366894"/>
    <w:rsid w:val="00371FB8"/>
    <w:rsid w:val="00385155"/>
    <w:rsid w:val="003857F4"/>
    <w:rsid w:val="00386687"/>
    <w:rsid w:val="00396C26"/>
    <w:rsid w:val="00397EF6"/>
    <w:rsid w:val="003A281C"/>
    <w:rsid w:val="003A7D64"/>
    <w:rsid w:val="003B36EE"/>
    <w:rsid w:val="003B4EF0"/>
    <w:rsid w:val="003C4781"/>
    <w:rsid w:val="003C67F6"/>
    <w:rsid w:val="003D3DA6"/>
    <w:rsid w:val="003D799F"/>
    <w:rsid w:val="003E113B"/>
    <w:rsid w:val="003E2191"/>
    <w:rsid w:val="003E608E"/>
    <w:rsid w:val="003E64D1"/>
    <w:rsid w:val="003F2333"/>
    <w:rsid w:val="003F3419"/>
    <w:rsid w:val="003F6608"/>
    <w:rsid w:val="00400116"/>
    <w:rsid w:val="00400B76"/>
    <w:rsid w:val="00414478"/>
    <w:rsid w:val="00424015"/>
    <w:rsid w:val="0042564D"/>
    <w:rsid w:val="00431CBE"/>
    <w:rsid w:val="00433FD7"/>
    <w:rsid w:val="00437A76"/>
    <w:rsid w:val="004427C3"/>
    <w:rsid w:val="00443CF7"/>
    <w:rsid w:val="00446650"/>
    <w:rsid w:val="00453166"/>
    <w:rsid w:val="00453DC5"/>
    <w:rsid w:val="00460BDB"/>
    <w:rsid w:val="004615F3"/>
    <w:rsid w:val="00462749"/>
    <w:rsid w:val="004629D1"/>
    <w:rsid w:val="004706A3"/>
    <w:rsid w:val="004737E8"/>
    <w:rsid w:val="004775A5"/>
    <w:rsid w:val="00481207"/>
    <w:rsid w:val="00487C8C"/>
    <w:rsid w:val="00490226"/>
    <w:rsid w:val="00490B5D"/>
    <w:rsid w:val="004911AE"/>
    <w:rsid w:val="004943F9"/>
    <w:rsid w:val="0049629B"/>
    <w:rsid w:val="00497061"/>
    <w:rsid w:val="004974D2"/>
    <w:rsid w:val="004978C1"/>
    <w:rsid w:val="004A714E"/>
    <w:rsid w:val="004B3626"/>
    <w:rsid w:val="004B4F0C"/>
    <w:rsid w:val="004C1A4F"/>
    <w:rsid w:val="004D3780"/>
    <w:rsid w:val="004D3A85"/>
    <w:rsid w:val="004F4458"/>
    <w:rsid w:val="004F78BB"/>
    <w:rsid w:val="0051460A"/>
    <w:rsid w:val="00514883"/>
    <w:rsid w:val="00516A34"/>
    <w:rsid w:val="0051773F"/>
    <w:rsid w:val="00517BCB"/>
    <w:rsid w:val="00520194"/>
    <w:rsid w:val="00523765"/>
    <w:rsid w:val="00535BD1"/>
    <w:rsid w:val="00545B50"/>
    <w:rsid w:val="00557979"/>
    <w:rsid w:val="0057039C"/>
    <w:rsid w:val="005738AA"/>
    <w:rsid w:val="00576D7E"/>
    <w:rsid w:val="00584D2D"/>
    <w:rsid w:val="00592C53"/>
    <w:rsid w:val="00597989"/>
    <w:rsid w:val="005A30C6"/>
    <w:rsid w:val="005A3964"/>
    <w:rsid w:val="005B1082"/>
    <w:rsid w:val="005B20D0"/>
    <w:rsid w:val="005B284C"/>
    <w:rsid w:val="005C1268"/>
    <w:rsid w:val="005C770B"/>
    <w:rsid w:val="005D1F11"/>
    <w:rsid w:val="005E375B"/>
    <w:rsid w:val="005F3758"/>
    <w:rsid w:val="005F5749"/>
    <w:rsid w:val="005F77AB"/>
    <w:rsid w:val="00600BBF"/>
    <w:rsid w:val="006045A8"/>
    <w:rsid w:val="00611E2F"/>
    <w:rsid w:val="006233C6"/>
    <w:rsid w:val="00640DBD"/>
    <w:rsid w:val="0064326F"/>
    <w:rsid w:val="00646DF0"/>
    <w:rsid w:val="006476D0"/>
    <w:rsid w:val="00650132"/>
    <w:rsid w:val="006501FC"/>
    <w:rsid w:val="00650CDF"/>
    <w:rsid w:val="006515AA"/>
    <w:rsid w:val="00664D9B"/>
    <w:rsid w:val="00667405"/>
    <w:rsid w:val="00695315"/>
    <w:rsid w:val="00696600"/>
    <w:rsid w:val="006A390C"/>
    <w:rsid w:val="006A3CCD"/>
    <w:rsid w:val="006A6DBD"/>
    <w:rsid w:val="006B250F"/>
    <w:rsid w:val="006B4F85"/>
    <w:rsid w:val="006B5D2A"/>
    <w:rsid w:val="006C5A6E"/>
    <w:rsid w:val="006D400E"/>
    <w:rsid w:val="006D63A2"/>
    <w:rsid w:val="006E555C"/>
    <w:rsid w:val="006F65B8"/>
    <w:rsid w:val="0070183A"/>
    <w:rsid w:val="00702893"/>
    <w:rsid w:val="00704974"/>
    <w:rsid w:val="00705248"/>
    <w:rsid w:val="007144AD"/>
    <w:rsid w:val="007170A8"/>
    <w:rsid w:val="007224DD"/>
    <w:rsid w:val="00736F3B"/>
    <w:rsid w:val="00744D50"/>
    <w:rsid w:val="0075034B"/>
    <w:rsid w:val="0075266F"/>
    <w:rsid w:val="007528BF"/>
    <w:rsid w:val="00760E9F"/>
    <w:rsid w:val="007619B3"/>
    <w:rsid w:val="0076469D"/>
    <w:rsid w:val="007708CA"/>
    <w:rsid w:val="00771A26"/>
    <w:rsid w:val="00771EFC"/>
    <w:rsid w:val="00774FF9"/>
    <w:rsid w:val="00775E30"/>
    <w:rsid w:val="00792A85"/>
    <w:rsid w:val="00793A28"/>
    <w:rsid w:val="007967A0"/>
    <w:rsid w:val="007977A2"/>
    <w:rsid w:val="007A2FD3"/>
    <w:rsid w:val="007A4756"/>
    <w:rsid w:val="007A5F47"/>
    <w:rsid w:val="007B4C38"/>
    <w:rsid w:val="007B5A9E"/>
    <w:rsid w:val="007E5ED8"/>
    <w:rsid w:val="007E5FD7"/>
    <w:rsid w:val="007E6E05"/>
    <w:rsid w:val="007F5A72"/>
    <w:rsid w:val="00802BBD"/>
    <w:rsid w:val="008121F5"/>
    <w:rsid w:val="00812994"/>
    <w:rsid w:val="00821AA0"/>
    <w:rsid w:val="00825804"/>
    <w:rsid w:val="008344FA"/>
    <w:rsid w:val="00844778"/>
    <w:rsid w:val="0084527F"/>
    <w:rsid w:val="00850368"/>
    <w:rsid w:val="0085082F"/>
    <w:rsid w:val="008559AD"/>
    <w:rsid w:val="008625C3"/>
    <w:rsid w:val="00867317"/>
    <w:rsid w:val="00867A72"/>
    <w:rsid w:val="008732E3"/>
    <w:rsid w:val="00877604"/>
    <w:rsid w:val="00883691"/>
    <w:rsid w:val="008857F7"/>
    <w:rsid w:val="00895275"/>
    <w:rsid w:val="00896768"/>
    <w:rsid w:val="00896F9E"/>
    <w:rsid w:val="00897D77"/>
    <w:rsid w:val="008A16CE"/>
    <w:rsid w:val="008A237A"/>
    <w:rsid w:val="008B342B"/>
    <w:rsid w:val="008B66E8"/>
    <w:rsid w:val="008C1B4F"/>
    <w:rsid w:val="008D0BE0"/>
    <w:rsid w:val="008D649F"/>
    <w:rsid w:val="008D6BBC"/>
    <w:rsid w:val="008E2186"/>
    <w:rsid w:val="008E5D13"/>
    <w:rsid w:val="008F030A"/>
    <w:rsid w:val="00915EA1"/>
    <w:rsid w:val="00916AF5"/>
    <w:rsid w:val="00917F5D"/>
    <w:rsid w:val="009247A2"/>
    <w:rsid w:val="00924F50"/>
    <w:rsid w:val="009356FD"/>
    <w:rsid w:val="00936155"/>
    <w:rsid w:val="00936DDD"/>
    <w:rsid w:val="0094056C"/>
    <w:rsid w:val="0095798E"/>
    <w:rsid w:val="00960009"/>
    <w:rsid w:val="0096394F"/>
    <w:rsid w:val="00965CA6"/>
    <w:rsid w:val="00965F76"/>
    <w:rsid w:val="00966F6B"/>
    <w:rsid w:val="009670EE"/>
    <w:rsid w:val="009728FA"/>
    <w:rsid w:val="009748EC"/>
    <w:rsid w:val="009815D3"/>
    <w:rsid w:val="00981C0A"/>
    <w:rsid w:val="00986BC8"/>
    <w:rsid w:val="0099128E"/>
    <w:rsid w:val="00996BFC"/>
    <w:rsid w:val="009B4D03"/>
    <w:rsid w:val="009C158A"/>
    <w:rsid w:val="009C7B3D"/>
    <w:rsid w:val="009D0684"/>
    <w:rsid w:val="009D578B"/>
    <w:rsid w:val="009E2DF9"/>
    <w:rsid w:val="009E61CB"/>
    <w:rsid w:val="009F2726"/>
    <w:rsid w:val="009F5122"/>
    <w:rsid w:val="009F5300"/>
    <w:rsid w:val="009F62E2"/>
    <w:rsid w:val="00A02197"/>
    <w:rsid w:val="00A04D7A"/>
    <w:rsid w:val="00A10A95"/>
    <w:rsid w:val="00A20AE2"/>
    <w:rsid w:val="00A2298A"/>
    <w:rsid w:val="00A271B2"/>
    <w:rsid w:val="00A35F54"/>
    <w:rsid w:val="00A44DA4"/>
    <w:rsid w:val="00A50A12"/>
    <w:rsid w:val="00A526E4"/>
    <w:rsid w:val="00A52CE3"/>
    <w:rsid w:val="00A558AF"/>
    <w:rsid w:val="00A55968"/>
    <w:rsid w:val="00A65436"/>
    <w:rsid w:val="00A655FC"/>
    <w:rsid w:val="00A71FFC"/>
    <w:rsid w:val="00A74C44"/>
    <w:rsid w:val="00A83CE8"/>
    <w:rsid w:val="00A84778"/>
    <w:rsid w:val="00A85579"/>
    <w:rsid w:val="00A86270"/>
    <w:rsid w:val="00A9073D"/>
    <w:rsid w:val="00A90A60"/>
    <w:rsid w:val="00A93277"/>
    <w:rsid w:val="00A93F8D"/>
    <w:rsid w:val="00A940D9"/>
    <w:rsid w:val="00A95366"/>
    <w:rsid w:val="00A967DE"/>
    <w:rsid w:val="00AA00A8"/>
    <w:rsid w:val="00AA1491"/>
    <w:rsid w:val="00AA181B"/>
    <w:rsid w:val="00AB484E"/>
    <w:rsid w:val="00AC2B6C"/>
    <w:rsid w:val="00AC3267"/>
    <w:rsid w:val="00AC60F7"/>
    <w:rsid w:val="00AC7221"/>
    <w:rsid w:val="00AC7924"/>
    <w:rsid w:val="00AD28D3"/>
    <w:rsid w:val="00AD4411"/>
    <w:rsid w:val="00AE3F7A"/>
    <w:rsid w:val="00AE4E73"/>
    <w:rsid w:val="00AE5524"/>
    <w:rsid w:val="00AE7B7F"/>
    <w:rsid w:val="00AF31D2"/>
    <w:rsid w:val="00B0097F"/>
    <w:rsid w:val="00B0625B"/>
    <w:rsid w:val="00B078E2"/>
    <w:rsid w:val="00B21931"/>
    <w:rsid w:val="00B266BF"/>
    <w:rsid w:val="00B32D1A"/>
    <w:rsid w:val="00B351F2"/>
    <w:rsid w:val="00B41752"/>
    <w:rsid w:val="00B45C35"/>
    <w:rsid w:val="00B575F0"/>
    <w:rsid w:val="00B64F65"/>
    <w:rsid w:val="00B65E5B"/>
    <w:rsid w:val="00B70460"/>
    <w:rsid w:val="00B8053D"/>
    <w:rsid w:val="00B8309A"/>
    <w:rsid w:val="00B92DE0"/>
    <w:rsid w:val="00B96A0D"/>
    <w:rsid w:val="00B96CB6"/>
    <w:rsid w:val="00BA4F41"/>
    <w:rsid w:val="00BA762D"/>
    <w:rsid w:val="00BC05FB"/>
    <w:rsid w:val="00BC2929"/>
    <w:rsid w:val="00BC4086"/>
    <w:rsid w:val="00BC4DD0"/>
    <w:rsid w:val="00BC5A23"/>
    <w:rsid w:val="00BD09CF"/>
    <w:rsid w:val="00BE0973"/>
    <w:rsid w:val="00BE1315"/>
    <w:rsid w:val="00BF62E2"/>
    <w:rsid w:val="00BF7B9A"/>
    <w:rsid w:val="00C06EE2"/>
    <w:rsid w:val="00C126BD"/>
    <w:rsid w:val="00C2064E"/>
    <w:rsid w:val="00C22578"/>
    <w:rsid w:val="00C23B65"/>
    <w:rsid w:val="00C23E3D"/>
    <w:rsid w:val="00C242AD"/>
    <w:rsid w:val="00C43064"/>
    <w:rsid w:val="00C52201"/>
    <w:rsid w:val="00C55D1F"/>
    <w:rsid w:val="00C61C1A"/>
    <w:rsid w:val="00C645CE"/>
    <w:rsid w:val="00C65AE9"/>
    <w:rsid w:val="00C7159E"/>
    <w:rsid w:val="00C73DE7"/>
    <w:rsid w:val="00C84E10"/>
    <w:rsid w:val="00C86CDF"/>
    <w:rsid w:val="00C87F83"/>
    <w:rsid w:val="00C977AF"/>
    <w:rsid w:val="00CB1C01"/>
    <w:rsid w:val="00CB4542"/>
    <w:rsid w:val="00CB4D34"/>
    <w:rsid w:val="00CB60D3"/>
    <w:rsid w:val="00CB7B03"/>
    <w:rsid w:val="00CB7F28"/>
    <w:rsid w:val="00CC38B2"/>
    <w:rsid w:val="00CC66DD"/>
    <w:rsid w:val="00CD4F1E"/>
    <w:rsid w:val="00CD6939"/>
    <w:rsid w:val="00CE6E65"/>
    <w:rsid w:val="00CF6602"/>
    <w:rsid w:val="00D0338D"/>
    <w:rsid w:val="00D06DF5"/>
    <w:rsid w:val="00D07862"/>
    <w:rsid w:val="00D12192"/>
    <w:rsid w:val="00D15515"/>
    <w:rsid w:val="00D15870"/>
    <w:rsid w:val="00D15A04"/>
    <w:rsid w:val="00D22E8A"/>
    <w:rsid w:val="00D25CA7"/>
    <w:rsid w:val="00D26000"/>
    <w:rsid w:val="00D310AF"/>
    <w:rsid w:val="00D31A34"/>
    <w:rsid w:val="00D4788E"/>
    <w:rsid w:val="00D61FFE"/>
    <w:rsid w:val="00D660B7"/>
    <w:rsid w:val="00D70DE7"/>
    <w:rsid w:val="00D70E73"/>
    <w:rsid w:val="00D72433"/>
    <w:rsid w:val="00D77A84"/>
    <w:rsid w:val="00D82EFB"/>
    <w:rsid w:val="00D86D65"/>
    <w:rsid w:val="00D915C1"/>
    <w:rsid w:val="00D94EA3"/>
    <w:rsid w:val="00DA2037"/>
    <w:rsid w:val="00DA2086"/>
    <w:rsid w:val="00DA2F1B"/>
    <w:rsid w:val="00DA4267"/>
    <w:rsid w:val="00DB6980"/>
    <w:rsid w:val="00DC355C"/>
    <w:rsid w:val="00DE28FC"/>
    <w:rsid w:val="00DE400D"/>
    <w:rsid w:val="00E05819"/>
    <w:rsid w:val="00E064D3"/>
    <w:rsid w:val="00E10D94"/>
    <w:rsid w:val="00E110EA"/>
    <w:rsid w:val="00E16514"/>
    <w:rsid w:val="00E236A9"/>
    <w:rsid w:val="00E52CFF"/>
    <w:rsid w:val="00E628F8"/>
    <w:rsid w:val="00E62D15"/>
    <w:rsid w:val="00E671BF"/>
    <w:rsid w:val="00E7116E"/>
    <w:rsid w:val="00E747BA"/>
    <w:rsid w:val="00E76E95"/>
    <w:rsid w:val="00E80CB4"/>
    <w:rsid w:val="00E9204A"/>
    <w:rsid w:val="00E938E4"/>
    <w:rsid w:val="00EA258E"/>
    <w:rsid w:val="00EA3D19"/>
    <w:rsid w:val="00EA69DB"/>
    <w:rsid w:val="00EA6D4B"/>
    <w:rsid w:val="00EA7337"/>
    <w:rsid w:val="00EB4136"/>
    <w:rsid w:val="00EB59C0"/>
    <w:rsid w:val="00EC4F5C"/>
    <w:rsid w:val="00ED04C7"/>
    <w:rsid w:val="00EE0689"/>
    <w:rsid w:val="00EE1F72"/>
    <w:rsid w:val="00EE23F6"/>
    <w:rsid w:val="00EE2B88"/>
    <w:rsid w:val="00EE45C3"/>
    <w:rsid w:val="00EE728D"/>
    <w:rsid w:val="00EF33E2"/>
    <w:rsid w:val="00F02452"/>
    <w:rsid w:val="00F25230"/>
    <w:rsid w:val="00F309A8"/>
    <w:rsid w:val="00F33B6C"/>
    <w:rsid w:val="00F37C16"/>
    <w:rsid w:val="00F37C1C"/>
    <w:rsid w:val="00F41385"/>
    <w:rsid w:val="00F436E6"/>
    <w:rsid w:val="00F50C06"/>
    <w:rsid w:val="00F61B40"/>
    <w:rsid w:val="00F62629"/>
    <w:rsid w:val="00F64F3D"/>
    <w:rsid w:val="00F67057"/>
    <w:rsid w:val="00F71EAF"/>
    <w:rsid w:val="00F73909"/>
    <w:rsid w:val="00F86B33"/>
    <w:rsid w:val="00FA101C"/>
    <w:rsid w:val="00FB0214"/>
    <w:rsid w:val="00FB2730"/>
    <w:rsid w:val="00FB4D0E"/>
    <w:rsid w:val="00FB5AE0"/>
    <w:rsid w:val="00FB7799"/>
    <w:rsid w:val="00FC7DA4"/>
    <w:rsid w:val="00FD2726"/>
    <w:rsid w:val="00FD67B9"/>
    <w:rsid w:val="00FE1040"/>
    <w:rsid w:val="00FE1655"/>
    <w:rsid w:val="00FF1593"/>
    <w:rsid w:val="00FF3D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D3A68"/>
  <w15:chartTrackingRefBased/>
  <w15:docId w15:val="{AD330B90-926E-44C8-B50A-9A670DE0C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5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523765"/>
    <w:pPr>
      <w:widowControl w:val="0"/>
      <w:autoSpaceDE w:val="0"/>
      <w:autoSpaceDN w:val="0"/>
      <w:adjustRightInd w:val="0"/>
      <w:spacing w:after="0" w:line="240" w:lineRule="auto"/>
    </w:pPr>
    <w:rPr>
      <w:rFonts w:ascii="Times" w:eastAsia="Times New Roman" w:hAnsi="Times" w:cs="Times"/>
      <w:color w:val="000000"/>
      <w:sz w:val="24"/>
      <w:szCs w:val="24"/>
    </w:rPr>
  </w:style>
  <w:style w:type="character" w:customStyle="1" w:styleId="DefaultChar">
    <w:name w:val="Default Char"/>
    <w:basedOn w:val="DefaultParagraphFont"/>
    <w:link w:val="Default"/>
    <w:rsid w:val="000178D9"/>
    <w:rPr>
      <w:rFonts w:ascii="Times" w:eastAsia="Times New Roman" w:hAnsi="Times" w:cs="Times"/>
      <w:color w:val="000000"/>
      <w:sz w:val="24"/>
      <w:szCs w:val="24"/>
    </w:rPr>
  </w:style>
  <w:style w:type="paragraph" w:styleId="Title">
    <w:name w:val="Title"/>
    <w:basedOn w:val="Normal"/>
    <w:next w:val="Normal"/>
    <w:link w:val="TitleChar"/>
    <w:uiPriority w:val="10"/>
    <w:qFormat/>
    <w:rsid w:val="0052376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CA"/>
    </w:rPr>
  </w:style>
  <w:style w:type="character" w:customStyle="1" w:styleId="TitleChar">
    <w:name w:val="Title Char"/>
    <w:basedOn w:val="DefaultParagraphFont"/>
    <w:link w:val="Title"/>
    <w:uiPriority w:val="10"/>
    <w:rsid w:val="00523765"/>
    <w:rPr>
      <w:rFonts w:asciiTheme="majorHAnsi" w:eastAsiaTheme="majorEastAsia" w:hAnsiTheme="majorHAnsi" w:cstheme="majorBidi"/>
      <w:color w:val="323E4F" w:themeColor="text2" w:themeShade="BF"/>
      <w:spacing w:val="5"/>
      <w:kern w:val="28"/>
      <w:sz w:val="52"/>
      <w:szCs w:val="52"/>
      <w:lang w:val="en-CA"/>
    </w:rPr>
  </w:style>
  <w:style w:type="paragraph" w:customStyle="1" w:styleId="EndNoteBibliographyTitle">
    <w:name w:val="EndNote Bibliography Title"/>
    <w:basedOn w:val="Normal"/>
    <w:link w:val="EndNoteBibliographyTitleChar"/>
    <w:rsid w:val="000178D9"/>
    <w:pPr>
      <w:spacing w:after="0"/>
      <w:jc w:val="center"/>
    </w:pPr>
    <w:rPr>
      <w:rFonts w:ascii="Calibri" w:hAnsi="Calibri"/>
      <w:noProof/>
    </w:rPr>
  </w:style>
  <w:style w:type="character" w:customStyle="1" w:styleId="EndNoteBibliographyTitleChar">
    <w:name w:val="EndNote Bibliography Title Char"/>
    <w:basedOn w:val="DefaultChar"/>
    <w:link w:val="EndNoteBibliographyTitle"/>
    <w:rsid w:val="000178D9"/>
    <w:rPr>
      <w:rFonts w:ascii="Calibri" w:eastAsia="Times New Roman" w:hAnsi="Calibri" w:cs="Times"/>
      <w:noProof/>
      <w:color w:val="000000"/>
      <w:sz w:val="24"/>
      <w:szCs w:val="24"/>
    </w:rPr>
  </w:style>
  <w:style w:type="paragraph" w:customStyle="1" w:styleId="EndNoteBibliography">
    <w:name w:val="EndNote Bibliography"/>
    <w:basedOn w:val="Normal"/>
    <w:link w:val="EndNoteBibliographyChar"/>
    <w:rsid w:val="000178D9"/>
    <w:pPr>
      <w:spacing w:line="240" w:lineRule="auto"/>
    </w:pPr>
    <w:rPr>
      <w:rFonts w:ascii="Calibri" w:hAnsi="Calibri"/>
      <w:noProof/>
    </w:rPr>
  </w:style>
  <w:style w:type="character" w:customStyle="1" w:styleId="EndNoteBibliographyChar">
    <w:name w:val="EndNote Bibliography Char"/>
    <w:basedOn w:val="DefaultChar"/>
    <w:link w:val="EndNoteBibliography"/>
    <w:rsid w:val="000178D9"/>
    <w:rPr>
      <w:rFonts w:ascii="Calibri" w:eastAsia="Times New Roman" w:hAnsi="Calibri" w:cs="Times"/>
      <w:noProof/>
      <w:color w:val="000000"/>
      <w:sz w:val="24"/>
      <w:szCs w:val="24"/>
    </w:rPr>
  </w:style>
  <w:style w:type="character" w:styleId="Hyperlink">
    <w:name w:val="Hyperlink"/>
    <w:basedOn w:val="DefaultParagraphFont"/>
    <w:uiPriority w:val="99"/>
    <w:unhideWhenUsed/>
    <w:rsid w:val="000178D9"/>
    <w:rPr>
      <w:color w:val="0563C1" w:themeColor="hyperlink"/>
      <w:u w:val="single"/>
    </w:rPr>
  </w:style>
  <w:style w:type="paragraph" w:styleId="Header">
    <w:name w:val="header"/>
    <w:basedOn w:val="Normal"/>
    <w:link w:val="HeaderChar"/>
    <w:uiPriority w:val="99"/>
    <w:unhideWhenUsed/>
    <w:rsid w:val="003B36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6EE"/>
  </w:style>
  <w:style w:type="paragraph" w:styleId="Footer">
    <w:name w:val="footer"/>
    <w:basedOn w:val="Normal"/>
    <w:link w:val="FooterChar"/>
    <w:uiPriority w:val="99"/>
    <w:unhideWhenUsed/>
    <w:rsid w:val="003B36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6EE"/>
  </w:style>
  <w:style w:type="paragraph" w:customStyle="1" w:styleId="FrameContents">
    <w:name w:val="Frame Contents"/>
    <w:basedOn w:val="Normal"/>
    <w:qFormat/>
    <w:rsid w:val="00D72433"/>
    <w:rPr>
      <w:lang w:val="en-CA"/>
    </w:rPr>
  </w:style>
  <w:style w:type="character" w:styleId="FollowedHyperlink">
    <w:name w:val="FollowedHyperlink"/>
    <w:basedOn w:val="DefaultParagraphFont"/>
    <w:uiPriority w:val="99"/>
    <w:semiHidden/>
    <w:unhideWhenUsed/>
    <w:rsid w:val="00D22E8A"/>
    <w:rPr>
      <w:color w:val="954F72"/>
      <w:u w:val="single"/>
    </w:rPr>
  </w:style>
  <w:style w:type="paragraph" w:customStyle="1" w:styleId="msonormal0">
    <w:name w:val="msonormal"/>
    <w:basedOn w:val="Normal"/>
    <w:rsid w:val="00D22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D22E8A"/>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D22E8A"/>
    <w:pPr>
      <w:spacing w:before="100" w:beforeAutospacing="1" w:after="100" w:afterAutospacing="1" w:line="240" w:lineRule="auto"/>
    </w:pPr>
    <w:rPr>
      <w:rFonts w:ascii="Times New Roman" w:eastAsia="Times New Roman" w:hAnsi="Times New Roman" w:cs="Times New Roman"/>
      <w:sz w:val="16"/>
      <w:szCs w:val="16"/>
    </w:rPr>
  </w:style>
  <w:style w:type="table" w:styleId="TableGrid">
    <w:name w:val="Table Grid"/>
    <w:basedOn w:val="TableNormal"/>
    <w:uiPriority w:val="39"/>
    <w:rsid w:val="00FB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5D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36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528B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528BF"/>
    <w:rPr>
      <w:rFonts w:ascii="Consolas" w:hAnsi="Consolas"/>
      <w:sz w:val="21"/>
      <w:szCs w:val="21"/>
    </w:rPr>
  </w:style>
  <w:style w:type="character" w:customStyle="1" w:styleId="ilfuvd">
    <w:name w:val="ilfuvd"/>
    <w:basedOn w:val="DefaultParagraphFont"/>
    <w:rsid w:val="007528BF"/>
  </w:style>
  <w:style w:type="character" w:customStyle="1" w:styleId="e24kjd">
    <w:name w:val="e24kjd"/>
    <w:basedOn w:val="DefaultParagraphFont"/>
    <w:rsid w:val="007528BF"/>
  </w:style>
  <w:style w:type="character" w:customStyle="1" w:styleId="st">
    <w:name w:val="st"/>
    <w:basedOn w:val="DefaultParagraphFont"/>
    <w:rsid w:val="007528BF"/>
  </w:style>
  <w:style w:type="character" w:styleId="CommentReference">
    <w:name w:val="annotation reference"/>
    <w:basedOn w:val="DefaultParagraphFont"/>
    <w:uiPriority w:val="99"/>
    <w:semiHidden/>
    <w:unhideWhenUsed/>
    <w:qFormat/>
    <w:rsid w:val="00C65AE9"/>
    <w:rPr>
      <w:sz w:val="16"/>
      <w:szCs w:val="16"/>
    </w:rPr>
  </w:style>
  <w:style w:type="character" w:styleId="Strong">
    <w:name w:val="Strong"/>
    <w:basedOn w:val="DefaultParagraphFont"/>
    <w:uiPriority w:val="22"/>
    <w:qFormat/>
    <w:rsid w:val="00C65AE9"/>
    <w:rPr>
      <w:b/>
      <w:bCs/>
    </w:rPr>
  </w:style>
  <w:style w:type="character" w:customStyle="1" w:styleId="InternetLink">
    <w:name w:val="Internet Link"/>
    <w:basedOn w:val="DefaultParagraphFont"/>
    <w:uiPriority w:val="99"/>
    <w:semiHidden/>
    <w:unhideWhenUsed/>
    <w:rsid w:val="00702893"/>
    <w:rPr>
      <w:color w:val="0000FF"/>
      <w:u w:val="single"/>
    </w:rPr>
  </w:style>
  <w:style w:type="paragraph" w:styleId="CommentText">
    <w:name w:val="annotation text"/>
    <w:basedOn w:val="Normal"/>
    <w:link w:val="CommentTextChar"/>
    <w:uiPriority w:val="99"/>
    <w:unhideWhenUsed/>
    <w:qFormat/>
    <w:rsid w:val="004D3A85"/>
    <w:pPr>
      <w:spacing w:line="240" w:lineRule="auto"/>
    </w:pPr>
    <w:rPr>
      <w:rFonts w:ascii="Arial" w:eastAsia="Arial" w:hAnsi="Arial" w:cs="Arial"/>
      <w:sz w:val="20"/>
      <w:szCs w:val="20"/>
      <w:lang w:val="en-GB"/>
    </w:rPr>
  </w:style>
  <w:style w:type="character" w:customStyle="1" w:styleId="CommentTextChar">
    <w:name w:val="Comment Text Char"/>
    <w:basedOn w:val="DefaultParagraphFont"/>
    <w:link w:val="CommentText"/>
    <w:uiPriority w:val="99"/>
    <w:qFormat/>
    <w:rsid w:val="004D3A85"/>
    <w:rPr>
      <w:rFonts w:ascii="Arial" w:eastAsia="Arial" w:hAnsi="Arial" w:cs="Arial"/>
      <w:sz w:val="20"/>
      <w:szCs w:val="20"/>
      <w:lang w:val="en-GB"/>
    </w:rPr>
  </w:style>
  <w:style w:type="paragraph" w:styleId="BalloonText">
    <w:name w:val="Balloon Text"/>
    <w:basedOn w:val="Normal"/>
    <w:link w:val="BalloonTextChar"/>
    <w:uiPriority w:val="99"/>
    <w:semiHidden/>
    <w:unhideWhenUsed/>
    <w:rsid w:val="003E21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191"/>
    <w:rPr>
      <w:rFonts w:ascii="Segoe UI" w:hAnsi="Segoe UI" w:cs="Segoe UI"/>
      <w:sz w:val="18"/>
      <w:szCs w:val="18"/>
    </w:rPr>
  </w:style>
  <w:style w:type="paragraph" w:customStyle="1" w:styleId="DecimalAligned">
    <w:name w:val="Decimal Aligned"/>
    <w:basedOn w:val="Normal"/>
    <w:uiPriority w:val="40"/>
    <w:qFormat/>
    <w:rsid w:val="003F3419"/>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3F3419"/>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3F3419"/>
    <w:rPr>
      <w:rFonts w:eastAsiaTheme="minorEastAsia" w:cs="Times New Roman"/>
      <w:sz w:val="20"/>
      <w:szCs w:val="20"/>
    </w:rPr>
  </w:style>
  <w:style w:type="character" w:styleId="SubtleEmphasis">
    <w:name w:val="Subtle Emphasis"/>
    <w:basedOn w:val="DefaultParagraphFont"/>
    <w:uiPriority w:val="19"/>
    <w:qFormat/>
    <w:rsid w:val="003F3419"/>
    <w:rPr>
      <w:i/>
      <w:iCs/>
    </w:rPr>
  </w:style>
  <w:style w:type="table" w:styleId="MediumShading2-Accent5">
    <w:name w:val="Medium Shading 2 Accent 5"/>
    <w:basedOn w:val="TableNormal"/>
    <w:uiPriority w:val="64"/>
    <w:rsid w:val="003F341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79940">
      <w:bodyDiv w:val="1"/>
      <w:marLeft w:val="0"/>
      <w:marRight w:val="0"/>
      <w:marTop w:val="0"/>
      <w:marBottom w:val="0"/>
      <w:divBdr>
        <w:top w:val="none" w:sz="0" w:space="0" w:color="auto"/>
        <w:left w:val="none" w:sz="0" w:space="0" w:color="auto"/>
        <w:bottom w:val="none" w:sz="0" w:space="0" w:color="auto"/>
        <w:right w:val="none" w:sz="0" w:space="0" w:color="auto"/>
      </w:divBdr>
    </w:div>
    <w:div w:id="105513340">
      <w:bodyDiv w:val="1"/>
      <w:marLeft w:val="0"/>
      <w:marRight w:val="0"/>
      <w:marTop w:val="0"/>
      <w:marBottom w:val="0"/>
      <w:divBdr>
        <w:top w:val="none" w:sz="0" w:space="0" w:color="auto"/>
        <w:left w:val="none" w:sz="0" w:space="0" w:color="auto"/>
        <w:bottom w:val="none" w:sz="0" w:space="0" w:color="auto"/>
        <w:right w:val="none" w:sz="0" w:space="0" w:color="auto"/>
      </w:divBdr>
    </w:div>
    <w:div w:id="387263327">
      <w:bodyDiv w:val="1"/>
      <w:marLeft w:val="0"/>
      <w:marRight w:val="0"/>
      <w:marTop w:val="0"/>
      <w:marBottom w:val="0"/>
      <w:divBdr>
        <w:top w:val="none" w:sz="0" w:space="0" w:color="auto"/>
        <w:left w:val="none" w:sz="0" w:space="0" w:color="auto"/>
        <w:bottom w:val="none" w:sz="0" w:space="0" w:color="auto"/>
        <w:right w:val="none" w:sz="0" w:space="0" w:color="auto"/>
      </w:divBdr>
    </w:div>
    <w:div w:id="404112623">
      <w:bodyDiv w:val="1"/>
      <w:marLeft w:val="0"/>
      <w:marRight w:val="0"/>
      <w:marTop w:val="0"/>
      <w:marBottom w:val="0"/>
      <w:divBdr>
        <w:top w:val="none" w:sz="0" w:space="0" w:color="auto"/>
        <w:left w:val="none" w:sz="0" w:space="0" w:color="auto"/>
        <w:bottom w:val="none" w:sz="0" w:space="0" w:color="auto"/>
        <w:right w:val="none" w:sz="0" w:space="0" w:color="auto"/>
      </w:divBdr>
    </w:div>
    <w:div w:id="439102825">
      <w:bodyDiv w:val="1"/>
      <w:marLeft w:val="0"/>
      <w:marRight w:val="0"/>
      <w:marTop w:val="0"/>
      <w:marBottom w:val="0"/>
      <w:divBdr>
        <w:top w:val="none" w:sz="0" w:space="0" w:color="auto"/>
        <w:left w:val="none" w:sz="0" w:space="0" w:color="auto"/>
        <w:bottom w:val="none" w:sz="0" w:space="0" w:color="auto"/>
        <w:right w:val="none" w:sz="0" w:space="0" w:color="auto"/>
      </w:divBdr>
    </w:div>
    <w:div w:id="483356502">
      <w:bodyDiv w:val="1"/>
      <w:marLeft w:val="0"/>
      <w:marRight w:val="0"/>
      <w:marTop w:val="0"/>
      <w:marBottom w:val="0"/>
      <w:divBdr>
        <w:top w:val="none" w:sz="0" w:space="0" w:color="auto"/>
        <w:left w:val="none" w:sz="0" w:space="0" w:color="auto"/>
        <w:bottom w:val="none" w:sz="0" w:space="0" w:color="auto"/>
        <w:right w:val="none" w:sz="0" w:space="0" w:color="auto"/>
      </w:divBdr>
    </w:div>
    <w:div w:id="511604371">
      <w:bodyDiv w:val="1"/>
      <w:marLeft w:val="0"/>
      <w:marRight w:val="0"/>
      <w:marTop w:val="0"/>
      <w:marBottom w:val="0"/>
      <w:divBdr>
        <w:top w:val="none" w:sz="0" w:space="0" w:color="auto"/>
        <w:left w:val="none" w:sz="0" w:space="0" w:color="auto"/>
        <w:bottom w:val="none" w:sz="0" w:space="0" w:color="auto"/>
        <w:right w:val="none" w:sz="0" w:space="0" w:color="auto"/>
      </w:divBdr>
    </w:div>
    <w:div w:id="656543409">
      <w:bodyDiv w:val="1"/>
      <w:marLeft w:val="0"/>
      <w:marRight w:val="0"/>
      <w:marTop w:val="0"/>
      <w:marBottom w:val="0"/>
      <w:divBdr>
        <w:top w:val="none" w:sz="0" w:space="0" w:color="auto"/>
        <w:left w:val="none" w:sz="0" w:space="0" w:color="auto"/>
        <w:bottom w:val="none" w:sz="0" w:space="0" w:color="auto"/>
        <w:right w:val="none" w:sz="0" w:space="0" w:color="auto"/>
      </w:divBdr>
    </w:div>
    <w:div w:id="812913554">
      <w:bodyDiv w:val="1"/>
      <w:marLeft w:val="0"/>
      <w:marRight w:val="0"/>
      <w:marTop w:val="0"/>
      <w:marBottom w:val="0"/>
      <w:divBdr>
        <w:top w:val="none" w:sz="0" w:space="0" w:color="auto"/>
        <w:left w:val="none" w:sz="0" w:space="0" w:color="auto"/>
        <w:bottom w:val="none" w:sz="0" w:space="0" w:color="auto"/>
        <w:right w:val="none" w:sz="0" w:space="0" w:color="auto"/>
      </w:divBdr>
    </w:div>
    <w:div w:id="898327615">
      <w:bodyDiv w:val="1"/>
      <w:marLeft w:val="0"/>
      <w:marRight w:val="0"/>
      <w:marTop w:val="0"/>
      <w:marBottom w:val="0"/>
      <w:divBdr>
        <w:top w:val="none" w:sz="0" w:space="0" w:color="auto"/>
        <w:left w:val="none" w:sz="0" w:space="0" w:color="auto"/>
        <w:bottom w:val="none" w:sz="0" w:space="0" w:color="auto"/>
        <w:right w:val="none" w:sz="0" w:space="0" w:color="auto"/>
      </w:divBdr>
    </w:div>
    <w:div w:id="1007561720">
      <w:bodyDiv w:val="1"/>
      <w:marLeft w:val="0"/>
      <w:marRight w:val="0"/>
      <w:marTop w:val="0"/>
      <w:marBottom w:val="0"/>
      <w:divBdr>
        <w:top w:val="none" w:sz="0" w:space="0" w:color="auto"/>
        <w:left w:val="none" w:sz="0" w:space="0" w:color="auto"/>
        <w:bottom w:val="none" w:sz="0" w:space="0" w:color="auto"/>
        <w:right w:val="none" w:sz="0" w:space="0" w:color="auto"/>
      </w:divBdr>
    </w:div>
    <w:div w:id="1034036647">
      <w:bodyDiv w:val="1"/>
      <w:marLeft w:val="0"/>
      <w:marRight w:val="0"/>
      <w:marTop w:val="0"/>
      <w:marBottom w:val="0"/>
      <w:divBdr>
        <w:top w:val="none" w:sz="0" w:space="0" w:color="auto"/>
        <w:left w:val="none" w:sz="0" w:space="0" w:color="auto"/>
        <w:bottom w:val="none" w:sz="0" w:space="0" w:color="auto"/>
        <w:right w:val="none" w:sz="0" w:space="0" w:color="auto"/>
      </w:divBdr>
    </w:div>
    <w:div w:id="1043019323">
      <w:bodyDiv w:val="1"/>
      <w:marLeft w:val="0"/>
      <w:marRight w:val="0"/>
      <w:marTop w:val="0"/>
      <w:marBottom w:val="0"/>
      <w:divBdr>
        <w:top w:val="none" w:sz="0" w:space="0" w:color="auto"/>
        <w:left w:val="none" w:sz="0" w:space="0" w:color="auto"/>
        <w:bottom w:val="none" w:sz="0" w:space="0" w:color="auto"/>
        <w:right w:val="none" w:sz="0" w:space="0" w:color="auto"/>
      </w:divBdr>
    </w:div>
    <w:div w:id="1080714448">
      <w:bodyDiv w:val="1"/>
      <w:marLeft w:val="0"/>
      <w:marRight w:val="0"/>
      <w:marTop w:val="0"/>
      <w:marBottom w:val="0"/>
      <w:divBdr>
        <w:top w:val="none" w:sz="0" w:space="0" w:color="auto"/>
        <w:left w:val="none" w:sz="0" w:space="0" w:color="auto"/>
        <w:bottom w:val="none" w:sz="0" w:space="0" w:color="auto"/>
        <w:right w:val="none" w:sz="0" w:space="0" w:color="auto"/>
      </w:divBdr>
    </w:div>
    <w:div w:id="1089303456">
      <w:bodyDiv w:val="1"/>
      <w:marLeft w:val="0"/>
      <w:marRight w:val="0"/>
      <w:marTop w:val="0"/>
      <w:marBottom w:val="0"/>
      <w:divBdr>
        <w:top w:val="none" w:sz="0" w:space="0" w:color="auto"/>
        <w:left w:val="none" w:sz="0" w:space="0" w:color="auto"/>
        <w:bottom w:val="none" w:sz="0" w:space="0" w:color="auto"/>
        <w:right w:val="none" w:sz="0" w:space="0" w:color="auto"/>
      </w:divBdr>
    </w:div>
    <w:div w:id="1178884516">
      <w:bodyDiv w:val="1"/>
      <w:marLeft w:val="0"/>
      <w:marRight w:val="0"/>
      <w:marTop w:val="0"/>
      <w:marBottom w:val="0"/>
      <w:divBdr>
        <w:top w:val="none" w:sz="0" w:space="0" w:color="auto"/>
        <w:left w:val="none" w:sz="0" w:space="0" w:color="auto"/>
        <w:bottom w:val="none" w:sz="0" w:space="0" w:color="auto"/>
        <w:right w:val="none" w:sz="0" w:space="0" w:color="auto"/>
      </w:divBdr>
    </w:div>
    <w:div w:id="1308316261">
      <w:bodyDiv w:val="1"/>
      <w:marLeft w:val="0"/>
      <w:marRight w:val="0"/>
      <w:marTop w:val="0"/>
      <w:marBottom w:val="0"/>
      <w:divBdr>
        <w:top w:val="none" w:sz="0" w:space="0" w:color="auto"/>
        <w:left w:val="none" w:sz="0" w:space="0" w:color="auto"/>
        <w:bottom w:val="none" w:sz="0" w:space="0" w:color="auto"/>
        <w:right w:val="none" w:sz="0" w:space="0" w:color="auto"/>
      </w:divBdr>
    </w:div>
    <w:div w:id="1344090893">
      <w:bodyDiv w:val="1"/>
      <w:marLeft w:val="0"/>
      <w:marRight w:val="0"/>
      <w:marTop w:val="0"/>
      <w:marBottom w:val="0"/>
      <w:divBdr>
        <w:top w:val="none" w:sz="0" w:space="0" w:color="auto"/>
        <w:left w:val="none" w:sz="0" w:space="0" w:color="auto"/>
        <w:bottom w:val="none" w:sz="0" w:space="0" w:color="auto"/>
        <w:right w:val="none" w:sz="0" w:space="0" w:color="auto"/>
      </w:divBdr>
    </w:div>
    <w:div w:id="1350570512">
      <w:bodyDiv w:val="1"/>
      <w:marLeft w:val="0"/>
      <w:marRight w:val="0"/>
      <w:marTop w:val="0"/>
      <w:marBottom w:val="0"/>
      <w:divBdr>
        <w:top w:val="none" w:sz="0" w:space="0" w:color="auto"/>
        <w:left w:val="none" w:sz="0" w:space="0" w:color="auto"/>
        <w:bottom w:val="none" w:sz="0" w:space="0" w:color="auto"/>
        <w:right w:val="none" w:sz="0" w:space="0" w:color="auto"/>
      </w:divBdr>
    </w:div>
    <w:div w:id="1384405080">
      <w:bodyDiv w:val="1"/>
      <w:marLeft w:val="0"/>
      <w:marRight w:val="0"/>
      <w:marTop w:val="0"/>
      <w:marBottom w:val="0"/>
      <w:divBdr>
        <w:top w:val="none" w:sz="0" w:space="0" w:color="auto"/>
        <w:left w:val="none" w:sz="0" w:space="0" w:color="auto"/>
        <w:bottom w:val="none" w:sz="0" w:space="0" w:color="auto"/>
        <w:right w:val="none" w:sz="0" w:space="0" w:color="auto"/>
      </w:divBdr>
    </w:div>
    <w:div w:id="1475365327">
      <w:bodyDiv w:val="1"/>
      <w:marLeft w:val="0"/>
      <w:marRight w:val="0"/>
      <w:marTop w:val="0"/>
      <w:marBottom w:val="0"/>
      <w:divBdr>
        <w:top w:val="none" w:sz="0" w:space="0" w:color="auto"/>
        <w:left w:val="none" w:sz="0" w:space="0" w:color="auto"/>
        <w:bottom w:val="none" w:sz="0" w:space="0" w:color="auto"/>
        <w:right w:val="none" w:sz="0" w:space="0" w:color="auto"/>
      </w:divBdr>
    </w:div>
    <w:div w:id="1491753453">
      <w:bodyDiv w:val="1"/>
      <w:marLeft w:val="0"/>
      <w:marRight w:val="0"/>
      <w:marTop w:val="0"/>
      <w:marBottom w:val="0"/>
      <w:divBdr>
        <w:top w:val="none" w:sz="0" w:space="0" w:color="auto"/>
        <w:left w:val="none" w:sz="0" w:space="0" w:color="auto"/>
        <w:bottom w:val="none" w:sz="0" w:space="0" w:color="auto"/>
        <w:right w:val="none" w:sz="0" w:space="0" w:color="auto"/>
      </w:divBdr>
    </w:div>
    <w:div w:id="1498377993">
      <w:bodyDiv w:val="1"/>
      <w:marLeft w:val="0"/>
      <w:marRight w:val="0"/>
      <w:marTop w:val="0"/>
      <w:marBottom w:val="0"/>
      <w:divBdr>
        <w:top w:val="none" w:sz="0" w:space="0" w:color="auto"/>
        <w:left w:val="none" w:sz="0" w:space="0" w:color="auto"/>
        <w:bottom w:val="none" w:sz="0" w:space="0" w:color="auto"/>
        <w:right w:val="none" w:sz="0" w:space="0" w:color="auto"/>
      </w:divBdr>
    </w:div>
    <w:div w:id="1500660708">
      <w:bodyDiv w:val="1"/>
      <w:marLeft w:val="0"/>
      <w:marRight w:val="0"/>
      <w:marTop w:val="0"/>
      <w:marBottom w:val="0"/>
      <w:divBdr>
        <w:top w:val="none" w:sz="0" w:space="0" w:color="auto"/>
        <w:left w:val="none" w:sz="0" w:space="0" w:color="auto"/>
        <w:bottom w:val="none" w:sz="0" w:space="0" w:color="auto"/>
        <w:right w:val="none" w:sz="0" w:space="0" w:color="auto"/>
      </w:divBdr>
    </w:div>
    <w:div w:id="1565725359">
      <w:bodyDiv w:val="1"/>
      <w:marLeft w:val="0"/>
      <w:marRight w:val="0"/>
      <w:marTop w:val="0"/>
      <w:marBottom w:val="0"/>
      <w:divBdr>
        <w:top w:val="none" w:sz="0" w:space="0" w:color="auto"/>
        <w:left w:val="none" w:sz="0" w:space="0" w:color="auto"/>
        <w:bottom w:val="none" w:sz="0" w:space="0" w:color="auto"/>
        <w:right w:val="none" w:sz="0" w:space="0" w:color="auto"/>
      </w:divBdr>
    </w:div>
    <w:div w:id="1571882968">
      <w:bodyDiv w:val="1"/>
      <w:marLeft w:val="0"/>
      <w:marRight w:val="0"/>
      <w:marTop w:val="0"/>
      <w:marBottom w:val="0"/>
      <w:divBdr>
        <w:top w:val="none" w:sz="0" w:space="0" w:color="auto"/>
        <w:left w:val="none" w:sz="0" w:space="0" w:color="auto"/>
        <w:bottom w:val="none" w:sz="0" w:space="0" w:color="auto"/>
        <w:right w:val="none" w:sz="0" w:space="0" w:color="auto"/>
      </w:divBdr>
    </w:div>
    <w:div w:id="1602447694">
      <w:bodyDiv w:val="1"/>
      <w:marLeft w:val="0"/>
      <w:marRight w:val="0"/>
      <w:marTop w:val="0"/>
      <w:marBottom w:val="0"/>
      <w:divBdr>
        <w:top w:val="none" w:sz="0" w:space="0" w:color="auto"/>
        <w:left w:val="none" w:sz="0" w:space="0" w:color="auto"/>
        <w:bottom w:val="none" w:sz="0" w:space="0" w:color="auto"/>
        <w:right w:val="none" w:sz="0" w:space="0" w:color="auto"/>
      </w:divBdr>
    </w:div>
    <w:div w:id="1646812312">
      <w:bodyDiv w:val="1"/>
      <w:marLeft w:val="0"/>
      <w:marRight w:val="0"/>
      <w:marTop w:val="0"/>
      <w:marBottom w:val="0"/>
      <w:divBdr>
        <w:top w:val="none" w:sz="0" w:space="0" w:color="auto"/>
        <w:left w:val="none" w:sz="0" w:space="0" w:color="auto"/>
        <w:bottom w:val="none" w:sz="0" w:space="0" w:color="auto"/>
        <w:right w:val="none" w:sz="0" w:space="0" w:color="auto"/>
      </w:divBdr>
    </w:div>
    <w:div w:id="1667441170">
      <w:bodyDiv w:val="1"/>
      <w:marLeft w:val="0"/>
      <w:marRight w:val="0"/>
      <w:marTop w:val="0"/>
      <w:marBottom w:val="0"/>
      <w:divBdr>
        <w:top w:val="none" w:sz="0" w:space="0" w:color="auto"/>
        <w:left w:val="none" w:sz="0" w:space="0" w:color="auto"/>
        <w:bottom w:val="none" w:sz="0" w:space="0" w:color="auto"/>
        <w:right w:val="none" w:sz="0" w:space="0" w:color="auto"/>
      </w:divBdr>
    </w:div>
    <w:div w:id="1712727705">
      <w:bodyDiv w:val="1"/>
      <w:marLeft w:val="0"/>
      <w:marRight w:val="0"/>
      <w:marTop w:val="0"/>
      <w:marBottom w:val="0"/>
      <w:divBdr>
        <w:top w:val="none" w:sz="0" w:space="0" w:color="auto"/>
        <w:left w:val="none" w:sz="0" w:space="0" w:color="auto"/>
        <w:bottom w:val="none" w:sz="0" w:space="0" w:color="auto"/>
        <w:right w:val="none" w:sz="0" w:space="0" w:color="auto"/>
      </w:divBdr>
    </w:div>
    <w:div w:id="1720205904">
      <w:bodyDiv w:val="1"/>
      <w:marLeft w:val="0"/>
      <w:marRight w:val="0"/>
      <w:marTop w:val="0"/>
      <w:marBottom w:val="0"/>
      <w:divBdr>
        <w:top w:val="none" w:sz="0" w:space="0" w:color="auto"/>
        <w:left w:val="none" w:sz="0" w:space="0" w:color="auto"/>
        <w:bottom w:val="none" w:sz="0" w:space="0" w:color="auto"/>
        <w:right w:val="none" w:sz="0" w:space="0" w:color="auto"/>
      </w:divBdr>
    </w:div>
    <w:div w:id="1727140465">
      <w:bodyDiv w:val="1"/>
      <w:marLeft w:val="0"/>
      <w:marRight w:val="0"/>
      <w:marTop w:val="0"/>
      <w:marBottom w:val="0"/>
      <w:divBdr>
        <w:top w:val="none" w:sz="0" w:space="0" w:color="auto"/>
        <w:left w:val="none" w:sz="0" w:space="0" w:color="auto"/>
        <w:bottom w:val="none" w:sz="0" w:space="0" w:color="auto"/>
        <w:right w:val="none" w:sz="0" w:space="0" w:color="auto"/>
      </w:divBdr>
    </w:div>
    <w:div w:id="1735660134">
      <w:bodyDiv w:val="1"/>
      <w:marLeft w:val="0"/>
      <w:marRight w:val="0"/>
      <w:marTop w:val="0"/>
      <w:marBottom w:val="0"/>
      <w:divBdr>
        <w:top w:val="none" w:sz="0" w:space="0" w:color="auto"/>
        <w:left w:val="none" w:sz="0" w:space="0" w:color="auto"/>
        <w:bottom w:val="none" w:sz="0" w:space="0" w:color="auto"/>
        <w:right w:val="none" w:sz="0" w:space="0" w:color="auto"/>
      </w:divBdr>
    </w:div>
    <w:div w:id="1768816697">
      <w:bodyDiv w:val="1"/>
      <w:marLeft w:val="0"/>
      <w:marRight w:val="0"/>
      <w:marTop w:val="0"/>
      <w:marBottom w:val="0"/>
      <w:divBdr>
        <w:top w:val="none" w:sz="0" w:space="0" w:color="auto"/>
        <w:left w:val="none" w:sz="0" w:space="0" w:color="auto"/>
        <w:bottom w:val="none" w:sz="0" w:space="0" w:color="auto"/>
        <w:right w:val="none" w:sz="0" w:space="0" w:color="auto"/>
      </w:divBdr>
    </w:div>
    <w:div w:id="1823814921">
      <w:bodyDiv w:val="1"/>
      <w:marLeft w:val="0"/>
      <w:marRight w:val="0"/>
      <w:marTop w:val="0"/>
      <w:marBottom w:val="0"/>
      <w:divBdr>
        <w:top w:val="none" w:sz="0" w:space="0" w:color="auto"/>
        <w:left w:val="none" w:sz="0" w:space="0" w:color="auto"/>
        <w:bottom w:val="none" w:sz="0" w:space="0" w:color="auto"/>
        <w:right w:val="none" w:sz="0" w:space="0" w:color="auto"/>
      </w:divBdr>
    </w:div>
    <w:div w:id="1849101681">
      <w:bodyDiv w:val="1"/>
      <w:marLeft w:val="0"/>
      <w:marRight w:val="0"/>
      <w:marTop w:val="0"/>
      <w:marBottom w:val="0"/>
      <w:divBdr>
        <w:top w:val="none" w:sz="0" w:space="0" w:color="auto"/>
        <w:left w:val="none" w:sz="0" w:space="0" w:color="auto"/>
        <w:bottom w:val="none" w:sz="0" w:space="0" w:color="auto"/>
        <w:right w:val="none" w:sz="0" w:space="0" w:color="auto"/>
      </w:divBdr>
    </w:div>
    <w:div w:id="1885629701">
      <w:bodyDiv w:val="1"/>
      <w:marLeft w:val="0"/>
      <w:marRight w:val="0"/>
      <w:marTop w:val="0"/>
      <w:marBottom w:val="0"/>
      <w:divBdr>
        <w:top w:val="none" w:sz="0" w:space="0" w:color="auto"/>
        <w:left w:val="none" w:sz="0" w:space="0" w:color="auto"/>
        <w:bottom w:val="none" w:sz="0" w:space="0" w:color="auto"/>
        <w:right w:val="none" w:sz="0" w:space="0" w:color="auto"/>
      </w:divBdr>
    </w:div>
    <w:div w:id="1940286649">
      <w:bodyDiv w:val="1"/>
      <w:marLeft w:val="0"/>
      <w:marRight w:val="0"/>
      <w:marTop w:val="0"/>
      <w:marBottom w:val="0"/>
      <w:divBdr>
        <w:top w:val="none" w:sz="0" w:space="0" w:color="auto"/>
        <w:left w:val="none" w:sz="0" w:space="0" w:color="auto"/>
        <w:bottom w:val="none" w:sz="0" w:space="0" w:color="auto"/>
        <w:right w:val="none" w:sz="0" w:space="0" w:color="auto"/>
      </w:divBdr>
    </w:div>
    <w:div w:id="2035304207">
      <w:bodyDiv w:val="1"/>
      <w:marLeft w:val="0"/>
      <w:marRight w:val="0"/>
      <w:marTop w:val="0"/>
      <w:marBottom w:val="0"/>
      <w:divBdr>
        <w:top w:val="none" w:sz="0" w:space="0" w:color="auto"/>
        <w:left w:val="none" w:sz="0" w:space="0" w:color="auto"/>
        <w:bottom w:val="none" w:sz="0" w:space="0" w:color="auto"/>
        <w:right w:val="none" w:sz="0" w:space="0" w:color="auto"/>
      </w:divBdr>
    </w:div>
    <w:div w:id="2075811723">
      <w:bodyDiv w:val="1"/>
      <w:marLeft w:val="0"/>
      <w:marRight w:val="0"/>
      <w:marTop w:val="0"/>
      <w:marBottom w:val="0"/>
      <w:divBdr>
        <w:top w:val="none" w:sz="0" w:space="0" w:color="auto"/>
        <w:left w:val="none" w:sz="0" w:space="0" w:color="auto"/>
        <w:bottom w:val="none" w:sz="0" w:space="0" w:color="auto"/>
        <w:right w:val="none" w:sz="0" w:space="0" w:color="auto"/>
      </w:divBdr>
    </w:div>
    <w:div w:id="213944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1066F65-C9E6-49A3-97B0-7E21F16A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Pages>
  <Words>86781</Words>
  <Characters>494657</Characters>
  <Application>Microsoft Office Word</Application>
  <DocSecurity>0</DocSecurity>
  <Lines>4122</Lines>
  <Paragraphs>1160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580278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Mehri Sajjadian</cp:lastModifiedBy>
  <cp:revision>327</cp:revision>
  <dcterms:created xsi:type="dcterms:W3CDTF">2020-02-10T03:33:00Z</dcterms:created>
  <dcterms:modified xsi:type="dcterms:W3CDTF">2021-09-02T16:53:00Z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http://www.zotero.org/styles/apa-old-doi-prefix</vt:lpwstr>
  </property>
  <property fmtid="{D5CDD505-2E9C-101B-9397-08002B2CF9AE}" pid="7" name="Mendeley Recent Style Name 2_1">
    <vt:lpwstr>American Psychological Association 6th edition ("doi:" DOI prefix)</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http://www.zotero.org/styles/la-trobe-university-apa</vt:lpwstr>
  </property>
  <property fmtid="{D5CDD505-2E9C-101B-9397-08002B2CF9AE}" pid="13" name="Mendeley Recent Style Name 5_1">
    <vt:lpwstr>La Trobe University - APA 6th edition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http://www.zotero.org/styles/psychological-medicine</vt:lpwstr>
  </property>
  <property fmtid="{D5CDD505-2E9C-101B-9397-08002B2CF9AE}" pid="19" name="Mendeley Recent Style Name 8_1">
    <vt:lpwstr>Psychological Medicine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Citation Style_1">
    <vt:lpwstr>http://www.zotero.org/styles/apa-6th-edition</vt:lpwstr>
  </property>
  <property fmtid="{D5CDD505-2E9C-101B-9397-08002B2CF9AE}" pid="24" name="Mendeley Unique User Id_1">
    <vt:lpwstr>02064ca9-3931-3acc-b793-7ad0145c7147</vt:lpwstr>
  </property>
</Properties>
</file>