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1DC30" w14:textId="3C7651EB" w:rsidR="00AF552B" w:rsidRPr="008E2DCC" w:rsidRDefault="00CA442B" w:rsidP="00506927">
      <w:pPr>
        <w:widowControl/>
        <w:wordWrap/>
        <w:autoSpaceDE/>
        <w:autoSpaceDN/>
        <w:spacing w:after="0" w:line="360" w:lineRule="auto"/>
        <w:rPr>
          <w:rFonts w:ascii="Times New Roman" w:hAnsi="Times New Roman" w:cs="Times New Roman"/>
          <w:b/>
          <w:sz w:val="24"/>
          <w:szCs w:val="24"/>
        </w:rPr>
      </w:pPr>
      <w:r w:rsidRPr="008E2DCC">
        <w:rPr>
          <w:rFonts w:ascii="Times New Roman" w:hAnsi="Times New Roman" w:cs="Times New Roman"/>
          <w:b/>
          <w:sz w:val="24"/>
          <w:szCs w:val="24"/>
        </w:rPr>
        <w:t>Online</w:t>
      </w:r>
      <w:r w:rsidR="00D46A70">
        <w:rPr>
          <w:rFonts w:ascii="Times New Roman" w:hAnsi="Times New Roman" w:cs="Times New Roman"/>
          <w:b/>
          <w:sz w:val="24"/>
          <w:szCs w:val="24"/>
        </w:rPr>
        <w:t xml:space="preserve"> </w:t>
      </w:r>
      <w:r w:rsidR="00D46A70" w:rsidRPr="008E2DCC">
        <w:rPr>
          <w:rFonts w:ascii="Times New Roman" w:hAnsi="Times New Roman" w:cs="Times New Roman" w:hint="eastAsia"/>
          <w:b/>
          <w:sz w:val="24"/>
          <w:szCs w:val="24"/>
        </w:rPr>
        <w:t>Supp</w:t>
      </w:r>
      <w:r w:rsidR="00D46A70" w:rsidRPr="008E2DCC">
        <w:rPr>
          <w:rFonts w:ascii="Times New Roman" w:hAnsi="Times New Roman" w:cs="Times New Roman"/>
          <w:b/>
          <w:sz w:val="24"/>
          <w:szCs w:val="24"/>
        </w:rPr>
        <w:t>lementary</w:t>
      </w:r>
      <w:r w:rsidRPr="008E2DCC">
        <w:rPr>
          <w:rFonts w:ascii="Times New Roman" w:hAnsi="Times New Roman" w:cs="Times New Roman"/>
          <w:b/>
          <w:sz w:val="24"/>
          <w:szCs w:val="24"/>
        </w:rPr>
        <w:t xml:space="preserve"> </w:t>
      </w:r>
      <w:r w:rsidR="00D46A70">
        <w:rPr>
          <w:rFonts w:ascii="Times New Roman" w:hAnsi="Times New Roman" w:cs="Times New Roman"/>
          <w:b/>
          <w:sz w:val="24"/>
          <w:szCs w:val="24"/>
        </w:rPr>
        <w:t>Material</w:t>
      </w:r>
      <w:r w:rsidR="00FE53AE" w:rsidRPr="008E2DCC">
        <w:rPr>
          <w:rFonts w:ascii="Times New Roman" w:hAnsi="Times New Roman" w:cs="Times New Roman"/>
          <w:b/>
          <w:sz w:val="24"/>
          <w:szCs w:val="24"/>
        </w:rPr>
        <w:t xml:space="preserve"> </w:t>
      </w:r>
    </w:p>
    <w:p w14:paraId="178B4EEA" w14:textId="77777777" w:rsidR="00CA442B" w:rsidRPr="008E2DCC" w:rsidRDefault="00CA442B" w:rsidP="00506927">
      <w:pPr>
        <w:widowControl/>
        <w:wordWrap/>
        <w:autoSpaceDE/>
        <w:autoSpaceDN/>
        <w:spacing w:after="0" w:line="360" w:lineRule="auto"/>
        <w:rPr>
          <w:rFonts w:ascii="Times New Roman" w:hAnsi="Times New Roman" w:cs="Times New Roman"/>
          <w:b/>
          <w:sz w:val="24"/>
          <w:szCs w:val="24"/>
        </w:rPr>
      </w:pPr>
    </w:p>
    <w:p w14:paraId="0F261B01" w14:textId="3A2AA453" w:rsidR="00375A0B" w:rsidRPr="008E2DCC" w:rsidRDefault="00B065B3" w:rsidP="00506927">
      <w:pPr>
        <w:widowControl/>
        <w:wordWrap/>
        <w:autoSpaceDE/>
        <w:autoSpaceDN/>
        <w:spacing w:after="0" w:line="360" w:lineRule="auto"/>
        <w:jc w:val="left"/>
        <w:rPr>
          <w:rFonts w:ascii="Times New Roman" w:hAnsi="Times New Roman" w:cs="Times New Roman"/>
          <w:b/>
          <w:sz w:val="24"/>
          <w:szCs w:val="24"/>
        </w:rPr>
      </w:pPr>
      <w:r w:rsidRPr="00B065B3">
        <w:rPr>
          <w:rFonts w:ascii="Times New Roman" w:hAnsi="Times New Roman" w:cs="Times New Roman"/>
          <w:b/>
          <w:sz w:val="24"/>
          <w:szCs w:val="24"/>
        </w:rPr>
        <w:t xml:space="preserve">Impact of </w:t>
      </w:r>
      <w:r w:rsidR="00CA424B">
        <w:rPr>
          <w:rFonts w:ascii="Times New Roman" w:hAnsi="Times New Roman" w:cs="Times New Roman"/>
          <w:b/>
          <w:sz w:val="24"/>
          <w:szCs w:val="24"/>
        </w:rPr>
        <w:t>d</w:t>
      </w:r>
      <w:r w:rsidRPr="00B065B3">
        <w:rPr>
          <w:rFonts w:ascii="Times New Roman" w:hAnsi="Times New Roman" w:cs="Times New Roman"/>
          <w:b/>
          <w:sz w:val="24"/>
          <w:szCs w:val="24"/>
        </w:rPr>
        <w:t xml:space="preserve">ata </w:t>
      </w:r>
      <w:r w:rsidR="00CA424B">
        <w:rPr>
          <w:rFonts w:ascii="Times New Roman" w:hAnsi="Times New Roman" w:cs="Times New Roman"/>
          <w:b/>
          <w:sz w:val="24"/>
          <w:szCs w:val="24"/>
        </w:rPr>
        <w:t>e</w:t>
      </w:r>
      <w:r w:rsidRPr="00B065B3">
        <w:rPr>
          <w:rFonts w:ascii="Times New Roman" w:hAnsi="Times New Roman" w:cs="Times New Roman"/>
          <w:b/>
          <w:sz w:val="24"/>
          <w:szCs w:val="24"/>
        </w:rPr>
        <w:t xml:space="preserve">xtraction </w:t>
      </w:r>
      <w:r w:rsidR="00CA424B">
        <w:rPr>
          <w:rFonts w:ascii="Times New Roman" w:hAnsi="Times New Roman" w:cs="Times New Roman"/>
          <w:b/>
          <w:sz w:val="24"/>
          <w:szCs w:val="24"/>
        </w:rPr>
        <w:t>e</w:t>
      </w:r>
      <w:r w:rsidRPr="00B065B3">
        <w:rPr>
          <w:rFonts w:ascii="Times New Roman" w:hAnsi="Times New Roman" w:cs="Times New Roman"/>
          <w:b/>
          <w:sz w:val="24"/>
          <w:szCs w:val="24"/>
        </w:rPr>
        <w:t xml:space="preserve">rrors in </w:t>
      </w:r>
      <w:r w:rsidR="00CA424B">
        <w:rPr>
          <w:rFonts w:ascii="Times New Roman" w:hAnsi="Times New Roman" w:cs="Times New Roman"/>
          <w:b/>
          <w:sz w:val="24"/>
          <w:szCs w:val="24"/>
        </w:rPr>
        <w:t>m</w:t>
      </w:r>
      <w:r w:rsidRPr="00B065B3">
        <w:rPr>
          <w:rFonts w:ascii="Times New Roman" w:hAnsi="Times New Roman" w:cs="Times New Roman"/>
          <w:b/>
          <w:sz w:val="24"/>
          <w:szCs w:val="24"/>
        </w:rPr>
        <w:t xml:space="preserve">eta-analyses on the </w:t>
      </w:r>
      <w:r w:rsidR="00CA424B">
        <w:rPr>
          <w:rFonts w:ascii="Times New Roman" w:hAnsi="Times New Roman" w:cs="Times New Roman"/>
          <w:b/>
          <w:sz w:val="24"/>
          <w:szCs w:val="24"/>
        </w:rPr>
        <w:t>a</w:t>
      </w:r>
      <w:r w:rsidRPr="00B065B3">
        <w:rPr>
          <w:rFonts w:ascii="Times New Roman" w:hAnsi="Times New Roman" w:cs="Times New Roman"/>
          <w:b/>
          <w:sz w:val="24"/>
          <w:szCs w:val="24"/>
        </w:rPr>
        <w:t xml:space="preserve">ssociation between </w:t>
      </w:r>
      <w:r w:rsidR="00CA424B">
        <w:rPr>
          <w:rFonts w:ascii="Times New Roman" w:hAnsi="Times New Roman" w:cs="Times New Roman"/>
          <w:b/>
          <w:sz w:val="24"/>
          <w:szCs w:val="24"/>
        </w:rPr>
        <w:t>d</w:t>
      </w:r>
      <w:r w:rsidRPr="00B065B3">
        <w:rPr>
          <w:rFonts w:ascii="Times New Roman" w:hAnsi="Times New Roman" w:cs="Times New Roman"/>
          <w:b/>
          <w:sz w:val="24"/>
          <w:szCs w:val="24"/>
        </w:rPr>
        <w:t xml:space="preserve">epression and </w:t>
      </w:r>
      <w:r w:rsidR="00CA424B">
        <w:rPr>
          <w:rFonts w:ascii="Times New Roman" w:hAnsi="Times New Roman" w:cs="Times New Roman"/>
          <w:b/>
          <w:sz w:val="24"/>
          <w:szCs w:val="24"/>
        </w:rPr>
        <w:t>p</w:t>
      </w:r>
      <w:r w:rsidRPr="00B065B3">
        <w:rPr>
          <w:rFonts w:ascii="Times New Roman" w:hAnsi="Times New Roman" w:cs="Times New Roman"/>
          <w:b/>
          <w:sz w:val="24"/>
          <w:szCs w:val="24"/>
        </w:rPr>
        <w:t xml:space="preserve">eripheral </w:t>
      </w:r>
      <w:r w:rsidR="00CA424B">
        <w:rPr>
          <w:rFonts w:ascii="Times New Roman" w:hAnsi="Times New Roman" w:cs="Times New Roman"/>
          <w:b/>
          <w:sz w:val="24"/>
          <w:szCs w:val="24"/>
        </w:rPr>
        <w:t>i</w:t>
      </w:r>
      <w:r w:rsidRPr="00B065B3">
        <w:rPr>
          <w:rFonts w:ascii="Times New Roman" w:hAnsi="Times New Roman" w:cs="Times New Roman"/>
          <w:b/>
          <w:sz w:val="24"/>
          <w:szCs w:val="24"/>
        </w:rPr>
        <w:t xml:space="preserve">nflammatory </w:t>
      </w:r>
      <w:r w:rsidR="00CA424B">
        <w:rPr>
          <w:rFonts w:ascii="Times New Roman" w:hAnsi="Times New Roman" w:cs="Times New Roman"/>
          <w:b/>
          <w:sz w:val="24"/>
          <w:szCs w:val="24"/>
        </w:rPr>
        <w:t>b</w:t>
      </w:r>
      <w:r w:rsidRPr="00B065B3">
        <w:rPr>
          <w:rFonts w:ascii="Times New Roman" w:hAnsi="Times New Roman" w:cs="Times New Roman"/>
          <w:b/>
          <w:sz w:val="24"/>
          <w:szCs w:val="24"/>
        </w:rPr>
        <w:t xml:space="preserve">iomarkers: An </w:t>
      </w:r>
      <w:r w:rsidR="00CA424B">
        <w:rPr>
          <w:rFonts w:ascii="Times New Roman" w:hAnsi="Times New Roman" w:cs="Times New Roman"/>
          <w:b/>
          <w:sz w:val="24"/>
          <w:szCs w:val="24"/>
        </w:rPr>
        <w:t>u</w:t>
      </w:r>
      <w:r w:rsidRPr="00B065B3">
        <w:rPr>
          <w:rFonts w:ascii="Times New Roman" w:hAnsi="Times New Roman" w:cs="Times New Roman"/>
          <w:b/>
          <w:sz w:val="24"/>
          <w:szCs w:val="24"/>
        </w:rPr>
        <w:t xml:space="preserve">mbrella </w:t>
      </w:r>
      <w:r w:rsidR="00CA424B">
        <w:rPr>
          <w:rFonts w:ascii="Times New Roman" w:hAnsi="Times New Roman" w:cs="Times New Roman"/>
          <w:b/>
          <w:sz w:val="24"/>
          <w:szCs w:val="24"/>
        </w:rPr>
        <w:t>r</w:t>
      </w:r>
      <w:r w:rsidRPr="00B065B3">
        <w:rPr>
          <w:rFonts w:ascii="Times New Roman" w:hAnsi="Times New Roman" w:cs="Times New Roman"/>
          <w:b/>
          <w:sz w:val="24"/>
          <w:szCs w:val="24"/>
        </w:rPr>
        <w:t>eview</w:t>
      </w:r>
    </w:p>
    <w:p w14:paraId="367E72DE" w14:textId="10658B0A" w:rsidR="00B065B3" w:rsidRPr="00CA424B" w:rsidRDefault="00B065B3">
      <w:pPr>
        <w:widowControl/>
        <w:wordWrap/>
        <w:autoSpaceDE/>
        <w:autoSpaceDN/>
        <w:spacing w:line="360" w:lineRule="auto"/>
        <w:rPr>
          <w:rFonts w:ascii="Times New Roman" w:hAnsi="Times New Roman" w:cs="Times New Roman"/>
          <w:sz w:val="24"/>
          <w:szCs w:val="24"/>
        </w:rPr>
      </w:pPr>
    </w:p>
    <w:p w14:paraId="7900EC95" w14:textId="1D94AC07" w:rsidR="00CA442B" w:rsidRPr="008E2DCC" w:rsidRDefault="00D46A70">
      <w:pPr>
        <w:widowControl/>
        <w:wordWrap/>
        <w:autoSpaceDE/>
        <w:autoSpaceDN/>
        <w:spacing w:line="360" w:lineRule="auto"/>
        <w:rPr>
          <w:rFonts w:ascii="Times New Roman" w:hAnsi="Times New Roman" w:cs="Times New Roman"/>
          <w:sz w:val="24"/>
          <w:szCs w:val="24"/>
        </w:rPr>
      </w:pPr>
      <w:r>
        <w:rPr>
          <w:rFonts w:ascii="Times New Roman" w:hAnsi="Times New Roman" w:cs="Times New Roman"/>
          <w:sz w:val="24"/>
          <w:szCs w:val="24"/>
        </w:rPr>
        <w:t xml:space="preserve">Supplementary </w:t>
      </w:r>
      <w:r w:rsidR="00CA442B" w:rsidRPr="008E2DCC">
        <w:rPr>
          <w:rFonts w:ascii="Times New Roman" w:hAnsi="Times New Roman" w:cs="Times New Roman" w:hint="eastAsia"/>
          <w:sz w:val="24"/>
          <w:szCs w:val="24"/>
        </w:rPr>
        <w:t>A</w:t>
      </w:r>
      <w:r w:rsidR="00CA442B" w:rsidRPr="008E2DCC">
        <w:rPr>
          <w:rFonts w:ascii="Times New Roman" w:hAnsi="Times New Roman" w:cs="Times New Roman"/>
          <w:sz w:val="24"/>
          <w:szCs w:val="24"/>
        </w:rPr>
        <w:t>ppendix 1. PRISMA Checklist</w:t>
      </w:r>
      <w:r w:rsidR="00243B7C">
        <w:rPr>
          <w:rFonts w:ascii="Times New Roman" w:hAnsi="Times New Roman" w:cs="Times New Roman"/>
          <w:sz w:val="24"/>
          <w:szCs w:val="24"/>
        </w:rPr>
        <w:t xml:space="preserve"> and MOOSE Checklist</w:t>
      </w:r>
    </w:p>
    <w:p w14:paraId="219467C5" w14:textId="1D51B867" w:rsidR="00FE53AE" w:rsidRPr="008E2DCC" w:rsidRDefault="00D46A70">
      <w:pPr>
        <w:widowControl/>
        <w:wordWrap/>
        <w:autoSpaceDE/>
        <w:autoSpaceDN/>
        <w:spacing w:line="360" w:lineRule="auto"/>
        <w:rPr>
          <w:rFonts w:ascii="Times New Roman" w:eastAsia="맑은 고딕" w:hAnsi="Times New Roman" w:cs="Times New Roman"/>
          <w:sz w:val="24"/>
          <w:szCs w:val="24"/>
        </w:rPr>
      </w:pPr>
      <w:r>
        <w:rPr>
          <w:rFonts w:ascii="Times New Roman" w:hAnsi="Times New Roman" w:cs="Times New Roman"/>
          <w:sz w:val="24"/>
          <w:szCs w:val="24"/>
        </w:rPr>
        <w:t xml:space="preserve">Supplementary </w:t>
      </w:r>
      <w:r w:rsidR="00CA442B" w:rsidRPr="008E2DCC">
        <w:rPr>
          <w:rFonts w:ascii="Times New Roman" w:hAnsi="Times New Roman" w:cs="Times New Roman"/>
          <w:sz w:val="24"/>
          <w:szCs w:val="24"/>
        </w:rPr>
        <w:t>F</w:t>
      </w:r>
      <w:r w:rsidR="00FE53AE" w:rsidRPr="008E2DCC">
        <w:rPr>
          <w:rFonts w:ascii="Times New Roman" w:hAnsi="Times New Roman" w:cs="Times New Roman"/>
          <w:sz w:val="24"/>
          <w:szCs w:val="24"/>
        </w:rPr>
        <w:t xml:space="preserve">igure 1. Forest plot of </w:t>
      </w:r>
      <w:r w:rsidR="00236992" w:rsidRPr="008E2DCC">
        <w:rPr>
          <w:rFonts w:ascii="Times New Roman" w:hAnsi="Times New Roman" w:cs="Times New Roman"/>
          <w:sz w:val="24"/>
          <w:szCs w:val="24"/>
        </w:rPr>
        <w:t xml:space="preserve">primary </w:t>
      </w:r>
      <w:r w:rsidR="00FE53AE" w:rsidRPr="008E2DCC">
        <w:rPr>
          <w:rFonts w:ascii="Times New Roman" w:hAnsi="Times New Roman" w:cs="Times New Roman"/>
          <w:sz w:val="24"/>
          <w:szCs w:val="24"/>
        </w:rPr>
        <w:t>studies that investigated TNF-</w:t>
      </w:r>
      <w:r w:rsidR="00FE53AE" w:rsidRPr="008E2DCC">
        <w:rPr>
          <w:rFonts w:ascii="Times New Roman" w:eastAsia="맑은 고딕" w:hAnsi="Times New Roman" w:cs="Times New Roman"/>
          <w:sz w:val="24"/>
          <w:szCs w:val="24"/>
        </w:rPr>
        <w:t>α.</w:t>
      </w:r>
    </w:p>
    <w:p w14:paraId="555DB2E1" w14:textId="6E239065" w:rsidR="00FE53AE" w:rsidRPr="008E2DCC" w:rsidRDefault="00D46A70">
      <w:pPr>
        <w:widowControl/>
        <w:wordWrap/>
        <w:autoSpaceDE/>
        <w:autoSpaceDN/>
        <w:spacing w:line="360" w:lineRule="auto"/>
        <w:rPr>
          <w:rFonts w:ascii="Times New Roman" w:eastAsia="맑은 고딕" w:hAnsi="Times New Roman" w:cs="Times New Roman"/>
          <w:sz w:val="24"/>
          <w:szCs w:val="24"/>
        </w:rPr>
      </w:pPr>
      <w:r>
        <w:rPr>
          <w:rFonts w:ascii="Times New Roman" w:hAnsi="Times New Roman" w:cs="Times New Roman"/>
          <w:sz w:val="24"/>
          <w:szCs w:val="24"/>
        </w:rPr>
        <w:t xml:space="preserve">Supplementary </w:t>
      </w:r>
      <w:r w:rsidR="00CA442B" w:rsidRPr="008E2DCC">
        <w:rPr>
          <w:rFonts w:ascii="Times New Roman" w:hAnsi="Times New Roman" w:cs="Times New Roman"/>
          <w:sz w:val="24"/>
          <w:szCs w:val="24"/>
        </w:rPr>
        <w:t>F</w:t>
      </w:r>
      <w:r w:rsidR="00FE53AE" w:rsidRPr="008E2DCC">
        <w:rPr>
          <w:rFonts w:ascii="Times New Roman" w:hAnsi="Times New Roman" w:cs="Times New Roman"/>
          <w:sz w:val="24"/>
          <w:szCs w:val="24"/>
        </w:rPr>
        <w:t xml:space="preserve">igure 2. Forest plot of </w:t>
      </w:r>
      <w:r w:rsidR="00236992" w:rsidRPr="008E2DCC">
        <w:rPr>
          <w:rFonts w:ascii="Times New Roman" w:hAnsi="Times New Roman" w:cs="Times New Roman"/>
          <w:sz w:val="24"/>
          <w:szCs w:val="24"/>
        </w:rPr>
        <w:t xml:space="preserve">primary </w:t>
      </w:r>
      <w:r w:rsidR="00FE53AE" w:rsidRPr="008E2DCC">
        <w:rPr>
          <w:rFonts w:ascii="Times New Roman" w:hAnsi="Times New Roman" w:cs="Times New Roman"/>
          <w:sz w:val="24"/>
          <w:szCs w:val="24"/>
        </w:rPr>
        <w:t>studies that investigated IL-1</w:t>
      </w:r>
      <w:r w:rsidR="00FE53AE" w:rsidRPr="008E2DCC">
        <w:rPr>
          <w:rFonts w:ascii="Times New Roman" w:eastAsia="맑은 고딕" w:hAnsi="Times New Roman" w:cs="Times New Roman"/>
          <w:sz w:val="24"/>
          <w:szCs w:val="24"/>
        </w:rPr>
        <w:t>β.</w:t>
      </w:r>
    </w:p>
    <w:p w14:paraId="06A43211" w14:textId="79FD5B15" w:rsidR="00FE53AE" w:rsidRPr="008E2DCC" w:rsidRDefault="00D46A70">
      <w:pPr>
        <w:widowControl/>
        <w:wordWrap/>
        <w:autoSpaceDE/>
        <w:autoSpaceDN/>
        <w:spacing w:line="360" w:lineRule="auto"/>
        <w:rPr>
          <w:rFonts w:ascii="Times New Roman" w:eastAsia="맑은 고딕" w:hAnsi="Times New Roman" w:cs="Times New Roman"/>
          <w:sz w:val="24"/>
          <w:szCs w:val="24"/>
        </w:rPr>
      </w:pPr>
      <w:r>
        <w:rPr>
          <w:rFonts w:ascii="Times New Roman" w:hAnsi="Times New Roman" w:cs="Times New Roman"/>
          <w:sz w:val="24"/>
          <w:szCs w:val="24"/>
        </w:rPr>
        <w:t xml:space="preserve">Supplementary </w:t>
      </w:r>
      <w:r w:rsidR="00CA442B" w:rsidRPr="008E2DCC">
        <w:rPr>
          <w:rFonts w:ascii="Times New Roman" w:hAnsi="Times New Roman" w:cs="Times New Roman"/>
          <w:sz w:val="24"/>
          <w:szCs w:val="24"/>
        </w:rPr>
        <w:t>F</w:t>
      </w:r>
      <w:r w:rsidR="00FE53AE" w:rsidRPr="008E2DCC">
        <w:rPr>
          <w:rFonts w:ascii="Times New Roman" w:hAnsi="Times New Roman" w:cs="Times New Roman"/>
          <w:sz w:val="24"/>
          <w:szCs w:val="24"/>
        </w:rPr>
        <w:t xml:space="preserve">igure 3. Forest plot of </w:t>
      </w:r>
      <w:r w:rsidR="00236992" w:rsidRPr="008E2DCC">
        <w:rPr>
          <w:rFonts w:ascii="Times New Roman" w:hAnsi="Times New Roman" w:cs="Times New Roman"/>
          <w:sz w:val="24"/>
          <w:szCs w:val="24"/>
        </w:rPr>
        <w:t xml:space="preserve">primary </w:t>
      </w:r>
      <w:r w:rsidR="00FE53AE" w:rsidRPr="008E2DCC">
        <w:rPr>
          <w:rFonts w:ascii="Times New Roman" w:hAnsi="Times New Roman" w:cs="Times New Roman"/>
          <w:sz w:val="24"/>
          <w:szCs w:val="24"/>
        </w:rPr>
        <w:t>studies that investigated IL-6</w:t>
      </w:r>
      <w:r w:rsidR="00FE53AE" w:rsidRPr="008E2DCC">
        <w:rPr>
          <w:rFonts w:ascii="Times New Roman" w:eastAsia="맑은 고딕" w:hAnsi="Times New Roman" w:cs="Times New Roman"/>
          <w:sz w:val="24"/>
          <w:szCs w:val="24"/>
        </w:rPr>
        <w:t>.</w:t>
      </w:r>
    </w:p>
    <w:p w14:paraId="64215EDC" w14:textId="14BA578D" w:rsidR="00FE53AE" w:rsidRPr="008E2DCC" w:rsidRDefault="00D46A70">
      <w:pPr>
        <w:widowControl/>
        <w:wordWrap/>
        <w:autoSpaceDE/>
        <w:autoSpaceDN/>
        <w:spacing w:line="360" w:lineRule="auto"/>
        <w:rPr>
          <w:rFonts w:ascii="Times New Roman" w:eastAsia="맑은 고딕" w:hAnsi="Times New Roman" w:cs="Times New Roman"/>
          <w:sz w:val="24"/>
          <w:szCs w:val="24"/>
        </w:rPr>
      </w:pPr>
      <w:r>
        <w:rPr>
          <w:rFonts w:ascii="Times New Roman" w:hAnsi="Times New Roman" w:cs="Times New Roman"/>
          <w:sz w:val="24"/>
          <w:szCs w:val="24"/>
        </w:rPr>
        <w:t xml:space="preserve">Supplementary </w:t>
      </w:r>
      <w:r w:rsidR="00CA442B" w:rsidRPr="008E2DCC">
        <w:rPr>
          <w:rFonts w:ascii="Times New Roman" w:hAnsi="Times New Roman" w:cs="Times New Roman"/>
          <w:sz w:val="24"/>
          <w:szCs w:val="24"/>
        </w:rPr>
        <w:t>F</w:t>
      </w:r>
      <w:r w:rsidR="00FE53AE" w:rsidRPr="008E2DCC">
        <w:rPr>
          <w:rFonts w:ascii="Times New Roman" w:hAnsi="Times New Roman" w:cs="Times New Roman"/>
          <w:sz w:val="24"/>
          <w:szCs w:val="24"/>
        </w:rPr>
        <w:t xml:space="preserve">igure 4. Forest plot of </w:t>
      </w:r>
      <w:r w:rsidR="00236992" w:rsidRPr="008E2DCC">
        <w:rPr>
          <w:rFonts w:ascii="Times New Roman" w:hAnsi="Times New Roman" w:cs="Times New Roman"/>
          <w:sz w:val="24"/>
          <w:szCs w:val="24"/>
        </w:rPr>
        <w:t xml:space="preserve">primary </w:t>
      </w:r>
      <w:r w:rsidR="00FE53AE" w:rsidRPr="008E2DCC">
        <w:rPr>
          <w:rFonts w:ascii="Times New Roman" w:hAnsi="Times New Roman" w:cs="Times New Roman"/>
          <w:sz w:val="24"/>
          <w:szCs w:val="24"/>
        </w:rPr>
        <w:t>studies that investigated CRP</w:t>
      </w:r>
      <w:r w:rsidR="00FE53AE" w:rsidRPr="008E2DCC">
        <w:rPr>
          <w:rFonts w:ascii="Times New Roman" w:eastAsia="맑은 고딕" w:hAnsi="Times New Roman" w:cs="Times New Roman"/>
          <w:sz w:val="24"/>
          <w:szCs w:val="24"/>
        </w:rPr>
        <w:t>.</w:t>
      </w:r>
    </w:p>
    <w:p w14:paraId="6F410FF6" w14:textId="4C3111E7" w:rsidR="00FE53AE" w:rsidRPr="008E2DCC" w:rsidRDefault="00D46A70">
      <w:pPr>
        <w:widowControl/>
        <w:wordWrap/>
        <w:autoSpaceDE/>
        <w:autoSpaceDN/>
        <w:spacing w:line="360" w:lineRule="auto"/>
        <w:rPr>
          <w:rFonts w:ascii="Times New Roman" w:eastAsia="맑은 고딕" w:hAnsi="Times New Roman" w:cs="Times New Roman"/>
          <w:sz w:val="24"/>
          <w:szCs w:val="24"/>
        </w:rPr>
      </w:pPr>
      <w:r>
        <w:rPr>
          <w:rFonts w:ascii="Times New Roman" w:hAnsi="Times New Roman" w:cs="Times New Roman"/>
          <w:sz w:val="24"/>
          <w:szCs w:val="24"/>
        </w:rPr>
        <w:t xml:space="preserve">Supplementary </w:t>
      </w:r>
      <w:r w:rsidR="00CA442B" w:rsidRPr="008E2DCC">
        <w:rPr>
          <w:rFonts w:ascii="Times New Roman" w:hAnsi="Times New Roman" w:cs="Times New Roman"/>
          <w:sz w:val="24"/>
          <w:szCs w:val="24"/>
        </w:rPr>
        <w:t>F</w:t>
      </w:r>
      <w:r w:rsidR="00FE53AE" w:rsidRPr="008E2DCC">
        <w:rPr>
          <w:rFonts w:ascii="Times New Roman" w:hAnsi="Times New Roman" w:cs="Times New Roman"/>
          <w:sz w:val="24"/>
          <w:szCs w:val="24"/>
        </w:rPr>
        <w:t xml:space="preserve">igure 5. Funnel plot of </w:t>
      </w:r>
      <w:r w:rsidR="00236992" w:rsidRPr="008E2DCC">
        <w:rPr>
          <w:rFonts w:ascii="Times New Roman" w:hAnsi="Times New Roman" w:cs="Times New Roman"/>
          <w:sz w:val="24"/>
          <w:szCs w:val="24"/>
        </w:rPr>
        <w:t xml:space="preserve">primary </w:t>
      </w:r>
      <w:r w:rsidR="00FE53AE" w:rsidRPr="008E2DCC">
        <w:rPr>
          <w:rFonts w:ascii="Times New Roman" w:hAnsi="Times New Roman" w:cs="Times New Roman"/>
          <w:sz w:val="24"/>
          <w:szCs w:val="24"/>
        </w:rPr>
        <w:t>studies that investigated TNF-</w:t>
      </w:r>
      <w:r w:rsidR="00FE53AE" w:rsidRPr="008E2DCC">
        <w:rPr>
          <w:rFonts w:ascii="Times New Roman" w:eastAsia="맑은 고딕" w:hAnsi="Times New Roman" w:cs="Times New Roman"/>
          <w:sz w:val="24"/>
          <w:szCs w:val="24"/>
        </w:rPr>
        <w:t>α.</w:t>
      </w:r>
    </w:p>
    <w:p w14:paraId="2E0E3BBE" w14:textId="22C2CD3F" w:rsidR="00FE53AE" w:rsidRPr="008E2DCC" w:rsidRDefault="00D46A70">
      <w:pPr>
        <w:widowControl/>
        <w:wordWrap/>
        <w:autoSpaceDE/>
        <w:autoSpaceDN/>
        <w:spacing w:line="360" w:lineRule="auto"/>
        <w:rPr>
          <w:rFonts w:ascii="Times New Roman" w:eastAsia="맑은 고딕" w:hAnsi="Times New Roman" w:cs="Times New Roman"/>
          <w:sz w:val="24"/>
          <w:szCs w:val="24"/>
        </w:rPr>
      </w:pPr>
      <w:r>
        <w:rPr>
          <w:rFonts w:ascii="Times New Roman" w:hAnsi="Times New Roman" w:cs="Times New Roman"/>
          <w:sz w:val="24"/>
          <w:szCs w:val="24"/>
        </w:rPr>
        <w:t xml:space="preserve">Supplementary </w:t>
      </w:r>
      <w:r w:rsidR="00CA442B" w:rsidRPr="008E2DCC">
        <w:rPr>
          <w:rFonts w:ascii="Times New Roman" w:hAnsi="Times New Roman" w:cs="Times New Roman"/>
          <w:sz w:val="24"/>
          <w:szCs w:val="24"/>
        </w:rPr>
        <w:t>F</w:t>
      </w:r>
      <w:r w:rsidR="00FE53AE" w:rsidRPr="008E2DCC">
        <w:rPr>
          <w:rFonts w:ascii="Times New Roman" w:hAnsi="Times New Roman" w:cs="Times New Roman"/>
          <w:sz w:val="24"/>
          <w:szCs w:val="24"/>
        </w:rPr>
        <w:t xml:space="preserve">igure 6. Funnel plot of </w:t>
      </w:r>
      <w:r w:rsidR="00236992" w:rsidRPr="008E2DCC">
        <w:rPr>
          <w:rFonts w:ascii="Times New Roman" w:hAnsi="Times New Roman" w:cs="Times New Roman"/>
          <w:sz w:val="24"/>
          <w:szCs w:val="24"/>
        </w:rPr>
        <w:t xml:space="preserve">primary </w:t>
      </w:r>
      <w:r w:rsidR="00FE53AE" w:rsidRPr="008E2DCC">
        <w:rPr>
          <w:rFonts w:ascii="Times New Roman" w:hAnsi="Times New Roman" w:cs="Times New Roman"/>
          <w:sz w:val="24"/>
          <w:szCs w:val="24"/>
        </w:rPr>
        <w:t>studies that investigated IL-1</w:t>
      </w:r>
      <w:r w:rsidR="00FE53AE" w:rsidRPr="008E2DCC">
        <w:rPr>
          <w:rFonts w:ascii="Times New Roman" w:eastAsia="맑은 고딕" w:hAnsi="Times New Roman" w:cs="Times New Roman"/>
          <w:sz w:val="24"/>
          <w:szCs w:val="24"/>
        </w:rPr>
        <w:t>β.</w:t>
      </w:r>
    </w:p>
    <w:p w14:paraId="7316A6BC" w14:textId="7575C3FA" w:rsidR="00FE53AE" w:rsidRPr="008E2DCC" w:rsidRDefault="00D46A70">
      <w:pPr>
        <w:widowControl/>
        <w:wordWrap/>
        <w:autoSpaceDE/>
        <w:autoSpaceDN/>
        <w:spacing w:line="360" w:lineRule="auto"/>
        <w:rPr>
          <w:rFonts w:ascii="Times New Roman" w:eastAsia="맑은 고딕" w:hAnsi="Times New Roman" w:cs="Times New Roman"/>
          <w:sz w:val="24"/>
          <w:szCs w:val="24"/>
        </w:rPr>
      </w:pPr>
      <w:r>
        <w:rPr>
          <w:rFonts w:ascii="Times New Roman" w:hAnsi="Times New Roman" w:cs="Times New Roman"/>
          <w:sz w:val="24"/>
          <w:szCs w:val="24"/>
        </w:rPr>
        <w:t xml:space="preserve">Supplementary </w:t>
      </w:r>
      <w:r w:rsidR="00CA442B" w:rsidRPr="008E2DCC">
        <w:rPr>
          <w:rFonts w:ascii="Times New Roman" w:hAnsi="Times New Roman" w:cs="Times New Roman"/>
          <w:sz w:val="24"/>
          <w:szCs w:val="24"/>
        </w:rPr>
        <w:t>F</w:t>
      </w:r>
      <w:r w:rsidR="00FE53AE" w:rsidRPr="008E2DCC">
        <w:rPr>
          <w:rFonts w:ascii="Times New Roman" w:hAnsi="Times New Roman" w:cs="Times New Roman"/>
          <w:sz w:val="24"/>
          <w:szCs w:val="24"/>
        </w:rPr>
        <w:t xml:space="preserve">igure 7. Funnel plot of </w:t>
      </w:r>
      <w:r w:rsidR="00236992" w:rsidRPr="008E2DCC">
        <w:rPr>
          <w:rFonts w:ascii="Times New Roman" w:hAnsi="Times New Roman" w:cs="Times New Roman"/>
          <w:sz w:val="24"/>
          <w:szCs w:val="24"/>
        </w:rPr>
        <w:t xml:space="preserve">primary </w:t>
      </w:r>
      <w:r w:rsidR="00FE53AE" w:rsidRPr="008E2DCC">
        <w:rPr>
          <w:rFonts w:ascii="Times New Roman" w:hAnsi="Times New Roman" w:cs="Times New Roman"/>
          <w:sz w:val="24"/>
          <w:szCs w:val="24"/>
        </w:rPr>
        <w:t>studies that investigated IL-6</w:t>
      </w:r>
      <w:r w:rsidR="00FE53AE" w:rsidRPr="008E2DCC">
        <w:rPr>
          <w:rFonts w:ascii="Times New Roman" w:eastAsia="맑은 고딕" w:hAnsi="Times New Roman" w:cs="Times New Roman"/>
          <w:sz w:val="24"/>
          <w:szCs w:val="24"/>
        </w:rPr>
        <w:t>.</w:t>
      </w:r>
    </w:p>
    <w:p w14:paraId="47077BC6" w14:textId="21F65EA1" w:rsidR="00FE53AE" w:rsidRPr="008E2DCC" w:rsidRDefault="00D46A70">
      <w:pPr>
        <w:widowControl/>
        <w:wordWrap/>
        <w:autoSpaceDE/>
        <w:autoSpaceDN/>
        <w:spacing w:line="360" w:lineRule="auto"/>
        <w:rPr>
          <w:rFonts w:ascii="Times New Roman" w:eastAsia="맑은 고딕" w:hAnsi="Times New Roman" w:cs="Times New Roman"/>
          <w:sz w:val="24"/>
          <w:szCs w:val="24"/>
        </w:rPr>
      </w:pPr>
      <w:r>
        <w:rPr>
          <w:rFonts w:ascii="Times New Roman" w:hAnsi="Times New Roman" w:cs="Times New Roman"/>
          <w:sz w:val="24"/>
          <w:szCs w:val="24"/>
        </w:rPr>
        <w:t xml:space="preserve">Supplementary </w:t>
      </w:r>
      <w:r w:rsidR="00CA442B" w:rsidRPr="008E2DCC">
        <w:rPr>
          <w:rFonts w:ascii="Times New Roman" w:hAnsi="Times New Roman" w:cs="Times New Roman"/>
          <w:sz w:val="24"/>
          <w:szCs w:val="24"/>
        </w:rPr>
        <w:t>F</w:t>
      </w:r>
      <w:r w:rsidR="00FE53AE" w:rsidRPr="008E2DCC">
        <w:rPr>
          <w:rFonts w:ascii="Times New Roman" w:hAnsi="Times New Roman" w:cs="Times New Roman"/>
          <w:sz w:val="24"/>
          <w:szCs w:val="24"/>
        </w:rPr>
        <w:t xml:space="preserve">igure 8. Funnel plot of </w:t>
      </w:r>
      <w:r w:rsidR="00236992" w:rsidRPr="008E2DCC">
        <w:rPr>
          <w:rFonts w:ascii="Times New Roman" w:hAnsi="Times New Roman" w:cs="Times New Roman"/>
          <w:sz w:val="24"/>
          <w:szCs w:val="24"/>
        </w:rPr>
        <w:t xml:space="preserve">primary </w:t>
      </w:r>
      <w:r w:rsidR="00FE53AE" w:rsidRPr="008E2DCC">
        <w:rPr>
          <w:rFonts w:ascii="Times New Roman" w:hAnsi="Times New Roman" w:cs="Times New Roman"/>
          <w:sz w:val="24"/>
          <w:szCs w:val="24"/>
        </w:rPr>
        <w:t>studies that investigated CRP</w:t>
      </w:r>
      <w:r w:rsidR="00FE53AE" w:rsidRPr="008E2DCC">
        <w:rPr>
          <w:rFonts w:ascii="Times New Roman" w:eastAsia="맑은 고딕" w:hAnsi="Times New Roman" w:cs="Times New Roman"/>
          <w:sz w:val="24"/>
          <w:szCs w:val="24"/>
        </w:rPr>
        <w:t>.</w:t>
      </w:r>
    </w:p>
    <w:p w14:paraId="1A21B0EC" w14:textId="62BCA677" w:rsidR="0089661C" w:rsidRPr="008E2DCC" w:rsidRDefault="00D46A70">
      <w:pPr>
        <w:widowControl/>
        <w:wordWrap/>
        <w:autoSpaceDE/>
        <w:autoSpaceDN/>
        <w:spacing w:line="360" w:lineRule="auto"/>
        <w:rPr>
          <w:rFonts w:ascii="Times New Roman" w:eastAsia="맑은 고딕" w:hAnsi="Times New Roman" w:cs="Times New Roman"/>
          <w:sz w:val="24"/>
          <w:szCs w:val="24"/>
        </w:rPr>
      </w:pPr>
      <w:r>
        <w:rPr>
          <w:rFonts w:ascii="Times New Roman" w:hAnsi="Times New Roman" w:cs="Times New Roman"/>
          <w:sz w:val="24"/>
          <w:szCs w:val="24"/>
        </w:rPr>
        <w:t xml:space="preserve">Supplementary </w:t>
      </w:r>
      <w:r w:rsidR="00CA442B" w:rsidRPr="008E2DCC">
        <w:rPr>
          <w:rFonts w:ascii="Times New Roman" w:eastAsia="맑은 고딕" w:hAnsi="Times New Roman" w:cs="Times New Roman"/>
          <w:sz w:val="24"/>
          <w:szCs w:val="24"/>
        </w:rPr>
        <w:t>R</w:t>
      </w:r>
      <w:r w:rsidR="00FE53AE" w:rsidRPr="008E2DCC">
        <w:rPr>
          <w:rFonts w:ascii="Times New Roman" w:eastAsia="맑은 고딕" w:hAnsi="Times New Roman" w:cs="Times New Roman"/>
          <w:sz w:val="24"/>
          <w:szCs w:val="24"/>
        </w:rPr>
        <w:t>eferences</w:t>
      </w:r>
    </w:p>
    <w:p w14:paraId="0B409440" w14:textId="7464EB05" w:rsidR="0089661C" w:rsidRPr="008E2DCC" w:rsidRDefault="0089661C">
      <w:pPr>
        <w:widowControl/>
        <w:wordWrap/>
        <w:autoSpaceDE/>
        <w:autoSpaceDN/>
        <w:spacing w:line="360" w:lineRule="auto"/>
        <w:rPr>
          <w:rFonts w:ascii="Times New Roman" w:eastAsia="맑은 고딕" w:hAnsi="Times New Roman" w:cs="Times New Roman"/>
          <w:sz w:val="24"/>
          <w:szCs w:val="24"/>
        </w:rPr>
      </w:pPr>
    </w:p>
    <w:p w14:paraId="5E990B3C" w14:textId="2134FA62" w:rsidR="0089661C" w:rsidRPr="008E2DCC" w:rsidRDefault="0089661C">
      <w:pPr>
        <w:widowControl/>
        <w:wordWrap/>
        <w:autoSpaceDE/>
        <w:autoSpaceDN/>
        <w:spacing w:line="360" w:lineRule="auto"/>
        <w:rPr>
          <w:rFonts w:ascii="Times New Roman" w:eastAsia="맑은 고딕" w:hAnsi="Times New Roman" w:cs="Times New Roman"/>
          <w:b/>
          <w:sz w:val="24"/>
          <w:szCs w:val="24"/>
        </w:rPr>
      </w:pPr>
      <w:r w:rsidRPr="008E2DCC">
        <w:rPr>
          <w:rFonts w:ascii="Times New Roman" w:eastAsia="맑은 고딕" w:hAnsi="Times New Roman" w:cs="Times New Roman" w:hint="eastAsia"/>
          <w:b/>
          <w:sz w:val="24"/>
          <w:szCs w:val="24"/>
        </w:rPr>
        <w:t xml:space="preserve">Number of </w:t>
      </w:r>
      <w:proofErr w:type="spellStart"/>
      <w:r w:rsidRPr="008E2DCC">
        <w:rPr>
          <w:rFonts w:ascii="Times New Roman" w:eastAsia="맑은 고딕" w:hAnsi="Times New Roman" w:cs="Times New Roman"/>
          <w:b/>
          <w:sz w:val="24"/>
          <w:szCs w:val="24"/>
        </w:rPr>
        <w:t>eAppendix</w:t>
      </w:r>
      <w:proofErr w:type="spellEnd"/>
      <w:r w:rsidRPr="008E2DCC">
        <w:rPr>
          <w:rFonts w:ascii="Times New Roman" w:eastAsia="맑은 고딕" w:hAnsi="Times New Roman" w:cs="Times New Roman"/>
          <w:b/>
          <w:sz w:val="24"/>
          <w:szCs w:val="24"/>
        </w:rPr>
        <w:t>: 1</w:t>
      </w:r>
    </w:p>
    <w:p w14:paraId="08763861" w14:textId="74ABF5C8" w:rsidR="0089661C" w:rsidRPr="008E2DCC" w:rsidRDefault="0089661C">
      <w:pPr>
        <w:widowControl/>
        <w:wordWrap/>
        <w:autoSpaceDE/>
        <w:autoSpaceDN/>
        <w:spacing w:line="360" w:lineRule="auto"/>
        <w:rPr>
          <w:rFonts w:ascii="Times New Roman" w:eastAsia="맑은 고딕" w:hAnsi="Times New Roman" w:cs="Times New Roman"/>
          <w:b/>
          <w:sz w:val="24"/>
          <w:szCs w:val="24"/>
        </w:rPr>
      </w:pPr>
      <w:r w:rsidRPr="008E2DCC">
        <w:rPr>
          <w:rFonts w:ascii="Times New Roman" w:eastAsia="맑은 고딕" w:hAnsi="Times New Roman" w:cs="Times New Roman"/>
          <w:b/>
          <w:sz w:val="24"/>
          <w:szCs w:val="24"/>
        </w:rPr>
        <w:t xml:space="preserve">Number of </w:t>
      </w:r>
      <w:proofErr w:type="spellStart"/>
      <w:r w:rsidRPr="008E2DCC">
        <w:rPr>
          <w:rFonts w:ascii="Times New Roman" w:eastAsia="맑은 고딕" w:hAnsi="Times New Roman" w:cs="Times New Roman"/>
          <w:b/>
          <w:sz w:val="24"/>
          <w:szCs w:val="24"/>
        </w:rPr>
        <w:t>eFigure</w:t>
      </w:r>
      <w:proofErr w:type="spellEnd"/>
      <w:r w:rsidRPr="008E2DCC">
        <w:rPr>
          <w:rFonts w:ascii="Times New Roman" w:eastAsia="맑은 고딕" w:hAnsi="Times New Roman" w:cs="Times New Roman"/>
          <w:b/>
          <w:sz w:val="24"/>
          <w:szCs w:val="24"/>
        </w:rPr>
        <w:t>: 8</w:t>
      </w:r>
    </w:p>
    <w:p w14:paraId="0400E1E3" w14:textId="7B646D85" w:rsidR="0089661C" w:rsidRDefault="0089661C">
      <w:pPr>
        <w:widowControl/>
        <w:wordWrap/>
        <w:autoSpaceDE/>
        <w:autoSpaceDN/>
        <w:spacing w:line="360" w:lineRule="auto"/>
        <w:rPr>
          <w:rFonts w:ascii="Times New Roman" w:eastAsia="맑은 고딕" w:hAnsi="Times New Roman" w:cs="Times New Roman"/>
          <w:sz w:val="22"/>
          <w:szCs w:val="20"/>
        </w:rPr>
      </w:pPr>
    </w:p>
    <w:p w14:paraId="2186859A" w14:textId="77777777" w:rsidR="0089661C" w:rsidRDefault="0089661C">
      <w:pPr>
        <w:widowControl/>
        <w:wordWrap/>
        <w:autoSpaceDE/>
        <w:autoSpaceDN/>
        <w:spacing w:line="360" w:lineRule="auto"/>
        <w:rPr>
          <w:rFonts w:ascii="Times New Roman" w:eastAsia="맑은 고딕" w:hAnsi="Times New Roman" w:cs="Times New Roman"/>
          <w:sz w:val="22"/>
          <w:szCs w:val="20"/>
        </w:rPr>
      </w:pPr>
    </w:p>
    <w:p w14:paraId="1C0EE6E6" w14:textId="20E4D1FD" w:rsidR="0089661C" w:rsidRDefault="0089661C">
      <w:pPr>
        <w:widowControl/>
        <w:wordWrap/>
        <w:autoSpaceDE/>
        <w:autoSpaceDN/>
        <w:spacing w:line="360" w:lineRule="auto"/>
        <w:rPr>
          <w:rFonts w:ascii="Times New Roman" w:eastAsia="맑은 고딕" w:hAnsi="Times New Roman" w:cs="Times New Roman"/>
          <w:sz w:val="22"/>
          <w:szCs w:val="20"/>
        </w:rPr>
      </w:pPr>
    </w:p>
    <w:p w14:paraId="055893E8" w14:textId="77777777" w:rsidR="0089661C" w:rsidRDefault="0089661C">
      <w:pPr>
        <w:widowControl/>
        <w:wordWrap/>
        <w:autoSpaceDE/>
        <w:autoSpaceDN/>
        <w:spacing w:line="360" w:lineRule="auto"/>
        <w:rPr>
          <w:rFonts w:ascii="Times New Roman" w:eastAsia="맑은 고딕" w:hAnsi="Times New Roman" w:cs="Times New Roman"/>
          <w:sz w:val="22"/>
          <w:szCs w:val="20"/>
        </w:rPr>
        <w:sectPr w:rsidR="0089661C" w:rsidSect="00252D7A">
          <w:footerReference w:type="default" r:id="rId6"/>
          <w:pgSz w:w="11906" w:h="16838"/>
          <w:pgMar w:top="1701" w:right="1440" w:bottom="1276" w:left="1440" w:header="851" w:footer="157" w:gutter="0"/>
          <w:cols w:space="425"/>
          <w:docGrid w:linePitch="360"/>
        </w:sectPr>
      </w:pPr>
    </w:p>
    <w:p w14:paraId="75E15591" w14:textId="0F161594" w:rsidR="00CA442B" w:rsidRDefault="00D46A70" w:rsidP="00E72CB1">
      <w:pPr>
        <w:widowControl/>
        <w:wordWrap/>
        <w:autoSpaceDE/>
        <w:autoSpaceDN/>
        <w:spacing w:after="0" w:line="360" w:lineRule="auto"/>
        <w:rPr>
          <w:rFonts w:ascii="Times New Roman" w:eastAsia="맑은 고딕" w:hAnsi="Times New Roman" w:cs="Times New Roman"/>
          <w:sz w:val="22"/>
          <w:szCs w:val="20"/>
        </w:rPr>
      </w:pPr>
      <w:r w:rsidRPr="00D46A70">
        <w:rPr>
          <w:rFonts w:ascii="Times New Roman" w:hAnsi="Times New Roman" w:cs="Times New Roman"/>
          <w:b/>
          <w:sz w:val="24"/>
          <w:szCs w:val="24"/>
        </w:rPr>
        <w:lastRenderedPageBreak/>
        <w:t xml:space="preserve">Supplementary </w:t>
      </w:r>
      <w:r w:rsidR="00CA442B" w:rsidRPr="00D46A70">
        <w:rPr>
          <w:rFonts w:ascii="Times New Roman" w:eastAsia="맑은 고딕" w:hAnsi="Times New Roman" w:cs="Times New Roman" w:hint="eastAsia"/>
          <w:b/>
          <w:sz w:val="22"/>
          <w:szCs w:val="20"/>
        </w:rPr>
        <w:t>A</w:t>
      </w:r>
      <w:r w:rsidR="00CA442B" w:rsidRPr="00CA442B">
        <w:rPr>
          <w:rFonts w:ascii="Times New Roman" w:eastAsia="맑은 고딕" w:hAnsi="Times New Roman" w:cs="Times New Roman"/>
          <w:b/>
          <w:sz w:val="22"/>
          <w:szCs w:val="20"/>
        </w:rPr>
        <w:t>ppendix 1.</w:t>
      </w:r>
      <w:r w:rsidR="00CA442B">
        <w:rPr>
          <w:rFonts w:ascii="Times New Roman" w:eastAsia="맑은 고딕" w:hAnsi="Times New Roman" w:cs="Times New Roman"/>
          <w:b/>
          <w:sz w:val="22"/>
          <w:szCs w:val="20"/>
        </w:rPr>
        <w:t xml:space="preserve"> </w:t>
      </w:r>
      <w:r w:rsidR="00CA442B">
        <w:rPr>
          <w:rFonts w:ascii="Times New Roman" w:eastAsia="맑은 고딕" w:hAnsi="Times New Roman" w:cs="Times New Roman"/>
          <w:sz w:val="22"/>
          <w:szCs w:val="20"/>
        </w:rPr>
        <w:t>PRISMA checklist</w:t>
      </w:r>
      <w:r w:rsidR="00E72CB1">
        <w:rPr>
          <w:rFonts w:ascii="Times New Roman" w:eastAsia="맑은 고딕" w:hAnsi="Times New Roman" w:cs="Times New Roman"/>
          <w:sz w:val="22"/>
          <w:szCs w:val="20"/>
        </w:rPr>
        <w:t xml:space="preserve"> and MOOSE Checklist</w:t>
      </w:r>
    </w:p>
    <w:p w14:paraId="7F9ABA9B" w14:textId="5618A451" w:rsidR="00E72CB1" w:rsidRDefault="00E72CB1" w:rsidP="00E72CB1">
      <w:pPr>
        <w:widowControl/>
        <w:wordWrap/>
        <w:autoSpaceDE/>
        <w:autoSpaceDN/>
        <w:spacing w:after="0" w:line="240" w:lineRule="auto"/>
        <w:rPr>
          <w:rFonts w:ascii="Times New Roman" w:eastAsia="맑은 고딕" w:hAnsi="Times New Roman" w:cs="Times New Roman"/>
          <w:sz w:val="22"/>
          <w:szCs w:val="20"/>
        </w:rPr>
      </w:pPr>
      <w:r>
        <w:rPr>
          <w:rFonts w:ascii="Times New Roman" w:eastAsia="맑은 고딕" w:hAnsi="Times New Roman" w:cs="Times New Roman" w:hint="eastAsia"/>
          <w:sz w:val="22"/>
          <w:szCs w:val="20"/>
        </w:rPr>
        <w:t>PRISMA 2</w:t>
      </w:r>
      <w:r>
        <w:rPr>
          <w:rFonts w:ascii="Times New Roman" w:eastAsia="맑은 고딕" w:hAnsi="Times New Roman" w:cs="Times New Roman"/>
          <w:sz w:val="22"/>
          <w:szCs w:val="20"/>
        </w:rPr>
        <w:t>009 Checklist</w:t>
      </w:r>
    </w:p>
    <w:tbl>
      <w:tblPr>
        <w:tblW w:w="15200" w:type="dxa"/>
        <w:tblBorders>
          <w:top w:val="nil"/>
          <w:left w:val="nil"/>
          <w:bottom w:val="nil"/>
          <w:right w:val="nil"/>
        </w:tblBorders>
        <w:tblLook w:val="0000" w:firstRow="0" w:lastRow="0" w:firstColumn="0" w:lastColumn="0" w:noHBand="0" w:noVBand="0"/>
      </w:tblPr>
      <w:tblGrid>
        <w:gridCol w:w="2787"/>
        <w:gridCol w:w="539"/>
        <w:gridCol w:w="10490"/>
        <w:gridCol w:w="1384"/>
      </w:tblGrid>
      <w:tr w:rsidR="00CA442B" w:rsidRPr="00CA442B" w14:paraId="5FAC7FAF" w14:textId="77777777" w:rsidTr="00FC3A79">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5173032" w14:textId="77777777" w:rsidR="00CA442B" w:rsidRPr="00BE515D" w:rsidRDefault="00CA442B" w:rsidP="00CA442B">
            <w:pPr>
              <w:wordWrap/>
              <w:adjustRightInd w:val="0"/>
              <w:spacing w:after="0" w:line="240" w:lineRule="auto"/>
              <w:jc w:val="left"/>
              <w:rPr>
                <w:rFonts w:ascii="Arial" w:eastAsia="맑은 고딕" w:hAnsi="Arial" w:cs="Arial"/>
                <w:color w:val="FFFFFF"/>
                <w:kern w:val="0"/>
                <w:sz w:val="24"/>
                <w:szCs w:val="24"/>
                <w:lang w:val="en-CA" w:eastAsia="en-CA"/>
              </w:rPr>
            </w:pPr>
            <w:r w:rsidRPr="00BE515D">
              <w:rPr>
                <w:rFonts w:ascii="Arial" w:eastAsia="맑은 고딕" w:hAnsi="Arial" w:cs="Arial"/>
                <w:b/>
                <w:bCs/>
                <w:color w:val="FFFFFF"/>
                <w:kern w:val="0"/>
                <w:sz w:val="24"/>
                <w:szCs w:val="24"/>
                <w:lang w:val="en-CA" w:eastAsia="en-CA"/>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5A0D797" w14:textId="77777777" w:rsidR="00CA442B" w:rsidRPr="00BE515D" w:rsidRDefault="00CA442B" w:rsidP="00CA442B">
            <w:pPr>
              <w:wordWrap/>
              <w:adjustRightInd w:val="0"/>
              <w:spacing w:after="0" w:line="240" w:lineRule="auto"/>
              <w:jc w:val="right"/>
              <w:rPr>
                <w:rFonts w:ascii="Arial" w:eastAsia="맑은 고딕" w:hAnsi="Arial" w:cs="Arial"/>
                <w:b/>
                <w:bCs/>
                <w:color w:val="FFFFFF"/>
                <w:kern w:val="0"/>
                <w:sz w:val="24"/>
                <w:szCs w:val="24"/>
                <w:lang w:val="en-CA" w:eastAsia="en-CA"/>
              </w:rPr>
            </w:pPr>
            <w:r w:rsidRPr="00BE515D">
              <w:rPr>
                <w:rFonts w:ascii="Arial" w:eastAsia="맑은 고딕" w:hAnsi="Arial" w:cs="Arial"/>
                <w:b/>
                <w:bCs/>
                <w:color w:val="FFFFFF"/>
                <w:kern w:val="0"/>
                <w:sz w:val="24"/>
                <w:szCs w:val="24"/>
                <w:lang w:val="en-CA" w:eastAsia="en-CA"/>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67B8536" w14:textId="77777777" w:rsidR="00CA442B" w:rsidRPr="00BE515D" w:rsidRDefault="00CA442B" w:rsidP="00CA442B">
            <w:pPr>
              <w:wordWrap/>
              <w:adjustRightInd w:val="0"/>
              <w:spacing w:after="0" w:line="240" w:lineRule="auto"/>
              <w:jc w:val="left"/>
              <w:rPr>
                <w:rFonts w:ascii="Arial" w:eastAsia="맑은 고딕" w:hAnsi="Arial" w:cs="Arial"/>
                <w:color w:val="FFFFFF"/>
                <w:kern w:val="0"/>
                <w:sz w:val="24"/>
                <w:szCs w:val="24"/>
                <w:lang w:val="en-CA" w:eastAsia="en-CA"/>
              </w:rPr>
            </w:pPr>
            <w:r w:rsidRPr="00BE515D">
              <w:rPr>
                <w:rFonts w:ascii="Arial" w:eastAsia="맑은 고딕" w:hAnsi="Arial" w:cs="Arial"/>
                <w:b/>
                <w:bCs/>
                <w:color w:val="FFFFFF"/>
                <w:kern w:val="0"/>
                <w:sz w:val="24"/>
                <w:szCs w:val="24"/>
                <w:lang w:val="en-CA" w:eastAsia="en-CA"/>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BB23BC9" w14:textId="77777777" w:rsidR="00CA442B" w:rsidRPr="00BE515D" w:rsidRDefault="00CA442B" w:rsidP="00CA442B">
            <w:pPr>
              <w:wordWrap/>
              <w:adjustRightInd w:val="0"/>
              <w:spacing w:after="0" w:line="240" w:lineRule="auto"/>
              <w:jc w:val="left"/>
              <w:rPr>
                <w:rFonts w:ascii="Arial" w:eastAsia="맑은 고딕" w:hAnsi="Arial" w:cs="Arial"/>
                <w:color w:val="FFFFFF"/>
                <w:kern w:val="0"/>
                <w:sz w:val="24"/>
                <w:szCs w:val="24"/>
                <w:lang w:val="en-CA" w:eastAsia="en-CA"/>
              </w:rPr>
            </w:pPr>
            <w:r w:rsidRPr="00BE515D">
              <w:rPr>
                <w:rFonts w:ascii="Arial" w:eastAsia="맑은 고딕" w:hAnsi="Arial" w:cs="Arial"/>
                <w:b/>
                <w:bCs/>
                <w:color w:val="FFFFFF"/>
                <w:kern w:val="0"/>
                <w:sz w:val="24"/>
                <w:szCs w:val="24"/>
                <w:lang w:val="en-CA" w:eastAsia="en-CA"/>
              </w:rPr>
              <w:t xml:space="preserve">Reported on page # </w:t>
            </w:r>
          </w:p>
        </w:tc>
      </w:tr>
      <w:tr w:rsidR="00CA442B" w:rsidRPr="00CA442B" w14:paraId="68CEC373" w14:textId="77777777" w:rsidTr="00FC3A7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7AB4B77" w14:textId="77777777" w:rsidR="00CA442B" w:rsidRPr="00BE515D" w:rsidRDefault="00CA442B" w:rsidP="00CA442B">
            <w:pPr>
              <w:wordWrap/>
              <w:adjustRightInd w:val="0"/>
              <w:spacing w:after="0" w:line="240" w:lineRule="auto"/>
              <w:jc w:val="left"/>
              <w:rPr>
                <w:rFonts w:ascii="Arial" w:eastAsia="맑은 고딕" w:hAnsi="Arial" w:cs="Arial"/>
                <w:color w:val="000000"/>
                <w:kern w:val="0"/>
                <w:szCs w:val="20"/>
                <w:lang w:val="en-CA" w:eastAsia="en-CA"/>
              </w:rPr>
            </w:pPr>
            <w:r w:rsidRPr="00BE515D">
              <w:rPr>
                <w:rFonts w:ascii="Arial" w:eastAsia="맑은 고딕" w:hAnsi="Arial" w:cs="Arial"/>
                <w:b/>
                <w:bCs/>
                <w:color w:val="000000"/>
                <w:kern w:val="0"/>
                <w:szCs w:val="20"/>
                <w:lang w:val="en-CA" w:eastAsia="en-CA"/>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017B0DD8" w14:textId="77777777" w:rsidR="00CA442B" w:rsidRPr="00BE515D" w:rsidRDefault="00CA442B" w:rsidP="00CA442B">
            <w:pPr>
              <w:wordWrap/>
              <w:adjustRightInd w:val="0"/>
              <w:spacing w:after="0" w:line="240" w:lineRule="auto"/>
              <w:jc w:val="right"/>
              <w:rPr>
                <w:rFonts w:ascii="Arial" w:eastAsia="맑은 고딕" w:hAnsi="Arial" w:cs="Arial"/>
                <w:kern w:val="0"/>
                <w:szCs w:val="20"/>
                <w:lang w:val="en-CA" w:eastAsia="en-CA"/>
              </w:rPr>
            </w:pPr>
          </w:p>
        </w:tc>
      </w:tr>
      <w:tr w:rsidR="00CA442B" w:rsidRPr="00CA442B" w14:paraId="54FD5B6C" w14:textId="77777777" w:rsidTr="00FC3A79">
        <w:trPr>
          <w:trHeight w:val="323"/>
        </w:trPr>
        <w:tc>
          <w:tcPr>
            <w:tcW w:w="2800" w:type="dxa"/>
            <w:tcBorders>
              <w:top w:val="single" w:sz="5" w:space="0" w:color="000000"/>
              <w:left w:val="single" w:sz="5" w:space="0" w:color="000000"/>
              <w:bottom w:val="double" w:sz="2" w:space="0" w:color="FFFFCC"/>
              <w:right w:val="single" w:sz="5" w:space="0" w:color="000000"/>
            </w:tcBorders>
          </w:tcPr>
          <w:p w14:paraId="5F2D0485"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5D133D47"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1</w:t>
            </w:r>
          </w:p>
        </w:tc>
        <w:tc>
          <w:tcPr>
            <w:tcW w:w="10600" w:type="dxa"/>
            <w:tcBorders>
              <w:top w:val="single" w:sz="5" w:space="0" w:color="000000"/>
              <w:left w:val="single" w:sz="5" w:space="0" w:color="000000"/>
              <w:bottom w:val="double" w:sz="5" w:space="0" w:color="000000"/>
              <w:right w:val="single" w:sz="5" w:space="0" w:color="000000"/>
            </w:tcBorders>
          </w:tcPr>
          <w:p w14:paraId="4622BA43"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Identify the report as a systematic review, </w:t>
            </w:r>
            <w:proofErr w:type="spellStart"/>
            <w:r w:rsidRPr="00BE515D">
              <w:rPr>
                <w:rFonts w:ascii="Arial" w:eastAsia="맑은 고딕" w:hAnsi="Arial" w:cs="Arial"/>
                <w:color w:val="000000"/>
                <w:kern w:val="0"/>
                <w:szCs w:val="20"/>
                <w:lang w:val="en-CA" w:eastAsia="en-CA"/>
              </w:rPr>
              <w:t>meta-analysis</w:t>
            </w:r>
            <w:proofErr w:type="spellEnd"/>
            <w:r w:rsidRPr="00BE515D">
              <w:rPr>
                <w:rFonts w:ascii="Arial" w:eastAsia="맑은 고딕" w:hAnsi="Arial" w:cs="Arial"/>
                <w:color w:val="000000"/>
                <w:kern w:val="0"/>
                <w:szCs w:val="20"/>
                <w:lang w:val="en-CA" w:eastAsia="en-CA"/>
              </w:rPr>
              <w:t xml:space="preserve">, or both. </w:t>
            </w:r>
          </w:p>
        </w:tc>
        <w:tc>
          <w:tcPr>
            <w:tcW w:w="1260" w:type="dxa"/>
            <w:tcBorders>
              <w:top w:val="single" w:sz="5" w:space="0" w:color="000000"/>
              <w:left w:val="single" w:sz="5" w:space="0" w:color="000000"/>
              <w:bottom w:val="double" w:sz="5" w:space="0" w:color="000000"/>
              <w:right w:val="single" w:sz="5" w:space="0" w:color="000000"/>
            </w:tcBorders>
          </w:tcPr>
          <w:p w14:paraId="3D5084A4" w14:textId="77777777" w:rsidR="00CA442B" w:rsidRPr="00BE515D" w:rsidRDefault="00CA442B" w:rsidP="00CA442B">
            <w:pPr>
              <w:wordWrap/>
              <w:adjustRightInd w:val="0"/>
              <w:spacing w:before="40" w:after="40" w:line="240" w:lineRule="auto"/>
              <w:jc w:val="left"/>
              <w:rPr>
                <w:rFonts w:ascii="Arial" w:eastAsia="맑은 고딕" w:hAnsi="Arial" w:cs="Arial"/>
                <w:kern w:val="0"/>
                <w:szCs w:val="20"/>
                <w:lang w:val="en-CA"/>
              </w:rPr>
            </w:pPr>
            <w:r w:rsidRPr="00BE515D">
              <w:rPr>
                <w:rFonts w:ascii="Arial" w:eastAsia="맑은 고딕" w:hAnsi="Arial" w:cs="Arial"/>
                <w:kern w:val="0"/>
                <w:szCs w:val="20"/>
                <w:lang w:val="en-CA"/>
              </w:rPr>
              <w:t>1</w:t>
            </w:r>
          </w:p>
        </w:tc>
      </w:tr>
      <w:tr w:rsidR="00CA442B" w:rsidRPr="00CA442B" w14:paraId="3A93AA78" w14:textId="77777777" w:rsidTr="00FC3A7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6A921E4" w14:textId="77777777" w:rsidR="00CA442B" w:rsidRPr="00BE515D" w:rsidRDefault="00CA442B" w:rsidP="00CA442B">
            <w:pPr>
              <w:wordWrap/>
              <w:adjustRightInd w:val="0"/>
              <w:spacing w:after="0" w:line="240" w:lineRule="auto"/>
              <w:jc w:val="left"/>
              <w:rPr>
                <w:rFonts w:ascii="Arial" w:eastAsia="맑은 고딕" w:hAnsi="Arial" w:cs="Arial"/>
                <w:color w:val="000000"/>
                <w:kern w:val="0"/>
                <w:szCs w:val="20"/>
                <w:lang w:val="en-CA" w:eastAsia="en-CA"/>
              </w:rPr>
            </w:pPr>
            <w:r w:rsidRPr="00BE515D">
              <w:rPr>
                <w:rFonts w:ascii="Arial" w:eastAsia="맑은 고딕" w:hAnsi="Arial" w:cs="Arial"/>
                <w:b/>
                <w:bCs/>
                <w:color w:val="000000"/>
                <w:kern w:val="0"/>
                <w:szCs w:val="20"/>
                <w:lang w:val="en-CA" w:eastAsia="en-CA"/>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185F1A1" w14:textId="77777777" w:rsidR="00CA442B" w:rsidRPr="00BE515D" w:rsidRDefault="00CA442B" w:rsidP="00CA442B">
            <w:pPr>
              <w:wordWrap/>
              <w:adjustRightInd w:val="0"/>
              <w:spacing w:after="0" w:line="240" w:lineRule="auto"/>
              <w:jc w:val="right"/>
              <w:rPr>
                <w:rFonts w:ascii="Arial" w:eastAsia="맑은 고딕" w:hAnsi="Arial" w:cs="Arial"/>
                <w:kern w:val="0"/>
                <w:szCs w:val="20"/>
                <w:lang w:val="en-CA" w:eastAsia="en-CA"/>
              </w:rPr>
            </w:pPr>
          </w:p>
        </w:tc>
      </w:tr>
      <w:tr w:rsidR="00CA442B" w:rsidRPr="00CA442B" w14:paraId="61C280E4" w14:textId="77777777" w:rsidTr="00FC3A79">
        <w:trPr>
          <w:trHeight w:val="810"/>
        </w:trPr>
        <w:tc>
          <w:tcPr>
            <w:tcW w:w="2800" w:type="dxa"/>
            <w:tcBorders>
              <w:top w:val="single" w:sz="5" w:space="0" w:color="000000"/>
              <w:left w:val="single" w:sz="5" w:space="0" w:color="000000"/>
              <w:bottom w:val="double" w:sz="2" w:space="0" w:color="FFFFCC"/>
              <w:right w:val="single" w:sz="5" w:space="0" w:color="000000"/>
            </w:tcBorders>
          </w:tcPr>
          <w:p w14:paraId="4DFF9688"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613ED08C"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2</w:t>
            </w:r>
          </w:p>
        </w:tc>
        <w:tc>
          <w:tcPr>
            <w:tcW w:w="10600" w:type="dxa"/>
            <w:tcBorders>
              <w:top w:val="single" w:sz="5" w:space="0" w:color="000000"/>
              <w:left w:val="single" w:sz="5" w:space="0" w:color="000000"/>
              <w:bottom w:val="double" w:sz="5" w:space="0" w:color="000000"/>
              <w:right w:val="single" w:sz="5" w:space="0" w:color="000000"/>
            </w:tcBorders>
          </w:tcPr>
          <w:p w14:paraId="41D36F57"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67632655" w14:textId="2BFC7667" w:rsidR="00CA442B" w:rsidRPr="00BE515D" w:rsidRDefault="00CA424B" w:rsidP="00CA442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4</w:t>
            </w:r>
            <w:r w:rsidR="00DC2436">
              <w:rPr>
                <w:rFonts w:ascii="Arial" w:eastAsia="맑은 고딕" w:hAnsi="Arial" w:cs="Arial"/>
                <w:kern w:val="0"/>
                <w:szCs w:val="20"/>
                <w:lang w:val="en-CA"/>
              </w:rPr>
              <w:t>-5</w:t>
            </w:r>
          </w:p>
        </w:tc>
      </w:tr>
      <w:tr w:rsidR="00CA442B" w:rsidRPr="00CA442B" w14:paraId="1966BF83" w14:textId="77777777" w:rsidTr="00FC3A7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DD787E3" w14:textId="77777777" w:rsidR="00CA442B" w:rsidRPr="00BE515D" w:rsidRDefault="00CA442B" w:rsidP="00CA442B">
            <w:pPr>
              <w:wordWrap/>
              <w:adjustRightInd w:val="0"/>
              <w:spacing w:after="0" w:line="240" w:lineRule="auto"/>
              <w:jc w:val="left"/>
              <w:rPr>
                <w:rFonts w:ascii="Arial" w:eastAsia="맑은 고딕" w:hAnsi="Arial" w:cs="Arial"/>
                <w:color w:val="000000"/>
                <w:kern w:val="0"/>
                <w:szCs w:val="20"/>
                <w:lang w:val="en-CA" w:eastAsia="en-CA"/>
              </w:rPr>
            </w:pPr>
            <w:r w:rsidRPr="00BE515D">
              <w:rPr>
                <w:rFonts w:ascii="Arial" w:eastAsia="맑은 고딕" w:hAnsi="Arial" w:cs="Arial"/>
                <w:b/>
                <w:bCs/>
                <w:color w:val="000000"/>
                <w:kern w:val="0"/>
                <w:szCs w:val="20"/>
                <w:lang w:val="en-CA" w:eastAsia="en-CA"/>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085003B" w14:textId="77777777" w:rsidR="00CA442B" w:rsidRPr="00BE515D" w:rsidRDefault="00CA442B" w:rsidP="00CA442B">
            <w:pPr>
              <w:wordWrap/>
              <w:adjustRightInd w:val="0"/>
              <w:spacing w:after="0" w:line="240" w:lineRule="auto"/>
              <w:jc w:val="right"/>
              <w:rPr>
                <w:rFonts w:ascii="Arial" w:eastAsia="맑은 고딕" w:hAnsi="Arial" w:cs="Arial"/>
                <w:kern w:val="0"/>
                <w:szCs w:val="20"/>
                <w:lang w:val="en-CA" w:eastAsia="en-CA"/>
              </w:rPr>
            </w:pPr>
          </w:p>
        </w:tc>
      </w:tr>
      <w:tr w:rsidR="00CA442B" w:rsidRPr="00CA442B" w14:paraId="4B172308" w14:textId="77777777" w:rsidTr="00FC3A79">
        <w:trPr>
          <w:trHeight w:val="333"/>
        </w:trPr>
        <w:tc>
          <w:tcPr>
            <w:tcW w:w="2800" w:type="dxa"/>
            <w:tcBorders>
              <w:top w:val="single" w:sz="5" w:space="0" w:color="000000"/>
              <w:left w:val="single" w:sz="5" w:space="0" w:color="000000"/>
              <w:bottom w:val="single" w:sz="5" w:space="0" w:color="000000"/>
              <w:right w:val="single" w:sz="5" w:space="0" w:color="000000"/>
            </w:tcBorders>
          </w:tcPr>
          <w:p w14:paraId="15CDC388"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11D30210"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3</w:t>
            </w:r>
          </w:p>
        </w:tc>
        <w:tc>
          <w:tcPr>
            <w:tcW w:w="10600" w:type="dxa"/>
            <w:tcBorders>
              <w:top w:val="single" w:sz="5" w:space="0" w:color="000000"/>
              <w:left w:val="single" w:sz="5" w:space="0" w:color="000000"/>
              <w:bottom w:val="single" w:sz="5" w:space="0" w:color="000000"/>
              <w:right w:val="single" w:sz="5" w:space="0" w:color="000000"/>
            </w:tcBorders>
          </w:tcPr>
          <w:p w14:paraId="6702E87E"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759E0AF4" w14:textId="2E4CCDAE" w:rsidR="00CA442B" w:rsidRPr="00BE515D" w:rsidRDefault="00DC2436" w:rsidP="00CA442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6</w:t>
            </w:r>
          </w:p>
        </w:tc>
      </w:tr>
      <w:tr w:rsidR="00CA442B" w:rsidRPr="00CA442B" w14:paraId="25B381B7" w14:textId="77777777" w:rsidTr="00FC3A79">
        <w:trPr>
          <w:trHeight w:val="568"/>
        </w:trPr>
        <w:tc>
          <w:tcPr>
            <w:tcW w:w="2800" w:type="dxa"/>
            <w:tcBorders>
              <w:top w:val="single" w:sz="5" w:space="0" w:color="000000"/>
              <w:left w:val="single" w:sz="5" w:space="0" w:color="000000"/>
              <w:bottom w:val="double" w:sz="2" w:space="0" w:color="FFFFCC"/>
              <w:right w:val="single" w:sz="5" w:space="0" w:color="000000"/>
            </w:tcBorders>
          </w:tcPr>
          <w:p w14:paraId="51A7D56D"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2EB3A98A"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4</w:t>
            </w:r>
          </w:p>
        </w:tc>
        <w:tc>
          <w:tcPr>
            <w:tcW w:w="10600" w:type="dxa"/>
            <w:tcBorders>
              <w:top w:val="single" w:sz="5" w:space="0" w:color="000000"/>
              <w:left w:val="single" w:sz="5" w:space="0" w:color="000000"/>
              <w:bottom w:val="double" w:sz="5" w:space="0" w:color="000000"/>
              <w:right w:val="single" w:sz="5" w:space="0" w:color="000000"/>
            </w:tcBorders>
          </w:tcPr>
          <w:p w14:paraId="3D7BDF09"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5428362F" w14:textId="6CD772A9" w:rsidR="00CA442B" w:rsidRPr="00BE515D" w:rsidRDefault="00DC2436" w:rsidP="00CA442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7</w:t>
            </w:r>
          </w:p>
        </w:tc>
      </w:tr>
      <w:tr w:rsidR="00CA442B" w:rsidRPr="00CA442B" w14:paraId="7B0E96FF" w14:textId="77777777" w:rsidTr="00FC3A7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2841EBF" w14:textId="77777777" w:rsidR="00CA442B" w:rsidRPr="00BE515D" w:rsidRDefault="00CA442B" w:rsidP="00CA442B">
            <w:pPr>
              <w:wordWrap/>
              <w:adjustRightInd w:val="0"/>
              <w:spacing w:after="0" w:line="240" w:lineRule="auto"/>
              <w:jc w:val="left"/>
              <w:rPr>
                <w:rFonts w:ascii="Arial" w:eastAsia="맑은 고딕" w:hAnsi="Arial" w:cs="Arial"/>
                <w:color w:val="000000"/>
                <w:kern w:val="0"/>
                <w:szCs w:val="20"/>
                <w:lang w:val="en-CA" w:eastAsia="en-CA"/>
              </w:rPr>
            </w:pPr>
            <w:r w:rsidRPr="00BE515D">
              <w:rPr>
                <w:rFonts w:ascii="Arial" w:eastAsia="맑은 고딕" w:hAnsi="Arial" w:cs="Arial"/>
                <w:b/>
                <w:bCs/>
                <w:color w:val="000000"/>
                <w:kern w:val="0"/>
                <w:szCs w:val="20"/>
                <w:lang w:val="en-CA" w:eastAsia="en-CA"/>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19C7A59" w14:textId="77777777" w:rsidR="00CA442B" w:rsidRPr="00BE515D" w:rsidRDefault="00CA442B" w:rsidP="00CA442B">
            <w:pPr>
              <w:wordWrap/>
              <w:adjustRightInd w:val="0"/>
              <w:spacing w:after="0" w:line="240" w:lineRule="auto"/>
              <w:jc w:val="right"/>
              <w:rPr>
                <w:rFonts w:ascii="Arial" w:eastAsia="맑은 고딕" w:hAnsi="Arial" w:cs="Arial"/>
                <w:kern w:val="0"/>
                <w:szCs w:val="20"/>
                <w:lang w:val="en-CA" w:eastAsia="en-CA"/>
              </w:rPr>
            </w:pPr>
          </w:p>
        </w:tc>
      </w:tr>
      <w:tr w:rsidR="00CA442B" w:rsidRPr="00CA442B" w14:paraId="249DD9A0"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79C3BFB3"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659E3B06"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5</w:t>
            </w:r>
          </w:p>
        </w:tc>
        <w:tc>
          <w:tcPr>
            <w:tcW w:w="10600" w:type="dxa"/>
            <w:tcBorders>
              <w:top w:val="single" w:sz="5" w:space="0" w:color="000000"/>
              <w:left w:val="single" w:sz="5" w:space="0" w:color="000000"/>
              <w:bottom w:val="single" w:sz="5" w:space="0" w:color="000000"/>
              <w:right w:val="single" w:sz="5" w:space="0" w:color="000000"/>
            </w:tcBorders>
          </w:tcPr>
          <w:p w14:paraId="024B3EE8"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1BB90913" w14:textId="0155897A" w:rsidR="00CA442B" w:rsidRPr="00BE515D" w:rsidRDefault="00DC2436" w:rsidP="00CA442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8</w:t>
            </w:r>
          </w:p>
        </w:tc>
      </w:tr>
      <w:tr w:rsidR="00CA442B" w:rsidRPr="00CA442B" w14:paraId="28FB0DCC"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56B290B0"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1B65874E"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6</w:t>
            </w:r>
          </w:p>
        </w:tc>
        <w:tc>
          <w:tcPr>
            <w:tcW w:w="10600" w:type="dxa"/>
            <w:tcBorders>
              <w:top w:val="single" w:sz="5" w:space="0" w:color="000000"/>
              <w:left w:val="single" w:sz="5" w:space="0" w:color="000000"/>
              <w:bottom w:val="single" w:sz="5" w:space="0" w:color="000000"/>
              <w:right w:val="single" w:sz="5" w:space="0" w:color="000000"/>
            </w:tcBorders>
          </w:tcPr>
          <w:p w14:paraId="21048D3C"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Specify study characteristics (e.g., PICOS, length of follow-up)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46AAFEBA" w14:textId="0060ECDB" w:rsidR="00CA442B" w:rsidRPr="00BE515D" w:rsidRDefault="00DC2436" w:rsidP="00DC2436">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8</w:t>
            </w:r>
            <w:r w:rsidR="0042627A">
              <w:rPr>
                <w:rFonts w:ascii="Arial" w:eastAsia="맑은 고딕" w:hAnsi="Arial" w:cs="Arial"/>
                <w:kern w:val="0"/>
                <w:szCs w:val="20"/>
                <w:lang w:val="en-CA"/>
              </w:rPr>
              <w:t>-</w:t>
            </w:r>
            <w:r>
              <w:rPr>
                <w:rFonts w:ascii="Arial" w:eastAsia="맑은 고딕" w:hAnsi="Arial" w:cs="Arial"/>
                <w:kern w:val="0"/>
                <w:szCs w:val="20"/>
                <w:lang w:val="en-CA"/>
              </w:rPr>
              <w:t>9</w:t>
            </w:r>
          </w:p>
        </w:tc>
      </w:tr>
      <w:tr w:rsidR="00CA442B" w:rsidRPr="00CA442B" w14:paraId="305BB340"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424D17FC"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229E0653"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7</w:t>
            </w:r>
          </w:p>
        </w:tc>
        <w:tc>
          <w:tcPr>
            <w:tcW w:w="10600" w:type="dxa"/>
            <w:tcBorders>
              <w:top w:val="single" w:sz="5" w:space="0" w:color="000000"/>
              <w:left w:val="single" w:sz="5" w:space="0" w:color="000000"/>
              <w:bottom w:val="single" w:sz="5" w:space="0" w:color="000000"/>
              <w:right w:val="single" w:sz="5" w:space="0" w:color="000000"/>
            </w:tcBorders>
          </w:tcPr>
          <w:p w14:paraId="23656796"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04439946" w14:textId="31F1C4D2" w:rsidR="00CA442B" w:rsidRPr="00BE515D" w:rsidRDefault="00DC2436" w:rsidP="00DC2436">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8</w:t>
            </w:r>
            <w:r w:rsidR="0042627A">
              <w:rPr>
                <w:rFonts w:ascii="Arial" w:eastAsia="맑은 고딕" w:hAnsi="Arial" w:cs="Arial"/>
                <w:kern w:val="0"/>
                <w:szCs w:val="20"/>
                <w:lang w:val="en-CA"/>
              </w:rPr>
              <w:t>-</w:t>
            </w:r>
            <w:r>
              <w:rPr>
                <w:rFonts w:ascii="Arial" w:eastAsia="맑은 고딕" w:hAnsi="Arial" w:cs="Arial"/>
                <w:kern w:val="0"/>
                <w:szCs w:val="20"/>
                <w:lang w:val="en-CA"/>
              </w:rPr>
              <w:t>9</w:t>
            </w:r>
          </w:p>
        </w:tc>
      </w:tr>
      <w:tr w:rsidR="00CA442B" w:rsidRPr="00CA442B" w14:paraId="07E458F5"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48F86728"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7C9A3940"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8</w:t>
            </w:r>
          </w:p>
        </w:tc>
        <w:tc>
          <w:tcPr>
            <w:tcW w:w="10600" w:type="dxa"/>
            <w:tcBorders>
              <w:top w:val="single" w:sz="5" w:space="0" w:color="000000"/>
              <w:left w:val="single" w:sz="5" w:space="0" w:color="000000"/>
              <w:bottom w:val="single" w:sz="5" w:space="0" w:color="000000"/>
              <w:right w:val="single" w:sz="5" w:space="0" w:color="000000"/>
            </w:tcBorders>
          </w:tcPr>
          <w:p w14:paraId="439356A5"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066FBE4E" w14:textId="3FD82EA1" w:rsidR="00CA442B" w:rsidRPr="00BE515D" w:rsidRDefault="00DC2436" w:rsidP="00DC2436">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8</w:t>
            </w:r>
            <w:r w:rsidR="0042627A">
              <w:rPr>
                <w:rFonts w:ascii="Arial" w:eastAsia="맑은 고딕" w:hAnsi="Arial" w:cs="Arial"/>
                <w:kern w:val="0"/>
                <w:szCs w:val="20"/>
                <w:lang w:val="en-CA"/>
              </w:rPr>
              <w:t>-</w:t>
            </w:r>
            <w:r>
              <w:rPr>
                <w:rFonts w:ascii="Arial" w:eastAsia="맑은 고딕" w:hAnsi="Arial" w:cs="Arial"/>
                <w:kern w:val="0"/>
                <w:szCs w:val="20"/>
                <w:lang w:val="en-CA"/>
              </w:rPr>
              <w:t>9</w:t>
            </w:r>
          </w:p>
        </w:tc>
      </w:tr>
      <w:tr w:rsidR="00CA442B" w:rsidRPr="00CA442B" w14:paraId="0305DCA0"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5E355F55"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40971FCA"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9</w:t>
            </w:r>
          </w:p>
        </w:tc>
        <w:tc>
          <w:tcPr>
            <w:tcW w:w="10600" w:type="dxa"/>
            <w:tcBorders>
              <w:top w:val="single" w:sz="5" w:space="0" w:color="000000"/>
              <w:left w:val="single" w:sz="5" w:space="0" w:color="000000"/>
              <w:bottom w:val="single" w:sz="5" w:space="0" w:color="000000"/>
              <w:right w:val="single" w:sz="5" w:space="0" w:color="000000"/>
            </w:tcBorders>
          </w:tcPr>
          <w:p w14:paraId="00AB4F0B"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State the process for selecting studies (i.e., screening, eligibility, included in systematic review, and, if applicable, included in the </w:t>
            </w:r>
            <w:proofErr w:type="spellStart"/>
            <w:r w:rsidRPr="00BE515D">
              <w:rPr>
                <w:rFonts w:ascii="Arial" w:eastAsia="맑은 고딕" w:hAnsi="Arial" w:cs="Arial"/>
                <w:color w:val="000000"/>
                <w:kern w:val="0"/>
                <w:szCs w:val="20"/>
                <w:lang w:val="en-CA" w:eastAsia="en-CA"/>
              </w:rPr>
              <w:t>meta-analysis</w:t>
            </w:r>
            <w:proofErr w:type="spellEnd"/>
            <w:r w:rsidRPr="00BE515D">
              <w:rPr>
                <w:rFonts w:ascii="Arial" w:eastAsia="맑은 고딕" w:hAnsi="Arial" w:cs="Arial"/>
                <w:color w:val="000000"/>
                <w:kern w:val="0"/>
                <w:szCs w:val="20"/>
                <w:lang w:val="en-CA" w:eastAsia="en-CA"/>
              </w:rPr>
              <w:t xml:space="preserve">). </w:t>
            </w:r>
          </w:p>
        </w:tc>
        <w:tc>
          <w:tcPr>
            <w:tcW w:w="1260" w:type="dxa"/>
            <w:tcBorders>
              <w:top w:val="single" w:sz="5" w:space="0" w:color="000000"/>
              <w:left w:val="single" w:sz="5" w:space="0" w:color="000000"/>
              <w:bottom w:val="single" w:sz="5" w:space="0" w:color="000000"/>
              <w:right w:val="single" w:sz="5" w:space="0" w:color="000000"/>
            </w:tcBorders>
          </w:tcPr>
          <w:p w14:paraId="4704177C" w14:textId="786FAD67" w:rsidR="00CA442B" w:rsidRPr="00BE515D" w:rsidRDefault="00DC2436" w:rsidP="00DC2436">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8</w:t>
            </w:r>
            <w:r w:rsidR="0042627A">
              <w:rPr>
                <w:rFonts w:ascii="Arial" w:eastAsia="맑은 고딕" w:hAnsi="Arial" w:cs="Arial"/>
                <w:kern w:val="0"/>
                <w:szCs w:val="20"/>
                <w:lang w:val="en-CA"/>
              </w:rPr>
              <w:t>-</w:t>
            </w:r>
            <w:r>
              <w:rPr>
                <w:rFonts w:ascii="Arial" w:eastAsia="맑은 고딕" w:hAnsi="Arial" w:cs="Arial"/>
                <w:kern w:val="0"/>
                <w:szCs w:val="20"/>
                <w:lang w:val="en-CA"/>
              </w:rPr>
              <w:t>9</w:t>
            </w:r>
          </w:p>
        </w:tc>
      </w:tr>
      <w:tr w:rsidR="00CA442B" w:rsidRPr="00CA442B" w14:paraId="2DB39AA9"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12ED8646"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3D44DBFC"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10</w:t>
            </w:r>
          </w:p>
        </w:tc>
        <w:tc>
          <w:tcPr>
            <w:tcW w:w="10600" w:type="dxa"/>
            <w:tcBorders>
              <w:top w:val="single" w:sz="5" w:space="0" w:color="000000"/>
              <w:left w:val="single" w:sz="5" w:space="0" w:color="000000"/>
              <w:bottom w:val="single" w:sz="5" w:space="0" w:color="000000"/>
              <w:right w:val="single" w:sz="5" w:space="0" w:color="000000"/>
            </w:tcBorders>
          </w:tcPr>
          <w:p w14:paraId="15B83801"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57492F97" w14:textId="610DD6DB" w:rsidR="00CA442B" w:rsidRPr="00BE515D" w:rsidRDefault="00DC2436" w:rsidP="00CA424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hint="eastAsia"/>
                <w:kern w:val="0"/>
                <w:szCs w:val="20"/>
                <w:lang w:val="en-CA"/>
              </w:rPr>
              <w:t>9</w:t>
            </w:r>
          </w:p>
        </w:tc>
      </w:tr>
      <w:tr w:rsidR="00CA442B" w:rsidRPr="00CA442B" w14:paraId="76BEF17A"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5E4100F6"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7ECEC6B6"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11</w:t>
            </w:r>
          </w:p>
        </w:tc>
        <w:tc>
          <w:tcPr>
            <w:tcW w:w="10600" w:type="dxa"/>
            <w:tcBorders>
              <w:top w:val="single" w:sz="5" w:space="0" w:color="000000"/>
              <w:left w:val="single" w:sz="5" w:space="0" w:color="000000"/>
              <w:bottom w:val="single" w:sz="5" w:space="0" w:color="000000"/>
              <w:right w:val="single" w:sz="5" w:space="0" w:color="000000"/>
            </w:tcBorders>
          </w:tcPr>
          <w:p w14:paraId="5DAA4327"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67DF25ED" w14:textId="0B4FE7E8" w:rsidR="00CA442B" w:rsidRPr="00BE515D" w:rsidRDefault="00DC2436" w:rsidP="00CA424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9</w:t>
            </w:r>
          </w:p>
        </w:tc>
      </w:tr>
      <w:tr w:rsidR="00CA442B" w:rsidRPr="008E2DCC" w14:paraId="25DEAE62"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7041C04B" w14:textId="77777777" w:rsidR="00CA442B" w:rsidRPr="00BE515D" w:rsidRDefault="00CA442B" w:rsidP="00FC3A79">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257AE4E0" w14:textId="77777777" w:rsidR="00CA442B" w:rsidRPr="00BE515D" w:rsidRDefault="00CA442B" w:rsidP="00FC3A79">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12</w:t>
            </w:r>
          </w:p>
        </w:tc>
        <w:tc>
          <w:tcPr>
            <w:tcW w:w="10600" w:type="dxa"/>
            <w:tcBorders>
              <w:top w:val="single" w:sz="5" w:space="0" w:color="000000"/>
              <w:left w:val="single" w:sz="5" w:space="0" w:color="000000"/>
              <w:bottom w:val="single" w:sz="5" w:space="0" w:color="000000"/>
              <w:right w:val="single" w:sz="5" w:space="0" w:color="000000"/>
            </w:tcBorders>
          </w:tcPr>
          <w:p w14:paraId="76AB20F1" w14:textId="77777777" w:rsidR="00CA442B" w:rsidRPr="00BE515D" w:rsidRDefault="00CA442B" w:rsidP="00FC3A79">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1E1BA6E7" w14:textId="25526430" w:rsidR="00CA442B" w:rsidRPr="00BE515D" w:rsidRDefault="0042627A" w:rsidP="00CA424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1</w:t>
            </w:r>
            <w:r w:rsidR="00CA424B">
              <w:rPr>
                <w:rFonts w:ascii="Arial" w:eastAsia="맑은 고딕" w:hAnsi="Arial" w:cs="Arial"/>
                <w:kern w:val="0"/>
                <w:szCs w:val="20"/>
                <w:lang w:val="en-CA"/>
              </w:rPr>
              <w:t>0</w:t>
            </w:r>
            <w:r w:rsidR="00DC2436">
              <w:rPr>
                <w:rFonts w:ascii="Arial" w:eastAsia="맑은 고딕" w:hAnsi="Arial" w:cs="Arial"/>
                <w:kern w:val="0"/>
                <w:szCs w:val="20"/>
                <w:lang w:val="en-CA"/>
              </w:rPr>
              <w:t>-11</w:t>
            </w:r>
          </w:p>
        </w:tc>
      </w:tr>
      <w:tr w:rsidR="00CA442B" w:rsidRPr="00CA442B" w14:paraId="3B70F81E" w14:textId="77777777" w:rsidTr="00FC3A79">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A4F7990" w14:textId="77777777" w:rsidR="00CA442B" w:rsidRPr="00BE515D" w:rsidRDefault="00CA442B" w:rsidP="00CA442B">
            <w:pPr>
              <w:wordWrap/>
              <w:adjustRightInd w:val="0"/>
              <w:spacing w:after="0" w:line="240" w:lineRule="auto"/>
              <w:jc w:val="left"/>
              <w:rPr>
                <w:rFonts w:ascii="Arial" w:eastAsia="맑은 고딕" w:hAnsi="Arial" w:cs="Arial"/>
                <w:color w:val="FFFFFF"/>
                <w:kern w:val="0"/>
                <w:sz w:val="24"/>
                <w:szCs w:val="20"/>
                <w:lang w:val="en-CA" w:eastAsia="en-CA"/>
              </w:rPr>
            </w:pPr>
            <w:r w:rsidRPr="00BE515D">
              <w:rPr>
                <w:rFonts w:ascii="Arial" w:eastAsia="맑은 고딕" w:hAnsi="Arial" w:cs="Arial"/>
                <w:b/>
                <w:bCs/>
                <w:color w:val="FFFFFF"/>
                <w:kern w:val="0"/>
                <w:sz w:val="24"/>
                <w:szCs w:val="20"/>
                <w:lang w:val="en-CA" w:eastAsia="en-CA"/>
              </w:rPr>
              <w:lastRenderedPageBreak/>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5F75344" w14:textId="77777777" w:rsidR="00CA442B" w:rsidRPr="00BE515D" w:rsidRDefault="00CA442B" w:rsidP="00CA442B">
            <w:pPr>
              <w:wordWrap/>
              <w:adjustRightInd w:val="0"/>
              <w:spacing w:after="0" w:line="240" w:lineRule="auto"/>
              <w:jc w:val="right"/>
              <w:rPr>
                <w:rFonts w:ascii="Arial" w:eastAsia="맑은 고딕" w:hAnsi="Arial" w:cs="Arial"/>
                <w:color w:val="000000"/>
                <w:kern w:val="0"/>
                <w:sz w:val="24"/>
                <w:szCs w:val="20"/>
                <w:lang w:val="en-CA" w:eastAsia="en-CA"/>
              </w:rPr>
            </w:pPr>
            <w:r w:rsidRPr="00BE515D">
              <w:rPr>
                <w:rFonts w:ascii="Arial" w:eastAsia="맑은 고딕" w:hAnsi="Arial" w:cs="Arial"/>
                <w:b/>
                <w:bCs/>
                <w:color w:val="FFFFFF"/>
                <w:kern w:val="0"/>
                <w:sz w:val="24"/>
                <w:szCs w:val="20"/>
                <w:lang w:val="en-CA" w:eastAsia="en-CA"/>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C423C42" w14:textId="77777777" w:rsidR="00CA442B" w:rsidRPr="00BE515D" w:rsidRDefault="00CA442B" w:rsidP="00CA442B">
            <w:pPr>
              <w:wordWrap/>
              <w:adjustRightInd w:val="0"/>
              <w:spacing w:after="0" w:line="240" w:lineRule="auto"/>
              <w:jc w:val="left"/>
              <w:rPr>
                <w:rFonts w:ascii="Arial" w:eastAsia="맑은 고딕" w:hAnsi="Arial" w:cs="Arial"/>
                <w:color w:val="FFFFFF"/>
                <w:kern w:val="0"/>
                <w:sz w:val="24"/>
                <w:szCs w:val="20"/>
                <w:lang w:val="en-CA" w:eastAsia="en-CA"/>
              </w:rPr>
            </w:pPr>
            <w:r w:rsidRPr="00BE515D">
              <w:rPr>
                <w:rFonts w:ascii="Arial" w:eastAsia="맑은 고딕" w:hAnsi="Arial" w:cs="Arial"/>
                <w:b/>
                <w:bCs/>
                <w:color w:val="FFFFFF"/>
                <w:kern w:val="0"/>
                <w:sz w:val="24"/>
                <w:szCs w:val="20"/>
                <w:lang w:val="en-CA" w:eastAsia="en-CA"/>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40E80D4" w14:textId="77777777" w:rsidR="00CA442B" w:rsidRPr="00BE515D" w:rsidRDefault="00CA442B" w:rsidP="00CA442B">
            <w:pPr>
              <w:wordWrap/>
              <w:adjustRightInd w:val="0"/>
              <w:spacing w:after="0" w:line="240" w:lineRule="auto"/>
              <w:jc w:val="left"/>
              <w:rPr>
                <w:rFonts w:ascii="Arial" w:eastAsia="맑은 고딕" w:hAnsi="Arial" w:cs="Arial"/>
                <w:color w:val="FFFFFF"/>
                <w:kern w:val="0"/>
                <w:sz w:val="24"/>
                <w:szCs w:val="20"/>
                <w:lang w:val="en-CA" w:eastAsia="en-CA"/>
              </w:rPr>
            </w:pPr>
            <w:r w:rsidRPr="00BE515D">
              <w:rPr>
                <w:rFonts w:ascii="Arial" w:eastAsia="맑은 고딕" w:hAnsi="Arial" w:cs="Arial"/>
                <w:b/>
                <w:bCs/>
                <w:color w:val="FFFFFF"/>
                <w:kern w:val="0"/>
                <w:sz w:val="24"/>
                <w:szCs w:val="20"/>
                <w:lang w:val="en-CA" w:eastAsia="en-CA"/>
              </w:rPr>
              <w:t xml:space="preserve">Reported on page # </w:t>
            </w:r>
          </w:p>
        </w:tc>
      </w:tr>
      <w:tr w:rsidR="00CA442B" w:rsidRPr="008E2DCC" w14:paraId="781B26D7" w14:textId="77777777" w:rsidTr="00CA442B">
        <w:trPr>
          <w:trHeight w:val="333"/>
        </w:trPr>
        <w:tc>
          <w:tcPr>
            <w:tcW w:w="2800" w:type="dxa"/>
            <w:tcBorders>
              <w:top w:val="single" w:sz="5" w:space="0" w:color="000000"/>
              <w:left w:val="single" w:sz="5" w:space="0" w:color="000000"/>
              <w:bottom w:val="single" w:sz="6" w:space="0" w:color="000000"/>
              <w:right w:val="single" w:sz="5" w:space="0" w:color="000000"/>
            </w:tcBorders>
          </w:tcPr>
          <w:p w14:paraId="32E0AEF7" w14:textId="77777777" w:rsidR="00CA442B" w:rsidRPr="00BE515D" w:rsidRDefault="00CA442B" w:rsidP="00FC3A79">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Summary measures </w:t>
            </w:r>
          </w:p>
        </w:tc>
        <w:tc>
          <w:tcPr>
            <w:tcW w:w="540" w:type="dxa"/>
            <w:tcBorders>
              <w:top w:val="single" w:sz="5" w:space="0" w:color="000000"/>
              <w:left w:val="single" w:sz="5" w:space="0" w:color="000000"/>
              <w:bottom w:val="single" w:sz="6" w:space="0" w:color="000000"/>
              <w:right w:val="single" w:sz="5" w:space="0" w:color="000000"/>
            </w:tcBorders>
          </w:tcPr>
          <w:p w14:paraId="70A4FAD8" w14:textId="77777777" w:rsidR="00CA442B" w:rsidRPr="00BE515D" w:rsidRDefault="00CA442B" w:rsidP="00FC3A79">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13</w:t>
            </w:r>
          </w:p>
        </w:tc>
        <w:tc>
          <w:tcPr>
            <w:tcW w:w="10600" w:type="dxa"/>
            <w:tcBorders>
              <w:top w:val="single" w:sz="5" w:space="0" w:color="000000"/>
              <w:left w:val="single" w:sz="5" w:space="0" w:color="000000"/>
              <w:bottom w:val="single" w:sz="6" w:space="0" w:color="000000"/>
              <w:right w:val="single" w:sz="5" w:space="0" w:color="000000"/>
            </w:tcBorders>
          </w:tcPr>
          <w:p w14:paraId="04381B65" w14:textId="77777777" w:rsidR="00CA442B" w:rsidRPr="00BE515D" w:rsidRDefault="00CA442B" w:rsidP="00FC3A79">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State the principal summary measures (e.g., risk ratio, difference in means). </w:t>
            </w:r>
          </w:p>
        </w:tc>
        <w:tc>
          <w:tcPr>
            <w:tcW w:w="1260" w:type="dxa"/>
            <w:tcBorders>
              <w:top w:val="single" w:sz="5" w:space="0" w:color="000000"/>
              <w:left w:val="single" w:sz="5" w:space="0" w:color="000000"/>
              <w:bottom w:val="single" w:sz="6" w:space="0" w:color="000000"/>
              <w:right w:val="single" w:sz="5" w:space="0" w:color="000000"/>
            </w:tcBorders>
          </w:tcPr>
          <w:p w14:paraId="777FACF5" w14:textId="0B63F254" w:rsidR="00CA442B" w:rsidRPr="00BE515D" w:rsidRDefault="0042627A" w:rsidP="00CA424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1</w:t>
            </w:r>
            <w:r w:rsidR="00CA424B">
              <w:rPr>
                <w:rFonts w:ascii="Arial" w:eastAsia="맑은 고딕" w:hAnsi="Arial" w:cs="Arial"/>
                <w:kern w:val="0"/>
                <w:szCs w:val="20"/>
                <w:lang w:val="en-CA"/>
              </w:rPr>
              <w:t>0</w:t>
            </w:r>
            <w:r w:rsidR="00DC2436">
              <w:rPr>
                <w:rFonts w:ascii="Arial" w:eastAsia="맑은 고딕" w:hAnsi="Arial" w:cs="Arial"/>
                <w:kern w:val="0"/>
                <w:szCs w:val="20"/>
                <w:lang w:val="en-CA"/>
              </w:rPr>
              <w:t>-11</w:t>
            </w:r>
          </w:p>
        </w:tc>
      </w:tr>
      <w:tr w:rsidR="00CA442B" w:rsidRPr="008E2DCC" w14:paraId="31D02873" w14:textId="77777777" w:rsidTr="00CA442B">
        <w:trPr>
          <w:trHeight w:val="580"/>
        </w:trPr>
        <w:tc>
          <w:tcPr>
            <w:tcW w:w="2800" w:type="dxa"/>
            <w:tcBorders>
              <w:top w:val="single" w:sz="6" w:space="0" w:color="000000"/>
              <w:left w:val="single" w:sz="6" w:space="0" w:color="000000"/>
              <w:bottom w:val="single" w:sz="4" w:space="0" w:color="auto"/>
              <w:right w:val="single" w:sz="6" w:space="0" w:color="000000"/>
            </w:tcBorders>
          </w:tcPr>
          <w:p w14:paraId="44ADFF6A" w14:textId="77777777" w:rsidR="00CA442B" w:rsidRPr="00BE515D" w:rsidRDefault="00CA442B" w:rsidP="00FC3A79">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Synthesis of results </w:t>
            </w:r>
          </w:p>
        </w:tc>
        <w:tc>
          <w:tcPr>
            <w:tcW w:w="540" w:type="dxa"/>
            <w:tcBorders>
              <w:top w:val="single" w:sz="6" w:space="0" w:color="000000"/>
              <w:left w:val="single" w:sz="6" w:space="0" w:color="000000"/>
              <w:bottom w:val="single" w:sz="4" w:space="0" w:color="auto"/>
              <w:right w:val="single" w:sz="6" w:space="0" w:color="000000"/>
            </w:tcBorders>
          </w:tcPr>
          <w:p w14:paraId="622C6258" w14:textId="77777777" w:rsidR="00CA442B" w:rsidRPr="00BE515D" w:rsidRDefault="00CA442B" w:rsidP="00FC3A79">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14</w:t>
            </w:r>
          </w:p>
        </w:tc>
        <w:tc>
          <w:tcPr>
            <w:tcW w:w="10600" w:type="dxa"/>
            <w:tcBorders>
              <w:top w:val="single" w:sz="6" w:space="0" w:color="000000"/>
              <w:left w:val="single" w:sz="6" w:space="0" w:color="000000"/>
              <w:bottom w:val="single" w:sz="4" w:space="0" w:color="auto"/>
              <w:right w:val="single" w:sz="6" w:space="0" w:color="000000"/>
            </w:tcBorders>
          </w:tcPr>
          <w:p w14:paraId="5BC5A5D4" w14:textId="77777777" w:rsidR="00CA442B" w:rsidRPr="00BE515D" w:rsidRDefault="00CA442B" w:rsidP="00FC3A79">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Describe the methods of handling data and combining results of studies, if done, including measures of consistency (e.g., I</w:t>
            </w:r>
            <w:r w:rsidRPr="00BE515D">
              <w:rPr>
                <w:rFonts w:ascii="Arial" w:eastAsia="맑은 고딕" w:hAnsi="Arial" w:cs="Arial"/>
                <w:color w:val="000000"/>
                <w:kern w:val="0"/>
                <w:szCs w:val="20"/>
                <w:vertAlign w:val="superscript"/>
                <w:lang w:val="en-CA" w:eastAsia="en-CA"/>
              </w:rPr>
              <w:t>2</w:t>
            </w:r>
            <w:r w:rsidRPr="00BE515D">
              <w:rPr>
                <w:rFonts w:ascii="Arial" w:eastAsia="맑은 고딕" w:hAnsi="Arial" w:cs="Arial"/>
                <w:color w:val="000000"/>
                <w:kern w:val="0"/>
                <w:szCs w:val="20"/>
                <w:lang w:val="en-CA" w:eastAsia="en-CA"/>
              </w:rPr>
              <w:t xml:space="preserve">) for each </w:t>
            </w:r>
            <w:proofErr w:type="spellStart"/>
            <w:r w:rsidRPr="00BE515D">
              <w:rPr>
                <w:rFonts w:ascii="Arial" w:eastAsia="맑은 고딕" w:hAnsi="Arial" w:cs="Arial"/>
                <w:color w:val="000000"/>
                <w:kern w:val="0"/>
                <w:szCs w:val="20"/>
                <w:lang w:val="en-CA" w:eastAsia="en-CA"/>
              </w:rPr>
              <w:t>meta-analysis</w:t>
            </w:r>
            <w:proofErr w:type="spellEnd"/>
            <w:r w:rsidRPr="00BE515D">
              <w:rPr>
                <w:rFonts w:ascii="Arial" w:eastAsia="맑은 고딕" w:hAnsi="Arial" w:cs="Arial"/>
                <w:color w:val="000000"/>
                <w:kern w:val="0"/>
                <w:szCs w:val="20"/>
                <w:lang w:val="en-CA" w:eastAsia="en-CA"/>
              </w:rPr>
              <w:t xml:space="preserve">. </w:t>
            </w:r>
          </w:p>
        </w:tc>
        <w:tc>
          <w:tcPr>
            <w:tcW w:w="1260" w:type="dxa"/>
            <w:tcBorders>
              <w:top w:val="single" w:sz="6" w:space="0" w:color="000000"/>
              <w:left w:val="single" w:sz="6" w:space="0" w:color="000000"/>
              <w:bottom w:val="single" w:sz="4" w:space="0" w:color="auto"/>
              <w:right w:val="single" w:sz="6" w:space="0" w:color="000000"/>
            </w:tcBorders>
          </w:tcPr>
          <w:p w14:paraId="4877AA61" w14:textId="58E85A9D" w:rsidR="00CA442B" w:rsidRPr="00BE515D" w:rsidRDefault="0042627A" w:rsidP="00CA424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1</w:t>
            </w:r>
            <w:r w:rsidR="00CA424B">
              <w:rPr>
                <w:rFonts w:ascii="Arial" w:eastAsia="맑은 고딕" w:hAnsi="Arial" w:cs="Arial"/>
                <w:kern w:val="0"/>
                <w:szCs w:val="20"/>
                <w:lang w:val="en-CA"/>
              </w:rPr>
              <w:t>0</w:t>
            </w:r>
            <w:r w:rsidR="00DC2436">
              <w:rPr>
                <w:rFonts w:ascii="Arial" w:eastAsia="맑은 고딕" w:hAnsi="Arial" w:cs="Arial"/>
                <w:kern w:val="0"/>
                <w:szCs w:val="20"/>
                <w:lang w:val="en-CA"/>
              </w:rPr>
              <w:t>-11</w:t>
            </w:r>
          </w:p>
        </w:tc>
      </w:tr>
      <w:tr w:rsidR="00CA442B" w:rsidRPr="00CA442B" w14:paraId="55133B1F" w14:textId="77777777" w:rsidTr="00CA442B">
        <w:trPr>
          <w:trHeight w:val="575"/>
        </w:trPr>
        <w:tc>
          <w:tcPr>
            <w:tcW w:w="2800" w:type="dxa"/>
            <w:tcBorders>
              <w:top w:val="single" w:sz="4" w:space="0" w:color="auto"/>
              <w:left w:val="single" w:sz="5" w:space="0" w:color="000000"/>
              <w:bottom w:val="single" w:sz="5" w:space="0" w:color="000000"/>
              <w:right w:val="single" w:sz="5" w:space="0" w:color="000000"/>
            </w:tcBorders>
          </w:tcPr>
          <w:p w14:paraId="77EB6C17"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Risk of bias across studies </w:t>
            </w:r>
          </w:p>
        </w:tc>
        <w:tc>
          <w:tcPr>
            <w:tcW w:w="540" w:type="dxa"/>
            <w:tcBorders>
              <w:top w:val="single" w:sz="4" w:space="0" w:color="auto"/>
              <w:left w:val="single" w:sz="5" w:space="0" w:color="000000"/>
              <w:bottom w:val="single" w:sz="5" w:space="0" w:color="000000"/>
              <w:right w:val="single" w:sz="5" w:space="0" w:color="000000"/>
            </w:tcBorders>
          </w:tcPr>
          <w:p w14:paraId="1D9E9C5A"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15</w:t>
            </w:r>
          </w:p>
        </w:tc>
        <w:tc>
          <w:tcPr>
            <w:tcW w:w="10600" w:type="dxa"/>
            <w:tcBorders>
              <w:top w:val="single" w:sz="4" w:space="0" w:color="auto"/>
              <w:left w:val="single" w:sz="5" w:space="0" w:color="000000"/>
              <w:bottom w:val="single" w:sz="5" w:space="0" w:color="000000"/>
              <w:right w:val="single" w:sz="5" w:space="0" w:color="000000"/>
            </w:tcBorders>
          </w:tcPr>
          <w:p w14:paraId="68E0F50C"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Specify any assessment of risk of bias that may affect the cumulative evidence (e.g., publication bias, selective reporting within studies). </w:t>
            </w:r>
          </w:p>
        </w:tc>
        <w:tc>
          <w:tcPr>
            <w:tcW w:w="1260" w:type="dxa"/>
            <w:tcBorders>
              <w:top w:val="single" w:sz="4" w:space="0" w:color="auto"/>
              <w:left w:val="single" w:sz="5" w:space="0" w:color="000000"/>
              <w:bottom w:val="single" w:sz="5" w:space="0" w:color="000000"/>
              <w:right w:val="single" w:sz="5" w:space="0" w:color="000000"/>
            </w:tcBorders>
          </w:tcPr>
          <w:p w14:paraId="1925AAB9" w14:textId="20591B1D" w:rsidR="00CA442B" w:rsidRPr="00BE515D" w:rsidRDefault="0042627A" w:rsidP="00CA424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1</w:t>
            </w:r>
            <w:r w:rsidR="00CA424B">
              <w:rPr>
                <w:rFonts w:ascii="Arial" w:eastAsia="맑은 고딕" w:hAnsi="Arial" w:cs="Arial"/>
                <w:kern w:val="0"/>
                <w:szCs w:val="20"/>
                <w:lang w:val="en-CA"/>
              </w:rPr>
              <w:t>0</w:t>
            </w:r>
            <w:r w:rsidR="00DC2436">
              <w:rPr>
                <w:rFonts w:ascii="Arial" w:eastAsia="맑은 고딕" w:hAnsi="Arial" w:cs="Arial"/>
                <w:kern w:val="0"/>
                <w:szCs w:val="20"/>
                <w:lang w:val="en-CA"/>
              </w:rPr>
              <w:t>-11</w:t>
            </w:r>
          </w:p>
        </w:tc>
      </w:tr>
      <w:tr w:rsidR="00CA442B" w:rsidRPr="00CA442B" w14:paraId="52A8137C" w14:textId="77777777" w:rsidTr="00FC3A79">
        <w:trPr>
          <w:trHeight w:val="568"/>
        </w:trPr>
        <w:tc>
          <w:tcPr>
            <w:tcW w:w="2800" w:type="dxa"/>
            <w:tcBorders>
              <w:top w:val="single" w:sz="5" w:space="0" w:color="000000"/>
              <w:left w:val="single" w:sz="5" w:space="0" w:color="000000"/>
              <w:bottom w:val="double" w:sz="2" w:space="0" w:color="FFFFCC"/>
              <w:right w:val="single" w:sz="5" w:space="0" w:color="000000"/>
            </w:tcBorders>
          </w:tcPr>
          <w:p w14:paraId="5DCFEBC7"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0C951121"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16</w:t>
            </w:r>
          </w:p>
        </w:tc>
        <w:tc>
          <w:tcPr>
            <w:tcW w:w="10600" w:type="dxa"/>
            <w:tcBorders>
              <w:top w:val="single" w:sz="5" w:space="0" w:color="000000"/>
              <w:left w:val="single" w:sz="5" w:space="0" w:color="000000"/>
              <w:bottom w:val="double" w:sz="5" w:space="0" w:color="000000"/>
              <w:right w:val="single" w:sz="5" w:space="0" w:color="000000"/>
            </w:tcBorders>
          </w:tcPr>
          <w:p w14:paraId="4DBEDEAD"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Describe methods of additional analyses (e.g., sensitivity or subgroup analyses, meta-regression), if done, indicating which were pre-specified. </w:t>
            </w:r>
          </w:p>
        </w:tc>
        <w:tc>
          <w:tcPr>
            <w:tcW w:w="1260" w:type="dxa"/>
            <w:tcBorders>
              <w:top w:val="single" w:sz="5" w:space="0" w:color="000000"/>
              <w:left w:val="single" w:sz="5" w:space="0" w:color="000000"/>
              <w:bottom w:val="double" w:sz="5" w:space="0" w:color="000000"/>
              <w:right w:val="single" w:sz="5" w:space="0" w:color="000000"/>
            </w:tcBorders>
          </w:tcPr>
          <w:p w14:paraId="2E717BD3" w14:textId="244ABC41" w:rsidR="00CA442B" w:rsidRPr="00BE515D" w:rsidRDefault="0042627A" w:rsidP="00CA424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1</w:t>
            </w:r>
            <w:r w:rsidR="00CA424B">
              <w:rPr>
                <w:rFonts w:ascii="Arial" w:eastAsia="맑은 고딕" w:hAnsi="Arial" w:cs="Arial"/>
                <w:kern w:val="0"/>
                <w:szCs w:val="20"/>
                <w:lang w:val="en-CA"/>
              </w:rPr>
              <w:t>0</w:t>
            </w:r>
            <w:r w:rsidR="00DC2436">
              <w:rPr>
                <w:rFonts w:ascii="Arial" w:eastAsia="맑은 고딕" w:hAnsi="Arial" w:cs="Arial"/>
                <w:kern w:val="0"/>
                <w:szCs w:val="20"/>
                <w:lang w:val="en-CA"/>
              </w:rPr>
              <w:t>-11</w:t>
            </w:r>
          </w:p>
        </w:tc>
      </w:tr>
      <w:tr w:rsidR="00CA442B" w:rsidRPr="00CA442B" w14:paraId="5692CAEC" w14:textId="77777777" w:rsidTr="00FC3A7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50060FA" w14:textId="77777777" w:rsidR="00CA442B" w:rsidRPr="00BE515D" w:rsidRDefault="00CA442B" w:rsidP="00CA442B">
            <w:pPr>
              <w:wordWrap/>
              <w:adjustRightInd w:val="0"/>
              <w:spacing w:after="0" w:line="240" w:lineRule="auto"/>
              <w:jc w:val="left"/>
              <w:rPr>
                <w:rFonts w:ascii="Arial" w:eastAsia="맑은 고딕" w:hAnsi="Arial" w:cs="Arial"/>
                <w:color w:val="000000"/>
                <w:kern w:val="0"/>
                <w:szCs w:val="20"/>
                <w:lang w:val="en-CA" w:eastAsia="en-CA"/>
              </w:rPr>
            </w:pPr>
            <w:r w:rsidRPr="00BE515D">
              <w:rPr>
                <w:rFonts w:ascii="Arial" w:eastAsia="맑은 고딕" w:hAnsi="Arial" w:cs="Arial"/>
                <w:b/>
                <w:bCs/>
                <w:color w:val="000000"/>
                <w:kern w:val="0"/>
                <w:szCs w:val="20"/>
                <w:lang w:val="en-CA" w:eastAsia="en-CA"/>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4A9523FF" w14:textId="77777777" w:rsidR="00CA442B" w:rsidRPr="00BE515D" w:rsidRDefault="00CA442B" w:rsidP="00CA442B">
            <w:pPr>
              <w:wordWrap/>
              <w:adjustRightInd w:val="0"/>
              <w:spacing w:after="0" w:line="240" w:lineRule="auto"/>
              <w:jc w:val="center"/>
              <w:rPr>
                <w:rFonts w:ascii="Arial" w:eastAsia="맑은 고딕" w:hAnsi="Arial" w:cs="Arial"/>
                <w:kern w:val="0"/>
                <w:szCs w:val="20"/>
                <w:lang w:val="en-CA" w:eastAsia="en-CA"/>
              </w:rPr>
            </w:pPr>
          </w:p>
        </w:tc>
      </w:tr>
      <w:tr w:rsidR="00CA442B" w:rsidRPr="00CA442B" w14:paraId="5F083EB8"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587F9F0B"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330544A2"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17</w:t>
            </w:r>
          </w:p>
        </w:tc>
        <w:tc>
          <w:tcPr>
            <w:tcW w:w="10600" w:type="dxa"/>
            <w:tcBorders>
              <w:top w:val="single" w:sz="5" w:space="0" w:color="000000"/>
              <w:left w:val="single" w:sz="5" w:space="0" w:color="000000"/>
              <w:bottom w:val="single" w:sz="5" w:space="0" w:color="000000"/>
              <w:right w:val="single" w:sz="5" w:space="0" w:color="000000"/>
            </w:tcBorders>
          </w:tcPr>
          <w:p w14:paraId="6C26DA4F"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2991F246" w14:textId="2A2E84B5" w:rsidR="00CA442B" w:rsidRPr="00BE515D" w:rsidRDefault="00CA424B" w:rsidP="00DC2436">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1</w:t>
            </w:r>
            <w:r w:rsidR="00DC2436">
              <w:rPr>
                <w:rFonts w:ascii="Arial" w:eastAsia="맑은 고딕" w:hAnsi="Arial" w:cs="Arial"/>
                <w:kern w:val="0"/>
                <w:szCs w:val="20"/>
                <w:lang w:val="en-CA"/>
              </w:rPr>
              <w:t>2</w:t>
            </w:r>
          </w:p>
        </w:tc>
      </w:tr>
      <w:tr w:rsidR="00CA442B" w:rsidRPr="00CA442B" w14:paraId="2C45EACF"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5A5B0A22"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71A0ACC4"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18</w:t>
            </w:r>
          </w:p>
        </w:tc>
        <w:tc>
          <w:tcPr>
            <w:tcW w:w="10600" w:type="dxa"/>
            <w:tcBorders>
              <w:top w:val="single" w:sz="5" w:space="0" w:color="000000"/>
              <w:left w:val="single" w:sz="5" w:space="0" w:color="000000"/>
              <w:bottom w:val="single" w:sz="5" w:space="0" w:color="000000"/>
              <w:right w:val="single" w:sz="5" w:space="0" w:color="000000"/>
            </w:tcBorders>
          </w:tcPr>
          <w:p w14:paraId="3C10C30E"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6A17C0A2" w14:textId="172268EA" w:rsidR="00CA442B" w:rsidRPr="00BE515D" w:rsidRDefault="00CA442B" w:rsidP="00DC2436">
            <w:pPr>
              <w:wordWrap/>
              <w:adjustRightInd w:val="0"/>
              <w:spacing w:before="40" w:after="40" w:line="240" w:lineRule="auto"/>
              <w:jc w:val="left"/>
              <w:rPr>
                <w:rFonts w:ascii="Arial" w:eastAsia="맑은 고딕" w:hAnsi="Arial" w:cs="Arial"/>
                <w:kern w:val="0"/>
                <w:szCs w:val="20"/>
                <w:lang w:val="en-CA"/>
              </w:rPr>
            </w:pPr>
            <w:r w:rsidRPr="00BE515D">
              <w:rPr>
                <w:rFonts w:ascii="Arial" w:eastAsia="맑은 고딕" w:hAnsi="Arial" w:cs="Arial"/>
                <w:kern w:val="0"/>
                <w:szCs w:val="20"/>
                <w:lang w:val="en-CA"/>
              </w:rPr>
              <w:t>1</w:t>
            </w:r>
            <w:r w:rsidR="00DC2436">
              <w:rPr>
                <w:rFonts w:ascii="Arial" w:eastAsia="맑은 고딕" w:hAnsi="Arial" w:cs="Arial"/>
                <w:kern w:val="0"/>
                <w:szCs w:val="20"/>
                <w:lang w:val="en-CA"/>
              </w:rPr>
              <w:t>2</w:t>
            </w:r>
          </w:p>
        </w:tc>
      </w:tr>
      <w:tr w:rsidR="00CA442B" w:rsidRPr="00CA442B" w14:paraId="024D1D1D" w14:textId="77777777" w:rsidTr="00FC3A79">
        <w:trPr>
          <w:trHeight w:val="333"/>
        </w:trPr>
        <w:tc>
          <w:tcPr>
            <w:tcW w:w="2800" w:type="dxa"/>
            <w:tcBorders>
              <w:top w:val="single" w:sz="5" w:space="0" w:color="000000"/>
              <w:left w:val="single" w:sz="5" w:space="0" w:color="000000"/>
              <w:bottom w:val="single" w:sz="5" w:space="0" w:color="000000"/>
              <w:right w:val="single" w:sz="5" w:space="0" w:color="000000"/>
            </w:tcBorders>
          </w:tcPr>
          <w:p w14:paraId="114DC684"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6FC57C15"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19</w:t>
            </w:r>
          </w:p>
        </w:tc>
        <w:tc>
          <w:tcPr>
            <w:tcW w:w="10600" w:type="dxa"/>
            <w:tcBorders>
              <w:top w:val="single" w:sz="5" w:space="0" w:color="000000"/>
              <w:left w:val="single" w:sz="5" w:space="0" w:color="000000"/>
              <w:bottom w:val="single" w:sz="5" w:space="0" w:color="000000"/>
              <w:right w:val="single" w:sz="5" w:space="0" w:color="000000"/>
            </w:tcBorders>
          </w:tcPr>
          <w:p w14:paraId="0636326F"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68398917" w14:textId="524C9C2D" w:rsidR="00CA442B" w:rsidRPr="00BE515D" w:rsidRDefault="00CA442B" w:rsidP="00DC2436">
            <w:pPr>
              <w:wordWrap/>
              <w:adjustRightInd w:val="0"/>
              <w:spacing w:before="40" w:after="40" w:line="240" w:lineRule="auto"/>
              <w:jc w:val="left"/>
              <w:rPr>
                <w:rFonts w:ascii="Arial" w:eastAsia="맑은 고딕" w:hAnsi="Arial" w:cs="Arial"/>
                <w:kern w:val="0"/>
                <w:szCs w:val="20"/>
                <w:lang w:val="en-CA"/>
              </w:rPr>
            </w:pPr>
            <w:r w:rsidRPr="00BE515D">
              <w:rPr>
                <w:rFonts w:ascii="Arial" w:eastAsia="맑은 고딕" w:hAnsi="Arial" w:cs="Arial"/>
                <w:kern w:val="0"/>
                <w:szCs w:val="20"/>
                <w:lang w:val="en-CA"/>
              </w:rPr>
              <w:t>1</w:t>
            </w:r>
            <w:r w:rsidR="00DC2436">
              <w:rPr>
                <w:rFonts w:ascii="Arial" w:eastAsia="맑은 고딕" w:hAnsi="Arial" w:cs="Arial"/>
                <w:kern w:val="0"/>
                <w:szCs w:val="20"/>
                <w:lang w:val="en-CA"/>
              </w:rPr>
              <w:t>2</w:t>
            </w:r>
          </w:p>
        </w:tc>
      </w:tr>
      <w:tr w:rsidR="00CA442B" w:rsidRPr="00CA442B" w14:paraId="2F4622DA"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63628845"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5612BBC0"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20</w:t>
            </w:r>
          </w:p>
        </w:tc>
        <w:tc>
          <w:tcPr>
            <w:tcW w:w="10600" w:type="dxa"/>
            <w:tcBorders>
              <w:top w:val="single" w:sz="5" w:space="0" w:color="000000"/>
              <w:left w:val="single" w:sz="5" w:space="0" w:color="000000"/>
              <w:bottom w:val="single" w:sz="5" w:space="0" w:color="000000"/>
              <w:right w:val="single" w:sz="5" w:space="0" w:color="000000"/>
            </w:tcBorders>
          </w:tcPr>
          <w:p w14:paraId="27B988D2"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42D29336" w14:textId="62F5FCC5" w:rsidR="00CA442B" w:rsidRPr="00BE515D" w:rsidRDefault="0070627E" w:rsidP="00CA442B">
            <w:pPr>
              <w:wordWrap/>
              <w:adjustRightInd w:val="0"/>
              <w:spacing w:before="40" w:after="40" w:line="240" w:lineRule="auto"/>
              <w:jc w:val="left"/>
              <w:rPr>
                <w:rFonts w:ascii="Arial" w:eastAsia="맑은 고딕" w:hAnsi="Arial" w:cs="Arial"/>
                <w:kern w:val="0"/>
                <w:szCs w:val="20"/>
                <w:lang w:val="en-CA"/>
              </w:rPr>
            </w:pPr>
            <w:r w:rsidRPr="00BE515D">
              <w:rPr>
                <w:rFonts w:ascii="Arial" w:eastAsia="맑은 고딕" w:hAnsi="Arial" w:cs="Arial"/>
                <w:kern w:val="0"/>
                <w:szCs w:val="20"/>
                <w:lang w:val="en-CA"/>
              </w:rPr>
              <w:t>1</w:t>
            </w:r>
            <w:r w:rsidR="00DC2436">
              <w:rPr>
                <w:rFonts w:ascii="Arial" w:eastAsia="맑은 고딕" w:hAnsi="Arial" w:cs="Arial"/>
                <w:kern w:val="0"/>
                <w:szCs w:val="20"/>
                <w:lang w:val="en-CA"/>
              </w:rPr>
              <w:t>2</w:t>
            </w:r>
            <w:r w:rsidRPr="00BE515D">
              <w:rPr>
                <w:rFonts w:ascii="Arial" w:eastAsia="맑은 고딕" w:hAnsi="Arial" w:cs="Arial"/>
                <w:kern w:val="0"/>
                <w:szCs w:val="20"/>
                <w:lang w:val="en-CA"/>
              </w:rPr>
              <w:t>-1</w:t>
            </w:r>
            <w:r w:rsidR="00DC2436">
              <w:rPr>
                <w:rFonts w:ascii="Arial" w:eastAsia="맑은 고딕" w:hAnsi="Arial" w:cs="Arial"/>
                <w:kern w:val="0"/>
                <w:szCs w:val="20"/>
                <w:lang w:val="en-CA"/>
              </w:rPr>
              <w:t>3</w:t>
            </w:r>
            <w:r w:rsidRPr="00BE515D">
              <w:rPr>
                <w:rFonts w:ascii="Arial" w:eastAsia="맑은 고딕" w:hAnsi="Arial" w:cs="Arial"/>
                <w:kern w:val="0"/>
                <w:szCs w:val="20"/>
                <w:lang w:val="en-CA"/>
              </w:rPr>
              <w:t xml:space="preserve">, </w:t>
            </w:r>
          </w:p>
          <w:p w14:paraId="13C2B27D" w14:textId="148520D3" w:rsidR="0070627E" w:rsidRPr="00BE515D" w:rsidRDefault="0070627E" w:rsidP="00CA442B">
            <w:pPr>
              <w:wordWrap/>
              <w:adjustRightInd w:val="0"/>
              <w:spacing w:before="40" w:after="40" w:line="240" w:lineRule="auto"/>
              <w:jc w:val="left"/>
              <w:rPr>
                <w:rFonts w:ascii="Arial" w:eastAsia="맑은 고딕" w:hAnsi="Arial" w:cs="Arial"/>
                <w:kern w:val="0"/>
                <w:szCs w:val="20"/>
                <w:lang w:val="en-CA"/>
              </w:rPr>
            </w:pPr>
            <w:r w:rsidRPr="00BE515D">
              <w:rPr>
                <w:rFonts w:ascii="Arial" w:eastAsia="맑은 고딕" w:hAnsi="Arial" w:cs="Arial"/>
                <w:kern w:val="0"/>
                <w:szCs w:val="20"/>
                <w:lang w:val="en-CA"/>
              </w:rPr>
              <w:t>Table 4</w:t>
            </w:r>
          </w:p>
        </w:tc>
      </w:tr>
      <w:tr w:rsidR="00CA442B" w:rsidRPr="00CA442B" w14:paraId="45F55596" w14:textId="77777777" w:rsidTr="00FC3A79">
        <w:trPr>
          <w:trHeight w:val="335"/>
        </w:trPr>
        <w:tc>
          <w:tcPr>
            <w:tcW w:w="2800" w:type="dxa"/>
            <w:tcBorders>
              <w:top w:val="single" w:sz="5" w:space="0" w:color="000000"/>
              <w:left w:val="single" w:sz="5" w:space="0" w:color="000000"/>
              <w:bottom w:val="single" w:sz="5" w:space="0" w:color="000000"/>
              <w:right w:val="single" w:sz="5" w:space="0" w:color="000000"/>
            </w:tcBorders>
          </w:tcPr>
          <w:p w14:paraId="30B3DCF0"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7F2FB18F"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21</w:t>
            </w:r>
          </w:p>
        </w:tc>
        <w:tc>
          <w:tcPr>
            <w:tcW w:w="10600" w:type="dxa"/>
            <w:tcBorders>
              <w:top w:val="single" w:sz="5" w:space="0" w:color="000000"/>
              <w:left w:val="single" w:sz="5" w:space="0" w:color="000000"/>
              <w:bottom w:val="single" w:sz="5" w:space="0" w:color="000000"/>
              <w:right w:val="single" w:sz="5" w:space="0" w:color="000000"/>
            </w:tcBorders>
          </w:tcPr>
          <w:p w14:paraId="63BBBB00"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Present results of each </w:t>
            </w:r>
            <w:proofErr w:type="spellStart"/>
            <w:r w:rsidRPr="00BE515D">
              <w:rPr>
                <w:rFonts w:ascii="Arial" w:eastAsia="맑은 고딕" w:hAnsi="Arial" w:cs="Arial"/>
                <w:color w:val="000000"/>
                <w:kern w:val="0"/>
                <w:szCs w:val="20"/>
                <w:lang w:val="en-CA" w:eastAsia="en-CA"/>
              </w:rPr>
              <w:t>meta-analysis</w:t>
            </w:r>
            <w:proofErr w:type="spellEnd"/>
            <w:r w:rsidRPr="00BE515D">
              <w:rPr>
                <w:rFonts w:ascii="Arial" w:eastAsia="맑은 고딕" w:hAnsi="Arial" w:cs="Arial"/>
                <w:color w:val="000000"/>
                <w:kern w:val="0"/>
                <w:szCs w:val="20"/>
                <w:lang w:val="en-CA" w:eastAsia="en-CA"/>
              </w:rPr>
              <w:t xml:space="preserve">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1B4CDBFA" w14:textId="571E5987" w:rsidR="00CA442B" w:rsidRDefault="00C62FB6" w:rsidP="00CA442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1</w:t>
            </w:r>
            <w:r w:rsidR="00DC2436">
              <w:rPr>
                <w:rFonts w:ascii="Arial" w:eastAsia="맑은 고딕" w:hAnsi="Arial" w:cs="Arial"/>
                <w:kern w:val="0"/>
                <w:szCs w:val="20"/>
                <w:lang w:val="en-CA"/>
              </w:rPr>
              <w:t>3</w:t>
            </w:r>
            <w:r w:rsidR="00CA424B">
              <w:rPr>
                <w:rFonts w:ascii="Arial" w:eastAsia="맑은 고딕" w:hAnsi="Arial" w:cs="Arial"/>
                <w:kern w:val="0"/>
                <w:szCs w:val="20"/>
                <w:lang w:val="en-CA"/>
              </w:rPr>
              <w:t>-1</w:t>
            </w:r>
            <w:r w:rsidR="00DC2436">
              <w:rPr>
                <w:rFonts w:ascii="Arial" w:eastAsia="맑은 고딕" w:hAnsi="Arial" w:cs="Arial"/>
                <w:kern w:val="0"/>
                <w:szCs w:val="20"/>
                <w:lang w:val="en-CA"/>
              </w:rPr>
              <w:t>4</w:t>
            </w:r>
          </w:p>
          <w:p w14:paraId="3401D92D" w14:textId="649255FC" w:rsidR="00C62FB6" w:rsidRPr="00BE515D" w:rsidRDefault="00C62FB6" w:rsidP="00C62FB6">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Table 4</w:t>
            </w:r>
          </w:p>
        </w:tc>
      </w:tr>
      <w:tr w:rsidR="00CA442B" w:rsidRPr="00CA442B" w14:paraId="0B19CAB3" w14:textId="77777777" w:rsidTr="00FC3A79">
        <w:trPr>
          <w:trHeight w:val="333"/>
        </w:trPr>
        <w:tc>
          <w:tcPr>
            <w:tcW w:w="2800" w:type="dxa"/>
            <w:tcBorders>
              <w:top w:val="single" w:sz="5" w:space="0" w:color="000000"/>
              <w:left w:val="single" w:sz="5" w:space="0" w:color="000000"/>
              <w:bottom w:val="single" w:sz="5" w:space="0" w:color="000000"/>
              <w:right w:val="single" w:sz="5" w:space="0" w:color="000000"/>
            </w:tcBorders>
          </w:tcPr>
          <w:p w14:paraId="6FE124D8"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2B4F6C01"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22</w:t>
            </w:r>
          </w:p>
        </w:tc>
        <w:tc>
          <w:tcPr>
            <w:tcW w:w="10600" w:type="dxa"/>
            <w:tcBorders>
              <w:top w:val="single" w:sz="5" w:space="0" w:color="000000"/>
              <w:left w:val="single" w:sz="5" w:space="0" w:color="000000"/>
              <w:bottom w:val="single" w:sz="5" w:space="0" w:color="000000"/>
              <w:right w:val="single" w:sz="5" w:space="0" w:color="000000"/>
            </w:tcBorders>
          </w:tcPr>
          <w:p w14:paraId="20EF2DD1"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14:paraId="12BD8165" w14:textId="71E87A3C" w:rsidR="0070627E" w:rsidRPr="00BE515D" w:rsidRDefault="0070627E" w:rsidP="00DC2436">
            <w:pPr>
              <w:wordWrap/>
              <w:adjustRightInd w:val="0"/>
              <w:spacing w:before="40" w:after="40" w:line="240" w:lineRule="auto"/>
              <w:jc w:val="left"/>
              <w:rPr>
                <w:rFonts w:ascii="Arial" w:eastAsia="맑은 고딕" w:hAnsi="Arial" w:cs="Arial"/>
                <w:kern w:val="0"/>
                <w:szCs w:val="20"/>
                <w:lang w:val="en-CA"/>
              </w:rPr>
            </w:pPr>
            <w:r w:rsidRPr="00BE515D">
              <w:rPr>
                <w:rFonts w:ascii="Arial" w:eastAsia="맑은 고딕" w:hAnsi="Arial" w:cs="Arial"/>
                <w:kern w:val="0"/>
                <w:szCs w:val="20"/>
                <w:lang w:val="en-CA"/>
              </w:rPr>
              <w:t>1</w:t>
            </w:r>
            <w:r w:rsidR="00DC2436">
              <w:rPr>
                <w:rFonts w:ascii="Arial" w:eastAsia="맑은 고딕" w:hAnsi="Arial" w:cs="Arial"/>
                <w:kern w:val="0"/>
                <w:szCs w:val="20"/>
                <w:lang w:val="en-CA"/>
              </w:rPr>
              <w:t>3</w:t>
            </w:r>
            <w:r w:rsidRPr="00BE515D">
              <w:rPr>
                <w:rFonts w:ascii="Arial" w:eastAsia="맑은 고딕" w:hAnsi="Arial" w:cs="Arial"/>
                <w:kern w:val="0"/>
                <w:szCs w:val="20"/>
                <w:lang w:val="en-CA"/>
              </w:rPr>
              <w:t>-1</w:t>
            </w:r>
            <w:r w:rsidR="00DC2436">
              <w:rPr>
                <w:rFonts w:ascii="Arial" w:eastAsia="맑은 고딕" w:hAnsi="Arial" w:cs="Arial"/>
                <w:kern w:val="0"/>
                <w:szCs w:val="20"/>
                <w:lang w:val="en-CA"/>
              </w:rPr>
              <w:t>4</w:t>
            </w:r>
            <w:r w:rsidRPr="00BE515D">
              <w:rPr>
                <w:rFonts w:ascii="Arial" w:eastAsia="맑은 고딕" w:hAnsi="Arial" w:cs="Arial"/>
                <w:kern w:val="0"/>
                <w:szCs w:val="20"/>
                <w:lang w:val="en-CA"/>
              </w:rPr>
              <w:t xml:space="preserve">, Supplements </w:t>
            </w:r>
          </w:p>
        </w:tc>
      </w:tr>
      <w:tr w:rsidR="00CA442B" w:rsidRPr="00CA442B" w14:paraId="71A8E253" w14:textId="77777777" w:rsidTr="00FC3A79">
        <w:trPr>
          <w:trHeight w:val="393"/>
        </w:trPr>
        <w:tc>
          <w:tcPr>
            <w:tcW w:w="2800" w:type="dxa"/>
            <w:tcBorders>
              <w:top w:val="single" w:sz="5" w:space="0" w:color="000000"/>
              <w:left w:val="single" w:sz="5" w:space="0" w:color="000000"/>
              <w:bottom w:val="double" w:sz="2" w:space="0" w:color="FFFFCC"/>
              <w:right w:val="single" w:sz="5" w:space="0" w:color="000000"/>
            </w:tcBorders>
          </w:tcPr>
          <w:p w14:paraId="7781E1AE"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4CBBDA4E"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23</w:t>
            </w:r>
          </w:p>
        </w:tc>
        <w:tc>
          <w:tcPr>
            <w:tcW w:w="10600" w:type="dxa"/>
            <w:tcBorders>
              <w:top w:val="single" w:sz="5" w:space="0" w:color="000000"/>
              <w:left w:val="single" w:sz="5" w:space="0" w:color="000000"/>
              <w:bottom w:val="double" w:sz="5" w:space="0" w:color="000000"/>
              <w:right w:val="single" w:sz="5" w:space="0" w:color="000000"/>
            </w:tcBorders>
          </w:tcPr>
          <w:p w14:paraId="5DB2B32F"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14:paraId="2B90EB8A" w14:textId="21DDC263" w:rsidR="00CA442B" w:rsidRPr="00BE515D" w:rsidRDefault="00C62FB6" w:rsidP="00DC2436">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1</w:t>
            </w:r>
            <w:r w:rsidR="00DC2436">
              <w:rPr>
                <w:rFonts w:ascii="Arial" w:eastAsia="맑은 고딕" w:hAnsi="Arial" w:cs="Arial"/>
                <w:kern w:val="0"/>
                <w:szCs w:val="20"/>
                <w:lang w:val="en-CA"/>
              </w:rPr>
              <w:t>2</w:t>
            </w:r>
            <w:r w:rsidR="00CA424B">
              <w:rPr>
                <w:rFonts w:ascii="Arial" w:eastAsia="맑은 고딕" w:hAnsi="Arial" w:cs="Arial"/>
                <w:kern w:val="0"/>
                <w:szCs w:val="20"/>
                <w:lang w:val="en-CA"/>
              </w:rPr>
              <w:t>-1</w:t>
            </w:r>
            <w:r w:rsidR="00DC2436">
              <w:rPr>
                <w:rFonts w:ascii="Arial" w:eastAsia="맑은 고딕" w:hAnsi="Arial" w:cs="Arial"/>
                <w:kern w:val="0"/>
                <w:szCs w:val="20"/>
                <w:lang w:val="en-CA"/>
              </w:rPr>
              <w:t>4</w:t>
            </w:r>
          </w:p>
        </w:tc>
      </w:tr>
      <w:tr w:rsidR="00CA442B" w:rsidRPr="00CA442B" w14:paraId="41ABD9F8" w14:textId="77777777" w:rsidTr="00FC3A7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6FF7825" w14:textId="77777777" w:rsidR="00CA442B" w:rsidRPr="00BE515D" w:rsidRDefault="00CA442B" w:rsidP="00CA442B">
            <w:pPr>
              <w:wordWrap/>
              <w:adjustRightInd w:val="0"/>
              <w:spacing w:after="0" w:line="240" w:lineRule="auto"/>
              <w:jc w:val="left"/>
              <w:rPr>
                <w:rFonts w:ascii="Arial" w:eastAsia="맑은 고딕" w:hAnsi="Arial" w:cs="Arial"/>
                <w:color w:val="000000"/>
                <w:kern w:val="0"/>
                <w:szCs w:val="20"/>
                <w:lang w:val="en-CA" w:eastAsia="en-CA"/>
              </w:rPr>
            </w:pPr>
            <w:r w:rsidRPr="00BE515D">
              <w:rPr>
                <w:rFonts w:ascii="Arial" w:eastAsia="맑은 고딕" w:hAnsi="Arial" w:cs="Arial"/>
                <w:b/>
                <w:bCs/>
                <w:color w:val="000000"/>
                <w:kern w:val="0"/>
                <w:szCs w:val="20"/>
                <w:lang w:val="en-CA" w:eastAsia="en-CA"/>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41B11628" w14:textId="77777777" w:rsidR="00CA442B" w:rsidRPr="00BE515D" w:rsidRDefault="00CA442B" w:rsidP="00CA442B">
            <w:pPr>
              <w:wordWrap/>
              <w:adjustRightInd w:val="0"/>
              <w:spacing w:after="0" w:line="240" w:lineRule="auto"/>
              <w:jc w:val="center"/>
              <w:rPr>
                <w:rFonts w:ascii="Arial" w:eastAsia="맑은 고딕" w:hAnsi="Arial" w:cs="Arial"/>
                <w:kern w:val="0"/>
                <w:szCs w:val="20"/>
                <w:lang w:val="en-CA" w:eastAsia="en-CA"/>
              </w:rPr>
            </w:pPr>
          </w:p>
        </w:tc>
      </w:tr>
      <w:tr w:rsidR="00CA442B" w:rsidRPr="00CA442B" w14:paraId="2FE4245B"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78D5C5F9"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3C18DB37"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24</w:t>
            </w:r>
          </w:p>
        </w:tc>
        <w:tc>
          <w:tcPr>
            <w:tcW w:w="10600" w:type="dxa"/>
            <w:tcBorders>
              <w:top w:val="single" w:sz="5" w:space="0" w:color="000000"/>
              <w:left w:val="single" w:sz="5" w:space="0" w:color="000000"/>
              <w:bottom w:val="single" w:sz="5" w:space="0" w:color="000000"/>
              <w:right w:val="single" w:sz="5" w:space="0" w:color="000000"/>
            </w:tcBorders>
          </w:tcPr>
          <w:p w14:paraId="209EAD44"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0269CCD8" w14:textId="353333FD" w:rsidR="00CA442B" w:rsidRPr="00BE515D" w:rsidRDefault="00C62FB6" w:rsidP="00DC2436">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1</w:t>
            </w:r>
            <w:r w:rsidR="00DC2436">
              <w:rPr>
                <w:rFonts w:ascii="Arial" w:eastAsia="맑은 고딕" w:hAnsi="Arial" w:cs="Arial"/>
                <w:kern w:val="0"/>
                <w:szCs w:val="20"/>
                <w:lang w:val="en-CA"/>
              </w:rPr>
              <w:t>5</w:t>
            </w:r>
            <w:r>
              <w:rPr>
                <w:rFonts w:ascii="Arial" w:eastAsia="맑은 고딕" w:hAnsi="Arial" w:cs="Arial"/>
                <w:kern w:val="0"/>
                <w:szCs w:val="20"/>
                <w:lang w:val="en-CA"/>
              </w:rPr>
              <w:t>-1</w:t>
            </w:r>
            <w:r w:rsidR="00DC2436">
              <w:rPr>
                <w:rFonts w:ascii="Arial" w:eastAsia="맑은 고딕" w:hAnsi="Arial" w:cs="Arial"/>
                <w:kern w:val="0"/>
                <w:szCs w:val="20"/>
                <w:lang w:val="en-CA"/>
              </w:rPr>
              <w:t>7</w:t>
            </w:r>
          </w:p>
        </w:tc>
      </w:tr>
      <w:tr w:rsidR="00CA442B" w:rsidRPr="00CA442B" w14:paraId="3336F045" w14:textId="77777777" w:rsidTr="00FC3A79">
        <w:trPr>
          <w:trHeight w:val="578"/>
        </w:trPr>
        <w:tc>
          <w:tcPr>
            <w:tcW w:w="2800" w:type="dxa"/>
            <w:tcBorders>
              <w:top w:val="single" w:sz="5" w:space="0" w:color="000000"/>
              <w:left w:val="single" w:sz="5" w:space="0" w:color="000000"/>
              <w:bottom w:val="single" w:sz="5" w:space="0" w:color="000000"/>
              <w:right w:val="single" w:sz="5" w:space="0" w:color="000000"/>
            </w:tcBorders>
          </w:tcPr>
          <w:p w14:paraId="5E537F24"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44416EE1"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25</w:t>
            </w:r>
          </w:p>
        </w:tc>
        <w:tc>
          <w:tcPr>
            <w:tcW w:w="10600" w:type="dxa"/>
            <w:tcBorders>
              <w:top w:val="single" w:sz="5" w:space="0" w:color="000000"/>
              <w:left w:val="single" w:sz="5" w:space="0" w:color="000000"/>
              <w:bottom w:val="single" w:sz="5" w:space="0" w:color="000000"/>
              <w:right w:val="single" w:sz="5" w:space="0" w:color="000000"/>
            </w:tcBorders>
          </w:tcPr>
          <w:p w14:paraId="1D478FAC"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14:paraId="5D5F7C78" w14:textId="4DECA57A" w:rsidR="00CA442B" w:rsidRPr="00BE515D" w:rsidRDefault="00C62FB6" w:rsidP="00DC2436">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1</w:t>
            </w:r>
            <w:r w:rsidR="00DC2436">
              <w:rPr>
                <w:rFonts w:ascii="Arial" w:eastAsia="맑은 고딕" w:hAnsi="Arial" w:cs="Arial"/>
                <w:kern w:val="0"/>
                <w:szCs w:val="20"/>
                <w:lang w:val="en-CA"/>
              </w:rPr>
              <w:t>7</w:t>
            </w:r>
            <w:r w:rsidR="00CA424B">
              <w:rPr>
                <w:rFonts w:ascii="Arial" w:eastAsia="맑은 고딕" w:hAnsi="Arial" w:cs="Arial"/>
                <w:kern w:val="0"/>
                <w:szCs w:val="20"/>
                <w:lang w:val="en-CA"/>
              </w:rPr>
              <w:t>-1</w:t>
            </w:r>
            <w:r w:rsidR="00DC2436">
              <w:rPr>
                <w:rFonts w:ascii="Arial" w:eastAsia="맑은 고딕" w:hAnsi="Arial" w:cs="Arial"/>
                <w:kern w:val="0"/>
                <w:szCs w:val="20"/>
                <w:lang w:val="en-CA"/>
              </w:rPr>
              <w:t>8</w:t>
            </w:r>
          </w:p>
        </w:tc>
      </w:tr>
      <w:tr w:rsidR="00CA442B" w:rsidRPr="00CA442B" w14:paraId="7C41EC3D" w14:textId="77777777" w:rsidTr="00FC3A79">
        <w:trPr>
          <w:trHeight w:val="420"/>
        </w:trPr>
        <w:tc>
          <w:tcPr>
            <w:tcW w:w="2800" w:type="dxa"/>
            <w:tcBorders>
              <w:top w:val="single" w:sz="5" w:space="0" w:color="000000"/>
              <w:left w:val="single" w:sz="5" w:space="0" w:color="000000"/>
              <w:bottom w:val="double" w:sz="2" w:space="0" w:color="FFFFCC"/>
              <w:right w:val="single" w:sz="5" w:space="0" w:color="000000"/>
            </w:tcBorders>
          </w:tcPr>
          <w:p w14:paraId="5DAC5763"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37A16661"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26</w:t>
            </w:r>
          </w:p>
        </w:tc>
        <w:tc>
          <w:tcPr>
            <w:tcW w:w="10600" w:type="dxa"/>
            <w:tcBorders>
              <w:top w:val="single" w:sz="5" w:space="0" w:color="000000"/>
              <w:left w:val="single" w:sz="5" w:space="0" w:color="000000"/>
              <w:bottom w:val="double" w:sz="5" w:space="0" w:color="000000"/>
              <w:right w:val="single" w:sz="5" w:space="0" w:color="000000"/>
            </w:tcBorders>
          </w:tcPr>
          <w:p w14:paraId="45E162EA"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14:paraId="729C9661" w14:textId="326567C3" w:rsidR="00CA442B" w:rsidRPr="00BE515D" w:rsidRDefault="00C62FB6" w:rsidP="00DC2436">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kern w:val="0"/>
                <w:szCs w:val="20"/>
                <w:lang w:val="en-CA"/>
              </w:rPr>
              <w:t>1</w:t>
            </w:r>
            <w:r w:rsidR="00DC2436">
              <w:rPr>
                <w:rFonts w:ascii="Arial" w:eastAsia="맑은 고딕" w:hAnsi="Arial" w:cs="Arial"/>
                <w:kern w:val="0"/>
                <w:szCs w:val="20"/>
                <w:lang w:val="en-CA"/>
              </w:rPr>
              <w:t>8</w:t>
            </w:r>
          </w:p>
        </w:tc>
      </w:tr>
      <w:tr w:rsidR="00CA442B" w:rsidRPr="00CA442B" w14:paraId="1A37CF14" w14:textId="77777777" w:rsidTr="00FC3A79">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810DAAC" w14:textId="77777777" w:rsidR="00CA442B" w:rsidRPr="00BE515D" w:rsidRDefault="00CA442B" w:rsidP="00CA442B">
            <w:pPr>
              <w:wordWrap/>
              <w:adjustRightInd w:val="0"/>
              <w:spacing w:after="0" w:line="240" w:lineRule="auto"/>
              <w:jc w:val="left"/>
              <w:rPr>
                <w:rFonts w:ascii="Arial" w:eastAsia="맑은 고딕" w:hAnsi="Arial" w:cs="Arial"/>
                <w:color w:val="000000"/>
                <w:kern w:val="0"/>
                <w:szCs w:val="20"/>
                <w:lang w:val="en-CA" w:eastAsia="en-CA"/>
              </w:rPr>
            </w:pPr>
            <w:r w:rsidRPr="00BE515D">
              <w:rPr>
                <w:rFonts w:ascii="Arial" w:eastAsia="맑은 고딕" w:hAnsi="Arial" w:cs="Arial"/>
                <w:b/>
                <w:bCs/>
                <w:color w:val="000000"/>
                <w:kern w:val="0"/>
                <w:szCs w:val="20"/>
                <w:lang w:val="en-CA" w:eastAsia="en-CA"/>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09A1AB5D" w14:textId="77777777" w:rsidR="00CA442B" w:rsidRPr="00BE515D" w:rsidRDefault="00CA442B" w:rsidP="00CA442B">
            <w:pPr>
              <w:wordWrap/>
              <w:adjustRightInd w:val="0"/>
              <w:spacing w:after="0" w:line="240" w:lineRule="auto"/>
              <w:jc w:val="center"/>
              <w:rPr>
                <w:rFonts w:ascii="Arial" w:eastAsia="맑은 고딕" w:hAnsi="Arial" w:cs="Arial"/>
                <w:kern w:val="0"/>
                <w:szCs w:val="20"/>
                <w:lang w:val="en-CA" w:eastAsia="en-CA"/>
              </w:rPr>
            </w:pPr>
          </w:p>
        </w:tc>
      </w:tr>
      <w:tr w:rsidR="00CA442B" w:rsidRPr="00CA442B" w14:paraId="7E7F91E7" w14:textId="77777777" w:rsidTr="00FC3A79">
        <w:trPr>
          <w:trHeight w:val="570"/>
        </w:trPr>
        <w:tc>
          <w:tcPr>
            <w:tcW w:w="2800" w:type="dxa"/>
            <w:tcBorders>
              <w:top w:val="single" w:sz="5" w:space="0" w:color="000000"/>
              <w:left w:val="single" w:sz="5" w:space="0" w:color="000000"/>
              <w:bottom w:val="double" w:sz="5" w:space="0" w:color="000000"/>
              <w:right w:val="single" w:sz="5" w:space="0" w:color="000000"/>
            </w:tcBorders>
          </w:tcPr>
          <w:p w14:paraId="6A0FDFE5"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7E0D45C7" w14:textId="77777777" w:rsidR="00CA442B" w:rsidRPr="00BE515D" w:rsidRDefault="00CA442B" w:rsidP="00CA442B">
            <w:pPr>
              <w:wordWrap/>
              <w:adjustRightInd w:val="0"/>
              <w:spacing w:before="40" w:after="40" w:line="240" w:lineRule="auto"/>
              <w:jc w:val="righ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27</w:t>
            </w:r>
          </w:p>
        </w:tc>
        <w:tc>
          <w:tcPr>
            <w:tcW w:w="10600" w:type="dxa"/>
            <w:tcBorders>
              <w:top w:val="single" w:sz="5" w:space="0" w:color="000000"/>
              <w:left w:val="single" w:sz="5" w:space="0" w:color="000000"/>
              <w:bottom w:val="double" w:sz="5" w:space="0" w:color="000000"/>
              <w:right w:val="single" w:sz="5" w:space="0" w:color="000000"/>
            </w:tcBorders>
          </w:tcPr>
          <w:p w14:paraId="5E3AF195" w14:textId="77777777" w:rsidR="00CA442B" w:rsidRPr="00BE515D" w:rsidRDefault="00CA442B" w:rsidP="00CA442B">
            <w:pPr>
              <w:wordWrap/>
              <w:adjustRightInd w:val="0"/>
              <w:spacing w:before="40" w:after="40" w:line="240" w:lineRule="auto"/>
              <w:jc w:val="left"/>
              <w:rPr>
                <w:rFonts w:ascii="Arial" w:eastAsia="맑은 고딕" w:hAnsi="Arial" w:cs="Arial"/>
                <w:color w:val="000000"/>
                <w:kern w:val="0"/>
                <w:szCs w:val="20"/>
                <w:lang w:val="en-CA" w:eastAsia="en-CA"/>
              </w:rPr>
            </w:pPr>
            <w:r w:rsidRPr="00BE515D">
              <w:rPr>
                <w:rFonts w:ascii="Arial" w:eastAsia="맑은 고딕" w:hAnsi="Arial" w:cs="Arial"/>
                <w:color w:val="000000"/>
                <w:kern w:val="0"/>
                <w:szCs w:val="20"/>
                <w:lang w:val="en-CA" w:eastAsia="en-CA"/>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14:paraId="1652B893" w14:textId="681BCD0D" w:rsidR="00CA442B" w:rsidRPr="00BE515D" w:rsidRDefault="00DC2436" w:rsidP="00CA442B">
            <w:pPr>
              <w:wordWrap/>
              <w:adjustRightInd w:val="0"/>
              <w:spacing w:before="40" w:after="40" w:line="240" w:lineRule="auto"/>
              <w:jc w:val="left"/>
              <w:rPr>
                <w:rFonts w:ascii="Arial" w:eastAsia="맑은 고딕" w:hAnsi="Arial" w:cs="Arial"/>
                <w:kern w:val="0"/>
                <w:szCs w:val="20"/>
                <w:lang w:val="en-CA"/>
              </w:rPr>
            </w:pPr>
            <w:r>
              <w:rPr>
                <w:rFonts w:ascii="Arial" w:eastAsia="맑은 고딕" w:hAnsi="Arial" w:cs="Arial" w:hint="eastAsia"/>
                <w:kern w:val="0"/>
                <w:szCs w:val="20"/>
                <w:lang w:val="en-CA"/>
              </w:rPr>
              <w:t>19</w:t>
            </w:r>
          </w:p>
        </w:tc>
      </w:tr>
    </w:tbl>
    <w:p w14:paraId="15FAEE9F" w14:textId="02D27B48" w:rsidR="000D19A2" w:rsidRPr="008E2DCC" w:rsidRDefault="00CA442B" w:rsidP="00CA442B">
      <w:pPr>
        <w:pStyle w:val="Default"/>
        <w:spacing w:line="183" w:lineRule="atLeast"/>
        <w:jc w:val="both"/>
        <w:rPr>
          <w:rFonts w:ascii="Times New Roman" w:hAnsi="Times New Roman" w:cs="Times New Roman"/>
          <w:sz w:val="20"/>
          <w:szCs w:val="20"/>
        </w:rPr>
      </w:pPr>
      <w:r w:rsidRPr="008E2DCC">
        <w:rPr>
          <w:rFonts w:ascii="Times New Roman" w:hAnsi="Times New Roman" w:cs="Times New Roman"/>
          <w:i/>
          <w:iCs/>
          <w:color w:val="auto"/>
          <w:sz w:val="20"/>
          <w:szCs w:val="20"/>
        </w:rPr>
        <w:lastRenderedPageBreak/>
        <w:t xml:space="preserve">From: </w:t>
      </w:r>
      <w:r w:rsidRPr="008E2DCC">
        <w:rPr>
          <w:rFonts w:ascii="Times New Roman" w:hAnsi="Times New Roman" w:cs="Times New Roman"/>
          <w:color w:val="auto"/>
          <w:sz w:val="20"/>
          <w:szCs w:val="20"/>
        </w:rPr>
        <w:t xml:space="preserve"> Moher D, </w:t>
      </w:r>
      <w:proofErr w:type="spellStart"/>
      <w:r w:rsidRPr="008E2DCC">
        <w:rPr>
          <w:rFonts w:ascii="Times New Roman" w:hAnsi="Times New Roman" w:cs="Times New Roman"/>
          <w:color w:val="auto"/>
          <w:sz w:val="20"/>
          <w:szCs w:val="20"/>
        </w:rPr>
        <w:t>Liberati</w:t>
      </w:r>
      <w:proofErr w:type="spellEnd"/>
      <w:r w:rsidRPr="008E2DCC">
        <w:rPr>
          <w:rFonts w:ascii="Times New Roman" w:hAnsi="Times New Roman" w:cs="Times New Roman"/>
          <w:color w:val="auto"/>
          <w:sz w:val="20"/>
          <w:szCs w:val="20"/>
        </w:rPr>
        <w:t xml:space="preserve"> A, </w:t>
      </w:r>
      <w:proofErr w:type="spellStart"/>
      <w:r w:rsidRPr="008E2DCC">
        <w:rPr>
          <w:rFonts w:ascii="Times New Roman" w:hAnsi="Times New Roman" w:cs="Times New Roman"/>
          <w:color w:val="auto"/>
          <w:sz w:val="20"/>
          <w:szCs w:val="20"/>
        </w:rPr>
        <w:t>Tetzlaff</w:t>
      </w:r>
      <w:proofErr w:type="spellEnd"/>
      <w:r w:rsidRPr="008E2DCC">
        <w:rPr>
          <w:rFonts w:ascii="Times New Roman" w:hAnsi="Times New Roman" w:cs="Times New Roman"/>
          <w:color w:val="auto"/>
          <w:sz w:val="20"/>
          <w:szCs w:val="20"/>
        </w:rPr>
        <w:t xml:space="preserve"> J, Altman DG, The PRISMA Group (2009). Preferred Reporting Items for Systematic Reviews and Meta-Analyses: The PRISMA Statement. </w:t>
      </w:r>
      <w:r w:rsidRPr="008E2DCC">
        <w:rPr>
          <w:rFonts w:ascii="Times New Roman" w:hAnsi="Times New Roman" w:cs="Times New Roman"/>
          <w:color w:val="auto"/>
          <w:sz w:val="20"/>
          <w:szCs w:val="20"/>
          <w:lang w:val="da-DK"/>
        </w:rPr>
        <w:t xml:space="preserve">PLoS Med 6(7): e1000097. doi:10.1371/journal.pmed1000097 </w:t>
      </w:r>
    </w:p>
    <w:p w14:paraId="44EEB663" w14:textId="77777777" w:rsidR="00237FFD" w:rsidRDefault="00237FFD" w:rsidP="008662B2">
      <w:pPr>
        <w:widowControl/>
        <w:wordWrap/>
        <w:autoSpaceDE/>
        <w:autoSpaceDN/>
        <w:spacing w:after="0" w:line="480" w:lineRule="auto"/>
        <w:jc w:val="center"/>
        <w:rPr>
          <w:rFonts w:ascii="Times New Roman" w:hAnsi="Times New Roman" w:cs="Times New Roman"/>
          <w:b/>
          <w:szCs w:val="24"/>
        </w:rPr>
        <w:sectPr w:rsidR="00237FFD" w:rsidSect="0070627E">
          <w:pgSz w:w="16838" w:h="11906" w:orient="landscape"/>
          <w:pgMar w:top="567" w:right="1701" w:bottom="1276" w:left="1276" w:header="283" w:footer="57" w:gutter="0"/>
          <w:cols w:space="425"/>
          <w:docGrid w:linePitch="360"/>
        </w:sectPr>
      </w:pPr>
    </w:p>
    <w:p w14:paraId="4BDB4887" w14:textId="77777777" w:rsidR="00E72CB1" w:rsidRDefault="00E72CB1">
      <w:pPr>
        <w:widowControl/>
        <w:wordWrap/>
        <w:autoSpaceDE/>
        <w:autoSpaceDN/>
        <w:rPr>
          <w:rFonts w:ascii="Times New Roman" w:hAnsi="Times New Roman" w:cs="Times New Roman"/>
          <w:noProof/>
        </w:rPr>
      </w:pPr>
      <w:r>
        <w:rPr>
          <w:rFonts w:ascii="Times New Roman" w:hAnsi="Times New Roman" w:cs="Times New Roman" w:hint="cs"/>
          <w:noProof/>
        </w:rPr>
        <w:lastRenderedPageBreak/>
        <w:t>MOOSE Checklist for Meta-analyses of Observation</w:t>
      </w:r>
      <w:r>
        <w:rPr>
          <w:rFonts w:ascii="Times New Roman" w:hAnsi="Times New Roman" w:cs="Times New Roman"/>
          <w:noProof/>
        </w:rPr>
        <w:t>al Studies</w:t>
      </w:r>
    </w:p>
    <w:tbl>
      <w:tblPr>
        <w:tblW w:w="0" w:type="auto"/>
        <w:tblInd w:w="101" w:type="dxa"/>
        <w:tblBorders>
          <w:left w:val="single" w:sz="4" w:space="0" w:color="auto"/>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6497"/>
        <w:gridCol w:w="1458"/>
      </w:tblGrid>
      <w:tr w:rsidR="00E72CB1" w:rsidRPr="00E72CB1" w14:paraId="58BA2E23" w14:textId="77777777" w:rsidTr="00E72CB1">
        <w:trPr>
          <w:trHeight w:val="492"/>
        </w:trPr>
        <w:tc>
          <w:tcPr>
            <w:tcW w:w="993" w:type="dxa"/>
            <w:tcBorders>
              <w:top w:val="single" w:sz="4" w:space="0" w:color="auto"/>
            </w:tcBorders>
            <w:shd w:val="clear" w:color="auto" w:fill="D9D9D9" w:themeFill="background1" w:themeFillShade="D9"/>
            <w:vAlign w:val="center"/>
          </w:tcPr>
          <w:p w14:paraId="7FC0143F" w14:textId="15952A33" w:rsidR="00E72CB1" w:rsidRPr="00E72CB1" w:rsidRDefault="00E72CB1" w:rsidP="00E72CB1">
            <w:pPr>
              <w:kinsoku w:val="0"/>
              <w:wordWrap/>
              <w:overflowPunct w:val="0"/>
              <w:adjustRightInd w:val="0"/>
              <w:spacing w:after="0" w:line="240" w:lineRule="auto"/>
              <w:ind w:left="324" w:right="114" w:hanging="188"/>
              <w:jc w:val="left"/>
              <w:rPr>
                <w:rFonts w:ascii="Times New Roman" w:hAnsi="Times New Roman" w:cs="Times New Roman"/>
                <w:b/>
                <w:spacing w:val="-4"/>
                <w:kern w:val="0"/>
                <w:sz w:val="18"/>
                <w:szCs w:val="18"/>
              </w:rPr>
            </w:pPr>
            <w:r w:rsidRPr="00E72CB1">
              <w:rPr>
                <w:rFonts w:ascii="Arial" w:hAnsi="Arial" w:cs="Arial" w:hint="eastAsia"/>
                <w:b/>
                <w:bCs/>
                <w:spacing w:val="-4"/>
                <w:kern w:val="0"/>
                <w:szCs w:val="20"/>
              </w:rPr>
              <w:t xml:space="preserve">Item </w:t>
            </w:r>
            <w:r w:rsidRPr="00E72CB1">
              <w:rPr>
                <w:rFonts w:ascii="Arial" w:hAnsi="Arial" w:cs="Arial"/>
                <w:b/>
                <w:bCs/>
                <w:spacing w:val="-4"/>
                <w:kern w:val="0"/>
                <w:szCs w:val="20"/>
              </w:rPr>
              <w:t>N</w:t>
            </w:r>
            <w:r w:rsidRPr="00E72CB1">
              <w:rPr>
                <w:rFonts w:ascii="Arial" w:hAnsi="Arial" w:cs="Arial" w:hint="eastAsia"/>
                <w:b/>
                <w:bCs/>
                <w:spacing w:val="-4"/>
                <w:kern w:val="0"/>
                <w:szCs w:val="20"/>
              </w:rPr>
              <w:t>o</w:t>
            </w:r>
          </w:p>
        </w:tc>
        <w:tc>
          <w:tcPr>
            <w:tcW w:w="6497" w:type="dxa"/>
            <w:tcBorders>
              <w:top w:val="single" w:sz="4" w:space="0" w:color="auto"/>
            </w:tcBorders>
            <w:shd w:val="clear" w:color="auto" w:fill="D9D9D9" w:themeFill="background1" w:themeFillShade="D9"/>
            <w:vAlign w:val="center"/>
          </w:tcPr>
          <w:p w14:paraId="06D5A25C" w14:textId="54A8E494" w:rsidR="00E72CB1" w:rsidRPr="00E72CB1" w:rsidRDefault="00E72CB1" w:rsidP="00E72CB1">
            <w:pPr>
              <w:kinsoku w:val="0"/>
              <w:wordWrap/>
              <w:overflowPunct w:val="0"/>
              <w:adjustRightInd w:val="0"/>
              <w:spacing w:after="0" w:line="240" w:lineRule="auto"/>
              <w:jc w:val="center"/>
              <w:rPr>
                <w:rFonts w:ascii="Arial" w:hAnsi="Arial" w:cs="Arial"/>
                <w:b/>
                <w:kern w:val="0"/>
                <w:sz w:val="18"/>
                <w:szCs w:val="18"/>
              </w:rPr>
            </w:pPr>
            <w:r w:rsidRPr="00E72CB1">
              <w:rPr>
                <w:rFonts w:ascii="Arial" w:hAnsi="Arial" w:cs="Arial"/>
                <w:b/>
                <w:kern w:val="0"/>
                <w:szCs w:val="18"/>
              </w:rPr>
              <w:t>Recommendation</w:t>
            </w:r>
          </w:p>
        </w:tc>
        <w:tc>
          <w:tcPr>
            <w:tcW w:w="1458" w:type="dxa"/>
            <w:tcBorders>
              <w:top w:val="single" w:sz="4" w:space="0" w:color="auto"/>
            </w:tcBorders>
            <w:shd w:val="clear" w:color="auto" w:fill="D9D9D9"/>
          </w:tcPr>
          <w:p w14:paraId="4CC2656F" w14:textId="77777777" w:rsidR="00E72CB1" w:rsidRPr="00E72CB1" w:rsidRDefault="00E72CB1" w:rsidP="00E72CB1">
            <w:pPr>
              <w:kinsoku w:val="0"/>
              <w:wordWrap/>
              <w:overflowPunct w:val="0"/>
              <w:adjustRightInd w:val="0"/>
              <w:spacing w:after="0" w:line="240" w:lineRule="auto"/>
              <w:ind w:left="324" w:right="114" w:hanging="188"/>
              <w:jc w:val="left"/>
              <w:rPr>
                <w:rFonts w:ascii="Arial" w:hAnsi="Arial" w:cs="Arial"/>
                <w:b/>
                <w:bCs/>
                <w:kern w:val="0"/>
                <w:szCs w:val="20"/>
              </w:rPr>
            </w:pPr>
            <w:r w:rsidRPr="00E72CB1">
              <w:rPr>
                <w:rFonts w:ascii="Arial" w:hAnsi="Arial" w:cs="Arial"/>
                <w:b/>
                <w:bCs/>
                <w:kern w:val="0"/>
                <w:szCs w:val="20"/>
              </w:rPr>
              <w:t>Reported on Page No</w:t>
            </w:r>
          </w:p>
        </w:tc>
      </w:tr>
      <w:tr w:rsidR="00E72CB1" w:rsidRPr="00E72CB1" w14:paraId="1143656F" w14:textId="77777777" w:rsidTr="00E72CB1">
        <w:trPr>
          <w:trHeight w:val="407"/>
        </w:trPr>
        <w:tc>
          <w:tcPr>
            <w:tcW w:w="8948" w:type="dxa"/>
            <w:gridSpan w:val="3"/>
            <w:shd w:val="clear" w:color="auto" w:fill="F1F1F1"/>
          </w:tcPr>
          <w:p w14:paraId="7988D43F" w14:textId="77777777" w:rsidR="00E72CB1" w:rsidRPr="00E72CB1" w:rsidRDefault="00E72CB1" w:rsidP="00E72CB1">
            <w:pPr>
              <w:kinsoku w:val="0"/>
              <w:wordWrap/>
              <w:overflowPunct w:val="0"/>
              <w:adjustRightInd w:val="0"/>
              <w:spacing w:before="88" w:after="0" w:line="240" w:lineRule="auto"/>
              <w:ind w:left="39"/>
              <w:jc w:val="left"/>
              <w:rPr>
                <w:rFonts w:ascii="Arial" w:hAnsi="Arial" w:cs="Arial"/>
                <w:kern w:val="0"/>
                <w:szCs w:val="20"/>
              </w:rPr>
            </w:pPr>
            <w:r w:rsidRPr="00E72CB1">
              <w:rPr>
                <w:rFonts w:ascii="Arial" w:hAnsi="Arial" w:cs="Arial"/>
                <w:kern w:val="0"/>
                <w:szCs w:val="20"/>
              </w:rPr>
              <w:t>Reporting of background should include</w:t>
            </w:r>
          </w:p>
        </w:tc>
      </w:tr>
      <w:tr w:rsidR="00E72CB1" w:rsidRPr="00E72CB1" w14:paraId="502BF3D6" w14:textId="77777777" w:rsidTr="00E72CB1">
        <w:trPr>
          <w:trHeight w:val="350"/>
        </w:trPr>
        <w:tc>
          <w:tcPr>
            <w:tcW w:w="993" w:type="dxa"/>
          </w:tcPr>
          <w:p w14:paraId="61970034" w14:textId="77777777" w:rsidR="00E72CB1" w:rsidRPr="00E72CB1" w:rsidRDefault="00E72CB1" w:rsidP="00E72CB1">
            <w:pPr>
              <w:kinsoku w:val="0"/>
              <w:wordWrap/>
              <w:overflowPunct w:val="0"/>
              <w:adjustRightInd w:val="0"/>
              <w:spacing w:before="59" w:after="0" w:line="240" w:lineRule="auto"/>
              <w:ind w:left="407"/>
              <w:jc w:val="left"/>
              <w:rPr>
                <w:rFonts w:ascii="Arial" w:hAnsi="Arial" w:cs="Arial"/>
                <w:w w:val="99"/>
                <w:kern w:val="0"/>
                <w:szCs w:val="20"/>
              </w:rPr>
            </w:pPr>
            <w:r w:rsidRPr="00E72CB1">
              <w:rPr>
                <w:rFonts w:ascii="Arial" w:hAnsi="Arial" w:cs="Arial"/>
                <w:w w:val="99"/>
                <w:kern w:val="0"/>
                <w:szCs w:val="20"/>
              </w:rPr>
              <w:t>1</w:t>
            </w:r>
          </w:p>
        </w:tc>
        <w:tc>
          <w:tcPr>
            <w:tcW w:w="6497" w:type="dxa"/>
          </w:tcPr>
          <w:p w14:paraId="78EFC386" w14:textId="77777777" w:rsidR="00E72CB1" w:rsidRPr="00E72CB1" w:rsidRDefault="00E72CB1" w:rsidP="00E72CB1">
            <w:pPr>
              <w:kinsoku w:val="0"/>
              <w:wordWrap/>
              <w:overflowPunct w:val="0"/>
              <w:adjustRightInd w:val="0"/>
              <w:spacing w:before="59" w:after="0" w:line="240" w:lineRule="auto"/>
              <w:ind w:left="103"/>
              <w:jc w:val="left"/>
              <w:rPr>
                <w:rFonts w:ascii="Arial" w:hAnsi="Arial" w:cs="Arial"/>
                <w:kern w:val="0"/>
                <w:szCs w:val="20"/>
              </w:rPr>
            </w:pPr>
            <w:r w:rsidRPr="00E72CB1">
              <w:rPr>
                <w:rFonts w:ascii="Arial" w:hAnsi="Arial" w:cs="Arial"/>
                <w:kern w:val="0"/>
                <w:szCs w:val="20"/>
              </w:rPr>
              <w:t>Problem definition</w:t>
            </w:r>
          </w:p>
        </w:tc>
        <w:tc>
          <w:tcPr>
            <w:tcW w:w="1458" w:type="dxa"/>
          </w:tcPr>
          <w:p w14:paraId="212CD674" w14:textId="0B3DFAE1" w:rsidR="00E72CB1" w:rsidRPr="00E72CB1" w:rsidRDefault="00CA424B" w:rsidP="00E72CB1">
            <w:pPr>
              <w:kinsoku w:val="0"/>
              <w:wordWrap/>
              <w:overflowPunct w:val="0"/>
              <w:adjustRightInd w:val="0"/>
              <w:spacing w:before="59" w:after="0" w:line="240" w:lineRule="auto"/>
              <w:ind w:right="576"/>
              <w:jc w:val="right"/>
              <w:rPr>
                <w:rFonts w:ascii="Arial" w:hAnsi="Arial" w:cs="Arial"/>
                <w:kern w:val="0"/>
                <w:szCs w:val="20"/>
              </w:rPr>
            </w:pPr>
            <w:r>
              <w:rPr>
                <w:rFonts w:ascii="Arial" w:hAnsi="Arial" w:cs="Arial"/>
                <w:kern w:val="0"/>
                <w:szCs w:val="20"/>
              </w:rPr>
              <w:t>6</w:t>
            </w:r>
            <w:r w:rsidR="008F0A30">
              <w:rPr>
                <w:rFonts w:ascii="Arial" w:hAnsi="Arial" w:cs="Arial"/>
                <w:kern w:val="0"/>
                <w:szCs w:val="20"/>
              </w:rPr>
              <w:t>-7</w:t>
            </w:r>
          </w:p>
        </w:tc>
      </w:tr>
      <w:tr w:rsidR="00E72CB1" w:rsidRPr="00E72CB1" w14:paraId="6B2A655B" w14:textId="77777777" w:rsidTr="00E72CB1">
        <w:trPr>
          <w:trHeight w:val="350"/>
        </w:trPr>
        <w:tc>
          <w:tcPr>
            <w:tcW w:w="993" w:type="dxa"/>
          </w:tcPr>
          <w:p w14:paraId="41362E76" w14:textId="77777777" w:rsidR="00E72CB1" w:rsidRPr="00E72CB1" w:rsidRDefault="00E72CB1" w:rsidP="00E72CB1">
            <w:pPr>
              <w:kinsoku w:val="0"/>
              <w:wordWrap/>
              <w:overflowPunct w:val="0"/>
              <w:adjustRightInd w:val="0"/>
              <w:spacing w:before="59" w:after="0" w:line="240" w:lineRule="auto"/>
              <w:ind w:left="407"/>
              <w:jc w:val="left"/>
              <w:rPr>
                <w:rFonts w:ascii="Arial" w:hAnsi="Arial" w:cs="Arial"/>
                <w:w w:val="99"/>
                <w:kern w:val="0"/>
                <w:szCs w:val="20"/>
              </w:rPr>
            </w:pPr>
            <w:r w:rsidRPr="00E72CB1">
              <w:rPr>
                <w:rFonts w:ascii="Arial" w:hAnsi="Arial" w:cs="Arial"/>
                <w:w w:val="99"/>
                <w:kern w:val="0"/>
                <w:szCs w:val="20"/>
              </w:rPr>
              <w:t>2</w:t>
            </w:r>
          </w:p>
        </w:tc>
        <w:tc>
          <w:tcPr>
            <w:tcW w:w="6497" w:type="dxa"/>
          </w:tcPr>
          <w:p w14:paraId="56A136EA" w14:textId="77777777" w:rsidR="00E72CB1" w:rsidRPr="00E72CB1" w:rsidRDefault="00E72CB1" w:rsidP="00E72CB1">
            <w:pPr>
              <w:kinsoku w:val="0"/>
              <w:wordWrap/>
              <w:overflowPunct w:val="0"/>
              <w:adjustRightInd w:val="0"/>
              <w:spacing w:before="59" w:after="0" w:line="240" w:lineRule="auto"/>
              <w:ind w:left="103"/>
              <w:jc w:val="left"/>
              <w:rPr>
                <w:rFonts w:ascii="Arial" w:hAnsi="Arial" w:cs="Arial"/>
                <w:kern w:val="0"/>
                <w:szCs w:val="20"/>
              </w:rPr>
            </w:pPr>
            <w:r w:rsidRPr="00E72CB1">
              <w:rPr>
                <w:rFonts w:ascii="Arial" w:hAnsi="Arial" w:cs="Arial"/>
                <w:kern w:val="0"/>
                <w:szCs w:val="20"/>
              </w:rPr>
              <w:t>Hypothesis statement</w:t>
            </w:r>
          </w:p>
        </w:tc>
        <w:tc>
          <w:tcPr>
            <w:tcW w:w="1458" w:type="dxa"/>
          </w:tcPr>
          <w:p w14:paraId="01C484E1" w14:textId="23764D32" w:rsidR="00E72CB1" w:rsidRPr="00E72CB1" w:rsidRDefault="00CA424B" w:rsidP="00E72CB1">
            <w:pPr>
              <w:kinsoku w:val="0"/>
              <w:wordWrap/>
              <w:overflowPunct w:val="0"/>
              <w:adjustRightInd w:val="0"/>
              <w:spacing w:before="59" w:after="0" w:line="240" w:lineRule="auto"/>
              <w:ind w:left="3"/>
              <w:jc w:val="center"/>
              <w:rPr>
                <w:rFonts w:ascii="Arial" w:hAnsi="Arial" w:cs="Arial"/>
                <w:w w:val="99"/>
                <w:kern w:val="0"/>
                <w:szCs w:val="20"/>
              </w:rPr>
            </w:pPr>
            <w:r>
              <w:rPr>
                <w:rFonts w:ascii="Arial" w:hAnsi="Arial" w:cs="Arial"/>
                <w:kern w:val="0"/>
                <w:szCs w:val="20"/>
              </w:rPr>
              <w:t>6</w:t>
            </w:r>
            <w:r w:rsidR="008F0A30">
              <w:rPr>
                <w:rFonts w:ascii="Arial" w:hAnsi="Arial" w:cs="Arial"/>
                <w:kern w:val="0"/>
                <w:szCs w:val="20"/>
              </w:rPr>
              <w:t>-7</w:t>
            </w:r>
          </w:p>
        </w:tc>
      </w:tr>
      <w:tr w:rsidR="00E72CB1" w:rsidRPr="00E72CB1" w14:paraId="20D78E2F" w14:textId="77777777" w:rsidTr="00E72CB1">
        <w:trPr>
          <w:trHeight w:val="350"/>
        </w:trPr>
        <w:tc>
          <w:tcPr>
            <w:tcW w:w="993" w:type="dxa"/>
          </w:tcPr>
          <w:p w14:paraId="547F480D" w14:textId="77777777" w:rsidR="00E72CB1" w:rsidRPr="00E72CB1" w:rsidRDefault="00E72CB1" w:rsidP="00E72CB1">
            <w:pPr>
              <w:kinsoku w:val="0"/>
              <w:wordWrap/>
              <w:overflowPunct w:val="0"/>
              <w:adjustRightInd w:val="0"/>
              <w:spacing w:before="59" w:after="0" w:line="240" w:lineRule="auto"/>
              <w:ind w:left="407"/>
              <w:jc w:val="left"/>
              <w:rPr>
                <w:rFonts w:ascii="Arial" w:hAnsi="Arial" w:cs="Arial"/>
                <w:w w:val="99"/>
                <w:kern w:val="0"/>
                <w:szCs w:val="20"/>
              </w:rPr>
            </w:pPr>
            <w:r w:rsidRPr="00E72CB1">
              <w:rPr>
                <w:rFonts w:ascii="Arial" w:hAnsi="Arial" w:cs="Arial"/>
                <w:w w:val="99"/>
                <w:kern w:val="0"/>
                <w:szCs w:val="20"/>
              </w:rPr>
              <w:t>3</w:t>
            </w:r>
          </w:p>
        </w:tc>
        <w:tc>
          <w:tcPr>
            <w:tcW w:w="6497" w:type="dxa"/>
          </w:tcPr>
          <w:p w14:paraId="31FBEC2C" w14:textId="77777777" w:rsidR="00E72CB1" w:rsidRPr="00E72CB1" w:rsidRDefault="00E72CB1" w:rsidP="00E72CB1">
            <w:pPr>
              <w:kinsoku w:val="0"/>
              <w:wordWrap/>
              <w:overflowPunct w:val="0"/>
              <w:adjustRightInd w:val="0"/>
              <w:spacing w:before="59" w:after="0" w:line="240" w:lineRule="auto"/>
              <w:ind w:left="103"/>
              <w:jc w:val="left"/>
              <w:rPr>
                <w:rFonts w:ascii="Arial" w:hAnsi="Arial" w:cs="Arial"/>
                <w:kern w:val="0"/>
                <w:szCs w:val="20"/>
              </w:rPr>
            </w:pPr>
            <w:r w:rsidRPr="00E72CB1">
              <w:rPr>
                <w:rFonts w:ascii="Arial" w:hAnsi="Arial" w:cs="Arial"/>
                <w:kern w:val="0"/>
                <w:szCs w:val="20"/>
              </w:rPr>
              <w:t>Description of study outcome(s)</w:t>
            </w:r>
          </w:p>
        </w:tc>
        <w:tc>
          <w:tcPr>
            <w:tcW w:w="1458" w:type="dxa"/>
          </w:tcPr>
          <w:p w14:paraId="28A01878" w14:textId="3985A855" w:rsidR="00E72CB1" w:rsidRPr="00E72CB1" w:rsidRDefault="008F0A30" w:rsidP="00C62FB6">
            <w:pPr>
              <w:kinsoku w:val="0"/>
              <w:wordWrap/>
              <w:overflowPunct w:val="0"/>
              <w:adjustRightInd w:val="0"/>
              <w:spacing w:before="59" w:after="0" w:line="240" w:lineRule="auto"/>
              <w:jc w:val="center"/>
              <w:rPr>
                <w:rFonts w:ascii="Arial" w:hAnsi="Arial" w:cs="Arial"/>
                <w:kern w:val="0"/>
                <w:szCs w:val="20"/>
              </w:rPr>
            </w:pPr>
            <w:r>
              <w:rPr>
                <w:rFonts w:ascii="Arial" w:hAnsi="Arial" w:cs="Arial"/>
                <w:kern w:val="0"/>
                <w:szCs w:val="20"/>
              </w:rPr>
              <w:t>6-7</w:t>
            </w:r>
          </w:p>
        </w:tc>
      </w:tr>
      <w:tr w:rsidR="00E72CB1" w:rsidRPr="00E72CB1" w14:paraId="39DED902" w14:textId="77777777" w:rsidTr="00E72CB1">
        <w:trPr>
          <w:trHeight w:val="350"/>
        </w:trPr>
        <w:tc>
          <w:tcPr>
            <w:tcW w:w="993" w:type="dxa"/>
          </w:tcPr>
          <w:p w14:paraId="08766BB5" w14:textId="77777777" w:rsidR="00E72CB1" w:rsidRPr="00E72CB1" w:rsidRDefault="00E72CB1" w:rsidP="00E72CB1">
            <w:pPr>
              <w:kinsoku w:val="0"/>
              <w:wordWrap/>
              <w:overflowPunct w:val="0"/>
              <w:adjustRightInd w:val="0"/>
              <w:spacing w:before="59" w:after="0" w:line="240" w:lineRule="auto"/>
              <w:ind w:left="407"/>
              <w:jc w:val="left"/>
              <w:rPr>
                <w:rFonts w:ascii="Arial" w:hAnsi="Arial" w:cs="Arial"/>
                <w:w w:val="99"/>
                <w:kern w:val="0"/>
                <w:szCs w:val="20"/>
              </w:rPr>
            </w:pPr>
            <w:r w:rsidRPr="00E72CB1">
              <w:rPr>
                <w:rFonts w:ascii="Arial" w:hAnsi="Arial" w:cs="Arial"/>
                <w:w w:val="99"/>
                <w:kern w:val="0"/>
                <w:szCs w:val="20"/>
              </w:rPr>
              <w:t>4</w:t>
            </w:r>
          </w:p>
        </w:tc>
        <w:tc>
          <w:tcPr>
            <w:tcW w:w="6497" w:type="dxa"/>
          </w:tcPr>
          <w:p w14:paraId="420EAEEF" w14:textId="77777777" w:rsidR="00E72CB1" w:rsidRPr="00E72CB1" w:rsidRDefault="00E72CB1" w:rsidP="00E72CB1">
            <w:pPr>
              <w:kinsoku w:val="0"/>
              <w:wordWrap/>
              <w:overflowPunct w:val="0"/>
              <w:adjustRightInd w:val="0"/>
              <w:spacing w:before="59" w:after="0" w:line="240" w:lineRule="auto"/>
              <w:ind w:left="103"/>
              <w:jc w:val="left"/>
              <w:rPr>
                <w:rFonts w:ascii="Arial" w:hAnsi="Arial" w:cs="Arial"/>
                <w:kern w:val="0"/>
                <w:szCs w:val="20"/>
              </w:rPr>
            </w:pPr>
            <w:r w:rsidRPr="00E72CB1">
              <w:rPr>
                <w:rFonts w:ascii="Arial" w:hAnsi="Arial" w:cs="Arial"/>
                <w:kern w:val="0"/>
                <w:szCs w:val="20"/>
              </w:rPr>
              <w:t>Type of exposure or intervention used</w:t>
            </w:r>
          </w:p>
        </w:tc>
        <w:tc>
          <w:tcPr>
            <w:tcW w:w="1458" w:type="dxa"/>
          </w:tcPr>
          <w:p w14:paraId="4859D8CC" w14:textId="2319AF23" w:rsidR="00E72CB1" w:rsidRPr="00E72CB1" w:rsidRDefault="008F0A30" w:rsidP="00C62FB6">
            <w:pPr>
              <w:kinsoku w:val="0"/>
              <w:wordWrap/>
              <w:overflowPunct w:val="0"/>
              <w:adjustRightInd w:val="0"/>
              <w:spacing w:before="59" w:after="0" w:line="240" w:lineRule="auto"/>
              <w:jc w:val="center"/>
              <w:rPr>
                <w:rFonts w:ascii="Arial" w:hAnsi="Arial" w:cs="Arial"/>
                <w:kern w:val="0"/>
                <w:szCs w:val="20"/>
              </w:rPr>
            </w:pPr>
            <w:r>
              <w:rPr>
                <w:rFonts w:ascii="Arial" w:hAnsi="Arial" w:cs="Arial"/>
                <w:kern w:val="0"/>
                <w:szCs w:val="20"/>
              </w:rPr>
              <w:t>6-7</w:t>
            </w:r>
          </w:p>
        </w:tc>
      </w:tr>
      <w:tr w:rsidR="00E72CB1" w:rsidRPr="00E72CB1" w14:paraId="05285937" w14:textId="77777777" w:rsidTr="00E72CB1">
        <w:trPr>
          <w:trHeight w:val="350"/>
        </w:trPr>
        <w:tc>
          <w:tcPr>
            <w:tcW w:w="993" w:type="dxa"/>
          </w:tcPr>
          <w:p w14:paraId="353805D5" w14:textId="77777777" w:rsidR="00E72CB1" w:rsidRPr="00E72CB1" w:rsidRDefault="00E72CB1" w:rsidP="00E72CB1">
            <w:pPr>
              <w:kinsoku w:val="0"/>
              <w:wordWrap/>
              <w:overflowPunct w:val="0"/>
              <w:adjustRightInd w:val="0"/>
              <w:spacing w:before="59" w:after="0" w:line="240" w:lineRule="auto"/>
              <w:ind w:left="407"/>
              <w:jc w:val="left"/>
              <w:rPr>
                <w:rFonts w:ascii="Arial" w:hAnsi="Arial" w:cs="Arial"/>
                <w:w w:val="99"/>
                <w:kern w:val="0"/>
                <w:szCs w:val="20"/>
              </w:rPr>
            </w:pPr>
            <w:r w:rsidRPr="00E72CB1">
              <w:rPr>
                <w:rFonts w:ascii="Arial" w:hAnsi="Arial" w:cs="Arial"/>
                <w:w w:val="99"/>
                <w:kern w:val="0"/>
                <w:szCs w:val="20"/>
              </w:rPr>
              <w:t>5</w:t>
            </w:r>
          </w:p>
        </w:tc>
        <w:tc>
          <w:tcPr>
            <w:tcW w:w="6497" w:type="dxa"/>
          </w:tcPr>
          <w:p w14:paraId="414489A1" w14:textId="77777777" w:rsidR="00E72CB1" w:rsidRPr="00E72CB1" w:rsidRDefault="00E72CB1" w:rsidP="00E72CB1">
            <w:pPr>
              <w:kinsoku w:val="0"/>
              <w:wordWrap/>
              <w:overflowPunct w:val="0"/>
              <w:adjustRightInd w:val="0"/>
              <w:spacing w:before="59" w:after="0" w:line="240" w:lineRule="auto"/>
              <w:ind w:left="103"/>
              <w:jc w:val="left"/>
              <w:rPr>
                <w:rFonts w:ascii="Arial" w:hAnsi="Arial" w:cs="Arial"/>
                <w:kern w:val="0"/>
                <w:szCs w:val="20"/>
              </w:rPr>
            </w:pPr>
            <w:r w:rsidRPr="00E72CB1">
              <w:rPr>
                <w:rFonts w:ascii="Arial" w:hAnsi="Arial" w:cs="Arial"/>
                <w:kern w:val="0"/>
                <w:szCs w:val="20"/>
              </w:rPr>
              <w:t>Type of study designs used</w:t>
            </w:r>
          </w:p>
        </w:tc>
        <w:tc>
          <w:tcPr>
            <w:tcW w:w="1458" w:type="dxa"/>
          </w:tcPr>
          <w:p w14:paraId="7D60C9BD" w14:textId="22326EDD" w:rsidR="00E72CB1" w:rsidRPr="00E72CB1" w:rsidRDefault="008F0A30" w:rsidP="00C62FB6">
            <w:pPr>
              <w:kinsoku w:val="0"/>
              <w:wordWrap/>
              <w:overflowPunct w:val="0"/>
              <w:adjustRightInd w:val="0"/>
              <w:spacing w:before="59" w:after="0" w:line="240" w:lineRule="auto"/>
              <w:ind w:right="-29"/>
              <w:jc w:val="center"/>
              <w:rPr>
                <w:rFonts w:ascii="Arial" w:hAnsi="Arial" w:cs="Arial"/>
                <w:kern w:val="0"/>
                <w:szCs w:val="20"/>
              </w:rPr>
            </w:pPr>
            <w:r>
              <w:rPr>
                <w:rFonts w:ascii="Arial" w:hAnsi="Arial" w:cs="Arial"/>
                <w:kern w:val="0"/>
                <w:szCs w:val="20"/>
              </w:rPr>
              <w:t>6-7</w:t>
            </w:r>
          </w:p>
        </w:tc>
      </w:tr>
      <w:tr w:rsidR="00E72CB1" w:rsidRPr="00E72CB1" w14:paraId="2E5969F8" w14:textId="77777777" w:rsidTr="00E72CB1">
        <w:trPr>
          <w:trHeight w:val="350"/>
        </w:trPr>
        <w:tc>
          <w:tcPr>
            <w:tcW w:w="993" w:type="dxa"/>
          </w:tcPr>
          <w:p w14:paraId="77F348B3" w14:textId="77777777" w:rsidR="00E72CB1" w:rsidRPr="00E72CB1" w:rsidRDefault="00E72CB1" w:rsidP="00E72CB1">
            <w:pPr>
              <w:kinsoku w:val="0"/>
              <w:wordWrap/>
              <w:overflowPunct w:val="0"/>
              <w:adjustRightInd w:val="0"/>
              <w:spacing w:before="59" w:after="0" w:line="240" w:lineRule="auto"/>
              <w:ind w:left="407"/>
              <w:jc w:val="left"/>
              <w:rPr>
                <w:rFonts w:ascii="Arial" w:hAnsi="Arial" w:cs="Arial"/>
                <w:w w:val="99"/>
                <w:kern w:val="0"/>
                <w:szCs w:val="20"/>
              </w:rPr>
            </w:pPr>
            <w:r w:rsidRPr="00E72CB1">
              <w:rPr>
                <w:rFonts w:ascii="Arial" w:hAnsi="Arial" w:cs="Arial"/>
                <w:w w:val="99"/>
                <w:kern w:val="0"/>
                <w:szCs w:val="20"/>
              </w:rPr>
              <w:t>6</w:t>
            </w:r>
          </w:p>
        </w:tc>
        <w:tc>
          <w:tcPr>
            <w:tcW w:w="6497" w:type="dxa"/>
          </w:tcPr>
          <w:p w14:paraId="4B39044C" w14:textId="77777777" w:rsidR="00E72CB1" w:rsidRPr="00E72CB1" w:rsidRDefault="00E72CB1" w:rsidP="00E72CB1">
            <w:pPr>
              <w:kinsoku w:val="0"/>
              <w:wordWrap/>
              <w:overflowPunct w:val="0"/>
              <w:adjustRightInd w:val="0"/>
              <w:spacing w:before="59" w:after="0" w:line="240" w:lineRule="auto"/>
              <w:ind w:left="103"/>
              <w:jc w:val="left"/>
              <w:rPr>
                <w:rFonts w:ascii="Arial" w:hAnsi="Arial" w:cs="Arial"/>
                <w:kern w:val="0"/>
                <w:szCs w:val="20"/>
              </w:rPr>
            </w:pPr>
            <w:r w:rsidRPr="00E72CB1">
              <w:rPr>
                <w:rFonts w:ascii="Arial" w:hAnsi="Arial" w:cs="Arial"/>
                <w:kern w:val="0"/>
                <w:szCs w:val="20"/>
              </w:rPr>
              <w:t>Study population</w:t>
            </w:r>
          </w:p>
        </w:tc>
        <w:tc>
          <w:tcPr>
            <w:tcW w:w="1458" w:type="dxa"/>
          </w:tcPr>
          <w:p w14:paraId="6566A874" w14:textId="161117FE" w:rsidR="00E72CB1" w:rsidRPr="00E72CB1" w:rsidRDefault="008F0A30" w:rsidP="00C62FB6">
            <w:pPr>
              <w:kinsoku w:val="0"/>
              <w:wordWrap/>
              <w:overflowPunct w:val="0"/>
              <w:adjustRightInd w:val="0"/>
              <w:spacing w:before="59" w:after="0" w:line="240" w:lineRule="auto"/>
              <w:ind w:right="-22"/>
              <w:jc w:val="center"/>
              <w:rPr>
                <w:rFonts w:ascii="Arial" w:hAnsi="Arial" w:cs="Arial"/>
                <w:kern w:val="0"/>
                <w:szCs w:val="20"/>
              </w:rPr>
            </w:pPr>
            <w:r>
              <w:rPr>
                <w:rFonts w:ascii="Arial" w:hAnsi="Arial" w:cs="Arial"/>
                <w:kern w:val="0"/>
                <w:szCs w:val="20"/>
              </w:rPr>
              <w:t>6-7</w:t>
            </w:r>
          </w:p>
        </w:tc>
      </w:tr>
      <w:tr w:rsidR="00E72CB1" w:rsidRPr="00E72CB1" w14:paraId="25D3F284" w14:textId="77777777" w:rsidTr="00E72CB1">
        <w:trPr>
          <w:trHeight w:val="441"/>
        </w:trPr>
        <w:tc>
          <w:tcPr>
            <w:tcW w:w="8948" w:type="dxa"/>
            <w:gridSpan w:val="3"/>
            <w:shd w:val="clear" w:color="auto" w:fill="F1F1F1"/>
          </w:tcPr>
          <w:p w14:paraId="3743244A" w14:textId="77777777" w:rsidR="00E72CB1" w:rsidRPr="00E72CB1" w:rsidRDefault="00E72CB1" w:rsidP="00E72CB1">
            <w:pPr>
              <w:kinsoku w:val="0"/>
              <w:wordWrap/>
              <w:overflowPunct w:val="0"/>
              <w:adjustRightInd w:val="0"/>
              <w:spacing w:before="105" w:after="0" w:line="240" w:lineRule="auto"/>
              <w:ind w:left="39"/>
              <w:jc w:val="left"/>
              <w:rPr>
                <w:rFonts w:ascii="Arial" w:hAnsi="Arial" w:cs="Arial"/>
                <w:kern w:val="0"/>
                <w:szCs w:val="20"/>
              </w:rPr>
            </w:pPr>
            <w:r w:rsidRPr="00E72CB1">
              <w:rPr>
                <w:rFonts w:ascii="Arial" w:hAnsi="Arial" w:cs="Arial"/>
                <w:kern w:val="0"/>
                <w:szCs w:val="20"/>
              </w:rPr>
              <w:t>Reporting of search strategy should include</w:t>
            </w:r>
          </w:p>
        </w:tc>
      </w:tr>
      <w:tr w:rsidR="00E72CB1" w:rsidRPr="00E72CB1" w14:paraId="51462A11" w14:textId="77777777" w:rsidTr="00E72CB1">
        <w:trPr>
          <w:trHeight w:val="350"/>
        </w:trPr>
        <w:tc>
          <w:tcPr>
            <w:tcW w:w="993" w:type="dxa"/>
          </w:tcPr>
          <w:p w14:paraId="4F0B7E4E" w14:textId="77777777" w:rsidR="00E72CB1" w:rsidRPr="00E72CB1" w:rsidRDefault="00E72CB1" w:rsidP="00E72CB1">
            <w:pPr>
              <w:kinsoku w:val="0"/>
              <w:wordWrap/>
              <w:overflowPunct w:val="0"/>
              <w:adjustRightInd w:val="0"/>
              <w:spacing w:before="59" w:after="0" w:line="240" w:lineRule="auto"/>
              <w:ind w:left="407"/>
              <w:jc w:val="left"/>
              <w:rPr>
                <w:rFonts w:ascii="Arial" w:hAnsi="Arial" w:cs="Arial"/>
                <w:w w:val="99"/>
                <w:kern w:val="0"/>
                <w:szCs w:val="20"/>
              </w:rPr>
            </w:pPr>
            <w:r w:rsidRPr="00E72CB1">
              <w:rPr>
                <w:rFonts w:ascii="Arial" w:hAnsi="Arial" w:cs="Arial"/>
                <w:w w:val="99"/>
                <w:kern w:val="0"/>
                <w:szCs w:val="20"/>
              </w:rPr>
              <w:t>7</w:t>
            </w:r>
          </w:p>
        </w:tc>
        <w:tc>
          <w:tcPr>
            <w:tcW w:w="6497" w:type="dxa"/>
          </w:tcPr>
          <w:p w14:paraId="06F953B3" w14:textId="68526838" w:rsidR="00E72CB1" w:rsidRPr="00E72CB1" w:rsidRDefault="00E72CB1" w:rsidP="00E72CB1">
            <w:pPr>
              <w:kinsoku w:val="0"/>
              <w:wordWrap/>
              <w:overflowPunct w:val="0"/>
              <w:adjustRightInd w:val="0"/>
              <w:spacing w:before="59" w:after="0" w:line="240" w:lineRule="auto"/>
              <w:ind w:left="103"/>
              <w:jc w:val="left"/>
              <w:rPr>
                <w:rFonts w:ascii="Arial" w:hAnsi="Arial" w:cs="Arial"/>
                <w:kern w:val="0"/>
                <w:szCs w:val="20"/>
              </w:rPr>
            </w:pPr>
            <w:r w:rsidRPr="00E72CB1">
              <w:rPr>
                <w:rFonts w:ascii="Arial" w:hAnsi="Arial" w:cs="Arial"/>
                <w:kern w:val="0"/>
                <w:szCs w:val="20"/>
              </w:rPr>
              <w:t>Qualifications of searchers (e</w:t>
            </w:r>
            <w:r w:rsidR="0088667C">
              <w:rPr>
                <w:rFonts w:ascii="Arial" w:hAnsi="Arial" w:cs="Arial"/>
                <w:kern w:val="0"/>
                <w:szCs w:val="20"/>
              </w:rPr>
              <w:t>.</w:t>
            </w:r>
            <w:r w:rsidRPr="00E72CB1">
              <w:rPr>
                <w:rFonts w:ascii="Arial" w:hAnsi="Arial" w:cs="Arial"/>
                <w:kern w:val="0"/>
                <w:szCs w:val="20"/>
              </w:rPr>
              <w:t>g</w:t>
            </w:r>
            <w:r w:rsidR="0088667C">
              <w:rPr>
                <w:rFonts w:ascii="Arial" w:hAnsi="Arial" w:cs="Arial"/>
                <w:kern w:val="0"/>
                <w:szCs w:val="20"/>
              </w:rPr>
              <w:t>.</w:t>
            </w:r>
            <w:r w:rsidRPr="00E72CB1">
              <w:rPr>
                <w:rFonts w:ascii="Arial" w:hAnsi="Arial" w:cs="Arial"/>
                <w:kern w:val="0"/>
                <w:szCs w:val="20"/>
              </w:rPr>
              <w:t>, librarians and investigators)</w:t>
            </w:r>
          </w:p>
        </w:tc>
        <w:tc>
          <w:tcPr>
            <w:tcW w:w="1458" w:type="dxa"/>
          </w:tcPr>
          <w:p w14:paraId="260CB9F1" w14:textId="77777777" w:rsidR="00E72CB1" w:rsidRPr="00E72CB1" w:rsidRDefault="00E72CB1" w:rsidP="00E72CB1">
            <w:pPr>
              <w:kinsoku w:val="0"/>
              <w:wordWrap/>
              <w:overflowPunct w:val="0"/>
              <w:adjustRightInd w:val="0"/>
              <w:spacing w:before="59" w:after="0" w:line="240" w:lineRule="auto"/>
              <w:ind w:right="582"/>
              <w:jc w:val="right"/>
              <w:rPr>
                <w:rFonts w:ascii="Arial" w:hAnsi="Arial" w:cs="Arial"/>
                <w:w w:val="95"/>
                <w:kern w:val="0"/>
                <w:szCs w:val="20"/>
              </w:rPr>
            </w:pPr>
            <w:r w:rsidRPr="00E72CB1">
              <w:rPr>
                <w:rFonts w:ascii="Arial" w:hAnsi="Arial" w:cs="Arial"/>
                <w:w w:val="95"/>
                <w:kern w:val="0"/>
                <w:szCs w:val="20"/>
              </w:rPr>
              <w:t>NA</w:t>
            </w:r>
          </w:p>
        </w:tc>
      </w:tr>
      <w:tr w:rsidR="00E72CB1" w:rsidRPr="00E72CB1" w14:paraId="6F82637B" w14:textId="77777777" w:rsidTr="00E72CB1">
        <w:trPr>
          <w:trHeight w:val="460"/>
        </w:trPr>
        <w:tc>
          <w:tcPr>
            <w:tcW w:w="993" w:type="dxa"/>
          </w:tcPr>
          <w:p w14:paraId="0BC8AE03" w14:textId="77777777" w:rsidR="00E72CB1" w:rsidRPr="00E72CB1" w:rsidRDefault="00E72CB1" w:rsidP="00E72CB1">
            <w:pPr>
              <w:kinsoku w:val="0"/>
              <w:wordWrap/>
              <w:overflowPunct w:val="0"/>
              <w:adjustRightInd w:val="0"/>
              <w:spacing w:before="114" w:after="0" w:line="240" w:lineRule="auto"/>
              <w:ind w:left="407"/>
              <w:jc w:val="left"/>
              <w:rPr>
                <w:rFonts w:ascii="Arial" w:hAnsi="Arial" w:cs="Arial"/>
                <w:w w:val="99"/>
                <w:kern w:val="0"/>
                <w:szCs w:val="20"/>
              </w:rPr>
            </w:pPr>
            <w:r w:rsidRPr="00E72CB1">
              <w:rPr>
                <w:rFonts w:ascii="Arial" w:hAnsi="Arial" w:cs="Arial"/>
                <w:w w:val="99"/>
                <w:kern w:val="0"/>
                <w:szCs w:val="20"/>
              </w:rPr>
              <w:t>8</w:t>
            </w:r>
          </w:p>
        </w:tc>
        <w:tc>
          <w:tcPr>
            <w:tcW w:w="6497" w:type="dxa"/>
          </w:tcPr>
          <w:p w14:paraId="2CC868C8" w14:textId="77777777" w:rsidR="00E72CB1" w:rsidRPr="00E72CB1" w:rsidRDefault="00E72CB1" w:rsidP="00E72CB1">
            <w:pPr>
              <w:kinsoku w:val="0"/>
              <w:wordWrap/>
              <w:overflowPunct w:val="0"/>
              <w:adjustRightInd w:val="0"/>
              <w:spacing w:before="3" w:after="0" w:line="230" w:lineRule="exact"/>
              <w:ind w:left="103" w:right="122"/>
              <w:jc w:val="left"/>
              <w:rPr>
                <w:rFonts w:ascii="Arial" w:hAnsi="Arial" w:cs="Arial"/>
                <w:kern w:val="0"/>
                <w:szCs w:val="20"/>
              </w:rPr>
            </w:pPr>
            <w:r w:rsidRPr="00E72CB1">
              <w:rPr>
                <w:rFonts w:ascii="Arial" w:hAnsi="Arial" w:cs="Arial"/>
                <w:kern w:val="0"/>
                <w:szCs w:val="20"/>
              </w:rPr>
              <w:t>Search strategy, including time period included in the synthesis and key words</w:t>
            </w:r>
          </w:p>
        </w:tc>
        <w:tc>
          <w:tcPr>
            <w:tcW w:w="1458" w:type="dxa"/>
            <w:vAlign w:val="center"/>
          </w:tcPr>
          <w:p w14:paraId="0780B3E7" w14:textId="31C48361" w:rsidR="00E72CB1" w:rsidRPr="00E72CB1" w:rsidRDefault="008F0A30" w:rsidP="00CA424B">
            <w:pPr>
              <w:kinsoku w:val="0"/>
              <w:wordWrap/>
              <w:overflowPunct w:val="0"/>
              <w:adjustRightInd w:val="0"/>
              <w:spacing w:after="0" w:line="229" w:lineRule="exact"/>
              <w:ind w:left="175" w:right="175"/>
              <w:jc w:val="center"/>
              <w:rPr>
                <w:rFonts w:ascii="Arial" w:hAnsi="Arial" w:cs="Arial"/>
                <w:kern w:val="0"/>
                <w:szCs w:val="20"/>
              </w:rPr>
            </w:pPr>
            <w:r>
              <w:rPr>
                <w:rFonts w:ascii="Arial" w:hAnsi="Arial" w:cs="Arial"/>
                <w:kern w:val="0"/>
                <w:szCs w:val="20"/>
              </w:rPr>
              <w:t>8</w:t>
            </w:r>
          </w:p>
        </w:tc>
      </w:tr>
      <w:tr w:rsidR="00E72CB1" w:rsidRPr="00E72CB1" w14:paraId="03FB526C" w14:textId="77777777" w:rsidTr="00E72CB1">
        <w:trPr>
          <w:trHeight w:val="347"/>
        </w:trPr>
        <w:tc>
          <w:tcPr>
            <w:tcW w:w="993" w:type="dxa"/>
          </w:tcPr>
          <w:p w14:paraId="782F5938" w14:textId="77777777" w:rsidR="00E72CB1" w:rsidRPr="00E72CB1" w:rsidRDefault="00E72CB1" w:rsidP="00E72CB1">
            <w:pPr>
              <w:kinsoku w:val="0"/>
              <w:wordWrap/>
              <w:overflowPunct w:val="0"/>
              <w:adjustRightInd w:val="0"/>
              <w:spacing w:before="57" w:after="0" w:line="240" w:lineRule="auto"/>
              <w:ind w:left="407"/>
              <w:jc w:val="left"/>
              <w:rPr>
                <w:rFonts w:ascii="Arial" w:hAnsi="Arial" w:cs="Arial"/>
                <w:w w:val="99"/>
                <w:kern w:val="0"/>
                <w:szCs w:val="20"/>
              </w:rPr>
            </w:pPr>
            <w:r w:rsidRPr="00E72CB1">
              <w:rPr>
                <w:rFonts w:ascii="Arial" w:hAnsi="Arial" w:cs="Arial"/>
                <w:w w:val="99"/>
                <w:kern w:val="0"/>
                <w:szCs w:val="20"/>
              </w:rPr>
              <w:t>9</w:t>
            </w:r>
          </w:p>
        </w:tc>
        <w:tc>
          <w:tcPr>
            <w:tcW w:w="6497" w:type="dxa"/>
          </w:tcPr>
          <w:p w14:paraId="4B7EBD24" w14:textId="77777777" w:rsidR="00E72CB1" w:rsidRPr="00E72CB1" w:rsidRDefault="00E72CB1" w:rsidP="00E72CB1">
            <w:pPr>
              <w:kinsoku w:val="0"/>
              <w:wordWrap/>
              <w:overflowPunct w:val="0"/>
              <w:adjustRightInd w:val="0"/>
              <w:spacing w:before="57" w:after="0" w:line="240" w:lineRule="auto"/>
              <w:ind w:left="103"/>
              <w:jc w:val="left"/>
              <w:rPr>
                <w:rFonts w:ascii="Arial" w:hAnsi="Arial" w:cs="Arial"/>
                <w:kern w:val="0"/>
                <w:szCs w:val="20"/>
              </w:rPr>
            </w:pPr>
            <w:r w:rsidRPr="00E72CB1">
              <w:rPr>
                <w:rFonts w:ascii="Arial" w:hAnsi="Arial" w:cs="Arial"/>
                <w:kern w:val="0"/>
                <w:szCs w:val="20"/>
              </w:rPr>
              <w:t>Effort to include all available studies, including contact with authors</w:t>
            </w:r>
          </w:p>
        </w:tc>
        <w:tc>
          <w:tcPr>
            <w:tcW w:w="1458" w:type="dxa"/>
          </w:tcPr>
          <w:p w14:paraId="582AFB66" w14:textId="3671FED7" w:rsidR="00E72CB1" w:rsidRPr="00E72CB1" w:rsidRDefault="008F0A30" w:rsidP="00CA424B">
            <w:pPr>
              <w:kinsoku w:val="0"/>
              <w:wordWrap/>
              <w:overflowPunct w:val="0"/>
              <w:adjustRightInd w:val="0"/>
              <w:spacing w:before="57" w:after="0" w:line="240" w:lineRule="auto"/>
              <w:ind w:left="3"/>
              <w:jc w:val="center"/>
              <w:rPr>
                <w:rFonts w:ascii="Arial" w:hAnsi="Arial" w:cs="Arial"/>
                <w:w w:val="99"/>
                <w:kern w:val="0"/>
                <w:szCs w:val="20"/>
              </w:rPr>
            </w:pPr>
            <w:r>
              <w:rPr>
                <w:rFonts w:ascii="Arial" w:hAnsi="Arial" w:cs="Arial" w:hint="eastAsia"/>
                <w:w w:val="99"/>
                <w:kern w:val="0"/>
                <w:szCs w:val="20"/>
              </w:rPr>
              <w:t>8-9</w:t>
            </w:r>
          </w:p>
        </w:tc>
      </w:tr>
      <w:tr w:rsidR="00E72CB1" w:rsidRPr="00E72CB1" w14:paraId="53FB313D" w14:textId="77777777" w:rsidTr="00E72CB1">
        <w:trPr>
          <w:trHeight w:val="350"/>
        </w:trPr>
        <w:tc>
          <w:tcPr>
            <w:tcW w:w="993" w:type="dxa"/>
          </w:tcPr>
          <w:p w14:paraId="5B95AEF5" w14:textId="77777777" w:rsidR="00E72CB1" w:rsidRPr="00E72CB1" w:rsidRDefault="00E72CB1" w:rsidP="00E72CB1">
            <w:pPr>
              <w:kinsoku w:val="0"/>
              <w:wordWrap/>
              <w:overflowPunct w:val="0"/>
              <w:adjustRightInd w:val="0"/>
              <w:spacing w:before="59" w:after="0" w:line="240" w:lineRule="auto"/>
              <w:ind w:left="349"/>
              <w:jc w:val="left"/>
              <w:rPr>
                <w:rFonts w:ascii="Arial" w:hAnsi="Arial" w:cs="Arial"/>
                <w:kern w:val="0"/>
                <w:szCs w:val="20"/>
              </w:rPr>
            </w:pPr>
            <w:r w:rsidRPr="00E72CB1">
              <w:rPr>
                <w:rFonts w:ascii="Arial" w:hAnsi="Arial" w:cs="Arial"/>
                <w:kern w:val="0"/>
                <w:szCs w:val="20"/>
              </w:rPr>
              <w:t>10</w:t>
            </w:r>
          </w:p>
        </w:tc>
        <w:tc>
          <w:tcPr>
            <w:tcW w:w="6497" w:type="dxa"/>
          </w:tcPr>
          <w:p w14:paraId="1865CFE9" w14:textId="77777777" w:rsidR="00E72CB1" w:rsidRPr="00E72CB1" w:rsidRDefault="00E72CB1" w:rsidP="00E72CB1">
            <w:pPr>
              <w:kinsoku w:val="0"/>
              <w:wordWrap/>
              <w:overflowPunct w:val="0"/>
              <w:adjustRightInd w:val="0"/>
              <w:spacing w:before="59" w:after="0" w:line="240" w:lineRule="auto"/>
              <w:ind w:left="103"/>
              <w:jc w:val="left"/>
              <w:rPr>
                <w:rFonts w:ascii="Arial" w:hAnsi="Arial" w:cs="Arial"/>
                <w:kern w:val="0"/>
                <w:szCs w:val="20"/>
              </w:rPr>
            </w:pPr>
            <w:r w:rsidRPr="00E72CB1">
              <w:rPr>
                <w:rFonts w:ascii="Arial" w:hAnsi="Arial" w:cs="Arial"/>
                <w:kern w:val="0"/>
                <w:szCs w:val="20"/>
              </w:rPr>
              <w:t>Databases and registries searched</w:t>
            </w:r>
          </w:p>
        </w:tc>
        <w:tc>
          <w:tcPr>
            <w:tcW w:w="1458" w:type="dxa"/>
          </w:tcPr>
          <w:p w14:paraId="14E5EE7F" w14:textId="3F849404" w:rsidR="00E72CB1" w:rsidRPr="00E72CB1" w:rsidRDefault="008F0A30" w:rsidP="00E72CB1">
            <w:pPr>
              <w:kinsoku w:val="0"/>
              <w:wordWrap/>
              <w:overflowPunct w:val="0"/>
              <w:adjustRightInd w:val="0"/>
              <w:spacing w:before="59" w:after="0" w:line="240" w:lineRule="auto"/>
              <w:ind w:left="3"/>
              <w:jc w:val="center"/>
              <w:rPr>
                <w:rFonts w:ascii="Arial" w:hAnsi="Arial" w:cs="Arial"/>
                <w:w w:val="99"/>
                <w:kern w:val="0"/>
                <w:szCs w:val="20"/>
              </w:rPr>
            </w:pPr>
            <w:r>
              <w:rPr>
                <w:rFonts w:ascii="Arial" w:hAnsi="Arial" w:cs="Arial" w:hint="eastAsia"/>
                <w:w w:val="99"/>
                <w:kern w:val="0"/>
                <w:szCs w:val="20"/>
              </w:rPr>
              <w:t>8</w:t>
            </w:r>
          </w:p>
        </w:tc>
      </w:tr>
      <w:tr w:rsidR="00E72CB1" w:rsidRPr="00E72CB1" w14:paraId="5A59C607" w14:textId="77777777" w:rsidTr="00E72CB1">
        <w:trPr>
          <w:trHeight w:val="460"/>
        </w:trPr>
        <w:tc>
          <w:tcPr>
            <w:tcW w:w="993" w:type="dxa"/>
          </w:tcPr>
          <w:p w14:paraId="669CC65A" w14:textId="77777777" w:rsidR="00E72CB1" w:rsidRPr="00E72CB1" w:rsidRDefault="00E72CB1" w:rsidP="00E72CB1">
            <w:pPr>
              <w:kinsoku w:val="0"/>
              <w:wordWrap/>
              <w:overflowPunct w:val="0"/>
              <w:adjustRightInd w:val="0"/>
              <w:spacing w:before="114" w:after="0" w:line="240" w:lineRule="auto"/>
              <w:ind w:left="349"/>
              <w:jc w:val="left"/>
              <w:rPr>
                <w:rFonts w:ascii="Arial" w:hAnsi="Arial" w:cs="Arial"/>
                <w:kern w:val="0"/>
                <w:szCs w:val="20"/>
              </w:rPr>
            </w:pPr>
            <w:r w:rsidRPr="00E72CB1">
              <w:rPr>
                <w:rFonts w:ascii="Arial" w:hAnsi="Arial" w:cs="Arial"/>
                <w:kern w:val="0"/>
                <w:szCs w:val="20"/>
              </w:rPr>
              <w:t>11</w:t>
            </w:r>
          </w:p>
        </w:tc>
        <w:tc>
          <w:tcPr>
            <w:tcW w:w="6497" w:type="dxa"/>
          </w:tcPr>
          <w:p w14:paraId="277258B1" w14:textId="726C545F" w:rsidR="00E72CB1" w:rsidRPr="00E72CB1" w:rsidRDefault="00E72CB1" w:rsidP="00E72CB1">
            <w:pPr>
              <w:kinsoku w:val="0"/>
              <w:wordWrap/>
              <w:overflowPunct w:val="0"/>
              <w:adjustRightInd w:val="0"/>
              <w:spacing w:before="3" w:after="0" w:line="230" w:lineRule="exact"/>
              <w:ind w:left="103"/>
              <w:jc w:val="left"/>
              <w:rPr>
                <w:rFonts w:ascii="Arial" w:hAnsi="Arial" w:cs="Arial"/>
                <w:kern w:val="0"/>
                <w:szCs w:val="20"/>
              </w:rPr>
            </w:pPr>
            <w:r w:rsidRPr="00E72CB1">
              <w:rPr>
                <w:rFonts w:ascii="Arial" w:hAnsi="Arial" w:cs="Arial"/>
                <w:kern w:val="0"/>
                <w:szCs w:val="20"/>
              </w:rPr>
              <w:t>Search software used, name and version, including special features used (e</w:t>
            </w:r>
            <w:r w:rsidR="0088667C">
              <w:rPr>
                <w:rFonts w:ascii="Arial" w:hAnsi="Arial" w:cs="Arial"/>
                <w:kern w:val="0"/>
                <w:szCs w:val="20"/>
              </w:rPr>
              <w:t>.</w:t>
            </w:r>
            <w:r w:rsidRPr="00E72CB1">
              <w:rPr>
                <w:rFonts w:ascii="Arial" w:hAnsi="Arial" w:cs="Arial"/>
                <w:kern w:val="0"/>
                <w:szCs w:val="20"/>
              </w:rPr>
              <w:t>g</w:t>
            </w:r>
            <w:r w:rsidR="0088667C">
              <w:rPr>
                <w:rFonts w:ascii="Arial" w:hAnsi="Arial" w:cs="Arial"/>
                <w:kern w:val="0"/>
                <w:szCs w:val="20"/>
              </w:rPr>
              <w:t>.</w:t>
            </w:r>
            <w:r w:rsidRPr="00E72CB1">
              <w:rPr>
                <w:rFonts w:ascii="Arial" w:hAnsi="Arial" w:cs="Arial"/>
                <w:kern w:val="0"/>
                <w:szCs w:val="20"/>
              </w:rPr>
              <w:t>, explosion)</w:t>
            </w:r>
          </w:p>
        </w:tc>
        <w:tc>
          <w:tcPr>
            <w:tcW w:w="1458" w:type="dxa"/>
          </w:tcPr>
          <w:p w14:paraId="68C14AA7" w14:textId="7003E294" w:rsidR="00E72CB1" w:rsidRPr="00E72CB1" w:rsidRDefault="00B50631" w:rsidP="00E72CB1">
            <w:pPr>
              <w:kinsoku w:val="0"/>
              <w:wordWrap/>
              <w:overflowPunct w:val="0"/>
              <w:adjustRightInd w:val="0"/>
              <w:spacing w:before="114" w:after="0" w:line="240" w:lineRule="auto"/>
              <w:ind w:right="-22"/>
              <w:jc w:val="center"/>
              <w:rPr>
                <w:rFonts w:ascii="Arial" w:hAnsi="Arial" w:cs="Arial"/>
                <w:w w:val="95"/>
                <w:kern w:val="0"/>
                <w:szCs w:val="20"/>
              </w:rPr>
            </w:pPr>
            <w:r>
              <w:rPr>
                <w:rFonts w:ascii="Arial" w:hAnsi="Arial" w:cs="Arial"/>
                <w:w w:val="95"/>
                <w:kern w:val="0"/>
                <w:szCs w:val="20"/>
              </w:rPr>
              <w:t>9-</w:t>
            </w:r>
            <w:r>
              <w:rPr>
                <w:rFonts w:ascii="Arial" w:hAnsi="Arial" w:cs="Arial" w:hint="eastAsia"/>
                <w:w w:val="95"/>
                <w:kern w:val="0"/>
                <w:szCs w:val="20"/>
              </w:rPr>
              <w:t>10</w:t>
            </w:r>
          </w:p>
        </w:tc>
      </w:tr>
      <w:tr w:rsidR="00E72CB1" w:rsidRPr="00E72CB1" w14:paraId="79A5F33F" w14:textId="77777777" w:rsidTr="00E72CB1">
        <w:trPr>
          <w:trHeight w:val="347"/>
        </w:trPr>
        <w:tc>
          <w:tcPr>
            <w:tcW w:w="993" w:type="dxa"/>
          </w:tcPr>
          <w:p w14:paraId="410EE0D2" w14:textId="77777777" w:rsidR="00E72CB1" w:rsidRPr="00E72CB1" w:rsidRDefault="00E72CB1" w:rsidP="00E72CB1">
            <w:pPr>
              <w:kinsoku w:val="0"/>
              <w:wordWrap/>
              <w:overflowPunct w:val="0"/>
              <w:adjustRightInd w:val="0"/>
              <w:spacing w:before="57" w:after="0" w:line="240" w:lineRule="auto"/>
              <w:ind w:left="349"/>
              <w:jc w:val="left"/>
              <w:rPr>
                <w:rFonts w:ascii="Arial" w:hAnsi="Arial" w:cs="Arial"/>
                <w:kern w:val="0"/>
                <w:szCs w:val="20"/>
              </w:rPr>
            </w:pPr>
            <w:r w:rsidRPr="00E72CB1">
              <w:rPr>
                <w:rFonts w:ascii="Arial" w:hAnsi="Arial" w:cs="Arial"/>
                <w:kern w:val="0"/>
                <w:szCs w:val="20"/>
              </w:rPr>
              <w:t>12</w:t>
            </w:r>
          </w:p>
        </w:tc>
        <w:tc>
          <w:tcPr>
            <w:tcW w:w="6497" w:type="dxa"/>
          </w:tcPr>
          <w:p w14:paraId="72D3AFCD" w14:textId="789A45BE" w:rsidR="00E72CB1" w:rsidRPr="00E72CB1" w:rsidRDefault="00E72CB1" w:rsidP="00E72CB1">
            <w:pPr>
              <w:kinsoku w:val="0"/>
              <w:wordWrap/>
              <w:overflowPunct w:val="0"/>
              <w:adjustRightInd w:val="0"/>
              <w:spacing w:before="57" w:after="0" w:line="240" w:lineRule="auto"/>
              <w:ind w:left="103"/>
              <w:jc w:val="left"/>
              <w:rPr>
                <w:rFonts w:ascii="Arial" w:hAnsi="Arial" w:cs="Arial"/>
                <w:kern w:val="0"/>
                <w:szCs w:val="20"/>
              </w:rPr>
            </w:pPr>
            <w:r w:rsidRPr="00E72CB1">
              <w:rPr>
                <w:rFonts w:ascii="Arial" w:hAnsi="Arial" w:cs="Arial"/>
                <w:kern w:val="0"/>
                <w:szCs w:val="20"/>
              </w:rPr>
              <w:t>Use of hand searching (e</w:t>
            </w:r>
            <w:r w:rsidR="0088667C">
              <w:rPr>
                <w:rFonts w:ascii="Arial" w:hAnsi="Arial" w:cs="Arial"/>
                <w:kern w:val="0"/>
                <w:szCs w:val="20"/>
              </w:rPr>
              <w:t>.</w:t>
            </w:r>
            <w:r w:rsidRPr="00E72CB1">
              <w:rPr>
                <w:rFonts w:ascii="Arial" w:hAnsi="Arial" w:cs="Arial"/>
                <w:kern w:val="0"/>
                <w:szCs w:val="20"/>
              </w:rPr>
              <w:t>g</w:t>
            </w:r>
            <w:r w:rsidR="0088667C">
              <w:rPr>
                <w:rFonts w:ascii="Arial" w:hAnsi="Arial" w:cs="Arial"/>
                <w:kern w:val="0"/>
                <w:szCs w:val="20"/>
              </w:rPr>
              <w:t>.</w:t>
            </w:r>
            <w:r w:rsidRPr="00E72CB1">
              <w:rPr>
                <w:rFonts w:ascii="Arial" w:hAnsi="Arial" w:cs="Arial"/>
                <w:kern w:val="0"/>
                <w:szCs w:val="20"/>
              </w:rPr>
              <w:t>, reference lists of obtained articles)</w:t>
            </w:r>
          </w:p>
        </w:tc>
        <w:tc>
          <w:tcPr>
            <w:tcW w:w="1458" w:type="dxa"/>
          </w:tcPr>
          <w:p w14:paraId="3E0C51AB" w14:textId="52FD36A0" w:rsidR="00E72CB1" w:rsidRPr="00E72CB1" w:rsidRDefault="00B50631" w:rsidP="00B50631">
            <w:pPr>
              <w:kinsoku w:val="0"/>
              <w:wordWrap/>
              <w:overflowPunct w:val="0"/>
              <w:adjustRightInd w:val="0"/>
              <w:spacing w:before="57" w:after="0" w:line="240" w:lineRule="auto"/>
              <w:ind w:left="3"/>
              <w:jc w:val="center"/>
              <w:rPr>
                <w:rFonts w:ascii="Arial" w:hAnsi="Arial" w:cs="Arial"/>
                <w:w w:val="99"/>
                <w:kern w:val="0"/>
                <w:szCs w:val="20"/>
              </w:rPr>
            </w:pPr>
            <w:r>
              <w:rPr>
                <w:rFonts w:ascii="Arial" w:hAnsi="Arial" w:cs="Arial"/>
                <w:w w:val="99"/>
                <w:kern w:val="0"/>
                <w:szCs w:val="20"/>
              </w:rPr>
              <w:t>8-9</w:t>
            </w:r>
          </w:p>
        </w:tc>
      </w:tr>
      <w:tr w:rsidR="00E72CB1" w:rsidRPr="00E72CB1" w14:paraId="192555B4" w14:textId="77777777" w:rsidTr="00E72CB1">
        <w:trPr>
          <w:trHeight w:val="460"/>
        </w:trPr>
        <w:tc>
          <w:tcPr>
            <w:tcW w:w="993" w:type="dxa"/>
          </w:tcPr>
          <w:p w14:paraId="6E71A7D4" w14:textId="77777777" w:rsidR="00E72CB1" w:rsidRPr="00E72CB1" w:rsidRDefault="00E72CB1" w:rsidP="00E72CB1">
            <w:pPr>
              <w:kinsoku w:val="0"/>
              <w:wordWrap/>
              <w:overflowPunct w:val="0"/>
              <w:adjustRightInd w:val="0"/>
              <w:spacing w:before="114" w:after="0" w:line="240" w:lineRule="auto"/>
              <w:ind w:left="349"/>
              <w:jc w:val="left"/>
              <w:rPr>
                <w:rFonts w:ascii="Arial" w:hAnsi="Arial" w:cs="Arial"/>
                <w:kern w:val="0"/>
                <w:szCs w:val="20"/>
              </w:rPr>
            </w:pPr>
            <w:r w:rsidRPr="00E72CB1">
              <w:rPr>
                <w:rFonts w:ascii="Arial" w:hAnsi="Arial" w:cs="Arial"/>
                <w:kern w:val="0"/>
                <w:szCs w:val="20"/>
              </w:rPr>
              <w:t>13</w:t>
            </w:r>
          </w:p>
        </w:tc>
        <w:tc>
          <w:tcPr>
            <w:tcW w:w="6497" w:type="dxa"/>
          </w:tcPr>
          <w:p w14:paraId="1940583E" w14:textId="77777777" w:rsidR="00E72CB1" w:rsidRPr="00E72CB1" w:rsidRDefault="00E72CB1" w:rsidP="00E72CB1">
            <w:pPr>
              <w:kinsoku w:val="0"/>
              <w:wordWrap/>
              <w:overflowPunct w:val="0"/>
              <w:adjustRightInd w:val="0"/>
              <w:spacing w:before="114" w:after="0" w:line="240" w:lineRule="auto"/>
              <w:ind w:left="103"/>
              <w:jc w:val="left"/>
              <w:rPr>
                <w:rFonts w:ascii="Arial" w:hAnsi="Arial" w:cs="Arial"/>
                <w:kern w:val="0"/>
                <w:szCs w:val="20"/>
              </w:rPr>
            </w:pPr>
            <w:r w:rsidRPr="00E72CB1">
              <w:rPr>
                <w:rFonts w:ascii="Arial" w:hAnsi="Arial" w:cs="Arial"/>
                <w:kern w:val="0"/>
                <w:szCs w:val="20"/>
              </w:rPr>
              <w:t>List of citations located and those excluded, including justification</w:t>
            </w:r>
          </w:p>
        </w:tc>
        <w:tc>
          <w:tcPr>
            <w:tcW w:w="1458" w:type="dxa"/>
            <w:vAlign w:val="center"/>
          </w:tcPr>
          <w:p w14:paraId="360C83B4" w14:textId="3433A592" w:rsidR="00E72CB1" w:rsidRPr="00E72CB1" w:rsidRDefault="00E72CB1" w:rsidP="00E72CB1">
            <w:pPr>
              <w:kinsoku w:val="0"/>
              <w:wordWrap/>
              <w:overflowPunct w:val="0"/>
              <w:adjustRightInd w:val="0"/>
              <w:spacing w:after="0" w:line="229" w:lineRule="exact"/>
              <w:ind w:left="331"/>
              <w:jc w:val="left"/>
              <w:rPr>
                <w:rFonts w:ascii="Arial" w:hAnsi="Arial" w:cs="Arial"/>
                <w:kern w:val="0"/>
                <w:szCs w:val="20"/>
              </w:rPr>
            </w:pPr>
            <w:r>
              <w:rPr>
                <w:rFonts w:ascii="Arial" w:hAnsi="Arial" w:cs="Arial"/>
                <w:kern w:val="0"/>
                <w:szCs w:val="20"/>
              </w:rPr>
              <w:t>Figure 1</w:t>
            </w:r>
          </w:p>
        </w:tc>
      </w:tr>
      <w:tr w:rsidR="00E72CB1" w:rsidRPr="00E72CB1" w14:paraId="7F3BADAF" w14:textId="77777777" w:rsidTr="00E72CB1">
        <w:trPr>
          <w:trHeight w:val="688"/>
        </w:trPr>
        <w:tc>
          <w:tcPr>
            <w:tcW w:w="993" w:type="dxa"/>
          </w:tcPr>
          <w:p w14:paraId="48558E8A" w14:textId="77777777" w:rsidR="00E72CB1" w:rsidRPr="00E72CB1" w:rsidRDefault="00E72CB1" w:rsidP="00E72CB1">
            <w:pPr>
              <w:kinsoku w:val="0"/>
              <w:wordWrap/>
              <w:overflowPunct w:val="0"/>
              <w:adjustRightInd w:val="0"/>
              <w:spacing w:before="8" w:after="0" w:line="240" w:lineRule="auto"/>
              <w:jc w:val="left"/>
              <w:rPr>
                <w:rFonts w:ascii="Times New Roman" w:hAnsi="Times New Roman" w:cs="Times New Roman"/>
                <w:kern w:val="0"/>
                <w:sz w:val="19"/>
                <w:szCs w:val="19"/>
              </w:rPr>
            </w:pPr>
          </w:p>
          <w:p w14:paraId="154A2E29" w14:textId="77777777" w:rsidR="00E72CB1" w:rsidRPr="00E72CB1" w:rsidRDefault="00E72CB1" w:rsidP="00E72CB1">
            <w:pPr>
              <w:kinsoku w:val="0"/>
              <w:wordWrap/>
              <w:overflowPunct w:val="0"/>
              <w:adjustRightInd w:val="0"/>
              <w:spacing w:before="1" w:after="0" w:line="240" w:lineRule="auto"/>
              <w:ind w:left="349"/>
              <w:jc w:val="left"/>
              <w:rPr>
                <w:rFonts w:ascii="Arial" w:hAnsi="Arial" w:cs="Arial"/>
                <w:kern w:val="0"/>
                <w:szCs w:val="20"/>
              </w:rPr>
            </w:pPr>
            <w:r w:rsidRPr="00E72CB1">
              <w:rPr>
                <w:rFonts w:ascii="Arial" w:hAnsi="Arial" w:cs="Arial"/>
                <w:kern w:val="0"/>
                <w:szCs w:val="20"/>
              </w:rPr>
              <w:t>14</w:t>
            </w:r>
          </w:p>
        </w:tc>
        <w:tc>
          <w:tcPr>
            <w:tcW w:w="6497" w:type="dxa"/>
          </w:tcPr>
          <w:p w14:paraId="59D98F31" w14:textId="77777777" w:rsidR="00E72CB1" w:rsidRPr="00E72CB1" w:rsidRDefault="00E72CB1" w:rsidP="00E72CB1">
            <w:pPr>
              <w:kinsoku w:val="0"/>
              <w:wordWrap/>
              <w:overflowPunct w:val="0"/>
              <w:adjustRightInd w:val="0"/>
              <w:spacing w:before="112" w:after="0" w:line="240" w:lineRule="auto"/>
              <w:ind w:left="103" w:right="122"/>
              <w:jc w:val="left"/>
              <w:rPr>
                <w:rFonts w:ascii="Arial" w:hAnsi="Arial" w:cs="Arial"/>
                <w:kern w:val="0"/>
                <w:szCs w:val="20"/>
              </w:rPr>
            </w:pPr>
            <w:r w:rsidRPr="00E72CB1">
              <w:rPr>
                <w:rFonts w:ascii="Arial" w:hAnsi="Arial" w:cs="Arial"/>
                <w:kern w:val="0"/>
                <w:szCs w:val="20"/>
              </w:rPr>
              <w:t>Method of addressing articles published in languages other than English</w:t>
            </w:r>
          </w:p>
        </w:tc>
        <w:tc>
          <w:tcPr>
            <w:tcW w:w="1458" w:type="dxa"/>
            <w:vAlign w:val="center"/>
          </w:tcPr>
          <w:p w14:paraId="50A90543" w14:textId="673893E2" w:rsidR="00E72CB1" w:rsidRPr="00E72CB1" w:rsidRDefault="00B50631" w:rsidP="00E72CB1">
            <w:pPr>
              <w:kinsoku w:val="0"/>
              <w:wordWrap/>
              <w:overflowPunct w:val="0"/>
              <w:adjustRightInd w:val="0"/>
              <w:spacing w:after="0" w:line="209" w:lineRule="exact"/>
              <w:ind w:left="55"/>
              <w:jc w:val="center"/>
              <w:rPr>
                <w:rFonts w:ascii="Arial" w:hAnsi="Arial" w:cs="Arial"/>
                <w:kern w:val="0"/>
                <w:szCs w:val="20"/>
              </w:rPr>
            </w:pPr>
            <w:r>
              <w:rPr>
                <w:rFonts w:ascii="Arial" w:hAnsi="Arial" w:cs="Arial" w:hint="eastAsia"/>
                <w:kern w:val="0"/>
                <w:szCs w:val="20"/>
              </w:rPr>
              <w:t>9</w:t>
            </w:r>
          </w:p>
        </w:tc>
      </w:tr>
      <w:tr w:rsidR="00E72CB1" w:rsidRPr="00E72CB1" w14:paraId="58716E22" w14:textId="77777777" w:rsidTr="00E72CB1">
        <w:trPr>
          <w:trHeight w:val="350"/>
        </w:trPr>
        <w:tc>
          <w:tcPr>
            <w:tcW w:w="993" w:type="dxa"/>
          </w:tcPr>
          <w:p w14:paraId="2F830451" w14:textId="77777777" w:rsidR="00E72CB1" w:rsidRPr="00E72CB1" w:rsidRDefault="00E72CB1" w:rsidP="00E72CB1">
            <w:pPr>
              <w:kinsoku w:val="0"/>
              <w:wordWrap/>
              <w:overflowPunct w:val="0"/>
              <w:adjustRightInd w:val="0"/>
              <w:spacing w:before="59" w:after="0" w:line="240" w:lineRule="auto"/>
              <w:ind w:left="349"/>
              <w:jc w:val="left"/>
              <w:rPr>
                <w:rFonts w:ascii="Arial" w:hAnsi="Arial" w:cs="Arial"/>
                <w:kern w:val="0"/>
                <w:szCs w:val="20"/>
              </w:rPr>
            </w:pPr>
            <w:r w:rsidRPr="00E72CB1">
              <w:rPr>
                <w:rFonts w:ascii="Arial" w:hAnsi="Arial" w:cs="Arial"/>
                <w:kern w:val="0"/>
                <w:szCs w:val="20"/>
              </w:rPr>
              <w:t>15</w:t>
            </w:r>
          </w:p>
        </w:tc>
        <w:tc>
          <w:tcPr>
            <w:tcW w:w="6497" w:type="dxa"/>
          </w:tcPr>
          <w:p w14:paraId="50496713" w14:textId="77777777" w:rsidR="00E72CB1" w:rsidRPr="00E72CB1" w:rsidRDefault="00E72CB1" w:rsidP="00E72CB1">
            <w:pPr>
              <w:kinsoku w:val="0"/>
              <w:wordWrap/>
              <w:overflowPunct w:val="0"/>
              <w:adjustRightInd w:val="0"/>
              <w:spacing w:before="59" w:after="0" w:line="240" w:lineRule="auto"/>
              <w:ind w:left="103"/>
              <w:jc w:val="left"/>
              <w:rPr>
                <w:rFonts w:ascii="Arial" w:hAnsi="Arial" w:cs="Arial"/>
                <w:kern w:val="0"/>
                <w:szCs w:val="20"/>
              </w:rPr>
            </w:pPr>
            <w:r w:rsidRPr="00E72CB1">
              <w:rPr>
                <w:rFonts w:ascii="Arial" w:hAnsi="Arial" w:cs="Arial"/>
                <w:kern w:val="0"/>
                <w:szCs w:val="20"/>
              </w:rPr>
              <w:t>Method of handling abstracts and unpublished studies</w:t>
            </w:r>
          </w:p>
        </w:tc>
        <w:tc>
          <w:tcPr>
            <w:tcW w:w="1458" w:type="dxa"/>
          </w:tcPr>
          <w:p w14:paraId="2B0420F7" w14:textId="77777777" w:rsidR="00E72CB1" w:rsidRPr="00E72CB1" w:rsidRDefault="00E72CB1" w:rsidP="00E72CB1">
            <w:pPr>
              <w:kinsoku w:val="0"/>
              <w:wordWrap/>
              <w:overflowPunct w:val="0"/>
              <w:adjustRightInd w:val="0"/>
              <w:spacing w:before="59" w:after="0" w:line="240" w:lineRule="auto"/>
              <w:ind w:right="582"/>
              <w:jc w:val="right"/>
              <w:rPr>
                <w:rFonts w:ascii="Arial" w:hAnsi="Arial" w:cs="Arial"/>
                <w:w w:val="95"/>
                <w:kern w:val="0"/>
                <w:szCs w:val="20"/>
              </w:rPr>
            </w:pPr>
            <w:r w:rsidRPr="00E72CB1">
              <w:rPr>
                <w:rFonts w:ascii="Arial" w:hAnsi="Arial" w:cs="Arial"/>
                <w:w w:val="95"/>
                <w:kern w:val="0"/>
                <w:szCs w:val="20"/>
              </w:rPr>
              <w:t>NA</w:t>
            </w:r>
          </w:p>
        </w:tc>
      </w:tr>
      <w:tr w:rsidR="00E72CB1" w:rsidRPr="00E72CB1" w14:paraId="545442E1" w14:textId="77777777" w:rsidTr="00E72CB1">
        <w:trPr>
          <w:trHeight w:val="350"/>
        </w:trPr>
        <w:tc>
          <w:tcPr>
            <w:tcW w:w="993" w:type="dxa"/>
          </w:tcPr>
          <w:p w14:paraId="129AF65B" w14:textId="77777777" w:rsidR="00E72CB1" w:rsidRPr="00E72CB1" w:rsidRDefault="00E72CB1" w:rsidP="00E72CB1">
            <w:pPr>
              <w:kinsoku w:val="0"/>
              <w:wordWrap/>
              <w:overflowPunct w:val="0"/>
              <w:adjustRightInd w:val="0"/>
              <w:spacing w:before="59" w:after="0" w:line="240" w:lineRule="auto"/>
              <w:ind w:left="349"/>
              <w:jc w:val="left"/>
              <w:rPr>
                <w:rFonts w:ascii="Arial" w:hAnsi="Arial" w:cs="Arial"/>
                <w:kern w:val="0"/>
                <w:szCs w:val="20"/>
              </w:rPr>
            </w:pPr>
            <w:r w:rsidRPr="00E72CB1">
              <w:rPr>
                <w:rFonts w:ascii="Arial" w:hAnsi="Arial" w:cs="Arial"/>
                <w:kern w:val="0"/>
                <w:szCs w:val="20"/>
              </w:rPr>
              <w:t>16</w:t>
            </w:r>
          </w:p>
        </w:tc>
        <w:tc>
          <w:tcPr>
            <w:tcW w:w="6497" w:type="dxa"/>
          </w:tcPr>
          <w:p w14:paraId="5DE9B907" w14:textId="77777777" w:rsidR="00E72CB1" w:rsidRPr="00E72CB1" w:rsidRDefault="00E72CB1" w:rsidP="00E72CB1">
            <w:pPr>
              <w:kinsoku w:val="0"/>
              <w:wordWrap/>
              <w:overflowPunct w:val="0"/>
              <w:adjustRightInd w:val="0"/>
              <w:spacing w:before="59" w:after="0" w:line="240" w:lineRule="auto"/>
              <w:ind w:left="103"/>
              <w:jc w:val="left"/>
              <w:rPr>
                <w:rFonts w:ascii="Arial" w:hAnsi="Arial" w:cs="Arial"/>
                <w:kern w:val="0"/>
                <w:szCs w:val="20"/>
              </w:rPr>
            </w:pPr>
            <w:r w:rsidRPr="00E72CB1">
              <w:rPr>
                <w:rFonts w:ascii="Arial" w:hAnsi="Arial" w:cs="Arial"/>
                <w:kern w:val="0"/>
                <w:szCs w:val="20"/>
              </w:rPr>
              <w:t>Description of any contact with authors</w:t>
            </w:r>
          </w:p>
        </w:tc>
        <w:tc>
          <w:tcPr>
            <w:tcW w:w="1458" w:type="dxa"/>
          </w:tcPr>
          <w:p w14:paraId="6A6C35AE" w14:textId="77777777" w:rsidR="00E72CB1" w:rsidRPr="00E72CB1" w:rsidRDefault="00E72CB1" w:rsidP="00E72CB1">
            <w:pPr>
              <w:kinsoku w:val="0"/>
              <w:wordWrap/>
              <w:overflowPunct w:val="0"/>
              <w:adjustRightInd w:val="0"/>
              <w:spacing w:before="59" w:after="0" w:line="240" w:lineRule="auto"/>
              <w:ind w:right="582"/>
              <w:jc w:val="right"/>
              <w:rPr>
                <w:rFonts w:ascii="Arial" w:hAnsi="Arial" w:cs="Arial"/>
                <w:w w:val="95"/>
                <w:kern w:val="0"/>
                <w:szCs w:val="20"/>
              </w:rPr>
            </w:pPr>
            <w:r w:rsidRPr="00E72CB1">
              <w:rPr>
                <w:rFonts w:ascii="Arial" w:hAnsi="Arial" w:cs="Arial"/>
                <w:w w:val="95"/>
                <w:kern w:val="0"/>
                <w:szCs w:val="20"/>
              </w:rPr>
              <w:t>NA</w:t>
            </w:r>
          </w:p>
        </w:tc>
      </w:tr>
      <w:tr w:rsidR="00E72CB1" w:rsidRPr="00E72CB1" w14:paraId="0F164BB0" w14:textId="77777777" w:rsidTr="00CD4C19">
        <w:trPr>
          <w:trHeight w:val="402"/>
        </w:trPr>
        <w:tc>
          <w:tcPr>
            <w:tcW w:w="8948" w:type="dxa"/>
            <w:gridSpan w:val="3"/>
            <w:shd w:val="clear" w:color="auto" w:fill="F2F2F2" w:themeFill="background1" w:themeFillShade="F2"/>
          </w:tcPr>
          <w:p w14:paraId="3F969671" w14:textId="77777777" w:rsidR="00E72CB1" w:rsidRPr="00E72CB1" w:rsidRDefault="00E72CB1" w:rsidP="00E72CB1">
            <w:pPr>
              <w:kinsoku w:val="0"/>
              <w:wordWrap/>
              <w:overflowPunct w:val="0"/>
              <w:adjustRightInd w:val="0"/>
              <w:spacing w:before="86" w:after="0" w:line="240" w:lineRule="auto"/>
              <w:ind w:left="39"/>
              <w:jc w:val="left"/>
              <w:rPr>
                <w:rFonts w:ascii="Arial" w:hAnsi="Arial" w:cs="Arial"/>
                <w:kern w:val="0"/>
                <w:szCs w:val="20"/>
              </w:rPr>
            </w:pPr>
            <w:r w:rsidRPr="00E72CB1">
              <w:rPr>
                <w:rFonts w:ascii="Arial" w:hAnsi="Arial" w:cs="Arial"/>
                <w:kern w:val="0"/>
                <w:szCs w:val="20"/>
              </w:rPr>
              <w:t>Reporting of methods should include</w:t>
            </w:r>
          </w:p>
        </w:tc>
      </w:tr>
      <w:tr w:rsidR="00E72CB1" w:rsidRPr="00E72CB1" w14:paraId="3EBFC274" w14:textId="77777777" w:rsidTr="00E72CB1">
        <w:trPr>
          <w:trHeight w:val="460"/>
        </w:trPr>
        <w:tc>
          <w:tcPr>
            <w:tcW w:w="993" w:type="dxa"/>
          </w:tcPr>
          <w:p w14:paraId="65626239" w14:textId="77777777" w:rsidR="00E72CB1" w:rsidRPr="00E72CB1" w:rsidRDefault="00E72CB1" w:rsidP="00E72CB1">
            <w:pPr>
              <w:kinsoku w:val="0"/>
              <w:wordWrap/>
              <w:overflowPunct w:val="0"/>
              <w:adjustRightInd w:val="0"/>
              <w:spacing w:before="114" w:after="0" w:line="240" w:lineRule="auto"/>
              <w:ind w:left="349"/>
              <w:jc w:val="left"/>
              <w:rPr>
                <w:rFonts w:ascii="Arial" w:hAnsi="Arial" w:cs="Arial"/>
                <w:kern w:val="0"/>
                <w:szCs w:val="20"/>
              </w:rPr>
            </w:pPr>
            <w:r w:rsidRPr="00E72CB1">
              <w:rPr>
                <w:rFonts w:ascii="Arial" w:hAnsi="Arial" w:cs="Arial"/>
                <w:kern w:val="0"/>
                <w:szCs w:val="20"/>
              </w:rPr>
              <w:t>17</w:t>
            </w:r>
          </w:p>
        </w:tc>
        <w:tc>
          <w:tcPr>
            <w:tcW w:w="6497" w:type="dxa"/>
          </w:tcPr>
          <w:p w14:paraId="0A5F02E5" w14:textId="77777777" w:rsidR="00E72CB1" w:rsidRPr="00E72CB1" w:rsidRDefault="00E72CB1" w:rsidP="00E72CB1">
            <w:pPr>
              <w:kinsoku w:val="0"/>
              <w:wordWrap/>
              <w:overflowPunct w:val="0"/>
              <w:adjustRightInd w:val="0"/>
              <w:spacing w:before="3" w:after="0" w:line="230" w:lineRule="exact"/>
              <w:ind w:left="103"/>
              <w:jc w:val="left"/>
              <w:rPr>
                <w:rFonts w:ascii="Arial" w:hAnsi="Arial" w:cs="Arial"/>
                <w:kern w:val="0"/>
                <w:szCs w:val="20"/>
              </w:rPr>
            </w:pPr>
            <w:r w:rsidRPr="00E72CB1">
              <w:rPr>
                <w:rFonts w:ascii="Arial" w:hAnsi="Arial" w:cs="Arial"/>
                <w:kern w:val="0"/>
                <w:szCs w:val="20"/>
              </w:rPr>
              <w:t>Description of relevance or appropriateness of studies assembled for assessing the hypothesis to be tested</w:t>
            </w:r>
          </w:p>
        </w:tc>
        <w:tc>
          <w:tcPr>
            <w:tcW w:w="1458" w:type="dxa"/>
          </w:tcPr>
          <w:p w14:paraId="79FECB07" w14:textId="023D26BD" w:rsidR="00E72CB1" w:rsidRPr="00E72CB1" w:rsidRDefault="00B50631" w:rsidP="00CA424B">
            <w:pPr>
              <w:kinsoku w:val="0"/>
              <w:wordWrap/>
              <w:overflowPunct w:val="0"/>
              <w:adjustRightInd w:val="0"/>
              <w:spacing w:before="114" w:after="0" w:line="240" w:lineRule="auto"/>
              <w:ind w:right="-22"/>
              <w:jc w:val="center"/>
              <w:rPr>
                <w:rFonts w:ascii="Arial" w:hAnsi="Arial" w:cs="Arial"/>
                <w:kern w:val="0"/>
                <w:szCs w:val="20"/>
              </w:rPr>
            </w:pPr>
            <w:r>
              <w:rPr>
                <w:rFonts w:ascii="Arial" w:hAnsi="Arial" w:cs="Arial" w:hint="eastAsia"/>
                <w:kern w:val="0"/>
                <w:szCs w:val="20"/>
              </w:rPr>
              <w:t>8-9</w:t>
            </w:r>
          </w:p>
        </w:tc>
      </w:tr>
      <w:tr w:rsidR="00E72CB1" w:rsidRPr="00E72CB1" w14:paraId="12A77D15" w14:textId="77777777" w:rsidTr="00E72CB1">
        <w:trPr>
          <w:trHeight w:val="455"/>
        </w:trPr>
        <w:tc>
          <w:tcPr>
            <w:tcW w:w="993" w:type="dxa"/>
          </w:tcPr>
          <w:p w14:paraId="5D93C02B" w14:textId="77777777" w:rsidR="00E72CB1" w:rsidRPr="00E72CB1" w:rsidRDefault="00E72CB1" w:rsidP="00E72CB1">
            <w:pPr>
              <w:kinsoku w:val="0"/>
              <w:wordWrap/>
              <w:overflowPunct w:val="0"/>
              <w:adjustRightInd w:val="0"/>
              <w:spacing w:before="112" w:after="0" w:line="240" w:lineRule="auto"/>
              <w:ind w:left="349"/>
              <w:jc w:val="left"/>
              <w:rPr>
                <w:rFonts w:ascii="Arial" w:hAnsi="Arial" w:cs="Arial"/>
                <w:kern w:val="0"/>
                <w:szCs w:val="20"/>
              </w:rPr>
            </w:pPr>
            <w:r w:rsidRPr="00E72CB1">
              <w:rPr>
                <w:rFonts w:ascii="Arial" w:hAnsi="Arial" w:cs="Arial"/>
                <w:kern w:val="0"/>
                <w:szCs w:val="20"/>
              </w:rPr>
              <w:t>18</w:t>
            </w:r>
          </w:p>
        </w:tc>
        <w:tc>
          <w:tcPr>
            <w:tcW w:w="6497" w:type="dxa"/>
          </w:tcPr>
          <w:p w14:paraId="08401E45" w14:textId="32D73D43" w:rsidR="00E72CB1" w:rsidRPr="00E72CB1" w:rsidRDefault="00E72CB1" w:rsidP="00E72CB1">
            <w:pPr>
              <w:kinsoku w:val="0"/>
              <w:wordWrap/>
              <w:overflowPunct w:val="0"/>
              <w:adjustRightInd w:val="0"/>
              <w:spacing w:before="2" w:after="0" w:line="228" w:lineRule="exact"/>
              <w:ind w:left="103"/>
              <w:jc w:val="left"/>
              <w:rPr>
                <w:rFonts w:ascii="Arial" w:hAnsi="Arial" w:cs="Arial"/>
                <w:kern w:val="0"/>
                <w:szCs w:val="20"/>
              </w:rPr>
            </w:pPr>
            <w:r w:rsidRPr="00E72CB1">
              <w:rPr>
                <w:rFonts w:ascii="Arial" w:hAnsi="Arial" w:cs="Arial"/>
                <w:kern w:val="0"/>
                <w:szCs w:val="20"/>
              </w:rPr>
              <w:t>Rationale for the selection and coding of data (e</w:t>
            </w:r>
            <w:r w:rsidR="0088667C">
              <w:rPr>
                <w:rFonts w:ascii="Arial" w:hAnsi="Arial" w:cs="Arial"/>
                <w:kern w:val="0"/>
                <w:szCs w:val="20"/>
              </w:rPr>
              <w:t>.</w:t>
            </w:r>
            <w:r w:rsidRPr="00E72CB1">
              <w:rPr>
                <w:rFonts w:ascii="Arial" w:hAnsi="Arial" w:cs="Arial"/>
                <w:kern w:val="0"/>
                <w:szCs w:val="20"/>
              </w:rPr>
              <w:t>g</w:t>
            </w:r>
            <w:r w:rsidR="0088667C">
              <w:rPr>
                <w:rFonts w:ascii="Arial" w:hAnsi="Arial" w:cs="Arial"/>
                <w:kern w:val="0"/>
                <w:szCs w:val="20"/>
              </w:rPr>
              <w:t>.</w:t>
            </w:r>
            <w:r w:rsidRPr="00E72CB1">
              <w:rPr>
                <w:rFonts w:ascii="Arial" w:hAnsi="Arial" w:cs="Arial"/>
                <w:kern w:val="0"/>
                <w:szCs w:val="20"/>
              </w:rPr>
              <w:t>, sound clinical principles or convenience)</w:t>
            </w:r>
          </w:p>
        </w:tc>
        <w:tc>
          <w:tcPr>
            <w:tcW w:w="1458" w:type="dxa"/>
          </w:tcPr>
          <w:p w14:paraId="1ED5FF15" w14:textId="6E603F03" w:rsidR="00E72CB1" w:rsidRPr="00E72CB1" w:rsidRDefault="00B50631" w:rsidP="00E72CB1">
            <w:pPr>
              <w:kinsoku w:val="0"/>
              <w:wordWrap/>
              <w:overflowPunct w:val="0"/>
              <w:adjustRightInd w:val="0"/>
              <w:spacing w:before="112" w:after="0" w:line="240" w:lineRule="auto"/>
              <w:jc w:val="center"/>
              <w:rPr>
                <w:rFonts w:ascii="Arial" w:hAnsi="Arial" w:cs="Arial"/>
                <w:kern w:val="0"/>
                <w:szCs w:val="20"/>
              </w:rPr>
            </w:pPr>
            <w:r>
              <w:rPr>
                <w:rFonts w:ascii="Arial" w:hAnsi="Arial" w:cs="Arial"/>
                <w:kern w:val="0"/>
                <w:szCs w:val="20"/>
              </w:rPr>
              <w:t>8-9</w:t>
            </w:r>
          </w:p>
        </w:tc>
      </w:tr>
      <w:tr w:rsidR="00E72CB1" w:rsidRPr="00E72CB1" w14:paraId="2D0A6D8A" w14:textId="77777777" w:rsidTr="00E72CB1">
        <w:trPr>
          <w:trHeight w:val="457"/>
        </w:trPr>
        <w:tc>
          <w:tcPr>
            <w:tcW w:w="993" w:type="dxa"/>
          </w:tcPr>
          <w:p w14:paraId="3E7647CD" w14:textId="77777777" w:rsidR="00E72CB1" w:rsidRPr="00E72CB1" w:rsidRDefault="00E72CB1" w:rsidP="00E72CB1">
            <w:pPr>
              <w:kinsoku w:val="0"/>
              <w:wordWrap/>
              <w:overflowPunct w:val="0"/>
              <w:adjustRightInd w:val="0"/>
              <w:spacing w:before="112" w:after="0" w:line="240" w:lineRule="auto"/>
              <w:ind w:left="349"/>
              <w:jc w:val="left"/>
              <w:rPr>
                <w:rFonts w:ascii="Arial" w:hAnsi="Arial" w:cs="Arial"/>
                <w:kern w:val="0"/>
                <w:szCs w:val="20"/>
              </w:rPr>
            </w:pPr>
            <w:r w:rsidRPr="00E72CB1">
              <w:rPr>
                <w:rFonts w:ascii="Arial" w:hAnsi="Arial" w:cs="Arial"/>
                <w:kern w:val="0"/>
                <w:szCs w:val="20"/>
              </w:rPr>
              <w:t>19</w:t>
            </w:r>
          </w:p>
        </w:tc>
        <w:tc>
          <w:tcPr>
            <w:tcW w:w="6497" w:type="dxa"/>
          </w:tcPr>
          <w:p w14:paraId="5AAD4DA6" w14:textId="2E588E7B" w:rsidR="00E72CB1" w:rsidRPr="00E72CB1" w:rsidRDefault="00E72CB1" w:rsidP="00E72CB1">
            <w:pPr>
              <w:kinsoku w:val="0"/>
              <w:wordWrap/>
              <w:overflowPunct w:val="0"/>
              <w:adjustRightInd w:val="0"/>
              <w:spacing w:after="0" w:line="230" w:lineRule="exact"/>
              <w:ind w:left="103"/>
              <w:jc w:val="left"/>
              <w:rPr>
                <w:rFonts w:ascii="Arial" w:hAnsi="Arial" w:cs="Arial"/>
                <w:kern w:val="0"/>
                <w:szCs w:val="20"/>
              </w:rPr>
            </w:pPr>
            <w:r w:rsidRPr="00E72CB1">
              <w:rPr>
                <w:rFonts w:ascii="Arial" w:hAnsi="Arial" w:cs="Arial"/>
                <w:kern w:val="0"/>
                <w:szCs w:val="20"/>
              </w:rPr>
              <w:t>Documentation of how data were classified and coded (e</w:t>
            </w:r>
            <w:r w:rsidR="0088667C">
              <w:rPr>
                <w:rFonts w:ascii="Arial" w:hAnsi="Arial" w:cs="Arial"/>
                <w:kern w:val="0"/>
                <w:szCs w:val="20"/>
              </w:rPr>
              <w:t>.</w:t>
            </w:r>
            <w:r w:rsidRPr="00E72CB1">
              <w:rPr>
                <w:rFonts w:ascii="Arial" w:hAnsi="Arial" w:cs="Arial"/>
                <w:kern w:val="0"/>
                <w:szCs w:val="20"/>
              </w:rPr>
              <w:t>g</w:t>
            </w:r>
            <w:r w:rsidR="0088667C">
              <w:rPr>
                <w:rFonts w:ascii="Arial" w:hAnsi="Arial" w:cs="Arial"/>
                <w:kern w:val="0"/>
                <w:szCs w:val="20"/>
              </w:rPr>
              <w:t>.</w:t>
            </w:r>
            <w:r w:rsidRPr="00E72CB1">
              <w:rPr>
                <w:rFonts w:ascii="Arial" w:hAnsi="Arial" w:cs="Arial"/>
                <w:kern w:val="0"/>
                <w:szCs w:val="20"/>
              </w:rPr>
              <w:t>, multiple raters, blinding and interrater reliability)</w:t>
            </w:r>
          </w:p>
        </w:tc>
        <w:tc>
          <w:tcPr>
            <w:tcW w:w="1458" w:type="dxa"/>
          </w:tcPr>
          <w:p w14:paraId="4588D2C3" w14:textId="3C82110B" w:rsidR="00E72CB1" w:rsidRPr="00E72CB1" w:rsidRDefault="00B50631" w:rsidP="00E72CB1">
            <w:pPr>
              <w:kinsoku w:val="0"/>
              <w:wordWrap/>
              <w:overflowPunct w:val="0"/>
              <w:adjustRightInd w:val="0"/>
              <w:spacing w:before="112" w:after="0" w:line="240" w:lineRule="auto"/>
              <w:jc w:val="center"/>
              <w:rPr>
                <w:rFonts w:ascii="Arial" w:hAnsi="Arial" w:cs="Arial"/>
                <w:kern w:val="0"/>
                <w:szCs w:val="20"/>
              </w:rPr>
            </w:pPr>
            <w:r>
              <w:rPr>
                <w:rFonts w:ascii="Arial" w:hAnsi="Arial" w:cs="Arial" w:hint="eastAsia"/>
                <w:kern w:val="0"/>
                <w:szCs w:val="20"/>
              </w:rPr>
              <w:t>9-10,</w:t>
            </w:r>
            <w:r>
              <w:rPr>
                <w:rFonts w:ascii="Arial" w:hAnsi="Arial" w:cs="Arial"/>
                <w:kern w:val="0"/>
                <w:szCs w:val="20"/>
              </w:rPr>
              <w:t xml:space="preserve"> 18</w:t>
            </w:r>
          </w:p>
        </w:tc>
      </w:tr>
      <w:tr w:rsidR="00E72CB1" w:rsidRPr="00E72CB1" w14:paraId="213144C7" w14:textId="77777777" w:rsidTr="00E72CB1">
        <w:trPr>
          <w:trHeight w:val="458"/>
        </w:trPr>
        <w:tc>
          <w:tcPr>
            <w:tcW w:w="993" w:type="dxa"/>
          </w:tcPr>
          <w:p w14:paraId="041913CA" w14:textId="77777777" w:rsidR="00E72CB1" w:rsidRPr="00E72CB1" w:rsidRDefault="00E72CB1" w:rsidP="00E72CB1">
            <w:pPr>
              <w:kinsoku w:val="0"/>
              <w:wordWrap/>
              <w:overflowPunct w:val="0"/>
              <w:adjustRightInd w:val="0"/>
              <w:spacing w:before="112" w:after="0" w:line="240" w:lineRule="auto"/>
              <w:ind w:left="349"/>
              <w:jc w:val="left"/>
              <w:rPr>
                <w:rFonts w:ascii="Arial" w:hAnsi="Arial" w:cs="Arial"/>
                <w:kern w:val="0"/>
                <w:szCs w:val="20"/>
              </w:rPr>
            </w:pPr>
            <w:r w:rsidRPr="00E72CB1">
              <w:rPr>
                <w:rFonts w:ascii="Arial" w:hAnsi="Arial" w:cs="Arial"/>
                <w:kern w:val="0"/>
                <w:szCs w:val="20"/>
              </w:rPr>
              <w:t>20</w:t>
            </w:r>
          </w:p>
        </w:tc>
        <w:tc>
          <w:tcPr>
            <w:tcW w:w="6497" w:type="dxa"/>
          </w:tcPr>
          <w:p w14:paraId="5118D8E4" w14:textId="4C279EEB" w:rsidR="00E72CB1" w:rsidRPr="00E72CB1" w:rsidRDefault="00E72CB1" w:rsidP="00E72CB1">
            <w:pPr>
              <w:kinsoku w:val="0"/>
              <w:wordWrap/>
              <w:overflowPunct w:val="0"/>
              <w:adjustRightInd w:val="0"/>
              <w:spacing w:after="0" w:line="230" w:lineRule="exact"/>
              <w:ind w:left="103"/>
              <w:jc w:val="left"/>
              <w:rPr>
                <w:rFonts w:ascii="Arial" w:hAnsi="Arial" w:cs="Arial"/>
                <w:kern w:val="0"/>
                <w:szCs w:val="20"/>
              </w:rPr>
            </w:pPr>
            <w:r w:rsidRPr="00E72CB1">
              <w:rPr>
                <w:rFonts w:ascii="Arial" w:hAnsi="Arial" w:cs="Arial"/>
                <w:kern w:val="0"/>
                <w:szCs w:val="20"/>
              </w:rPr>
              <w:t>Assessment of confounding (e</w:t>
            </w:r>
            <w:r w:rsidR="0088667C">
              <w:rPr>
                <w:rFonts w:ascii="Arial" w:hAnsi="Arial" w:cs="Arial"/>
                <w:kern w:val="0"/>
                <w:szCs w:val="20"/>
              </w:rPr>
              <w:t>.</w:t>
            </w:r>
            <w:r w:rsidRPr="00E72CB1">
              <w:rPr>
                <w:rFonts w:ascii="Arial" w:hAnsi="Arial" w:cs="Arial"/>
                <w:kern w:val="0"/>
                <w:szCs w:val="20"/>
              </w:rPr>
              <w:t>g</w:t>
            </w:r>
            <w:r w:rsidR="0088667C">
              <w:rPr>
                <w:rFonts w:ascii="Arial" w:hAnsi="Arial" w:cs="Arial"/>
                <w:kern w:val="0"/>
                <w:szCs w:val="20"/>
              </w:rPr>
              <w:t>.</w:t>
            </w:r>
            <w:r w:rsidRPr="00E72CB1">
              <w:rPr>
                <w:rFonts w:ascii="Arial" w:hAnsi="Arial" w:cs="Arial"/>
                <w:kern w:val="0"/>
                <w:szCs w:val="20"/>
              </w:rPr>
              <w:t>, comparability of cases and controls in studies where appropriate)</w:t>
            </w:r>
          </w:p>
        </w:tc>
        <w:tc>
          <w:tcPr>
            <w:tcW w:w="1458" w:type="dxa"/>
          </w:tcPr>
          <w:p w14:paraId="4145789F" w14:textId="7FE1C7EE" w:rsidR="00E72CB1" w:rsidRPr="00E72CB1" w:rsidRDefault="00CA424B" w:rsidP="00E72CB1">
            <w:pPr>
              <w:kinsoku w:val="0"/>
              <w:wordWrap/>
              <w:overflowPunct w:val="0"/>
              <w:adjustRightInd w:val="0"/>
              <w:spacing w:before="112" w:after="0" w:line="240" w:lineRule="auto"/>
              <w:ind w:right="523"/>
              <w:jc w:val="right"/>
              <w:rPr>
                <w:rFonts w:ascii="Arial" w:hAnsi="Arial" w:cs="Arial"/>
                <w:w w:val="95"/>
                <w:kern w:val="0"/>
                <w:szCs w:val="20"/>
              </w:rPr>
            </w:pPr>
            <w:r>
              <w:rPr>
                <w:rFonts w:ascii="Arial" w:hAnsi="Arial" w:cs="Arial"/>
                <w:kern w:val="0"/>
                <w:szCs w:val="20"/>
              </w:rPr>
              <w:t>8</w:t>
            </w:r>
            <w:r w:rsidR="00B50631">
              <w:rPr>
                <w:rFonts w:ascii="Arial" w:hAnsi="Arial" w:cs="Arial"/>
                <w:kern w:val="0"/>
                <w:szCs w:val="20"/>
              </w:rPr>
              <w:t>-9</w:t>
            </w:r>
          </w:p>
        </w:tc>
      </w:tr>
      <w:tr w:rsidR="00E72CB1" w:rsidRPr="00E72CB1" w14:paraId="33EB962F" w14:textId="77777777" w:rsidTr="00E72CB1">
        <w:trPr>
          <w:trHeight w:val="458"/>
        </w:trPr>
        <w:tc>
          <w:tcPr>
            <w:tcW w:w="993" w:type="dxa"/>
          </w:tcPr>
          <w:p w14:paraId="7A285809" w14:textId="77777777" w:rsidR="00E72CB1" w:rsidRPr="00E72CB1" w:rsidRDefault="00E72CB1" w:rsidP="00E72CB1">
            <w:pPr>
              <w:kinsoku w:val="0"/>
              <w:wordWrap/>
              <w:overflowPunct w:val="0"/>
              <w:adjustRightInd w:val="0"/>
              <w:spacing w:before="113" w:after="0" w:line="240" w:lineRule="auto"/>
              <w:ind w:left="349"/>
              <w:jc w:val="left"/>
              <w:rPr>
                <w:rFonts w:ascii="Arial" w:hAnsi="Arial" w:cs="Arial"/>
                <w:kern w:val="0"/>
                <w:szCs w:val="20"/>
              </w:rPr>
            </w:pPr>
            <w:r w:rsidRPr="00E72CB1">
              <w:rPr>
                <w:rFonts w:ascii="Arial" w:hAnsi="Arial" w:cs="Arial"/>
                <w:kern w:val="0"/>
                <w:szCs w:val="20"/>
              </w:rPr>
              <w:t>21</w:t>
            </w:r>
          </w:p>
        </w:tc>
        <w:tc>
          <w:tcPr>
            <w:tcW w:w="6497" w:type="dxa"/>
          </w:tcPr>
          <w:p w14:paraId="78C657FD" w14:textId="77777777" w:rsidR="00E72CB1" w:rsidRPr="00E72CB1" w:rsidRDefault="00E72CB1" w:rsidP="00E72CB1">
            <w:pPr>
              <w:kinsoku w:val="0"/>
              <w:wordWrap/>
              <w:overflowPunct w:val="0"/>
              <w:adjustRightInd w:val="0"/>
              <w:spacing w:after="0" w:line="232" w:lineRule="exact"/>
              <w:ind w:left="103"/>
              <w:jc w:val="left"/>
              <w:rPr>
                <w:rFonts w:ascii="Arial" w:hAnsi="Arial" w:cs="Arial"/>
                <w:kern w:val="0"/>
                <w:szCs w:val="20"/>
              </w:rPr>
            </w:pPr>
            <w:r w:rsidRPr="00E72CB1">
              <w:rPr>
                <w:rFonts w:ascii="Arial" w:hAnsi="Arial" w:cs="Arial"/>
                <w:kern w:val="0"/>
                <w:szCs w:val="20"/>
              </w:rPr>
              <w:t>Assessment of study quality, including blinding of quality assessors, stratification or regression on possible predictors of study results</w:t>
            </w:r>
          </w:p>
        </w:tc>
        <w:tc>
          <w:tcPr>
            <w:tcW w:w="1458" w:type="dxa"/>
          </w:tcPr>
          <w:p w14:paraId="6C2A7586" w14:textId="2296855A" w:rsidR="00E72CB1" w:rsidRPr="00E72CB1" w:rsidRDefault="00E72CB1" w:rsidP="00E72CB1">
            <w:pPr>
              <w:kinsoku w:val="0"/>
              <w:wordWrap/>
              <w:overflowPunct w:val="0"/>
              <w:adjustRightInd w:val="0"/>
              <w:spacing w:before="113" w:after="0" w:line="240" w:lineRule="auto"/>
              <w:jc w:val="center"/>
              <w:rPr>
                <w:rFonts w:ascii="Arial" w:hAnsi="Arial" w:cs="Arial"/>
                <w:w w:val="95"/>
                <w:kern w:val="0"/>
                <w:szCs w:val="20"/>
              </w:rPr>
            </w:pPr>
            <w:r>
              <w:rPr>
                <w:rFonts w:ascii="Arial" w:hAnsi="Arial" w:cs="Arial"/>
                <w:w w:val="95"/>
                <w:kern w:val="0"/>
                <w:szCs w:val="20"/>
              </w:rPr>
              <w:t>NA</w:t>
            </w:r>
          </w:p>
        </w:tc>
      </w:tr>
      <w:tr w:rsidR="00E72CB1" w:rsidRPr="00E72CB1" w14:paraId="480D07B3" w14:textId="77777777" w:rsidTr="00E72CB1">
        <w:trPr>
          <w:trHeight w:val="345"/>
        </w:trPr>
        <w:tc>
          <w:tcPr>
            <w:tcW w:w="993" w:type="dxa"/>
          </w:tcPr>
          <w:p w14:paraId="6FED5054" w14:textId="77777777" w:rsidR="00E72CB1" w:rsidRPr="00E72CB1" w:rsidRDefault="00E72CB1" w:rsidP="00E72CB1">
            <w:pPr>
              <w:kinsoku w:val="0"/>
              <w:wordWrap/>
              <w:overflowPunct w:val="0"/>
              <w:adjustRightInd w:val="0"/>
              <w:spacing w:before="54" w:after="0" w:line="240" w:lineRule="auto"/>
              <w:ind w:left="349"/>
              <w:jc w:val="left"/>
              <w:rPr>
                <w:rFonts w:ascii="Arial" w:hAnsi="Arial" w:cs="Arial"/>
                <w:kern w:val="0"/>
                <w:szCs w:val="20"/>
              </w:rPr>
            </w:pPr>
            <w:r w:rsidRPr="00E72CB1">
              <w:rPr>
                <w:rFonts w:ascii="Arial" w:hAnsi="Arial" w:cs="Arial"/>
                <w:kern w:val="0"/>
                <w:szCs w:val="20"/>
              </w:rPr>
              <w:t>22</w:t>
            </w:r>
          </w:p>
        </w:tc>
        <w:tc>
          <w:tcPr>
            <w:tcW w:w="6497" w:type="dxa"/>
          </w:tcPr>
          <w:p w14:paraId="7E2F9CC0" w14:textId="77777777" w:rsidR="00E72CB1" w:rsidRPr="00E72CB1" w:rsidRDefault="00E72CB1" w:rsidP="00E72CB1">
            <w:pPr>
              <w:kinsoku w:val="0"/>
              <w:wordWrap/>
              <w:overflowPunct w:val="0"/>
              <w:adjustRightInd w:val="0"/>
              <w:spacing w:before="54" w:after="0" w:line="240" w:lineRule="auto"/>
              <w:ind w:left="103"/>
              <w:jc w:val="left"/>
              <w:rPr>
                <w:rFonts w:ascii="Arial" w:hAnsi="Arial" w:cs="Arial"/>
                <w:kern w:val="0"/>
                <w:szCs w:val="20"/>
              </w:rPr>
            </w:pPr>
            <w:r w:rsidRPr="00E72CB1">
              <w:rPr>
                <w:rFonts w:ascii="Arial" w:hAnsi="Arial" w:cs="Arial"/>
                <w:kern w:val="0"/>
                <w:szCs w:val="20"/>
              </w:rPr>
              <w:t>Assessment of heterogeneity</w:t>
            </w:r>
          </w:p>
        </w:tc>
        <w:tc>
          <w:tcPr>
            <w:tcW w:w="1458" w:type="dxa"/>
          </w:tcPr>
          <w:p w14:paraId="039D63DF" w14:textId="20029D8D" w:rsidR="00E72CB1" w:rsidRPr="00E72CB1" w:rsidRDefault="00B50631" w:rsidP="00CA424B">
            <w:pPr>
              <w:kinsoku w:val="0"/>
              <w:wordWrap/>
              <w:overflowPunct w:val="0"/>
              <w:adjustRightInd w:val="0"/>
              <w:spacing w:before="54" w:after="0" w:line="240" w:lineRule="auto"/>
              <w:jc w:val="center"/>
              <w:rPr>
                <w:rFonts w:ascii="Arial" w:hAnsi="Arial" w:cs="Arial"/>
                <w:w w:val="95"/>
                <w:kern w:val="0"/>
                <w:szCs w:val="20"/>
              </w:rPr>
            </w:pPr>
            <w:r>
              <w:rPr>
                <w:rFonts w:ascii="Arial" w:hAnsi="Arial" w:cs="Arial"/>
                <w:kern w:val="0"/>
                <w:szCs w:val="20"/>
              </w:rPr>
              <w:t>11</w:t>
            </w:r>
          </w:p>
        </w:tc>
      </w:tr>
      <w:tr w:rsidR="00E72CB1" w:rsidRPr="00E72CB1" w14:paraId="1CE039E3" w14:textId="77777777" w:rsidTr="00E72CB1">
        <w:trPr>
          <w:trHeight w:val="918"/>
        </w:trPr>
        <w:tc>
          <w:tcPr>
            <w:tcW w:w="993" w:type="dxa"/>
          </w:tcPr>
          <w:p w14:paraId="36ED45E1" w14:textId="77777777" w:rsidR="00E72CB1" w:rsidRPr="00E72CB1" w:rsidRDefault="00E72CB1" w:rsidP="00E72CB1">
            <w:pPr>
              <w:kinsoku w:val="0"/>
              <w:wordWrap/>
              <w:overflowPunct w:val="0"/>
              <w:adjustRightInd w:val="0"/>
              <w:spacing w:after="0" w:line="240" w:lineRule="auto"/>
              <w:jc w:val="left"/>
              <w:rPr>
                <w:rFonts w:ascii="Times New Roman" w:hAnsi="Times New Roman" w:cs="Times New Roman"/>
                <w:kern w:val="0"/>
                <w:sz w:val="30"/>
                <w:szCs w:val="30"/>
              </w:rPr>
            </w:pPr>
          </w:p>
          <w:p w14:paraId="479E9923" w14:textId="77777777" w:rsidR="00E72CB1" w:rsidRPr="00E72CB1" w:rsidRDefault="00E72CB1" w:rsidP="00E72CB1">
            <w:pPr>
              <w:kinsoku w:val="0"/>
              <w:wordWrap/>
              <w:overflowPunct w:val="0"/>
              <w:adjustRightInd w:val="0"/>
              <w:spacing w:after="0" w:line="240" w:lineRule="auto"/>
              <w:ind w:left="349"/>
              <w:jc w:val="left"/>
              <w:rPr>
                <w:rFonts w:ascii="Arial" w:hAnsi="Arial" w:cs="Arial"/>
                <w:kern w:val="0"/>
                <w:szCs w:val="20"/>
              </w:rPr>
            </w:pPr>
            <w:r w:rsidRPr="00E72CB1">
              <w:rPr>
                <w:rFonts w:ascii="Arial" w:hAnsi="Arial" w:cs="Arial"/>
                <w:kern w:val="0"/>
                <w:szCs w:val="20"/>
              </w:rPr>
              <w:t>23</w:t>
            </w:r>
          </w:p>
        </w:tc>
        <w:tc>
          <w:tcPr>
            <w:tcW w:w="6497" w:type="dxa"/>
          </w:tcPr>
          <w:p w14:paraId="2A65A9BC" w14:textId="0AC3C4F0" w:rsidR="00E72CB1" w:rsidRPr="00E72CB1" w:rsidRDefault="00E72CB1" w:rsidP="00E72CB1">
            <w:pPr>
              <w:kinsoku w:val="0"/>
              <w:wordWrap/>
              <w:overflowPunct w:val="0"/>
              <w:adjustRightInd w:val="0"/>
              <w:spacing w:after="0" w:line="240" w:lineRule="auto"/>
              <w:ind w:left="103"/>
              <w:jc w:val="left"/>
              <w:rPr>
                <w:rFonts w:ascii="Arial" w:hAnsi="Arial" w:cs="Arial"/>
                <w:kern w:val="0"/>
                <w:szCs w:val="20"/>
              </w:rPr>
            </w:pPr>
            <w:r w:rsidRPr="00E72CB1">
              <w:rPr>
                <w:rFonts w:ascii="Arial" w:hAnsi="Arial" w:cs="Arial"/>
                <w:kern w:val="0"/>
                <w:szCs w:val="20"/>
              </w:rPr>
              <w:t>Description of statistical methods (e</w:t>
            </w:r>
            <w:r w:rsidR="0088667C">
              <w:rPr>
                <w:rFonts w:ascii="Arial" w:hAnsi="Arial" w:cs="Arial"/>
                <w:kern w:val="0"/>
                <w:szCs w:val="20"/>
              </w:rPr>
              <w:t>.</w:t>
            </w:r>
            <w:r w:rsidRPr="00E72CB1">
              <w:rPr>
                <w:rFonts w:ascii="Arial" w:hAnsi="Arial" w:cs="Arial"/>
                <w:kern w:val="0"/>
                <w:szCs w:val="20"/>
              </w:rPr>
              <w:t>g</w:t>
            </w:r>
            <w:r w:rsidR="0088667C">
              <w:rPr>
                <w:rFonts w:ascii="Arial" w:hAnsi="Arial" w:cs="Arial"/>
                <w:kern w:val="0"/>
                <w:szCs w:val="20"/>
              </w:rPr>
              <w:t>.</w:t>
            </w:r>
            <w:r w:rsidRPr="00E72CB1">
              <w:rPr>
                <w:rFonts w:ascii="Arial" w:hAnsi="Arial" w:cs="Arial"/>
                <w:kern w:val="0"/>
                <w:szCs w:val="20"/>
              </w:rPr>
              <w:t>, complete description of fixed or random effects models, justification of whether the chosen models</w:t>
            </w:r>
          </w:p>
          <w:p w14:paraId="192D58DB" w14:textId="77777777" w:rsidR="00E72CB1" w:rsidRPr="00E72CB1" w:rsidRDefault="00E72CB1" w:rsidP="00E72CB1">
            <w:pPr>
              <w:kinsoku w:val="0"/>
              <w:wordWrap/>
              <w:overflowPunct w:val="0"/>
              <w:adjustRightInd w:val="0"/>
              <w:spacing w:before="5" w:after="0" w:line="228" w:lineRule="exact"/>
              <w:ind w:left="103" w:right="616"/>
              <w:jc w:val="left"/>
              <w:rPr>
                <w:rFonts w:ascii="Arial" w:hAnsi="Arial" w:cs="Arial"/>
                <w:kern w:val="0"/>
                <w:szCs w:val="20"/>
              </w:rPr>
            </w:pPr>
            <w:r w:rsidRPr="00E72CB1">
              <w:rPr>
                <w:rFonts w:ascii="Arial" w:hAnsi="Arial" w:cs="Arial"/>
                <w:kern w:val="0"/>
                <w:szCs w:val="20"/>
              </w:rPr>
              <w:t xml:space="preserve">account for predictors of study results, dose-response models, or cumulative </w:t>
            </w:r>
            <w:proofErr w:type="spellStart"/>
            <w:r w:rsidRPr="00E72CB1">
              <w:rPr>
                <w:rFonts w:ascii="Arial" w:hAnsi="Arial" w:cs="Arial"/>
                <w:kern w:val="0"/>
                <w:szCs w:val="20"/>
              </w:rPr>
              <w:t>meta-analysis</w:t>
            </w:r>
            <w:proofErr w:type="spellEnd"/>
            <w:r w:rsidRPr="00E72CB1">
              <w:rPr>
                <w:rFonts w:ascii="Arial" w:hAnsi="Arial" w:cs="Arial"/>
                <w:kern w:val="0"/>
                <w:szCs w:val="20"/>
              </w:rPr>
              <w:t>) in sufficient detail to be replicated</w:t>
            </w:r>
          </w:p>
        </w:tc>
        <w:tc>
          <w:tcPr>
            <w:tcW w:w="1458" w:type="dxa"/>
          </w:tcPr>
          <w:p w14:paraId="7BB68EF0" w14:textId="77777777" w:rsidR="00E72CB1" w:rsidRPr="00E72CB1" w:rsidRDefault="00E72CB1" w:rsidP="00E72CB1">
            <w:pPr>
              <w:kinsoku w:val="0"/>
              <w:wordWrap/>
              <w:overflowPunct w:val="0"/>
              <w:adjustRightInd w:val="0"/>
              <w:spacing w:after="0" w:line="240" w:lineRule="auto"/>
              <w:jc w:val="left"/>
              <w:rPr>
                <w:rFonts w:ascii="Times New Roman" w:hAnsi="Times New Roman" w:cs="Times New Roman"/>
                <w:kern w:val="0"/>
                <w:sz w:val="30"/>
                <w:szCs w:val="30"/>
              </w:rPr>
            </w:pPr>
          </w:p>
          <w:p w14:paraId="25969509" w14:textId="096D265F" w:rsidR="00E72CB1" w:rsidRPr="00E72CB1" w:rsidRDefault="00B50631" w:rsidP="00E72CB1">
            <w:pPr>
              <w:kinsoku w:val="0"/>
              <w:wordWrap/>
              <w:overflowPunct w:val="0"/>
              <w:adjustRightInd w:val="0"/>
              <w:spacing w:after="0" w:line="240" w:lineRule="auto"/>
              <w:jc w:val="center"/>
              <w:rPr>
                <w:rFonts w:ascii="Arial" w:hAnsi="Arial" w:cs="Arial"/>
                <w:kern w:val="0"/>
                <w:szCs w:val="20"/>
              </w:rPr>
            </w:pPr>
            <w:r>
              <w:rPr>
                <w:rFonts w:ascii="Arial" w:hAnsi="Arial" w:cs="Arial"/>
                <w:kern w:val="0"/>
                <w:szCs w:val="20"/>
              </w:rPr>
              <w:t>10-11</w:t>
            </w:r>
          </w:p>
        </w:tc>
      </w:tr>
      <w:tr w:rsidR="00E72CB1" w:rsidRPr="00E72CB1" w14:paraId="5CDD4C9D" w14:textId="77777777" w:rsidTr="00E72CB1">
        <w:trPr>
          <w:trHeight w:val="919"/>
        </w:trPr>
        <w:tc>
          <w:tcPr>
            <w:tcW w:w="993" w:type="dxa"/>
          </w:tcPr>
          <w:p w14:paraId="6119751B" w14:textId="77777777" w:rsidR="00E72CB1" w:rsidRPr="00E72CB1" w:rsidRDefault="00E72CB1" w:rsidP="00E72CB1">
            <w:pPr>
              <w:kinsoku w:val="0"/>
              <w:wordWrap/>
              <w:overflowPunct w:val="0"/>
              <w:adjustRightInd w:val="0"/>
              <w:spacing w:before="9" w:after="0" w:line="240" w:lineRule="auto"/>
              <w:jc w:val="left"/>
              <w:rPr>
                <w:rFonts w:ascii="Times New Roman" w:hAnsi="Times New Roman" w:cs="Times New Roman"/>
                <w:kern w:val="0"/>
                <w:sz w:val="29"/>
                <w:szCs w:val="29"/>
              </w:rPr>
            </w:pPr>
          </w:p>
          <w:p w14:paraId="28AE7D21" w14:textId="77777777" w:rsidR="00E72CB1" w:rsidRPr="00E72CB1" w:rsidRDefault="00E72CB1" w:rsidP="00E72CB1">
            <w:pPr>
              <w:kinsoku w:val="0"/>
              <w:wordWrap/>
              <w:overflowPunct w:val="0"/>
              <w:adjustRightInd w:val="0"/>
              <w:spacing w:after="0" w:line="240" w:lineRule="auto"/>
              <w:ind w:left="349"/>
              <w:jc w:val="left"/>
              <w:rPr>
                <w:rFonts w:ascii="Arial" w:hAnsi="Arial" w:cs="Arial"/>
                <w:kern w:val="0"/>
                <w:szCs w:val="20"/>
              </w:rPr>
            </w:pPr>
            <w:r w:rsidRPr="00E72CB1">
              <w:rPr>
                <w:rFonts w:ascii="Arial" w:hAnsi="Arial" w:cs="Arial"/>
                <w:kern w:val="0"/>
                <w:szCs w:val="20"/>
              </w:rPr>
              <w:t>24</w:t>
            </w:r>
          </w:p>
        </w:tc>
        <w:tc>
          <w:tcPr>
            <w:tcW w:w="6497" w:type="dxa"/>
          </w:tcPr>
          <w:p w14:paraId="4903192E" w14:textId="77777777" w:rsidR="00E72CB1" w:rsidRPr="00E72CB1" w:rsidRDefault="00E72CB1" w:rsidP="00E72CB1">
            <w:pPr>
              <w:kinsoku w:val="0"/>
              <w:wordWrap/>
              <w:overflowPunct w:val="0"/>
              <w:adjustRightInd w:val="0"/>
              <w:spacing w:before="9" w:after="0" w:line="240" w:lineRule="auto"/>
              <w:jc w:val="left"/>
              <w:rPr>
                <w:rFonts w:ascii="Times New Roman" w:hAnsi="Times New Roman" w:cs="Times New Roman"/>
                <w:kern w:val="0"/>
                <w:sz w:val="29"/>
                <w:szCs w:val="29"/>
              </w:rPr>
            </w:pPr>
          </w:p>
          <w:p w14:paraId="16E9CA69" w14:textId="77777777" w:rsidR="00E72CB1" w:rsidRPr="00E72CB1" w:rsidRDefault="00E72CB1" w:rsidP="00E72CB1">
            <w:pPr>
              <w:kinsoku w:val="0"/>
              <w:wordWrap/>
              <w:overflowPunct w:val="0"/>
              <w:adjustRightInd w:val="0"/>
              <w:spacing w:after="0" w:line="240" w:lineRule="auto"/>
              <w:ind w:left="103"/>
              <w:jc w:val="left"/>
              <w:rPr>
                <w:rFonts w:ascii="Arial" w:hAnsi="Arial" w:cs="Arial"/>
                <w:kern w:val="0"/>
                <w:szCs w:val="20"/>
              </w:rPr>
            </w:pPr>
            <w:r w:rsidRPr="00E72CB1">
              <w:rPr>
                <w:rFonts w:ascii="Arial" w:hAnsi="Arial" w:cs="Arial"/>
                <w:kern w:val="0"/>
                <w:szCs w:val="20"/>
              </w:rPr>
              <w:t>Provision of appropriate tables and graphics</w:t>
            </w:r>
          </w:p>
        </w:tc>
        <w:tc>
          <w:tcPr>
            <w:tcW w:w="1458" w:type="dxa"/>
          </w:tcPr>
          <w:p w14:paraId="2206E9AD" w14:textId="77777777" w:rsidR="00E72CB1" w:rsidRPr="00E72CB1" w:rsidRDefault="00E72CB1" w:rsidP="00E72CB1">
            <w:pPr>
              <w:kinsoku w:val="0"/>
              <w:wordWrap/>
              <w:overflowPunct w:val="0"/>
              <w:adjustRightInd w:val="0"/>
              <w:spacing w:after="0" w:line="227" w:lineRule="exact"/>
              <w:ind w:left="175" w:right="172"/>
              <w:jc w:val="center"/>
              <w:rPr>
                <w:rFonts w:ascii="Arial" w:hAnsi="Arial" w:cs="Arial"/>
                <w:kern w:val="0"/>
                <w:szCs w:val="20"/>
              </w:rPr>
            </w:pPr>
            <w:r w:rsidRPr="00E72CB1">
              <w:rPr>
                <w:rFonts w:ascii="Arial" w:hAnsi="Arial" w:cs="Arial"/>
                <w:kern w:val="0"/>
                <w:szCs w:val="20"/>
              </w:rPr>
              <w:t>Tables 1-4,</w:t>
            </w:r>
          </w:p>
          <w:p w14:paraId="7E3F48EB" w14:textId="77777777" w:rsidR="00E72CB1" w:rsidRPr="00E72CB1" w:rsidRDefault="00E72CB1" w:rsidP="00E72CB1">
            <w:pPr>
              <w:kinsoku w:val="0"/>
              <w:wordWrap/>
              <w:overflowPunct w:val="0"/>
              <w:adjustRightInd w:val="0"/>
              <w:spacing w:after="0" w:line="230" w:lineRule="atLeast"/>
              <w:ind w:left="190" w:right="188" w:firstLine="2"/>
              <w:jc w:val="center"/>
              <w:rPr>
                <w:rFonts w:ascii="Arial" w:hAnsi="Arial" w:cs="Arial"/>
                <w:kern w:val="0"/>
                <w:szCs w:val="20"/>
              </w:rPr>
            </w:pPr>
            <w:r w:rsidRPr="00E72CB1">
              <w:rPr>
                <w:rFonts w:ascii="Arial" w:hAnsi="Arial" w:cs="Arial"/>
                <w:kern w:val="0"/>
                <w:szCs w:val="20"/>
              </w:rPr>
              <w:t xml:space="preserve">Figure 1, </w:t>
            </w:r>
            <w:r w:rsidRPr="00E72CB1">
              <w:rPr>
                <w:rFonts w:ascii="Arial" w:hAnsi="Arial" w:cs="Arial"/>
                <w:w w:val="95"/>
                <w:kern w:val="0"/>
                <w:szCs w:val="20"/>
              </w:rPr>
              <w:t xml:space="preserve">Supplement </w:t>
            </w:r>
            <w:r w:rsidRPr="00E72CB1">
              <w:rPr>
                <w:rFonts w:ascii="Arial" w:hAnsi="Arial" w:cs="Arial"/>
                <w:kern w:val="0"/>
                <w:szCs w:val="20"/>
              </w:rPr>
              <w:t>file</w:t>
            </w:r>
          </w:p>
        </w:tc>
      </w:tr>
    </w:tbl>
    <w:p w14:paraId="2940942F" w14:textId="71DC0D73" w:rsidR="00FC3A79" w:rsidRDefault="00E72CB1" w:rsidP="00FC3A79">
      <w:pPr>
        <w:pStyle w:val="aa"/>
        <w:kinsoku w:val="0"/>
        <w:overflowPunct w:val="0"/>
        <w:spacing w:after="39" w:line="223" w:lineRule="exact"/>
        <w:rPr>
          <w:w w:val="99"/>
        </w:rPr>
      </w:pPr>
      <w:r>
        <w:rPr>
          <w:noProof/>
        </w:rPr>
        <w:br w:type="page"/>
      </w:r>
    </w:p>
    <w:tbl>
      <w:tblPr>
        <w:tblW w:w="9018" w:type="dxa"/>
        <w:tblInd w:w="108" w:type="dxa"/>
        <w:tblLayout w:type="fixed"/>
        <w:tblCellMar>
          <w:left w:w="0" w:type="dxa"/>
          <w:right w:w="0" w:type="dxa"/>
        </w:tblCellMar>
        <w:tblLook w:val="0000" w:firstRow="0" w:lastRow="0" w:firstColumn="0" w:lastColumn="0" w:noHBand="0" w:noVBand="0"/>
      </w:tblPr>
      <w:tblGrid>
        <w:gridCol w:w="1066"/>
        <w:gridCol w:w="6728"/>
        <w:gridCol w:w="1224"/>
      </w:tblGrid>
      <w:tr w:rsidR="00FC3A79" w14:paraId="5A68F4CB" w14:textId="77777777" w:rsidTr="00CD4C19">
        <w:trPr>
          <w:trHeight w:val="691"/>
        </w:trPr>
        <w:tc>
          <w:tcPr>
            <w:tcW w:w="1066" w:type="dxa"/>
            <w:tcBorders>
              <w:top w:val="single" w:sz="4" w:space="0" w:color="000000"/>
              <w:left w:val="single" w:sz="4" w:space="0" w:color="000000"/>
              <w:bottom w:val="single" w:sz="4" w:space="0" w:color="000000"/>
              <w:right w:val="single" w:sz="4" w:space="0" w:color="000000"/>
            </w:tcBorders>
            <w:shd w:val="clear" w:color="auto" w:fill="D9D9D9"/>
          </w:tcPr>
          <w:p w14:paraId="606FB56A" w14:textId="77777777" w:rsidR="00FC3A79" w:rsidRDefault="00FC3A79">
            <w:pPr>
              <w:pStyle w:val="TableParagraph"/>
              <w:kinsoku w:val="0"/>
              <w:overflowPunct w:val="0"/>
              <w:spacing w:before="11"/>
              <w:ind w:left="0"/>
              <w:rPr>
                <w:sz w:val="19"/>
                <w:szCs w:val="19"/>
              </w:rPr>
            </w:pPr>
          </w:p>
          <w:p w14:paraId="388F7E8C" w14:textId="77777777" w:rsidR="00FC3A79" w:rsidRDefault="00FC3A79">
            <w:pPr>
              <w:pStyle w:val="TableParagraph"/>
              <w:kinsoku w:val="0"/>
              <w:overflowPunct w:val="0"/>
              <w:ind w:left="143" w:right="138"/>
              <w:jc w:val="center"/>
              <w:rPr>
                <w:b/>
                <w:bCs/>
                <w:sz w:val="20"/>
                <w:szCs w:val="20"/>
              </w:rPr>
            </w:pPr>
            <w:r>
              <w:rPr>
                <w:b/>
                <w:bCs/>
                <w:sz w:val="20"/>
                <w:szCs w:val="20"/>
              </w:rPr>
              <w:t>Item No</w:t>
            </w:r>
          </w:p>
        </w:tc>
        <w:tc>
          <w:tcPr>
            <w:tcW w:w="6728" w:type="dxa"/>
            <w:tcBorders>
              <w:top w:val="single" w:sz="4" w:space="0" w:color="000000"/>
              <w:left w:val="single" w:sz="4" w:space="0" w:color="000000"/>
              <w:bottom w:val="single" w:sz="4" w:space="0" w:color="000000"/>
              <w:right w:val="single" w:sz="4" w:space="0" w:color="000000"/>
            </w:tcBorders>
            <w:shd w:val="clear" w:color="auto" w:fill="D9D9D9"/>
          </w:tcPr>
          <w:p w14:paraId="73F68EEF" w14:textId="77777777" w:rsidR="00FC3A79" w:rsidRDefault="00FC3A79">
            <w:pPr>
              <w:pStyle w:val="TableParagraph"/>
              <w:kinsoku w:val="0"/>
              <w:overflowPunct w:val="0"/>
              <w:spacing w:before="11"/>
              <w:ind w:left="0"/>
              <w:rPr>
                <w:sz w:val="19"/>
                <w:szCs w:val="19"/>
              </w:rPr>
            </w:pPr>
          </w:p>
          <w:p w14:paraId="54D64B01" w14:textId="77777777" w:rsidR="00FC3A79" w:rsidRDefault="00FC3A79">
            <w:pPr>
              <w:pStyle w:val="TableParagraph"/>
              <w:kinsoku w:val="0"/>
              <w:overflowPunct w:val="0"/>
              <w:ind w:left="2503" w:right="2495"/>
              <w:jc w:val="center"/>
              <w:rPr>
                <w:b/>
                <w:bCs/>
                <w:sz w:val="20"/>
                <w:szCs w:val="20"/>
              </w:rPr>
            </w:pPr>
            <w:r>
              <w:rPr>
                <w:b/>
                <w:bCs/>
                <w:sz w:val="20"/>
                <w:szCs w:val="20"/>
              </w:rPr>
              <w:t>Recommendation</w:t>
            </w:r>
          </w:p>
        </w:tc>
        <w:tc>
          <w:tcPr>
            <w:tcW w:w="1224" w:type="dxa"/>
            <w:tcBorders>
              <w:top w:val="single" w:sz="4" w:space="0" w:color="000000"/>
              <w:left w:val="single" w:sz="4" w:space="0" w:color="000000"/>
              <w:bottom w:val="single" w:sz="4" w:space="0" w:color="000000"/>
              <w:right w:val="single" w:sz="4" w:space="0" w:color="000000"/>
            </w:tcBorders>
            <w:shd w:val="clear" w:color="auto" w:fill="D9D9D9"/>
          </w:tcPr>
          <w:p w14:paraId="3C0839A8" w14:textId="77777777" w:rsidR="00FC3A79" w:rsidRDefault="00FC3A79">
            <w:pPr>
              <w:pStyle w:val="TableParagraph"/>
              <w:kinsoku w:val="0"/>
              <w:overflowPunct w:val="0"/>
              <w:ind w:left="93" w:right="84"/>
              <w:jc w:val="center"/>
              <w:rPr>
                <w:b/>
                <w:bCs/>
                <w:sz w:val="20"/>
                <w:szCs w:val="20"/>
              </w:rPr>
            </w:pPr>
            <w:r>
              <w:rPr>
                <w:b/>
                <w:bCs/>
                <w:w w:val="95"/>
                <w:sz w:val="20"/>
                <w:szCs w:val="20"/>
              </w:rPr>
              <w:t xml:space="preserve">Reported </w:t>
            </w:r>
            <w:r>
              <w:rPr>
                <w:b/>
                <w:bCs/>
                <w:sz w:val="20"/>
                <w:szCs w:val="20"/>
              </w:rPr>
              <w:t>on Page</w:t>
            </w:r>
          </w:p>
          <w:p w14:paraId="2298C922" w14:textId="77777777" w:rsidR="00FC3A79" w:rsidRDefault="00FC3A79">
            <w:pPr>
              <w:pStyle w:val="TableParagraph"/>
              <w:kinsoku w:val="0"/>
              <w:overflowPunct w:val="0"/>
              <w:spacing w:before="1" w:line="211" w:lineRule="exact"/>
              <w:ind w:left="91" w:right="84"/>
              <w:jc w:val="center"/>
              <w:rPr>
                <w:b/>
                <w:bCs/>
                <w:sz w:val="20"/>
                <w:szCs w:val="20"/>
              </w:rPr>
            </w:pPr>
            <w:r>
              <w:rPr>
                <w:b/>
                <w:bCs/>
                <w:sz w:val="20"/>
                <w:szCs w:val="20"/>
              </w:rPr>
              <w:t>No</w:t>
            </w:r>
          </w:p>
        </w:tc>
      </w:tr>
      <w:tr w:rsidR="00FC3A79" w14:paraId="6A7F92D8" w14:textId="77777777" w:rsidTr="00CD4C19">
        <w:trPr>
          <w:trHeight w:val="434"/>
        </w:trPr>
        <w:tc>
          <w:tcPr>
            <w:tcW w:w="9018" w:type="dxa"/>
            <w:gridSpan w:val="3"/>
            <w:tcBorders>
              <w:top w:val="single" w:sz="4" w:space="0" w:color="000000"/>
              <w:left w:val="single" w:sz="4" w:space="0" w:color="000000"/>
              <w:bottom w:val="single" w:sz="4" w:space="0" w:color="000000"/>
              <w:right w:val="single" w:sz="4" w:space="0" w:color="000000"/>
            </w:tcBorders>
            <w:shd w:val="clear" w:color="auto" w:fill="F1F1F1"/>
          </w:tcPr>
          <w:p w14:paraId="0783E89D" w14:textId="5327D04E" w:rsidR="00FC3A79" w:rsidRDefault="00243B7C">
            <w:pPr>
              <w:pStyle w:val="TableParagraph"/>
              <w:kinsoku w:val="0"/>
              <w:overflowPunct w:val="0"/>
              <w:spacing w:before="100"/>
              <w:rPr>
                <w:sz w:val="20"/>
                <w:szCs w:val="20"/>
              </w:rPr>
            </w:pPr>
            <w:r w:rsidRPr="00CD4C19">
              <w:rPr>
                <w:sz w:val="20"/>
                <w:szCs w:val="20"/>
              </w:rPr>
              <w:t xml:space="preserve">Reporting of </w:t>
            </w:r>
            <w:r>
              <w:rPr>
                <w:sz w:val="20"/>
                <w:szCs w:val="20"/>
              </w:rPr>
              <w:t>results</w:t>
            </w:r>
            <w:r w:rsidRPr="00CD4C19">
              <w:rPr>
                <w:sz w:val="20"/>
                <w:szCs w:val="20"/>
              </w:rPr>
              <w:t xml:space="preserve"> should include</w:t>
            </w:r>
          </w:p>
        </w:tc>
      </w:tr>
      <w:tr w:rsidR="00243B7C" w14:paraId="5EC7F73D" w14:textId="77777777" w:rsidTr="0042627A">
        <w:trPr>
          <w:trHeight w:val="350"/>
        </w:trPr>
        <w:tc>
          <w:tcPr>
            <w:tcW w:w="1066" w:type="dxa"/>
            <w:tcBorders>
              <w:top w:val="single" w:sz="4" w:space="0" w:color="000000"/>
              <w:left w:val="single" w:sz="4" w:space="0" w:color="000000"/>
              <w:bottom w:val="single" w:sz="4" w:space="0" w:color="000000"/>
              <w:right w:val="single" w:sz="4" w:space="0" w:color="000000"/>
            </w:tcBorders>
            <w:vAlign w:val="center"/>
          </w:tcPr>
          <w:p w14:paraId="3B315112" w14:textId="0128D3B9" w:rsidR="00243B7C" w:rsidRDefault="00243B7C" w:rsidP="00243B7C">
            <w:pPr>
              <w:pStyle w:val="TableParagraph"/>
              <w:kinsoku w:val="0"/>
              <w:overflowPunct w:val="0"/>
              <w:spacing w:before="59"/>
              <w:ind w:left="142" w:right="138"/>
              <w:jc w:val="center"/>
              <w:rPr>
                <w:sz w:val="20"/>
                <w:szCs w:val="20"/>
              </w:rPr>
            </w:pPr>
            <w:r>
              <w:rPr>
                <w:sz w:val="20"/>
                <w:szCs w:val="20"/>
              </w:rPr>
              <w:t>25</w:t>
            </w:r>
          </w:p>
        </w:tc>
        <w:tc>
          <w:tcPr>
            <w:tcW w:w="6728" w:type="dxa"/>
            <w:tcBorders>
              <w:top w:val="single" w:sz="4" w:space="0" w:color="000000"/>
              <w:left w:val="single" w:sz="4" w:space="0" w:color="000000"/>
              <w:bottom w:val="single" w:sz="4" w:space="0" w:color="000000"/>
              <w:right w:val="single" w:sz="4" w:space="0" w:color="000000"/>
            </w:tcBorders>
            <w:vAlign w:val="center"/>
          </w:tcPr>
          <w:p w14:paraId="6DFFE8E4" w14:textId="72319810" w:rsidR="00243B7C" w:rsidRDefault="00243B7C" w:rsidP="00243B7C">
            <w:pPr>
              <w:pStyle w:val="TableParagraph"/>
              <w:kinsoku w:val="0"/>
              <w:overflowPunct w:val="0"/>
              <w:spacing w:before="59"/>
              <w:rPr>
                <w:sz w:val="20"/>
                <w:szCs w:val="20"/>
              </w:rPr>
            </w:pPr>
            <w:r>
              <w:rPr>
                <w:sz w:val="20"/>
                <w:szCs w:val="20"/>
              </w:rPr>
              <w:t>Graphic summarizing individual study estimates and overall estimate</w:t>
            </w:r>
          </w:p>
        </w:tc>
        <w:tc>
          <w:tcPr>
            <w:tcW w:w="1224" w:type="dxa"/>
            <w:tcBorders>
              <w:top w:val="single" w:sz="4" w:space="0" w:color="000000"/>
              <w:left w:val="single" w:sz="4" w:space="0" w:color="000000"/>
              <w:bottom w:val="single" w:sz="4" w:space="0" w:color="000000"/>
              <w:right w:val="single" w:sz="4" w:space="0" w:color="000000"/>
            </w:tcBorders>
          </w:tcPr>
          <w:p w14:paraId="0D966C5D" w14:textId="67A57914" w:rsidR="00243B7C" w:rsidRDefault="00243B7C" w:rsidP="00243B7C">
            <w:pPr>
              <w:pStyle w:val="TableParagraph"/>
              <w:kinsoku w:val="0"/>
              <w:overflowPunct w:val="0"/>
              <w:spacing w:before="59"/>
              <w:ind w:left="92" w:right="84"/>
              <w:jc w:val="center"/>
              <w:rPr>
                <w:sz w:val="20"/>
                <w:szCs w:val="20"/>
              </w:rPr>
            </w:pPr>
            <w:r>
              <w:rPr>
                <w:sz w:val="20"/>
                <w:szCs w:val="20"/>
              </w:rPr>
              <w:t xml:space="preserve">Tables 3, </w:t>
            </w:r>
            <w:r>
              <w:rPr>
                <w:w w:val="95"/>
                <w:sz w:val="20"/>
                <w:szCs w:val="20"/>
              </w:rPr>
              <w:t xml:space="preserve">Supplement </w:t>
            </w:r>
            <w:r>
              <w:rPr>
                <w:sz w:val="20"/>
                <w:szCs w:val="20"/>
              </w:rPr>
              <w:t>file</w:t>
            </w:r>
          </w:p>
        </w:tc>
      </w:tr>
      <w:tr w:rsidR="00243B7C" w14:paraId="4D75F68A" w14:textId="77777777" w:rsidTr="00CD4C19">
        <w:trPr>
          <w:trHeight w:val="350"/>
        </w:trPr>
        <w:tc>
          <w:tcPr>
            <w:tcW w:w="1066" w:type="dxa"/>
            <w:tcBorders>
              <w:top w:val="single" w:sz="4" w:space="0" w:color="000000"/>
              <w:left w:val="single" w:sz="4" w:space="0" w:color="000000"/>
              <w:bottom w:val="single" w:sz="4" w:space="0" w:color="000000"/>
              <w:right w:val="single" w:sz="4" w:space="0" w:color="000000"/>
            </w:tcBorders>
          </w:tcPr>
          <w:p w14:paraId="0F9306C4" w14:textId="1E661B2B" w:rsidR="00243B7C" w:rsidRDefault="00243B7C" w:rsidP="00243B7C">
            <w:pPr>
              <w:pStyle w:val="TableParagraph"/>
              <w:kinsoku w:val="0"/>
              <w:overflowPunct w:val="0"/>
              <w:spacing w:before="59"/>
              <w:ind w:left="142" w:right="138"/>
              <w:jc w:val="center"/>
              <w:rPr>
                <w:sz w:val="20"/>
                <w:szCs w:val="20"/>
              </w:rPr>
            </w:pPr>
            <w:r>
              <w:rPr>
                <w:sz w:val="20"/>
                <w:szCs w:val="20"/>
              </w:rPr>
              <w:t>26</w:t>
            </w:r>
          </w:p>
        </w:tc>
        <w:tc>
          <w:tcPr>
            <w:tcW w:w="6728" w:type="dxa"/>
            <w:tcBorders>
              <w:top w:val="single" w:sz="4" w:space="0" w:color="000000"/>
              <w:left w:val="single" w:sz="4" w:space="0" w:color="000000"/>
              <w:bottom w:val="single" w:sz="4" w:space="0" w:color="000000"/>
              <w:right w:val="single" w:sz="4" w:space="0" w:color="000000"/>
            </w:tcBorders>
          </w:tcPr>
          <w:p w14:paraId="167742B4" w14:textId="322C4040" w:rsidR="00243B7C" w:rsidRDefault="00243B7C" w:rsidP="00243B7C">
            <w:pPr>
              <w:pStyle w:val="TableParagraph"/>
              <w:kinsoku w:val="0"/>
              <w:overflowPunct w:val="0"/>
              <w:spacing w:before="59"/>
              <w:rPr>
                <w:sz w:val="20"/>
                <w:szCs w:val="20"/>
              </w:rPr>
            </w:pPr>
            <w:r>
              <w:rPr>
                <w:sz w:val="20"/>
                <w:szCs w:val="20"/>
              </w:rPr>
              <w:t>Table giving descriptive information for each study included</w:t>
            </w:r>
          </w:p>
        </w:tc>
        <w:tc>
          <w:tcPr>
            <w:tcW w:w="1224" w:type="dxa"/>
            <w:tcBorders>
              <w:top w:val="single" w:sz="4" w:space="0" w:color="000000"/>
              <w:left w:val="single" w:sz="4" w:space="0" w:color="000000"/>
              <w:bottom w:val="single" w:sz="4" w:space="0" w:color="000000"/>
              <w:right w:val="single" w:sz="4" w:space="0" w:color="000000"/>
            </w:tcBorders>
          </w:tcPr>
          <w:p w14:paraId="7846C163" w14:textId="1363BA6A" w:rsidR="00243B7C" w:rsidRDefault="00243B7C" w:rsidP="00243B7C">
            <w:pPr>
              <w:pStyle w:val="TableParagraph"/>
              <w:kinsoku w:val="0"/>
              <w:overflowPunct w:val="0"/>
              <w:spacing w:before="59"/>
              <w:ind w:left="92" w:right="84"/>
              <w:jc w:val="center"/>
              <w:rPr>
                <w:sz w:val="20"/>
                <w:szCs w:val="20"/>
              </w:rPr>
            </w:pPr>
            <w:r>
              <w:rPr>
                <w:sz w:val="20"/>
                <w:szCs w:val="20"/>
              </w:rPr>
              <w:t>Table 1</w:t>
            </w:r>
          </w:p>
        </w:tc>
      </w:tr>
      <w:tr w:rsidR="00243B7C" w14:paraId="0742BF7B" w14:textId="77777777" w:rsidTr="00243B7C">
        <w:trPr>
          <w:trHeight w:val="457"/>
        </w:trPr>
        <w:tc>
          <w:tcPr>
            <w:tcW w:w="1066" w:type="dxa"/>
            <w:tcBorders>
              <w:top w:val="single" w:sz="4" w:space="0" w:color="000000"/>
              <w:left w:val="single" w:sz="4" w:space="0" w:color="000000"/>
              <w:bottom w:val="single" w:sz="4" w:space="0" w:color="000000"/>
              <w:right w:val="single" w:sz="4" w:space="0" w:color="000000"/>
            </w:tcBorders>
            <w:vAlign w:val="center"/>
          </w:tcPr>
          <w:p w14:paraId="3864B5A1" w14:textId="4470ED66" w:rsidR="00243B7C" w:rsidRDefault="00243B7C" w:rsidP="00243B7C">
            <w:pPr>
              <w:pStyle w:val="TableParagraph"/>
              <w:kinsoku w:val="0"/>
              <w:overflowPunct w:val="0"/>
              <w:spacing w:before="114"/>
              <w:ind w:right="138"/>
              <w:jc w:val="center"/>
              <w:rPr>
                <w:sz w:val="20"/>
                <w:szCs w:val="20"/>
              </w:rPr>
            </w:pPr>
            <w:r>
              <w:rPr>
                <w:sz w:val="20"/>
                <w:szCs w:val="20"/>
              </w:rPr>
              <w:t>27</w:t>
            </w:r>
          </w:p>
        </w:tc>
        <w:tc>
          <w:tcPr>
            <w:tcW w:w="6728" w:type="dxa"/>
            <w:tcBorders>
              <w:top w:val="single" w:sz="4" w:space="0" w:color="000000"/>
              <w:left w:val="single" w:sz="4" w:space="0" w:color="000000"/>
              <w:bottom w:val="single" w:sz="4" w:space="0" w:color="000000"/>
              <w:right w:val="single" w:sz="4" w:space="0" w:color="000000"/>
            </w:tcBorders>
            <w:vAlign w:val="center"/>
          </w:tcPr>
          <w:p w14:paraId="0A98AC7F" w14:textId="6F7E2EA3" w:rsidR="00243B7C" w:rsidRDefault="00243B7C" w:rsidP="00243B7C">
            <w:pPr>
              <w:pStyle w:val="TableParagraph"/>
              <w:kinsoku w:val="0"/>
              <w:overflowPunct w:val="0"/>
              <w:spacing w:before="4" w:line="228" w:lineRule="exact"/>
              <w:ind w:right="105"/>
              <w:rPr>
                <w:sz w:val="20"/>
                <w:szCs w:val="20"/>
              </w:rPr>
            </w:pPr>
            <w:r>
              <w:rPr>
                <w:sz w:val="20"/>
                <w:szCs w:val="20"/>
              </w:rPr>
              <w:t>Results of sensitivity testing (e</w:t>
            </w:r>
            <w:r w:rsidR="0088667C">
              <w:rPr>
                <w:sz w:val="20"/>
                <w:szCs w:val="20"/>
              </w:rPr>
              <w:t>.</w:t>
            </w:r>
            <w:r>
              <w:rPr>
                <w:sz w:val="20"/>
                <w:szCs w:val="20"/>
              </w:rPr>
              <w:t>g</w:t>
            </w:r>
            <w:r w:rsidR="0088667C">
              <w:rPr>
                <w:sz w:val="20"/>
                <w:szCs w:val="20"/>
              </w:rPr>
              <w:t>.</w:t>
            </w:r>
            <w:r>
              <w:rPr>
                <w:sz w:val="20"/>
                <w:szCs w:val="20"/>
              </w:rPr>
              <w:t>, subgroup analysis)</w:t>
            </w:r>
          </w:p>
        </w:tc>
        <w:tc>
          <w:tcPr>
            <w:tcW w:w="1224" w:type="dxa"/>
            <w:tcBorders>
              <w:top w:val="single" w:sz="4" w:space="0" w:color="000000"/>
              <w:left w:val="single" w:sz="4" w:space="0" w:color="000000"/>
              <w:bottom w:val="single" w:sz="4" w:space="0" w:color="000000"/>
              <w:right w:val="single" w:sz="4" w:space="0" w:color="000000"/>
            </w:tcBorders>
            <w:vAlign w:val="center"/>
          </w:tcPr>
          <w:p w14:paraId="1E1E30CC" w14:textId="499CDCC6" w:rsidR="00243B7C" w:rsidRDefault="00243B7C" w:rsidP="00243B7C">
            <w:pPr>
              <w:pStyle w:val="TableParagraph"/>
              <w:kinsoku w:val="0"/>
              <w:overflowPunct w:val="0"/>
              <w:spacing w:before="114"/>
              <w:ind w:left="92" w:right="84"/>
              <w:jc w:val="center"/>
              <w:rPr>
                <w:sz w:val="20"/>
                <w:szCs w:val="20"/>
              </w:rPr>
            </w:pPr>
            <w:r>
              <w:rPr>
                <w:sz w:val="20"/>
                <w:szCs w:val="20"/>
              </w:rPr>
              <w:t>NA</w:t>
            </w:r>
          </w:p>
        </w:tc>
      </w:tr>
      <w:tr w:rsidR="00243B7C" w14:paraId="5D88F4DD" w14:textId="77777777" w:rsidTr="0042627A">
        <w:trPr>
          <w:trHeight w:val="348"/>
        </w:trPr>
        <w:tc>
          <w:tcPr>
            <w:tcW w:w="1066" w:type="dxa"/>
            <w:tcBorders>
              <w:top w:val="single" w:sz="4" w:space="0" w:color="000000"/>
              <w:left w:val="single" w:sz="4" w:space="0" w:color="000000"/>
              <w:bottom w:val="single" w:sz="4" w:space="0" w:color="000000"/>
              <w:right w:val="single" w:sz="4" w:space="0" w:color="000000"/>
            </w:tcBorders>
          </w:tcPr>
          <w:p w14:paraId="26B87C18" w14:textId="0A1D0B27" w:rsidR="00243B7C" w:rsidRDefault="00243B7C" w:rsidP="00243B7C">
            <w:pPr>
              <w:pStyle w:val="TableParagraph"/>
              <w:kinsoku w:val="0"/>
              <w:overflowPunct w:val="0"/>
              <w:spacing w:before="57"/>
              <w:ind w:left="142" w:right="138"/>
              <w:jc w:val="center"/>
              <w:rPr>
                <w:sz w:val="20"/>
                <w:szCs w:val="20"/>
              </w:rPr>
            </w:pPr>
            <w:r>
              <w:rPr>
                <w:sz w:val="20"/>
                <w:szCs w:val="20"/>
              </w:rPr>
              <w:t>28</w:t>
            </w:r>
          </w:p>
        </w:tc>
        <w:tc>
          <w:tcPr>
            <w:tcW w:w="6728" w:type="dxa"/>
            <w:tcBorders>
              <w:top w:val="single" w:sz="4" w:space="0" w:color="000000"/>
              <w:left w:val="single" w:sz="4" w:space="0" w:color="000000"/>
              <w:bottom w:val="single" w:sz="4" w:space="0" w:color="000000"/>
              <w:right w:val="single" w:sz="4" w:space="0" w:color="000000"/>
            </w:tcBorders>
          </w:tcPr>
          <w:p w14:paraId="0E7D7738" w14:textId="494B23C9" w:rsidR="00243B7C" w:rsidRDefault="00243B7C" w:rsidP="00243B7C">
            <w:pPr>
              <w:pStyle w:val="TableParagraph"/>
              <w:kinsoku w:val="0"/>
              <w:overflowPunct w:val="0"/>
              <w:spacing w:before="57"/>
              <w:rPr>
                <w:sz w:val="20"/>
                <w:szCs w:val="20"/>
              </w:rPr>
            </w:pPr>
            <w:r>
              <w:rPr>
                <w:sz w:val="20"/>
                <w:szCs w:val="20"/>
              </w:rPr>
              <w:t>Indication of statistical uncertainty of findings</w:t>
            </w:r>
          </w:p>
        </w:tc>
        <w:tc>
          <w:tcPr>
            <w:tcW w:w="1224" w:type="dxa"/>
            <w:tcBorders>
              <w:top w:val="single" w:sz="4" w:space="0" w:color="000000"/>
              <w:left w:val="single" w:sz="4" w:space="0" w:color="000000"/>
              <w:bottom w:val="single" w:sz="4" w:space="0" w:color="000000"/>
              <w:right w:val="single" w:sz="4" w:space="0" w:color="000000"/>
            </w:tcBorders>
            <w:vAlign w:val="center"/>
          </w:tcPr>
          <w:p w14:paraId="7E53524B" w14:textId="4B6BD971" w:rsidR="00243B7C" w:rsidRDefault="00C62FB6" w:rsidP="00B50631">
            <w:pPr>
              <w:pStyle w:val="TableParagraph"/>
              <w:kinsoku w:val="0"/>
              <w:overflowPunct w:val="0"/>
              <w:spacing w:before="57"/>
              <w:ind w:left="89" w:right="84"/>
              <w:jc w:val="center"/>
              <w:rPr>
                <w:sz w:val="20"/>
                <w:szCs w:val="20"/>
              </w:rPr>
            </w:pPr>
            <w:r>
              <w:rPr>
                <w:sz w:val="20"/>
                <w:szCs w:val="20"/>
              </w:rPr>
              <w:t>1</w:t>
            </w:r>
            <w:r w:rsidR="00B50631">
              <w:rPr>
                <w:sz w:val="20"/>
                <w:szCs w:val="20"/>
              </w:rPr>
              <w:t>2</w:t>
            </w:r>
            <w:r w:rsidR="00CA424B">
              <w:rPr>
                <w:sz w:val="20"/>
                <w:szCs w:val="20"/>
              </w:rPr>
              <w:t>-1</w:t>
            </w:r>
            <w:r w:rsidR="00B50631">
              <w:rPr>
                <w:sz w:val="20"/>
                <w:szCs w:val="20"/>
              </w:rPr>
              <w:t>4</w:t>
            </w:r>
          </w:p>
        </w:tc>
      </w:tr>
      <w:tr w:rsidR="00CD4C19" w14:paraId="6A849827" w14:textId="77777777" w:rsidTr="00CD4C19">
        <w:trPr>
          <w:trHeight w:val="369"/>
        </w:trPr>
        <w:tc>
          <w:tcPr>
            <w:tcW w:w="9018" w:type="dxa"/>
            <w:gridSpan w:val="3"/>
            <w:tcBorders>
              <w:top w:val="single" w:sz="4" w:space="0" w:color="000000"/>
              <w:left w:val="single" w:sz="4" w:space="0" w:color="000000"/>
              <w:bottom w:val="single" w:sz="4" w:space="0" w:color="000000"/>
              <w:right w:val="single" w:sz="4" w:space="0" w:color="000000"/>
            </w:tcBorders>
            <w:shd w:val="clear" w:color="auto" w:fill="F1F1F1"/>
          </w:tcPr>
          <w:p w14:paraId="6A26B898" w14:textId="5B385082" w:rsidR="00CD4C19" w:rsidRDefault="00CD4C19" w:rsidP="00243B7C">
            <w:pPr>
              <w:pStyle w:val="TableParagraph"/>
              <w:kinsoku w:val="0"/>
              <w:overflowPunct w:val="0"/>
              <w:spacing w:before="69"/>
              <w:rPr>
                <w:sz w:val="20"/>
                <w:szCs w:val="20"/>
              </w:rPr>
            </w:pPr>
            <w:r>
              <w:rPr>
                <w:sz w:val="20"/>
                <w:szCs w:val="20"/>
              </w:rPr>
              <w:t xml:space="preserve">Reporting of </w:t>
            </w:r>
            <w:r w:rsidR="00243B7C">
              <w:rPr>
                <w:sz w:val="20"/>
                <w:szCs w:val="20"/>
              </w:rPr>
              <w:t>discussion</w:t>
            </w:r>
            <w:r>
              <w:rPr>
                <w:sz w:val="20"/>
                <w:szCs w:val="20"/>
              </w:rPr>
              <w:t xml:space="preserve"> should include</w:t>
            </w:r>
          </w:p>
        </w:tc>
      </w:tr>
      <w:tr w:rsidR="00243B7C" w14:paraId="174F14F6" w14:textId="77777777" w:rsidTr="00243B7C">
        <w:trPr>
          <w:trHeight w:val="460"/>
        </w:trPr>
        <w:tc>
          <w:tcPr>
            <w:tcW w:w="1066" w:type="dxa"/>
            <w:tcBorders>
              <w:top w:val="single" w:sz="4" w:space="0" w:color="000000"/>
              <w:left w:val="single" w:sz="4" w:space="0" w:color="000000"/>
              <w:bottom w:val="single" w:sz="4" w:space="0" w:color="000000"/>
              <w:right w:val="single" w:sz="4" w:space="0" w:color="000000"/>
            </w:tcBorders>
            <w:vAlign w:val="center"/>
          </w:tcPr>
          <w:p w14:paraId="37DF8211" w14:textId="32F86E9E" w:rsidR="00243B7C" w:rsidRDefault="00243B7C" w:rsidP="00243B7C">
            <w:pPr>
              <w:pStyle w:val="TableParagraph"/>
              <w:kinsoku w:val="0"/>
              <w:overflowPunct w:val="0"/>
              <w:spacing w:before="114"/>
              <w:ind w:left="0"/>
              <w:jc w:val="center"/>
              <w:rPr>
                <w:sz w:val="20"/>
                <w:szCs w:val="20"/>
              </w:rPr>
            </w:pPr>
            <w:r>
              <w:rPr>
                <w:sz w:val="20"/>
                <w:szCs w:val="20"/>
              </w:rPr>
              <w:t>29</w:t>
            </w:r>
          </w:p>
        </w:tc>
        <w:tc>
          <w:tcPr>
            <w:tcW w:w="6728" w:type="dxa"/>
            <w:tcBorders>
              <w:top w:val="single" w:sz="4" w:space="0" w:color="000000"/>
              <w:left w:val="single" w:sz="4" w:space="0" w:color="000000"/>
              <w:bottom w:val="single" w:sz="4" w:space="0" w:color="000000"/>
              <w:right w:val="single" w:sz="4" w:space="0" w:color="000000"/>
            </w:tcBorders>
            <w:vAlign w:val="center"/>
          </w:tcPr>
          <w:p w14:paraId="148D8AD0" w14:textId="0A72AB9E" w:rsidR="00243B7C" w:rsidRDefault="00243B7C" w:rsidP="00243B7C">
            <w:pPr>
              <w:pStyle w:val="TableParagraph"/>
              <w:kinsoku w:val="0"/>
              <w:overflowPunct w:val="0"/>
              <w:spacing w:before="3" w:line="230" w:lineRule="exact"/>
              <w:ind w:left="0" w:firstLine="100"/>
              <w:rPr>
                <w:sz w:val="20"/>
                <w:szCs w:val="20"/>
              </w:rPr>
            </w:pPr>
            <w:r>
              <w:rPr>
                <w:sz w:val="20"/>
                <w:szCs w:val="20"/>
              </w:rPr>
              <w:t>Quantitative assessment of bias (e</w:t>
            </w:r>
            <w:r w:rsidR="0088667C">
              <w:rPr>
                <w:sz w:val="20"/>
                <w:szCs w:val="20"/>
              </w:rPr>
              <w:t>.</w:t>
            </w:r>
            <w:r>
              <w:rPr>
                <w:sz w:val="20"/>
                <w:szCs w:val="20"/>
              </w:rPr>
              <w:t>g</w:t>
            </w:r>
            <w:r w:rsidR="0088667C">
              <w:rPr>
                <w:sz w:val="20"/>
                <w:szCs w:val="20"/>
              </w:rPr>
              <w:t>.</w:t>
            </w:r>
            <w:r>
              <w:rPr>
                <w:sz w:val="20"/>
                <w:szCs w:val="20"/>
              </w:rPr>
              <w:t>, publication bias)</w:t>
            </w:r>
          </w:p>
        </w:tc>
        <w:tc>
          <w:tcPr>
            <w:tcW w:w="1224" w:type="dxa"/>
            <w:tcBorders>
              <w:top w:val="single" w:sz="4" w:space="0" w:color="000000"/>
              <w:left w:val="single" w:sz="4" w:space="0" w:color="000000"/>
              <w:bottom w:val="single" w:sz="4" w:space="0" w:color="000000"/>
              <w:right w:val="single" w:sz="4" w:space="0" w:color="000000"/>
            </w:tcBorders>
            <w:vAlign w:val="center"/>
          </w:tcPr>
          <w:p w14:paraId="15130FBA" w14:textId="3030A7E5" w:rsidR="00243B7C" w:rsidRDefault="00243B7C" w:rsidP="00243B7C">
            <w:pPr>
              <w:pStyle w:val="TableParagraph"/>
              <w:kinsoku w:val="0"/>
              <w:overflowPunct w:val="0"/>
              <w:spacing w:before="114"/>
              <w:ind w:left="89" w:right="84"/>
              <w:jc w:val="center"/>
              <w:rPr>
                <w:sz w:val="20"/>
                <w:szCs w:val="20"/>
              </w:rPr>
            </w:pPr>
            <w:r>
              <w:rPr>
                <w:sz w:val="20"/>
                <w:szCs w:val="20"/>
              </w:rPr>
              <w:t>NA</w:t>
            </w:r>
          </w:p>
        </w:tc>
      </w:tr>
      <w:tr w:rsidR="00243B7C" w14:paraId="01CE7D01" w14:textId="77777777" w:rsidTr="00CD4C19">
        <w:trPr>
          <w:trHeight w:val="344"/>
        </w:trPr>
        <w:tc>
          <w:tcPr>
            <w:tcW w:w="1066" w:type="dxa"/>
            <w:tcBorders>
              <w:top w:val="single" w:sz="4" w:space="0" w:color="000000"/>
              <w:left w:val="single" w:sz="4" w:space="0" w:color="000000"/>
              <w:bottom w:val="single" w:sz="6" w:space="0" w:color="000000"/>
              <w:right w:val="single" w:sz="4" w:space="0" w:color="000000"/>
            </w:tcBorders>
          </w:tcPr>
          <w:p w14:paraId="4FE3D24B" w14:textId="5347E2A6" w:rsidR="00243B7C" w:rsidRDefault="00243B7C" w:rsidP="00243B7C">
            <w:pPr>
              <w:pStyle w:val="TableParagraph"/>
              <w:kinsoku w:val="0"/>
              <w:overflowPunct w:val="0"/>
              <w:spacing w:before="57"/>
              <w:ind w:left="142" w:right="138"/>
              <w:jc w:val="center"/>
              <w:rPr>
                <w:sz w:val="20"/>
                <w:szCs w:val="20"/>
              </w:rPr>
            </w:pPr>
            <w:r>
              <w:rPr>
                <w:sz w:val="20"/>
                <w:szCs w:val="20"/>
              </w:rPr>
              <w:t>30</w:t>
            </w:r>
          </w:p>
        </w:tc>
        <w:tc>
          <w:tcPr>
            <w:tcW w:w="6728" w:type="dxa"/>
            <w:tcBorders>
              <w:top w:val="single" w:sz="4" w:space="0" w:color="000000"/>
              <w:left w:val="single" w:sz="4" w:space="0" w:color="000000"/>
              <w:bottom w:val="single" w:sz="6" w:space="0" w:color="000000"/>
              <w:right w:val="single" w:sz="4" w:space="0" w:color="000000"/>
            </w:tcBorders>
          </w:tcPr>
          <w:p w14:paraId="72077889" w14:textId="50AA1200" w:rsidR="00243B7C" w:rsidRDefault="00243B7C" w:rsidP="00243B7C">
            <w:pPr>
              <w:pStyle w:val="TableParagraph"/>
              <w:kinsoku w:val="0"/>
              <w:overflowPunct w:val="0"/>
              <w:spacing w:before="57"/>
              <w:rPr>
                <w:sz w:val="20"/>
                <w:szCs w:val="20"/>
              </w:rPr>
            </w:pPr>
            <w:r>
              <w:rPr>
                <w:sz w:val="20"/>
                <w:szCs w:val="20"/>
              </w:rPr>
              <w:t>Justification for exclusion (e</w:t>
            </w:r>
            <w:r w:rsidR="0088667C">
              <w:rPr>
                <w:sz w:val="20"/>
                <w:szCs w:val="20"/>
              </w:rPr>
              <w:t>.</w:t>
            </w:r>
            <w:r>
              <w:rPr>
                <w:sz w:val="20"/>
                <w:szCs w:val="20"/>
              </w:rPr>
              <w:t>g</w:t>
            </w:r>
            <w:r w:rsidR="0088667C">
              <w:rPr>
                <w:sz w:val="20"/>
                <w:szCs w:val="20"/>
              </w:rPr>
              <w:t>.</w:t>
            </w:r>
            <w:r>
              <w:rPr>
                <w:sz w:val="20"/>
                <w:szCs w:val="20"/>
              </w:rPr>
              <w:t>, exclusion of non-English language citations)</w:t>
            </w:r>
          </w:p>
        </w:tc>
        <w:tc>
          <w:tcPr>
            <w:tcW w:w="1224" w:type="dxa"/>
            <w:tcBorders>
              <w:top w:val="single" w:sz="4" w:space="0" w:color="000000"/>
              <w:left w:val="single" w:sz="4" w:space="0" w:color="000000"/>
              <w:bottom w:val="single" w:sz="6" w:space="0" w:color="000000"/>
              <w:right w:val="single" w:sz="4" w:space="0" w:color="000000"/>
            </w:tcBorders>
          </w:tcPr>
          <w:p w14:paraId="23A81230" w14:textId="4F70299D" w:rsidR="00243B7C" w:rsidRDefault="00243B7C" w:rsidP="00243B7C">
            <w:pPr>
              <w:pStyle w:val="TableParagraph"/>
              <w:kinsoku w:val="0"/>
              <w:overflowPunct w:val="0"/>
              <w:spacing w:before="57"/>
              <w:ind w:left="89" w:right="84"/>
              <w:jc w:val="center"/>
              <w:rPr>
                <w:sz w:val="20"/>
                <w:szCs w:val="20"/>
              </w:rPr>
            </w:pPr>
            <w:r>
              <w:rPr>
                <w:sz w:val="20"/>
                <w:szCs w:val="20"/>
              </w:rPr>
              <w:t>NA</w:t>
            </w:r>
          </w:p>
        </w:tc>
      </w:tr>
      <w:tr w:rsidR="00243B7C" w14:paraId="4C4DA37B" w14:textId="77777777" w:rsidTr="00CD4C19">
        <w:trPr>
          <w:trHeight w:val="347"/>
        </w:trPr>
        <w:tc>
          <w:tcPr>
            <w:tcW w:w="1066" w:type="dxa"/>
            <w:tcBorders>
              <w:top w:val="single" w:sz="6" w:space="0" w:color="000000"/>
              <w:left w:val="single" w:sz="4" w:space="0" w:color="000000"/>
              <w:bottom w:val="single" w:sz="4" w:space="0" w:color="000000"/>
              <w:right w:val="single" w:sz="4" w:space="0" w:color="000000"/>
            </w:tcBorders>
          </w:tcPr>
          <w:p w14:paraId="699E405D" w14:textId="2267AF22" w:rsidR="00243B7C" w:rsidRDefault="00243B7C" w:rsidP="00243B7C">
            <w:pPr>
              <w:pStyle w:val="TableParagraph"/>
              <w:kinsoku w:val="0"/>
              <w:overflowPunct w:val="0"/>
              <w:spacing w:before="57"/>
              <w:ind w:left="142" w:right="138"/>
              <w:jc w:val="center"/>
              <w:rPr>
                <w:sz w:val="20"/>
                <w:szCs w:val="20"/>
              </w:rPr>
            </w:pPr>
            <w:r>
              <w:rPr>
                <w:sz w:val="20"/>
                <w:szCs w:val="20"/>
              </w:rPr>
              <w:t>31</w:t>
            </w:r>
          </w:p>
        </w:tc>
        <w:tc>
          <w:tcPr>
            <w:tcW w:w="6728" w:type="dxa"/>
            <w:tcBorders>
              <w:top w:val="single" w:sz="6" w:space="0" w:color="000000"/>
              <w:left w:val="single" w:sz="4" w:space="0" w:color="000000"/>
              <w:bottom w:val="single" w:sz="4" w:space="0" w:color="000000"/>
              <w:right w:val="single" w:sz="4" w:space="0" w:color="000000"/>
            </w:tcBorders>
          </w:tcPr>
          <w:p w14:paraId="7718280B" w14:textId="3A9680AE" w:rsidR="00243B7C" w:rsidRDefault="00243B7C" w:rsidP="00243B7C">
            <w:pPr>
              <w:pStyle w:val="TableParagraph"/>
              <w:kinsoku w:val="0"/>
              <w:overflowPunct w:val="0"/>
              <w:spacing w:before="57"/>
              <w:rPr>
                <w:sz w:val="20"/>
                <w:szCs w:val="20"/>
              </w:rPr>
            </w:pPr>
            <w:r>
              <w:rPr>
                <w:sz w:val="20"/>
                <w:szCs w:val="20"/>
              </w:rPr>
              <w:t>Assessment of quality of included studies</w:t>
            </w:r>
          </w:p>
        </w:tc>
        <w:tc>
          <w:tcPr>
            <w:tcW w:w="1224" w:type="dxa"/>
            <w:tcBorders>
              <w:top w:val="single" w:sz="6" w:space="0" w:color="000000"/>
              <w:left w:val="single" w:sz="4" w:space="0" w:color="000000"/>
              <w:bottom w:val="single" w:sz="4" w:space="0" w:color="000000"/>
              <w:right w:val="single" w:sz="4" w:space="0" w:color="000000"/>
            </w:tcBorders>
          </w:tcPr>
          <w:p w14:paraId="74C5334A" w14:textId="6F90F1E6" w:rsidR="00243B7C" w:rsidRDefault="00243B7C" w:rsidP="00243B7C">
            <w:pPr>
              <w:pStyle w:val="TableParagraph"/>
              <w:kinsoku w:val="0"/>
              <w:overflowPunct w:val="0"/>
              <w:spacing w:before="57"/>
              <w:ind w:left="89" w:right="84"/>
              <w:jc w:val="center"/>
              <w:rPr>
                <w:sz w:val="20"/>
                <w:szCs w:val="20"/>
              </w:rPr>
            </w:pPr>
            <w:r>
              <w:rPr>
                <w:sz w:val="20"/>
                <w:szCs w:val="20"/>
              </w:rPr>
              <w:t>NA</w:t>
            </w:r>
          </w:p>
        </w:tc>
      </w:tr>
      <w:tr w:rsidR="00CD4C19" w14:paraId="0D4E9C28" w14:textId="77777777" w:rsidTr="0042627A">
        <w:trPr>
          <w:trHeight w:val="369"/>
        </w:trPr>
        <w:tc>
          <w:tcPr>
            <w:tcW w:w="9018" w:type="dxa"/>
            <w:gridSpan w:val="3"/>
            <w:tcBorders>
              <w:top w:val="single" w:sz="4" w:space="0" w:color="000000"/>
              <w:left w:val="single" w:sz="4" w:space="0" w:color="000000"/>
              <w:bottom w:val="single" w:sz="4" w:space="0" w:color="000000"/>
              <w:right w:val="single" w:sz="4" w:space="0" w:color="000000"/>
            </w:tcBorders>
            <w:shd w:val="clear" w:color="auto" w:fill="F1F1F1"/>
          </w:tcPr>
          <w:p w14:paraId="614ACAB0" w14:textId="77777777" w:rsidR="00CD4C19" w:rsidRDefault="00CD4C19" w:rsidP="0042627A">
            <w:pPr>
              <w:pStyle w:val="TableParagraph"/>
              <w:kinsoku w:val="0"/>
              <w:overflowPunct w:val="0"/>
              <w:spacing w:before="69"/>
              <w:rPr>
                <w:sz w:val="20"/>
                <w:szCs w:val="20"/>
              </w:rPr>
            </w:pPr>
            <w:r>
              <w:rPr>
                <w:sz w:val="20"/>
                <w:szCs w:val="20"/>
              </w:rPr>
              <w:t>Reporting of conclusions should include</w:t>
            </w:r>
          </w:p>
        </w:tc>
      </w:tr>
      <w:tr w:rsidR="00CD4C19" w14:paraId="43B2C202" w14:textId="77777777" w:rsidTr="0042627A">
        <w:trPr>
          <w:trHeight w:val="350"/>
        </w:trPr>
        <w:tc>
          <w:tcPr>
            <w:tcW w:w="1066" w:type="dxa"/>
            <w:tcBorders>
              <w:top w:val="single" w:sz="4" w:space="0" w:color="000000"/>
              <w:left w:val="single" w:sz="4" w:space="0" w:color="000000"/>
              <w:bottom w:val="single" w:sz="4" w:space="0" w:color="000000"/>
              <w:right w:val="single" w:sz="4" w:space="0" w:color="000000"/>
            </w:tcBorders>
          </w:tcPr>
          <w:p w14:paraId="1BC95252" w14:textId="77777777" w:rsidR="00CD4C19" w:rsidRDefault="00CD4C19" w:rsidP="0042627A">
            <w:pPr>
              <w:pStyle w:val="TableParagraph"/>
              <w:kinsoku w:val="0"/>
              <w:overflowPunct w:val="0"/>
              <w:spacing w:before="59"/>
              <w:ind w:left="142" w:right="138"/>
              <w:jc w:val="center"/>
              <w:rPr>
                <w:sz w:val="20"/>
                <w:szCs w:val="20"/>
              </w:rPr>
            </w:pPr>
            <w:r>
              <w:rPr>
                <w:sz w:val="20"/>
                <w:szCs w:val="20"/>
              </w:rPr>
              <w:t>32</w:t>
            </w:r>
          </w:p>
        </w:tc>
        <w:tc>
          <w:tcPr>
            <w:tcW w:w="6728" w:type="dxa"/>
            <w:tcBorders>
              <w:top w:val="single" w:sz="4" w:space="0" w:color="000000"/>
              <w:left w:val="single" w:sz="4" w:space="0" w:color="000000"/>
              <w:bottom w:val="single" w:sz="4" w:space="0" w:color="000000"/>
              <w:right w:val="single" w:sz="4" w:space="0" w:color="000000"/>
            </w:tcBorders>
          </w:tcPr>
          <w:p w14:paraId="1567D893" w14:textId="77777777" w:rsidR="00CD4C19" w:rsidRDefault="00CD4C19" w:rsidP="0042627A">
            <w:pPr>
              <w:pStyle w:val="TableParagraph"/>
              <w:kinsoku w:val="0"/>
              <w:overflowPunct w:val="0"/>
              <w:spacing w:before="59"/>
              <w:rPr>
                <w:sz w:val="20"/>
                <w:szCs w:val="20"/>
              </w:rPr>
            </w:pPr>
            <w:r>
              <w:rPr>
                <w:sz w:val="20"/>
                <w:szCs w:val="20"/>
              </w:rPr>
              <w:t>Consideration of alternative explanations for observed results</w:t>
            </w:r>
          </w:p>
        </w:tc>
        <w:tc>
          <w:tcPr>
            <w:tcW w:w="1224" w:type="dxa"/>
            <w:tcBorders>
              <w:top w:val="single" w:sz="4" w:space="0" w:color="000000"/>
              <w:left w:val="single" w:sz="4" w:space="0" w:color="000000"/>
              <w:bottom w:val="single" w:sz="4" w:space="0" w:color="000000"/>
              <w:right w:val="single" w:sz="4" w:space="0" w:color="000000"/>
            </w:tcBorders>
          </w:tcPr>
          <w:p w14:paraId="4BEC4F80" w14:textId="6A0F6B71" w:rsidR="00CD4C19" w:rsidRDefault="00B50631" w:rsidP="00B50631">
            <w:pPr>
              <w:pStyle w:val="TableParagraph"/>
              <w:kinsoku w:val="0"/>
              <w:overflowPunct w:val="0"/>
              <w:spacing w:before="59"/>
              <w:ind w:left="89" w:right="84"/>
              <w:jc w:val="center"/>
              <w:rPr>
                <w:sz w:val="20"/>
                <w:szCs w:val="20"/>
              </w:rPr>
            </w:pPr>
            <w:r>
              <w:rPr>
                <w:sz w:val="20"/>
                <w:szCs w:val="20"/>
              </w:rPr>
              <w:t>15</w:t>
            </w:r>
            <w:r w:rsidR="00CA424B">
              <w:rPr>
                <w:sz w:val="20"/>
                <w:szCs w:val="20"/>
              </w:rPr>
              <w:t>-1</w:t>
            </w:r>
            <w:r>
              <w:rPr>
                <w:sz w:val="20"/>
                <w:szCs w:val="20"/>
              </w:rPr>
              <w:t>7</w:t>
            </w:r>
          </w:p>
        </w:tc>
      </w:tr>
      <w:tr w:rsidR="00CD4C19" w14:paraId="5AEA2191" w14:textId="77777777" w:rsidTr="0042627A">
        <w:trPr>
          <w:trHeight w:val="460"/>
        </w:trPr>
        <w:tc>
          <w:tcPr>
            <w:tcW w:w="1066" w:type="dxa"/>
            <w:tcBorders>
              <w:top w:val="single" w:sz="4" w:space="0" w:color="000000"/>
              <w:left w:val="single" w:sz="4" w:space="0" w:color="000000"/>
              <w:bottom w:val="single" w:sz="4" w:space="0" w:color="000000"/>
              <w:right w:val="single" w:sz="4" w:space="0" w:color="000000"/>
            </w:tcBorders>
          </w:tcPr>
          <w:p w14:paraId="3BC99EC5" w14:textId="77777777" w:rsidR="00CD4C19" w:rsidRDefault="00CD4C19" w:rsidP="0042627A">
            <w:pPr>
              <w:pStyle w:val="TableParagraph"/>
              <w:kinsoku w:val="0"/>
              <w:overflowPunct w:val="0"/>
              <w:spacing w:before="114"/>
              <w:ind w:left="142" w:right="138"/>
              <w:jc w:val="center"/>
              <w:rPr>
                <w:sz w:val="20"/>
                <w:szCs w:val="20"/>
              </w:rPr>
            </w:pPr>
            <w:r>
              <w:rPr>
                <w:sz w:val="20"/>
                <w:szCs w:val="20"/>
              </w:rPr>
              <w:t>33</w:t>
            </w:r>
          </w:p>
        </w:tc>
        <w:tc>
          <w:tcPr>
            <w:tcW w:w="6728" w:type="dxa"/>
            <w:tcBorders>
              <w:top w:val="single" w:sz="4" w:space="0" w:color="000000"/>
              <w:left w:val="single" w:sz="4" w:space="0" w:color="000000"/>
              <w:bottom w:val="single" w:sz="4" w:space="0" w:color="000000"/>
              <w:right w:val="single" w:sz="4" w:space="0" w:color="000000"/>
            </w:tcBorders>
          </w:tcPr>
          <w:p w14:paraId="40DCAF74" w14:textId="2BD42A47" w:rsidR="00CD4C19" w:rsidRDefault="00CD4C19" w:rsidP="0042627A">
            <w:pPr>
              <w:pStyle w:val="TableParagraph"/>
              <w:kinsoku w:val="0"/>
              <w:overflowPunct w:val="0"/>
              <w:spacing w:before="3" w:line="230" w:lineRule="exact"/>
              <w:rPr>
                <w:sz w:val="20"/>
                <w:szCs w:val="20"/>
              </w:rPr>
            </w:pPr>
            <w:r>
              <w:rPr>
                <w:sz w:val="20"/>
                <w:szCs w:val="20"/>
              </w:rPr>
              <w:t>Generalization of the conclusions (i</w:t>
            </w:r>
            <w:r w:rsidR="0088667C">
              <w:rPr>
                <w:sz w:val="20"/>
                <w:szCs w:val="20"/>
              </w:rPr>
              <w:t>.</w:t>
            </w:r>
            <w:r>
              <w:rPr>
                <w:sz w:val="20"/>
                <w:szCs w:val="20"/>
              </w:rPr>
              <w:t>e</w:t>
            </w:r>
            <w:r w:rsidR="0088667C">
              <w:rPr>
                <w:sz w:val="20"/>
                <w:szCs w:val="20"/>
              </w:rPr>
              <w:t>.</w:t>
            </w:r>
            <w:r>
              <w:rPr>
                <w:sz w:val="20"/>
                <w:szCs w:val="20"/>
              </w:rPr>
              <w:t>, appropriate for the data presented and within the domain of the literature review)</w:t>
            </w:r>
          </w:p>
        </w:tc>
        <w:tc>
          <w:tcPr>
            <w:tcW w:w="1224" w:type="dxa"/>
            <w:tcBorders>
              <w:top w:val="single" w:sz="4" w:space="0" w:color="000000"/>
              <w:left w:val="single" w:sz="4" w:space="0" w:color="000000"/>
              <w:bottom w:val="single" w:sz="4" w:space="0" w:color="000000"/>
              <w:right w:val="single" w:sz="4" w:space="0" w:color="000000"/>
            </w:tcBorders>
          </w:tcPr>
          <w:p w14:paraId="6D43BE58" w14:textId="695AEB1F" w:rsidR="00CD4C19" w:rsidRDefault="00C62FB6" w:rsidP="00B50631">
            <w:pPr>
              <w:pStyle w:val="TableParagraph"/>
              <w:kinsoku w:val="0"/>
              <w:overflowPunct w:val="0"/>
              <w:spacing w:before="114"/>
              <w:ind w:left="89" w:right="84"/>
              <w:jc w:val="center"/>
              <w:rPr>
                <w:sz w:val="20"/>
                <w:szCs w:val="20"/>
              </w:rPr>
            </w:pPr>
            <w:r>
              <w:rPr>
                <w:sz w:val="20"/>
                <w:szCs w:val="20"/>
              </w:rPr>
              <w:t>1</w:t>
            </w:r>
            <w:r w:rsidR="00B50631">
              <w:rPr>
                <w:sz w:val="20"/>
                <w:szCs w:val="20"/>
              </w:rPr>
              <w:t>5</w:t>
            </w:r>
            <w:r w:rsidR="00CA424B">
              <w:rPr>
                <w:sz w:val="20"/>
                <w:szCs w:val="20"/>
              </w:rPr>
              <w:t>-1</w:t>
            </w:r>
            <w:r w:rsidR="00B50631">
              <w:rPr>
                <w:sz w:val="20"/>
                <w:szCs w:val="20"/>
              </w:rPr>
              <w:t>7</w:t>
            </w:r>
          </w:p>
        </w:tc>
      </w:tr>
      <w:tr w:rsidR="00CD4C19" w14:paraId="720EE238" w14:textId="77777777" w:rsidTr="0042627A">
        <w:trPr>
          <w:trHeight w:val="344"/>
        </w:trPr>
        <w:tc>
          <w:tcPr>
            <w:tcW w:w="1066" w:type="dxa"/>
            <w:tcBorders>
              <w:top w:val="single" w:sz="4" w:space="0" w:color="000000"/>
              <w:left w:val="single" w:sz="4" w:space="0" w:color="000000"/>
              <w:bottom w:val="single" w:sz="6" w:space="0" w:color="000000"/>
              <w:right w:val="single" w:sz="4" w:space="0" w:color="000000"/>
            </w:tcBorders>
          </w:tcPr>
          <w:p w14:paraId="63168B38" w14:textId="77777777" w:rsidR="00CD4C19" w:rsidRDefault="00CD4C19" w:rsidP="0042627A">
            <w:pPr>
              <w:pStyle w:val="TableParagraph"/>
              <w:kinsoku w:val="0"/>
              <w:overflowPunct w:val="0"/>
              <w:spacing w:before="57"/>
              <w:ind w:left="142" w:right="138"/>
              <w:jc w:val="center"/>
              <w:rPr>
                <w:sz w:val="20"/>
                <w:szCs w:val="20"/>
              </w:rPr>
            </w:pPr>
            <w:r>
              <w:rPr>
                <w:sz w:val="20"/>
                <w:szCs w:val="20"/>
              </w:rPr>
              <w:t>34</w:t>
            </w:r>
          </w:p>
        </w:tc>
        <w:tc>
          <w:tcPr>
            <w:tcW w:w="6728" w:type="dxa"/>
            <w:tcBorders>
              <w:top w:val="single" w:sz="4" w:space="0" w:color="000000"/>
              <w:left w:val="single" w:sz="4" w:space="0" w:color="000000"/>
              <w:bottom w:val="single" w:sz="6" w:space="0" w:color="000000"/>
              <w:right w:val="single" w:sz="4" w:space="0" w:color="000000"/>
            </w:tcBorders>
          </w:tcPr>
          <w:p w14:paraId="72E7D17C" w14:textId="77777777" w:rsidR="00CD4C19" w:rsidRDefault="00CD4C19" w:rsidP="0042627A">
            <w:pPr>
              <w:pStyle w:val="TableParagraph"/>
              <w:kinsoku w:val="0"/>
              <w:overflowPunct w:val="0"/>
              <w:spacing w:before="57"/>
              <w:rPr>
                <w:sz w:val="20"/>
                <w:szCs w:val="20"/>
              </w:rPr>
            </w:pPr>
            <w:r>
              <w:rPr>
                <w:sz w:val="20"/>
                <w:szCs w:val="20"/>
              </w:rPr>
              <w:t>Guidelines for future research</w:t>
            </w:r>
          </w:p>
        </w:tc>
        <w:tc>
          <w:tcPr>
            <w:tcW w:w="1224" w:type="dxa"/>
            <w:tcBorders>
              <w:top w:val="single" w:sz="4" w:space="0" w:color="000000"/>
              <w:left w:val="single" w:sz="4" w:space="0" w:color="000000"/>
              <w:bottom w:val="single" w:sz="6" w:space="0" w:color="000000"/>
              <w:right w:val="single" w:sz="4" w:space="0" w:color="000000"/>
            </w:tcBorders>
          </w:tcPr>
          <w:p w14:paraId="425C82B3" w14:textId="1F8F9329" w:rsidR="00CD4C19" w:rsidRDefault="00B50631" w:rsidP="0042627A">
            <w:pPr>
              <w:pStyle w:val="TableParagraph"/>
              <w:kinsoku w:val="0"/>
              <w:overflowPunct w:val="0"/>
              <w:spacing w:before="57"/>
              <w:ind w:left="89" w:right="84"/>
              <w:jc w:val="center"/>
              <w:rPr>
                <w:sz w:val="20"/>
                <w:szCs w:val="20"/>
              </w:rPr>
            </w:pPr>
            <w:r>
              <w:rPr>
                <w:sz w:val="20"/>
                <w:szCs w:val="20"/>
              </w:rPr>
              <w:t>NA</w:t>
            </w:r>
          </w:p>
        </w:tc>
      </w:tr>
      <w:tr w:rsidR="00CD4C19" w14:paraId="3D2DF310" w14:textId="77777777" w:rsidTr="0042627A">
        <w:trPr>
          <w:trHeight w:val="347"/>
        </w:trPr>
        <w:tc>
          <w:tcPr>
            <w:tcW w:w="1066" w:type="dxa"/>
            <w:tcBorders>
              <w:top w:val="single" w:sz="6" w:space="0" w:color="000000"/>
              <w:left w:val="single" w:sz="4" w:space="0" w:color="000000"/>
              <w:bottom w:val="single" w:sz="4" w:space="0" w:color="000000"/>
              <w:right w:val="single" w:sz="4" w:space="0" w:color="000000"/>
            </w:tcBorders>
          </w:tcPr>
          <w:p w14:paraId="40096C57" w14:textId="77777777" w:rsidR="00CD4C19" w:rsidRDefault="00CD4C19" w:rsidP="0042627A">
            <w:pPr>
              <w:pStyle w:val="TableParagraph"/>
              <w:kinsoku w:val="0"/>
              <w:overflowPunct w:val="0"/>
              <w:spacing w:before="57"/>
              <w:ind w:left="142" w:right="138"/>
              <w:jc w:val="center"/>
              <w:rPr>
                <w:sz w:val="20"/>
                <w:szCs w:val="20"/>
              </w:rPr>
            </w:pPr>
            <w:r>
              <w:rPr>
                <w:sz w:val="20"/>
                <w:szCs w:val="20"/>
              </w:rPr>
              <w:t>35</w:t>
            </w:r>
          </w:p>
        </w:tc>
        <w:tc>
          <w:tcPr>
            <w:tcW w:w="6728" w:type="dxa"/>
            <w:tcBorders>
              <w:top w:val="single" w:sz="6" w:space="0" w:color="000000"/>
              <w:left w:val="single" w:sz="4" w:space="0" w:color="000000"/>
              <w:bottom w:val="single" w:sz="4" w:space="0" w:color="000000"/>
              <w:right w:val="single" w:sz="4" w:space="0" w:color="000000"/>
            </w:tcBorders>
          </w:tcPr>
          <w:p w14:paraId="448E11F5" w14:textId="77777777" w:rsidR="00CD4C19" w:rsidRDefault="00CD4C19" w:rsidP="0042627A">
            <w:pPr>
              <w:pStyle w:val="TableParagraph"/>
              <w:kinsoku w:val="0"/>
              <w:overflowPunct w:val="0"/>
              <w:spacing w:before="57"/>
              <w:rPr>
                <w:sz w:val="20"/>
                <w:szCs w:val="20"/>
              </w:rPr>
            </w:pPr>
            <w:r>
              <w:rPr>
                <w:sz w:val="20"/>
                <w:szCs w:val="20"/>
              </w:rPr>
              <w:t>Disclosure of funding source</w:t>
            </w:r>
          </w:p>
        </w:tc>
        <w:tc>
          <w:tcPr>
            <w:tcW w:w="1224" w:type="dxa"/>
            <w:tcBorders>
              <w:top w:val="single" w:sz="6" w:space="0" w:color="000000"/>
              <w:left w:val="single" w:sz="4" w:space="0" w:color="000000"/>
              <w:bottom w:val="single" w:sz="4" w:space="0" w:color="000000"/>
              <w:right w:val="single" w:sz="4" w:space="0" w:color="000000"/>
            </w:tcBorders>
          </w:tcPr>
          <w:p w14:paraId="1953C15E" w14:textId="43FC8D0E" w:rsidR="00CD4C19" w:rsidRDefault="00B50631" w:rsidP="0042627A">
            <w:pPr>
              <w:pStyle w:val="TableParagraph"/>
              <w:kinsoku w:val="0"/>
              <w:overflowPunct w:val="0"/>
              <w:spacing w:before="57"/>
              <w:ind w:left="89" w:right="84"/>
              <w:jc w:val="center"/>
              <w:rPr>
                <w:sz w:val="20"/>
                <w:szCs w:val="20"/>
              </w:rPr>
            </w:pPr>
            <w:r>
              <w:rPr>
                <w:sz w:val="20"/>
                <w:szCs w:val="20"/>
              </w:rPr>
              <w:t>19</w:t>
            </w:r>
          </w:p>
        </w:tc>
      </w:tr>
    </w:tbl>
    <w:p w14:paraId="1B6E4D9D" w14:textId="77777777" w:rsidR="00243B7C" w:rsidRDefault="00243B7C" w:rsidP="00243B7C">
      <w:pPr>
        <w:wordWrap/>
        <w:adjustRightInd w:val="0"/>
        <w:spacing w:after="0" w:line="240" w:lineRule="auto"/>
        <w:jc w:val="left"/>
        <w:rPr>
          <w:rFonts w:ascii="Arial" w:hAnsi="Arial" w:cs="Arial"/>
          <w:i/>
          <w:iCs/>
          <w:color w:val="000000"/>
          <w:kern w:val="0"/>
          <w:szCs w:val="20"/>
        </w:rPr>
      </w:pPr>
    </w:p>
    <w:p w14:paraId="0C2E4492" w14:textId="0DB6086F" w:rsidR="00243B7C" w:rsidRPr="00243B7C" w:rsidRDefault="00243B7C" w:rsidP="00243B7C">
      <w:pPr>
        <w:wordWrap/>
        <w:adjustRightInd w:val="0"/>
        <w:spacing w:after="0" w:line="240" w:lineRule="auto"/>
        <w:ind w:left="284"/>
        <w:jc w:val="left"/>
        <w:rPr>
          <w:rFonts w:ascii="Arial" w:hAnsi="Arial" w:cs="Arial"/>
          <w:color w:val="000000"/>
          <w:kern w:val="0"/>
          <w:szCs w:val="20"/>
        </w:rPr>
      </w:pPr>
      <w:r w:rsidRPr="00243B7C">
        <w:rPr>
          <w:rFonts w:ascii="Arial" w:hAnsi="Arial" w:cs="Arial"/>
          <w:i/>
          <w:iCs/>
          <w:color w:val="000000"/>
          <w:kern w:val="0"/>
          <w:szCs w:val="20"/>
        </w:rPr>
        <w:t>From</w:t>
      </w:r>
      <w:r w:rsidRPr="00243B7C">
        <w:rPr>
          <w:rFonts w:ascii="Arial" w:hAnsi="Arial" w:cs="Arial"/>
          <w:color w:val="000000"/>
          <w:kern w:val="0"/>
          <w:szCs w:val="20"/>
        </w:rPr>
        <w:t xml:space="preserve">: Stroup DF, Berlin JA, Morton SC, et al, for the </w:t>
      </w:r>
      <w:proofErr w:type="spellStart"/>
      <w:r w:rsidRPr="00243B7C">
        <w:rPr>
          <w:rFonts w:ascii="Arial" w:hAnsi="Arial" w:cs="Arial"/>
          <w:color w:val="000000"/>
          <w:kern w:val="0"/>
          <w:szCs w:val="20"/>
        </w:rPr>
        <w:t>Meta-</w:t>
      </w:r>
      <w:proofErr w:type="gramStart"/>
      <w:r w:rsidRPr="00243B7C">
        <w:rPr>
          <w:rFonts w:ascii="Arial" w:hAnsi="Arial" w:cs="Arial"/>
          <w:color w:val="000000"/>
          <w:kern w:val="0"/>
          <w:szCs w:val="20"/>
        </w:rPr>
        <w:t>analysis</w:t>
      </w:r>
      <w:proofErr w:type="spellEnd"/>
      <w:proofErr w:type="gramEnd"/>
      <w:r w:rsidRPr="00243B7C">
        <w:rPr>
          <w:rFonts w:ascii="Arial" w:hAnsi="Arial" w:cs="Arial"/>
          <w:color w:val="000000"/>
          <w:kern w:val="0"/>
          <w:szCs w:val="20"/>
        </w:rPr>
        <w:t xml:space="preserve"> Of Observational Studies in Epidemiology (MOOSE) Group. </w:t>
      </w:r>
      <w:proofErr w:type="spellStart"/>
      <w:r w:rsidRPr="00243B7C">
        <w:rPr>
          <w:rFonts w:ascii="Arial" w:hAnsi="Arial" w:cs="Arial"/>
          <w:color w:val="000000"/>
          <w:kern w:val="0"/>
          <w:szCs w:val="20"/>
        </w:rPr>
        <w:t>Meta-analysis</w:t>
      </w:r>
      <w:proofErr w:type="spellEnd"/>
      <w:r w:rsidRPr="00243B7C">
        <w:rPr>
          <w:rFonts w:ascii="Arial" w:hAnsi="Arial" w:cs="Arial"/>
          <w:color w:val="000000"/>
          <w:kern w:val="0"/>
          <w:szCs w:val="20"/>
        </w:rPr>
        <w:t xml:space="preserve"> of Observational Studies in Epidemiology. A Proposal for Reporting. </w:t>
      </w:r>
      <w:r w:rsidRPr="00243B7C">
        <w:rPr>
          <w:rFonts w:ascii="Arial" w:hAnsi="Arial" w:cs="Arial"/>
          <w:i/>
          <w:iCs/>
          <w:color w:val="000000"/>
          <w:kern w:val="0"/>
          <w:szCs w:val="20"/>
        </w:rPr>
        <w:t>JAMA</w:t>
      </w:r>
      <w:r w:rsidRPr="00243B7C">
        <w:rPr>
          <w:rFonts w:ascii="Arial" w:hAnsi="Arial" w:cs="Arial"/>
          <w:color w:val="000000"/>
          <w:kern w:val="0"/>
          <w:szCs w:val="20"/>
        </w:rPr>
        <w:t xml:space="preserve">. 2000;283(15):2008-2012. </w:t>
      </w:r>
      <w:proofErr w:type="spellStart"/>
      <w:r w:rsidRPr="00243B7C">
        <w:rPr>
          <w:rFonts w:ascii="Arial" w:hAnsi="Arial" w:cs="Arial"/>
          <w:color w:val="000000"/>
          <w:kern w:val="0"/>
          <w:szCs w:val="20"/>
        </w:rPr>
        <w:t>doi</w:t>
      </w:r>
      <w:proofErr w:type="spellEnd"/>
      <w:r w:rsidRPr="00243B7C">
        <w:rPr>
          <w:rFonts w:ascii="Arial" w:hAnsi="Arial" w:cs="Arial"/>
          <w:color w:val="000000"/>
          <w:kern w:val="0"/>
          <w:szCs w:val="20"/>
        </w:rPr>
        <w:t xml:space="preserve">: 10.1001/jama.283.15.2008. </w:t>
      </w:r>
    </w:p>
    <w:p w14:paraId="7ED21870" w14:textId="77777777" w:rsidR="00243B7C" w:rsidRDefault="00243B7C" w:rsidP="00243B7C">
      <w:pPr>
        <w:widowControl/>
        <w:wordWrap/>
        <w:autoSpaceDE/>
        <w:autoSpaceDN/>
        <w:ind w:left="284"/>
        <w:rPr>
          <w:rFonts w:ascii="Arial" w:hAnsi="Arial" w:cs="Arial"/>
          <w:color w:val="000000"/>
          <w:kern w:val="0"/>
          <w:szCs w:val="20"/>
        </w:rPr>
      </w:pPr>
    </w:p>
    <w:p w14:paraId="42631327" w14:textId="306070BF" w:rsidR="00FC3A79" w:rsidRDefault="00243B7C" w:rsidP="00243B7C">
      <w:pPr>
        <w:widowControl/>
        <w:wordWrap/>
        <w:autoSpaceDE/>
        <w:autoSpaceDN/>
        <w:ind w:left="284"/>
        <w:rPr>
          <w:noProof/>
        </w:rPr>
      </w:pPr>
      <w:r w:rsidRPr="00243B7C">
        <w:rPr>
          <w:rFonts w:ascii="Arial" w:hAnsi="Arial" w:cs="Arial"/>
          <w:color w:val="000000"/>
          <w:kern w:val="0"/>
          <w:szCs w:val="20"/>
        </w:rPr>
        <w:t xml:space="preserve">Transcribed from the original paper within the NEUROSURGERY® Editorial Office, Atlanta, GA, United Sates. August 2012. </w:t>
      </w:r>
      <w:r w:rsidR="00FC3A79">
        <w:rPr>
          <w:noProof/>
        </w:rPr>
        <w:br w:type="page"/>
      </w:r>
    </w:p>
    <w:p w14:paraId="0A7BC256" w14:textId="77777777" w:rsidR="00E72CB1" w:rsidRDefault="00E72CB1">
      <w:pPr>
        <w:widowControl/>
        <w:wordWrap/>
        <w:autoSpaceDE/>
        <w:autoSpaceDN/>
        <w:rPr>
          <w:noProof/>
        </w:rPr>
      </w:pPr>
    </w:p>
    <w:p w14:paraId="5B2DCBCA" w14:textId="38D444E0" w:rsidR="0054021A" w:rsidRDefault="0054021A" w:rsidP="00EC3E31">
      <w:pPr>
        <w:widowControl/>
        <w:wordWrap/>
        <w:autoSpaceDE/>
        <w:autoSpaceDN/>
        <w:spacing w:after="0" w:line="276" w:lineRule="auto"/>
        <w:jc w:val="center"/>
        <w:rPr>
          <w:rFonts w:ascii="Times New Roman" w:hAnsi="Times New Roman" w:cs="Times New Roman"/>
          <w:b/>
          <w:szCs w:val="24"/>
        </w:rPr>
      </w:pPr>
      <w:r>
        <w:rPr>
          <w:noProof/>
        </w:rPr>
        <w:drawing>
          <wp:inline distT="0" distB="0" distL="0" distR="0" wp14:anchorId="2C2D0B28" wp14:editId="54848DA2">
            <wp:extent cx="5482770" cy="8636000"/>
            <wp:effectExtent l="0" t="0" r="381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7843" cy="8643991"/>
                    </a:xfrm>
                    <a:prstGeom prst="rect">
                      <a:avLst/>
                    </a:prstGeom>
                  </pic:spPr>
                </pic:pic>
              </a:graphicData>
            </a:graphic>
          </wp:inline>
        </w:drawing>
      </w:r>
    </w:p>
    <w:p w14:paraId="3635C70D" w14:textId="61152B62" w:rsidR="008662B2" w:rsidRDefault="00D46A70" w:rsidP="00A740AB">
      <w:pPr>
        <w:widowControl/>
        <w:wordWrap/>
        <w:autoSpaceDE/>
        <w:autoSpaceDN/>
        <w:spacing w:after="0" w:line="276" w:lineRule="auto"/>
        <w:jc w:val="left"/>
        <w:rPr>
          <w:rFonts w:ascii="Times New Roman" w:eastAsia="맑은 고딕" w:hAnsi="Times New Roman" w:cs="Times New Roman"/>
          <w:b/>
          <w:szCs w:val="24"/>
        </w:rPr>
      </w:pPr>
      <w:r w:rsidRPr="00D46A70">
        <w:rPr>
          <w:rFonts w:ascii="Times New Roman" w:hAnsi="Times New Roman" w:cs="Times New Roman"/>
          <w:b/>
          <w:szCs w:val="24"/>
        </w:rPr>
        <w:t xml:space="preserve">Supplementary </w:t>
      </w:r>
      <w:r w:rsidR="0089661C">
        <w:rPr>
          <w:rFonts w:ascii="Times New Roman" w:hAnsi="Times New Roman" w:cs="Times New Roman"/>
          <w:b/>
          <w:szCs w:val="24"/>
        </w:rPr>
        <w:t>F</w:t>
      </w:r>
      <w:r w:rsidR="008662B2">
        <w:rPr>
          <w:rFonts w:ascii="Times New Roman" w:hAnsi="Times New Roman" w:cs="Times New Roman"/>
          <w:b/>
          <w:szCs w:val="24"/>
        </w:rPr>
        <w:t xml:space="preserve">igure 1. Forest plot of </w:t>
      </w:r>
      <w:r w:rsidR="00236992">
        <w:rPr>
          <w:rFonts w:ascii="Times New Roman" w:hAnsi="Times New Roman" w:cs="Times New Roman"/>
          <w:b/>
          <w:szCs w:val="24"/>
        </w:rPr>
        <w:t xml:space="preserve">primary </w:t>
      </w:r>
      <w:r w:rsidR="008662B2">
        <w:rPr>
          <w:rFonts w:ascii="Times New Roman" w:hAnsi="Times New Roman" w:cs="Times New Roman"/>
          <w:b/>
          <w:szCs w:val="24"/>
        </w:rPr>
        <w:t>studies that investigated TNF-</w:t>
      </w:r>
      <w:r w:rsidR="008662B2" w:rsidRPr="008662B2">
        <w:rPr>
          <w:rFonts w:ascii="Times New Roman" w:eastAsia="맑은 고딕" w:hAnsi="Times New Roman" w:cs="Times New Roman"/>
          <w:b/>
          <w:szCs w:val="24"/>
        </w:rPr>
        <w:t>α</w:t>
      </w:r>
      <w:r w:rsidR="008662B2">
        <w:rPr>
          <w:rFonts w:ascii="Times New Roman" w:eastAsia="맑은 고딕" w:hAnsi="Times New Roman" w:cs="Times New Roman"/>
          <w:b/>
          <w:szCs w:val="24"/>
        </w:rPr>
        <w:t>.</w:t>
      </w:r>
      <w:r w:rsidR="00236992">
        <w:rPr>
          <w:rFonts w:ascii="Times New Roman" w:eastAsia="맑은 고딕" w:hAnsi="Times New Roman" w:cs="Times New Roman"/>
          <w:b/>
          <w:szCs w:val="24"/>
        </w:rPr>
        <w:t xml:space="preserve"> </w:t>
      </w:r>
      <w:r w:rsidR="00236992" w:rsidRPr="00557027">
        <w:rPr>
          <w:rFonts w:ascii="Times New Roman" w:hAnsi="Times New Roman" w:cs="Times New Roman"/>
          <w:bCs/>
          <w:szCs w:val="24"/>
        </w:rPr>
        <w:t>TNF-</w:t>
      </w:r>
      <w:r w:rsidR="00236992" w:rsidRPr="00557027">
        <w:rPr>
          <w:rFonts w:ascii="Times New Roman" w:eastAsia="맑은 고딕" w:hAnsi="Times New Roman" w:cs="Times New Roman"/>
          <w:bCs/>
          <w:szCs w:val="24"/>
        </w:rPr>
        <w:t>α</w:t>
      </w:r>
      <w:r w:rsidR="00F177CA">
        <w:rPr>
          <w:rFonts w:ascii="Times New Roman" w:eastAsia="맑은 고딕" w:hAnsi="Times New Roman" w:cs="Times New Roman"/>
          <w:bCs/>
          <w:szCs w:val="24"/>
        </w:rPr>
        <w:t xml:space="preserve">, </w:t>
      </w:r>
      <w:r w:rsidR="00936A21">
        <w:rPr>
          <w:rFonts w:ascii="Times New Roman" w:eastAsia="맑은 고딕" w:hAnsi="Times New Roman" w:cs="Times New Roman"/>
          <w:bCs/>
          <w:szCs w:val="24"/>
        </w:rPr>
        <w:t>tumor necrosis factor-alpha; SM</w:t>
      </w:r>
      <w:r w:rsidR="000F6CF8">
        <w:rPr>
          <w:rFonts w:ascii="Times New Roman" w:eastAsia="맑은 고딕" w:hAnsi="Times New Roman" w:cs="Times New Roman"/>
          <w:bCs/>
          <w:szCs w:val="24"/>
        </w:rPr>
        <w:t>D, standardized mean difference; CI, confidence interval.</w:t>
      </w:r>
    </w:p>
    <w:p w14:paraId="4822158A" w14:textId="77777777" w:rsidR="00FF7185" w:rsidRDefault="00B661D2" w:rsidP="00EC3E31">
      <w:pPr>
        <w:widowControl/>
        <w:wordWrap/>
        <w:autoSpaceDE/>
        <w:autoSpaceDN/>
        <w:spacing w:line="276" w:lineRule="auto"/>
        <w:jc w:val="center"/>
        <w:rPr>
          <w:rFonts w:ascii="Times New Roman" w:hAnsi="Times New Roman" w:cs="Times New Roman"/>
          <w:b/>
          <w:szCs w:val="24"/>
        </w:rPr>
      </w:pPr>
      <w:r>
        <w:rPr>
          <w:rFonts w:ascii="Times New Roman" w:eastAsia="맑은 고딕" w:hAnsi="Times New Roman" w:cs="Times New Roman"/>
          <w:b/>
          <w:szCs w:val="24"/>
        </w:rPr>
        <w:br w:type="page"/>
      </w:r>
      <w:r w:rsidR="00FF7185">
        <w:rPr>
          <w:noProof/>
        </w:rPr>
        <w:lastRenderedPageBreak/>
        <w:drawing>
          <wp:inline distT="0" distB="0" distL="0" distR="0" wp14:anchorId="48D2F22E" wp14:editId="2F26EA1D">
            <wp:extent cx="5325595" cy="4869815"/>
            <wp:effectExtent l="0" t="0" r="8890" b="698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92"/>
                    <a:stretch/>
                  </pic:blipFill>
                  <pic:spPr bwMode="auto">
                    <a:xfrm>
                      <a:off x="0" y="0"/>
                      <a:ext cx="5326109" cy="4870285"/>
                    </a:xfrm>
                    <a:prstGeom prst="rect">
                      <a:avLst/>
                    </a:prstGeom>
                    <a:ln>
                      <a:noFill/>
                    </a:ln>
                    <a:extLst>
                      <a:ext uri="{53640926-AAD7-44D8-BBD7-CCE9431645EC}">
                        <a14:shadowObscured xmlns:a14="http://schemas.microsoft.com/office/drawing/2010/main"/>
                      </a:ext>
                    </a:extLst>
                  </pic:spPr>
                </pic:pic>
              </a:graphicData>
            </a:graphic>
          </wp:inline>
        </w:drawing>
      </w:r>
    </w:p>
    <w:p w14:paraId="5EA12479" w14:textId="2647A9AC" w:rsidR="008662B2" w:rsidRDefault="00D46A70" w:rsidP="000F6CF8">
      <w:pPr>
        <w:widowControl/>
        <w:wordWrap/>
        <w:autoSpaceDE/>
        <w:autoSpaceDN/>
        <w:spacing w:line="276" w:lineRule="auto"/>
        <w:jc w:val="left"/>
        <w:rPr>
          <w:rFonts w:ascii="Times New Roman" w:eastAsia="맑은 고딕" w:hAnsi="Times New Roman" w:cs="Times New Roman"/>
          <w:b/>
          <w:szCs w:val="24"/>
        </w:rPr>
      </w:pPr>
      <w:r w:rsidRPr="00D46A70">
        <w:rPr>
          <w:rFonts w:ascii="Times New Roman" w:hAnsi="Times New Roman" w:cs="Times New Roman"/>
          <w:b/>
          <w:szCs w:val="24"/>
        </w:rPr>
        <w:t xml:space="preserve">Supplementary </w:t>
      </w:r>
      <w:r w:rsidR="0089661C">
        <w:rPr>
          <w:rFonts w:ascii="Times New Roman" w:hAnsi="Times New Roman" w:cs="Times New Roman"/>
          <w:b/>
          <w:szCs w:val="24"/>
        </w:rPr>
        <w:t>F</w:t>
      </w:r>
      <w:r w:rsidR="008662B2">
        <w:rPr>
          <w:rFonts w:ascii="Times New Roman" w:hAnsi="Times New Roman" w:cs="Times New Roman"/>
          <w:b/>
          <w:szCs w:val="24"/>
        </w:rPr>
        <w:t xml:space="preserve">igure 2. Forest plot of </w:t>
      </w:r>
      <w:r w:rsidR="00236992">
        <w:rPr>
          <w:rFonts w:ascii="Times New Roman" w:hAnsi="Times New Roman" w:cs="Times New Roman"/>
          <w:b/>
          <w:szCs w:val="24"/>
        </w:rPr>
        <w:t xml:space="preserve">primary </w:t>
      </w:r>
      <w:r w:rsidR="008662B2">
        <w:rPr>
          <w:rFonts w:ascii="Times New Roman" w:hAnsi="Times New Roman" w:cs="Times New Roman"/>
          <w:b/>
          <w:szCs w:val="24"/>
        </w:rPr>
        <w:t>studies that investigated IL-1</w:t>
      </w:r>
      <w:r w:rsidR="008662B2" w:rsidRPr="008662B2">
        <w:rPr>
          <w:rFonts w:ascii="Times New Roman" w:eastAsia="맑은 고딕" w:hAnsi="Times New Roman" w:cs="Times New Roman"/>
          <w:b/>
          <w:szCs w:val="24"/>
        </w:rPr>
        <w:t>β</w:t>
      </w:r>
      <w:r w:rsidR="008662B2">
        <w:rPr>
          <w:rFonts w:ascii="Times New Roman" w:eastAsia="맑은 고딕" w:hAnsi="Times New Roman" w:cs="Times New Roman"/>
          <w:b/>
          <w:szCs w:val="24"/>
        </w:rPr>
        <w:t>.</w:t>
      </w:r>
      <w:r w:rsidR="00236992">
        <w:rPr>
          <w:rFonts w:ascii="Times New Roman" w:eastAsia="맑은 고딕" w:hAnsi="Times New Roman" w:cs="Times New Roman"/>
          <w:b/>
          <w:szCs w:val="24"/>
        </w:rPr>
        <w:t xml:space="preserve"> </w:t>
      </w:r>
      <w:r w:rsidR="00236992" w:rsidRPr="00557027">
        <w:rPr>
          <w:rFonts w:ascii="Times New Roman" w:hAnsi="Times New Roman" w:cs="Times New Roman"/>
          <w:bCs/>
          <w:szCs w:val="24"/>
        </w:rPr>
        <w:t>IL-1</w:t>
      </w:r>
      <w:r w:rsidR="00236992" w:rsidRPr="00557027">
        <w:rPr>
          <w:rFonts w:ascii="Times New Roman" w:eastAsia="맑은 고딕" w:hAnsi="Times New Roman" w:cs="Times New Roman"/>
          <w:bCs/>
          <w:szCs w:val="24"/>
        </w:rPr>
        <w:t>β</w:t>
      </w:r>
      <w:r w:rsidR="00DF0A1C">
        <w:rPr>
          <w:rFonts w:ascii="Times New Roman" w:eastAsia="맑은 고딕" w:hAnsi="Times New Roman" w:cs="Times New Roman"/>
          <w:bCs/>
          <w:szCs w:val="24"/>
        </w:rPr>
        <w:t xml:space="preserve">, </w:t>
      </w:r>
      <w:r w:rsidR="000F6CF8">
        <w:rPr>
          <w:rFonts w:ascii="Times New Roman" w:eastAsia="맑은 고딕" w:hAnsi="Times New Roman" w:cs="Times New Roman"/>
          <w:bCs/>
          <w:szCs w:val="24"/>
        </w:rPr>
        <w:t xml:space="preserve">interleukin 1-beta; </w:t>
      </w:r>
      <w:r w:rsidR="000F6CF8">
        <w:rPr>
          <w:rFonts w:ascii="Times New Roman" w:eastAsia="맑은 고딕" w:hAnsi="Times New Roman" w:cs="Times New Roman" w:hint="eastAsia"/>
          <w:bCs/>
          <w:szCs w:val="24"/>
        </w:rPr>
        <w:t>SMD, standardized mean diff</w:t>
      </w:r>
      <w:r w:rsidR="000F6CF8">
        <w:rPr>
          <w:rFonts w:ascii="Times New Roman" w:eastAsia="맑은 고딕" w:hAnsi="Times New Roman" w:cs="Times New Roman"/>
          <w:bCs/>
          <w:szCs w:val="24"/>
        </w:rPr>
        <w:t>erence; CI, confidence interval.</w:t>
      </w:r>
    </w:p>
    <w:p w14:paraId="670131E3" w14:textId="77777777" w:rsidR="008662B2" w:rsidRDefault="008662B2">
      <w:pPr>
        <w:widowControl/>
        <w:wordWrap/>
        <w:autoSpaceDE/>
        <w:autoSpaceDN/>
        <w:rPr>
          <w:rFonts w:ascii="Times New Roman" w:eastAsia="맑은 고딕" w:hAnsi="Times New Roman" w:cs="Times New Roman"/>
          <w:b/>
          <w:szCs w:val="24"/>
        </w:rPr>
      </w:pPr>
      <w:r>
        <w:rPr>
          <w:rFonts w:ascii="Times New Roman" w:eastAsia="맑은 고딕" w:hAnsi="Times New Roman" w:cs="Times New Roman"/>
          <w:b/>
          <w:szCs w:val="24"/>
        </w:rPr>
        <w:br w:type="page"/>
      </w:r>
    </w:p>
    <w:p w14:paraId="33E3BBF0" w14:textId="77777777" w:rsidR="0073496F" w:rsidRDefault="0073496F" w:rsidP="008662B2">
      <w:pPr>
        <w:widowControl/>
        <w:wordWrap/>
        <w:autoSpaceDE/>
        <w:autoSpaceDN/>
        <w:spacing w:after="0" w:line="480" w:lineRule="auto"/>
        <w:jc w:val="center"/>
        <w:rPr>
          <w:rFonts w:ascii="Times New Roman" w:hAnsi="Times New Roman" w:cs="Times New Roman"/>
          <w:b/>
          <w:szCs w:val="24"/>
        </w:rPr>
        <w:sectPr w:rsidR="0073496F" w:rsidSect="00CA442B">
          <w:pgSz w:w="11906" w:h="16838"/>
          <w:pgMar w:top="709" w:right="1440" w:bottom="1440" w:left="1440" w:header="851" w:footer="164" w:gutter="0"/>
          <w:cols w:space="425"/>
          <w:docGrid w:linePitch="360"/>
        </w:sectPr>
      </w:pPr>
    </w:p>
    <w:p w14:paraId="789127FC" w14:textId="77777777" w:rsidR="00216866" w:rsidRDefault="00BD0592" w:rsidP="00216866">
      <w:pPr>
        <w:widowControl/>
        <w:wordWrap/>
        <w:autoSpaceDE/>
        <w:autoSpaceDN/>
        <w:spacing w:after="0" w:line="276" w:lineRule="auto"/>
        <w:jc w:val="center"/>
        <w:rPr>
          <w:rFonts w:ascii="Times New Roman" w:hAnsi="Times New Roman" w:cs="Times New Roman"/>
          <w:b/>
          <w:sz w:val="2"/>
          <w:szCs w:val="24"/>
        </w:rPr>
      </w:pPr>
      <w:r>
        <w:rPr>
          <w:noProof/>
        </w:rPr>
        <w:lastRenderedPageBreak/>
        <w:drawing>
          <wp:inline distT="0" distB="0" distL="0" distR="0" wp14:anchorId="5980E73C" wp14:editId="4EDFD036">
            <wp:extent cx="3700299" cy="9298052"/>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00299" cy="9298052"/>
                    </a:xfrm>
                    <a:prstGeom prst="rect">
                      <a:avLst/>
                    </a:prstGeom>
                  </pic:spPr>
                </pic:pic>
              </a:graphicData>
            </a:graphic>
          </wp:inline>
        </w:drawing>
      </w:r>
    </w:p>
    <w:p w14:paraId="42ADC44C" w14:textId="4D1DCAF8" w:rsidR="00BD0592" w:rsidRDefault="00D46A70" w:rsidP="000F6CF8">
      <w:pPr>
        <w:widowControl/>
        <w:wordWrap/>
        <w:autoSpaceDE/>
        <w:autoSpaceDN/>
        <w:spacing w:after="0" w:line="276" w:lineRule="auto"/>
        <w:jc w:val="left"/>
        <w:rPr>
          <w:rFonts w:ascii="Times New Roman" w:eastAsia="맑은 고딕" w:hAnsi="Times New Roman" w:cs="Times New Roman"/>
          <w:b/>
          <w:szCs w:val="24"/>
        </w:rPr>
        <w:sectPr w:rsidR="00BD0592" w:rsidSect="00252D7A">
          <w:type w:val="continuous"/>
          <w:pgSz w:w="11906" w:h="16838"/>
          <w:pgMar w:top="284" w:right="1440" w:bottom="709" w:left="1440" w:header="851" w:footer="164" w:gutter="0"/>
          <w:cols w:space="425"/>
          <w:docGrid w:linePitch="360"/>
        </w:sectPr>
      </w:pPr>
      <w:r w:rsidRPr="00D46A70">
        <w:rPr>
          <w:rFonts w:ascii="Times New Roman" w:hAnsi="Times New Roman" w:cs="Times New Roman"/>
          <w:b/>
          <w:szCs w:val="24"/>
        </w:rPr>
        <w:t xml:space="preserve">Supplementary </w:t>
      </w:r>
      <w:r w:rsidR="0089661C">
        <w:rPr>
          <w:rFonts w:ascii="Times New Roman" w:hAnsi="Times New Roman" w:cs="Times New Roman"/>
          <w:b/>
          <w:szCs w:val="24"/>
        </w:rPr>
        <w:t>F</w:t>
      </w:r>
      <w:r w:rsidR="008662B2">
        <w:rPr>
          <w:rFonts w:ascii="Times New Roman" w:hAnsi="Times New Roman" w:cs="Times New Roman"/>
          <w:b/>
          <w:szCs w:val="24"/>
        </w:rPr>
        <w:t xml:space="preserve">igure </w:t>
      </w:r>
      <w:r w:rsidR="00165D63">
        <w:rPr>
          <w:rFonts w:ascii="Times New Roman" w:hAnsi="Times New Roman" w:cs="Times New Roman"/>
          <w:b/>
          <w:szCs w:val="24"/>
        </w:rPr>
        <w:t>3</w:t>
      </w:r>
      <w:r w:rsidR="008662B2">
        <w:rPr>
          <w:rFonts w:ascii="Times New Roman" w:hAnsi="Times New Roman" w:cs="Times New Roman"/>
          <w:b/>
          <w:szCs w:val="24"/>
        </w:rPr>
        <w:t xml:space="preserve">. Forest plot of </w:t>
      </w:r>
      <w:r w:rsidR="00236992">
        <w:rPr>
          <w:rFonts w:ascii="Times New Roman" w:hAnsi="Times New Roman" w:cs="Times New Roman"/>
          <w:b/>
          <w:szCs w:val="24"/>
        </w:rPr>
        <w:t xml:space="preserve">primary </w:t>
      </w:r>
      <w:r w:rsidR="008662B2">
        <w:rPr>
          <w:rFonts w:ascii="Times New Roman" w:hAnsi="Times New Roman" w:cs="Times New Roman"/>
          <w:b/>
          <w:szCs w:val="24"/>
        </w:rPr>
        <w:t>studies that investigated IL-6</w:t>
      </w:r>
      <w:r w:rsidR="008662B2">
        <w:rPr>
          <w:rFonts w:ascii="Times New Roman" w:eastAsia="맑은 고딕" w:hAnsi="Times New Roman" w:cs="Times New Roman"/>
          <w:b/>
          <w:szCs w:val="24"/>
        </w:rPr>
        <w:t>.</w:t>
      </w:r>
      <w:r w:rsidR="00236992">
        <w:rPr>
          <w:rFonts w:ascii="Times New Roman" w:eastAsia="맑은 고딕" w:hAnsi="Times New Roman" w:cs="Times New Roman"/>
          <w:b/>
          <w:szCs w:val="24"/>
        </w:rPr>
        <w:t xml:space="preserve"> </w:t>
      </w:r>
      <w:r w:rsidR="00236992" w:rsidRPr="00557027">
        <w:rPr>
          <w:rFonts w:ascii="Times New Roman" w:hAnsi="Times New Roman" w:cs="Times New Roman"/>
          <w:bCs/>
          <w:szCs w:val="24"/>
        </w:rPr>
        <w:t>IL-6</w:t>
      </w:r>
      <w:r w:rsidR="004301AF" w:rsidRPr="00557027">
        <w:rPr>
          <w:rFonts w:ascii="Times New Roman" w:eastAsia="맑은 고딕" w:hAnsi="Times New Roman" w:cs="Times New Roman"/>
          <w:bCs/>
          <w:szCs w:val="24"/>
        </w:rPr>
        <w:t>,</w:t>
      </w:r>
      <w:r w:rsidR="004301AF">
        <w:rPr>
          <w:rFonts w:ascii="Times New Roman" w:eastAsia="맑은 고딕" w:hAnsi="Times New Roman" w:cs="Times New Roman"/>
          <w:b/>
          <w:szCs w:val="24"/>
        </w:rPr>
        <w:t xml:space="preserve"> </w:t>
      </w:r>
      <w:r w:rsidR="00236992" w:rsidRPr="00557027">
        <w:rPr>
          <w:rFonts w:ascii="Times New Roman" w:eastAsia="맑은 고딕" w:hAnsi="Times New Roman" w:cs="Times New Roman"/>
          <w:bCs/>
          <w:szCs w:val="24"/>
        </w:rPr>
        <w:t>interleukin</w:t>
      </w:r>
      <w:r w:rsidR="00236992">
        <w:rPr>
          <w:rFonts w:ascii="Times New Roman" w:eastAsia="맑은 고딕" w:hAnsi="Times New Roman" w:cs="Times New Roman"/>
          <w:bCs/>
          <w:szCs w:val="24"/>
        </w:rPr>
        <w:t xml:space="preserve"> </w:t>
      </w:r>
      <w:r w:rsidR="000F6CF8">
        <w:rPr>
          <w:rFonts w:ascii="Times New Roman" w:eastAsia="맑은 고딕" w:hAnsi="Times New Roman" w:cs="Times New Roman"/>
          <w:bCs/>
          <w:szCs w:val="24"/>
        </w:rPr>
        <w:t>6; SMD, standardized mean difference; CI, confidence interval.</w:t>
      </w:r>
      <w:r w:rsidR="008662B2">
        <w:rPr>
          <w:rFonts w:ascii="Times New Roman" w:eastAsia="맑은 고딕" w:hAnsi="Times New Roman" w:cs="Times New Roman"/>
          <w:b/>
          <w:szCs w:val="24"/>
        </w:rPr>
        <w:br w:type="page"/>
      </w:r>
    </w:p>
    <w:p w14:paraId="1F5076D8" w14:textId="77777777" w:rsidR="00BD0592" w:rsidRDefault="00224FEB" w:rsidP="00FE53AE">
      <w:pPr>
        <w:widowControl/>
        <w:wordWrap/>
        <w:autoSpaceDE/>
        <w:autoSpaceDN/>
        <w:spacing w:after="0" w:line="276" w:lineRule="auto"/>
        <w:jc w:val="center"/>
        <w:rPr>
          <w:rFonts w:ascii="Times New Roman" w:hAnsi="Times New Roman" w:cs="Times New Roman"/>
          <w:b/>
          <w:szCs w:val="24"/>
        </w:rPr>
        <w:sectPr w:rsidR="00BD0592" w:rsidSect="00224FEB">
          <w:type w:val="continuous"/>
          <w:pgSz w:w="11906" w:h="16838"/>
          <w:pgMar w:top="993" w:right="1440" w:bottom="709" w:left="1440" w:header="851" w:footer="992" w:gutter="0"/>
          <w:cols w:space="425"/>
          <w:docGrid w:linePitch="360"/>
        </w:sectPr>
      </w:pPr>
      <w:r>
        <w:rPr>
          <w:noProof/>
        </w:rPr>
        <w:lastRenderedPageBreak/>
        <w:drawing>
          <wp:inline distT="0" distB="0" distL="0" distR="0" wp14:anchorId="7D8A4D2C" wp14:editId="6A7857D0">
            <wp:extent cx="4810480" cy="8478281"/>
            <wp:effectExtent l="0" t="0" r="952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10480" cy="8478281"/>
                    </a:xfrm>
                    <a:prstGeom prst="rect">
                      <a:avLst/>
                    </a:prstGeom>
                  </pic:spPr>
                </pic:pic>
              </a:graphicData>
            </a:graphic>
          </wp:inline>
        </w:drawing>
      </w:r>
    </w:p>
    <w:p w14:paraId="6CEC1123" w14:textId="177C88C1" w:rsidR="00CD304F" w:rsidRDefault="00D46A70" w:rsidP="000F6CF8">
      <w:pPr>
        <w:widowControl/>
        <w:wordWrap/>
        <w:autoSpaceDE/>
        <w:autoSpaceDN/>
        <w:spacing w:after="0" w:line="276" w:lineRule="auto"/>
        <w:jc w:val="left"/>
        <w:rPr>
          <w:rFonts w:ascii="Times New Roman" w:eastAsia="맑은 고딕" w:hAnsi="Times New Roman" w:cs="Times New Roman"/>
          <w:b/>
          <w:szCs w:val="24"/>
        </w:rPr>
      </w:pPr>
      <w:r w:rsidRPr="00D46A70">
        <w:rPr>
          <w:rFonts w:ascii="Times New Roman" w:hAnsi="Times New Roman" w:cs="Times New Roman"/>
          <w:b/>
          <w:szCs w:val="24"/>
        </w:rPr>
        <w:t xml:space="preserve">Supplementary </w:t>
      </w:r>
      <w:r w:rsidR="0089661C">
        <w:rPr>
          <w:rFonts w:ascii="Times New Roman" w:hAnsi="Times New Roman" w:cs="Times New Roman"/>
          <w:b/>
          <w:szCs w:val="24"/>
        </w:rPr>
        <w:t>F</w:t>
      </w:r>
      <w:r w:rsidR="008662B2">
        <w:rPr>
          <w:rFonts w:ascii="Times New Roman" w:hAnsi="Times New Roman" w:cs="Times New Roman"/>
          <w:b/>
          <w:szCs w:val="24"/>
        </w:rPr>
        <w:t xml:space="preserve">igure </w:t>
      </w:r>
      <w:r w:rsidR="00165D63">
        <w:rPr>
          <w:rFonts w:ascii="Times New Roman" w:hAnsi="Times New Roman" w:cs="Times New Roman"/>
          <w:b/>
          <w:szCs w:val="24"/>
        </w:rPr>
        <w:t>4</w:t>
      </w:r>
      <w:r w:rsidR="008662B2">
        <w:rPr>
          <w:rFonts w:ascii="Times New Roman" w:hAnsi="Times New Roman" w:cs="Times New Roman"/>
          <w:b/>
          <w:szCs w:val="24"/>
        </w:rPr>
        <w:t xml:space="preserve">. Forest plot of </w:t>
      </w:r>
      <w:r w:rsidR="00236992">
        <w:rPr>
          <w:rFonts w:ascii="Times New Roman" w:hAnsi="Times New Roman" w:cs="Times New Roman"/>
          <w:b/>
          <w:szCs w:val="24"/>
        </w:rPr>
        <w:t xml:space="preserve">primary </w:t>
      </w:r>
      <w:r w:rsidR="008662B2">
        <w:rPr>
          <w:rFonts w:ascii="Times New Roman" w:hAnsi="Times New Roman" w:cs="Times New Roman"/>
          <w:b/>
          <w:szCs w:val="24"/>
        </w:rPr>
        <w:t>studies that investigated CRP</w:t>
      </w:r>
      <w:r w:rsidR="008662B2">
        <w:rPr>
          <w:rFonts w:ascii="Times New Roman" w:eastAsia="맑은 고딕" w:hAnsi="Times New Roman" w:cs="Times New Roman"/>
          <w:b/>
          <w:szCs w:val="24"/>
        </w:rPr>
        <w:t>.</w:t>
      </w:r>
      <w:r w:rsidR="00236992">
        <w:rPr>
          <w:rFonts w:ascii="Times New Roman" w:eastAsia="맑은 고딕" w:hAnsi="Times New Roman" w:cs="Times New Roman"/>
          <w:b/>
          <w:szCs w:val="24"/>
        </w:rPr>
        <w:t xml:space="preserve"> </w:t>
      </w:r>
      <w:r w:rsidR="00236992" w:rsidRPr="00557027">
        <w:rPr>
          <w:rFonts w:ascii="Times New Roman" w:eastAsia="맑은 고딕" w:hAnsi="Times New Roman" w:cs="Times New Roman"/>
          <w:bCs/>
          <w:szCs w:val="24"/>
        </w:rPr>
        <w:t>CRP</w:t>
      </w:r>
      <w:r w:rsidR="006B156F">
        <w:rPr>
          <w:rFonts w:ascii="Times New Roman" w:eastAsia="맑은 고딕" w:hAnsi="Times New Roman" w:cs="Times New Roman"/>
          <w:bCs/>
          <w:szCs w:val="24"/>
        </w:rPr>
        <w:t xml:space="preserve">, </w:t>
      </w:r>
      <w:r w:rsidR="000F6CF8">
        <w:rPr>
          <w:rFonts w:ascii="Times New Roman" w:eastAsia="맑은 고딕" w:hAnsi="Times New Roman" w:cs="Times New Roman"/>
          <w:bCs/>
          <w:szCs w:val="24"/>
        </w:rPr>
        <w:t>C-reactive protein</w:t>
      </w:r>
      <w:r w:rsidR="00C71A8D">
        <w:rPr>
          <w:rFonts w:ascii="Times New Roman" w:eastAsia="맑은 고딕" w:hAnsi="Times New Roman" w:cs="Times New Roman"/>
          <w:bCs/>
          <w:szCs w:val="24"/>
        </w:rPr>
        <w:t>;</w:t>
      </w:r>
      <w:r w:rsidR="000F6CF8">
        <w:rPr>
          <w:rFonts w:ascii="Times New Roman" w:eastAsia="맑은 고딕" w:hAnsi="Times New Roman" w:cs="Times New Roman"/>
          <w:bCs/>
          <w:szCs w:val="24"/>
        </w:rPr>
        <w:t xml:space="preserve"> SMD, standardized mean difference; CI, confidence interval.</w:t>
      </w:r>
    </w:p>
    <w:p w14:paraId="375A4F4C" w14:textId="77777777" w:rsidR="00CD304F" w:rsidRPr="000F6CF8" w:rsidRDefault="00CD304F" w:rsidP="00CD304F">
      <w:pPr>
        <w:widowControl/>
        <w:wordWrap/>
        <w:autoSpaceDE/>
        <w:autoSpaceDN/>
        <w:jc w:val="center"/>
        <w:rPr>
          <w:rFonts w:ascii="Times New Roman" w:eastAsia="맑은 고딕" w:hAnsi="Times New Roman" w:cs="Times New Roman"/>
          <w:b/>
          <w:szCs w:val="24"/>
        </w:rPr>
      </w:pPr>
    </w:p>
    <w:p w14:paraId="1EA0D986" w14:textId="4C9A758B" w:rsidR="00237CF7" w:rsidRDefault="00EC3E31" w:rsidP="00CD304F">
      <w:pPr>
        <w:widowControl/>
        <w:wordWrap/>
        <w:autoSpaceDE/>
        <w:autoSpaceDN/>
        <w:jc w:val="center"/>
        <w:rPr>
          <w:rFonts w:ascii="Times New Roman" w:eastAsia="맑은 고딕" w:hAnsi="Times New Roman" w:cs="Times New Roman"/>
          <w:b/>
          <w:szCs w:val="24"/>
        </w:rPr>
      </w:pPr>
      <w:r>
        <w:rPr>
          <w:rFonts w:ascii="Times New Roman" w:eastAsia="맑은 고딕" w:hAnsi="Times New Roman" w:cs="Times New Roman"/>
          <w:b/>
          <w:noProof/>
          <w:szCs w:val="24"/>
        </w:rPr>
        <w:drawing>
          <wp:inline distT="0" distB="0" distL="0" distR="0" wp14:anchorId="6A93AD69" wp14:editId="77492842">
            <wp:extent cx="5721350" cy="40005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350" cy="4000500"/>
                    </a:xfrm>
                    <a:prstGeom prst="rect">
                      <a:avLst/>
                    </a:prstGeom>
                    <a:noFill/>
                    <a:ln>
                      <a:noFill/>
                    </a:ln>
                  </pic:spPr>
                </pic:pic>
              </a:graphicData>
            </a:graphic>
          </wp:inline>
        </w:drawing>
      </w:r>
    </w:p>
    <w:p w14:paraId="1BC5A507" w14:textId="4BB27AF8" w:rsidR="00CD304F" w:rsidRPr="00557027" w:rsidRDefault="00D46A70" w:rsidP="000F6CF8">
      <w:pPr>
        <w:widowControl/>
        <w:wordWrap/>
        <w:autoSpaceDE/>
        <w:autoSpaceDN/>
        <w:jc w:val="left"/>
        <w:rPr>
          <w:rFonts w:ascii="Times New Roman" w:eastAsia="맑은 고딕" w:hAnsi="Times New Roman" w:cs="Times New Roman"/>
          <w:bCs/>
          <w:szCs w:val="24"/>
        </w:rPr>
      </w:pPr>
      <w:r w:rsidRPr="00D46A70">
        <w:rPr>
          <w:rFonts w:ascii="Times New Roman" w:eastAsia="맑은 고딕" w:hAnsi="Times New Roman" w:cs="Times New Roman"/>
          <w:b/>
          <w:szCs w:val="24"/>
        </w:rPr>
        <w:t xml:space="preserve">Supplementary </w:t>
      </w:r>
      <w:r w:rsidR="0089661C">
        <w:rPr>
          <w:rFonts w:ascii="Times New Roman" w:eastAsia="맑은 고딕" w:hAnsi="Times New Roman" w:cs="Times New Roman"/>
          <w:b/>
          <w:szCs w:val="24"/>
        </w:rPr>
        <w:t xml:space="preserve">Figure </w:t>
      </w:r>
      <w:r w:rsidR="00CD304F">
        <w:rPr>
          <w:rFonts w:ascii="Times New Roman" w:eastAsia="맑은 고딕" w:hAnsi="Times New Roman" w:cs="Times New Roman"/>
          <w:b/>
          <w:szCs w:val="24"/>
        </w:rPr>
        <w:t>5</w:t>
      </w:r>
      <w:r w:rsidR="00CD304F" w:rsidRPr="00CD304F">
        <w:rPr>
          <w:rFonts w:ascii="Times New Roman" w:eastAsia="맑은 고딕" w:hAnsi="Times New Roman" w:cs="Times New Roman"/>
          <w:b/>
          <w:szCs w:val="24"/>
        </w:rPr>
        <w:t xml:space="preserve">. Funnel plot of </w:t>
      </w:r>
      <w:r w:rsidR="00236992">
        <w:rPr>
          <w:rFonts w:ascii="Times New Roman" w:eastAsia="맑은 고딕" w:hAnsi="Times New Roman" w:cs="Times New Roman"/>
          <w:b/>
          <w:szCs w:val="24"/>
        </w:rPr>
        <w:t xml:space="preserve">primary </w:t>
      </w:r>
      <w:r w:rsidR="00CD304F" w:rsidRPr="00CD304F">
        <w:rPr>
          <w:rFonts w:ascii="Times New Roman" w:eastAsia="맑은 고딕" w:hAnsi="Times New Roman" w:cs="Times New Roman"/>
          <w:b/>
          <w:szCs w:val="24"/>
        </w:rPr>
        <w:t>studies that investigated TNF-α.</w:t>
      </w:r>
      <w:r w:rsidR="00236992">
        <w:rPr>
          <w:rFonts w:ascii="Times New Roman" w:eastAsia="맑은 고딕" w:hAnsi="Times New Roman" w:cs="Times New Roman"/>
          <w:b/>
          <w:szCs w:val="24"/>
        </w:rPr>
        <w:t xml:space="preserve"> </w:t>
      </w:r>
      <w:r w:rsidR="00236992" w:rsidRPr="00557027">
        <w:rPr>
          <w:rFonts w:ascii="Times New Roman" w:eastAsia="맑은 고딕" w:hAnsi="Times New Roman" w:cs="Times New Roman"/>
          <w:bCs/>
          <w:szCs w:val="24"/>
        </w:rPr>
        <w:t>TNF-α</w:t>
      </w:r>
      <w:r w:rsidR="00C905E9">
        <w:rPr>
          <w:rFonts w:ascii="Times New Roman" w:eastAsia="맑은 고딕" w:hAnsi="Times New Roman" w:cs="Times New Roman"/>
          <w:bCs/>
          <w:szCs w:val="24"/>
        </w:rPr>
        <w:t xml:space="preserve">, </w:t>
      </w:r>
      <w:r w:rsidR="00236992" w:rsidRPr="00557027">
        <w:rPr>
          <w:rFonts w:ascii="Times New Roman" w:eastAsia="맑은 고딕" w:hAnsi="Times New Roman" w:cs="Times New Roman"/>
          <w:bCs/>
          <w:szCs w:val="24"/>
        </w:rPr>
        <w:t>tumor necrosis factor-alpha.</w:t>
      </w:r>
    </w:p>
    <w:p w14:paraId="0858ABA1" w14:textId="77777777" w:rsidR="00CD304F" w:rsidRDefault="00CD304F">
      <w:pPr>
        <w:widowControl/>
        <w:wordWrap/>
        <w:autoSpaceDE/>
        <w:autoSpaceDN/>
        <w:rPr>
          <w:rFonts w:ascii="Times New Roman" w:hAnsi="Times New Roman" w:cs="Times New Roman"/>
          <w:b/>
          <w:szCs w:val="24"/>
        </w:rPr>
      </w:pPr>
      <w:r>
        <w:rPr>
          <w:rFonts w:ascii="Times New Roman" w:hAnsi="Times New Roman" w:cs="Times New Roman"/>
          <w:b/>
          <w:szCs w:val="24"/>
        </w:rPr>
        <w:br w:type="page"/>
      </w:r>
    </w:p>
    <w:p w14:paraId="4CBCE7CD" w14:textId="1D72A3C6" w:rsidR="00237CF7" w:rsidRDefault="00EC3E31" w:rsidP="00CD304F">
      <w:pPr>
        <w:widowControl/>
        <w:wordWrap/>
        <w:autoSpaceDE/>
        <w:autoSpaceDN/>
        <w:jc w:val="center"/>
        <w:rPr>
          <w:rFonts w:ascii="Times New Roman" w:eastAsia="맑은 고딕" w:hAnsi="Times New Roman" w:cs="Times New Roman"/>
          <w:b/>
          <w:szCs w:val="24"/>
        </w:rPr>
      </w:pPr>
      <w:r>
        <w:rPr>
          <w:rFonts w:ascii="Times New Roman" w:eastAsia="맑은 고딕" w:hAnsi="Times New Roman" w:cs="Times New Roman"/>
          <w:b/>
          <w:noProof/>
          <w:szCs w:val="24"/>
        </w:rPr>
        <w:lastRenderedPageBreak/>
        <w:drawing>
          <wp:inline distT="0" distB="0" distL="0" distR="0" wp14:anchorId="1D321DB7" wp14:editId="514349CA">
            <wp:extent cx="5727700" cy="3949700"/>
            <wp:effectExtent l="0" t="0" r="635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949700"/>
                    </a:xfrm>
                    <a:prstGeom prst="rect">
                      <a:avLst/>
                    </a:prstGeom>
                    <a:noFill/>
                    <a:ln>
                      <a:noFill/>
                    </a:ln>
                  </pic:spPr>
                </pic:pic>
              </a:graphicData>
            </a:graphic>
          </wp:inline>
        </w:drawing>
      </w:r>
    </w:p>
    <w:p w14:paraId="061572AD" w14:textId="5B27DC0F" w:rsidR="00CD304F" w:rsidRPr="00557027" w:rsidRDefault="00D46A70" w:rsidP="000F6CF8">
      <w:pPr>
        <w:widowControl/>
        <w:wordWrap/>
        <w:autoSpaceDE/>
        <w:autoSpaceDN/>
        <w:jc w:val="left"/>
        <w:rPr>
          <w:rFonts w:ascii="Times New Roman" w:eastAsia="맑은 고딕" w:hAnsi="Times New Roman" w:cs="Times New Roman"/>
          <w:bCs/>
          <w:szCs w:val="24"/>
        </w:rPr>
      </w:pPr>
      <w:r w:rsidRPr="00D46A70">
        <w:rPr>
          <w:rFonts w:ascii="Times New Roman" w:eastAsia="맑은 고딕" w:hAnsi="Times New Roman" w:cs="Times New Roman"/>
          <w:b/>
          <w:szCs w:val="24"/>
        </w:rPr>
        <w:t xml:space="preserve">Supplementary </w:t>
      </w:r>
      <w:r w:rsidR="0089661C">
        <w:rPr>
          <w:rFonts w:ascii="Times New Roman" w:eastAsia="맑은 고딕" w:hAnsi="Times New Roman" w:cs="Times New Roman"/>
          <w:b/>
          <w:szCs w:val="24"/>
        </w:rPr>
        <w:t>F</w:t>
      </w:r>
      <w:r w:rsidR="00CD304F" w:rsidRPr="00CD304F">
        <w:rPr>
          <w:rFonts w:ascii="Times New Roman" w:eastAsia="맑은 고딕" w:hAnsi="Times New Roman" w:cs="Times New Roman"/>
          <w:b/>
          <w:szCs w:val="24"/>
        </w:rPr>
        <w:t xml:space="preserve">igure </w:t>
      </w:r>
      <w:r w:rsidR="00CD304F">
        <w:rPr>
          <w:rFonts w:ascii="Times New Roman" w:eastAsia="맑은 고딕" w:hAnsi="Times New Roman" w:cs="Times New Roman"/>
          <w:b/>
          <w:szCs w:val="24"/>
        </w:rPr>
        <w:t>6</w:t>
      </w:r>
      <w:r w:rsidR="00CD304F" w:rsidRPr="00CD304F">
        <w:rPr>
          <w:rFonts w:ascii="Times New Roman" w:eastAsia="맑은 고딕" w:hAnsi="Times New Roman" w:cs="Times New Roman"/>
          <w:b/>
          <w:szCs w:val="24"/>
        </w:rPr>
        <w:t xml:space="preserve">. Funnel plot of </w:t>
      </w:r>
      <w:r w:rsidR="00236992">
        <w:rPr>
          <w:rFonts w:ascii="Times New Roman" w:eastAsia="맑은 고딕" w:hAnsi="Times New Roman" w:cs="Times New Roman"/>
          <w:b/>
          <w:szCs w:val="24"/>
        </w:rPr>
        <w:t xml:space="preserve">primary </w:t>
      </w:r>
      <w:r w:rsidR="00CD304F" w:rsidRPr="00CD304F">
        <w:rPr>
          <w:rFonts w:ascii="Times New Roman" w:eastAsia="맑은 고딕" w:hAnsi="Times New Roman" w:cs="Times New Roman"/>
          <w:b/>
          <w:szCs w:val="24"/>
        </w:rPr>
        <w:t xml:space="preserve">studies that investigated </w:t>
      </w:r>
      <w:r w:rsidR="00CD304F">
        <w:rPr>
          <w:rFonts w:ascii="Times New Roman" w:eastAsia="맑은 고딕" w:hAnsi="Times New Roman" w:cs="Times New Roman"/>
          <w:b/>
          <w:szCs w:val="24"/>
        </w:rPr>
        <w:t>IL-1</w:t>
      </w:r>
      <w:r w:rsidR="00CD304F" w:rsidRPr="00CD304F">
        <w:rPr>
          <w:rFonts w:ascii="Times New Roman" w:eastAsia="맑은 고딕" w:hAnsi="Times New Roman" w:cs="Times New Roman"/>
          <w:b/>
          <w:szCs w:val="24"/>
        </w:rPr>
        <w:t>β.</w:t>
      </w:r>
      <w:r w:rsidR="00236992">
        <w:rPr>
          <w:rFonts w:ascii="Times New Roman" w:eastAsia="맑은 고딕" w:hAnsi="Times New Roman" w:cs="Times New Roman"/>
          <w:b/>
          <w:szCs w:val="24"/>
        </w:rPr>
        <w:t xml:space="preserve"> </w:t>
      </w:r>
      <w:r w:rsidR="00236992" w:rsidRPr="00557027">
        <w:rPr>
          <w:rFonts w:ascii="Times New Roman" w:eastAsia="맑은 고딕" w:hAnsi="Times New Roman" w:cs="Times New Roman"/>
          <w:bCs/>
          <w:szCs w:val="24"/>
        </w:rPr>
        <w:t>IL-1β</w:t>
      </w:r>
      <w:r w:rsidR="00CE3778">
        <w:rPr>
          <w:rFonts w:ascii="Times New Roman" w:eastAsia="맑은 고딕" w:hAnsi="Times New Roman" w:cs="Times New Roman"/>
          <w:bCs/>
          <w:szCs w:val="24"/>
        </w:rPr>
        <w:t xml:space="preserve">, </w:t>
      </w:r>
      <w:r w:rsidR="00236992" w:rsidRPr="00557027">
        <w:rPr>
          <w:rFonts w:ascii="Times New Roman" w:eastAsia="맑은 고딕" w:hAnsi="Times New Roman" w:cs="Times New Roman"/>
          <w:bCs/>
          <w:szCs w:val="24"/>
        </w:rPr>
        <w:t>interleukin 1-beta.</w:t>
      </w:r>
    </w:p>
    <w:p w14:paraId="7FDD0A18" w14:textId="77777777" w:rsidR="00CD304F" w:rsidRDefault="00CD304F">
      <w:pPr>
        <w:widowControl/>
        <w:wordWrap/>
        <w:autoSpaceDE/>
        <w:autoSpaceDN/>
        <w:rPr>
          <w:rFonts w:ascii="Times New Roman" w:hAnsi="Times New Roman" w:cs="Times New Roman"/>
          <w:b/>
          <w:szCs w:val="24"/>
        </w:rPr>
      </w:pPr>
      <w:r>
        <w:rPr>
          <w:rFonts w:ascii="Times New Roman" w:hAnsi="Times New Roman" w:cs="Times New Roman"/>
          <w:b/>
          <w:szCs w:val="24"/>
        </w:rPr>
        <w:br w:type="page"/>
      </w:r>
    </w:p>
    <w:p w14:paraId="5DD94436" w14:textId="77777777" w:rsidR="00237CF7" w:rsidRDefault="00237CF7" w:rsidP="00CD304F">
      <w:pPr>
        <w:widowControl/>
        <w:wordWrap/>
        <w:autoSpaceDE/>
        <w:autoSpaceDN/>
        <w:jc w:val="center"/>
        <w:rPr>
          <w:rFonts w:ascii="Times New Roman" w:eastAsia="맑은 고딕" w:hAnsi="Times New Roman" w:cs="Times New Roman"/>
          <w:b/>
          <w:szCs w:val="24"/>
        </w:rPr>
      </w:pPr>
    </w:p>
    <w:p w14:paraId="731AB171" w14:textId="77777777" w:rsidR="00237CF7" w:rsidRDefault="00237CF7" w:rsidP="00CD304F">
      <w:pPr>
        <w:widowControl/>
        <w:wordWrap/>
        <w:autoSpaceDE/>
        <w:autoSpaceDN/>
        <w:jc w:val="center"/>
        <w:rPr>
          <w:rFonts w:ascii="Times New Roman" w:eastAsia="맑은 고딕" w:hAnsi="Times New Roman" w:cs="Times New Roman"/>
          <w:b/>
          <w:szCs w:val="24"/>
        </w:rPr>
      </w:pPr>
      <w:r>
        <w:rPr>
          <w:rFonts w:ascii="Times New Roman" w:eastAsia="맑은 고딕" w:hAnsi="Times New Roman" w:cs="Times New Roman"/>
          <w:b/>
          <w:noProof/>
          <w:szCs w:val="24"/>
        </w:rPr>
        <w:drawing>
          <wp:inline distT="0" distB="0" distL="0" distR="0" wp14:anchorId="169F6D17" wp14:editId="50785FC3">
            <wp:extent cx="5727700" cy="3996661"/>
            <wp:effectExtent l="0" t="0" r="6350" b="444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27700" cy="3996661"/>
                    </a:xfrm>
                    <a:prstGeom prst="rect">
                      <a:avLst/>
                    </a:prstGeom>
                  </pic:spPr>
                </pic:pic>
              </a:graphicData>
            </a:graphic>
          </wp:inline>
        </w:drawing>
      </w:r>
    </w:p>
    <w:p w14:paraId="6216367B" w14:textId="0754E2C2" w:rsidR="00CD304F" w:rsidRPr="00557027" w:rsidRDefault="00D46A70" w:rsidP="000F6CF8">
      <w:pPr>
        <w:widowControl/>
        <w:wordWrap/>
        <w:autoSpaceDE/>
        <w:autoSpaceDN/>
        <w:jc w:val="left"/>
        <w:rPr>
          <w:rFonts w:ascii="Times New Roman" w:eastAsia="맑은 고딕" w:hAnsi="Times New Roman" w:cs="Times New Roman"/>
          <w:bCs/>
          <w:szCs w:val="24"/>
        </w:rPr>
      </w:pPr>
      <w:r w:rsidRPr="00D46A70">
        <w:rPr>
          <w:rFonts w:ascii="Times New Roman" w:eastAsia="맑은 고딕" w:hAnsi="Times New Roman" w:cs="Times New Roman"/>
          <w:b/>
          <w:szCs w:val="24"/>
        </w:rPr>
        <w:t xml:space="preserve">Supplementary </w:t>
      </w:r>
      <w:r w:rsidR="0089661C">
        <w:rPr>
          <w:rFonts w:ascii="Times New Roman" w:eastAsia="맑은 고딕" w:hAnsi="Times New Roman" w:cs="Times New Roman"/>
          <w:b/>
          <w:szCs w:val="24"/>
        </w:rPr>
        <w:t>F</w:t>
      </w:r>
      <w:r w:rsidR="00CD304F" w:rsidRPr="00CD304F">
        <w:rPr>
          <w:rFonts w:ascii="Times New Roman" w:eastAsia="맑은 고딕" w:hAnsi="Times New Roman" w:cs="Times New Roman"/>
          <w:b/>
          <w:szCs w:val="24"/>
        </w:rPr>
        <w:t xml:space="preserve">igure </w:t>
      </w:r>
      <w:r w:rsidR="00CD304F">
        <w:rPr>
          <w:rFonts w:ascii="Times New Roman" w:eastAsia="맑은 고딕" w:hAnsi="Times New Roman" w:cs="Times New Roman"/>
          <w:b/>
          <w:szCs w:val="24"/>
        </w:rPr>
        <w:t>7</w:t>
      </w:r>
      <w:r w:rsidR="00CD304F" w:rsidRPr="00CD304F">
        <w:rPr>
          <w:rFonts w:ascii="Times New Roman" w:eastAsia="맑은 고딕" w:hAnsi="Times New Roman" w:cs="Times New Roman"/>
          <w:b/>
          <w:szCs w:val="24"/>
        </w:rPr>
        <w:t xml:space="preserve">. Funnel plot of </w:t>
      </w:r>
      <w:r w:rsidR="00236992">
        <w:rPr>
          <w:rFonts w:ascii="Times New Roman" w:eastAsia="맑은 고딕" w:hAnsi="Times New Roman" w:cs="Times New Roman"/>
          <w:b/>
          <w:szCs w:val="24"/>
        </w:rPr>
        <w:t xml:space="preserve">primary </w:t>
      </w:r>
      <w:r w:rsidR="00CD304F" w:rsidRPr="00CD304F">
        <w:rPr>
          <w:rFonts w:ascii="Times New Roman" w:eastAsia="맑은 고딕" w:hAnsi="Times New Roman" w:cs="Times New Roman"/>
          <w:b/>
          <w:szCs w:val="24"/>
        </w:rPr>
        <w:t xml:space="preserve">studies that investigated </w:t>
      </w:r>
      <w:r w:rsidR="00CD304F">
        <w:rPr>
          <w:rFonts w:ascii="Times New Roman" w:eastAsia="맑은 고딕" w:hAnsi="Times New Roman" w:cs="Times New Roman"/>
          <w:b/>
          <w:szCs w:val="24"/>
        </w:rPr>
        <w:t>IL-6</w:t>
      </w:r>
      <w:r w:rsidR="00CD304F" w:rsidRPr="00CD304F">
        <w:rPr>
          <w:rFonts w:ascii="Times New Roman" w:eastAsia="맑은 고딕" w:hAnsi="Times New Roman" w:cs="Times New Roman"/>
          <w:b/>
          <w:szCs w:val="24"/>
        </w:rPr>
        <w:t>.</w:t>
      </w:r>
      <w:r w:rsidR="00236992">
        <w:rPr>
          <w:rFonts w:ascii="Times New Roman" w:eastAsia="맑은 고딕" w:hAnsi="Times New Roman" w:cs="Times New Roman"/>
          <w:b/>
          <w:szCs w:val="24"/>
        </w:rPr>
        <w:t xml:space="preserve"> </w:t>
      </w:r>
      <w:r w:rsidR="00236992">
        <w:rPr>
          <w:rFonts w:ascii="Times New Roman" w:eastAsia="맑은 고딕" w:hAnsi="Times New Roman" w:cs="Times New Roman"/>
          <w:bCs/>
          <w:szCs w:val="24"/>
        </w:rPr>
        <w:t>IL-6</w:t>
      </w:r>
      <w:r w:rsidR="0002042F">
        <w:rPr>
          <w:rFonts w:ascii="Times New Roman" w:eastAsia="맑은 고딕" w:hAnsi="Times New Roman" w:cs="Times New Roman"/>
          <w:bCs/>
          <w:szCs w:val="24"/>
        </w:rPr>
        <w:t xml:space="preserve">, </w:t>
      </w:r>
      <w:r w:rsidR="00236992">
        <w:rPr>
          <w:rFonts w:ascii="Times New Roman" w:eastAsia="맑은 고딕" w:hAnsi="Times New Roman" w:cs="Times New Roman"/>
          <w:bCs/>
          <w:szCs w:val="24"/>
        </w:rPr>
        <w:t>interleukin 6.</w:t>
      </w:r>
    </w:p>
    <w:p w14:paraId="09350566" w14:textId="77777777" w:rsidR="00CD304F" w:rsidRDefault="00CD304F">
      <w:pPr>
        <w:widowControl/>
        <w:wordWrap/>
        <w:autoSpaceDE/>
        <w:autoSpaceDN/>
        <w:rPr>
          <w:rFonts w:ascii="Times New Roman" w:eastAsia="맑은 고딕" w:hAnsi="Times New Roman" w:cs="Times New Roman"/>
          <w:b/>
          <w:szCs w:val="24"/>
        </w:rPr>
      </w:pPr>
      <w:r>
        <w:rPr>
          <w:rFonts w:ascii="Times New Roman" w:eastAsia="맑은 고딕" w:hAnsi="Times New Roman" w:cs="Times New Roman"/>
          <w:b/>
          <w:szCs w:val="24"/>
        </w:rPr>
        <w:br w:type="page"/>
      </w:r>
    </w:p>
    <w:p w14:paraId="521CBF12" w14:textId="6FBC56DD" w:rsidR="00237CF7" w:rsidRDefault="00EC3E31" w:rsidP="00CD304F">
      <w:pPr>
        <w:widowControl/>
        <w:wordWrap/>
        <w:autoSpaceDE/>
        <w:autoSpaceDN/>
        <w:jc w:val="center"/>
        <w:rPr>
          <w:rFonts w:ascii="Times New Roman" w:eastAsia="맑은 고딕" w:hAnsi="Times New Roman" w:cs="Times New Roman"/>
          <w:b/>
          <w:szCs w:val="24"/>
        </w:rPr>
      </w:pPr>
      <w:r>
        <w:rPr>
          <w:rFonts w:ascii="Times New Roman" w:eastAsia="맑은 고딕" w:hAnsi="Times New Roman" w:cs="Times New Roman"/>
          <w:b/>
          <w:noProof/>
          <w:szCs w:val="24"/>
        </w:rPr>
        <w:lastRenderedPageBreak/>
        <w:drawing>
          <wp:inline distT="0" distB="0" distL="0" distR="0" wp14:anchorId="70A156DE" wp14:editId="7AA0391F">
            <wp:extent cx="5727700" cy="4000500"/>
            <wp:effectExtent l="0" t="0" r="635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4000500"/>
                    </a:xfrm>
                    <a:prstGeom prst="rect">
                      <a:avLst/>
                    </a:prstGeom>
                    <a:noFill/>
                    <a:ln>
                      <a:noFill/>
                    </a:ln>
                  </pic:spPr>
                </pic:pic>
              </a:graphicData>
            </a:graphic>
          </wp:inline>
        </w:drawing>
      </w:r>
    </w:p>
    <w:p w14:paraId="33DAE50A" w14:textId="5F209CE2" w:rsidR="00CD304F" w:rsidRPr="00557027" w:rsidRDefault="00D46A70" w:rsidP="000F6CF8">
      <w:pPr>
        <w:widowControl/>
        <w:wordWrap/>
        <w:autoSpaceDE/>
        <w:autoSpaceDN/>
        <w:jc w:val="left"/>
        <w:rPr>
          <w:rFonts w:ascii="Times New Roman" w:eastAsia="맑은 고딕" w:hAnsi="Times New Roman" w:cs="Times New Roman"/>
          <w:bCs/>
          <w:szCs w:val="24"/>
        </w:rPr>
      </w:pPr>
      <w:r w:rsidRPr="00D46A70">
        <w:rPr>
          <w:rFonts w:ascii="Times New Roman" w:eastAsia="맑은 고딕" w:hAnsi="Times New Roman" w:cs="Times New Roman"/>
          <w:b/>
          <w:szCs w:val="24"/>
        </w:rPr>
        <w:t xml:space="preserve">Supplementary </w:t>
      </w:r>
      <w:r w:rsidR="0089661C">
        <w:rPr>
          <w:rFonts w:ascii="Times New Roman" w:eastAsia="맑은 고딕" w:hAnsi="Times New Roman" w:cs="Times New Roman"/>
          <w:b/>
          <w:szCs w:val="24"/>
        </w:rPr>
        <w:t>F</w:t>
      </w:r>
      <w:r w:rsidR="00CD304F" w:rsidRPr="00CD304F">
        <w:rPr>
          <w:rFonts w:ascii="Times New Roman" w:eastAsia="맑은 고딕" w:hAnsi="Times New Roman" w:cs="Times New Roman"/>
          <w:b/>
          <w:szCs w:val="24"/>
        </w:rPr>
        <w:t xml:space="preserve">igure </w:t>
      </w:r>
      <w:r w:rsidR="00CD304F">
        <w:rPr>
          <w:rFonts w:ascii="Times New Roman" w:eastAsia="맑은 고딕" w:hAnsi="Times New Roman" w:cs="Times New Roman"/>
          <w:b/>
          <w:szCs w:val="24"/>
        </w:rPr>
        <w:t>8</w:t>
      </w:r>
      <w:r w:rsidR="00CD304F" w:rsidRPr="00CD304F">
        <w:rPr>
          <w:rFonts w:ascii="Times New Roman" w:eastAsia="맑은 고딕" w:hAnsi="Times New Roman" w:cs="Times New Roman"/>
          <w:b/>
          <w:szCs w:val="24"/>
        </w:rPr>
        <w:t xml:space="preserve">. Funnel plot of </w:t>
      </w:r>
      <w:r w:rsidR="00236992">
        <w:rPr>
          <w:rFonts w:ascii="Times New Roman" w:eastAsia="맑은 고딕" w:hAnsi="Times New Roman" w:cs="Times New Roman"/>
          <w:b/>
          <w:szCs w:val="24"/>
        </w:rPr>
        <w:t xml:space="preserve">primary </w:t>
      </w:r>
      <w:r w:rsidR="00CD304F" w:rsidRPr="00CD304F">
        <w:rPr>
          <w:rFonts w:ascii="Times New Roman" w:eastAsia="맑은 고딕" w:hAnsi="Times New Roman" w:cs="Times New Roman"/>
          <w:b/>
          <w:szCs w:val="24"/>
        </w:rPr>
        <w:t xml:space="preserve">studies that investigated </w:t>
      </w:r>
      <w:r w:rsidR="00CD304F">
        <w:rPr>
          <w:rFonts w:ascii="Times New Roman" w:eastAsia="맑은 고딕" w:hAnsi="Times New Roman" w:cs="Times New Roman"/>
          <w:b/>
          <w:szCs w:val="24"/>
        </w:rPr>
        <w:t>CRP</w:t>
      </w:r>
      <w:r w:rsidR="00CD304F" w:rsidRPr="00CD304F">
        <w:rPr>
          <w:rFonts w:ascii="Times New Roman" w:eastAsia="맑은 고딕" w:hAnsi="Times New Roman" w:cs="Times New Roman"/>
          <w:b/>
          <w:szCs w:val="24"/>
        </w:rPr>
        <w:t>.</w:t>
      </w:r>
      <w:r w:rsidR="00236992">
        <w:rPr>
          <w:rFonts w:ascii="Times New Roman" w:eastAsia="맑은 고딕" w:hAnsi="Times New Roman" w:cs="Times New Roman"/>
          <w:b/>
          <w:szCs w:val="24"/>
        </w:rPr>
        <w:t xml:space="preserve"> </w:t>
      </w:r>
      <w:r w:rsidR="00236992">
        <w:rPr>
          <w:rFonts w:ascii="Times New Roman" w:eastAsia="맑은 고딕" w:hAnsi="Times New Roman" w:cs="Times New Roman"/>
          <w:bCs/>
          <w:szCs w:val="24"/>
        </w:rPr>
        <w:t>CRP</w:t>
      </w:r>
      <w:r w:rsidR="00D67D7B">
        <w:rPr>
          <w:rFonts w:ascii="Times New Roman" w:eastAsia="맑은 고딕" w:hAnsi="Times New Roman" w:cs="Times New Roman"/>
          <w:bCs/>
          <w:szCs w:val="24"/>
        </w:rPr>
        <w:t xml:space="preserve">, </w:t>
      </w:r>
      <w:r w:rsidR="00236992">
        <w:rPr>
          <w:rFonts w:ascii="Times New Roman" w:eastAsia="맑은 고딕" w:hAnsi="Times New Roman" w:cs="Times New Roman"/>
          <w:bCs/>
          <w:szCs w:val="24"/>
        </w:rPr>
        <w:t>C-reactive protein.</w:t>
      </w:r>
    </w:p>
    <w:p w14:paraId="6F917FC1" w14:textId="77777777" w:rsidR="00CD304F" w:rsidRPr="00CD304F" w:rsidRDefault="00CD304F" w:rsidP="00CD304F">
      <w:pPr>
        <w:widowControl/>
        <w:wordWrap/>
        <w:autoSpaceDE/>
        <w:autoSpaceDN/>
        <w:jc w:val="center"/>
        <w:rPr>
          <w:rFonts w:ascii="Times New Roman" w:eastAsia="맑은 고딕" w:hAnsi="Times New Roman" w:cs="Times New Roman"/>
          <w:b/>
          <w:szCs w:val="24"/>
        </w:rPr>
      </w:pPr>
    </w:p>
    <w:p w14:paraId="3BDF0820" w14:textId="77777777" w:rsidR="008662B2" w:rsidRPr="00CD304F" w:rsidRDefault="008662B2" w:rsidP="008662B2">
      <w:pPr>
        <w:widowControl/>
        <w:wordWrap/>
        <w:autoSpaceDE/>
        <w:autoSpaceDN/>
        <w:spacing w:after="0" w:line="480" w:lineRule="auto"/>
        <w:jc w:val="center"/>
        <w:rPr>
          <w:rFonts w:ascii="Times New Roman" w:hAnsi="Times New Roman" w:cs="Times New Roman"/>
          <w:b/>
          <w:szCs w:val="24"/>
        </w:rPr>
      </w:pPr>
    </w:p>
    <w:p w14:paraId="76477496" w14:textId="3DF1D3EF" w:rsidR="008662B2" w:rsidRDefault="00165D63" w:rsidP="001147C9">
      <w:pPr>
        <w:widowControl/>
        <w:wordWrap/>
        <w:autoSpaceDE/>
        <w:autoSpaceDN/>
        <w:rPr>
          <w:rFonts w:ascii="Times New Roman" w:hAnsi="Times New Roman" w:cs="Times New Roman"/>
          <w:b/>
          <w:sz w:val="24"/>
          <w:szCs w:val="24"/>
        </w:rPr>
      </w:pPr>
      <w:r>
        <w:rPr>
          <w:rFonts w:ascii="Times New Roman" w:hAnsi="Times New Roman" w:cs="Times New Roman"/>
          <w:b/>
          <w:szCs w:val="24"/>
        </w:rPr>
        <w:br w:type="page"/>
      </w:r>
      <w:r w:rsidR="00D46A70" w:rsidRPr="00D46A70">
        <w:rPr>
          <w:rFonts w:ascii="Times New Roman" w:hAnsi="Times New Roman" w:cs="Times New Roman"/>
          <w:b/>
          <w:sz w:val="24"/>
          <w:szCs w:val="24"/>
        </w:rPr>
        <w:lastRenderedPageBreak/>
        <w:t xml:space="preserve">Supplementary </w:t>
      </w:r>
      <w:r w:rsidR="0089661C">
        <w:rPr>
          <w:rFonts w:ascii="Times New Roman" w:hAnsi="Times New Roman" w:cs="Times New Roman"/>
          <w:b/>
          <w:sz w:val="24"/>
          <w:szCs w:val="24"/>
        </w:rPr>
        <w:t>R</w:t>
      </w:r>
      <w:r>
        <w:rPr>
          <w:rFonts w:ascii="Times New Roman" w:hAnsi="Times New Roman" w:cs="Times New Roman"/>
          <w:b/>
          <w:sz w:val="24"/>
          <w:szCs w:val="24"/>
        </w:rPr>
        <w:t>eferences</w:t>
      </w:r>
    </w:p>
    <w:p w14:paraId="6A571629" w14:textId="3E019C26"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Ai, A. L., Kronfol, Z., Seymour, E., &amp; Bolling, S. F. (2005). Effects of mood state and psychosocial functioning on plasma Interleukin-6 in adult patients before cardiac surgery. </w:t>
      </w:r>
      <w:r w:rsidR="003E0E54" w:rsidRPr="00864B25">
        <w:rPr>
          <w:rFonts w:ascii="Times New Roman" w:hAnsi="Times New Roman" w:cs="Times New Roman"/>
          <w:i/>
          <w:sz w:val="24"/>
          <w:szCs w:val="24"/>
        </w:rPr>
        <w:t>International Journal of Psychiatry in Medicine, 35</w:t>
      </w:r>
      <w:r w:rsidR="003E0E54" w:rsidRPr="00864B25">
        <w:rPr>
          <w:rFonts w:ascii="Times New Roman" w:hAnsi="Times New Roman" w:cs="Times New Roman"/>
          <w:sz w:val="24"/>
          <w:szCs w:val="24"/>
        </w:rPr>
        <w:t>(4), 363-376. doi: 10.2190/2elg-rdun-x6tu-fgc8</w:t>
      </w:r>
    </w:p>
    <w:p w14:paraId="378401AB" w14:textId="0AAC70B2"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Alcocer-Gomez, E., de Miguel, M., Casas-Barquero, N., Nunez-Vasco, J., Sanchez-Alcazar, J. A., Fernandez-Rodriguez, A., &amp; Cordero, M. D. (2014). NLRP3 inflammasome is activated in mononuclear blood cells from patients with major depressive disorder. </w:t>
      </w:r>
      <w:r w:rsidR="003E0E54" w:rsidRPr="00864B25">
        <w:rPr>
          <w:rFonts w:ascii="Times New Roman" w:hAnsi="Times New Roman" w:cs="Times New Roman"/>
          <w:i/>
          <w:sz w:val="24"/>
          <w:szCs w:val="24"/>
        </w:rPr>
        <w:t>Brain, Behavior and Immunity, 36</w:t>
      </w:r>
      <w:r w:rsidR="003E0E54" w:rsidRPr="00864B25">
        <w:rPr>
          <w:rFonts w:ascii="Times New Roman" w:hAnsi="Times New Roman" w:cs="Times New Roman"/>
          <w:sz w:val="24"/>
          <w:szCs w:val="24"/>
        </w:rPr>
        <w:t>, 111-117. doi: 10.1016/j.bbi.2013.10.017</w:t>
      </w:r>
    </w:p>
    <w:p w14:paraId="3195F6A7" w14:textId="4585C7AC" w:rsidR="003E0E54"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Alesci, S., Martinez, P. E., Kelkar, S., Ilias, I., Ronsaville, D. S., Listwak, S. J., . . . Gold, P. W. (2005). Major depression is associated with significant diurnal elevations in plasma interleukin-6 levels, a shift of its circadian rhythm, and loss of physiological complexity in its secretion: clinical implications. </w:t>
      </w:r>
      <w:r w:rsidR="003E0E54" w:rsidRPr="00864B25">
        <w:rPr>
          <w:rFonts w:ascii="Times New Roman" w:hAnsi="Times New Roman" w:cs="Times New Roman"/>
          <w:i/>
          <w:sz w:val="24"/>
          <w:szCs w:val="24"/>
        </w:rPr>
        <w:t>Journal of Clinical Endocrinology and Metabolism, 90</w:t>
      </w:r>
      <w:r w:rsidR="003E0E54" w:rsidRPr="00864B25">
        <w:rPr>
          <w:rFonts w:ascii="Times New Roman" w:hAnsi="Times New Roman" w:cs="Times New Roman"/>
          <w:sz w:val="24"/>
          <w:szCs w:val="24"/>
        </w:rPr>
        <w:t>(5), 2522-2530. doi: 10.1210/jc.2004-1667</w:t>
      </w:r>
    </w:p>
    <w:p w14:paraId="0B9F4E22" w14:textId="7F663B51" w:rsidR="00BD6DE5" w:rsidRPr="00864B25" w:rsidRDefault="00BD6DE5" w:rsidP="00BD6DE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864B25">
        <w:rPr>
          <w:rFonts w:ascii="Times New Roman" w:hAnsi="Times New Roman" w:cs="Times New Roman"/>
          <w:sz w:val="24"/>
          <w:szCs w:val="24"/>
        </w:rPr>
        <w:t xml:space="preserve">Al-Hakeim, H. K., Al-Rammahi, D. A., &amp; Al-Dujaili, A. H. (2015). IL-6, IL-18, sIL-2R, and TNFα proinflammatory markers in depression and schizophrenia patients who are free of overt inflammation. </w:t>
      </w:r>
      <w:r w:rsidRPr="00864B25">
        <w:rPr>
          <w:rFonts w:ascii="Times New Roman" w:hAnsi="Times New Roman" w:cs="Times New Roman"/>
          <w:i/>
          <w:sz w:val="24"/>
          <w:szCs w:val="24"/>
        </w:rPr>
        <w:t>Journal of Affective Disorders, 182</w:t>
      </w:r>
      <w:r w:rsidRPr="00864B25">
        <w:rPr>
          <w:rFonts w:ascii="Times New Roman" w:hAnsi="Times New Roman" w:cs="Times New Roman"/>
          <w:sz w:val="24"/>
          <w:szCs w:val="24"/>
        </w:rPr>
        <w:t xml:space="preserve">, 106-114. </w:t>
      </w:r>
    </w:p>
    <w:p w14:paraId="48584689" w14:textId="7A281776"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Allen, A. P., Naughton, M., Dowling, J., Walsh, A., O'Shea, R., Shorten, G., . . . Dinan, T. G. (2018). Kynurenine pathway metabolism and the neurobiology of treatment-resistant depression: Comparison of multiple ketamine infusions and electroconvulsive therapy. </w:t>
      </w:r>
      <w:r w:rsidR="003E0E54" w:rsidRPr="00864B25">
        <w:rPr>
          <w:rFonts w:ascii="Times New Roman" w:hAnsi="Times New Roman" w:cs="Times New Roman"/>
          <w:i/>
          <w:sz w:val="24"/>
          <w:szCs w:val="24"/>
        </w:rPr>
        <w:t>Journal of Psychiatric Research, 100</w:t>
      </w:r>
      <w:r w:rsidR="003E0E54" w:rsidRPr="00864B25">
        <w:rPr>
          <w:rFonts w:ascii="Times New Roman" w:hAnsi="Times New Roman" w:cs="Times New Roman"/>
          <w:sz w:val="24"/>
          <w:szCs w:val="24"/>
        </w:rPr>
        <w:t>, 24-32. doi: 10.1016/j.jpsychires.2018.02.011</w:t>
      </w:r>
    </w:p>
    <w:p w14:paraId="7ADB2C63" w14:textId="7A47386D"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Almeida, O. P., Norman, P., Hankey, G. J., Jamrozik, K., &amp; Flicker, L. (2007). The association between C-reactive protein concentration and depression in later life is due to poor physical health: results from the Health in Men Study (HIMS). </w:t>
      </w:r>
      <w:r w:rsidR="003E0E54" w:rsidRPr="00864B25">
        <w:rPr>
          <w:rFonts w:ascii="Times New Roman" w:hAnsi="Times New Roman" w:cs="Times New Roman"/>
          <w:i/>
          <w:sz w:val="24"/>
          <w:szCs w:val="24"/>
        </w:rPr>
        <w:lastRenderedPageBreak/>
        <w:t>Psychological Medicine, 37</w:t>
      </w:r>
      <w:r w:rsidR="003E0E54" w:rsidRPr="00864B25">
        <w:rPr>
          <w:rFonts w:ascii="Times New Roman" w:hAnsi="Times New Roman" w:cs="Times New Roman"/>
          <w:sz w:val="24"/>
          <w:szCs w:val="24"/>
        </w:rPr>
        <w:t>(12), 1775-1786. doi: 10.1017/s0033291707000827</w:t>
      </w:r>
    </w:p>
    <w:p w14:paraId="31AF2C7C" w14:textId="54651EBD"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Andrei, A. M., Fraguas, R., Jr., Telles, R. M., Alves, T. C., Strunz, C. M., Nussbacher, A., . . . Wajngarten, M. (2007). Major depressive disorder and inflammatory markers in elderly patients with heart failure. </w:t>
      </w:r>
      <w:r w:rsidR="003E0E54" w:rsidRPr="00864B25">
        <w:rPr>
          <w:rFonts w:ascii="Times New Roman" w:hAnsi="Times New Roman" w:cs="Times New Roman"/>
          <w:i/>
          <w:sz w:val="24"/>
          <w:szCs w:val="24"/>
        </w:rPr>
        <w:t>Psychosomatics, 48</w:t>
      </w:r>
      <w:r w:rsidR="003E0E54" w:rsidRPr="00864B25">
        <w:rPr>
          <w:rFonts w:ascii="Times New Roman" w:hAnsi="Times New Roman" w:cs="Times New Roman"/>
          <w:sz w:val="24"/>
          <w:szCs w:val="24"/>
        </w:rPr>
        <w:t>(4), 319-324. doi: 10.1176/appi.psy.48.4.319</w:t>
      </w:r>
    </w:p>
    <w:p w14:paraId="7E14CCA1" w14:textId="584C172A"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Arai, H., Takechi, H., Wada, T., Ishine, M., Wakatsuki, Y., Horiuchi, H., . . . Kita, T. (2006). Usefulness of measuring serum markers in addition to comprehensive geriatric assessment for cognitive impairment and depressive mood in the elderly. </w:t>
      </w:r>
      <w:r w:rsidR="003E0E54" w:rsidRPr="00864B25">
        <w:rPr>
          <w:rFonts w:ascii="Times New Roman" w:hAnsi="Times New Roman" w:cs="Times New Roman"/>
          <w:i/>
          <w:sz w:val="24"/>
          <w:szCs w:val="24"/>
        </w:rPr>
        <w:t>Geriatrics &amp; Gerontology International, 6</w:t>
      </w:r>
      <w:r w:rsidR="003E0E54" w:rsidRPr="00864B25">
        <w:rPr>
          <w:rFonts w:ascii="Times New Roman" w:hAnsi="Times New Roman" w:cs="Times New Roman"/>
          <w:sz w:val="24"/>
          <w:szCs w:val="24"/>
        </w:rPr>
        <w:t xml:space="preserve">(1), 7-14. </w:t>
      </w:r>
    </w:p>
    <w:p w14:paraId="0AE6FA46" w14:textId="38744766"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Baek, D., &amp; Park, Y. (2013). Association between erythrocyte n-3 polyunsaturated fatty acids and biomarkers of inflammation and oxidative stress in patients with and without depression. </w:t>
      </w:r>
      <w:r w:rsidR="003E0E54" w:rsidRPr="00864B25">
        <w:rPr>
          <w:rFonts w:ascii="Times New Roman" w:hAnsi="Times New Roman" w:cs="Times New Roman"/>
          <w:i/>
          <w:sz w:val="24"/>
          <w:szCs w:val="24"/>
        </w:rPr>
        <w:t>Prostaglandins, Leukotrienes and Essential Fatty Acids, 89</w:t>
      </w:r>
      <w:r w:rsidR="003E0E54" w:rsidRPr="00864B25">
        <w:rPr>
          <w:rFonts w:ascii="Times New Roman" w:hAnsi="Times New Roman" w:cs="Times New Roman"/>
          <w:sz w:val="24"/>
          <w:szCs w:val="24"/>
        </w:rPr>
        <w:t>(5), 291-296. doi: 10.1016/j.plefa.2013.09.008</w:t>
      </w:r>
    </w:p>
    <w:p w14:paraId="59327FE5" w14:textId="034BA59D"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Bahrini, L., Ouanes, S., &amp; Ghachem, R. (2016). Inflammatory profile in depression and associated clinical and sociodemographic features in a Middle-Eastern North-African population. </w:t>
      </w:r>
      <w:r w:rsidR="003E0E54" w:rsidRPr="00864B25">
        <w:rPr>
          <w:rFonts w:ascii="Times New Roman" w:hAnsi="Times New Roman" w:cs="Times New Roman"/>
          <w:i/>
          <w:sz w:val="24"/>
          <w:szCs w:val="24"/>
        </w:rPr>
        <w:t>Journal of Affective Disorders, 198</w:t>
      </w:r>
      <w:r w:rsidR="003E0E54" w:rsidRPr="00864B25">
        <w:rPr>
          <w:rFonts w:ascii="Times New Roman" w:hAnsi="Times New Roman" w:cs="Times New Roman"/>
          <w:sz w:val="24"/>
          <w:szCs w:val="24"/>
        </w:rPr>
        <w:t>, 122-126. doi: 10.1016/j.jad.2016.03.036</w:t>
      </w:r>
    </w:p>
    <w:p w14:paraId="28B880B5" w14:textId="115BAFE1"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Bai, Y. M., Su, T. P., Tsai, S. J., Wen-Fei, C., Li, C. T., Pei-Chi, T., &amp; Mu-Hong, C. (2014). Comparison of inflammatory cytokine levels among type I/type II and manic/hypomanic/euthymic/depressive states of bipolar disorder. </w:t>
      </w:r>
      <w:r w:rsidR="003E0E54" w:rsidRPr="00864B25">
        <w:rPr>
          <w:rFonts w:ascii="Times New Roman" w:hAnsi="Times New Roman" w:cs="Times New Roman"/>
          <w:i/>
          <w:sz w:val="24"/>
          <w:szCs w:val="24"/>
        </w:rPr>
        <w:t>Journal of Affective Disorders, 166</w:t>
      </w:r>
      <w:r w:rsidR="003E0E54" w:rsidRPr="00864B25">
        <w:rPr>
          <w:rFonts w:ascii="Times New Roman" w:hAnsi="Times New Roman" w:cs="Times New Roman"/>
          <w:sz w:val="24"/>
          <w:szCs w:val="24"/>
        </w:rPr>
        <w:t>, 187-192. doi: 10.1016/j.jad.2014.05.009</w:t>
      </w:r>
    </w:p>
    <w:p w14:paraId="7F418FE8" w14:textId="25AFF1A1"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Basterzi, A. D., Aydemir, C., Kisa, C., Aksaray, S., Tuzer, V., Yazici, K., &amp; Goka, E. (2005). IL-6 levels decrease with SSRI treatment in patients with major depression. </w:t>
      </w:r>
      <w:r w:rsidR="003E0E54" w:rsidRPr="00864B25">
        <w:rPr>
          <w:rFonts w:ascii="Times New Roman" w:hAnsi="Times New Roman" w:cs="Times New Roman"/>
          <w:i/>
          <w:sz w:val="24"/>
          <w:szCs w:val="24"/>
        </w:rPr>
        <w:t>Human Psychopharmacology, 20</w:t>
      </w:r>
      <w:r w:rsidR="003E0E54" w:rsidRPr="00864B25">
        <w:rPr>
          <w:rFonts w:ascii="Times New Roman" w:hAnsi="Times New Roman" w:cs="Times New Roman"/>
          <w:sz w:val="24"/>
          <w:szCs w:val="24"/>
        </w:rPr>
        <w:t>(7), 473-476. doi: 10.1002/hup.717</w:t>
      </w:r>
    </w:p>
    <w:p w14:paraId="1356308A" w14:textId="7B726D6C"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Berk, M., Wadee, A. A., Kuschke, R. H., &amp; O'Neill-Kerr, A. (1997). Acute phase proteins in major depression. </w:t>
      </w:r>
      <w:r w:rsidR="003E0E54" w:rsidRPr="00864B25">
        <w:rPr>
          <w:rFonts w:ascii="Times New Roman" w:hAnsi="Times New Roman" w:cs="Times New Roman"/>
          <w:i/>
          <w:sz w:val="24"/>
          <w:szCs w:val="24"/>
        </w:rPr>
        <w:t>Journal of Psychosomatic Research, 43</w:t>
      </w:r>
      <w:r w:rsidR="003E0E54" w:rsidRPr="00864B25">
        <w:rPr>
          <w:rFonts w:ascii="Times New Roman" w:hAnsi="Times New Roman" w:cs="Times New Roman"/>
          <w:sz w:val="24"/>
          <w:szCs w:val="24"/>
        </w:rPr>
        <w:t xml:space="preserve">(5), 529-534. </w:t>
      </w:r>
    </w:p>
    <w:p w14:paraId="2E436725" w14:textId="22B2BA1F"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lastRenderedPageBreak/>
        <w:t>14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Blom, E. H., Lekander, M., Ingvar, M., Åsberg, M., Mobarrez, F., &amp; Serlachius, E. (2012). Pro-inflammatory cytokines are elevated in adolescent females with emotional disorders not treated with SSRIs. </w:t>
      </w:r>
      <w:r w:rsidR="003E0E54" w:rsidRPr="00864B25">
        <w:rPr>
          <w:rFonts w:ascii="Times New Roman" w:hAnsi="Times New Roman" w:cs="Times New Roman"/>
          <w:i/>
          <w:sz w:val="24"/>
          <w:szCs w:val="24"/>
        </w:rPr>
        <w:t>Journal of Affective Disorders, 136</w:t>
      </w:r>
      <w:r w:rsidR="003E0E54" w:rsidRPr="00864B25">
        <w:rPr>
          <w:rFonts w:ascii="Times New Roman" w:hAnsi="Times New Roman" w:cs="Times New Roman"/>
          <w:sz w:val="24"/>
          <w:szCs w:val="24"/>
        </w:rPr>
        <w:t xml:space="preserve">(3), 716-723. </w:t>
      </w:r>
    </w:p>
    <w:p w14:paraId="0DC68DC8" w14:textId="70005C43"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Brambilla, F., &amp; Maggioni, M. (1998). Blood levels of cytokines in elderly patients with major depressive disorder. </w:t>
      </w:r>
      <w:r w:rsidR="003E0E54" w:rsidRPr="00864B25">
        <w:rPr>
          <w:rFonts w:ascii="Times New Roman" w:hAnsi="Times New Roman" w:cs="Times New Roman"/>
          <w:i/>
          <w:sz w:val="24"/>
          <w:szCs w:val="24"/>
        </w:rPr>
        <w:t>Acta Psychiatrica Scandinavica, 97</w:t>
      </w:r>
      <w:r w:rsidR="003E0E54" w:rsidRPr="00864B25">
        <w:rPr>
          <w:rFonts w:ascii="Times New Roman" w:hAnsi="Times New Roman" w:cs="Times New Roman"/>
          <w:sz w:val="24"/>
          <w:szCs w:val="24"/>
        </w:rPr>
        <w:t xml:space="preserve">(4), 309-313. </w:t>
      </w:r>
    </w:p>
    <w:p w14:paraId="6CE27AD3" w14:textId="6C8892CD"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Brambilla, F., Monteleone, P., &amp; Maj, M. (2004). Interleukin-1beta and tumor necrosis factor-alpha in children with major depressive disorder or dysthymia. </w:t>
      </w:r>
      <w:r w:rsidR="003E0E54" w:rsidRPr="00864B25">
        <w:rPr>
          <w:rFonts w:ascii="Times New Roman" w:hAnsi="Times New Roman" w:cs="Times New Roman"/>
          <w:i/>
          <w:sz w:val="24"/>
          <w:szCs w:val="24"/>
        </w:rPr>
        <w:t>Journal of Affective Disorders, 78</w:t>
      </w:r>
      <w:r w:rsidR="003E0E54" w:rsidRPr="00864B25">
        <w:rPr>
          <w:rFonts w:ascii="Times New Roman" w:hAnsi="Times New Roman" w:cs="Times New Roman"/>
          <w:sz w:val="24"/>
          <w:szCs w:val="24"/>
        </w:rPr>
        <w:t>(3), 273-277. doi: 10.1016/s0165-0327(02)00315-4</w:t>
      </w:r>
    </w:p>
    <w:p w14:paraId="2CA347FA" w14:textId="56AF139E"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Bremmer, M. A., Beekman, A. T., Deeg, D. J., Penninx, B. W., Dik, M. G., Hack, C. E., &amp; Hoogendijk, W. J. (2008). Inflammatory markers in late-life depression: results from a population-based study. </w:t>
      </w:r>
      <w:r w:rsidR="003E0E54" w:rsidRPr="00864B25">
        <w:rPr>
          <w:rFonts w:ascii="Times New Roman" w:hAnsi="Times New Roman" w:cs="Times New Roman"/>
          <w:i/>
          <w:sz w:val="24"/>
          <w:szCs w:val="24"/>
        </w:rPr>
        <w:t>Journal of Affective Disorders, 106</w:t>
      </w:r>
      <w:r w:rsidR="003E0E54" w:rsidRPr="00864B25">
        <w:rPr>
          <w:rFonts w:ascii="Times New Roman" w:hAnsi="Times New Roman" w:cs="Times New Roman"/>
          <w:sz w:val="24"/>
          <w:szCs w:val="24"/>
        </w:rPr>
        <w:t>(3), 249-255. doi: 10.1016/j.jad.2007.07.002</w:t>
      </w:r>
    </w:p>
    <w:p w14:paraId="09A17DF1" w14:textId="5D1E1EB3"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Brietzke, E., Stertz, L., Fernandes, B. S., Kauer-Sant'anna, M., Mascarenhas, M., Escosteguy Vargas, A., . . . Kapczinski, F. (2009). Comparison of cytokine levels in depressed, manic and euthymic patients with bipolar disorder. </w:t>
      </w:r>
      <w:r w:rsidR="003E0E54" w:rsidRPr="00864B25">
        <w:rPr>
          <w:rFonts w:ascii="Times New Roman" w:hAnsi="Times New Roman" w:cs="Times New Roman"/>
          <w:i/>
          <w:sz w:val="24"/>
          <w:szCs w:val="24"/>
        </w:rPr>
        <w:t>Journal of Affective Disorders, 116</w:t>
      </w:r>
      <w:r w:rsidR="003E0E54" w:rsidRPr="00864B25">
        <w:rPr>
          <w:rFonts w:ascii="Times New Roman" w:hAnsi="Times New Roman" w:cs="Times New Roman"/>
          <w:sz w:val="24"/>
          <w:szCs w:val="24"/>
        </w:rPr>
        <w:t>(3), 214-217. doi: 10.1016/j.jad.2008.12.001</w:t>
      </w:r>
    </w:p>
    <w:p w14:paraId="52B23834" w14:textId="1FE5ADBB"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Camardese, G., Pizi, G., Marino, M., Bartoccioni, E., Grillo, R., Mattioli, B., . . . Bria, P. (2011). Immune-inflammatory response changes in patients with major depressive disorder. </w:t>
      </w:r>
      <w:r w:rsidR="003E0E54" w:rsidRPr="00864B25">
        <w:rPr>
          <w:rFonts w:ascii="Times New Roman" w:hAnsi="Times New Roman" w:cs="Times New Roman"/>
          <w:i/>
          <w:sz w:val="24"/>
          <w:szCs w:val="24"/>
        </w:rPr>
        <w:t>Journal of Psychopathology, 17</w:t>
      </w:r>
      <w:r w:rsidR="003E0E54" w:rsidRPr="00864B25">
        <w:rPr>
          <w:rFonts w:ascii="Times New Roman" w:hAnsi="Times New Roman" w:cs="Times New Roman"/>
          <w:sz w:val="24"/>
          <w:szCs w:val="24"/>
        </w:rPr>
        <w:t xml:space="preserve">, 396-403. </w:t>
      </w:r>
    </w:p>
    <w:p w14:paraId="3ADCD9CC" w14:textId="3DB1B3B3"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Carvalho, L. A., Juruena, M. F., Papadopoulos, A. S., Poon, L., Kerwin, R., Cleare, A. J., &amp; Pariante, C. M. (2008). Clomipramine in vitro reduces glucocorticoid receptor function in healthy subjects but not in patients with major depression. </w:t>
      </w:r>
      <w:r w:rsidR="003E0E54" w:rsidRPr="00864B25">
        <w:rPr>
          <w:rFonts w:ascii="Times New Roman" w:hAnsi="Times New Roman" w:cs="Times New Roman"/>
          <w:i/>
          <w:sz w:val="24"/>
          <w:szCs w:val="24"/>
        </w:rPr>
        <w:t>Neuropsychopharmacology : official publication of the American College of Neuropsychopharmacology, 33</w:t>
      </w:r>
      <w:r w:rsidR="003E0E54" w:rsidRPr="00864B25">
        <w:rPr>
          <w:rFonts w:ascii="Times New Roman" w:hAnsi="Times New Roman" w:cs="Times New Roman"/>
          <w:sz w:val="24"/>
          <w:szCs w:val="24"/>
        </w:rPr>
        <w:t>(13), 3182-3189. doi: 10.1038/npp.2008.44</w:t>
      </w:r>
    </w:p>
    <w:p w14:paraId="334D38BC" w14:textId="7B30D15F"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Carvalho, L. A., Torre, J. P., Papadopoulos, A. S., Poon, L., Juruena, M. F., Markopoulou, K., . . . Pariante, C. M. (2013). Lack of clinical therapeutic benefit of </w:t>
      </w:r>
      <w:r w:rsidR="003E0E54" w:rsidRPr="00864B25">
        <w:rPr>
          <w:rFonts w:ascii="Times New Roman" w:hAnsi="Times New Roman" w:cs="Times New Roman"/>
          <w:sz w:val="24"/>
          <w:szCs w:val="24"/>
        </w:rPr>
        <w:lastRenderedPageBreak/>
        <w:t xml:space="preserve">antidepressants is associated overall activation of the inflammatory system. </w:t>
      </w:r>
      <w:r w:rsidR="003E0E54" w:rsidRPr="00864B25">
        <w:rPr>
          <w:rFonts w:ascii="Times New Roman" w:hAnsi="Times New Roman" w:cs="Times New Roman"/>
          <w:i/>
          <w:sz w:val="24"/>
          <w:szCs w:val="24"/>
        </w:rPr>
        <w:t>Journal of Affective Disorders, 148</w:t>
      </w:r>
      <w:r w:rsidR="003E0E54" w:rsidRPr="00864B25">
        <w:rPr>
          <w:rFonts w:ascii="Times New Roman" w:hAnsi="Times New Roman" w:cs="Times New Roman"/>
          <w:sz w:val="24"/>
          <w:szCs w:val="24"/>
        </w:rPr>
        <w:t>(1), 136-140. doi: 10.1016/j.jad.2012.10.036</w:t>
      </w:r>
    </w:p>
    <w:p w14:paraId="49DC0415" w14:textId="7B819675"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Cepeda, M. S., Stang, P., &amp; Makadia, R. (2016). Depression Is Associated With High Levels of C-Reactive Protein and Low Levels of Fractional Exhaled Nitric Oxide: Results From the 2007-2012 National Health and Nutrition Examination Surveys. </w:t>
      </w:r>
      <w:r w:rsidR="003E0E54" w:rsidRPr="00864B25">
        <w:rPr>
          <w:rFonts w:ascii="Times New Roman" w:hAnsi="Times New Roman" w:cs="Times New Roman"/>
          <w:i/>
          <w:sz w:val="24"/>
          <w:szCs w:val="24"/>
        </w:rPr>
        <w:t>Journal of Clinical Psychiatry, 77</w:t>
      </w:r>
      <w:r w:rsidR="003E0E54" w:rsidRPr="00864B25">
        <w:rPr>
          <w:rFonts w:ascii="Times New Roman" w:hAnsi="Times New Roman" w:cs="Times New Roman"/>
          <w:sz w:val="24"/>
          <w:szCs w:val="24"/>
        </w:rPr>
        <w:t>(12), 1666-1671. doi: 10.4088/JCP.15m10267</w:t>
      </w:r>
    </w:p>
    <w:p w14:paraId="448ED2B9" w14:textId="475B7C69"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Chamberlain, S. R., Cavanagh, J., de Boer, P., Mondelli, V., Jones, D. N. C., Drevets, W. C., . . . Bullmore, E. T. (2019). Treatment-resistant depression and peripheral C-reactive protein. </w:t>
      </w:r>
      <w:r w:rsidR="003E0E54" w:rsidRPr="00864B25">
        <w:rPr>
          <w:rFonts w:ascii="Times New Roman" w:hAnsi="Times New Roman" w:cs="Times New Roman"/>
          <w:i/>
          <w:sz w:val="24"/>
          <w:szCs w:val="24"/>
        </w:rPr>
        <w:t>The British journal of psychiatry : the journal of mental science, 214</w:t>
      </w:r>
      <w:r w:rsidR="003E0E54" w:rsidRPr="00864B25">
        <w:rPr>
          <w:rFonts w:ascii="Times New Roman" w:hAnsi="Times New Roman" w:cs="Times New Roman"/>
          <w:sz w:val="24"/>
          <w:szCs w:val="24"/>
        </w:rPr>
        <w:t>(1), 11-19. doi: 10.1192/bjp.2018.66</w:t>
      </w:r>
    </w:p>
    <w:p w14:paraId="3D9F295E" w14:textId="57996D11"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Chang, H. H., Wang, T. Y., Lee, I. H., Lee, S. Y., Chen, K. C., Huang, S. Y., . . . Chen, P. S. (2017). C-reactive protein: A differential biomarker for major depressive disorder and bipolar II disorder. </w:t>
      </w:r>
      <w:r w:rsidR="003E0E54" w:rsidRPr="00864B25">
        <w:rPr>
          <w:rFonts w:ascii="Times New Roman" w:hAnsi="Times New Roman" w:cs="Times New Roman"/>
          <w:i/>
          <w:sz w:val="24"/>
          <w:szCs w:val="24"/>
        </w:rPr>
        <w:t>World Journal of Biological Psychiatry, 18</w:t>
      </w:r>
      <w:r w:rsidR="003E0E54" w:rsidRPr="00864B25">
        <w:rPr>
          <w:rFonts w:ascii="Times New Roman" w:hAnsi="Times New Roman" w:cs="Times New Roman"/>
          <w:sz w:val="24"/>
          <w:szCs w:val="24"/>
        </w:rPr>
        <w:t>(1), 63-70. doi: 10.3109/15622975.2016.1155746</w:t>
      </w:r>
    </w:p>
    <w:p w14:paraId="6C77D1A5" w14:textId="3FCDA98F"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Charlton, R. A., Lamar, M., Zhang, A., Ren, X., Ajilore, O., Pandey, G. N., &amp; Kumar, A. (2018). Associations between pro-inflammatory cytokines, learning, and memory in late-life depression and healthy aging. </w:t>
      </w:r>
      <w:r w:rsidR="003E0E54" w:rsidRPr="00864B25">
        <w:rPr>
          <w:rFonts w:ascii="Times New Roman" w:hAnsi="Times New Roman" w:cs="Times New Roman"/>
          <w:i/>
          <w:sz w:val="24"/>
          <w:szCs w:val="24"/>
        </w:rPr>
        <w:t>International Journal of Geriatric Psychiatry, 33</w:t>
      </w:r>
      <w:r w:rsidR="003E0E54" w:rsidRPr="00864B25">
        <w:rPr>
          <w:rFonts w:ascii="Times New Roman" w:hAnsi="Times New Roman" w:cs="Times New Roman"/>
          <w:sz w:val="24"/>
          <w:szCs w:val="24"/>
        </w:rPr>
        <w:t>(1), 104-112. doi: 10.1002/gps.4686</w:t>
      </w:r>
    </w:p>
    <w:p w14:paraId="1FF7C444" w14:textId="4A44D1E5"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Crnkovic, D., Buljan, D., Karlovic, D., &amp; Krmek, M. (2012). Connection between inflammatory markers, antidepressants and depression. </w:t>
      </w:r>
      <w:r w:rsidR="003E0E54" w:rsidRPr="00864B25">
        <w:rPr>
          <w:rFonts w:ascii="Times New Roman" w:hAnsi="Times New Roman" w:cs="Times New Roman"/>
          <w:i/>
          <w:sz w:val="24"/>
          <w:szCs w:val="24"/>
        </w:rPr>
        <w:t>Acta Clinica Croatica, 51</w:t>
      </w:r>
      <w:r w:rsidR="003E0E54" w:rsidRPr="00864B25">
        <w:rPr>
          <w:rFonts w:ascii="Times New Roman" w:hAnsi="Times New Roman" w:cs="Times New Roman"/>
          <w:sz w:val="24"/>
          <w:szCs w:val="24"/>
        </w:rPr>
        <w:t xml:space="preserve">(1), 25-33. </w:t>
      </w:r>
    </w:p>
    <w:p w14:paraId="20DE5E78" w14:textId="41CF8BD2"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Cunha, A. B., Andreazza, A. C., Gomes, F. A., Frey, B. N., da Silveira, L. E., Goncalves, C. A., &amp; Kapczinski, F. (2008). Investigation of serum high-sensitive C-reactive protein levels across all mood states in bipolar disorder. </w:t>
      </w:r>
      <w:r w:rsidR="003E0E54" w:rsidRPr="00864B25">
        <w:rPr>
          <w:rFonts w:ascii="Times New Roman" w:hAnsi="Times New Roman" w:cs="Times New Roman"/>
          <w:i/>
          <w:sz w:val="24"/>
          <w:szCs w:val="24"/>
        </w:rPr>
        <w:t>European Archives of Psychiatry and Clinical Neuroscience, 258</w:t>
      </w:r>
      <w:r w:rsidR="003E0E54" w:rsidRPr="00864B25">
        <w:rPr>
          <w:rFonts w:ascii="Times New Roman" w:hAnsi="Times New Roman" w:cs="Times New Roman"/>
          <w:sz w:val="24"/>
          <w:szCs w:val="24"/>
        </w:rPr>
        <w:t>(5), 300-304. doi: 10.1007/s00406-007-0797-0</w:t>
      </w:r>
    </w:p>
    <w:p w14:paraId="1A92ACF0" w14:textId="4D118D17"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lastRenderedPageBreak/>
        <w:t>28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Dahl, J., Ormstad, H., Aass, H. C., Malt, U. F., Bendz, L. T., Sandvik, L., . . . Andreassen, O. A. (2014). The plasma levels of various cytokines are increased during ongoing depression and are reduced to normal levels after recovery. </w:t>
      </w:r>
      <w:r w:rsidR="003E0E54" w:rsidRPr="00864B25">
        <w:rPr>
          <w:rFonts w:ascii="Times New Roman" w:hAnsi="Times New Roman" w:cs="Times New Roman"/>
          <w:i/>
          <w:sz w:val="24"/>
          <w:szCs w:val="24"/>
        </w:rPr>
        <w:t>Psychoneuroendocrinology, 45</w:t>
      </w:r>
      <w:r w:rsidR="003E0E54" w:rsidRPr="00864B25">
        <w:rPr>
          <w:rFonts w:ascii="Times New Roman" w:hAnsi="Times New Roman" w:cs="Times New Roman"/>
          <w:sz w:val="24"/>
          <w:szCs w:val="24"/>
        </w:rPr>
        <w:t>, 77-86. doi: 10.1016/j.psyneuen.2014.03.019</w:t>
      </w:r>
    </w:p>
    <w:p w14:paraId="0B70EDD7" w14:textId="1C5E3D01"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Danese, A., Moffitt, T. E., Pariante, C. M., Ambler, A., Poulton, R., &amp; Caspi, A. (2008). Elevated inflammation levels in depressed adults with a history of childhood maltreatment. </w:t>
      </w:r>
      <w:r w:rsidR="003E0E54" w:rsidRPr="00864B25">
        <w:rPr>
          <w:rFonts w:ascii="Times New Roman" w:hAnsi="Times New Roman" w:cs="Times New Roman"/>
          <w:i/>
          <w:sz w:val="24"/>
          <w:szCs w:val="24"/>
        </w:rPr>
        <w:t>Archives of General Psychiatry, 65</w:t>
      </w:r>
      <w:r w:rsidR="003E0E54" w:rsidRPr="00864B25">
        <w:rPr>
          <w:rFonts w:ascii="Times New Roman" w:hAnsi="Times New Roman" w:cs="Times New Roman"/>
          <w:sz w:val="24"/>
          <w:szCs w:val="24"/>
        </w:rPr>
        <w:t>(4), 409-415. doi: 10.1001/archpsyc.65.4.409</w:t>
      </w:r>
    </w:p>
    <w:p w14:paraId="118D9B3D" w14:textId="41E4CA6A"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De Berardis, D., Conti, C. M., Campanella, D., Carano, A., Scali, M., Valchera, A., . . . Ferro, F. M. (2008). Evaluation of C-reactive protein and total serum cholesterol in adult patients with bipolar disorder. </w:t>
      </w:r>
      <w:r w:rsidR="003E0E54" w:rsidRPr="00864B25">
        <w:rPr>
          <w:rFonts w:ascii="Times New Roman" w:hAnsi="Times New Roman" w:cs="Times New Roman"/>
          <w:i/>
          <w:sz w:val="24"/>
          <w:szCs w:val="24"/>
        </w:rPr>
        <w:t>International Journal of Immunopathology and Pharmacology, 21</w:t>
      </w:r>
      <w:r w:rsidR="003E0E54" w:rsidRPr="00864B25">
        <w:rPr>
          <w:rFonts w:ascii="Times New Roman" w:hAnsi="Times New Roman" w:cs="Times New Roman"/>
          <w:sz w:val="24"/>
          <w:szCs w:val="24"/>
        </w:rPr>
        <w:t>(2), 319-324. doi: 10.1177/039463200802100208</w:t>
      </w:r>
    </w:p>
    <w:p w14:paraId="26D62AB1" w14:textId="72039415"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Dhabhar, F. S., Burke, H. M., Epel, E. S., Mellon, S. H., Rosser, R., Reus, V. I., &amp; Wolkowitz, O. M. (2009). Low serum IL-10 concentrations and loss of regulatory association between IL-6 and IL-10 in adults with major depression. </w:t>
      </w:r>
      <w:r w:rsidR="003E0E54" w:rsidRPr="00864B25">
        <w:rPr>
          <w:rFonts w:ascii="Times New Roman" w:hAnsi="Times New Roman" w:cs="Times New Roman"/>
          <w:i/>
          <w:sz w:val="24"/>
          <w:szCs w:val="24"/>
        </w:rPr>
        <w:t>Journal of Psychiatric Research, 43</w:t>
      </w:r>
      <w:r w:rsidR="003E0E54" w:rsidRPr="00864B25">
        <w:rPr>
          <w:rFonts w:ascii="Times New Roman" w:hAnsi="Times New Roman" w:cs="Times New Roman"/>
          <w:sz w:val="24"/>
          <w:szCs w:val="24"/>
        </w:rPr>
        <w:t>(11), 962-969. doi: 10.1016/j.jpsychires.2009.05.010</w:t>
      </w:r>
    </w:p>
    <w:p w14:paraId="406DF470" w14:textId="185C9DDE"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Dickerson, F., Katsafanas, E., Schweinfurth, L. A., Savage, C. L., Stallings, C., Origoni, A., . . . Yolken, R. (2015). Immune alterations in acute bipolar depression. </w:t>
      </w:r>
      <w:r w:rsidR="003E0E54" w:rsidRPr="00864B25">
        <w:rPr>
          <w:rFonts w:ascii="Times New Roman" w:hAnsi="Times New Roman" w:cs="Times New Roman"/>
          <w:i/>
          <w:sz w:val="24"/>
          <w:szCs w:val="24"/>
        </w:rPr>
        <w:t>Acta Psychiatrica Scandinavica, 132</w:t>
      </w:r>
      <w:r w:rsidR="003E0E54" w:rsidRPr="00864B25">
        <w:rPr>
          <w:rFonts w:ascii="Times New Roman" w:hAnsi="Times New Roman" w:cs="Times New Roman"/>
          <w:sz w:val="24"/>
          <w:szCs w:val="24"/>
        </w:rPr>
        <w:t>(3), 204-210. doi: 10.1111/acps.12451</w:t>
      </w:r>
    </w:p>
    <w:p w14:paraId="2213238D" w14:textId="71B94730"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Dimopoulos, N., Piperi, C., Psarra, V., Lea, R. W., &amp; Kalofoutis, A. (2008). Increased plasma levels of 8-iso-PGF2alpha and IL-6 in an elderly population with depression. </w:t>
      </w:r>
      <w:r w:rsidR="003E0E54" w:rsidRPr="00864B25">
        <w:rPr>
          <w:rFonts w:ascii="Times New Roman" w:hAnsi="Times New Roman" w:cs="Times New Roman"/>
          <w:i/>
          <w:sz w:val="24"/>
          <w:szCs w:val="24"/>
        </w:rPr>
        <w:t>Psychiatry Research, 161</w:t>
      </w:r>
      <w:r w:rsidR="003E0E54" w:rsidRPr="00864B25">
        <w:rPr>
          <w:rFonts w:ascii="Times New Roman" w:hAnsi="Times New Roman" w:cs="Times New Roman"/>
          <w:sz w:val="24"/>
          <w:szCs w:val="24"/>
        </w:rPr>
        <w:t>(1), 59-66. doi: 10.1016/j.psychres.2007.07.019</w:t>
      </w:r>
    </w:p>
    <w:p w14:paraId="76FE58D3" w14:textId="58C37737"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Dinan, T., Siggins, L., Scully, P., O'Brien, S., Ross, P., &amp; Stanton, C. (2009). Investigating the inflammatory phenotype of major depression: focus on cytokines and polyunsaturated fatty acids. </w:t>
      </w:r>
      <w:r w:rsidR="003E0E54" w:rsidRPr="00864B25">
        <w:rPr>
          <w:rFonts w:ascii="Times New Roman" w:hAnsi="Times New Roman" w:cs="Times New Roman"/>
          <w:i/>
          <w:sz w:val="24"/>
          <w:szCs w:val="24"/>
        </w:rPr>
        <w:t>Journal of Psychiatric Research, 43</w:t>
      </w:r>
      <w:r w:rsidR="003E0E54" w:rsidRPr="00864B25">
        <w:rPr>
          <w:rFonts w:ascii="Times New Roman" w:hAnsi="Times New Roman" w:cs="Times New Roman"/>
          <w:sz w:val="24"/>
          <w:szCs w:val="24"/>
        </w:rPr>
        <w:t xml:space="preserve">(4), 471-476. doi: </w:t>
      </w:r>
      <w:r w:rsidR="003E0E54" w:rsidRPr="00864B25">
        <w:rPr>
          <w:rFonts w:ascii="Times New Roman" w:hAnsi="Times New Roman" w:cs="Times New Roman"/>
          <w:sz w:val="24"/>
          <w:szCs w:val="24"/>
        </w:rPr>
        <w:lastRenderedPageBreak/>
        <w:t>10.1016/j.jpsychires.2008.06.003</w:t>
      </w:r>
    </w:p>
    <w:p w14:paraId="72283AC1" w14:textId="53C3AF5E"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Diniz, B. S., Teixeira, A. L., Talib, L. L., Mendonca, V. A., Gattaz, W. F., &amp; Forlenza, O. V. (2010). Increased soluble TNF receptor 2 in antidepressant-free patients with late-life depression. </w:t>
      </w:r>
      <w:r w:rsidR="003E0E54" w:rsidRPr="00864B25">
        <w:rPr>
          <w:rFonts w:ascii="Times New Roman" w:hAnsi="Times New Roman" w:cs="Times New Roman"/>
          <w:i/>
          <w:sz w:val="24"/>
          <w:szCs w:val="24"/>
        </w:rPr>
        <w:t>Journal of Psychiatric Research, 44</w:t>
      </w:r>
      <w:r w:rsidR="003E0E54" w:rsidRPr="00864B25">
        <w:rPr>
          <w:rFonts w:ascii="Times New Roman" w:hAnsi="Times New Roman" w:cs="Times New Roman"/>
          <w:sz w:val="24"/>
          <w:szCs w:val="24"/>
        </w:rPr>
        <w:t>(14), 917-920. doi: 10.1016/j.jpsychires.2010.02.008</w:t>
      </w:r>
    </w:p>
    <w:p w14:paraId="2FF4AAD8" w14:textId="308B66C8"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Dome, P., Teleki, Z., Rihmer, Z., Peter, L., Dobos, J., Kenessey, I., . . . Dome, B. (2009). Circulating endothelial progenitor cells and depression: a possible novel link between heart and soul. </w:t>
      </w:r>
      <w:r w:rsidR="003E0E54" w:rsidRPr="00864B25">
        <w:rPr>
          <w:rFonts w:ascii="Times New Roman" w:hAnsi="Times New Roman" w:cs="Times New Roman"/>
          <w:i/>
          <w:sz w:val="24"/>
          <w:szCs w:val="24"/>
        </w:rPr>
        <w:t>Molecular Psychiatry, 14</w:t>
      </w:r>
      <w:r w:rsidR="003E0E54" w:rsidRPr="00864B25">
        <w:rPr>
          <w:rFonts w:ascii="Times New Roman" w:hAnsi="Times New Roman" w:cs="Times New Roman"/>
          <w:sz w:val="24"/>
          <w:szCs w:val="24"/>
        </w:rPr>
        <w:t>(5), 523-531. doi: 10.1038/sj.mp.4002138</w:t>
      </w:r>
    </w:p>
    <w:p w14:paraId="6DAB5C5A" w14:textId="3C4EEEED"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Douglas, K. M., Taylor, A. J., &amp; O'Malley, P. G. (2004). Relationship between depression and C-reactive protein in a screening population. </w:t>
      </w:r>
      <w:r w:rsidR="003E0E54" w:rsidRPr="00864B25">
        <w:rPr>
          <w:rFonts w:ascii="Times New Roman" w:hAnsi="Times New Roman" w:cs="Times New Roman"/>
          <w:i/>
          <w:sz w:val="24"/>
          <w:szCs w:val="24"/>
        </w:rPr>
        <w:t>Psychosomatic Medicine, 66</w:t>
      </w:r>
      <w:r w:rsidR="003E0E54" w:rsidRPr="00864B25">
        <w:rPr>
          <w:rFonts w:ascii="Times New Roman" w:hAnsi="Times New Roman" w:cs="Times New Roman"/>
          <w:sz w:val="24"/>
          <w:szCs w:val="24"/>
        </w:rPr>
        <w:t>(5), 679-683. doi: 10.1097/01.psy.0000138132.66332.85</w:t>
      </w:r>
    </w:p>
    <w:p w14:paraId="3782C080" w14:textId="578F4713"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Dressler, W. W., Balieiro, M. C., Ribeiro, R. P., &amp; Dos-Santos, J. E. (2006). Depressive symptoms and C-reactive protein in a Brazilian urban community. </w:t>
      </w:r>
      <w:r w:rsidR="003E0E54" w:rsidRPr="00864B25">
        <w:rPr>
          <w:rFonts w:ascii="Times New Roman" w:hAnsi="Times New Roman" w:cs="Times New Roman"/>
          <w:i/>
          <w:sz w:val="24"/>
          <w:szCs w:val="24"/>
        </w:rPr>
        <w:t>Brazilian Journal of Medical and Biological Research, 39</w:t>
      </w:r>
      <w:r w:rsidR="003E0E54" w:rsidRPr="00864B25">
        <w:rPr>
          <w:rFonts w:ascii="Times New Roman" w:hAnsi="Times New Roman" w:cs="Times New Roman"/>
          <w:sz w:val="24"/>
          <w:szCs w:val="24"/>
        </w:rPr>
        <w:t>(8), 1013-1019. doi: 10.1590/s0100-879x2006000800003</w:t>
      </w:r>
    </w:p>
    <w:p w14:paraId="201D732A" w14:textId="01A9644C"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Du, Y.-J., Li, B., Zhang, H.-Y., Cao, Y.-X., Duan, X.-H., Gong, W.-Y., &amp; Dong, J.-C. (2013). Airway inflammation and hypothalamic-pituitary-adrenal axis activity in asthmatic adults with depression. </w:t>
      </w:r>
      <w:r w:rsidR="003E0E54" w:rsidRPr="00864B25">
        <w:rPr>
          <w:rFonts w:ascii="Times New Roman" w:hAnsi="Times New Roman" w:cs="Times New Roman"/>
          <w:i/>
          <w:sz w:val="24"/>
          <w:szCs w:val="24"/>
        </w:rPr>
        <w:t>The Journal of asthma : official journal of the Association for the Care of Asthma, 50</w:t>
      </w:r>
      <w:r w:rsidR="003E0E54" w:rsidRPr="00864B25">
        <w:rPr>
          <w:rFonts w:ascii="Times New Roman" w:hAnsi="Times New Roman" w:cs="Times New Roman"/>
          <w:sz w:val="24"/>
          <w:szCs w:val="24"/>
        </w:rPr>
        <w:t>(3), 274-281. doi: 10.3109/02770903.2013.765891</w:t>
      </w:r>
    </w:p>
    <w:p w14:paraId="5ED9C104" w14:textId="01B92176"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Dunjic-Kostic, B., Ivkovic, M., Radonjic, N. V., Petronijevic, N. D., Pantovic, M., Damjanovic, A., . . . Jasovic-Gasic, M. (2013). Melancholic and atypical major depression--connection between cytokines, psychopathology and treatment. </w:t>
      </w:r>
      <w:r w:rsidR="003E0E54" w:rsidRPr="00864B25">
        <w:rPr>
          <w:rFonts w:ascii="Times New Roman" w:hAnsi="Times New Roman" w:cs="Times New Roman"/>
          <w:i/>
          <w:sz w:val="24"/>
          <w:szCs w:val="24"/>
        </w:rPr>
        <w:t>Progress in Neuro-Psychopharmacology &amp; Biological Psychiatry, 43</w:t>
      </w:r>
      <w:r w:rsidR="003E0E54" w:rsidRPr="00864B25">
        <w:rPr>
          <w:rFonts w:ascii="Times New Roman" w:hAnsi="Times New Roman" w:cs="Times New Roman"/>
          <w:sz w:val="24"/>
          <w:szCs w:val="24"/>
        </w:rPr>
        <w:t>, 1-6. doi: 10.1016/j.pnpbp.2012.11.009</w:t>
      </w:r>
    </w:p>
    <w:p w14:paraId="0CC3B0A2" w14:textId="794C552B" w:rsidR="00BD6DE5" w:rsidRPr="00864B25" w:rsidRDefault="00BD6DE5" w:rsidP="00BD6DE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lastRenderedPageBreak/>
        <w:t>41</w:t>
      </w:r>
      <w:r>
        <w:rPr>
          <w:rFonts w:ascii="Times New Roman" w:hAnsi="Times New Roman" w:cs="Times New Roman"/>
          <w:sz w:val="24"/>
          <w:szCs w:val="24"/>
        </w:rPr>
        <w:tab/>
      </w:r>
      <w:r w:rsidRPr="00864B25">
        <w:rPr>
          <w:rFonts w:ascii="Times New Roman" w:hAnsi="Times New Roman" w:cs="Times New Roman"/>
          <w:sz w:val="24"/>
          <w:szCs w:val="24"/>
        </w:rPr>
        <w:t xml:space="preserve">Elderkin-Thompson, V., Irwin, M. R., Hellemann, G., &amp; Kumar, A. (2012). Interleukin-6 and memory functions of encoding and recall in healthy and depressed elderly adults. </w:t>
      </w:r>
      <w:r w:rsidRPr="00864B25">
        <w:rPr>
          <w:rFonts w:ascii="Times New Roman" w:hAnsi="Times New Roman" w:cs="Times New Roman"/>
          <w:i/>
          <w:sz w:val="24"/>
          <w:szCs w:val="24"/>
        </w:rPr>
        <w:t>American Journal of Geriatric Psychiatry, 20</w:t>
      </w:r>
      <w:r w:rsidRPr="00864B25">
        <w:rPr>
          <w:rFonts w:ascii="Times New Roman" w:hAnsi="Times New Roman" w:cs="Times New Roman"/>
          <w:sz w:val="24"/>
          <w:szCs w:val="24"/>
        </w:rPr>
        <w:t>(9), 753-763. doi: 10.1097/JGP.0b013e31825d08d6</w:t>
      </w:r>
    </w:p>
    <w:p w14:paraId="4DA5DF63" w14:textId="4C941D38"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Einvik, G., Vistnes, M., Hrubos-Strom, H., Randby, A., Namtvedt, S. K., Nordhus, I. H., . . . Omland, T. (2012). Circulating cytokine concentrations are not associated with major depressive disorder in a community-based cohort. </w:t>
      </w:r>
      <w:r w:rsidR="003E0E54" w:rsidRPr="00864B25">
        <w:rPr>
          <w:rFonts w:ascii="Times New Roman" w:hAnsi="Times New Roman" w:cs="Times New Roman"/>
          <w:i/>
          <w:sz w:val="24"/>
          <w:szCs w:val="24"/>
        </w:rPr>
        <w:t>General Hospital Psychiatry, 34</w:t>
      </w:r>
      <w:r w:rsidR="003E0E54" w:rsidRPr="00864B25">
        <w:rPr>
          <w:rFonts w:ascii="Times New Roman" w:hAnsi="Times New Roman" w:cs="Times New Roman"/>
          <w:sz w:val="24"/>
          <w:szCs w:val="24"/>
        </w:rPr>
        <w:t>(3), 262-267. doi: 10.1016/j.genhosppsych.2012.01.017</w:t>
      </w:r>
    </w:p>
    <w:p w14:paraId="044F14C4" w14:textId="74E2FD48"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Ekinci, O., &amp; Ekinci, A. (2017). The connections among suicidal behavior, lipid profile and low-grade inflammation in patients with major depressive disorder: a specific relationship with the neutrophil-to-lymphocyte ratio. </w:t>
      </w:r>
      <w:r w:rsidR="003E0E54" w:rsidRPr="00864B25">
        <w:rPr>
          <w:rFonts w:ascii="Times New Roman" w:hAnsi="Times New Roman" w:cs="Times New Roman"/>
          <w:i/>
          <w:sz w:val="24"/>
          <w:szCs w:val="24"/>
        </w:rPr>
        <w:t>Nordic Journal of Psychiatry, 71</w:t>
      </w:r>
      <w:r w:rsidR="003E0E54" w:rsidRPr="00864B25">
        <w:rPr>
          <w:rFonts w:ascii="Times New Roman" w:hAnsi="Times New Roman" w:cs="Times New Roman"/>
          <w:sz w:val="24"/>
          <w:szCs w:val="24"/>
        </w:rPr>
        <w:t>(8), 574-580. doi: 10.1080/08039488.2017.1363285</w:t>
      </w:r>
    </w:p>
    <w:p w14:paraId="430B058A" w14:textId="2E20A130" w:rsidR="003E0E54"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Eller, T., Vasar, V., Shlik, J., &amp; Maron, E. (2008). Pro-inflammatory cytokines and treatment response to escitalopram in major depressive disorder. </w:t>
      </w:r>
      <w:r w:rsidR="003E0E54" w:rsidRPr="00864B25">
        <w:rPr>
          <w:rFonts w:ascii="Times New Roman" w:hAnsi="Times New Roman" w:cs="Times New Roman"/>
          <w:i/>
          <w:sz w:val="24"/>
          <w:szCs w:val="24"/>
        </w:rPr>
        <w:t>Progress in Neuro-Psychopharmacology &amp; Biological Psychiatry, 32</w:t>
      </w:r>
      <w:r w:rsidR="003E0E54" w:rsidRPr="00864B25">
        <w:rPr>
          <w:rFonts w:ascii="Times New Roman" w:hAnsi="Times New Roman" w:cs="Times New Roman"/>
          <w:sz w:val="24"/>
          <w:szCs w:val="24"/>
        </w:rPr>
        <w:t>(2), 445-450. doi: 10.1016/j.pnpbp.2007.09.015</w:t>
      </w:r>
    </w:p>
    <w:p w14:paraId="09175258" w14:textId="259445F0" w:rsidR="00BD6DE5" w:rsidRPr="00864B25" w:rsidRDefault="00BD6DE5" w:rsidP="00BD6DE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sidRPr="00864B25">
        <w:rPr>
          <w:rFonts w:ascii="Times New Roman" w:hAnsi="Times New Roman" w:cs="Times New Roman"/>
          <w:sz w:val="24"/>
          <w:szCs w:val="24"/>
        </w:rPr>
        <w:t xml:space="preserve">Eller, T., Aluoja, A., Maron, E., &amp; Vasar, V. (2009). Soluble interleukin-2 receptor and tumor necrosis factor levels in depressed patients in Estonia. </w:t>
      </w:r>
      <w:r w:rsidRPr="00864B25">
        <w:rPr>
          <w:rFonts w:ascii="Times New Roman" w:hAnsi="Times New Roman" w:cs="Times New Roman"/>
          <w:i/>
          <w:sz w:val="24"/>
          <w:szCs w:val="24"/>
        </w:rPr>
        <w:t>Medicina (Kaunas, Lithuania), 45</w:t>
      </w:r>
      <w:r w:rsidRPr="00864B25">
        <w:rPr>
          <w:rFonts w:ascii="Times New Roman" w:hAnsi="Times New Roman" w:cs="Times New Roman"/>
          <w:sz w:val="24"/>
          <w:szCs w:val="24"/>
        </w:rPr>
        <w:t xml:space="preserve">(12), 971-977. </w:t>
      </w:r>
    </w:p>
    <w:p w14:paraId="28ABA4EE" w14:textId="115312F7"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Elovainio, M., Keltikangas-Jarvinen, L., Pulkki-Raback, L., Kivimaki, M., Puttonen, S., Viikari, L., . . . Raitakari, O. T. (2006). Depressive symptoms and C-reactive protein: the Cardiovascular Risk in Young Finns Study. </w:t>
      </w:r>
      <w:r w:rsidR="003E0E54" w:rsidRPr="00864B25">
        <w:rPr>
          <w:rFonts w:ascii="Times New Roman" w:hAnsi="Times New Roman" w:cs="Times New Roman"/>
          <w:i/>
          <w:sz w:val="24"/>
          <w:szCs w:val="24"/>
        </w:rPr>
        <w:t>Psychological Medicine, 36</w:t>
      </w:r>
      <w:r w:rsidR="003E0E54" w:rsidRPr="00864B25">
        <w:rPr>
          <w:rFonts w:ascii="Times New Roman" w:hAnsi="Times New Roman" w:cs="Times New Roman"/>
          <w:sz w:val="24"/>
          <w:szCs w:val="24"/>
        </w:rPr>
        <w:t>(6), 797-805. doi: 10.1017/s0033291706007574</w:t>
      </w:r>
    </w:p>
    <w:p w14:paraId="652B51AC" w14:textId="5C5DFC5F"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Empana, J. P., Sykes, D. H., Luc, G., Juhan-Vague, I., Arveiler, D., Ferrieres, J., . . . Ducimetiere, P. (2005). Contributions of depressive mood and circulating inflammatory markers to coronary heart disease in healthy European men: the </w:t>
      </w:r>
      <w:r w:rsidR="003E0E54" w:rsidRPr="00864B25">
        <w:rPr>
          <w:rFonts w:ascii="Times New Roman" w:hAnsi="Times New Roman" w:cs="Times New Roman"/>
          <w:sz w:val="24"/>
          <w:szCs w:val="24"/>
        </w:rPr>
        <w:lastRenderedPageBreak/>
        <w:t xml:space="preserve">Prospective Epidemiological Study of Myocardial Infarction (PRIME). </w:t>
      </w:r>
      <w:r w:rsidR="003E0E54" w:rsidRPr="00864B25">
        <w:rPr>
          <w:rFonts w:ascii="Times New Roman" w:hAnsi="Times New Roman" w:cs="Times New Roman"/>
          <w:i/>
          <w:sz w:val="24"/>
          <w:szCs w:val="24"/>
        </w:rPr>
        <w:t>Circulation, 111</w:t>
      </w:r>
      <w:r w:rsidR="003E0E54" w:rsidRPr="00864B25">
        <w:rPr>
          <w:rFonts w:ascii="Times New Roman" w:hAnsi="Times New Roman" w:cs="Times New Roman"/>
          <w:sz w:val="24"/>
          <w:szCs w:val="24"/>
        </w:rPr>
        <w:t>(18), 2299-2305. doi: 10.1161/01.Cir.0000164203.54111.Ae</w:t>
      </w:r>
    </w:p>
    <w:p w14:paraId="4A98BE4F" w14:textId="699495B8"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Eskandari, F., Martinez, P. E., Torvik, S., Phillips, T. M., Sternberg, E. M., Mistry, S., . . . Cizza, G. (2007). Low bone mass in premenopausal women with depression. </w:t>
      </w:r>
      <w:r w:rsidR="003E0E54" w:rsidRPr="00864B25">
        <w:rPr>
          <w:rFonts w:ascii="Times New Roman" w:hAnsi="Times New Roman" w:cs="Times New Roman"/>
          <w:i/>
          <w:sz w:val="24"/>
          <w:szCs w:val="24"/>
        </w:rPr>
        <w:t>Archives of Internal Medicine, 167</w:t>
      </w:r>
      <w:r w:rsidR="003E0E54" w:rsidRPr="00864B25">
        <w:rPr>
          <w:rFonts w:ascii="Times New Roman" w:hAnsi="Times New Roman" w:cs="Times New Roman"/>
          <w:sz w:val="24"/>
          <w:szCs w:val="24"/>
        </w:rPr>
        <w:t>(21), 2329-2336. doi: 10.1001/archinte.167.21.2329</w:t>
      </w:r>
    </w:p>
    <w:p w14:paraId="3118C96C" w14:textId="3013DCE7"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Farid Hosseini, R., Jabbari Azad, F., Talaee, A., Miri, S., Mokhber, N., Farid Hosseini, F., . . . Mohammadi, M. (2007). Assessment of the immune system activity in Iranian patients with Major Depression Disorder (MDD). </w:t>
      </w:r>
      <w:r w:rsidR="003E0E54" w:rsidRPr="00864B25">
        <w:rPr>
          <w:rFonts w:ascii="Times New Roman" w:hAnsi="Times New Roman" w:cs="Times New Roman"/>
          <w:i/>
          <w:sz w:val="24"/>
          <w:szCs w:val="24"/>
        </w:rPr>
        <w:t>Iranian Journal of Immunology, 4</w:t>
      </w:r>
      <w:r w:rsidR="003E0E54" w:rsidRPr="00864B25">
        <w:rPr>
          <w:rFonts w:ascii="Times New Roman" w:hAnsi="Times New Roman" w:cs="Times New Roman"/>
          <w:sz w:val="24"/>
          <w:szCs w:val="24"/>
        </w:rPr>
        <w:t>(1), 38-43. doi: IJIv4i1A5</w:t>
      </w:r>
    </w:p>
    <w:p w14:paraId="4CDC3CC1" w14:textId="586AD2FC"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Ferketich, A. K., Ferguson, J. P., &amp; Binkley, P. F. (2005). Depressive symptoms and inflammation among heart failure patients. </w:t>
      </w:r>
      <w:r w:rsidR="003E0E54" w:rsidRPr="00864B25">
        <w:rPr>
          <w:rFonts w:ascii="Times New Roman" w:hAnsi="Times New Roman" w:cs="Times New Roman"/>
          <w:i/>
          <w:sz w:val="24"/>
          <w:szCs w:val="24"/>
        </w:rPr>
        <w:t>American Heart Journal, 150</w:t>
      </w:r>
      <w:r w:rsidR="003E0E54" w:rsidRPr="00864B25">
        <w:rPr>
          <w:rFonts w:ascii="Times New Roman" w:hAnsi="Times New Roman" w:cs="Times New Roman"/>
          <w:sz w:val="24"/>
          <w:szCs w:val="24"/>
        </w:rPr>
        <w:t>(1), 132-136. doi: 10.1016/j.ahj.2004.08.029</w:t>
      </w:r>
    </w:p>
    <w:p w14:paraId="593AC841" w14:textId="619D6059"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Fiedorowicz, J. G., Prossin, A. R., Johnson, C. P., Christensen, G. E., Magnotta, V. A., &amp; Wemmie, J. A. (2015). Peripheral inflammation during abnormal mood states in bipolar I disorder. </w:t>
      </w:r>
      <w:r w:rsidR="003E0E54" w:rsidRPr="00864B25">
        <w:rPr>
          <w:rFonts w:ascii="Times New Roman" w:hAnsi="Times New Roman" w:cs="Times New Roman"/>
          <w:i/>
          <w:sz w:val="24"/>
          <w:szCs w:val="24"/>
        </w:rPr>
        <w:t>Journal of Affective Disorders, 187</w:t>
      </w:r>
      <w:r w:rsidR="003E0E54" w:rsidRPr="00864B25">
        <w:rPr>
          <w:rFonts w:ascii="Times New Roman" w:hAnsi="Times New Roman" w:cs="Times New Roman"/>
          <w:sz w:val="24"/>
          <w:szCs w:val="24"/>
        </w:rPr>
        <w:t>, 172-178. doi: 10.1016/j.jad.2015.08.036</w:t>
      </w:r>
    </w:p>
    <w:p w14:paraId="1E0797E5" w14:textId="2BBF6410"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Fitzgerald, P., O'Brien, S. M., Scully, P., Rijkers, K., Scott, L. V., &amp; Dinan, T. G. (2006). Cutaneous glucocorticoid receptor sensitivity and pro-inflammatory cytokine levels in antidepressant-resistant depression. </w:t>
      </w:r>
      <w:r w:rsidR="003E0E54" w:rsidRPr="00864B25">
        <w:rPr>
          <w:rFonts w:ascii="Times New Roman" w:hAnsi="Times New Roman" w:cs="Times New Roman"/>
          <w:i/>
          <w:sz w:val="24"/>
          <w:szCs w:val="24"/>
        </w:rPr>
        <w:t>Psychological Medicine, 36</w:t>
      </w:r>
      <w:r w:rsidR="003E0E54" w:rsidRPr="00864B25">
        <w:rPr>
          <w:rFonts w:ascii="Times New Roman" w:hAnsi="Times New Roman" w:cs="Times New Roman"/>
          <w:sz w:val="24"/>
          <w:szCs w:val="24"/>
        </w:rPr>
        <w:t>(1), 37-43. doi: 10.1017/S003329170500632X</w:t>
      </w:r>
    </w:p>
    <w:p w14:paraId="280A9EAB" w14:textId="728B84FF"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Fontoura, P. C., Pinto, V. L., Matsuura, C., Resende Ade, C., de Bem, G. F., Ferraz, M. R., . . . Mendes-Ribeiro, A. C. (2012). Defective nitric oxide-cyclic guanosine monophosphate signaling in patients with bipolar disorder: a potential role for platelet dysfunction. </w:t>
      </w:r>
      <w:r w:rsidR="003E0E54" w:rsidRPr="00864B25">
        <w:rPr>
          <w:rFonts w:ascii="Times New Roman" w:hAnsi="Times New Roman" w:cs="Times New Roman"/>
          <w:i/>
          <w:sz w:val="24"/>
          <w:szCs w:val="24"/>
        </w:rPr>
        <w:t>Psychosomatic Medicine, 74</w:t>
      </w:r>
      <w:r w:rsidR="003E0E54" w:rsidRPr="00864B25">
        <w:rPr>
          <w:rFonts w:ascii="Times New Roman" w:hAnsi="Times New Roman" w:cs="Times New Roman"/>
          <w:sz w:val="24"/>
          <w:szCs w:val="24"/>
        </w:rPr>
        <w:t>(8), 873-877. doi: 10.1097/PSY.0b013e3182689460</w:t>
      </w:r>
    </w:p>
    <w:p w14:paraId="3D60F1A0" w14:textId="6ED5CBC3"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lastRenderedPageBreak/>
        <w:t>54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Fornaro, M., Martino, M., Battaglia, F., Colicchio, S., &amp; Perugi, G. (2011). Increase in IL-6 levels among major depressive disorder patients after a 6-week treatment with duloxetine 60 mg/day: a preliminary observation. </w:t>
      </w:r>
      <w:r w:rsidR="003E0E54" w:rsidRPr="00864B25">
        <w:rPr>
          <w:rFonts w:ascii="Times New Roman" w:hAnsi="Times New Roman" w:cs="Times New Roman"/>
          <w:i/>
          <w:sz w:val="24"/>
          <w:szCs w:val="24"/>
        </w:rPr>
        <w:t>Neuropsychiatric Disease and Treatment, 7</w:t>
      </w:r>
      <w:r w:rsidR="003E0E54" w:rsidRPr="00864B25">
        <w:rPr>
          <w:rFonts w:ascii="Times New Roman" w:hAnsi="Times New Roman" w:cs="Times New Roman"/>
          <w:sz w:val="24"/>
          <w:szCs w:val="24"/>
        </w:rPr>
        <w:t>, 51-56. doi: 10.2147/ndt.S16382</w:t>
      </w:r>
    </w:p>
    <w:p w14:paraId="1A4825CD" w14:textId="7C86ACDD"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Fornaro, M., Rocchi, G., Escelsior, A., Contini, P., &amp; Martino, M. (2013). Might different cytokine trends in depressed patients receiving duloxetine indicate differential biological backgrounds. </w:t>
      </w:r>
      <w:r w:rsidR="003E0E54" w:rsidRPr="00864B25">
        <w:rPr>
          <w:rFonts w:ascii="Times New Roman" w:hAnsi="Times New Roman" w:cs="Times New Roman"/>
          <w:i/>
          <w:sz w:val="24"/>
          <w:szCs w:val="24"/>
        </w:rPr>
        <w:t>Journal of Affective Disorders, 145</w:t>
      </w:r>
      <w:r w:rsidR="003E0E54" w:rsidRPr="00864B25">
        <w:rPr>
          <w:rFonts w:ascii="Times New Roman" w:hAnsi="Times New Roman" w:cs="Times New Roman"/>
          <w:sz w:val="24"/>
          <w:szCs w:val="24"/>
        </w:rPr>
        <w:t>(3), 300-307. doi: 10.1016/j.jad.2012.08.007</w:t>
      </w:r>
    </w:p>
    <w:p w14:paraId="524A9F83" w14:textId="199127B0"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56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Forti, P., Rietti, E., Pisacane, N., Olivelli, V., Mariani, E., Chiappelli, M., . . . Ravaglia, G. (2010). Blood inflammatory proteins and risk of incident depression in the elderly. </w:t>
      </w:r>
      <w:r w:rsidR="003E0E54" w:rsidRPr="00864B25">
        <w:rPr>
          <w:rFonts w:ascii="Times New Roman" w:hAnsi="Times New Roman" w:cs="Times New Roman"/>
          <w:i/>
          <w:sz w:val="24"/>
          <w:szCs w:val="24"/>
        </w:rPr>
        <w:t>Dementia and Geriatric Cognitive Disorders, 29</w:t>
      </w:r>
      <w:r w:rsidR="003E0E54" w:rsidRPr="00864B25">
        <w:rPr>
          <w:rFonts w:ascii="Times New Roman" w:hAnsi="Times New Roman" w:cs="Times New Roman"/>
          <w:sz w:val="24"/>
          <w:szCs w:val="24"/>
        </w:rPr>
        <w:t>(1), 11-20. doi: 10.1159/000261644</w:t>
      </w:r>
    </w:p>
    <w:p w14:paraId="6E79B7F9" w14:textId="1E09D1D0" w:rsidR="003E0E54"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57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Frommberger, U. H., Bauer, J., Haselbauer, P., Fraulin, A., Riemann, D., &amp; Berger, M. (1997). Interleukin-6-(IL-6) plasma levels in depression and schizophrenia: comparison between the acute state and after remission. </w:t>
      </w:r>
      <w:r w:rsidR="003E0E54" w:rsidRPr="00864B25">
        <w:rPr>
          <w:rFonts w:ascii="Times New Roman" w:hAnsi="Times New Roman" w:cs="Times New Roman"/>
          <w:i/>
          <w:sz w:val="24"/>
          <w:szCs w:val="24"/>
        </w:rPr>
        <w:t>European Archives of Psychiatry and Clinical Neuroscience, 247</w:t>
      </w:r>
      <w:r w:rsidR="003E0E54" w:rsidRPr="00864B25">
        <w:rPr>
          <w:rFonts w:ascii="Times New Roman" w:hAnsi="Times New Roman" w:cs="Times New Roman"/>
          <w:sz w:val="24"/>
          <w:szCs w:val="24"/>
        </w:rPr>
        <w:t xml:space="preserve">(4), 228-233. </w:t>
      </w:r>
    </w:p>
    <w:p w14:paraId="784A500D" w14:textId="0AA164F9" w:rsidR="00BD6DE5" w:rsidRPr="00864B25" w:rsidRDefault="00BD6DE5" w:rsidP="00BD6DE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58</w:t>
      </w:r>
      <w:r>
        <w:rPr>
          <w:rFonts w:ascii="Times New Roman" w:hAnsi="Times New Roman" w:cs="Times New Roman"/>
          <w:sz w:val="24"/>
          <w:szCs w:val="24"/>
        </w:rPr>
        <w:tab/>
      </w:r>
      <w:r w:rsidRPr="00864B25">
        <w:rPr>
          <w:rFonts w:ascii="Times New Roman" w:hAnsi="Times New Roman" w:cs="Times New Roman"/>
          <w:sz w:val="24"/>
          <w:szCs w:val="24"/>
        </w:rPr>
        <w:t xml:space="preserve">Frodl, T., Carballedo, A., Hughes, M. M., Saleh, K., Fagan, A., Skokauskas, N., . . . Connor, T. J. (2012). Reduced expression of glucocorticoid-inducible genes GILZ and SGK-1: high IL-6 levels are associated with reduced hippocampal volumes in major depressive disorder. </w:t>
      </w:r>
      <w:r w:rsidRPr="00864B25">
        <w:rPr>
          <w:rFonts w:ascii="Times New Roman" w:hAnsi="Times New Roman" w:cs="Times New Roman"/>
          <w:i/>
          <w:sz w:val="24"/>
          <w:szCs w:val="24"/>
        </w:rPr>
        <w:t>Translational Psychiatry, 2</w:t>
      </w:r>
      <w:r w:rsidRPr="00864B25">
        <w:rPr>
          <w:rFonts w:ascii="Times New Roman" w:hAnsi="Times New Roman" w:cs="Times New Roman"/>
          <w:sz w:val="24"/>
          <w:szCs w:val="24"/>
        </w:rPr>
        <w:t>, e88. doi: 10.1038/tp.2012.14</w:t>
      </w:r>
    </w:p>
    <w:p w14:paraId="6FAE79A1" w14:textId="57FABA81"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59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Gabbay, V., Klein, R. G., Alonso, C. M., Babb, J. S., Nishawala, M., De Jesus, G., . . . Gonzalez, C. J. (2009a). Immune system dysregulation in adolescent major depressive disorder. </w:t>
      </w:r>
      <w:r w:rsidR="003E0E54" w:rsidRPr="00864B25">
        <w:rPr>
          <w:rFonts w:ascii="Times New Roman" w:hAnsi="Times New Roman" w:cs="Times New Roman"/>
          <w:i/>
          <w:sz w:val="24"/>
          <w:szCs w:val="24"/>
        </w:rPr>
        <w:t>Journal of Affective Disorders, 115</w:t>
      </w:r>
      <w:r w:rsidR="003E0E54" w:rsidRPr="00864B25">
        <w:rPr>
          <w:rFonts w:ascii="Times New Roman" w:hAnsi="Times New Roman" w:cs="Times New Roman"/>
          <w:sz w:val="24"/>
          <w:szCs w:val="24"/>
        </w:rPr>
        <w:t>(1-2), 177-182. doi: 10.1016/j.jad.2008.07.022</w:t>
      </w:r>
    </w:p>
    <w:p w14:paraId="35C69D10" w14:textId="2AB80B03"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60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Gabbay, V., Klein, R. G., Guttman, L. E., Babb, J. S., Alonso, C. M., Nishawala, M., . . . Gonzalez, C. J. (2009b). A preliminary study of cytokines in suicidal and </w:t>
      </w:r>
      <w:r w:rsidR="003E0E54" w:rsidRPr="00864B25">
        <w:rPr>
          <w:rFonts w:ascii="Times New Roman" w:hAnsi="Times New Roman" w:cs="Times New Roman"/>
          <w:sz w:val="24"/>
          <w:szCs w:val="24"/>
        </w:rPr>
        <w:lastRenderedPageBreak/>
        <w:t xml:space="preserve">nonsuicidal adolescents with major depression. </w:t>
      </w:r>
      <w:r w:rsidR="003E0E54" w:rsidRPr="00864B25">
        <w:rPr>
          <w:rFonts w:ascii="Times New Roman" w:hAnsi="Times New Roman" w:cs="Times New Roman"/>
          <w:i/>
          <w:sz w:val="24"/>
          <w:szCs w:val="24"/>
        </w:rPr>
        <w:t>Journal of Child and Adolescent Psychopharmacology, 19</w:t>
      </w:r>
      <w:r w:rsidR="003E0E54" w:rsidRPr="00864B25">
        <w:rPr>
          <w:rFonts w:ascii="Times New Roman" w:hAnsi="Times New Roman" w:cs="Times New Roman"/>
          <w:sz w:val="24"/>
          <w:szCs w:val="24"/>
        </w:rPr>
        <w:t>(4), 423-430. doi: 10.1089/cap.2008.0140</w:t>
      </w:r>
    </w:p>
    <w:p w14:paraId="2C6B6EAD" w14:textId="328FAADC"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Gallagher, D., Kiss, A., Lanctot, K., &amp; Herrmann, N. (2017). Depression with inflammation: longitudinal analysis of a proposed depressive subtype in community dwelling older adults. </w:t>
      </w:r>
      <w:r w:rsidR="003E0E54" w:rsidRPr="00864B25">
        <w:rPr>
          <w:rFonts w:ascii="Times New Roman" w:hAnsi="Times New Roman" w:cs="Times New Roman"/>
          <w:i/>
          <w:sz w:val="24"/>
          <w:szCs w:val="24"/>
        </w:rPr>
        <w:t>International Journal of Geriatric Psychiatry, 32</w:t>
      </w:r>
      <w:r w:rsidR="003E0E54" w:rsidRPr="00864B25">
        <w:rPr>
          <w:rFonts w:ascii="Times New Roman" w:hAnsi="Times New Roman" w:cs="Times New Roman"/>
          <w:sz w:val="24"/>
          <w:szCs w:val="24"/>
        </w:rPr>
        <w:t>(12), e18-e24. doi: 10.1002/gps.4645</w:t>
      </w:r>
    </w:p>
    <w:p w14:paraId="10C8D074" w14:textId="08C257C8"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62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Grassi-Oliveira, R., Brietzke, E., Pezzi, J. C., Lopes, R. P., Teixeira, A. L., &amp; Bauer, M. E. (2009). Increased soluble tumor necrosis factor-alpha receptors in patients with major depressive disorder. </w:t>
      </w:r>
      <w:r w:rsidR="003E0E54" w:rsidRPr="00864B25">
        <w:rPr>
          <w:rFonts w:ascii="Times New Roman" w:hAnsi="Times New Roman" w:cs="Times New Roman"/>
          <w:i/>
          <w:sz w:val="24"/>
          <w:szCs w:val="24"/>
        </w:rPr>
        <w:t>Psychiatry and Clinical Neurosciences, 63</w:t>
      </w:r>
      <w:r w:rsidR="003E0E54" w:rsidRPr="00864B25">
        <w:rPr>
          <w:rFonts w:ascii="Times New Roman" w:hAnsi="Times New Roman" w:cs="Times New Roman"/>
          <w:sz w:val="24"/>
          <w:szCs w:val="24"/>
        </w:rPr>
        <w:t>(2), 202-208. doi: 10.1111/j.1440-1819.2008.01918.x</w:t>
      </w:r>
    </w:p>
    <w:p w14:paraId="3852E80E" w14:textId="4099DB76"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63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Hafner, S., Baghai, T. C., Eser, D., Schule, C., Rupprecht, R., Bondy, B., . . . von Schacky, C. (2008). C-reactive protein is associated with polymorphisms of the angiotensin-converting enzyme gene in major depressed patients. </w:t>
      </w:r>
      <w:r w:rsidR="003E0E54" w:rsidRPr="00864B25">
        <w:rPr>
          <w:rFonts w:ascii="Times New Roman" w:hAnsi="Times New Roman" w:cs="Times New Roman"/>
          <w:i/>
          <w:sz w:val="24"/>
          <w:szCs w:val="24"/>
        </w:rPr>
        <w:t>Journal of Psychiatric Research, 42</w:t>
      </w:r>
      <w:r w:rsidR="003E0E54" w:rsidRPr="00864B25">
        <w:rPr>
          <w:rFonts w:ascii="Times New Roman" w:hAnsi="Times New Roman" w:cs="Times New Roman"/>
          <w:sz w:val="24"/>
          <w:szCs w:val="24"/>
        </w:rPr>
        <w:t>(2), 163-165. doi: 10.1016/j.jpsychires.2007.02.002</w:t>
      </w:r>
    </w:p>
    <w:p w14:paraId="481FE26F" w14:textId="288EF41B"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Hannestad, J., DellaGioia, N., Gallezot, J.-D., Lim, K., Nabulsi, N., Esterlis, I., . . . Carson, R. E. (2013). The neuroinflammation marker translocator protein is not elevated in individuals with mild-to-moderate depression: a [¹¹C]PBR28 PET study. </w:t>
      </w:r>
      <w:r w:rsidR="003E0E54" w:rsidRPr="00864B25">
        <w:rPr>
          <w:rFonts w:ascii="Times New Roman" w:hAnsi="Times New Roman" w:cs="Times New Roman"/>
          <w:i/>
          <w:sz w:val="24"/>
          <w:szCs w:val="24"/>
        </w:rPr>
        <w:t>Brain, behavior, and immunity, 33</w:t>
      </w:r>
      <w:r w:rsidR="003E0E54" w:rsidRPr="00864B25">
        <w:rPr>
          <w:rFonts w:ascii="Times New Roman" w:hAnsi="Times New Roman" w:cs="Times New Roman"/>
          <w:sz w:val="24"/>
          <w:szCs w:val="24"/>
        </w:rPr>
        <w:t>, 131-138. doi: 10.1016/j.bbi.2013.06.010</w:t>
      </w:r>
    </w:p>
    <w:p w14:paraId="47C5633A" w14:textId="38C99054"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65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Hemingway, H., Shipley, M., Mullen, M. J., Kumari, M., Brunner, E., Taylor, M., . . . Marmot, M. (2003). Social and psychosocial influences on inflammatory markers and vascular function in civil servants (the Whitehall II study). </w:t>
      </w:r>
      <w:r w:rsidR="003E0E54" w:rsidRPr="00864B25">
        <w:rPr>
          <w:rFonts w:ascii="Times New Roman" w:hAnsi="Times New Roman" w:cs="Times New Roman"/>
          <w:i/>
          <w:sz w:val="24"/>
          <w:szCs w:val="24"/>
        </w:rPr>
        <w:t>American Journal of Cardiology, 92</w:t>
      </w:r>
      <w:r w:rsidR="003E0E54" w:rsidRPr="00864B25">
        <w:rPr>
          <w:rFonts w:ascii="Times New Roman" w:hAnsi="Times New Roman" w:cs="Times New Roman"/>
          <w:sz w:val="24"/>
          <w:szCs w:val="24"/>
        </w:rPr>
        <w:t>(8), 984-987. doi: 10.1016/s0002-9149(03)00985-8</w:t>
      </w:r>
    </w:p>
    <w:p w14:paraId="53B617B7" w14:textId="7123A2A5"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66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Hernandez, M. E., Mendieta, D., Martinez-Fong, D., Loria, F., Moreno, J., Estrada, I., . . . Pavon, L. (2008). Variations in circulating cytokine levels during 52 week course of treatment with SSRI for major depressive disorder. </w:t>
      </w:r>
      <w:r w:rsidR="003E0E54" w:rsidRPr="00864B25">
        <w:rPr>
          <w:rFonts w:ascii="Times New Roman" w:hAnsi="Times New Roman" w:cs="Times New Roman"/>
          <w:i/>
          <w:sz w:val="24"/>
          <w:szCs w:val="24"/>
        </w:rPr>
        <w:t>European Neuropsychopharmacology, 18</w:t>
      </w:r>
      <w:r w:rsidR="003E0E54" w:rsidRPr="00864B25">
        <w:rPr>
          <w:rFonts w:ascii="Times New Roman" w:hAnsi="Times New Roman" w:cs="Times New Roman"/>
          <w:sz w:val="24"/>
          <w:szCs w:val="24"/>
        </w:rPr>
        <w:t>(12), 917-924. doi: 10.1016/j.euroneuro.2008.08.001</w:t>
      </w:r>
    </w:p>
    <w:p w14:paraId="286099F7" w14:textId="7B1BDC98"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lastRenderedPageBreak/>
        <w:t>67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Hernandez, M. E., Mendieta, D., Perez-Tapia, M., Bojalil, R., Estrada-Garcia, I., Estrada-Parra, S., &amp; Pavon, L. (2013). Effect of selective serotonin reuptake inhibitors and immunomodulator on cytokines levels: an alternative therapy for patients with major depressive disorder. </w:t>
      </w:r>
      <w:r w:rsidR="003E0E54" w:rsidRPr="00864B25">
        <w:rPr>
          <w:rFonts w:ascii="Times New Roman" w:hAnsi="Times New Roman" w:cs="Times New Roman"/>
          <w:i/>
          <w:sz w:val="24"/>
          <w:szCs w:val="24"/>
        </w:rPr>
        <w:t>Clinical &amp; Developmental Immunology, 2013</w:t>
      </w:r>
      <w:r w:rsidR="003E0E54" w:rsidRPr="00864B25">
        <w:rPr>
          <w:rFonts w:ascii="Times New Roman" w:hAnsi="Times New Roman" w:cs="Times New Roman"/>
          <w:sz w:val="24"/>
          <w:szCs w:val="24"/>
        </w:rPr>
        <w:t>, 267871. doi: 10.1155/2013/267871</w:t>
      </w:r>
    </w:p>
    <w:p w14:paraId="32D1D3BB" w14:textId="3A92B8C0"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68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Ho, P. S., Yeh, Y. W., Huang, S. Y., &amp; Liang, C. S. (2015). A shift toward T helper 2 responses and an increase in modulators of innate immunity in depressed patients treated with escitalopram. </w:t>
      </w:r>
      <w:r w:rsidR="003E0E54" w:rsidRPr="00864B25">
        <w:rPr>
          <w:rFonts w:ascii="Times New Roman" w:hAnsi="Times New Roman" w:cs="Times New Roman"/>
          <w:i/>
          <w:sz w:val="24"/>
          <w:szCs w:val="24"/>
        </w:rPr>
        <w:t>Psychoneuroendocrinology, 53</w:t>
      </w:r>
      <w:r w:rsidR="003E0E54" w:rsidRPr="00864B25">
        <w:rPr>
          <w:rFonts w:ascii="Times New Roman" w:hAnsi="Times New Roman" w:cs="Times New Roman"/>
          <w:sz w:val="24"/>
          <w:szCs w:val="24"/>
        </w:rPr>
        <w:t>, 246-255. doi: 10.1016/j.psyneuen.2015.01.008</w:t>
      </w:r>
    </w:p>
    <w:p w14:paraId="3A307074" w14:textId="0208F086" w:rsidR="003E0E54" w:rsidRPr="00864B25" w:rsidRDefault="00BD6DE5"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69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Hocaoglu, C., Kural, B., Aliyazicioglu, R., Deger, O., &amp; Cengiz, S. (2012). IL-1beta, IL-6, IL-8, IL-10, IFN-gamma, TNF-alpha and its relationship with lipid parameters in patients with major depression. </w:t>
      </w:r>
      <w:r w:rsidR="003E0E54" w:rsidRPr="00864B25">
        <w:rPr>
          <w:rFonts w:ascii="Times New Roman" w:hAnsi="Times New Roman" w:cs="Times New Roman"/>
          <w:i/>
          <w:sz w:val="24"/>
          <w:szCs w:val="24"/>
        </w:rPr>
        <w:t>Metabolic Brain Disease, 27</w:t>
      </w:r>
      <w:r w:rsidR="003E0E54" w:rsidRPr="00864B25">
        <w:rPr>
          <w:rFonts w:ascii="Times New Roman" w:hAnsi="Times New Roman" w:cs="Times New Roman"/>
          <w:sz w:val="24"/>
          <w:szCs w:val="24"/>
        </w:rPr>
        <w:t>(4), 425-430. doi: 10.1007/s11011-012-9323-9</w:t>
      </w:r>
    </w:p>
    <w:p w14:paraId="6C8A0B99" w14:textId="4FA43CA5"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70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Hope, S., Dieset, I., Agartz, I., Steen, N. E., Ueland, T., Melle, I., . . . Andreassen, O. A. (2011). Affective symptoms are associated with markers of inflammation and immune activation in bipolar disorders but not in schizophrenia. </w:t>
      </w:r>
      <w:r w:rsidR="003E0E54" w:rsidRPr="00864B25">
        <w:rPr>
          <w:rFonts w:ascii="Times New Roman" w:hAnsi="Times New Roman" w:cs="Times New Roman"/>
          <w:i/>
          <w:sz w:val="24"/>
          <w:szCs w:val="24"/>
        </w:rPr>
        <w:t>Journal of Psychiatric Research, 45</w:t>
      </w:r>
      <w:r w:rsidR="003E0E54" w:rsidRPr="00864B25">
        <w:rPr>
          <w:rFonts w:ascii="Times New Roman" w:hAnsi="Times New Roman" w:cs="Times New Roman"/>
          <w:sz w:val="24"/>
          <w:szCs w:val="24"/>
        </w:rPr>
        <w:t>(12), 1608-1616. doi: 10.1016/j.jpsychires.2011.08.003</w:t>
      </w:r>
    </w:p>
    <w:p w14:paraId="6AF1061C" w14:textId="74D27BA2"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Hornig, M., Goodman, D. B., Kamoun, M., &amp; Amsterdam, J. D. (1998). Positive and negative acute phase proteins in affective subtypes. </w:t>
      </w:r>
      <w:r w:rsidR="003E0E54" w:rsidRPr="00864B25">
        <w:rPr>
          <w:rFonts w:ascii="Times New Roman" w:hAnsi="Times New Roman" w:cs="Times New Roman"/>
          <w:i/>
          <w:sz w:val="24"/>
          <w:szCs w:val="24"/>
        </w:rPr>
        <w:t>Journal of Affective Disorders, 49</w:t>
      </w:r>
      <w:r w:rsidR="003E0E54" w:rsidRPr="00864B25">
        <w:rPr>
          <w:rFonts w:ascii="Times New Roman" w:hAnsi="Times New Roman" w:cs="Times New Roman"/>
          <w:sz w:val="24"/>
          <w:szCs w:val="24"/>
        </w:rPr>
        <w:t xml:space="preserve">(1), 9-18. </w:t>
      </w:r>
    </w:p>
    <w:p w14:paraId="401A2304" w14:textId="7D0A8845" w:rsidR="003E0E54"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Huang, T. L., &amp; Lin, F. C. (2007). High-sensitivity C-reactive protein levels in patients with major depressive disorder and bipolar mania. </w:t>
      </w:r>
      <w:r w:rsidR="003E0E54" w:rsidRPr="00864B25">
        <w:rPr>
          <w:rFonts w:ascii="Times New Roman" w:hAnsi="Times New Roman" w:cs="Times New Roman"/>
          <w:i/>
          <w:sz w:val="24"/>
          <w:szCs w:val="24"/>
        </w:rPr>
        <w:t>Progress in Neuro-Psychopharmacology &amp; Biological Psychiatry, 31</w:t>
      </w:r>
      <w:r w:rsidR="003E0E54" w:rsidRPr="00864B25">
        <w:rPr>
          <w:rFonts w:ascii="Times New Roman" w:hAnsi="Times New Roman" w:cs="Times New Roman"/>
          <w:sz w:val="24"/>
          <w:szCs w:val="24"/>
        </w:rPr>
        <w:t>(2), 370-372. doi: 10.1016/j.pnpbp.2006.09.010</w:t>
      </w:r>
    </w:p>
    <w:p w14:paraId="057871AE" w14:textId="1959D307" w:rsidR="00005574" w:rsidRPr="00864B25" w:rsidRDefault="00005574" w:rsidP="00005574">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r>
      <w:r w:rsidRPr="00864B25">
        <w:rPr>
          <w:rFonts w:ascii="Times New Roman" w:hAnsi="Times New Roman" w:cs="Times New Roman"/>
          <w:sz w:val="24"/>
          <w:szCs w:val="24"/>
        </w:rPr>
        <w:t xml:space="preserve">Huang, T. L., &amp; Lee, C. T. (2007). T-helper 1/T-helper 2 cytokine imbalance and clinical phenotypes of acute-phase major depression. </w:t>
      </w:r>
      <w:r w:rsidRPr="00864B25">
        <w:rPr>
          <w:rFonts w:ascii="Times New Roman" w:hAnsi="Times New Roman" w:cs="Times New Roman"/>
          <w:i/>
          <w:sz w:val="24"/>
          <w:szCs w:val="24"/>
        </w:rPr>
        <w:t xml:space="preserve">Psychiatry and Clinical </w:t>
      </w:r>
      <w:r w:rsidRPr="00864B25">
        <w:rPr>
          <w:rFonts w:ascii="Times New Roman" w:hAnsi="Times New Roman" w:cs="Times New Roman"/>
          <w:i/>
          <w:sz w:val="24"/>
          <w:szCs w:val="24"/>
        </w:rPr>
        <w:lastRenderedPageBreak/>
        <w:t>Neurosciences, 61</w:t>
      </w:r>
      <w:r w:rsidRPr="00864B25">
        <w:rPr>
          <w:rFonts w:ascii="Times New Roman" w:hAnsi="Times New Roman" w:cs="Times New Roman"/>
          <w:sz w:val="24"/>
          <w:szCs w:val="24"/>
        </w:rPr>
        <w:t>(4), 415-420. doi: 10.1111/j.1440-1819.2007.01686.x</w:t>
      </w:r>
    </w:p>
    <w:p w14:paraId="0C510983" w14:textId="6A73050A"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Hughes, M. M., Carballedo, A., McLoughlin, D. M., Amico, F., Harkin, A., Frodl, T., &amp; Connor, T. J. (2012). Tryptophan depletion in depressed patients occurs independent of kynurenine pathway activation. </w:t>
      </w:r>
      <w:r w:rsidR="003E0E54" w:rsidRPr="00864B25">
        <w:rPr>
          <w:rFonts w:ascii="Times New Roman" w:hAnsi="Times New Roman" w:cs="Times New Roman"/>
          <w:i/>
          <w:sz w:val="24"/>
          <w:szCs w:val="24"/>
        </w:rPr>
        <w:t>Brain, Behavior and Immunity, 26</w:t>
      </w:r>
      <w:r w:rsidR="003E0E54" w:rsidRPr="00864B25">
        <w:rPr>
          <w:rFonts w:ascii="Times New Roman" w:hAnsi="Times New Roman" w:cs="Times New Roman"/>
          <w:sz w:val="24"/>
          <w:szCs w:val="24"/>
        </w:rPr>
        <w:t>(6), 979-987. doi: 10.1016/j.bbi.2012.05.010</w:t>
      </w:r>
    </w:p>
    <w:p w14:paraId="3F7D47EC" w14:textId="67EFDF86"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Hung, Y. J., Hsieh, C. H., Chen, Y. J., Pei, D., Kuo, S. W., Shen, D. C., . . . Chen, Y. C. (2007). Insulin sensitivity, proinflammatory markers and adiponectin in young males with different subtypes of depressive disorder. </w:t>
      </w:r>
      <w:r w:rsidR="003E0E54" w:rsidRPr="00864B25">
        <w:rPr>
          <w:rFonts w:ascii="Times New Roman" w:hAnsi="Times New Roman" w:cs="Times New Roman"/>
          <w:i/>
          <w:sz w:val="24"/>
          <w:szCs w:val="24"/>
        </w:rPr>
        <w:t>Clinical Endocrinology, 67</w:t>
      </w:r>
      <w:r w:rsidR="003E0E54" w:rsidRPr="00864B25">
        <w:rPr>
          <w:rFonts w:ascii="Times New Roman" w:hAnsi="Times New Roman" w:cs="Times New Roman"/>
          <w:sz w:val="24"/>
          <w:szCs w:val="24"/>
        </w:rPr>
        <w:t>(5), 784-789. doi: 10.1111/j.1365-2265.2007.02963.x</w:t>
      </w:r>
    </w:p>
    <w:p w14:paraId="46EAA98C" w14:textId="4B8920FC"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76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Jacobson, C. M., Rosenfeld, B., Pessin, H., &amp; Breitbart, W. (2008). Depression and IL-6 blood plasma concentrations in advanced cancer patients. </w:t>
      </w:r>
      <w:r w:rsidR="003E0E54" w:rsidRPr="00864B25">
        <w:rPr>
          <w:rFonts w:ascii="Times New Roman" w:hAnsi="Times New Roman" w:cs="Times New Roman"/>
          <w:i/>
          <w:sz w:val="24"/>
          <w:szCs w:val="24"/>
        </w:rPr>
        <w:t>Psychosomatics, 49</w:t>
      </w:r>
      <w:r w:rsidR="003E0E54" w:rsidRPr="00864B25">
        <w:rPr>
          <w:rFonts w:ascii="Times New Roman" w:hAnsi="Times New Roman" w:cs="Times New Roman"/>
          <w:sz w:val="24"/>
          <w:szCs w:val="24"/>
        </w:rPr>
        <w:t>(1), 64-66. doi: 10.1176/appi.psy.49.1.64</w:t>
      </w:r>
    </w:p>
    <w:p w14:paraId="12715784" w14:textId="27D2653F"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77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Jacoby, A. S., Munkholm, K., Vinberg, M., Pedersen, B. K., &amp; Kessing, L. V. (2016). Cytokines, brain-derived neurotrophic factor and C-reactive protein in bipolar I disorder - Results from a prospective study. </w:t>
      </w:r>
      <w:r w:rsidR="003E0E54" w:rsidRPr="00864B25">
        <w:rPr>
          <w:rFonts w:ascii="Times New Roman" w:hAnsi="Times New Roman" w:cs="Times New Roman"/>
          <w:i/>
          <w:sz w:val="24"/>
          <w:szCs w:val="24"/>
        </w:rPr>
        <w:t>Journal of Affective Disorders, 197</w:t>
      </w:r>
      <w:r w:rsidR="003E0E54" w:rsidRPr="00864B25">
        <w:rPr>
          <w:rFonts w:ascii="Times New Roman" w:hAnsi="Times New Roman" w:cs="Times New Roman"/>
          <w:sz w:val="24"/>
          <w:szCs w:val="24"/>
        </w:rPr>
        <w:t>, 167-174. doi: 10.1016/j.jad.2016.03.040</w:t>
      </w:r>
    </w:p>
    <w:p w14:paraId="03112CD2" w14:textId="6F879855"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78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Janszky, I., Lekander, M., Blom, M., Georgiades, A., &amp; Ahnve, S. (2005). Self-rated health and vital exhaustion, but not depression, is related to inflammation in women with coronary heart disease. </w:t>
      </w:r>
      <w:r w:rsidR="003E0E54" w:rsidRPr="00864B25">
        <w:rPr>
          <w:rFonts w:ascii="Times New Roman" w:hAnsi="Times New Roman" w:cs="Times New Roman"/>
          <w:i/>
          <w:sz w:val="24"/>
          <w:szCs w:val="24"/>
        </w:rPr>
        <w:t>Brain, Behavior and Immunity, 19</w:t>
      </w:r>
      <w:r w:rsidR="003E0E54" w:rsidRPr="00864B25">
        <w:rPr>
          <w:rFonts w:ascii="Times New Roman" w:hAnsi="Times New Roman" w:cs="Times New Roman"/>
          <w:sz w:val="24"/>
          <w:szCs w:val="24"/>
        </w:rPr>
        <w:t>(6), 555-563. doi: 10.1016/j.bbi.2005.01.001</w:t>
      </w:r>
    </w:p>
    <w:p w14:paraId="06D69449" w14:textId="1958F1EB"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79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Jehn, C. F., Kuehnhardt, D., Bartholomae, A., Pfeiffer, S., Krebs, M., Regierer, A. C., . . . Flath, B. C. (2006). Biomarkers of depression in cancer patients. </w:t>
      </w:r>
      <w:r w:rsidR="003E0E54" w:rsidRPr="00864B25">
        <w:rPr>
          <w:rFonts w:ascii="Times New Roman" w:hAnsi="Times New Roman" w:cs="Times New Roman"/>
          <w:i/>
          <w:sz w:val="24"/>
          <w:szCs w:val="24"/>
        </w:rPr>
        <w:t>Cancer, 107</w:t>
      </w:r>
      <w:r w:rsidR="003E0E54" w:rsidRPr="00864B25">
        <w:rPr>
          <w:rFonts w:ascii="Times New Roman" w:hAnsi="Times New Roman" w:cs="Times New Roman"/>
          <w:sz w:val="24"/>
          <w:szCs w:val="24"/>
        </w:rPr>
        <w:t>(11), 2723-2729. doi: 10.1002/cncr.22294</w:t>
      </w:r>
    </w:p>
    <w:p w14:paraId="5D1390BC" w14:textId="55109F93"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80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Joyce, P. R., Hawes, C. R., Mulder, R. T., Sellman, J. D., Wilson, D. A., &amp; Boswell, D. R. (1992). Elevated levels of acute phase plasma proteins in major depression. </w:t>
      </w:r>
      <w:r w:rsidR="003E0E54" w:rsidRPr="00864B25">
        <w:rPr>
          <w:rFonts w:ascii="Times New Roman" w:hAnsi="Times New Roman" w:cs="Times New Roman"/>
          <w:i/>
          <w:sz w:val="24"/>
          <w:szCs w:val="24"/>
        </w:rPr>
        <w:t>Biological Psychiatry, 32</w:t>
      </w:r>
      <w:r w:rsidR="003E0E54" w:rsidRPr="00864B25">
        <w:rPr>
          <w:rFonts w:ascii="Times New Roman" w:hAnsi="Times New Roman" w:cs="Times New Roman"/>
          <w:sz w:val="24"/>
          <w:szCs w:val="24"/>
        </w:rPr>
        <w:t xml:space="preserve">(11), 1035-1041. </w:t>
      </w:r>
    </w:p>
    <w:p w14:paraId="6D1CC09A" w14:textId="06369941"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lastRenderedPageBreak/>
        <w:t>81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Kagaya, A., Kugaya, A., Takebayashi, M., Fukue-Saeki, M., Saeki, T., Yamawaki, S., &amp; Uchitomi, Y. (2001). Plasma concentrations of interleukin-1beta, interleukin-6, soluble interleukin-2 receptor and tumor necrosis factor alpha of depressed patients in Japan. </w:t>
      </w:r>
      <w:r w:rsidR="003E0E54" w:rsidRPr="00864B25">
        <w:rPr>
          <w:rFonts w:ascii="Times New Roman" w:hAnsi="Times New Roman" w:cs="Times New Roman"/>
          <w:i/>
          <w:sz w:val="24"/>
          <w:szCs w:val="24"/>
        </w:rPr>
        <w:t>Neuropsychobiology, 43</w:t>
      </w:r>
      <w:r w:rsidR="003E0E54" w:rsidRPr="00864B25">
        <w:rPr>
          <w:rFonts w:ascii="Times New Roman" w:hAnsi="Times New Roman" w:cs="Times New Roman"/>
          <w:sz w:val="24"/>
          <w:szCs w:val="24"/>
        </w:rPr>
        <w:t>(2), 59-62. doi: 10.1159/000054867</w:t>
      </w:r>
    </w:p>
    <w:p w14:paraId="11BE77B4" w14:textId="3355BF32"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82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Kahl, K. G., Bester, M., Greggersen, W., Rudolf, S., Dibbelt, L., Stoeckelhuber, B. M., . . . Schweiger, U. (2005). Visceral fat deposition and insulin sensitivity in depressed women with and without comorbid borderline personality disorder. </w:t>
      </w:r>
      <w:r w:rsidR="003E0E54" w:rsidRPr="00864B25">
        <w:rPr>
          <w:rFonts w:ascii="Times New Roman" w:hAnsi="Times New Roman" w:cs="Times New Roman"/>
          <w:i/>
          <w:sz w:val="24"/>
          <w:szCs w:val="24"/>
        </w:rPr>
        <w:t>Psychosomatic Medicine, 67</w:t>
      </w:r>
      <w:r w:rsidR="003E0E54" w:rsidRPr="00864B25">
        <w:rPr>
          <w:rFonts w:ascii="Times New Roman" w:hAnsi="Times New Roman" w:cs="Times New Roman"/>
          <w:sz w:val="24"/>
          <w:szCs w:val="24"/>
        </w:rPr>
        <w:t>(3), 407-412. doi: 10.1097/01.psy.0000160458.95955.f4</w:t>
      </w:r>
    </w:p>
    <w:p w14:paraId="46457AB3" w14:textId="40056E00" w:rsidR="003E0E54"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83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Kahl, K. G., Schweiger, U., Pars, K., Kunikowska, A., Deuschle, M., Gutberlet, M., . . . Hartung, D. (2015). Adrenal gland volume, intra-abdominal and pericardial adipose tissue in major depressive disorder. </w:t>
      </w:r>
      <w:r w:rsidR="003E0E54" w:rsidRPr="00864B25">
        <w:rPr>
          <w:rFonts w:ascii="Times New Roman" w:hAnsi="Times New Roman" w:cs="Times New Roman"/>
          <w:i/>
          <w:sz w:val="24"/>
          <w:szCs w:val="24"/>
        </w:rPr>
        <w:t>Psychoneuroendocrinology, 58</w:t>
      </w:r>
      <w:r w:rsidR="003E0E54" w:rsidRPr="00864B25">
        <w:rPr>
          <w:rFonts w:ascii="Times New Roman" w:hAnsi="Times New Roman" w:cs="Times New Roman"/>
          <w:sz w:val="24"/>
          <w:szCs w:val="24"/>
        </w:rPr>
        <w:t>, 1-8. doi: 10.1016/j.psyneuen.2015.04.008</w:t>
      </w:r>
    </w:p>
    <w:p w14:paraId="47A1A38E" w14:textId="113E2E19" w:rsidR="00005574" w:rsidRPr="00864B25" w:rsidRDefault="00005574" w:rsidP="00005574">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84</w:t>
      </w:r>
      <w:r>
        <w:rPr>
          <w:rFonts w:ascii="Times New Roman" w:hAnsi="Times New Roman" w:cs="Times New Roman"/>
          <w:sz w:val="24"/>
          <w:szCs w:val="24"/>
        </w:rPr>
        <w:tab/>
      </w:r>
      <w:r w:rsidRPr="00864B25">
        <w:rPr>
          <w:rFonts w:ascii="Times New Roman" w:hAnsi="Times New Roman" w:cs="Times New Roman"/>
          <w:sz w:val="24"/>
          <w:szCs w:val="24"/>
        </w:rPr>
        <w:t xml:space="preserve">Kahl, K. G., Herrmann, J., Stubbs, B., Krüger, T. H. C., Cordes, J., Deuschle, M., . . . Hartung, D. (2017). Pericardial adipose tissue and the metabolic syndrome is increased in patients with chronic major depressive disorder compared to acute depression and controls. </w:t>
      </w:r>
      <w:r w:rsidRPr="00864B25">
        <w:rPr>
          <w:rFonts w:ascii="Times New Roman" w:hAnsi="Times New Roman" w:cs="Times New Roman"/>
          <w:i/>
          <w:sz w:val="24"/>
          <w:szCs w:val="24"/>
        </w:rPr>
        <w:t>Progress in Neuro-Psychopharmacology &amp; Biological Psychiatry, 72</w:t>
      </w:r>
      <w:r w:rsidRPr="00864B25">
        <w:rPr>
          <w:rFonts w:ascii="Times New Roman" w:hAnsi="Times New Roman" w:cs="Times New Roman"/>
          <w:sz w:val="24"/>
          <w:szCs w:val="24"/>
        </w:rPr>
        <w:t>, 30-35. doi: 10.1016/j.pnpbp.2016.08.005</w:t>
      </w:r>
    </w:p>
    <w:p w14:paraId="22358605" w14:textId="47CCCA08"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85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Kapczinski, F., Dal-Pizzol, F., Teixeira, A. L., Magalhaes, P. V., Kauer-Sant'Anna, M., Klamt, F., . . . Post, R. (2011). Peripheral biomarkers and illness activity in bipolar disorder. </w:t>
      </w:r>
      <w:r w:rsidR="003E0E54" w:rsidRPr="00864B25">
        <w:rPr>
          <w:rFonts w:ascii="Times New Roman" w:hAnsi="Times New Roman" w:cs="Times New Roman"/>
          <w:i/>
          <w:sz w:val="24"/>
          <w:szCs w:val="24"/>
        </w:rPr>
        <w:t>Journal of Psychiatric Research, 45</w:t>
      </w:r>
      <w:r w:rsidR="003E0E54" w:rsidRPr="00864B25">
        <w:rPr>
          <w:rFonts w:ascii="Times New Roman" w:hAnsi="Times New Roman" w:cs="Times New Roman"/>
          <w:sz w:val="24"/>
          <w:szCs w:val="24"/>
        </w:rPr>
        <w:t>(2), 156-161. doi: 10.1016/j.jpsychires.2010.05.015</w:t>
      </w:r>
    </w:p>
    <w:p w14:paraId="1E3AB3E3" w14:textId="00C6763F"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86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Karlovic, D., Serretti, A., Vrkic, N., Martinac, M., &amp; Marcinko, D. (2012). Serum concentrations of CRP, IL-6, TNF-alpha and cortisol in major depressive disorder with melancholic or atypical features. </w:t>
      </w:r>
      <w:r w:rsidR="003E0E54" w:rsidRPr="00864B25">
        <w:rPr>
          <w:rFonts w:ascii="Times New Roman" w:hAnsi="Times New Roman" w:cs="Times New Roman"/>
          <w:i/>
          <w:sz w:val="24"/>
          <w:szCs w:val="24"/>
        </w:rPr>
        <w:t>Psychiatry Research, 198</w:t>
      </w:r>
      <w:r w:rsidR="003E0E54" w:rsidRPr="00864B25">
        <w:rPr>
          <w:rFonts w:ascii="Times New Roman" w:hAnsi="Times New Roman" w:cs="Times New Roman"/>
          <w:sz w:val="24"/>
          <w:szCs w:val="24"/>
        </w:rPr>
        <w:t>(1), 74-80. doi: 10.1016/j.psychres.2011.12.007</w:t>
      </w:r>
    </w:p>
    <w:p w14:paraId="6334F420" w14:textId="6F984FD4"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87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Kiecolt-Glaser, J. K., Belury, M. A., Porter, K., Beversdorf, D. Q., Lemeshow, S., &amp; </w:t>
      </w:r>
      <w:r w:rsidR="003E0E54" w:rsidRPr="00864B25">
        <w:rPr>
          <w:rFonts w:ascii="Times New Roman" w:hAnsi="Times New Roman" w:cs="Times New Roman"/>
          <w:sz w:val="24"/>
          <w:szCs w:val="24"/>
        </w:rPr>
        <w:lastRenderedPageBreak/>
        <w:t xml:space="preserve">Glaser, R. (2007). Depressive symptoms, omega-6:omega-3 fatty acids, and inflammation in older adults. </w:t>
      </w:r>
      <w:r w:rsidR="003E0E54" w:rsidRPr="00864B25">
        <w:rPr>
          <w:rFonts w:ascii="Times New Roman" w:hAnsi="Times New Roman" w:cs="Times New Roman"/>
          <w:i/>
          <w:sz w:val="24"/>
          <w:szCs w:val="24"/>
        </w:rPr>
        <w:t>Psychosomatic Medicine, 69</w:t>
      </w:r>
      <w:r w:rsidR="003E0E54" w:rsidRPr="00864B25">
        <w:rPr>
          <w:rFonts w:ascii="Times New Roman" w:hAnsi="Times New Roman" w:cs="Times New Roman"/>
          <w:sz w:val="24"/>
          <w:szCs w:val="24"/>
        </w:rPr>
        <w:t>(3), 217-224. doi: 10.1097/PSY.0b013e3180313a45</w:t>
      </w:r>
    </w:p>
    <w:p w14:paraId="56A76C59" w14:textId="0483E624"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88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Kim, Y. K., Lee, S. W., Kim, S. H., Shim, S. H., Han, S. W., Choi, S. H., &amp; Lee, B. H. (2008). Differences in cytokines between non-suicidal patients and suicidal patients in major depression. </w:t>
      </w:r>
      <w:r w:rsidR="003E0E54" w:rsidRPr="00864B25">
        <w:rPr>
          <w:rFonts w:ascii="Times New Roman" w:hAnsi="Times New Roman" w:cs="Times New Roman"/>
          <w:i/>
          <w:sz w:val="24"/>
          <w:szCs w:val="24"/>
        </w:rPr>
        <w:t>Progress in Neuro-Psychopharmacology &amp; Biological Psychiatry, 32</w:t>
      </w:r>
      <w:r w:rsidR="003E0E54" w:rsidRPr="00864B25">
        <w:rPr>
          <w:rFonts w:ascii="Times New Roman" w:hAnsi="Times New Roman" w:cs="Times New Roman"/>
          <w:sz w:val="24"/>
          <w:szCs w:val="24"/>
        </w:rPr>
        <w:t>(2), 356-361. doi: 10.1016/j.pnpbp.2007.08.041</w:t>
      </w:r>
    </w:p>
    <w:p w14:paraId="272E06D2" w14:textId="0D01723B"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89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Kop, W. J., Gottdiener, J. S., Tangen, C. M., Fried, L. P., McBurnie, M. A., Walston, J., . . . Tracy, R. P. (2002). Inflammation and coagulation factors in persons &gt; 65 years of age with symptoms of depression but without evidence of myocardial ischemia. </w:t>
      </w:r>
      <w:r w:rsidR="003E0E54" w:rsidRPr="00864B25">
        <w:rPr>
          <w:rFonts w:ascii="Times New Roman" w:hAnsi="Times New Roman" w:cs="Times New Roman"/>
          <w:i/>
          <w:sz w:val="24"/>
          <w:szCs w:val="24"/>
        </w:rPr>
        <w:t>American Journal of Cardiology, 89</w:t>
      </w:r>
      <w:r w:rsidR="003E0E54" w:rsidRPr="00864B25">
        <w:rPr>
          <w:rFonts w:ascii="Times New Roman" w:hAnsi="Times New Roman" w:cs="Times New Roman"/>
          <w:sz w:val="24"/>
          <w:szCs w:val="24"/>
        </w:rPr>
        <w:t>(4), 419-424. doi: 10.1016/s0002-9149(01)02264-0</w:t>
      </w:r>
    </w:p>
    <w:p w14:paraId="1E490753" w14:textId="187981D5"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90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Krogh, J., Benros, M. E., Jorgensen, M. B., Vesterager, L., Elfving, B., &amp; Nordentoft, M. (2014). The association between depressive symptoms, cognitive function, and inflammation in major depression. </w:t>
      </w:r>
      <w:r w:rsidR="003E0E54" w:rsidRPr="00864B25">
        <w:rPr>
          <w:rFonts w:ascii="Times New Roman" w:hAnsi="Times New Roman" w:cs="Times New Roman"/>
          <w:i/>
          <w:sz w:val="24"/>
          <w:szCs w:val="24"/>
        </w:rPr>
        <w:t>Brain, Behavior and Immunity, 35</w:t>
      </w:r>
      <w:r w:rsidR="003E0E54" w:rsidRPr="00864B25">
        <w:rPr>
          <w:rFonts w:ascii="Times New Roman" w:hAnsi="Times New Roman" w:cs="Times New Roman"/>
          <w:sz w:val="24"/>
          <w:szCs w:val="24"/>
        </w:rPr>
        <w:t>, 70-76. doi: 10.1016/j.bbi.2013.08.014</w:t>
      </w:r>
    </w:p>
    <w:p w14:paraId="00B53CC9" w14:textId="53B7028D"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91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Kubera, M., Kenis, G., Bosmans, E., Zieba, A., Dudek, D., Nowak, G., &amp; Maes, M. (2000). Plasma levels of interleukin-6, interleukin-10, and interleukin-1 receptor antagonist in depression: comparison between the acute state and after remission. </w:t>
      </w:r>
      <w:r w:rsidR="003E0E54" w:rsidRPr="00864B25">
        <w:rPr>
          <w:rFonts w:ascii="Times New Roman" w:hAnsi="Times New Roman" w:cs="Times New Roman"/>
          <w:i/>
          <w:sz w:val="24"/>
          <w:szCs w:val="24"/>
        </w:rPr>
        <w:t>Polish Journal of Pharmacology, 52</w:t>
      </w:r>
      <w:r w:rsidR="003E0E54" w:rsidRPr="00864B25">
        <w:rPr>
          <w:rFonts w:ascii="Times New Roman" w:hAnsi="Times New Roman" w:cs="Times New Roman"/>
          <w:sz w:val="24"/>
          <w:szCs w:val="24"/>
        </w:rPr>
        <w:t xml:space="preserve">(3), 237-241. </w:t>
      </w:r>
    </w:p>
    <w:p w14:paraId="74D3FB69" w14:textId="24985D14"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92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Kudoh, A., Katagai, H., &amp; Takazawa, T. (2001). Plasma inflammatory cytokine response to surgical trauma in chronic depressed patients. </w:t>
      </w:r>
      <w:r w:rsidR="003E0E54" w:rsidRPr="00864B25">
        <w:rPr>
          <w:rFonts w:ascii="Times New Roman" w:hAnsi="Times New Roman" w:cs="Times New Roman"/>
          <w:i/>
          <w:sz w:val="24"/>
          <w:szCs w:val="24"/>
        </w:rPr>
        <w:t>Cytokine, 13</w:t>
      </w:r>
      <w:r w:rsidR="003E0E54" w:rsidRPr="00864B25">
        <w:rPr>
          <w:rFonts w:ascii="Times New Roman" w:hAnsi="Times New Roman" w:cs="Times New Roman"/>
          <w:sz w:val="24"/>
          <w:szCs w:val="24"/>
        </w:rPr>
        <w:t>(2), 104-108. doi: 10.1006/cyto.2000.0802</w:t>
      </w:r>
    </w:p>
    <w:p w14:paraId="5C8BC66B" w14:textId="6589B5A3"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93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Ladwig, K.-H., Marten-Mittag, B., Löwel, H., Döring, A., Koenig, W., &amp; Study, M.-K. A. C. (2005). C-reactive protein, depressed mood, and the prediction of coronary heart disease in initially healthy men: results from the MONICA-KORA Augsburg </w:t>
      </w:r>
      <w:r w:rsidR="003E0E54" w:rsidRPr="00864B25">
        <w:rPr>
          <w:rFonts w:ascii="Times New Roman" w:hAnsi="Times New Roman" w:cs="Times New Roman"/>
          <w:sz w:val="24"/>
          <w:szCs w:val="24"/>
        </w:rPr>
        <w:lastRenderedPageBreak/>
        <w:t xml:space="preserve">Cohort Study 1984-1998. </w:t>
      </w:r>
      <w:r w:rsidR="003E0E54" w:rsidRPr="00864B25">
        <w:rPr>
          <w:rFonts w:ascii="Times New Roman" w:hAnsi="Times New Roman" w:cs="Times New Roman"/>
          <w:i/>
          <w:sz w:val="24"/>
          <w:szCs w:val="24"/>
        </w:rPr>
        <w:t>European Heart Journal, 26</w:t>
      </w:r>
      <w:r w:rsidR="003E0E54" w:rsidRPr="00864B25">
        <w:rPr>
          <w:rFonts w:ascii="Times New Roman" w:hAnsi="Times New Roman" w:cs="Times New Roman"/>
          <w:sz w:val="24"/>
          <w:szCs w:val="24"/>
        </w:rPr>
        <w:t>(23), 2537-2542. doi: 10.1093/eurheartj/ehi456</w:t>
      </w:r>
    </w:p>
    <w:p w14:paraId="0896F722" w14:textId="3DE2D173"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94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Lamers, F., Vogelzangs, N., Merikangas, K. R., de Jonge, P., Beekman, A. T. F., &amp; Penninx, B. W. J. H. (2013). Evidence for a differential role of HPA-axis function, inflammation and metabolic syndrome in melancholic versus atypical depression. </w:t>
      </w:r>
      <w:r w:rsidR="003E0E54" w:rsidRPr="00864B25">
        <w:rPr>
          <w:rFonts w:ascii="Times New Roman" w:hAnsi="Times New Roman" w:cs="Times New Roman"/>
          <w:i/>
          <w:sz w:val="24"/>
          <w:szCs w:val="24"/>
        </w:rPr>
        <w:t>Molecular Psychiatry, 18</w:t>
      </w:r>
      <w:r w:rsidR="003E0E54" w:rsidRPr="00864B25">
        <w:rPr>
          <w:rFonts w:ascii="Times New Roman" w:hAnsi="Times New Roman" w:cs="Times New Roman"/>
          <w:sz w:val="24"/>
          <w:szCs w:val="24"/>
        </w:rPr>
        <w:t>(6), 692-699. doi: 10.1038/mp.2012.144</w:t>
      </w:r>
    </w:p>
    <w:p w14:paraId="227F0A70" w14:textId="531F2A74"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95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Landmann, R., Schaub, B., Link, S., &amp; Wacker, H. R. (1997). Unaltered monocyte function in patients with major depression before and after three months of antidepressive therapy. </w:t>
      </w:r>
      <w:r w:rsidR="003E0E54" w:rsidRPr="00864B25">
        <w:rPr>
          <w:rFonts w:ascii="Times New Roman" w:hAnsi="Times New Roman" w:cs="Times New Roman"/>
          <w:i/>
          <w:sz w:val="24"/>
          <w:szCs w:val="24"/>
        </w:rPr>
        <w:t>Biological Psychiatry, 41</w:t>
      </w:r>
      <w:r w:rsidR="003E0E54" w:rsidRPr="00864B25">
        <w:rPr>
          <w:rFonts w:ascii="Times New Roman" w:hAnsi="Times New Roman" w:cs="Times New Roman"/>
          <w:sz w:val="24"/>
          <w:szCs w:val="24"/>
        </w:rPr>
        <w:t>(6), 675-681. doi: 10.1016/S0006-3223(96)00176-X</w:t>
      </w:r>
    </w:p>
    <w:p w14:paraId="4D147A80" w14:textId="099DB680"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96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Lanquillon, S., Krieg, J. C., Bening-Abu-Shach, U., &amp; Vedder, H. (2000). Cytokine production and treatment response in major depressive disorder. </w:t>
      </w:r>
      <w:r w:rsidR="003E0E54" w:rsidRPr="00864B25">
        <w:rPr>
          <w:rFonts w:ascii="Times New Roman" w:hAnsi="Times New Roman" w:cs="Times New Roman"/>
          <w:i/>
          <w:sz w:val="24"/>
          <w:szCs w:val="24"/>
        </w:rPr>
        <w:t>Neuropsychopharmacology, 22</w:t>
      </w:r>
      <w:r w:rsidR="003E0E54" w:rsidRPr="00864B25">
        <w:rPr>
          <w:rFonts w:ascii="Times New Roman" w:hAnsi="Times New Roman" w:cs="Times New Roman"/>
          <w:sz w:val="24"/>
          <w:szCs w:val="24"/>
        </w:rPr>
        <w:t>(4), 370-379. doi: 10.1016/s0893-133x(99)00134-7</w:t>
      </w:r>
    </w:p>
    <w:p w14:paraId="094BB74E" w14:textId="3ECB39E2"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97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Leo, R., Di Lorenzo, G., Tesauro, M., Razzini, C., Forleo, G. B., Chiricolo, G., . . . Romeo, F. (2006). Association between enhanced soluble CD40 ligand and proinflammatory and prothrombotic states in major depressive disorder: pilot observations on the effects of selective serotonin reuptake inhibitor therapy. </w:t>
      </w:r>
      <w:r w:rsidR="003E0E54" w:rsidRPr="00864B25">
        <w:rPr>
          <w:rFonts w:ascii="Times New Roman" w:hAnsi="Times New Roman" w:cs="Times New Roman"/>
          <w:i/>
          <w:sz w:val="24"/>
          <w:szCs w:val="24"/>
        </w:rPr>
        <w:t>Journal of Clinical Psychiatry, 67</w:t>
      </w:r>
      <w:r w:rsidR="003E0E54" w:rsidRPr="00864B25">
        <w:rPr>
          <w:rFonts w:ascii="Times New Roman" w:hAnsi="Times New Roman" w:cs="Times New Roman"/>
          <w:sz w:val="24"/>
          <w:szCs w:val="24"/>
        </w:rPr>
        <w:t xml:space="preserve">(11), 1760-1766. </w:t>
      </w:r>
    </w:p>
    <w:p w14:paraId="52B166AD" w14:textId="4C785566"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98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Lesperance, F., Frasure-Smith, N., Theroux, P., &amp; Irwin, M. (2004). The association between major depression and levels of soluble intercellular adhesion molecule 1, interleukin-6, and C-reactive protein in patients with recent acute coronary syndromes. </w:t>
      </w:r>
      <w:r w:rsidR="003E0E54" w:rsidRPr="00864B25">
        <w:rPr>
          <w:rFonts w:ascii="Times New Roman" w:hAnsi="Times New Roman" w:cs="Times New Roman"/>
          <w:i/>
          <w:sz w:val="24"/>
          <w:szCs w:val="24"/>
        </w:rPr>
        <w:t>American Journal of Psychiatry, 161</w:t>
      </w:r>
      <w:r w:rsidR="003E0E54" w:rsidRPr="00864B25">
        <w:rPr>
          <w:rFonts w:ascii="Times New Roman" w:hAnsi="Times New Roman" w:cs="Times New Roman"/>
          <w:sz w:val="24"/>
          <w:szCs w:val="24"/>
        </w:rPr>
        <w:t>(2), 271-277. doi: 10.1176/appi.ajp.161.2.271</w:t>
      </w:r>
    </w:p>
    <w:p w14:paraId="2A37709A" w14:textId="63125DF6"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99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Li, Z., Qi, D., Chen, J., Zhang, C., Yi, Z., Yuan, C., . . . Cui, D. (2013). Venlafaxine inhibits the upregulation of plasma tumor necrosis factor-alpha (TNF-α) in the Chinese patients with major depressive disorder: a prospective longitudinal study. </w:t>
      </w:r>
      <w:r w:rsidR="003E0E54" w:rsidRPr="00864B25">
        <w:rPr>
          <w:rFonts w:ascii="Times New Roman" w:hAnsi="Times New Roman" w:cs="Times New Roman"/>
          <w:i/>
          <w:sz w:val="24"/>
          <w:szCs w:val="24"/>
        </w:rPr>
        <w:lastRenderedPageBreak/>
        <w:t>Psychoneuroendocrinology, 38</w:t>
      </w:r>
      <w:r w:rsidR="003E0E54" w:rsidRPr="00864B25">
        <w:rPr>
          <w:rFonts w:ascii="Times New Roman" w:hAnsi="Times New Roman" w:cs="Times New Roman"/>
          <w:sz w:val="24"/>
          <w:szCs w:val="24"/>
        </w:rPr>
        <w:t xml:space="preserve">(1), 107-114. </w:t>
      </w:r>
    </w:p>
    <w:p w14:paraId="3D8CA2BA" w14:textId="2051CF5D"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u w:val="single"/>
        </w:rPr>
      </w:pPr>
      <w:r>
        <w:rPr>
          <w:rFonts w:ascii="Times New Roman" w:hAnsi="Times New Roman" w:cs="Times New Roman"/>
          <w:sz w:val="24"/>
          <w:szCs w:val="24"/>
        </w:rPr>
        <w:t>100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Liukkonen, T., Silvennoinen-Kassinen, S., Jokelainen, J., Räsänen, P., Leinonen, M., Meyer-Rochow, V. B., &amp; Timonen, M. (2006). The Association Between C-Reactive Protein Levels and Depression: Results from the Northern Finland 1966 Birth Cohort Study. </w:t>
      </w:r>
      <w:r w:rsidR="003E0E54" w:rsidRPr="00864B25">
        <w:rPr>
          <w:rFonts w:ascii="Times New Roman" w:hAnsi="Times New Roman" w:cs="Times New Roman"/>
          <w:i/>
          <w:sz w:val="24"/>
          <w:szCs w:val="24"/>
        </w:rPr>
        <w:t>Biological Psychiatry, 60</w:t>
      </w:r>
      <w:r w:rsidR="003E0E54" w:rsidRPr="00864B25">
        <w:rPr>
          <w:rFonts w:ascii="Times New Roman" w:hAnsi="Times New Roman" w:cs="Times New Roman"/>
          <w:sz w:val="24"/>
          <w:szCs w:val="24"/>
        </w:rPr>
        <w:t xml:space="preserve">(8), 825-830. doi: </w:t>
      </w:r>
      <w:r w:rsidR="003E0E54" w:rsidRPr="00864B25">
        <w:rPr>
          <w:rFonts w:ascii="Times New Roman" w:hAnsi="Times New Roman" w:cs="Times New Roman"/>
          <w:sz w:val="24"/>
          <w:szCs w:val="24"/>
          <w:u w:val="single"/>
        </w:rPr>
        <w:t>https://doi.org/10.1016/j.biopsych.2006.02.016</w:t>
      </w:r>
    </w:p>
    <w:p w14:paraId="053C1081" w14:textId="086F0DD1"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101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Loucks, E. B., Berkman, L. F., Gruenewald, T. L., &amp; Seeman, T. E. (2006). Relation of social integration to inflammatory marker concentrations in men and women 70 to 79 years. </w:t>
      </w:r>
      <w:r w:rsidR="003E0E54" w:rsidRPr="00864B25">
        <w:rPr>
          <w:rFonts w:ascii="Times New Roman" w:hAnsi="Times New Roman" w:cs="Times New Roman"/>
          <w:i/>
          <w:sz w:val="24"/>
          <w:szCs w:val="24"/>
        </w:rPr>
        <w:t>American Journal of Cardiology, 97</w:t>
      </w:r>
      <w:r w:rsidR="003E0E54" w:rsidRPr="00864B25">
        <w:rPr>
          <w:rFonts w:ascii="Times New Roman" w:hAnsi="Times New Roman" w:cs="Times New Roman"/>
          <w:sz w:val="24"/>
          <w:szCs w:val="24"/>
        </w:rPr>
        <w:t>(7), 1010-1016. doi: 10.1016/j.amjcard.2005.10.043</w:t>
      </w:r>
    </w:p>
    <w:p w14:paraId="47649525" w14:textId="1FCE4C18"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102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Lutgendorf, S. K., Russell, D., Ullrich, P., Harris, T. B., &amp; Wallace, R. (2004). Religious participation, interleukin-6, and mortality in older adults. </w:t>
      </w:r>
      <w:r w:rsidR="003E0E54" w:rsidRPr="00864B25">
        <w:rPr>
          <w:rFonts w:ascii="Times New Roman" w:hAnsi="Times New Roman" w:cs="Times New Roman"/>
          <w:i/>
          <w:sz w:val="24"/>
          <w:szCs w:val="24"/>
        </w:rPr>
        <w:t>Health Psychology, 23</w:t>
      </w:r>
      <w:r w:rsidR="003E0E54" w:rsidRPr="00864B25">
        <w:rPr>
          <w:rFonts w:ascii="Times New Roman" w:hAnsi="Times New Roman" w:cs="Times New Roman"/>
          <w:sz w:val="24"/>
          <w:szCs w:val="24"/>
        </w:rPr>
        <w:t>(5), 465-475. doi: 10.1037/0278-6133.23.5.465</w:t>
      </w:r>
    </w:p>
    <w:p w14:paraId="1444FAB9" w14:textId="6D3154CC"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103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Lyness, J. M., Moynihan, J. A., Williford, D. J., Cox, C., &amp; Caine, E. D. (2001). Depression, medical illness, and interleukin-1beta in older cardiac patients. </w:t>
      </w:r>
      <w:r w:rsidR="003E0E54" w:rsidRPr="00864B25">
        <w:rPr>
          <w:rFonts w:ascii="Times New Roman" w:hAnsi="Times New Roman" w:cs="Times New Roman"/>
          <w:i/>
          <w:sz w:val="24"/>
          <w:szCs w:val="24"/>
        </w:rPr>
        <w:t>International Journal of Psychiatry in Medicine, 31</w:t>
      </w:r>
      <w:r w:rsidR="003E0E54" w:rsidRPr="00864B25">
        <w:rPr>
          <w:rFonts w:ascii="Times New Roman" w:hAnsi="Times New Roman" w:cs="Times New Roman"/>
          <w:sz w:val="24"/>
          <w:szCs w:val="24"/>
        </w:rPr>
        <w:t>(3), 305-310. doi: 10.2190/0jj0-4bhw-fm8k-d5rh</w:t>
      </w:r>
    </w:p>
    <w:p w14:paraId="5AD0BE3B" w14:textId="1A96CB11"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104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Ma, Y., Chiriboga, D. E., Pagoto, S. L., Rosal, M. C., Li, W., Merriam, P. A., . . . Ockene, I. S. (2010). Association between Depression and C-Reactive Protein. </w:t>
      </w:r>
      <w:r w:rsidR="003E0E54" w:rsidRPr="00864B25">
        <w:rPr>
          <w:rFonts w:ascii="Times New Roman" w:hAnsi="Times New Roman" w:cs="Times New Roman"/>
          <w:i/>
          <w:sz w:val="24"/>
          <w:szCs w:val="24"/>
        </w:rPr>
        <w:t>Cardiology Research and Practice, 2011</w:t>
      </w:r>
      <w:r w:rsidR="003E0E54" w:rsidRPr="00864B25">
        <w:rPr>
          <w:rFonts w:ascii="Times New Roman" w:hAnsi="Times New Roman" w:cs="Times New Roman"/>
          <w:sz w:val="24"/>
          <w:szCs w:val="24"/>
        </w:rPr>
        <w:t>, 286509-286509. doi: 10.4061/2011/286509</w:t>
      </w:r>
    </w:p>
    <w:p w14:paraId="2E98F36D" w14:textId="3ABF6029"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105</w:t>
      </w:r>
      <w:r>
        <w:rPr>
          <w:rFonts w:ascii="Times New Roman" w:hAnsi="Times New Roman" w:cs="Times New Roman"/>
          <w:sz w:val="24"/>
          <w:szCs w:val="24"/>
        </w:rPr>
        <w:tab/>
      </w:r>
      <w:r w:rsidR="003E0E54" w:rsidRPr="00864B25">
        <w:rPr>
          <w:rFonts w:ascii="Times New Roman" w:hAnsi="Times New Roman" w:cs="Times New Roman"/>
          <w:sz w:val="24"/>
          <w:szCs w:val="24"/>
        </w:rPr>
        <w:t>Maes, M., Meltzer, H. Y., Bosmans, E., Bergmans, R., Vandoolaeghe, E., Ranjan, R., &amp; Desnyder, R. (1995</w:t>
      </w:r>
      <w:r>
        <w:rPr>
          <w:rFonts w:ascii="Times New Roman" w:hAnsi="Times New Roman" w:cs="Times New Roman"/>
          <w:sz w:val="24"/>
          <w:szCs w:val="24"/>
        </w:rPr>
        <w:t>a</w:t>
      </w:r>
      <w:r w:rsidR="003E0E54" w:rsidRPr="00864B25">
        <w:rPr>
          <w:rFonts w:ascii="Times New Roman" w:hAnsi="Times New Roman" w:cs="Times New Roman"/>
          <w:sz w:val="24"/>
          <w:szCs w:val="24"/>
        </w:rPr>
        <w:t xml:space="preserve">). Increased plasma concentrations of interleukin-6, soluble interleukin-6, soluble interleukin-2 and transferrin receptor in major depression. </w:t>
      </w:r>
      <w:r w:rsidR="003E0E54" w:rsidRPr="00864B25">
        <w:rPr>
          <w:rFonts w:ascii="Times New Roman" w:hAnsi="Times New Roman" w:cs="Times New Roman"/>
          <w:i/>
          <w:sz w:val="24"/>
          <w:szCs w:val="24"/>
        </w:rPr>
        <w:t>Journal of Affective Disorders, 34</w:t>
      </w:r>
      <w:r w:rsidR="003E0E54" w:rsidRPr="00864B25">
        <w:rPr>
          <w:rFonts w:ascii="Times New Roman" w:hAnsi="Times New Roman" w:cs="Times New Roman"/>
          <w:sz w:val="24"/>
          <w:szCs w:val="24"/>
        </w:rPr>
        <w:t xml:space="preserve">(4), 301-309. </w:t>
      </w:r>
    </w:p>
    <w:p w14:paraId="48C9295C" w14:textId="43378847" w:rsidR="003E0E54"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106</w:t>
      </w:r>
      <w:r>
        <w:rPr>
          <w:rFonts w:ascii="Times New Roman" w:hAnsi="Times New Roman" w:cs="Times New Roman"/>
          <w:sz w:val="24"/>
          <w:szCs w:val="24"/>
        </w:rPr>
        <w:tab/>
      </w:r>
      <w:r w:rsidR="003E0E54" w:rsidRPr="00864B25">
        <w:rPr>
          <w:rFonts w:ascii="Times New Roman" w:hAnsi="Times New Roman" w:cs="Times New Roman"/>
          <w:sz w:val="24"/>
          <w:szCs w:val="24"/>
        </w:rPr>
        <w:t>Maes, M., Meltzer, H. Y., Buckley, P., &amp; Bosmans, E. (1995</w:t>
      </w:r>
      <w:r>
        <w:rPr>
          <w:rFonts w:ascii="Times New Roman" w:hAnsi="Times New Roman" w:cs="Times New Roman"/>
          <w:sz w:val="24"/>
          <w:szCs w:val="24"/>
        </w:rPr>
        <w:t>b</w:t>
      </w:r>
      <w:r w:rsidR="003E0E54" w:rsidRPr="00864B25">
        <w:rPr>
          <w:rFonts w:ascii="Times New Roman" w:hAnsi="Times New Roman" w:cs="Times New Roman"/>
          <w:sz w:val="24"/>
          <w:szCs w:val="24"/>
        </w:rPr>
        <w:t xml:space="preserve">). Plasma-soluble interleukin-2 and transferrin receptor in schizophrenia and major depression. </w:t>
      </w:r>
      <w:r w:rsidR="003E0E54" w:rsidRPr="00864B25">
        <w:rPr>
          <w:rFonts w:ascii="Times New Roman" w:hAnsi="Times New Roman" w:cs="Times New Roman"/>
          <w:i/>
          <w:sz w:val="24"/>
          <w:szCs w:val="24"/>
        </w:rPr>
        <w:lastRenderedPageBreak/>
        <w:t>European Archives of Psychiatry and Clinical Neuroscience, 244</w:t>
      </w:r>
      <w:r w:rsidR="003E0E54" w:rsidRPr="00864B25">
        <w:rPr>
          <w:rFonts w:ascii="Times New Roman" w:hAnsi="Times New Roman" w:cs="Times New Roman"/>
          <w:sz w:val="24"/>
          <w:szCs w:val="24"/>
        </w:rPr>
        <w:t xml:space="preserve">(6), 325-329. </w:t>
      </w:r>
    </w:p>
    <w:p w14:paraId="6DBDD983" w14:textId="6920A0F3" w:rsidR="00005574"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107</w:t>
      </w:r>
      <w:r>
        <w:rPr>
          <w:rFonts w:ascii="Times New Roman" w:hAnsi="Times New Roman" w:cs="Times New Roman"/>
          <w:sz w:val="24"/>
          <w:szCs w:val="24"/>
        </w:rPr>
        <w:tab/>
      </w:r>
      <w:r w:rsidRPr="00864B25">
        <w:rPr>
          <w:rFonts w:ascii="Times New Roman" w:hAnsi="Times New Roman" w:cs="Times New Roman"/>
          <w:sz w:val="24"/>
          <w:szCs w:val="24"/>
        </w:rPr>
        <w:t>Maes, M., Bosmans, E., &amp; Meltzer, H. Y. (1995</w:t>
      </w:r>
      <w:r>
        <w:rPr>
          <w:rFonts w:ascii="Times New Roman" w:hAnsi="Times New Roman" w:cs="Times New Roman"/>
          <w:sz w:val="24"/>
          <w:szCs w:val="24"/>
        </w:rPr>
        <w:t>c</w:t>
      </w:r>
      <w:r w:rsidRPr="00864B25">
        <w:rPr>
          <w:rFonts w:ascii="Times New Roman" w:hAnsi="Times New Roman" w:cs="Times New Roman"/>
          <w:sz w:val="24"/>
          <w:szCs w:val="24"/>
        </w:rPr>
        <w:t xml:space="preserve">). Immunoendocrine aspects of major depression. Relationships between plasma interleukin-6 and soluble interleukin-2 receptor, prolactin and cortisol. </w:t>
      </w:r>
      <w:r w:rsidRPr="00864B25">
        <w:rPr>
          <w:rFonts w:ascii="Times New Roman" w:hAnsi="Times New Roman" w:cs="Times New Roman"/>
          <w:i/>
          <w:sz w:val="24"/>
          <w:szCs w:val="24"/>
        </w:rPr>
        <w:t>European Archives of Psychiatry and Clinical Neuroscience, 245</w:t>
      </w:r>
      <w:r w:rsidRPr="00864B25">
        <w:rPr>
          <w:rFonts w:ascii="Times New Roman" w:hAnsi="Times New Roman" w:cs="Times New Roman"/>
          <w:sz w:val="24"/>
          <w:szCs w:val="24"/>
        </w:rPr>
        <w:t>(3), 172-178.</w:t>
      </w:r>
    </w:p>
    <w:p w14:paraId="61E824E6" w14:textId="6202C519" w:rsidR="00005574" w:rsidRPr="00864B25" w:rsidRDefault="00005574" w:rsidP="00005574">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108</w:t>
      </w:r>
      <w:r>
        <w:rPr>
          <w:rFonts w:ascii="Times New Roman" w:hAnsi="Times New Roman" w:cs="Times New Roman"/>
          <w:sz w:val="24"/>
          <w:szCs w:val="24"/>
        </w:rPr>
        <w:tab/>
      </w:r>
      <w:r w:rsidRPr="00864B25">
        <w:rPr>
          <w:rFonts w:ascii="Times New Roman" w:hAnsi="Times New Roman" w:cs="Times New Roman"/>
          <w:sz w:val="24"/>
          <w:szCs w:val="24"/>
        </w:rPr>
        <w:t xml:space="preserve">Maes, M., Bosmans, E., De Jongh, R., Kenis, G., Vandoolaeghe, E., &amp; Neels, H. (1997). Increased serum IL-6 and IL-1 receptor antagonist concentrations in major depression and treatment resistant depression. </w:t>
      </w:r>
      <w:r w:rsidRPr="00864B25">
        <w:rPr>
          <w:rFonts w:ascii="Times New Roman" w:hAnsi="Times New Roman" w:cs="Times New Roman"/>
          <w:i/>
          <w:sz w:val="24"/>
          <w:szCs w:val="24"/>
        </w:rPr>
        <w:t>Cytokine, 9</w:t>
      </w:r>
      <w:r w:rsidRPr="00864B25">
        <w:rPr>
          <w:rFonts w:ascii="Times New Roman" w:hAnsi="Times New Roman" w:cs="Times New Roman"/>
          <w:sz w:val="24"/>
          <w:szCs w:val="24"/>
        </w:rPr>
        <w:t>(11), 853-858. doi: 10.1006/cyto.1997.0238</w:t>
      </w:r>
    </w:p>
    <w:p w14:paraId="2D72AAFD" w14:textId="0E3CA199" w:rsidR="003E0E54"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109</w:t>
      </w:r>
      <w:r>
        <w:rPr>
          <w:rFonts w:ascii="Times New Roman" w:hAnsi="Times New Roman" w:cs="Times New Roman"/>
          <w:sz w:val="24"/>
          <w:szCs w:val="24"/>
        </w:rPr>
        <w:tab/>
      </w:r>
      <w:r w:rsidR="003E0E54" w:rsidRPr="00864B25">
        <w:rPr>
          <w:rFonts w:ascii="Times New Roman" w:hAnsi="Times New Roman" w:cs="Times New Roman"/>
          <w:sz w:val="24"/>
          <w:szCs w:val="24"/>
        </w:rPr>
        <w:t>Maes, M., Ringel, K., Kubera, M., Berk, M., &amp; Rybakowski, J. (2012</w:t>
      </w:r>
      <w:r>
        <w:rPr>
          <w:rFonts w:ascii="Times New Roman" w:hAnsi="Times New Roman" w:cs="Times New Roman"/>
          <w:sz w:val="24"/>
          <w:szCs w:val="24"/>
        </w:rPr>
        <w:t>a</w:t>
      </w:r>
      <w:r w:rsidR="003E0E54" w:rsidRPr="00864B25">
        <w:rPr>
          <w:rFonts w:ascii="Times New Roman" w:hAnsi="Times New Roman" w:cs="Times New Roman"/>
          <w:sz w:val="24"/>
          <w:szCs w:val="24"/>
        </w:rPr>
        <w:t xml:space="preserve">). Increased autoimmune activity against 5-HT: a key component of depression that is associated with inflammation and activation of cell-mediated immunity, and with severity and staging of depression. </w:t>
      </w:r>
      <w:r w:rsidR="003E0E54" w:rsidRPr="00864B25">
        <w:rPr>
          <w:rFonts w:ascii="Times New Roman" w:hAnsi="Times New Roman" w:cs="Times New Roman"/>
          <w:i/>
          <w:sz w:val="24"/>
          <w:szCs w:val="24"/>
        </w:rPr>
        <w:t>Journal of Affective Disorders, 136</w:t>
      </w:r>
      <w:r w:rsidR="003E0E54" w:rsidRPr="00864B25">
        <w:rPr>
          <w:rFonts w:ascii="Times New Roman" w:hAnsi="Times New Roman" w:cs="Times New Roman"/>
          <w:sz w:val="24"/>
          <w:szCs w:val="24"/>
        </w:rPr>
        <w:t>(3), 386-392. doi: 10.1016/j.jad.2011.11.016</w:t>
      </w:r>
    </w:p>
    <w:p w14:paraId="61265279" w14:textId="541B6004" w:rsidR="0000557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110</w:t>
      </w:r>
      <w:r>
        <w:rPr>
          <w:rFonts w:ascii="Times New Roman" w:hAnsi="Times New Roman" w:cs="Times New Roman"/>
          <w:sz w:val="24"/>
          <w:szCs w:val="24"/>
        </w:rPr>
        <w:tab/>
      </w:r>
      <w:r w:rsidRPr="00864B25">
        <w:rPr>
          <w:rFonts w:ascii="Times New Roman" w:hAnsi="Times New Roman" w:cs="Times New Roman"/>
          <w:sz w:val="24"/>
          <w:szCs w:val="24"/>
        </w:rPr>
        <w:t>Maes, M., Mihaylova, I., Kubera, M., &amp; Ringel, K. (2012</w:t>
      </w:r>
      <w:r>
        <w:rPr>
          <w:rFonts w:ascii="Times New Roman" w:hAnsi="Times New Roman" w:cs="Times New Roman"/>
          <w:sz w:val="24"/>
          <w:szCs w:val="24"/>
        </w:rPr>
        <w:t>b</w:t>
      </w:r>
      <w:r w:rsidRPr="00864B25">
        <w:rPr>
          <w:rFonts w:ascii="Times New Roman" w:hAnsi="Times New Roman" w:cs="Times New Roman"/>
          <w:sz w:val="24"/>
          <w:szCs w:val="24"/>
        </w:rPr>
        <w:t xml:space="preserve">). Activation of cell-mediated immunity in depression: association with inflammation, melancholia, clinical staging and the fatigue and somatic symptom cluster of depression. </w:t>
      </w:r>
      <w:r w:rsidRPr="00864B25">
        <w:rPr>
          <w:rFonts w:ascii="Times New Roman" w:hAnsi="Times New Roman" w:cs="Times New Roman"/>
          <w:i/>
          <w:sz w:val="24"/>
          <w:szCs w:val="24"/>
        </w:rPr>
        <w:t>Progress in Neuro-Psychopharmacology &amp; Biological Psychiatry, 36</w:t>
      </w:r>
      <w:r w:rsidRPr="00864B25">
        <w:rPr>
          <w:rFonts w:ascii="Times New Roman" w:hAnsi="Times New Roman" w:cs="Times New Roman"/>
          <w:sz w:val="24"/>
          <w:szCs w:val="24"/>
        </w:rPr>
        <w:t>(1), 169-175. doi: 10.1016/j.pnpbp.2011.09.006</w:t>
      </w:r>
    </w:p>
    <w:p w14:paraId="785849B4" w14:textId="51AA7AAC"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111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Marinho, P. E., Castro, C. M., Raposo, M. C., Guerra, R. O., &amp; de Andrade, A. D. (2012). Depressive symptoms, inflammatory markers and body composition in elderly with and without chronic obstructive pulmonary disease (COPD). </w:t>
      </w:r>
      <w:r w:rsidR="003E0E54" w:rsidRPr="00864B25">
        <w:rPr>
          <w:rFonts w:ascii="Times New Roman" w:hAnsi="Times New Roman" w:cs="Times New Roman"/>
          <w:i/>
          <w:sz w:val="24"/>
          <w:szCs w:val="24"/>
        </w:rPr>
        <w:t>Archives of Gerontology and Geriatrics, 54</w:t>
      </w:r>
      <w:r w:rsidR="003E0E54" w:rsidRPr="00864B25">
        <w:rPr>
          <w:rFonts w:ascii="Times New Roman" w:hAnsi="Times New Roman" w:cs="Times New Roman"/>
          <w:sz w:val="24"/>
          <w:szCs w:val="24"/>
        </w:rPr>
        <w:t>(3), 453-458. doi: 10.1016/j.archger.2011.05.006</w:t>
      </w:r>
    </w:p>
    <w:p w14:paraId="51B30275" w14:textId="58F819F7"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112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Marques-Deak, A. H., Neto, F. L., Dominguez, W. V., Solis, A. C., Kurcgant, D., Sato, F., . . . Prado, E. B. (2007). Cytokine profiles in women with different subtypes of major depressive disorder. </w:t>
      </w:r>
      <w:r w:rsidR="003E0E54" w:rsidRPr="00864B25">
        <w:rPr>
          <w:rFonts w:ascii="Times New Roman" w:hAnsi="Times New Roman" w:cs="Times New Roman"/>
          <w:i/>
          <w:sz w:val="24"/>
          <w:szCs w:val="24"/>
        </w:rPr>
        <w:t>Journal of Psychiatric Research, 41</w:t>
      </w:r>
      <w:r w:rsidR="003E0E54" w:rsidRPr="00864B25">
        <w:rPr>
          <w:rFonts w:ascii="Times New Roman" w:hAnsi="Times New Roman" w:cs="Times New Roman"/>
          <w:sz w:val="24"/>
          <w:szCs w:val="24"/>
        </w:rPr>
        <w:t xml:space="preserve">(1-2), 152-159. doi: </w:t>
      </w:r>
      <w:r w:rsidR="003E0E54" w:rsidRPr="00864B25">
        <w:rPr>
          <w:rFonts w:ascii="Times New Roman" w:hAnsi="Times New Roman" w:cs="Times New Roman"/>
          <w:sz w:val="24"/>
          <w:szCs w:val="24"/>
        </w:rPr>
        <w:lastRenderedPageBreak/>
        <w:t>10.1016/j.jpsychires.2005.11.003</w:t>
      </w:r>
    </w:p>
    <w:p w14:paraId="7FD61AE4" w14:textId="4CEA3CB4"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113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Martinac, M., Babić, D., Bevanda, M., Vasilj, I., Glibo, D. B., Karlović, D., &amp; Jakovljević, M. (2017). Activity of the hypothalamic-pituitary-adrenal axis and inflammatory mediators in major depressive disorder with or without metabolic syndrome. </w:t>
      </w:r>
      <w:r w:rsidR="003E0E54" w:rsidRPr="00864B25">
        <w:rPr>
          <w:rFonts w:ascii="Times New Roman" w:hAnsi="Times New Roman" w:cs="Times New Roman"/>
          <w:i/>
          <w:sz w:val="24"/>
          <w:szCs w:val="24"/>
        </w:rPr>
        <w:t>Psychiatria Danubina, 29</w:t>
      </w:r>
      <w:r w:rsidR="003E0E54" w:rsidRPr="00864B25">
        <w:rPr>
          <w:rFonts w:ascii="Times New Roman" w:hAnsi="Times New Roman" w:cs="Times New Roman"/>
          <w:sz w:val="24"/>
          <w:szCs w:val="24"/>
        </w:rPr>
        <w:t xml:space="preserve">(1), 39-50. </w:t>
      </w:r>
    </w:p>
    <w:p w14:paraId="67CB6394" w14:textId="69962715"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114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McDade, T. W., Hawkley, L. C., &amp; Cacioppo, J. T. (2006). Psychosocial and behavioral predictors of inflammation in middle-aged and older adults: the Chicago health, aging, and social relations study. </w:t>
      </w:r>
      <w:r w:rsidR="003E0E54" w:rsidRPr="00864B25">
        <w:rPr>
          <w:rFonts w:ascii="Times New Roman" w:hAnsi="Times New Roman" w:cs="Times New Roman"/>
          <w:i/>
          <w:sz w:val="24"/>
          <w:szCs w:val="24"/>
        </w:rPr>
        <w:t>Psychosomatic Medicine, 68</w:t>
      </w:r>
      <w:r w:rsidR="003E0E54" w:rsidRPr="00864B25">
        <w:rPr>
          <w:rFonts w:ascii="Times New Roman" w:hAnsi="Times New Roman" w:cs="Times New Roman"/>
          <w:sz w:val="24"/>
          <w:szCs w:val="24"/>
        </w:rPr>
        <w:t>(3), 376-381. doi: 10.1097/01.psy.0000221371.43607.64</w:t>
      </w:r>
    </w:p>
    <w:p w14:paraId="2810305C" w14:textId="2A999140"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115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Melamed, S., Shirom, A., Toker, S., Berliner, S., &amp; Shapira, I. (2004). Association of fear of terror with low-grade inflammation among apparently healthy employed adults. </w:t>
      </w:r>
      <w:r w:rsidR="003E0E54" w:rsidRPr="00864B25">
        <w:rPr>
          <w:rFonts w:ascii="Times New Roman" w:hAnsi="Times New Roman" w:cs="Times New Roman"/>
          <w:i/>
          <w:sz w:val="24"/>
          <w:szCs w:val="24"/>
        </w:rPr>
        <w:t>Psychosomatic Medicine, 66</w:t>
      </w:r>
      <w:r w:rsidR="003E0E54" w:rsidRPr="00864B25">
        <w:rPr>
          <w:rFonts w:ascii="Times New Roman" w:hAnsi="Times New Roman" w:cs="Times New Roman"/>
          <w:sz w:val="24"/>
          <w:szCs w:val="24"/>
        </w:rPr>
        <w:t>(4), 484-491. doi: 10.1097/01.psy.0000130963.52755.b9</w:t>
      </w:r>
    </w:p>
    <w:p w14:paraId="7CCB76B3" w14:textId="694787EC"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116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Miklowitz, D. J., Portnoff, L. C., Armstrong, C. C., Keenan-Miller, D., Breen, E. C., Muscatell, K. A., . . . Irwin, M. R. (2016). Inflammatory cytokines and nuclear factor-kappa B activation in adolescents with bipolar and major depressive disorders. </w:t>
      </w:r>
      <w:r w:rsidR="003E0E54" w:rsidRPr="00864B25">
        <w:rPr>
          <w:rFonts w:ascii="Times New Roman" w:hAnsi="Times New Roman" w:cs="Times New Roman"/>
          <w:i/>
          <w:sz w:val="24"/>
          <w:szCs w:val="24"/>
        </w:rPr>
        <w:t>Psychiatry Research, 241</w:t>
      </w:r>
      <w:r w:rsidR="003E0E54" w:rsidRPr="00864B25">
        <w:rPr>
          <w:rFonts w:ascii="Times New Roman" w:hAnsi="Times New Roman" w:cs="Times New Roman"/>
          <w:sz w:val="24"/>
          <w:szCs w:val="24"/>
        </w:rPr>
        <w:t>, 315-322. doi: 10.1016/j.psychres.2016.04.120</w:t>
      </w:r>
    </w:p>
    <w:p w14:paraId="1ABD78A3" w14:textId="4BB8DE0C"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117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Mikova, O., Yakimova, R., Bosmans, E., Kenis, G., &amp; Maes, M. (2001). Increased serum tumor necrosis factor alpha concentrations in major depression and multiple sclerosis. </w:t>
      </w:r>
      <w:r w:rsidR="003E0E54" w:rsidRPr="00864B25">
        <w:rPr>
          <w:rFonts w:ascii="Times New Roman" w:hAnsi="Times New Roman" w:cs="Times New Roman"/>
          <w:i/>
          <w:sz w:val="24"/>
          <w:szCs w:val="24"/>
        </w:rPr>
        <w:t>European Neuropsychopharmacology, 11</w:t>
      </w:r>
      <w:r w:rsidR="003E0E54" w:rsidRPr="00864B25">
        <w:rPr>
          <w:rFonts w:ascii="Times New Roman" w:hAnsi="Times New Roman" w:cs="Times New Roman"/>
          <w:sz w:val="24"/>
          <w:szCs w:val="24"/>
        </w:rPr>
        <w:t xml:space="preserve">(3), 203-208. </w:t>
      </w:r>
    </w:p>
    <w:p w14:paraId="188D747B" w14:textId="23E2A879"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118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Milaneschi, Y., Corsi, A. M., Penninx, B. W., Bandinelli, S., Guralnik, J. M., &amp; Ferrucci, L. (2009). Interleukin-1 receptor antagonist and incident depressive symptoms over 6 years in older persons: the InCHIANTI study. </w:t>
      </w:r>
      <w:r w:rsidR="003E0E54" w:rsidRPr="00864B25">
        <w:rPr>
          <w:rFonts w:ascii="Times New Roman" w:hAnsi="Times New Roman" w:cs="Times New Roman"/>
          <w:i/>
          <w:sz w:val="24"/>
          <w:szCs w:val="24"/>
        </w:rPr>
        <w:t>Biological Psychiatry, 65</w:t>
      </w:r>
      <w:r w:rsidR="003E0E54" w:rsidRPr="00864B25">
        <w:rPr>
          <w:rFonts w:ascii="Times New Roman" w:hAnsi="Times New Roman" w:cs="Times New Roman"/>
          <w:sz w:val="24"/>
          <w:szCs w:val="24"/>
        </w:rPr>
        <w:t>(11), 973-978. doi: 10.1016/j.biopsych.2008.11.011</w:t>
      </w:r>
    </w:p>
    <w:p w14:paraId="56015EF5" w14:textId="77777777" w:rsidR="00005574" w:rsidRPr="00864B25" w:rsidRDefault="00005574" w:rsidP="00005574">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119</w:t>
      </w:r>
      <w:r>
        <w:rPr>
          <w:rFonts w:ascii="Times New Roman" w:hAnsi="Times New Roman" w:cs="Times New Roman"/>
          <w:sz w:val="24"/>
          <w:szCs w:val="24"/>
        </w:rPr>
        <w:tab/>
      </w:r>
      <w:r w:rsidRPr="00864B25">
        <w:rPr>
          <w:rFonts w:ascii="Times New Roman" w:hAnsi="Times New Roman" w:cs="Times New Roman"/>
          <w:sz w:val="24"/>
          <w:szCs w:val="24"/>
        </w:rPr>
        <w:t xml:space="preserve">Miller, G. E., Stetler, C. A., Carney, R. M., Freedland, K. E., &amp; Banks, W. A. (2002). Clinical depression and inflammatory risk markers for coronary heart disease. </w:t>
      </w:r>
      <w:r w:rsidRPr="00864B25">
        <w:rPr>
          <w:rFonts w:ascii="Times New Roman" w:hAnsi="Times New Roman" w:cs="Times New Roman"/>
          <w:i/>
          <w:sz w:val="24"/>
          <w:szCs w:val="24"/>
        </w:rPr>
        <w:lastRenderedPageBreak/>
        <w:t>American Journal of Cardiology, 90</w:t>
      </w:r>
      <w:r w:rsidRPr="00864B25">
        <w:rPr>
          <w:rFonts w:ascii="Times New Roman" w:hAnsi="Times New Roman" w:cs="Times New Roman"/>
          <w:sz w:val="24"/>
          <w:szCs w:val="24"/>
        </w:rPr>
        <w:t>(12), 1279-1283. doi: 10.1016/s0002-9149(02)02863-1</w:t>
      </w:r>
    </w:p>
    <w:p w14:paraId="1DF92DE2" w14:textId="64E11ED0"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120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Miller, G. E., Freedland, K. E., Duntley, S., &amp; Carney, R. M. (2005a). Relation of depressive symptoms to C-reactive protein and pathogen burden (cytomegalovirus, herpes simplex virus, Epstein-Barr virus) in patients with earlier acute coronary syndromes. </w:t>
      </w:r>
      <w:r w:rsidR="003E0E54" w:rsidRPr="00864B25">
        <w:rPr>
          <w:rFonts w:ascii="Times New Roman" w:hAnsi="Times New Roman" w:cs="Times New Roman"/>
          <w:i/>
          <w:sz w:val="24"/>
          <w:szCs w:val="24"/>
        </w:rPr>
        <w:t>American Journal of Cardiology, 95</w:t>
      </w:r>
      <w:r w:rsidR="003E0E54" w:rsidRPr="00864B25">
        <w:rPr>
          <w:rFonts w:ascii="Times New Roman" w:hAnsi="Times New Roman" w:cs="Times New Roman"/>
          <w:sz w:val="24"/>
          <w:szCs w:val="24"/>
        </w:rPr>
        <w:t>(3), 317-321. doi: 10.1016/j.amjcard.2004.09.026</w:t>
      </w:r>
    </w:p>
    <w:p w14:paraId="37303F2B" w14:textId="053A38CE"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121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Miller, G. E., Rohleder, N., Stetler, C., &amp; Kirschbaum, C. (2005b). Clinical depression and regulation of the inflammatory response during acute stress. </w:t>
      </w:r>
      <w:r w:rsidR="003E0E54" w:rsidRPr="00864B25">
        <w:rPr>
          <w:rFonts w:ascii="Times New Roman" w:hAnsi="Times New Roman" w:cs="Times New Roman"/>
          <w:i/>
          <w:sz w:val="24"/>
          <w:szCs w:val="24"/>
        </w:rPr>
        <w:t>Psychosomatic Medicine, 67</w:t>
      </w:r>
      <w:r w:rsidR="003E0E54" w:rsidRPr="00864B25">
        <w:rPr>
          <w:rFonts w:ascii="Times New Roman" w:hAnsi="Times New Roman" w:cs="Times New Roman"/>
          <w:sz w:val="24"/>
          <w:szCs w:val="24"/>
        </w:rPr>
        <w:t>(5), 679-687. doi: 10.1097/01.psy.0000174172.82428.ce</w:t>
      </w:r>
    </w:p>
    <w:p w14:paraId="2585CFAF" w14:textId="013CFEE5"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122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Moorman, A. J., Mozaffarian, D., Wilkinson, C. W., Lawler, R. L., McDonald, G. B., Crane, B. A., . . . Levy, W. C. (2007). In patients with heart failure elevated soluble TNF-receptor 1 is associated with higher risk of depression. </w:t>
      </w:r>
      <w:r w:rsidR="003E0E54" w:rsidRPr="00864B25">
        <w:rPr>
          <w:rFonts w:ascii="Times New Roman" w:hAnsi="Times New Roman" w:cs="Times New Roman"/>
          <w:i/>
          <w:sz w:val="24"/>
          <w:szCs w:val="24"/>
        </w:rPr>
        <w:t>Journal of Cardiac Failure, 13</w:t>
      </w:r>
      <w:r w:rsidR="003E0E54" w:rsidRPr="00864B25">
        <w:rPr>
          <w:rFonts w:ascii="Times New Roman" w:hAnsi="Times New Roman" w:cs="Times New Roman"/>
          <w:sz w:val="24"/>
          <w:szCs w:val="24"/>
        </w:rPr>
        <w:t>(9), 738-743. doi: 10.1016/j.cardfail.2007.06.301</w:t>
      </w:r>
    </w:p>
    <w:p w14:paraId="55E7F090" w14:textId="4CD40451"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123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Mota, R., Gazal, M., Acosta, B. A., de Leon, P. B., Jansen, K., Pinheiro, R. T., . . . Kaster, M. P. (2013). Interleukin-1beta is associated with depressive episode in major depression but not in bipolar disorder. </w:t>
      </w:r>
      <w:r w:rsidR="003E0E54" w:rsidRPr="00864B25">
        <w:rPr>
          <w:rFonts w:ascii="Times New Roman" w:hAnsi="Times New Roman" w:cs="Times New Roman"/>
          <w:i/>
          <w:sz w:val="24"/>
          <w:szCs w:val="24"/>
        </w:rPr>
        <w:t>Journal of Psychiatric Research, 47</w:t>
      </w:r>
      <w:r w:rsidR="003E0E54" w:rsidRPr="00864B25">
        <w:rPr>
          <w:rFonts w:ascii="Times New Roman" w:hAnsi="Times New Roman" w:cs="Times New Roman"/>
          <w:sz w:val="24"/>
          <w:szCs w:val="24"/>
        </w:rPr>
        <w:t>(12), 2011-2014. doi: 10.1016/j.jpsychires.2013.08.020</w:t>
      </w:r>
    </w:p>
    <w:p w14:paraId="6CD49BB1" w14:textId="6FBE9B23"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124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Motivala, S. J., Sarfatti, A., Olmos, L., &amp; Irwin, M. R. (2005). Inflammatory markers and sleep disturbance in major depression. </w:t>
      </w:r>
      <w:r w:rsidR="003E0E54" w:rsidRPr="00864B25">
        <w:rPr>
          <w:rFonts w:ascii="Times New Roman" w:hAnsi="Times New Roman" w:cs="Times New Roman"/>
          <w:i/>
          <w:sz w:val="24"/>
          <w:szCs w:val="24"/>
        </w:rPr>
        <w:t>Psychosomatic Medicine, 67</w:t>
      </w:r>
      <w:r w:rsidR="003E0E54" w:rsidRPr="00864B25">
        <w:rPr>
          <w:rFonts w:ascii="Times New Roman" w:hAnsi="Times New Roman" w:cs="Times New Roman"/>
          <w:sz w:val="24"/>
          <w:szCs w:val="24"/>
        </w:rPr>
        <w:t>(2), 187-194. doi: 10.1097/01.psy.0000149259.72488.09</w:t>
      </w:r>
    </w:p>
    <w:p w14:paraId="691F6B0A" w14:textId="77BB903E"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125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Musselman, D. L., Miller, A. H., Porter, M. R., Manatunga, A., Gao, F., Penna, S., . . . Nemeroff, C. B. (2001). Higher than normal plasma interleukin-6 concentrations in cancer patients with depression: preliminary findings. </w:t>
      </w:r>
      <w:r w:rsidR="003E0E54" w:rsidRPr="00864B25">
        <w:rPr>
          <w:rFonts w:ascii="Times New Roman" w:hAnsi="Times New Roman" w:cs="Times New Roman"/>
          <w:i/>
          <w:sz w:val="24"/>
          <w:szCs w:val="24"/>
        </w:rPr>
        <w:t>American Journal of Psychiatry, 158</w:t>
      </w:r>
      <w:r w:rsidR="003E0E54" w:rsidRPr="00864B25">
        <w:rPr>
          <w:rFonts w:ascii="Times New Roman" w:hAnsi="Times New Roman" w:cs="Times New Roman"/>
          <w:sz w:val="24"/>
          <w:szCs w:val="24"/>
        </w:rPr>
        <w:t>(8), 1252-1257. doi: 10.1176/appi.ajp.158.8.1252</w:t>
      </w:r>
    </w:p>
    <w:p w14:paraId="15CF6E4E" w14:textId="02DA4B20"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126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Nadrowski, P., Chudek, J., Skrzypek, M., Puzianowska-Kuznicka, M., Mossakowska, </w:t>
      </w:r>
      <w:r w:rsidR="003E0E54" w:rsidRPr="00864B25">
        <w:rPr>
          <w:rFonts w:ascii="Times New Roman" w:hAnsi="Times New Roman" w:cs="Times New Roman"/>
          <w:sz w:val="24"/>
          <w:szCs w:val="24"/>
        </w:rPr>
        <w:lastRenderedPageBreak/>
        <w:t xml:space="preserve">M., Wiecek, A., . . . Kozakiewicz, K. (2016). Associations between cardiovascular disease risk factors and IL-6 and hsCRP levels in the elderly. </w:t>
      </w:r>
      <w:r w:rsidR="003E0E54" w:rsidRPr="00864B25">
        <w:rPr>
          <w:rFonts w:ascii="Times New Roman" w:hAnsi="Times New Roman" w:cs="Times New Roman"/>
          <w:i/>
          <w:sz w:val="24"/>
          <w:szCs w:val="24"/>
        </w:rPr>
        <w:t>Experimental Gerontology, 85</w:t>
      </w:r>
      <w:r w:rsidR="003E0E54" w:rsidRPr="00864B25">
        <w:rPr>
          <w:rFonts w:ascii="Times New Roman" w:hAnsi="Times New Roman" w:cs="Times New Roman"/>
          <w:sz w:val="24"/>
          <w:szCs w:val="24"/>
        </w:rPr>
        <w:t>, 112-117. doi: 10.1016/j.exger.2016.10.001</w:t>
      </w:r>
    </w:p>
    <w:p w14:paraId="02E99DDD" w14:textId="1E21A259"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127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Naghashpour, M., Amani, R., Nutr, R., Nematpour, S., &amp; Haghighizadeh, M. H. (2011). Riboflavin status and its association with serum hs-CRP levels among clinical nurses with depression. </w:t>
      </w:r>
      <w:r w:rsidR="003E0E54" w:rsidRPr="00864B25">
        <w:rPr>
          <w:rFonts w:ascii="Times New Roman" w:hAnsi="Times New Roman" w:cs="Times New Roman"/>
          <w:i/>
          <w:sz w:val="24"/>
          <w:szCs w:val="24"/>
        </w:rPr>
        <w:t>Journal of the American College of Nutrition, 30</w:t>
      </w:r>
      <w:r w:rsidR="003E0E54" w:rsidRPr="00864B25">
        <w:rPr>
          <w:rFonts w:ascii="Times New Roman" w:hAnsi="Times New Roman" w:cs="Times New Roman"/>
          <w:sz w:val="24"/>
          <w:szCs w:val="24"/>
        </w:rPr>
        <w:t>(5), 340-347. doi: 10.1080/07315724.2011.10719977</w:t>
      </w:r>
    </w:p>
    <w:p w14:paraId="71691948" w14:textId="544A4B26"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128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Nikkheslat, N., Zunszain, P. A., Horowitz, M. A., Barbosa, I. G., Parker, J. A., Myint, A.-M., . . . Pariante, C. M. (2015). Insufficient glucocorticoid signaling and elevated inflammation in coronary heart disease patients with comorbid depression. </w:t>
      </w:r>
      <w:r w:rsidR="003E0E54" w:rsidRPr="00864B25">
        <w:rPr>
          <w:rFonts w:ascii="Times New Roman" w:hAnsi="Times New Roman" w:cs="Times New Roman"/>
          <w:i/>
          <w:sz w:val="24"/>
          <w:szCs w:val="24"/>
        </w:rPr>
        <w:t>Brain, behavior, and immunity, 48</w:t>
      </w:r>
      <w:r w:rsidR="003E0E54" w:rsidRPr="00864B25">
        <w:rPr>
          <w:rFonts w:ascii="Times New Roman" w:hAnsi="Times New Roman" w:cs="Times New Roman"/>
          <w:sz w:val="24"/>
          <w:szCs w:val="24"/>
        </w:rPr>
        <w:t>, 8-18. doi: 10.1016/j.bbi.2015.02.002</w:t>
      </w:r>
    </w:p>
    <w:p w14:paraId="461E7EA5" w14:textId="2248AB43" w:rsidR="003E0E54"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129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O'Brien, S. M., Scully, P., Scott, L. V., &amp; Dinan, T. G. (2006). Cytokine profiles in bipolar affective disorder: focus on acutely ill patients. </w:t>
      </w:r>
      <w:r w:rsidR="003E0E54" w:rsidRPr="00864B25">
        <w:rPr>
          <w:rFonts w:ascii="Times New Roman" w:hAnsi="Times New Roman" w:cs="Times New Roman"/>
          <w:i/>
          <w:sz w:val="24"/>
          <w:szCs w:val="24"/>
        </w:rPr>
        <w:t>Journal of Affective Disorders, 90</w:t>
      </w:r>
      <w:r w:rsidR="003E0E54" w:rsidRPr="00864B25">
        <w:rPr>
          <w:rFonts w:ascii="Times New Roman" w:hAnsi="Times New Roman" w:cs="Times New Roman"/>
          <w:sz w:val="24"/>
          <w:szCs w:val="24"/>
        </w:rPr>
        <w:t>(2-3), 263-267. doi: 10.1016/j.jad.2005.11.015</w:t>
      </w:r>
    </w:p>
    <w:p w14:paraId="5BD54CAC" w14:textId="0EF870DE" w:rsidR="00005574" w:rsidRPr="00864B25" w:rsidRDefault="00005574" w:rsidP="00005574">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130</w:t>
      </w:r>
      <w:r>
        <w:rPr>
          <w:rFonts w:ascii="Times New Roman" w:hAnsi="Times New Roman" w:cs="Times New Roman"/>
          <w:sz w:val="24"/>
          <w:szCs w:val="24"/>
        </w:rPr>
        <w:tab/>
      </w:r>
      <w:r w:rsidRPr="00864B25">
        <w:rPr>
          <w:rFonts w:ascii="Times New Roman" w:hAnsi="Times New Roman" w:cs="Times New Roman"/>
          <w:sz w:val="24"/>
          <w:szCs w:val="24"/>
        </w:rPr>
        <w:t xml:space="preserve">O'Brien, S. M., Scully, P., Fitzgerald, P., Scott, L. V., &amp; Dinan, T. G. (2007). Plasma cytokine profiles in depressed patients who fail to respond to selective serotonin reuptake inhibitor therapy. </w:t>
      </w:r>
      <w:r w:rsidRPr="00864B25">
        <w:rPr>
          <w:rFonts w:ascii="Times New Roman" w:hAnsi="Times New Roman" w:cs="Times New Roman"/>
          <w:i/>
          <w:sz w:val="24"/>
          <w:szCs w:val="24"/>
        </w:rPr>
        <w:t>Journal of Psychiatric Research, 41</w:t>
      </w:r>
      <w:r w:rsidRPr="00864B25">
        <w:rPr>
          <w:rFonts w:ascii="Times New Roman" w:hAnsi="Times New Roman" w:cs="Times New Roman"/>
          <w:sz w:val="24"/>
          <w:szCs w:val="24"/>
        </w:rPr>
        <w:t>(3-4), 326-331. doi: 10.1016/j.jpsychires.2006.05.013</w:t>
      </w:r>
    </w:p>
    <w:p w14:paraId="19535B96" w14:textId="1A132FC6"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O'Donovan, A., Rush, G., Hoatam, G., Hughes, B. M., McCrohan, A., Kelleher, C., . . . Malone, K. M. (2013). Suicidal ideation is associated with elevated inflammation in patients with major depressive disorder. </w:t>
      </w:r>
      <w:r w:rsidR="003E0E54" w:rsidRPr="00864B25">
        <w:rPr>
          <w:rFonts w:ascii="Times New Roman" w:hAnsi="Times New Roman" w:cs="Times New Roman"/>
          <w:i/>
          <w:sz w:val="24"/>
          <w:szCs w:val="24"/>
        </w:rPr>
        <w:t>Depression and Anxiety, 30</w:t>
      </w:r>
      <w:r w:rsidR="003E0E54" w:rsidRPr="00864B25">
        <w:rPr>
          <w:rFonts w:ascii="Times New Roman" w:hAnsi="Times New Roman" w:cs="Times New Roman"/>
          <w:sz w:val="24"/>
          <w:szCs w:val="24"/>
        </w:rPr>
        <w:t>(4), 307-314. doi: 10.1002/da.22087</w:t>
      </w:r>
    </w:p>
    <w:p w14:paraId="0CDBE9EC" w14:textId="780D5FD6"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Ortiz‐Domínguez, A., Hernández, M. E., Berlanga, C., Gutiérrez‐Mora, D., Moreno, J., Heinze, G., &amp; Pavón, L. (2007). Immune variations in bipolar disorder: phasic differences. </w:t>
      </w:r>
      <w:r w:rsidR="003E0E54" w:rsidRPr="00864B25">
        <w:rPr>
          <w:rFonts w:ascii="Times New Roman" w:hAnsi="Times New Roman" w:cs="Times New Roman"/>
          <w:i/>
          <w:sz w:val="24"/>
          <w:szCs w:val="24"/>
        </w:rPr>
        <w:t>Bipolar Disorders, 9</w:t>
      </w:r>
      <w:r w:rsidR="003E0E54" w:rsidRPr="00864B25">
        <w:rPr>
          <w:rFonts w:ascii="Times New Roman" w:hAnsi="Times New Roman" w:cs="Times New Roman"/>
          <w:sz w:val="24"/>
          <w:szCs w:val="24"/>
        </w:rPr>
        <w:t xml:space="preserve">(6), 596-602. </w:t>
      </w:r>
    </w:p>
    <w:p w14:paraId="670DFAD1" w14:textId="5F2FEB1A"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133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Owen, B. M., Eccleston, D., Ferrier, I. N., &amp; Young, A. H. (2001). Raised levels of </w:t>
      </w:r>
      <w:r w:rsidR="003E0E54" w:rsidRPr="00864B25">
        <w:rPr>
          <w:rFonts w:ascii="Times New Roman" w:hAnsi="Times New Roman" w:cs="Times New Roman"/>
          <w:sz w:val="24"/>
          <w:szCs w:val="24"/>
        </w:rPr>
        <w:lastRenderedPageBreak/>
        <w:t xml:space="preserve">plasma interleukin-1beta in major and postviral depression. </w:t>
      </w:r>
      <w:r w:rsidR="003E0E54" w:rsidRPr="00864B25">
        <w:rPr>
          <w:rFonts w:ascii="Times New Roman" w:hAnsi="Times New Roman" w:cs="Times New Roman"/>
          <w:i/>
          <w:sz w:val="24"/>
          <w:szCs w:val="24"/>
        </w:rPr>
        <w:t>Acta Psychiatrica Scandinavica, 103</w:t>
      </w:r>
      <w:r w:rsidR="003E0E54" w:rsidRPr="00864B25">
        <w:rPr>
          <w:rFonts w:ascii="Times New Roman" w:hAnsi="Times New Roman" w:cs="Times New Roman"/>
          <w:sz w:val="24"/>
          <w:szCs w:val="24"/>
        </w:rPr>
        <w:t xml:space="preserve">(3), 226-228. </w:t>
      </w:r>
    </w:p>
    <w:p w14:paraId="45592BF5" w14:textId="2D474860"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134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Pace, T. W., Mletzko, T. C., Alagbe, O., Musselman, D. L., Nemeroff, C. B., Miller, A. H., &amp; Heim, C. M. (2006). Increased stress-induced inflammatory responses in male patients with major depression and increased early life stress. </w:t>
      </w:r>
      <w:r w:rsidR="003E0E54" w:rsidRPr="00864B25">
        <w:rPr>
          <w:rFonts w:ascii="Times New Roman" w:hAnsi="Times New Roman" w:cs="Times New Roman"/>
          <w:i/>
          <w:sz w:val="24"/>
          <w:szCs w:val="24"/>
        </w:rPr>
        <w:t>American Journal of Psychiatry, 163</w:t>
      </w:r>
      <w:r w:rsidR="003E0E54" w:rsidRPr="00864B25">
        <w:rPr>
          <w:rFonts w:ascii="Times New Roman" w:hAnsi="Times New Roman" w:cs="Times New Roman"/>
          <w:sz w:val="24"/>
          <w:szCs w:val="24"/>
        </w:rPr>
        <w:t>(9), 1630-1633. doi: 10.1176/ajp.2006.163.9.1630</w:t>
      </w:r>
    </w:p>
    <w:p w14:paraId="513E0D5A" w14:textId="48B3917F"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Pan, A., Ye, X., Franco, O. H., Li, H., Yu, Z., Wang, J., . . . Lin, X. (2008). The association of depressive symptoms with inflammatory factors and adipokines in middle-aged and older Chinese. </w:t>
      </w:r>
      <w:r w:rsidR="003E0E54" w:rsidRPr="00864B25">
        <w:rPr>
          <w:rFonts w:ascii="Times New Roman" w:hAnsi="Times New Roman" w:cs="Times New Roman"/>
          <w:i/>
          <w:sz w:val="24"/>
          <w:szCs w:val="24"/>
        </w:rPr>
        <w:t>PLoS One, 3</w:t>
      </w:r>
      <w:r w:rsidR="003E0E54" w:rsidRPr="00864B25">
        <w:rPr>
          <w:rFonts w:ascii="Times New Roman" w:hAnsi="Times New Roman" w:cs="Times New Roman"/>
          <w:sz w:val="24"/>
          <w:szCs w:val="24"/>
        </w:rPr>
        <w:t>(1), e1392. doi: 10.1371/journal.pone.0001392</w:t>
      </w:r>
    </w:p>
    <w:p w14:paraId="6057AEDB" w14:textId="1B1B7537"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Panagiotakos, D. B., Pitsavos, C., Chrysohoou, C., Tsetsekou, E., Papageorgiou, C., Christodoulou, G., &amp; Stefanadis, C. (2004). Inflammation, coagulation, and depressive symptomatology in cardiovascular disease-free people; the ATTICA study. </w:t>
      </w:r>
      <w:r w:rsidR="003E0E54" w:rsidRPr="00864B25">
        <w:rPr>
          <w:rFonts w:ascii="Times New Roman" w:hAnsi="Times New Roman" w:cs="Times New Roman"/>
          <w:i/>
          <w:sz w:val="24"/>
          <w:szCs w:val="24"/>
        </w:rPr>
        <w:t>European Heart Journal, 25</w:t>
      </w:r>
      <w:r w:rsidR="003E0E54" w:rsidRPr="00864B25">
        <w:rPr>
          <w:rFonts w:ascii="Times New Roman" w:hAnsi="Times New Roman" w:cs="Times New Roman"/>
          <w:sz w:val="24"/>
          <w:szCs w:val="24"/>
        </w:rPr>
        <w:t>(6), 492-499. doi: 10.1016/j.ehj.2004.01.018</w:t>
      </w:r>
    </w:p>
    <w:p w14:paraId="2E811AF2" w14:textId="75EFFA3D"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137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Parissis, J. T., Adamopoulos, S., Rigas, A., Kostakis, G., Karatzas, D., Venetsanou, K., &amp; Kremastinos, D. T. (2004). Comparison of circulating proinflammatory cytokines and soluble apoptosis mediators in patients with chronic heart failure with versus without symptoms of depression. </w:t>
      </w:r>
      <w:r w:rsidR="003E0E54" w:rsidRPr="00864B25">
        <w:rPr>
          <w:rFonts w:ascii="Times New Roman" w:hAnsi="Times New Roman" w:cs="Times New Roman"/>
          <w:i/>
          <w:sz w:val="24"/>
          <w:szCs w:val="24"/>
        </w:rPr>
        <w:t>American Journal of Cardiology, 94</w:t>
      </w:r>
      <w:r w:rsidR="003E0E54" w:rsidRPr="00864B25">
        <w:rPr>
          <w:rFonts w:ascii="Times New Roman" w:hAnsi="Times New Roman" w:cs="Times New Roman"/>
          <w:sz w:val="24"/>
          <w:szCs w:val="24"/>
        </w:rPr>
        <w:t>(10), 1326-1328. doi: 10.1016/j.amjcard.2004.07.127</w:t>
      </w:r>
    </w:p>
    <w:p w14:paraId="762E2E46" w14:textId="2E78B92A"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138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Park, S., Joo, Y. H., McIntyre, R. S., &amp; Kim, B. (2014). Metabolic syndrome and elevated C-reactive protein levels in elderly patients with newly diagnosed depression. </w:t>
      </w:r>
      <w:r w:rsidR="003E0E54" w:rsidRPr="00864B25">
        <w:rPr>
          <w:rFonts w:ascii="Times New Roman" w:hAnsi="Times New Roman" w:cs="Times New Roman"/>
          <w:i/>
          <w:sz w:val="24"/>
          <w:szCs w:val="24"/>
        </w:rPr>
        <w:t>Psychosomatics, 55</w:t>
      </w:r>
      <w:r w:rsidR="003E0E54" w:rsidRPr="00864B25">
        <w:rPr>
          <w:rFonts w:ascii="Times New Roman" w:hAnsi="Times New Roman" w:cs="Times New Roman"/>
          <w:sz w:val="24"/>
          <w:szCs w:val="24"/>
        </w:rPr>
        <w:t>(6), 640-649. doi: 10.1016/j.psym.2013.12.010</w:t>
      </w:r>
    </w:p>
    <w:p w14:paraId="25FCCB28" w14:textId="1952558C"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139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Pavon, L., Sandoval-Lopez, G., Eugenia Hernandez, M., Loria, F., Estrada, I., Perez, M., . . . Heinze, G. (2006). Th2 cytokine response in Major Depressive Disorder patients before treatment. </w:t>
      </w:r>
      <w:r w:rsidR="003E0E54" w:rsidRPr="00864B25">
        <w:rPr>
          <w:rFonts w:ascii="Times New Roman" w:hAnsi="Times New Roman" w:cs="Times New Roman"/>
          <w:i/>
          <w:sz w:val="24"/>
          <w:szCs w:val="24"/>
        </w:rPr>
        <w:t>Journal of Neuroimmunology, 172</w:t>
      </w:r>
      <w:r w:rsidR="003E0E54" w:rsidRPr="00864B25">
        <w:rPr>
          <w:rFonts w:ascii="Times New Roman" w:hAnsi="Times New Roman" w:cs="Times New Roman"/>
          <w:sz w:val="24"/>
          <w:szCs w:val="24"/>
        </w:rPr>
        <w:t>(1-2), 156-165. doi: 10.1016/j.jneuroim.2005.08.014</w:t>
      </w:r>
    </w:p>
    <w:p w14:paraId="710F97A9" w14:textId="254D2389"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lastRenderedPageBreak/>
        <w:t>140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Penninx, B. W., Kritchevsky, S. B., Yaffe, K., Newman, A. B., Simonsick, E. M., Rubin, S., . . . Pahor, M. (2003). Inflammatory markers and depressed mood in older persons: results from the Health, Aging and Body Composition study. </w:t>
      </w:r>
      <w:r w:rsidR="003E0E54" w:rsidRPr="00864B25">
        <w:rPr>
          <w:rFonts w:ascii="Times New Roman" w:hAnsi="Times New Roman" w:cs="Times New Roman"/>
          <w:i/>
          <w:sz w:val="24"/>
          <w:szCs w:val="24"/>
        </w:rPr>
        <w:t>Biological Psychiatry, 54</w:t>
      </w:r>
      <w:r w:rsidR="003E0E54" w:rsidRPr="00864B25">
        <w:rPr>
          <w:rFonts w:ascii="Times New Roman" w:hAnsi="Times New Roman" w:cs="Times New Roman"/>
          <w:sz w:val="24"/>
          <w:szCs w:val="24"/>
        </w:rPr>
        <w:t xml:space="preserve">(5), 566-572. </w:t>
      </w:r>
    </w:p>
    <w:p w14:paraId="218148BD" w14:textId="7A49783C"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141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Pike, J. L., &amp; Irwin, M. R. (2006). Dissociation of inflammatory markers and natural killer cell activity in major depressive disorder. </w:t>
      </w:r>
      <w:r w:rsidR="003E0E54" w:rsidRPr="00864B25">
        <w:rPr>
          <w:rFonts w:ascii="Times New Roman" w:hAnsi="Times New Roman" w:cs="Times New Roman"/>
          <w:i/>
          <w:sz w:val="24"/>
          <w:szCs w:val="24"/>
        </w:rPr>
        <w:t>Brain, Behavior and Immunity, 20</w:t>
      </w:r>
      <w:r w:rsidR="003E0E54" w:rsidRPr="00864B25">
        <w:rPr>
          <w:rFonts w:ascii="Times New Roman" w:hAnsi="Times New Roman" w:cs="Times New Roman"/>
          <w:sz w:val="24"/>
          <w:szCs w:val="24"/>
        </w:rPr>
        <w:t>(2), 169-174. doi: 10.1016/j.bbi.2005.05.004</w:t>
      </w:r>
    </w:p>
    <w:p w14:paraId="1BE23CDA" w14:textId="6845D386"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142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Piletz, J. E., Halaris, A., Iqbal, O., Hoppensteadt, D., Fareed, J., Zhu, H., . . . Devane, C. L. (2009). Pro-inflammatory biomakers in depression: treatment with venlafaxine. </w:t>
      </w:r>
      <w:r w:rsidR="003E0E54" w:rsidRPr="00864B25">
        <w:rPr>
          <w:rFonts w:ascii="Times New Roman" w:hAnsi="Times New Roman" w:cs="Times New Roman"/>
          <w:i/>
          <w:sz w:val="24"/>
          <w:szCs w:val="24"/>
        </w:rPr>
        <w:t>World Journal of Biological Psychiatry, 10</w:t>
      </w:r>
      <w:r w:rsidR="003E0E54" w:rsidRPr="00864B25">
        <w:rPr>
          <w:rFonts w:ascii="Times New Roman" w:hAnsi="Times New Roman" w:cs="Times New Roman"/>
          <w:sz w:val="24"/>
          <w:szCs w:val="24"/>
        </w:rPr>
        <w:t>(4), 313-323. doi: 10.3109/15622970802573246</w:t>
      </w:r>
    </w:p>
    <w:p w14:paraId="3FDD49D4" w14:textId="1FB77E23"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143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Rief, W., Pilger, F., Ihle, D., Bosmans, E., Egyed, B., &amp; Maes, M. (2001). Immunological differences between patients with major depression and somatization syndrome. </w:t>
      </w:r>
      <w:r w:rsidR="003E0E54" w:rsidRPr="00864B25">
        <w:rPr>
          <w:rFonts w:ascii="Times New Roman" w:hAnsi="Times New Roman" w:cs="Times New Roman"/>
          <w:i/>
          <w:sz w:val="24"/>
          <w:szCs w:val="24"/>
        </w:rPr>
        <w:t>Psychiatry Research, 105</w:t>
      </w:r>
      <w:r w:rsidR="003E0E54" w:rsidRPr="00864B25">
        <w:rPr>
          <w:rFonts w:ascii="Times New Roman" w:hAnsi="Times New Roman" w:cs="Times New Roman"/>
          <w:sz w:val="24"/>
          <w:szCs w:val="24"/>
        </w:rPr>
        <w:t xml:space="preserve">(3), 165-174. </w:t>
      </w:r>
    </w:p>
    <w:p w14:paraId="746D6537" w14:textId="4580A1D3"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144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Rothermundt, M., Arolt, V., Peters, M., Gutbrodt, H., Fenker, J., Kersting, A., &amp; Kirchner, H. (2001). Inflammatory markers in major depression and melancholia. </w:t>
      </w:r>
      <w:r w:rsidR="003E0E54" w:rsidRPr="00864B25">
        <w:rPr>
          <w:rFonts w:ascii="Times New Roman" w:hAnsi="Times New Roman" w:cs="Times New Roman"/>
          <w:i/>
          <w:sz w:val="24"/>
          <w:szCs w:val="24"/>
        </w:rPr>
        <w:t>Journal of Affective Disorders, 63</w:t>
      </w:r>
      <w:r w:rsidR="003E0E54" w:rsidRPr="00864B25">
        <w:rPr>
          <w:rFonts w:ascii="Times New Roman" w:hAnsi="Times New Roman" w:cs="Times New Roman"/>
          <w:sz w:val="24"/>
          <w:szCs w:val="24"/>
        </w:rPr>
        <w:t xml:space="preserve">(1-3), 93-102. </w:t>
      </w:r>
    </w:p>
    <w:p w14:paraId="34131281" w14:textId="17525775"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145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Rudolf, S., Greggersen, W., Kahl, K. G., Huppe, M., &amp; Schweiger, U. (2014). Elevated IL-6 levels in patients with atypical depression but not in patients with typical depression. </w:t>
      </w:r>
      <w:r w:rsidR="003E0E54" w:rsidRPr="00864B25">
        <w:rPr>
          <w:rFonts w:ascii="Times New Roman" w:hAnsi="Times New Roman" w:cs="Times New Roman"/>
          <w:i/>
          <w:sz w:val="24"/>
          <w:szCs w:val="24"/>
        </w:rPr>
        <w:t>Psychiatry Research, 217</w:t>
      </w:r>
      <w:r w:rsidR="003E0E54" w:rsidRPr="00864B25">
        <w:rPr>
          <w:rFonts w:ascii="Times New Roman" w:hAnsi="Times New Roman" w:cs="Times New Roman"/>
          <w:sz w:val="24"/>
          <w:szCs w:val="24"/>
        </w:rPr>
        <w:t>(1-2), 34-38. doi: 10.1016/j.psychres.2014.02.016</w:t>
      </w:r>
    </w:p>
    <w:p w14:paraId="780B3C18" w14:textId="5A6E2215"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146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Rudzki, L., Pawlak, D., Pawlak, K., Waszkiewicz, N., Małus, A., Konarzewska, B., . . . Szulc, A. (2017). Immune suppression of IgG response against dairy proteins in major depression. </w:t>
      </w:r>
      <w:r w:rsidR="003E0E54" w:rsidRPr="00864B25">
        <w:rPr>
          <w:rFonts w:ascii="Times New Roman" w:hAnsi="Times New Roman" w:cs="Times New Roman"/>
          <w:i/>
          <w:sz w:val="24"/>
          <w:szCs w:val="24"/>
        </w:rPr>
        <w:t>BMC Psychiatry, 17</w:t>
      </w:r>
      <w:r w:rsidR="003E0E54" w:rsidRPr="00864B25">
        <w:rPr>
          <w:rFonts w:ascii="Times New Roman" w:hAnsi="Times New Roman" w:cs="Times New Roman"/>
          <w:sz w:val="24"/>
          <w:szCs w:val="24"/>
        </w:rPr>
        <w:t>(1), 268-268. doi: 10.1186/s12888-017-1431-y</w:t>
      </w:r>
    </w:p>
    <w:p w14:paraId="5178DE64" w14:textId="7D65DDB7" w:rsidR="003E0E54" w:rsidRPr="00864B25" w:rsidRDefault="00005574"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147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Schins, A., Tulner, D., Lousberg, R., Kenis, G., Delanghe, J., Crijns, H. J., . . . Honig, </w:t>
      </w:r>
      <w:r w:rsidR="003E0E54" w:rsidRPr="00864B25">
        <w:rPr>
          <w:rFonts w:ascii="Times New Roman" w:hAnsi="Times New Roman" w:cs="Times New Roman"/>
          <w:sz w:val="24"/>
          <w:szCs w:val="24"/>
        </w:rPr>
        <w:lastRenderedPageBreak/>
        <w:t xml:space="preserve">A. (2005). Inflammatory markers in depressed post-myocardial infarction patients. </w:t>
      </w:r>
      <w:r w:rsidR="003E0E54" w:rsidRPr="00864B25">
        <w:rPr>
          <w:rFonts w:ascii="Times New Roman" w:hAnsi="Times New Roman" w:cs="Times New Roman"/>
          <w:i/>
          <w:sz w:val="24"/>
          <w:szCs w:val="24"/>
        </w:rPr>
        <w:t>Journal of Psychiatric Research, 39</w:t>
      </w:r>
      <w:r w:rsidR="003E0E54" w:rsidRPr="00864B25">
        <w:rPr>
          <w:rFonts w:ascii="Times New Roman" w:hAnsi="Times New Roman" w:cs="Times New Roman"/>
          <w:sz w:val="24"/>
          <w:szCs w:val="24"/>
        </w:rPr>
        <w:t>(2), 137-144. doi: 10.1016/j.jpsychires.2004.05.009</w:t>
      </w:r>
    </w:p>
    <w:p w14:paraId="4007370A" w14:textId="3AF03114"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148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Schmidt, F. M., Lichtblau, N., Minkwitz, J., Chittka, T., Thormann, J., Kirkby, K. C., . . . Himmerich, H. (2014). Cytokine levels in depressed and non-depressed subjects, and masking effects of obesity. </w:t>
      </w:r>
      <w:r w:rsidR="003E0E54" w:rsidRPr="00864B25">
        <w:rPr>
          <w:rFonts w:ascii="Times New Roman" w:hAnsi="Times New Roman" w:cs="Times New Roman"/>
          <w:i/>
          <w:sz w:val="24"/>
          <w:szCs w:val="24"/>
        </w:rPr>
        <w:t>Journal of Psychiatric Research, 55</w:t>
      </w:r>
      <w:r w:rsidR="003E0E54" w:rsidRPr="00864B25">
        <w:rPr>
          <w:rFonts w:ascii="Times New Roman" w:hAnsi="Times New Roman" w:cs="Times New Roman"/>
          <w:sz w:val="24"/>
          <w:szCs w:val="24"/>
        </w:rPr>
        <w:t>, 29-34. doi: 10.1016/j.jpsychires.2014.04.021</w:t>
      </w:r>
    </w:p>
    <w:p w14:paraId="7EBC6CE5" w14:textId="498F18F0"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149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Seidel, A., Arolt, V., Hunstiger, M., Rink, L., Behnisch, A., &amp; Kirchner, H. (1995). Cytokine production and serum proteins in depression. </w:t>
      </w:r>
      <w:r w:rsidR="003E0E54" w:rsidRPr="00864B25">
        <w:rPr>
          <w:rFonts w:ascii="Times New Roman" w:hAnsi="Times New Roman" w:cs="Times New Roman"/>
          <w:i/>
          <w:sz w:val="24"/>
          <w:szCs w:val="24"/>
        </w:rPr>
        <w:t>Scandinavian Journal of Immunology, 41</w:t>
      </w:r>
      <w:r w:rsidR="003E0E54" w:rsidRPr="00864B25">
        <w:rPr>
          <w:rFonts w:ascii="Times New Roman" w:hAnsi="Times New Roman" w:cs="Times New Roman"/>
          <w:sz w:val="24"/>
          <w:szCs w:val="24"/>
        </w:rPr>
        <w:t xml:space="preserve">(6), 534-538. </w:t>
      </w:r>
    </w:p>
    <w:p w14:paraId="56D793E8" w14:textId="56CC5E05"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150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Shimbo, D., Rieckmann, N., Paulino, R., &amp; Davidson, K. W. (2006). Relation between C reactive protein and depression remission status in patients presenting with acute coronary syndrome. </w:t>
      </w:r>
      <w:r w:rsidR="003E0E54" w:rsidRPr="00864B25">
        <w:rPr>
          <w:rFonts w:ascii="Times New Roman" w:hAnsi="Times New Roman" w:cs="Times New Roman"/>
          <w:i/>
          <w:sz w:val="24"/>
          <w:szCs w:val="24"/>
        </w:rPr>
        <w:t>Heart (British Cardiac Society), 92</w:t>
      </w:r>
      <w:r w:rsidR="003E0E54" w:rsidRPr="00864B25">
        <w:rPr>
          <w:rFonts w:ascii="Times New Roman" w:hAnsi="Times New Roman" w:cs="Times New Roman"/>
          <w:sz w:val="24"/>
          <w:szCs w:val="24"/>
        </w:rPr>
        <w:t>(9), 1316-1318. doi: 10.1136/hrt.2005.075861</w:t>
      </w:r>
    </w:p>
    <w:p w14:paraId="22188A21" w14:textId="0FA94B78"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151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Shin, Y.-C., Jung, C.-H., Kim, H.-J., Kim, E.-J., &amp; Lim, S.-W. (2016). The associations among vitamin D deficiency, C-reactive protein, and depressive symptoms. </w:t>
      </w:r>
      <w:r w:rsidR="003E0E54" w:rsidRPr="00864B25">
        <w:rPr>
          <w:rFonts w:ascii="Times New Roman" w:hAnsi="Times New Roman" w:cs="Times New Roman"/>
          <w:i/>
          <w:sz w:val="24"/>
          <w:szCs w:val="24"/>
        </w:rPr>
        <w:t>Journal of Psychosomatic Research, 90</w:t>
      </w:r>
      <w:r w:rsidR="003E0E54" w:rsidRPr="00864B25">
        <w:rPr>
          <w:rFonts w:ascii="Times New Roman" w:hAnsi="Times New Roman" w:cs="Times New Roman"/>
          <w:sz w:val="24"/>
          <w:szCs w:val="24"/>
        </w:rPr>
        <w:t>, 98-104. doi: 10.1016/j.jpsychores.2016.10.001</w:t>
      </w:r>
    </w:p>
    <w:p w14:paraId="613F87CA" w14:textId="6082C446"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152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Simmons, W. K., Burrows, K., Avery, J. A., Kerr, K. L., Taylor, A., Bodurka, J., . . . Drevets, W. C. (2018). Appetite changes reveal depression subgroups with distinct endocrine, metabolic, and immune states. </w:t>
      </w:r>
      <w:r w:rsidR="003E0E54" w:rsidRPr="00864B25">
        <w:rPr>
          <w:rFonts w:ascii="Times New Roman" w:hAnsi="Times New Roman" w:cs="Times New Roman"/>
          <w:i/>
          <w:sz w:val="24"/>
          <w:szCs w:val="24"/>
        </w:rPr>
        <w:t>Molecular Psychiatry</w:t>
      </w:r>
      <w:r w:rsidR="003E0E54" w:rsidRPr="00864B25">
        <w:rPr>
          <w:rFonts w:ascii="Times New Roman" w:hAnsi="Times New Roman" w:cs="Times New Roman"/>
          <w:sz w:val="24"/>
          <w:szCs w:val="24"/>
        </w:rPr>
        <w:t>, 10.1038/s41380-41018-40093-41386. doi: 10.1038/s41380-018-0093-6</w:t>
      </w:r>
    </w:p>
    <w:p w14:paraId="07CD0506" w14:textId="73DFB05E"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153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Simon, N. M., McNamara, K., Chow, C. W., Maser, R. S., Papakostas, G. I., Pollack, M. H., . . . Wong, K. K. (2008). A detailed examination of cytokine abnormalities in Major Depressive Disorder. </w:t>
      </w:r>
      <w:r w:rsidR="003E0E54" w:rsidRPr="00864B25">
        <w:rPr>
          <w:rFonts w:ascii="Times New Roman" w:hAnsi="Times New Roman" w:cs="Times New Roman"/>
          <w:i/>
          <w:sz w:val="24"/>
          <w:szCs w:val="24"/>
        </w:rPr>
        <w:t>European Neuropsychopharmacology, 18</w:t>
      </w:r>
      <w:r w:rsidR="003E0E54" w:rsidRPr="00864B25">
        <w:rPr>
          <w:rFonts w:ascii="Times New Roman" w:hAnsi="Times New Roman" w:cs="Times New Roman"/>
          <w:sz w:val="24"/>
          <w:szCs w:val="24"/>
        </w:rPr>
        <w:t>(3), 230-233. doi: 10.1016/j.euroneuro.2007.06.004</w:t>
      </w:r>
    </w:p>
    <w:p w14:paraId="1D63439E" w14:textId="51EB7DF6"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lastRenderedPageBreak/>
        <w:t>154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Sjogren, E., Leanderson, P., Kristenson, M., &amp; Ernerudh, J. (2006). Interleukin-6 levels in relation to psychosocial factors: studies on serum, saliva, and in vitro production by blood mononuclear cells. </w:t>
      </w:r>
      <w:r w:rsidR="003E0E54" w:rsidRPr="00864B25">
        <w:rPr>
          <w:rFonts w:ascii="Times New Roman" w:hAnsi="Times New Roman" w:cs="Times New Roman"/>
          <w:i/>
          <w:sz w:val="24"/>
          <w:szCs w:val="24"/>
        </w:rPr>
        <w:t>Brain, Behavior and Immunity, 20</w:t>
      </w:r>
      <w:r w:rsidR="003E0E54" w:rsidRPr="00864B25">
        <w:rPr>
          <w:rFonts w:ascii="Times New Roman" w:hAnsi="Times New Roman" w:cs="Times New Roman"/>
          <w:sz w:val="24"/>
          <w:szCs w:val="24"/>
        </w:rPr>
        <w:t>(3), 270-278. doi: 10.1016/j.bbi.2005.08.001</w:t>
      </w:r>
    </w:p>
    <w:p w14:paraId="20B2866B" w14:textId="3BBD769D" w:rsidR="003E0E54"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155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Sluzewska, A., Rybakowski, J. K., Laciak, M., Mackiewicz, A., Sobieska, M., &amp; Wiktorowicz, K. (1995). Interleukin-6 serum levels in depressed patients before and after treatment with fluoxetine. </w:t>
      </w:r>
      <w:r w:rsidR="003E0E54" w:rsidRPr="00864B25">
        <w:rPr>
          <w:rFonts w:ascii="Times New Roman" w:hAnsi="Times New Roman" w:cs="Times New Roman"/>
          <w:i/>
          <w:sz w:val="24"/>
          <w:szCs w:val="24"/>
        </w:rPr>
        <w:t>Annals of the New York Academy of Sciences, 762</w:t>
      </w:r>
      <w:r w:rsidR="003E0E54" w:rsidRPr="00864B25">
        <w:rPr>
          <w:rFonts w:ascii="Times New Roman" w:hAnsi="Times New Roman" w:cs="Times New Roman"/>
          <w:sz w:val="24"/>
          <w:szCs w:val="24"/>
        </w:rPr>
        <w:t>, 474-476. doi: 10.1111/j.1749-6632.1995.tb32372.x</w:t>
      </w:r>
    </w:p>
    <w:p w14:paraId="15709D1C" w14:textId="54098ACA" w:rsidR="009E251E" w:rsidRPr="00864B25" w:rsidRDefault="009E251E" w:rsidP="009E251E">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156</w:t>
      </w:r>
      <w:r>
        <w:rPr>
          <w:rFonts w:ascii="Times New Roman" w:hAnsi="Times New Roman" w:cs="Times New Roman"/>
          <w:sz w:val="24"/>
          <w:szCs w:val="24"/>
        </w:rPr>
        <w:tab/>
      </w:r>
      <w:r w:rsidRPr="00864B25">
        <w:rPr>
          <w:rFonts w:ascii="Times New Roman" w:hAnsi="Times New Roman" w:cs="Times New Roman"/>
          <w:sz w:val="24"/>
          <w:szCs w:val="24"/>
        </w:rPr>
        <w:t xml:space="preserve">Sluzewska, A., Rybakowski, J., Bosmans, E., Sobieska, M., Berghmans, R., Maes, M., &amp; Wiktorowicz, K. (1996). Indicators of immune activation in major depression. </w:t>
      </w:r>
      <w:r w:rsidRPr="00864B25">
        <w:rPr>
          <w:rFonts w:ascii="Times New Roman" w:hAnsi="Times New Roman" w:cs="Times New Roman"/>
          <w:i/>
          <w:sz w:val="24"/>
          <w:szCs w:val="24"/>
        </w:rPr>
        <w:t>Psychiatry Research, 64</w:t>
      </w:r>
      <w:r w:rsidRPr="00864B25">
        <w:rPr>
          <w:rFonts w:ascii="Times New Roman" w:hAnsi="Times New Roman" w:cs="Times New Roman"/>
          <w:sz w:val="24"/>
          <w:szCs w:val="24"/>
        </w:rPr>
        <w:t xml:space="preserve">(3), 161-167. </w:t>
      </w:r>
    </w:p>
    <w:p w14:paraId="70581285" w14:textId="7328C44D" w:rsidR="003E0E54"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157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Song, C., Lin, A., Bonaccorso, S., Heide, C., Verkerk, R., Kenis, G., . . . Maes, M. (1998). The inflammatory response system and the availability of plasma tryptophan in patients with primary sleep disorders and major depression. </w:t>
      </w:r>
      <w:r w:rsidR="003E0E54" w:rsidRPr="00864B25">
        <w:rPr>
          <w:rFonts w:ascii="Times New Roman" w:hAnsi="Times New Roman" w:cs="Times New Roman"/>
          <w:i/>
          <w:sz w:val="24"/>
          <w:szCs w:val="24"/>
        </w:rPr>
        <w:t>Journal of Affective Disorders, 49</w:t>
      </w:r>
      <w:r w:rsidR="003E0E54" w:rsidRPr="00864B25">
        <w:rPr>
          <w:rFonts w:ascii="Times New Roman" w:hAnsi="Times New Roman" w:cs="Times New Roman"/>
          <w:sz w:val="24"/>
          <w:szCs w:val="24"/>
        </w:rPr>
        <w:t xml:space="preserve">(3), 211-219. </w:t>
      </w:r>
    </w:p>
    <w:p w14:paraId="145F5414" w14:textId="2F50B813" w:rsidR="009E251E" w:rsidRPr="00864B25" w:rsidRDefault="009E251E" w:rsidP="009E251E">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158</w:t>
      </w:r>
      <w:r>
        <w:rPr>
          <w:rFonts w:ascii="Times New Roman" w:hAnsi="Times New Roman" w:cs="Times New Roman"/>
          <w:sz w:val="24"/>
          <w:szCs w:val="24"/>
        </w:rPr>
        <w:tab/>
      </w:r>
      <w:r w:rsidRPr="00864B25">
        <w:rPr>
          <w:rFonts w:ascii="Times New Roman" w:hAnsi="Times New Roman" w:cs="Times New Roman"/>
          <w:sz w:val="24"/>
          <w:szCs w:val="24"/>
        </w:rPr>
        <w:t xml:space="preserve">Song, C., Halbreich, U., Han, C., Leonard, B. E., &amp; Luo, H. (2009). Imbalance between pro- and anti-inflammatory cytokines, and between Th1 and Th2 cytokines in depressed patients: the effect of electroacupuncture or fluoxetine treatment. </w:t>
      </w:r>
      <w:r w:rsidRPr="00864B25">
        <w:rPr>
          <w:rFonts w:ascii="Times New Roman" w:hAnsi="Times New Roman" w:cs="Times New Roman"/>
          <w:i/>
          <w:sz w:val="24"/>
          <w:szCs w:val="24"/>
        </w:rPr>
        <w:t>Pharmacopsychiatry, 42</w:t>
      </w:r>
      <w:r w:rsidRPr="00864B25">
        <w:rPr>
          <w:rFonts w:ascii="Times New Roman" w:hAnsi="Times New Roman" w:cs="Times New Roman"/>
          <w:sz w:val="24"/>
          <w:szCs w:val="24"/>
        </w:rPr>
        <w:t>(5), 182-188. doi: 10.1055/s-0029-1202263</w:t>
      </w:r>
    </w:p>
    <w:p w14:paraId="6920FBCB" w14:textId="7BDB058D"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159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Soygur, H., Palaoglu, O., Akarsu, E. S., Cankurtaran, E. S., Ozalp, E., Turhan, L., &amp; Ayhan, I. H. (2007). Interleukin-6 levels and HPA axis activation in breast cancer patients with major depressive disorder. </w:t>
      </w:r>
      <w:r w:rsidR="003E0E54" w:rsidRPr="00864B25">
        <w:rPr>
          <w:rFonts w:ascii="Times New Roman" w:hAnsi="Times New Roman" w:cs="Times New Roman"/>
          <w:i/>
          <w:sz w:val="24"/>
          <w:szCs w:val="24"/>
        </w:rPr>
        <w:t>Progress in Neuro-Psychopharmacology &amp; Biological Psychiatry, 31</w:t>
      </w:r>
      <w:r w:rsidR="003E0E54" w:rsidRPr="00864B25">
        <w:rPr>
          <w:rFonts w:ascii="Times New Roman" w:hAnsi="Times New Roman" w:cs="Times New Roman"/>
          <w:sz w:val="24"/>
          <w:szCs w:val="24"/>
        </w:rPr>
        <w:t>(6), 1242-1247. doi: 10.1016/j.pnpbp.2007.05.001</w:t>
      </w:r>
    </w:p>
    <w:p w14:paraId="6B900DA2" w14:textId="68C92353"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160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Spanemberg, L., Caldieraro, M. A., Vares, E. A., Wollenhaupt-Aguiar, B., Kauer-Sant'Anna, M., Kawamoto, S. Y., . . . Fleck, M. P. (2014). Biological differences between melancholic and nonmelancholic depression subtyped by the CORE </w:t>
      </w:r>
      <w:r w:rsidR="003E0E54" w:rsidRPr="00864B25">
        <w:rPr>
          <w:rFonts w:ascii="Times New Roman" w:hAnsi="Times New Roman" w:cs="Times New Roman"/>
          <w:sz w:val="24"/>
          <w:szCs w:val="24"/>
        </w:rPr>
        <w:lastRenderedPageBreak/>
        <w:t xml:space="preserve">measure. </w:t>
      </w:r>
      <w:r w:rsidR="003E0E54" w:rsidRPr="00864B25">
        <w:rPr>
          <w:rFonts w:ascii="Times New Roman" w:hAnsi="Times New Roman" w:cs="Times New Roman"/>
          <w:i/>
          <w:sz w:val="24"/>
          <w:szCs w:val="24"/>
        </w:rPr>
        <w:t>Neuropsychiatric Disease and Treatment, 10</w:t>
      </w:r>
      <w:r w:rsidR="003E0E54" w:rsidRPr="00864B25">
        <w:rPr>
          <w:rFonts w:ascii="Times New Roman" w:hAnsi="Times New Roman" w:cs="Times New Roman"/>
          <w:sz w:val="24"/>
          <w:szCs w:val="24"/>
        </w:rPr>
        <w:t>, 1523-1531. doi: 10.2147/ndt.S66504</w:t>
      </w:r>
    </w:p>
    <w:p w14:paraId="4C2E059C" w14:textId="7A3000FB"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161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Su, S. C., Sun, M. T., Wen, M. J., Lin, C. J., Chen, Y. C., &amp; Hung, Y. J. (2011). Brain-derived neurotrophic factor, adiponectin, and proinflammatory markers in various subtypes of depression in young men. </w:t>
      </w:r>
      <w:r w:rsidR="003E0E54" w:rsidRPr="00864B25">
        <w:rPr>
          <w:rFonts w:ascii="Times New Roman" w:hAnsi="Times New Roman" w:cs="Times New Roman"/>
          <w:i/>
          <w:sz w:val="24"/>
          <w:szCs w:val="24"/>
        </w:rPr>
        <w:t>International Journal of Psychiatry in Medicine, 42</w:t>
      </w:r>
      <w:r w:rsidR="003E0E54" w:rsidRPr="00864B25">
        <w:rPr>
          <w:rFonts w:ascii="Times New Roman" w:hAnsi="Times New Roman" w:cs="Times New Roman"/>
          <w:sz w:val="24"/>
          <w:szCs w:val="24"/>
        </w:rPr>
        <w:t>(3), 211-226. doi: 10.2190/PM.42.3.a</w:t>
      </w:r>
    </w:p>
    <w:p w14:paraId="311B7889" w14:textId="44761F81"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162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Sutcigil, L., Oktenli, C., Musabak, U., Bozkurt, A., Cansever, A., Uzun, O., . . . Sengul, A. (2007). Pro- and anti-inflammatory cytokine balance in major depression: effect of sertraline therapy. </w:t>
      </w:r>
      <w:r w:rsidR="003E0E54" w:rsidRPr="00864B25">
        <w:rPr>
          <w:rFonts w:ascii="Times New Roman" w:hAnsi="Times New Roman" w:cs="Times New Roman"/>
          <w:i/>
          <w:sz w:val="24"/>
          <w:szCs w:val="24"/>
        </w:rPr>
        <w:t>Clinical &amp; Developmental Immunology, 2007</w:t>
      </w:r>
      <w:r w:rsidR="003E0E54" w:rsidRPr="00864B25">
        <w:rPr>
          <w:rFonts w:ascii="Times New Roman" w:hAnsi="Times New Roman" w:cs="Times New Roman"/>
          <w:sz w:val="24"/>
          <w:szCs w:val="24"/>
        </w:rPr>
        <w:t>, 76396. doi: 10.1155/2007/76396</w:t>
      </w:r>
    </w:p>
    <w:p w14:paraId="5DA4C5DD" w14:textId="2D76565D"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163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Taylor, S. E., Lehman, B. J., Kiefe, C. I., &amp; Seeman, T. E. (2006). Relationship of early life stress and psychological functioning to adult C-reactive protein in the coronary artery risk development in young adults study. </w:t>
      </w:r>
      <w:r w:rsidR="003E0E54" w:rsidRPr="00864B25">
        <w:rPr>
          <w:rFonts w:ascii="Times New Roman" w:hAnsi="Times New Roman" w:cs="Times New Roman"/>
          <w:i/>
          <w:sz w:val="24"/>
          <w:szCs w:val="24"/>
        </w:rPr>
        <w:t>Biological Psychiatry, 60</w:t>
      </w:r>
      <w:r w:rsidR="003E0E54" w:rsidRPr="00864B25">
        <w:rPr>
          <w:rFonts w:ascii="Times New Roman" w:hAnsi="Times New Roman" w:cs="Times New Roman"/>
          <w:sz w:val="24"/>
          <w:szCs w:val="24"/>
        </w:rPr>
        <w:t>(8), 819-824. doi: 10.1016/j.biopsych.2006.03.016</w:t>
      </w:r>
    </w:p>
    <w:p w14:paraId="1A46698B" w14:textId="320CBE40"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164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Thomas, A. J., Davis, S., Morris, C., Jackson, E., Harrison, R., &amp; O'Brien, J. T. (2005). Increase in interleukin-1beta in late-life depression. </w:t>
      </w:r>
      <w:r w:rsidR="003E0E54" w:rsidRPr="00864B25">
        <w:rPr>
          <w:rFonts w:ascii="Times New Roman" w:hAnsi="Times New Roman" w:cs="Times New Roman"/>
          <w:i/>
          <w:sz w:val="24"/>
          <w:szCs w:val="24"/>
        </w:rPr>
        <w:t>American Journal of Psychiatry, 162</w:t>
      </w:r>
      <w:r w:rsidR="003E0E54" w:rsidRPr="00864B25">
        <w:rPr>
          <w:rFonts w:ascii="Times New Roman" w:hAnsi="Times New Roman" w:cs="Times New Roman"/>
          <w:sz w:val="24"/>
          <w:szCs w:val="24"/>
        </w:rPr>
        <w:t>(1), 175-177. doi: 10.1176/appi.ajp.162.1.175</w:t>
      </w:r>
    </w:p>
    <w:p w14:paraId="658BCAE4" w14:textId="4299527C"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165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Tiemeier, H., Hofman, A., van Tuijl, H. R., Kiliaan, A. J., Meijer, J., &amp; Breteler, M. M. (2003). Inflammatory proteins and depression in the elderly. </w:t>
      </w:r>
      <w:r w:rsidR="003E0E54" w:rsidRPr="00864B25">
        <w:rPr>
          <w:rFonts w:ascii="Times New Roman" w:hAnsi="Times New Roman" w:cs="Times New Roman"/>
          <w:i/>
          <w:sz w:val="24"/>
          <w:szCs w:val="24"/>
        </w:rPr>
        <w:t>Epidemiology, 14</w:t>
      </w:r>
      <w:r w:rsidR="003E0E54" w:rsidRPr="00864B25">
        <w:rPr>
          <w:rFonts w:ascii="Times New Roman" w:hAnsi="Times New Roman" w:cs="Times New Roman"/>
          <w:sz w:val="24"/>
          <w:szCs w:val="24"/>
        </w:rPr>
        <w:t>(1), 103-107. doi: 10.1097/01.Ede.0000037978.71588.2a</w:t>
      </w:r>
    </w:p>
    <w:p w14:paraId="1F4BF298" w14:textId="0B512416"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166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Toker, S., Shirom, A., Shapira, I., Berliner, S., &amp; Melamed, S. (2005). The association between burnout, depression, anxiety, and inflammation biomarkers: C-reactive protein and fibrinogen in men and women. </w:t>
      </w:r>
      <w:r w:rsidR="003E0E54" w:rsidRPr="00864B25">
        <w:rPr>
          <w:rFonts w:ascii="Times New Roman" w:hAnsi="Times New Roman" w:cs="Times New Roman"/>
          <w:i/>
          <w:sz w:val="24"/>
          <w:szCs w:val="24"/>
        </w:rPr>
        <w:t>Journal of Occupational Health Psychology, 10</w:t>
      </w:r>
      <w:r w:rsidR="003E0E54" w:rsidRPr="00864B25">
        <w:rPr>
          <w:rFonts w:ascii="Times New Roman" w:hAnsi="Times New Roman" w:cs="Times New Roman"/>
          <w:sz w:val="24"/>
          <w:szCs w:val="24"/>
        </w:rPr>
        <w:t>(4), 344-362. doi: 10.1037/1076-8998.10.4.344</w:t>
      </w:r>
    </w:p>
    <w:p w14:paraId="5C71C9AD" w14:textId="08A8A139"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167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Torres, K. C., Lima, G. S., Fiamoncini, C. M., Rezende, V. B., Pereira, P. A., Bicalho, M. A., . . . Romano‐Silva, M. A. (2014). Increased frequency of cluster of </w:t>
      </w:r>
      <w:r w:rsidR="003E0E54" w:rsidRPr="00864B25">
        <w:rPr>
          <w:rFonts w:ascii="Times New Roman" w:hAnsi="Times New Roman" w:cs="Times New Roman"/>
          <w:sz w:val="24"/>
          <w:szCs w:val="24"/>
        </w:rPr>
        <w:lastRenderedPageBreak/>
        <w:t xml:space="preserve">differentiation 14 (CD14+) monocytes expressing interleukin 1 beta (IL‐1β) in Alzheimer's disease patients and intermediate levels in late‐onset depression patients. </w:t>
      </w:r>
      <w:r w:rsidR="003E0E54" w:rsidRPr="00864B25">
        <w:rPr>
          <w:rFonts w:ascii="Times New Roman" w:hAnsi="Times New Roman" w:cs="Times New Roman"/>
          <w:i/>
          <w:sz w:val="24"/>
          <w:szCs w:val="24"/>
        </w:rPr>
        <w:t>International Journal of Geriatric Psychiatry, 29</w:t>
      </w:r>
      <w:r w:rsidR="003E0E54" w:rsidRPr="00864B25">
        <w:rPr>
          <w:rFonts w:ascii="Times New Roman" w:hAnsi="Times New Roman" w:cs="Times New Roman"/>
          <w:sz w:val="24"/>
          <w:szCs w:val="24"/>
        </w:rPr>
        <w:t xml:space="preserve">(2), 137-143. </w:t>
      </w:r>
    </w:p>
    <w:p w14:paraId="1A106B2E" w14:textId="3CA232FA"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168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Trzonkowski, P., Myśliwska, J., Godlewska, B., Szmit, E., Łukaszuk, K., Wieckiewicz, J., . . . Myśliwski, A. (2004). Immune consequences of the spontaneous pro-inflammatory status in depressed elderly patients. </w:t>
      </w:r>
      <w:r w:rsidR="003E0E54" w:rsidRPr="00864B25">
        <w:rPr>
          <w:rFonts w:ascii="Times New Roman" w:hAnsi="Times New Roman" w:cs="Times New Roman"/>
          <w:i/>
          <w:sz w:val="24"/>
          <w:szCs w:val="24"/>
        </w:rPr>
        <w:t>Brain, behavior, and immunity, 18</w:t>
      </w:r>
      <w:r w:rsidR="003E0E54" w:rsidRPr="00864B25">
        <w:rPr>
          <w:rFonts w:ascii="Times New Roman" w:hAnsi="Times New Roman" w:cs="Times New Roman"/>
          <w:sz w:val="24"/>
          <w:szCs w:val="24"/>
        </w:rPr>
        <w:t>(2), 135-148. doi: 10.1016/S0889-1591(03)00111-9</w:t>
      </w:r>
    </w:p>
    <w:p w14:paraId="2183B214" w14:textId="0E21A5E2"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169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Tsai, S. Y., Chung, K. H., Huang, S. H., Chen, P. H., Lee, H. C., &amp; Kuo, C. J. (2014). Persistent inflammation and its relationship to leptin and insulin in phases of bipolar disorder from acute depression to full remission. </w:t>
      </w:r>
      <w:r w:rsidR="003E0E54" w:rsidRPr="00864B25">
        <w:rPr>
          <w:rFonts w:ascii="Times New Roman" w:hAnsi="Times New Roman" w:cs="Times New Roman"/>
          <w:i/>
          <w:sz w:val="24"/>
          <w:szCs w:val="24"/>
        </w:rPr>
        <w:t>Bipolar Disorders, 16</w:t>
      </w:r>
      <w:r w:rsidR="003E0E54" w:rsidRPr="00864B25">
        <w:rPr>
          <w:rFonts w:ascii="Times New Roman" w:hAnsi="Times New Roman" w:cs="Times New Roman"/>
          <w:sz w:val="24"/>
          <w:szCs w:val="24"/>
        </w:rPr>
        <w:t>(8), 800-808. doi: 10.1111/bdi.12240</w:t>
      </w:r>
    </w:p>
    <w:p w14:paraId="1DE9CDEF" w14:textId="71E3B4EF"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170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Tuglu, C., Kara, S. H., Caliyurt, O., Vardar, E., &amp; Abay, E. (2003). Increased serum tumor necrosis factor-alpha levels and treatment response in major depressive disorder. </w:t>
      </w:r>
      <w:r w:rsidR="003E0E54" w:rsidRPr="00864B25">
        <w:rPr>
          <w:rFonts w:ascii="Times New Roman" w:hAnsi="Times New Roman" w:cs="Times New Roman"/>
          <w:i/>
          <w:sz w:val="24"/>
          <w:szCs w:val="24"/>
        </w:rPr>
        <w:t>Psychopharmacology, 170</w:t>
      </w:r>
      <w:r w:rsidR="003E0E54" w:rsidRPr="00864B25">
        <w:rPr>
          <w:rFonts w:ascii="Times New Roman" w:hAnsi="Times New Roman" w:cs="Times New Roman"/>
          <w:sz w:val="24"/>
          <w:szCs w:val="24"/>
        </w:rPr>
        <w:t>(4), 429-433. doi: 10.1007/s00213-003-1566-z</w:t>
      </w:r>
    </w:p>
    <w:p w14:paraId="0AA22813" w14:textId="3AA18CB5" w:rsidR="003E0E54"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171</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Vaccarino, V., Johnson, B. D., Sheps, D. S., Reis, S. E., Kelsey, S. F., Bittner, V., . . . Bairey Merz, C. N. (2007). Depression, inflammation, and incident cardiovascular disease in women with suspected coronary ischemia: the National Heart, Lung, and Blood Institute-sponsored WISE study. </w:t>
      </w:r>
      <w:r w:rsidR="003E0E54" w:rsidRPr="00864B25">
        <w:rPr>
          <w:rFonts w:ascii="Times New Roman" w:hAnsi="Times New Roman" w:cs="Times New Roman"/>
          <w:i/>
          <w:sz w:val="24"/>
          <w:szCs w:val="24"/>
        </w:rPr>
        <w:t>Journal of the American College of Cardiology, 50</w:t>
      </w:r>
      <w:r w:rsidR="003E0E54" w:rsidRPr="00864B25">
        <w:rPr>
          <w:rFonts w:ascii="Times New Roman" w:hAnsi="Times New Roman" w:cs="Times New Roman"/>
          <w:sz w:val="24"/>
          <w:szCs w:val="24"/>
        </w:rPr>
        <w:t>(21), 2044-2050. doi: 10.1016/j.jacc.2007.07.069</w:t>
      </w:r>
    </w:p>
    <w:p w14:paraId="187131D0" w14:textId="7A31C34F" w:rsidR="009E251E" w:rsidRPr="00864B25" w:rsidRDefault="009E251E" w:rsidP="009E251E">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172</w:t>
      </w:r>
      <w:r>
        <w:rPr>
          <w:rFonts w:ascii="Times New Roman" w:hAnsi="Times New Roman" w:cs="Times New Roman"/>
          <w:sz w:val="24"/>
          <w:szCs w:val="24"/>
        </w:rPr>
        <w:tab/>
      </w:r>
      <w:r w:rsidRPr="00864B25">
        <w:rPr>
          <w:rFonts w:ascii="Times New Roman" w:hAnsi="Times New Roman" w:cs="Times New Roman"/>
          <w:sz w:val="24"/>
          <w:szCs w:val="24"/>
        </w:rPr>
        <w:t xml:space="preserve">Vaccarino, V., Brennan, M. L., Miller, A. H., Bremner, J. D., Ritchie, J. C., Lindau, F., . . . Hazen, S. L. (2008). Association of major depressive disorder with serum myeloperoxidase and other markers of inflammation: a twin study. </w:t>
      </w:r>
      <w:r w:rsidRPr="00864B25">
        <w:rPr>
          <w:rFonts w:ascii="Times New Roman" w:hAnsi="Times New Roman" w:cs="Times New Roman"/>
          <w:i/>
          <w:sz w:val="24"/>
          <w:szCs w:val="24"/>
        </w:rPr>
        <w:t>Biological Psychiatry, 64</w:t>
      </w:r>
      <w:r w:rsidRPr="00864B25">
        <w:rPr>
          <w:rFonts w:ascii="Times New Roman" w:hAnsi="Times New Roman" w:cs="Times New Roman"/>
          <w:sz w:val="24"/>
          <w:szCs w:val="24"/>
        </w:rPr>
        <w:t>(6), 476-483. doi: 10.1016/j.biopsych.2008.04.023</w:t>
      </w:r>
    </w:p>
    <w:p w14:paraId="3E3A92B3" w14:textId="407DD1AE"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173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Verduijn, J., Milaneschi, Y., Schoevers, R. A., van Hemert, A. M., Beekman, A. T. F., &amp; Penninx, B. W. J. H. (2015). Pathophysiology of major depressive disorder: mechanisms involved in etiology are not associated with clinical progression. </w:t>
      </w:r>
      <w:r w:rsidR="003E0E54" w:rsidRPr="00864B25">
        <w:rPr>
          <w:rFonts w:ascii="Times New Roman" w:hAnsi="Times New Roman" w:cs="Times New Roman"/>
          <w:i/>
          <w:sz w:val="24"/>
          <w:szCs w:val="24"/>
        </w:rPr>
        <w:lastRenderedPageBreak/>
        <w:t>Translational Psychiatry, 5</w:t>
      </w:r>
      <w:r w:rsidR="003E0E54" w:rsidRPr="00864B25">
        <w:rPr>
          <w:rFonts w:ascii="Times New Roman" w:hAnsi="Times New Roman" w:cs="Times New Roman"/>
          <w:sz w:val="24"/>
          <w:szCs w:val="24"/>
        </w:rPr>
        <w:t>(9), e649-e649. doi: 10.1038/tp.2015.137</w:t>
      </w:r>
    </w:p>
    <w:p w14:paraId="26F9656B" w14:textId="77727B93"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174</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Vetta, F., Ronzoni, S., Lupattelli, M. R., Fabbriconi, B., Ficoneri, C., Cicconetti, P., . . . Bollea, M. R. (2001). Tumor necrosis factor-alpha and mood disorders in the elderly. </w:t>
      </w:r>
      <w:r w:rsidR="003E0E54" w:rsidRPr="00864B25">
        <w:rPr>
          <w:rFonts w:ascii="Times New Roman" w:hAnsi="Times New Roman" w:cs="Times New Roman"/>
          <w:i/>
          <w:sz w:val="24"/>
          <w:szCs w:val="24"/>
        </w:rPr>
        <w:t>Archives of Gerontology and Geriatrics. Supplement, 7</w:t>
      </w:r>
      <w:r w:rsidR="003E0E54" w:rsidRPr="00864B25">
        <w:rPr>
          <w:rFonts w:ascii="Times New Roman" w:hAnsi="Times New Roman" w:cs="Times New Roman"/>
          <w:sz w:val="24"/>
          <w:szCs w:val="24"/>
        </w:rPr>
        <w:t xml:space="preserve">, 435-442. </w:t>
      </w:r>
    </w:p>
    <w:p w14:paraId="19A2D6E3" w14:textId="62FC0129"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175</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Vogelzangs, N., Comijs, H. C., Oude Voshaar, R. C., Stek, M. L., &amp; Penninx, B. W. (2014). Late-life depression symptom profiles are differentially associated with immunometabolic functioning. </w:t>
      </w:r>
      <w:r w:rsidR="003E0E54" w:rsidRPr="00864B25">
        <w:rPr>
          <w:rFonts w:ascii="Times New Roman" w:hAnsi="Times New Roman" w:cs="Times New Roman"/>
          <w:i/>
          <w:sz w:val="24"/>
          <w:szCs w:val="24"/>
        </w:rPr>
        <w:t>Brain, Behavior and Immunity, 41</w:t>
      </w:r>
      <w:r w:rsidR="003E0E54" w:rsidRPr="00864B25">
        <w:rPr>
          <w:rFonts w:ascii="Times New Roman" w:hAnsi="Times New Roman" w:cs="Times New Roman"/>
          <w:sz w:val="24"/>
          <w:szCs w:val="24"/>
        </w:rPr>
        <w:t>, 109-115. doi: 10.1016/j.bbi.2014.05.004</w:t>
      </w:r>
    </w:p>
    <w:p w14:paraId="2814D1B0" w14:textId="1856E148"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176</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Wei, L., Du, Y., Wu, W., Fu, X., &amp; Xia, Q. (2018). Elevation of plasma neutrophil gelatinase-associated lipocalin (NGAL) levels in schizophrenia patients. </w:t>
      </w:r>
      <w:r w:rsidR="003E0E54" w:rsidRPr="00864B25">
        <w:rPr>
          <w:rFonts w:ascii="Times New Roman" w:hAnsi="Times New Roman" w:cs="Times New Roman"/>
          <w:i/>
          <w:sz w:val="24"/>
          <w:szCs w:val="24"/>
        </w:rPr>
        <w:t>Journal of Affective Disorders, 226</w:t>
      </w:r>
      <w:r w:rsidR="003E0E54" w:rsidRPr="00864B25">
        <w:rPr>
          <w:rFonts w:ascii="Times New Roman" w:hAnsi="Times New Roman" w:cs="Times New Roman"/>
          <w:sz w:val="24"/>
          <w:szCs w:val="24"/>
        </w:rPr>
        <w:t>, 307-312. doi: 10.1016/j.jad.2017.10.002</w:t>
      </w:r>
    </w:p>
    <w:p w14:paraId="13D7FCBF" w14:textId="7391194A"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177</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Weinstein, A. A., Deuster, P. A., Francis, J. L., Bonsall, R. W., Tracy, R. P., &amp; Kop, W. J. (2010). Neurohormonal and inflammatory hyper-responsiveness to acute mental stress in depression. </w:t>
      </w:r>
      <w:r w:rsidR="003E0E54" w:rsidRPr="00864B25">
        <w:rPr>
          <w:rFonts w:ascii="Times New Roman" w:hAnsi="Times New Roman" w:cs="Times New Roman"/>
          <w:i/>
          <w:sz w:val="24"/>
          <w:szCs w:val="24"/>
        </w:rPr>
        <w:t>Biological Psychology, 84</w:t>
      </w:r>
      <w:r w:rsidR="003E0E54" w:rsidRPr="00864B25">
        <w:rPr>
          <w:rFonts w:ascii="Times New Roman" w:hAnsi="Times New Roman" w:cs="Times New Roman"/>
          <w:sz w:val="24"/>
          <w:szCs w:val="24"/>
        </w:rPr>
        <w:t>(2), 228-234. doi: 10.1016/j.biopsycho.2010.01.016</w:t>
      </w:r>
    </w:p>
    <w:p w14:paraId="3A9EB97B" w14:textId="2B52D854"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178</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Whooley, M. A., Caska, C. M., Hendrickson, B. E., Rourke, M. A., Ho, J., &amp; Ali, S. (2007). Depression and inflammation in patients with coronary heart disease: findings from the Heart and Soul Study. </w:t>
      </w:r>
      <w:r w:rsidR="003E0E54" w:rsidRPr="00864B25">
        <w:rPr>
          <w:rFonts w:ascii="Times New Roman" w:hAnsi="Times New Roman" w:cs="Times New Roman"/>
          <w:i/>
          <w:sz w:val="24"/>
          <w:szCs w:val="24"/>
        </w:rPr>
        <w:t>Biological Psychiatry, 62</w:t>
      </w:r>
      <w:r w:rsidR="003E0E54" w:rsidRPr="00864B25">
        <w:rPr>
          <w:rFonts w:ascii="Times New Roman" w:hAnsi="Times New Roman" w:cs="Times New Roman"/>
          <w:sz w:val="24"/>
          <w:szCs w:val="24"/>
        </w:rPr>
        <w:t>(4), 314-320. doi: 10.1016/j.biopsych.2006.10.016</w:t>
      </w:r>
    </w:p>
    <w:p w14:paraId="2A31846E" w14:textId="3DF4FB6C"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179</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Wium-Andersen, M. K., Orsted, D. D., &amp; Nordestgaard, B. G. (2014). Elevated C-reactive protein, depression, somatic diseases, and all-cause mortality: a mendelian randomization study. </w:t>
      </w:r>
      <w:r w:rsidR="003E0E54" w:rsidRPr="00864B25">
        <w:rPr>
          <w:rFonts w:ascii="Times New Roman" w:hAnsi="Times New Roman" w:cs="Times New Roman"/>
          <w:i/>
          <w:sz w:val="24"/>
          <w:szCs w:val="24"/>
        </w:rPr>
        <w:t>Biological Psychiatry, 76</w:t>
      </w:r>
      <w:r w:rsidR="003E0E54" w:rsidRPr="00864B25">
        <w:rPr>
          <w:rFonts w:ascii="Times New Roman" w:hAnsi="Times New Roman" w:cs="Times New Roman"/>
          <w:sz w:val="24"/>
          <w:szCs w:val="24"/>
        </w:rPr>
        <w:t>(3), 249-257. doi: 10.1016/j.biopsych.2013.10.009</w:t>
      </w:r>
    </w:p>
    <w:p w14:paraId="7504287B" w14:textId="6842B5DF" w:rsidR="003E0E54"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180</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Yang, K., Zhang, Z., Xie, G., Wang, C., Tang, Y., &amp; Lui, G. (2005). Serum levels of cytokine, C-reactive protein and zinc in patients with depression: Changes worth paying attention to. </w:t>
      </w:r>
      <w:r w:rsidR="003E0E54" w:rsidRPr="00864B25">
        <w:rPr>
          <w:rFonts w:ascii="Times New Roman" w:hAnsi="Times New Roman" w:cs="Times New Roman"/>
          <w:i/>
          <w:sz w:val="24"/>
          <w:szCs w:val="24"/>
        </w:rPr>
        <w:t>Chinese J Clin Rehab, 9</w:t>
      </w:r>
      <w:r w:rsidR="003E0E54" w:rsidRPr="00864B25">
        <w:rPr>
          <w:rFonts w:ascii="Times New Roman" w:hAnsi="Times New Roman" w:cs="Times New Roman"/>
          <w:sz w:val="24"/>
          <w:szCs w:val="24"/>
        </w:rPr>
        <w:t xml:space="preserve">, 37-39. </w:t>
      </w:r>
    </w:p>
    <w:p w14:paraId="4EDAE14C" w14:textId="20D049CC" w:rsidR="009E251E" w:rsidRPr="00864B25" w:rsidRDefault="009E251E" w:rsidP="009E251E">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lastRenderedPageBreak/>
        <w:t>181</w:t>
      </w:r>
      <w:r>
        <w:rPr>
          <w:rFonts w:ascii="Times New Roman" w:hAnsi="Times New Roman" w:cs="Times New Roman"/>
          <w:sz w:val="24"/>
          <w:szCs w:val="24"/>
        </w:rPr>
        <w:tab/>
      </w:r>
      <w:r w:rsidRPr="00864B25">
        <w:rPr>
          <w:rFonts w:ascii="Times New Roman" w:hAnsi="Times New Roman" w:cs="Times New Roman"/>
          <w:sz w:val="24"/>
          <w:szCs w:val="24"/>
        </w:rPr>
        <w:t xml:space="preserve">Yang, K., Xie, G., Zhang, Z., Wang, C., Li, W., Zhou, W., &amp; Tang, Y. (2007). Levels of serum interleukin (IL)-6, IL-1beta, tumour necrosis factor-alpha and leptin and their correlation in depression. </w:t>
      </w:r>
      <w:r w:rsidRPr="00864B25">
        <w:rPr>
          <w:rFonts w:ascii="Times New Roman" w:hAnsi="Times New Roman" w:cs="Times New Roman"/>
          <w:i/>
          <w:sz w:val="24"/>
          <w:szCs w:val="24"/>
        </w:rPr>
        <w:t>Australian and New Zealand Journal of Psychiatry, 41</w:t>
      </w:r>
      <w:r w:rsidRPr="00864B25">
        <w:rPr>
          <w:rFonts w:ascii="Times New Roman" w:hAnsi="Times New Roman" w:cs="Times New Roman"/>
          <w:sz w:val="24"/>
          <w:szCs w:val="24"/>
        </w:rPr>
        <w:t>(3), 266-273. doi: 10.1080/00048670601057759</w:t>
      </w:r>
    </w:p>
    <w:p w14:paraId="2A58F1A0" w14:textId="0DCCA3ED"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182</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Yoshimura, R., Hori, H., Ikenouchi-Sugita, A., Umene-Nakano, W., Ueda, N., &amp; Nakamura, J. (2009). Higher plasma interleukin-6 (IL-6) level is associated with SSRI- or SNRI-refractory depression. </w:t>
      </w:r>
      <w:r w:rsidR="003E0E54" w:rsidRPr="00864B25">
        <w:rPr>
          <w:rFonts w:ascii="Times New Roman" w:hAnsi="Times New Roman" w:cs="Times New Roman"/>
          <w:i/>
          <w:sz w:val="24"/>
          <w:szCs w:val="24"/>
        </w:rPr>
        <w:t>Progress in Neuro-Psychopharmacology &amp; Biological Psychiatry, 33</w:t>
      </w:r>
      <w:r w:rsidR="003E0E54" w:rsidRPr="00864B25">
        <w:rPr>
          <w:rFonts w:ascii="Times New Roman" w:hAnsi="Times New Roman" w:cs="Times New Roman"/>
          <w:sz w:val="24"/>
          <w:szCs w:val="24"/>
        </w:rPr>
        <w:t>(4), 722-726. doi: 10.1016/j.pnpbp.2009.03.020</w:t>
      </w:r>
    </w:p>
    <w:p w14:paraId="73EE5ABE" w14:textId="4F2BB9A4" w:rsidR="003E0E54" w:rsidRPr="00864B25" w:rsidRDefault="009E251E" w:rsidP="00864B25">
      <w:pPr>
        <w:pStyle w:val="EndNoteBibliography"/>
        <w:spacing w:after="0"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183</w:t>
      </w:r>
      <w:r>
        <w:rPr>
          <w:rFonts w:ascii="Times New Roman" w:hAnsi="Times New Roman" w:cs="Times New Roman"/>
          <w:sz w:val="24"/>
          <w:szCs w:val="24"/>
        </w:rPr>
        <w:tab/>
      </w:r>
      <w:r w:rsidR="003E0E54" w:rsidRPr="00864B25">
        <w:rPr>
          <w:rFonts w:ascii="Times New Roman" w:hAnsi="Times New Roman" w:cs="Times New Roman"/>
          <w:sz w:val="24"/>
          <w:szCs w:val="24"/>
        </w:rPr>
        <w:t xml:space="preserve">Yoshimura, R., Umene-Nakano, W., Hoshuyama, T., Ikenouchi-Sugita, A., Hori, H., Katsuki, A., . . . Nakamura, J. (2010). Plasma levels of brain-derived neurotrophic factor and interleukin-6 in patients with dysthymic disorder: comparison with age- and sex-matched major depressed patients and healthy controls. </w:t>
      </w:r>
      <w:r w:rsidR="003E0E54" w:rsidRPr="00864B25">
        <w:rPr>
          <w:rFonts w:ascii="Times New Roman" w:hAnsi="Times New Roman" w:cs="Times New Roman"/>
          <w:i/>
          <w:sz w:val="24"/>
          <w:szCs w:val="24"/>
        </w:rPr>
        <w:t>Human Psychopharmacology, 25</w:t>
      </w:r>
      <w:r w:rsidR="003E0E54" w:rsidRPr="00864B25">
        <w:rPr>
          <w:rFonts w:ascii="Times New Roman" w:hAnsi="Times New Roman" w:cs="Times New Roman"/>
          <w:sz w:val="24"/>
          <w:szCs w:val="24"/>
        </w:rPr>
        <w:t>(7-8), 566-569. doi: 10.1002/hup.1155</w:t>
      </w:r>
    </w:p>
    <w:p w14:paraId="7E3248E0" w14:textId="2A77C8E7" w:rsidR="003E0E54" w:rsidRPr="00864B25" w:rsidRDefault="009E251E" w:rsidP="00864B25">
      <w:pPr>
        <w:pStyle w:val="EndNoteBibliography"/>
        <w:spacing w:line="480" w:lineRule="auto"/>
        <w:ind w:left="720" w:hanging="720"/>
        <w:jc w:val="left"/>
        <w:rPr>
          <w:rFonts w:ascii="Times New Roman" w:hAnsi="Times New Roman" w:cs="Times New Roman"/>
          <w:sz w:val="24"/>
          <w:szCs w:val="24"/>
        </w:rPr>
      </w:pPr>
      <w:r>
        <w:rPr>
          <w:rFonts w:ascii="Times New Roman" w:hAnsi="Times New Roman" w:cs="Times New Roman"/>
          <w:sz w:val="24"/>
          <w:szCs w:val="24"/>
        </w:rPr>
        <w:t>184</w:t>
      </w:r>
      <w:r>
        <w:rPr>
          <w:rFonts w:ascii="Times New Roman" w:hAnsi="Times New Roman" w:cs="Times New Roman"/>
          <w:sz w:val="24"/>
          <w:szCs w:val="24"/>
        </w:rPr>
        <w:tab/>
      </w:r>
      <w:bookmarkStart w:id="0" w:name="_GoBack"/>
      <w:bookmarkEnd w:id="0"/>
      <w:r w:rsidR="003E0E54" w:rsidRPr="00864B25">
        <w:rPr>
          <w:rFonts w:ascii="Times New Roman" w:hAnsi="Times New Roman" w:cs="Times New Roman"/>
          <w:sz w:val="24"/>
          <w:szCs w:val="24"/>
        </w:rPr>
        <w:t xml:space="preserve">Zoga, M., Oulis, P., Chatzipanagiotou, S., Masdrakis, V. G., Pliatsika, P., Boufidou, F., . . . Papageorgiou, C. (2014). Indoleamine 2,3-dioxygenase and immune changes under antidepressive treatment in major depression in females. </w:t>
      </w:r>
      <w:r w:rsidR="003E0E54" w:rsidRPr="00864B25">
        <w:rPr>
          <w:rFonts w:ascii="Times New Roman" w:hAnsi="Times New Roman" w:cs="Times New Roman"/>
          <w:i/>
          <w:sz w:val="24"/>
          <w:szCs w:val="24"/>
        </w:rPr>
        <w:t>In Vivo (Athens, Greece), 28</w:t>
      </w:r>
      <w:r w:rsidR="003E0E54" w:rsidRPr="00864B25">
        <w:rPr>
          <w:rFonts w:ascii="Times New Roman" w:hAnsi="Times New Roman" w:cs="Times New Roman"/>
          <w:sz w:val="24"/>
          <w:szCs w:val="24"/>
        </w:rPr>
        <w:t xml:space="preserve">(4), 633-638. </w:t>
      </w:r>
    </w:p>
    <w:p w14:paraId="21676E92" w14:textId="1C85AB83" w:rsidR="00822905" w:rsidRPr="00864B25" w:rsidRDefault="00822905" w:rsidP="00864B25">
      <w:pPr>
        <w:widowControl/>
        <w:wordWrap/>
        <w:autoSpaceDE/>
        <w:autoSpaceDN/>
        <w:spacing w:after="0" w:line="480" w:lineRule="auto"/>
        <w:jc w:val="left"/>
        <w:rPr>
          <w:rFonts w:ascii="Times New Roman" w:hAnsi="Times New Roman" w:cs="Times New Roman"/>
          <w:b/>
          <w:sz w:val="24"/>
          <w:szCs w:val="24"/>
        </w:rPr>
      </w:pPr>
    </w:p>
    <w:sectPr w:rsidR="00822905" w:rsidRPr="00864B25" w:rsidSect="00252D7A">
      <w:type w:val="continuous"/>
      <w:pgSz w:w="11906" w:h="16838"/>
      <w:pgMar w:top="993" w:right="1440" w:bottom="1440" w:left="1440" w:header="851" w:footer="163"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66B54" w14:textId="77777777" w:rsidR="0062100E" w:rsidRDefault="0062100E" w:rsidP="008662B2">
      <w:pPr>
        <w:spacing w:after="0" w:line="240" w:lineRule="auto"/>
      </w:pPr>
      <w:r>
        <w:separator/>
      </w:r>
    </w:p>
  </w:endnote>
  <w:endnote w:type="continuationSeparator" w:id="0">
    <w:p w14:paraId="51003520" w14:textId="77777777" w:rsidR="0062100E" w:rsidRDefault="0062100E" w:rsidP="00866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849216"/>
      <w:docPartObj>
        <w:docPartGallery w:val="Page Numbers (Bottom of Page)"/>
        <w:docPartUnique/>
      </w:docPartObj>
    </w:sdtPr>
    <w:sdtEndPr>
      <w:rPr>
        <w:rFonts w:ascii="Times New Roman" w:hAnsi="Times New Roman" w:cs="Times New Roman"/>
      </w:rPr>
    </w:sdtEndPr>
    <w:sdtContent>
      <w:p w14:paraId="4015F21A" w14:textId="60EB1A92" w:rsidR="00BD6DE5" w:rsidRPr="00FE53AE" w:rsidRDefault="00BD6DE5">
        <w:pPr>
          <w:pStyle w:val="a4"/>
          <w:jc w:val="center"/>
          <w:rPr>
            <w:rFonts w:ascii="Times New Roman" w:hAnsi="Times New Roman" w:cs="Times New Roman"/>
          </w:rPr>
        </w:pPr>
        <w:r w:rsidRPr="00FE53AE">
          <w:rPr>
            <w:rFonts w:ascii="Times New Roman" w:hAnsi="Times New Roman" w:cs="Times New Roman"/>
          </w:rPr>
          <w:fldChar w:fldCharType="begin"/>
        </w:r>
        <w:r w:rsidRPr="00FE53AE">
          <w:rPr>
            <w:rFonts w:ascii="Times New Roman" w:hAnsi="Times New Roman" w:cs="Times New Roman"/>
          </w:rPr>
          <w:instrText>PAGE   \* MERGEFORMAT</w:instrText>
        </w:r>
        <w:r w:rsidRPr="00FE53AE">
          <w:rPr>
            <w:rFonts w:ascii="Times New Roman" w:hAnsi="Times New Roman" w:cs="Times New Roman"/>
          </w:rPr>
          <w:fldChar w:fldCharType="separate"/>
        </w:r>
        <w:r w:rsidR="00376693" w:rsidRPr="00376693">
          <w:rPr>
            <w:rFonts w:ascii="Times New Roman" w:hAnsi="Times New Roman" w:cs="Times New Roman"/>
            <w:noProof/>
            <w:lang w:val="ko-KR"/>
          </w:rPr>
          <w:t>42</w:t>
        </w:r>
        <w:r w:rsidRPr="00FE53AE">
          <w:rPr>
            <w:rFonts w:ascii="Times New Roman" w:hAnsi="Times New Roman" w:cs="Times New Roman"/>
          </w:rPr>
          <w:fldChar w:fldCharType="end"/>
        </w:r>
      </w:p>
    </w:sdtContent>
  </w:sdt>
  <w:p w14:paraId="24F5A5B1" w14:textId="77777777" w:rsidR="00BD6DE5" w:rsidRDefault="00BD6DE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5587E" w14:textId="77777777" w:rsidR="0062100E" w:rsidRDefault="0062100E" w:rsidP="008662B2">
      <w:pPr>
        <w:spacing w:after="0" w:line="240" w:lineRule="auto"/>
      </w:pPr>
      <w:r>
        <w:separator/>
      </w:r>
    </w:p>
  </w:footnote>
  <w:footnote w:type="continuationSeparator" w:id="0">
    <w:p w14:paraId="3324C64E" w14:textId="77777777" w:rsidR="0062100E" w:rsidRDefault="0062100E" w:rsidP="008662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en-US" w:vendorID="64" w:dllVersion="0" w:nlCheck="1" w:checkStyle="0"/>
  <w:activeWritingStyle w:appName="MSWord" w:lang="ko-KR" w:vendorID="64" w:dllVersion="0"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131078" w:nlCheck="1" w:checkStyle="0"/>
  <w:activeWritingStyle w:appName="MSWord" w:lang="en-CA" w:vendorID="64" w:dllVersion="131078" w:nlCheck="1" w:checkStyle="0"/>
  <w:activeWritingStyle w:appName="MSWord" w:lang="ko-KR" w:vendorID="64" w:dllVersion="131077" w:nlCheck="1" w:checkStyle="1"/>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wtjCzNAMCYyNLEyUdpeDU4uLM/DyQAiOTWgBW1Xw3LQAAAA=="/>
    <w:docVar w:name="EN.InstantFormat" w:val="&lt;ENInstantFormat&gt;&lt;Enabled&gt;1&lt;/Enabled&gt;&lt;ScanUnformatted&gt;1&lt;/ScanUnformatted&gt;&lt;ScanChanges&gt;1&lt;/ScanChanges&gt;&lt;Suspended&gt;0&lt;/Suspended&gt;&lt;/ENInstantFormat&gt;"/>
    <w:docVar w:name="EN.Layout" w:val="&lt;ENLayout&gt;&lt;Style&gt;Psychological Medicine&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r20px5w5e90werdv2xp0v4sdxtfxzt5adf&quot;&gt;My EndNote Library_TM&lt;record-ids&gt;&lt;item&gt;218&lt;/item&gt;&lt;item&gt;985&lt;/item&gt;&lt;item&gt;1000&lt;/item&gt;&lt;item&gt;1002&lt;/item&gt;&lt;item&gt;1003&lt;/item&gt;&lt;item&gt;1004&lt;/item&gt;&lt;item&gt;1007&lt;/item&gt;&lt;item&gt;1008&lt;/item&gt;&lt;item&gt;1009&lt;/item&gt;&lt;item&gt;1011&lt;/item&gt;&lt;item&gt;1012&lt;/item&gt;&lt;item&gt;1013&lt;/item&gt;&lt;item&gt;1015&lt;/item&gt;&lt;item&gt;1016&lt;/item&gt;&lt;item&gt;1019&lt;/item&gt;&lt;item&gt;1020&lt;/item&gt;&lt;item&gt;1021&lt;/item&gt;&lt;item&gt;1022&lt;/item&gt;&lt;item&gt;1023&lt;/item&gt;&lt;item&gt;1024&lt;/item&gt;&lt;item&gt;1025&lt;/item&gt;&lt;item&gt;1026&lt;/item&gt;&lt;item&gt;1027&lt;/item&gt;&lt;item&gt;1029&lt;/item&gt;&lt;item&gt;1030&lt;/item&gt;&lt;item&gt;1031&lt;/item&gt;&lt;item&gt;1032&lt;/item&gt;&lt;item&gt;1033&lt;/item&gt;&lt;item&gt;1034&lt;/item&gt;&lt;item&gt;1035&lt;/item&gt;&lt;item&gt;1037&lt;/item&gt;&lt;item&gt;1038&lt;/item&gt;&lt;item&gt;1039&lt;/item&gt;&lt;item&gt;1040&lt;/item&gt;&lt;item&gt;1041&lt;/item&gt;&lt;item&gt;1042&lt;/item&gt;&lt;item&gt;1043&lt;/item&gt;&lt;item&gt;1044&lt;/item&gt;&lt;item&gt;1045&lt;/item&gt;&lt;item&gt;1046&lt;/item&gt;&lt;item&gt;1048&lt;/item&gt;&lt;item&gt;1049&lt;/item&gt;&lt;item&gt;1052&lt;/item&gt;&lt;item&gt;1053&lt;/item&gt;&lt;item&gt;1054&lt;/item&gt;&lt;item&gt;1055&lt;/item&gt;&lt;item&gt;1056&lt;/item&gt;&lt;item&gt;1057&lt;/item&gt;&lt;item&gt;1058&lt;/item&gt;&lt;item&gt;1059&lt;/item&gt;&lt;item&gt;1060&lt;/item&gt;&lt;item&gt;1061&lt;/item&gt;&lt;item&gt;1062&lt;/item&gt;&lt;item&gt;1063&lt;/item&gt;&lt;item&gt;1064&lt;/item&gt;&lt;item&gt;1065&lt;/item&gt;&lt;item&gt;1067&lt;/item&gt;&lt;item&gt;1068&lt;/item&gt;&lt;item&gt;1069&lt;/item&gt;&lt;item&gt;1070&lt;/item&gt;&lt;item&gt;1071&lt;/item&gt;&lt;item&gt;1072&lt;/item&gt;&lt;item&gt;1073&lt;/item&gt;&lt;item&gt;1074&lt;/item&gt;&lt;item&gt;1075&lt;/item&gt;&lt;item&gt;1076&lt;/item&gt;&lt;item&gt;1077&lt;/item&gt;&lt;item&gt;1078&lt;/item&gt;&lt;item&gt;1079&lt;/item&gt;&lt;item&gt;1080&lt;/item&gt;&lt;item&gt;1081&lt;/item&gt;&lt;item&gt;1083&lt;/item&gt;&lt;item&gt;1084&lt;/item&gt;&lt;item&gt;1085&lt;/item&gt;&lt;item&gt;1086&lt;/item&gt;&lt;item&gt;1087&lt;/item&gt;&lt;item&gt;1088&lt;/item&gt;&lt;item&gt;1089&lt;/item&gt;&lt;item&gt;1090&lt;/item&gt;&lt;item&gt;1091&lt;/item&gt;&lt;item&gt;1092&lt;/item&gt;&lt;item&gt;1093&lt;/item&gt;&lt;item&gt;1094&lt;/item&gt;&lt;item&gt;1095&lt;/item&gt;&lt;item&gt;1096&lt;/item&gt;&lt;item&gt;1098&lt;/item&gt;&lt;item&gt;1099&lt;/item&gt;&lt;item&gt;1100&lt;/item&gt;&lt;item&gt;1101&lt;/item&gt;&lt;item&gt;1102&lt;/item&gt;&lt;item&gt;1103&lt;/item&gt;&lt;item&gt;1104&lt;/item&gt;&lt;item&gt;1105&lt;/item&gt;&lt;item&gt;1106&lt;/item&gt;&lt;item&gt;1107&lt;/item&gt;&lt;item&gt;1108&lt;/item&gt;&lt;item&gt;1109&lt;/item&gt;&lt;item&gt;1110&lt;/item&gt;&lt;item&gt;1111&lt;/item&gt;&lt;item&gt;1115&lt;/item&gt;&lt;item&gt;1119&lt;/item&gt;&lt;item&gt;1120&lt;/item&gt;&lt;item&gt;1121&lt;/item&gt;&lt;item&gt;1122&lt;/item&gt;&lt;item&gt;1123&lt;/item&gt;&lt;item&gt;1125&lt;/item&gt;&lt;item&gt;1126&lt;/item&gt;&lt;item&gt;1127&lt;/item&gt;&lt;item&gt;1128&lt;/item&gt;&lt;item&gt;1155&lt;/item&gt;&lt;item&gt;1156&lt;/item&gt;&lt;item&gt;1159&lt;/item&gt;&lt;item&gt;1160&lt;/item&gt;&lt;item&gt;1161&lt;/item&gt;&lt;item&gt;1162&lt;/item&gt;&lt;item&gt;1163&lt;/item&gt;&lt;item&gt;1164&lt;/item&gt;&lt;item&gt;1165&lt;/item&gt;&lt;item&gt;1166&lt;/item&gt;&lt;item&gt;1167&lt;/item&gt;&lt;item&gt;1168&lt;/item&gt;&lt;item&gt;1170&lt;/item&gt;&lt;item&gt;1171&lt;/item&gt;&lt;item&gt;1172&lt;/item&gt;&lt;item&gt;1173&lt;/item&gt;&lt;item&gt;1174&lt;/item&gt;&lt;item&gt;1175&lt;/item&gt;&lt;item&gt;1176&lt;/item&gt;&lt;item&gt;1177&lt;/item&gt;&lt;item&gt;1178&lt;/item&gt;&lt;item&gt;1179&lt;/item&gt;&lt;item&gt;1180&lt;/item&gt;&lt;item&gt;1181&lt;/item&gt;&lt;item&gt;1182&lt;/item&gt;&lt;item&gt;1183&lt;/item&gt;&lt;item&gt;1184&lt;/item&gt;&lt;item&gt;1185&lt;/item&gt;&lt;item&gt;1186&lt;/item&gt;&lt;item&gt;1187&lt;/item&gt;&lt;item&gt;1188&lt;/item&gt;&lt;item&gt;1189&lt;/item&gt;&lt;item&gt;1190&lt;/item&gt;&lt;item&gt;1191&lt;/item&gt;&lt;item&gt;1192&lt;/item&gt;&lt;item&gt;1193&lt;/item&gt;&lt;item&gt;1194&lt;/item&gt;&lt;item&gt;1195&lt;/item&gt;&lt;item&gt;1196&lt;/item&gt;&lt;item&gt;1197&lt;/item&gt;&lt;item&gt;1198&lt;/item&gt;&lt;item&gt;1199&lt;/item&gt;&lt;item&gt;1200&lt;/item&gt;&lt;item&gt;1201&lt;/item&gt;&lt;item&gt;1202&lt;/item&gt;&lt;item&gt;1206&lt;/item&gt;&lt;item&gt;1303&lt;/item&gt;&lt;item&gt;1304&lt;/item&gt;&lt;item&gt;1312&lt;/item&gt;&lt;item&gt;1313&lt;/item&gt;&lt;item&gt;1314&lt;/item&gt;&lt;item&gt;1315&lt;/item&gt;&lt;item&gt;1316&lt;/item&gt;&lt;item&gt;1317&lt;/item&gt;&lt;item&gt;1318&lt;/item&gt;&lt;item&gt;1319&lt;/item&gt;&lt;item&gt;1325&lt;/item&gt;&lt;item&gt;1326&lt;/item&gt;&lt;item&gt;1327&lt;/item&gt;&lt;item&gt;1328&lt;/item&gt;&lt;item&gt;1331&lt;/item&gt;&lt;item&gt;1332&lt;/item&gt;&lt;item&gt;1333&lt;/item&gt;&lt;item&gt;1334&lt;/item&gt;&lt;item&gt;1335&lt;/item&gt;&lt;item&gt;1336&lt;/item&gt;&lt;item&gt;1337&lt;/item&gt;&lt;item&gt;1339&lt;/item&gt;&lt;item&gt;1340&lt;/item&gt;&lt;item&gt;1341&lt;/item&gt;&lt;item&gt;1342&lt;/item&gt;&lt;item&gt;1343&lt;/item&gt;&lt;item&gt;1344&lt;/item&gt;&lt;item&gt;1345&lt;/item&gt;&lt;item&gt;1346&lt;/item&gt;&lt;/record-ids&gt;&lt;/item&gt;&lt;/Libraries&gt;"/>
  </w:docVars>
  <w:rsids>
    <w:rsidRoot w:val="00B53F10"/>
    <w:rsid w:val="00005574"/>
    <w:rsid w:val="00012729"/>
    <w:rsid w:val="0002042F"/>
    <w:rsid w:val="00046E36"/>
    <w:rsid w:val="00096EE7"/>
    <w:rsid w:val="000C3A7D"/>
    <w:rsid w:val="000D19A2"/>
    <w:rsid w:val="000D6D15"/>
    <w:rsid w:val="000F1F5A"/>
    <w:rsid w:val="000F6CF8"/>
    <w:rsid w:val="00107566"/>
    <w:rsid w:val="00110AED"/>
    <w:rsid w:val="00110F05"/>
    <w:rsid w:val="001147C9"/>
    <w:rsid w:val="001377EB"/>
    <w:rsid w:val="00165D63"/>
    <w:rsid w:val="0017357A"/>
    <w:rsid w:val="001E0FAE"/>
    <w:rsid w:val="00216866"/>
    <w:rsid w:val="0022146E"/>
    <w:rsid w:val="002233D3"/>
    <w:rsid w:val="00224FEB"/>
    <w:rsid w:val="00236992"/>
    <w:rsid w:val="00237CF7"/>
    <w:rsid w:val="00237FFD"/>
    <w:rsid w:val="00243B7C"/>
    <w:rsid w:val="0024559B"/>
    <w:rsid w:val="00252D7A"/>
    <w:rsid w:val="00262EB3"/>
    <w:rsid w:val="00282553"/>
    <w:rsid w:val="0029532A"/>
    <w:rsid w:val="002B194F"/>
    <w:rsid w:val="002E1B3A"/>
    <w:rsid w:val="002F4D7F"/>
    <w:rsid w:val="002F6209"/>
    <w:rsid w:val="003005F5"/>
    <w:rsid w:val="0030322B"/>
    <w:rsid w:val="0030593E"/>
    <w:rsid w:val="0031435D"/>
    <w:rsid w:val="0033455C"/>
    <w:rsid w:val="003462D2"/>
    <w:rsid w:val="0035296A"/>
    <w:rsid w:val="00375A0B"/>
    <w:rsid w:val="00376693"/>
    <w:rsid w:val="00377DD8"/>
    <w:rsid w:val="003840DD"/>
    <w:rsid w:val="00387ED5"/>
    <w:rsid w:val="0039187A"/>
    <w:rsid w:val="003D2F20"/>
    <w:rsid w:val="003E0E54"/>
    <w:rsid w:val="003F284C"/>
    <w:rsid w:val="0042627A"/>
    <w:rsid w:val="004301AF"/>
    <w:rsid w:val="00430AF5"/>
    <w:rsid w:val="004622E5"/>
    <w:rsid w:val="004670D8"/>
    <w:rsid w:val="00482861"/>
    <w:rsid w:val="00490B71"/>
    <w:rsid w:val="004945EE"/>
    <w:rsid w:val="004F46B2"/>
    <w:rsid w:val="005004F1"/>
    <w:rsid w:val="005009EB"/>
    <w:rsid w:val="00505439"/>
    <w:rsid w:val="00506927"/>
    <w:rsid w:val="005305FF"/>
    <w:rsid w:val="0054021A"/>
    <w:rsid w:val="00550BF8"/>
    <w:rsid w:val="00557027"/>
    <w:rsid w:val="00574E13"/>
    <w:rsid w:val="006018FB"/>
    <w:rsid w:val="00606F7B"/>
    <w:rsid w:val="0062100E"/>
    <w:rsid w:val="00625037"/>
    <w:rsid w:val="00637686"/>
    <w:rsid w:val="006508D1"/>
    <w:rsid w:val="00654B58"/>
    <w:rsid w:val="00677FAF"/>
    <w:rsid w:val="00682007"/>
    <w:rsid w:val="006B156F"/>
    <w:rsid w:val="006C3FDE"/>
    <w:rsid w:val="006E1E6B"/>
    <w:rsid w:val="006F11A9"/>
    <w:rsid w:val="0070627E"/>
    <w:rsid w:val="0073496F"/>
    <w:rsid w:val="00743A4B"/>
    <w:rsid w:val="0074596E"/>
    <w:rsid w:val="00763B4C"/>
    <w:rsid w:val="007713AF"/>
    <w:rsid w:val="007D173B"/>
    <w:rsid w:val="00822905"/>
    <w:rsid w:val="00840736"/>
    <w:rsid w:val="00864B25"/>
    <w:rsid w:val="008662B2"/>
    <w:rsid w:val="00883302"/>
    <w:rsid w:val="008834DA"/>
    <w:rsid w:val="008860A8"/>
    <w:rsid w:val="0088667C"/>
    <w:rsid w:val="0089661C"/>
    <w:rsid w:val="008E0769"/>
    <w:rsid w:val="008E2DCC"/>
    <w:rsid w:val="008F0A30"/>
    <w:rsid w:val="009022E5"/>
    <w:rsid w:val="009035ED"/>
    <w:rsid w:val="009263B6"/>
    <w:rsid w:val="00936A21"/>
    <w:rsid w:val="00950809"/>
    <w:rsid w:val="00954A29"/>
    <w:rsid w:val="009838E0"/>
    <w:rsid w:val="009C3AA8"/>
    <w:rsid w:val="009C5EB3"/>
    <w:rsid w:val="009D13A4"/>
    <w:rsid w:val="009E251E"/>
    <w:rsid w:val="009F6439"/>
    <w:rsid w:val="00A006CF"/>
    <w:rsid w:val="00A0695D"/>
    <w:rsid w:val="00A740AB"/>
    <w:rsid w:val="00A77399"/>
    <w:rsid w:val="00AC31FA"/>
    <w:rsid w:val="00AC35AF"/>
    <w:rsid w:val="00AF552B"/>
    <w:rsid w:val="00B065B3"/>
    <w:rsid w:val="00B26476"/>
    <w:rsid w:val="00B4063D"/>
    <w:rsid w:val="00B50631"/>
    <w:rsid w:val="00B53F10"/>
    <w:rsid w:val="00B661D2"/>
    <w:rsid w:val="00B902E6"/>
    <w:rsid w:val="00B91BB8"/>
    <w:rsid w:val="00BD0592"/>
    <w:rsid w:val="00BD6DE5"/>
    <w:rsid w:val="00BE44C5"/>
    <w:rsid w:val="00BE515D"/>
    <w:rsid w:val="00C2181C"/>
    <w:rsid w:val="00C36C1D"/>
    <w:rsid w:val="00C45071"/>
    <w:rsid w:val="00C5400A"/>
    <w:rsid w:val="00C62FB6"/>
    <w:rsid w:val="00C71A8D"/>
    <w:rsid w:val="00C73E4F"/>
    <w:rsid w:val="00C905E9"/>
    <w:rsid w:val="00CA424B"/>
    <w:rsid w:val="00CA4314"/>
    <w:rsid w:val="00CA442B"/>
    <w:rsid w:val="00CD304F"/>
    <w:rsid w:val="00CD4C19"/>
    <w:rsid w:val="00CE05E5"/>
    <w:rsid w:val="00CE3778"/>
    <w:rsid w:val="00D20C50"/>
    <w:rsid w:val="00D46A70"/>
    <w:rsid w:val="00D55565"/>
    <w:rsid w:val="00D633C5"/>
    <w:rsid w:val="00D67D7B"/>
    <w:rsid w:val="00D7719E"/>
    <w:rsid w:val="00DB2804"/>
    <w:rsid w:val="00DC2436"/>
    <w:rsid w:val="00DF0A1C"/>
    <w:rsid w:val="00DF26D4"/>
    <w:rsid w:val="00E06DA9"/>
    <w:rsid w:val="00E153FE"/>
    <w:rsid w:val="00E259A7"/>
    <w:rsid w:val="00E5375C"/>
    <w:rsid w:val="00E64DBE"/>
    <w:rsid w:val="00E72CB1"/>
    <w:rsid w:val="00E745A8"/>
    <w:rsid w:val="00EC3E31"/>
    <w:rsid w:val="00EE6BC5"/>
    <w:rsid w:val="00F177CA"/>
    <w:rsid w:val="00F26867"/>
    <w:rsid w:val="00F3499A"/>
    <w:rsid w:val="00FB3298"/>
    <w:rsid w:val="00FC3A79"/>
    <w:rsid w:val="00FE53AE"/>
    <w:rsid w:val="00FF71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A60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3F10"/>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62B2"/>
    <w:pPr>
      <w:tabs>
        <w:tab w:val="center" w:pos="4513"/>
        <w:tab w:val="right" w:pos="9026"/>
      </w:tabs>
      <w:snapToGrid w:val="0"/>
    </w:pPr>
  </w:style>
  <w:style w:type="character" w:customStyle="1" w:styleId="Char">
    <w:name w:val="머리글 Char"/>
    <w:basedOn w:val="a0"/>
    <w:link w:val="a3"/>
    <w:uiPriority w:val="99"/>
    <w:rsid w:val="008662B2"/>
  </w:style>
  <w:style w:type="paragraph" w:styleId="a4">
    <w:name w:val="footer"/>
    <w:basedOn w:val="a"/>
    <w:link w:val="Char0"/>
    <w:uiPriority w:val="99"/>
    <w:unhideWhenUsed/>
    <w:rsid w:val="008662B2"/>
    <w:pPr>
      <w:tabs>
        <w:tab w:val="center" w:pos="4513"/>
        <w:tab w:val="right" w:pos="9026"/>
      </w:tabs>
      <w:snapToGrid w:val="0"/>
    </w:pPr>
  </w:style>
  <w:style w:type="character" w:customStyle="1" w:styleId="Char0">
    <w:name w:val="바닥글 Char"/>
    <w:basedOn w:val="a0"/>
    <w:link w:val="a4"/>
    <w:uiPriority w:val="99"/>
    <w:rsid w:val="008662B2"/>
  </w:style>
  <w:style w:type="paragraph" w:customStyle="1" w:styleId="EndNoteBibliographyTitle">
    <w:name w:val="EndNote Bibliography Title"/>
    <w:basedOn w:val="a"/>
    <w:link w:val="EndNoteBibliographyTitleChar"/>
    <w:rsid w:val="006C3FDE"/>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6C3FDE"/>
    <w:rPr>
      <w:rFonts w:ascii="맑은 고딕" w:eastAsia="맑은 고딕" w:hAnsi="맑은 고딕"/>
      <w:noProof/>
    </w:rPr>
  </w:style>
  <w:style w:type="paragraph" w:customStyle="1" w:styleId="EndNoteBibliography">
    <w:name w:val="EndNote Bibliography"/>
    <w:basedOn w:val="a"/>
    <w:link w:val="EndNoteBibliographyChar"/>
    <w:rsid w:val="006C3FDE"/>
    <w:pPr>
      <w:spacing w:line="240" w:lineRule="auto"/>
      <w:jc w:val="center"/>
    </w:pPr>
    <w:rPr>
      <w:rFonts w:ascii="맑은 고딕" w:eastAsia="맑은 고딕" w:hAnsi="맑은 고딕"/>
      <w:noProof/>
    </w:rPr>
  </w:style>
  <w:style w:type="character" w:customStyle="1" w:styleId="EndNoteBibliographyChar">
    <w:name w:val="EndNote Bibliography Char"/>
    <w:basedOn w:val="a0"/>
    <w:link w:val="EndNoteBibliography"/>
    <w:rsid w:val="006C3FDE"/>
    <w:rPr>
      <w:rFonts w:ascii="맑은 고딕" w:eastAsia="맑은 고딕" w:hAnsi="맑은 고딕"/>
      <w:noProof/>
    </w:rPr>
  </w:style>
  <w:style w:type="character" w:styleId="a5">
    <w:name w:val="annotation reference"/>
    <w:basedOn w:val="a0"/>
    <w:uiPriority w:val="99"/>
    <w:semiHidden/>
    <w:unhideWhenUsed/>
    <w:rsid w:val="002F6209"/>
    <w:rPr>
      <w:sz w:val="16"/>
      <w:szCs w:val="16"/>
    </w:rPr>
  </w:style>
  <w:style w:type="paragraph" w:styleId="a6">
    <w:name w:val="annotation text"/>
    <w:basedOn w:val="a"/>
    <w:link w:val="Char1"/>
    <w:uiPriority w:val="99"/>
    <w:semiHidden/>
    <w:unhideWhenUsed/>
    <w:rsid w:val="002F6209"/>
    <w:pPr>
      <w:spacing w:line="240" w:lineRule="auto"/>
    </w:pPr>
    <w:rPr>
      <w:szCs w:val="20"/>
    </w:rPr>
  </w:style>
  <w:style w:type="character" w:customStyle="1" w:styleId="Char1">
    <w:name w:val="메모 텍스트 Char"/>
    <w:basedOn w:val="a0"/>
    <w:link w:val="a6"/>
    <w:uiPriority w:val="99"/>
    <w:semiHidden/>
    <w:rsid w:val="002F6209"/>
    <w:rPr>
      <w:szCs w:val="20"/>
    </w:rPr>
  </w:style>
  <w:style w:type="paragraph" w:styleId="a7">
    <w:name w:val="annotation subject"/>
    <w:basedOn w:val="a6"/>
    <w:next w:val="a6"/>
    <w:link w:val="Char2"/>
    <w:uiPriority w:val="99"/>
    <w:semiHidden/>
    <w:unhideWhenUsed/>
    <w:rsid w:val="002F6209"/>
    <w:rPr>
      <w:b/>
      <w:bCs/>
    </w:rPr>
  </w:style>
  <w:style w:type="character" w:customStyle="1" w:styleId="Char2">
    <w:name w:val="메모 주제 Char"/>
    <w:basedOn w:val="Char1"/>
    <w:link w:val="a7"/>
    <w:uiPriority w:val="99"/>
    <w:semiHidden/>
    <w:rsid w:val="002F6209"/>
    <w:rPr>
      <w:b/>
      <w:bCs/>
      <w:szCs w:val="20"/>
    </w:rPr>
  </w:style>
  <w:style w:type="paragraph" w:styleId="a8">
    <w:name w:val="Balloon Text"/>
    <w:basedOn w:val="a"/>
    <w:link w:val="Char3"/>
    <w:uiPriority w:val="99"/>
    <w:semiHidden/>
    <w:unhideWhenUsed/>
    <w:rsid w:val="002F6209"/>
    <w:pPr>
      <w:spacing w:after="0" w:line="240" w:lineRule="auto"/>
    </w:pPr>
    <w:rPr>
      <w:rFonts w:ascii="Segoe UI" w:hAnsi="Segoe UI" w:cs="Segoe UI"/>
      <w:sz w:val="18"/>
      <w:szCs w:val="18"/>
    </w:rPr>
  </w:style>
  <w:style w:type="character" w:customStyle="1" w:styleId="Char3">
    <w:name w:val="풍선 도움말 텍스트 Char"/>
    <w:basedOn w:val="a0"/>
    <w:link w:val="a8"/>
    <w:uiPriority w:val="99"/>
    <w:semiHidden/>
    <w:rsid w:val="002F6209"/>
    <w:rPr>
      <w:rFonts w:ascii="Segoe UI" w:hAnsi="Segoe UI" w:cs="Segoe UI"/>
      <w:sz w:val="18"/>
      <w:szCs w:val="18"/>
    </w:rPr>
  </w:style>
  <w:style w:type="character" w:styleId="a9">
    <w:name w:val="Hyperlink"/>
    <w:basedOn w:val="a0"/>
    <w:uiPriority w:val="99"/>
    <w:unhideWhenUsed/>
    <w:rsid w:val="00EE6BC5"/>
    <w:rPr>
      <w:color w:val="0563C1" w:themeColor="hyperlink"/>
      <w:u w:val="single"/>
    </w:rPr>
  </w:style>
  <w:style w:type="character" w:customStyle="1" w:styleId="UnresolvedMention1">
    <w:name w:val="Unresolved Mention1"/>
    <w:basedOn w:val="a0"/>
    <w:uiPriority w:val="99"/>
    <w:semiHidden/>
    <w:unhideWhenUsed/>
    <w:rsid w:val="00EE6BC5"/>
    <w:rPr>
      <w:color w:val="605E5C"/>
      <w:shd w:val="clear" w:color="auto" w:fill="E1DFDD"/>
    </w:rPr>
  </w:style>
  <w:style w:type="paragraph" w:customStyle="1" w:styleId="Default">
    <w:name w:val="Default"/>
    <w:rsid w:val="00CA442B"/>
    <w:pPr>
      <w:widowControl w:val="0"/>
      <w:autoSpaceDE w:val="0"/>
      <w:autoSpaceDN w:val="0"/>
      <w:adjustRightInd w:val="0"/>
      <w:spacing w:after="0" w:line="240" w:lineRule="auto"/>
      <w:jc w:val="left"/>
    </w:pPr>
    <w:rPr>
      <w:rFonts w:ascii="Calibri" w:eastAsia="맑은 고딕" w:hAnsi="Calibri" w:cs="Calibri"/>
      <w:color w:val="000000"/>
      <w:kern w:val="0"/>
      <w:sz w:val="24"/>
      <w:szCs w:val="24"/>
      <w:lang w:val="en-CA" w:eastAsia="en-CA"/>
    </w:rPr>
  </w:style>
  <w:style w:type="paragraph" w:styleId="aa">
    <w:name w:val="Body Text"/>
    <w:basedOn w:val="a"/>
    <w:link w:val="Char4"/>
    <w:uiPriority w:val="99"/>
    <w:semiHidden/>
    <w:unhideWhenUsed/>
    <w:rsid w:val="00FC3A79"/>
    <w:pPr>
      <w:spacing w:after="180"/>
    </w:pPr>
  </w:style>
  <w:style w:type="character" w:customStyle="1" w:styleId="Char4">
    <w:name w:val="본문 Char"/>
    <w:basedOn w:val="a0"/>
    <w:link w:val="aa"/>
    <w:uiPriority w:val="99"/>
    <w:semiHidden/>
    <w:rsid w:val="00FC3A79"/>
  </w:style>
  <w:style w:type="paragraph" w:customStyle="1" w:styleId="TableParagraph">
    <w:name w:val="Table Paragraph"/>
    <w:basedOn w:val="a"/>
    <w:uiPriority w:val="1"/>
    <w:qFormat/>
    <w:rsid w:val="00FC3A79"/>
    <w:pPr>
      <w:wordWrap/>
      <w:adjustRightInd w:val="0"/>
      <w:spacing w:after="0" w:line="240" w:lineRule="auto"/>
      <w:ind w:left="107"/>
      <w:jc w:val="left"/>
    </w:pPr>
    <w:rPr>
      <w:rFonts w:ascii="Arial" w:hAnsi="Arial"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9412</Words>
  <Characters>53651</Characters>
  <Application>Microsoft Office Word</Application>
  <DocSecurity>0</DocSecurity>
  <Lines>447</Lines>
  <Paragraphs>125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2021-08-30T03:33:00Z</dcterms:created>
  <dcterms:modified xsi:type="dcterms:W3CDTF">2021-08-30T04:05:00Z</dcterms:modified>
</cp:coreProperties>
</file>