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A9604" w14:textId="77777777" w:rsidR="006D6A60" w:rsidRPr="009323B8" w:rsidRDefault="006D6A60" w:rsidP="006D6A60">
      <w:pPr>
        <w:spacing w:line="480" w:lineRule="auto"/>
        <w:jc w:val="center"/>
        <w:rPr>
          <w:b/>
          <w:bCs/>
          <w:i/>
          <w:iCs/>
        </w:rPr>
      </w:pPr>
      <w:r w:rsidRPr="009323B8">
        <w:rPr>
          <w:b/>
          <w:bCs/>
          <w:i/>
          <w:iCs/>
        </w:rPr>
        <w:t>Supplementary Information</w:t>
      </w:r>
    </w:p>
    <w:p w14:paraId="566A072C" w14:textId="77777777" w:rsidR="006D6A60" w:rsidRPr="009323B8" w:rsidRDefault="006D6A60" w:rsidP="006D6A60">
      <w:pPr>
        <w:spacing w:line="480" w:lineRule="auto"/>
        <w:rPr>
          <w:b/>
          <w:bCs/>
        </w:rPr>
      </w:pPr>
      <w:r w:rsidRPr="009323B8">
        <w:rPr>
          <w:b/>
          <w:bCs/>
        </w:rPr>
        <w:t xml:space="preserve">Supplementary Methods </w:t>
      </w:r>
    </w:p>
    <w:p w14:paraId="3CA1F628" w14:textId="5097F8C4" w:rsidR="006D6A60" w:rsidRPr="009323B8" w:rsidRDefault="006D6A60" w:rsidP="006D6A60">
      <w:pPr>
        <w:spacing w:line="480" w:lineRule="auto"/>
        <w:ind w:firstLine="360"/>
        <w:rPr>
          <w:rFonts w:eastAsiaTheme="minorHAnsi"/>
        </w:rPr>
      </w:pPr>
      <w:r w:rsidRPr="009323B8">
        <w:rPr>
          <w:i/>
          <w:iCs/>
        </w:rPr>
        <w:t>Imaging Procedures/Acquisition</w:t>
      </w:r>
      <w:r w:rsidRPr="009323B8">
        <w:t>.</w:t>
      </w:r>
      <w:r w:rsidRPr="009323B8">
        <w:rPr>
          <w:rFonts w:eastAsiaTheme="minorHAnsi"/>
        </w:rPr>
        <w:t xml:space="preserve"> Foam padding around the head, in addition to participant instruction, were used to reduce head motion during scanning. For each scan session, a T1-weighted image was obtained to allow for alignment. Additionally, one 8-minute T2*-weighted functional reverse spiral sequence scan (repetition time 2000ms, echo time 30ms, FA = 90, field of view 20 cm, 40 slices, 3.0mm/slice, 64×64 matrix) was collected for each subject, for a total of 240 volumes. After the functional </w:t>
      </w:r>
      <w:r w:rsidR="009323B8">
        <w:rPr>
          <w:rFonts w:eastAsiaTheme="minorHAnsi"/>
        </w:rPr>
        <w:t>“</w:t>
      </w:r>
      <w:r w:rsidRPr="009323B8">
        <w:rPr>
          <w:rFonts w:eastAsiaTheme="minorHAnsi"/>
        </w:rPr>
        <w:t xml:space="preserve">resting-state” scan, a high resolution T1 scan (spoiled gradient recall, 1.5 mm slices, 0 skip) was collected and later used for anatomic normalization. During resting-state acquisition, participants were instructed to keep their eyes open, fixate on a white crosshair on a black background, and “allow the mind to wander.” </w:t>
      </w:r>
    </w:p>
    <w:p w14:paraId="09EC49D5" w14:textId="5494DB6C" w:rsidR="000B146F" w:rsidRPr="009323B8" w:rsidRDefault="000B146F" w:rsidP="006D6A60">
      <w:pPr>
        <w:spacing w:line="480" w:lineRule="auto"/>
        <w:ind w:firstLine="360"/>
        <w:rPr>
          <w:color w:val="000000"/>
        </w:rPr>
      </w:pPr>
      <w:r w:rsidRPr="009323B8">
        <w:rPr>
          <w:rFonts w:eastAsiaTheme="minorHAnsi"/>
          <w:i/>
          <w:iCs/>
        </w:rPr>
        <w:t xml:space="preserve">Imaging Preprocessing. </w:t>
      </w:r>
      <w:r w:rsidRPr="009323B8">
        <w:rPr>
          <w:rFonts w:eastAsiaTheme="minorHAnsi"/>
        </w:rPr>
        <w:t xml:space="preserve">The functional images from each participant were slice-time-corrected, to account for different acquisition times, and were spatially realigned to the first volume, to correct for head motion. </w:t>
      </w:r>
      <w:r w:rsidRPr="009323B8">
        <w:rPr>
          <w:rFonts w:ascii="Courier New" w:eastAsiaTheme="minorHAnsi" w:hAnsi="Courier New" w:cs="Courier New"/>
        </w:rPr>
        <w:t>﻿</w:t>
      </w:r>
      <w:r w:rsidRPr="009323B8">
        <w:rPr>
          <w:rFonts w:eastAsiaTheme="minorHAnsi"/>
        </w:rPr>
        <w:t>Each individual’s high-resolution structural image was co-registered to the mean functional image. Five principal components derived from the segmented white matter and the cerebrospinal fluid images for each subject were regressed using the “CompCor” noise correction method (Behzadi, Restom, Liau, &amp; Liu, 2007). Additionally, to minimize motion-related noise, the Friston 24-parameter model (Friston, Williams, Howard, Frackowiak, &amp; Turner, 1996) was used to control for correlations resulting from in-scanner movement. Scrubbing was implemented for volumes with greater than 0.5mm of framewise-displacement (FD; Power, Barnes, Snyder, Schlaggar, &amp; Peterson, 2012).</w:t>
      </w:r>
      <w:r w:rsidR="009323B8">
        <w:rPr>
          <w:rFonts w:eastAsiaTheme="minorHAnsi"/>
        </w:rPr>
        <w:t xml:space="preserve"> A</w:t>
      </w:r>
      <w:r w:rsidRPr="009323B8">
        <w:rPr>
          <w:rFonts w:eastAsiaTheme="minorHAnsi"/>
        </w:rPr>
        <w:t xml:space="preserve"> minimum of three minutes of data were needed in order to be included in the analyses. An average of 7.76 minutes (SD = .54; range = 2.5) of data were included for each person across the sample, although the </w:t>
      </w:r>
      <w:r w:rsidRPr="009323B8">
        <w:rPr>
          <w:rFonts w:eastAsiaTheme="minorHAnsi"/>
        </w:rPr>
        <w:lastRenderedPageBreak/>
        <w:t xml:space="preserve">minutes did not have to be consecutive. There was no significant difference in the minutes of data used across groups, </w:t>
      </w:r>
      <w:r w:rsidRPr="009323B8">
        <w:rPr>
          <w:rFonts w:eastAsiaTheme="minorHAnsi"/>
          <w:i/>
          <w:iCs/>
        </w:rPr>
        <w:t>F</w:t>
      </w:r>
      <w:r w:rsidRPr="009323B8">
        <w:rPr>
          <w:rFonts w:eastAsiaTheme="minorHAnsi"/>
        </w:rPr>
        <w:t xml:space="preserve">(2,90) = 2.48, </w:t>
      </w:r>
      <w:r w:rsidRPr="009323B8">
        <w:rPr>
          <w:rFonts w:eastAsiaTheme="minorHAnsi"/>
          <w:i/>
          <w:iCs/>
        </w:rPr>
        <w:t>p</w:t>
      </w:r>
      <w:r w:rsidRPr="009323B8">
        <w:rPr>
          <w:rFonts w:eastAsiaTheme="minorHAnsi"/>
        </w:rPr>
        <w:t xml:space="preserve"> = .09.</w:t>
      </w:r>
      <w:r w:rsidRPr="009323B8">
        <w:rPr>
          <w:rFonts w:eastAsiaTheme="minorHAnsi"/>
          <w:i/>
          <w:iCs/>
        </w:rPr>
        <w:t xml:space="preserve"> </w:t>
      </w:r>
      <w:r w:rsidRPr="009323B8">
        <w:rPr>
          <w:rFonts w:eastAsiaTheme="minorHAnsi"/>
        </w:rPr>
        <w:t xml:space="preserve">Time-series data were band-pass filtered (0.01-0.1 Hz) using the DARTEL toolbox (Ashburner, 2007) in SPM and functional data were normalized from individual native space to </w:t>
      </w:r>
      <w:r w:rsidRPr="009323B8">
        <w:rPr>
          <w:rFonts w:ascii="Courier New" w:eastAsiaTheme="minorHAnsi" w:hAnsi="Courier New" w:cs="Courier New"/>
        </w:rPr>
        <w:t>﻿</w:t>
      </w:r>
      <w:r w:rsidRPr="009323B8">
        <w:rPr>
          <w:rFonts w:eastAsiaTheme="minorHAnsi"/>
        </w:rPr>
        <w:t>Montreal Neurological Institute (MNI) space (2mm voxel size) using the DARTEL toolbox (Ashburner, 2007) in SPM12. Finally, the data were spatially smoothed with a 6 mm</w:t>
      </w:r>
      <w:r w:rsidRPr="009323B8">
        <w:rPr>
          <w:rFonts w:eastAsiaTheme="minorHAnsi"/>
          <w:vertAlign w:val="superscript"/>
        </w:rPr>
        <w:t>3</w:t>
      </w:r>
      <w:r w:rsidRPr="009323B8">
        <w:rPr>
          <w:rFonts w:eastAsiaTheme="minorHAnsi"/>
        </w:rPr>
        <w:t xml:space="preserve"> full-width half-maximum Gaussian kernel.</w:t>
      </w:r>
    </w:p>
    <w:p w14:paraId="6323575C" w14:textId="07D57B91" w:rsidR="00B35CC6" w:rsidRPr="009323B8" w:rsidRDefault="00B35CC6" w:rsidP="006D6A60">
      <w:pPr>
        <w:spacing w:line="480" w:lineRule="auto"/>
        <w:rPr>
          <w:b/>
          <w:bCs/>
          <w:color w:val="000000"/>
        </w:rPr>
      </w:pPr>
      <w:r w:rsidRPr="009323B8">
        <w:rPr>
          <w:b/>
          <w:bCs/>
          <w:color w:val="000000"/>
        </w:rPr>
        <w:t>Supplementary Analyses</w:t>
      </w:r>
    </w:p>
    <w:p w14:paraId="729E0545" w14:textId="29244E85" w:rsidR="006D6A60" w:rsidRPr="009323B8" w:rsidRDefault="00B35CC6" w:rsidP="00B06787">
      <w:pPr>
        <w:spacing w:line="480" w:lineRule="auto"/>
        <w:ind w:firstLine="360"/>
      </w:pPr>
      <w:r w:rsidRPr="009323B8">
        <w:rPr>
          <w:color w:val="000000"/>
        </w:rPr>
        <w:t>To examine connectivity differences when patients 18-21 were excluded (to reduce the age range of the sample), post-hoc analyses were conducted. Group differences were significant only for the ANCOVAs evaluating within-CON (</w:t>
      </w:r>
      <w:r w:rsidRPr="009323B8">
        <w:rPr>
          <w:i/>
          <w:iCs/>
        </w:rPr>
        <w:t>F</w:t>
      </w:r>
      <w:r w:rsidRPr="009323B8">
        <w:t xml:space="preserve">(2, 76) = 5.08, </w:t>
      </w:r>
      <w:r w:rsidRPr="009323B8">
        <w:rPr>
          <w:i/>
          <w:iCs/>
        </w:rPr>
        <w:t>p</w:t>
      </w:r>
      <w:r w:rsidRPr="009323B8">
        <w:t xml:space="preserve"> = .009, </w:t>
      </w:r>
      <w:r w:rsidRPr="009323B8">
        <w:rPr>
          <w:rFonts w:ascii="Courier New" w:hAnsi="Courier New" w:cs="Courier New"/>
        </w:rPr>
        <w:t>﻿</w:t>
      </w:r>
      <w:r w:rsidRPr="009323B8">
        <w:t xml:space="preserve">FDR adjusted </w:t>
      </w:r>
      <w:r w:rsidRPr="009323B8">
        <w:rPr>
          <w:i/>
          <w:iCs/>
        </w:rPr>
        <w:t>p</w:t>
      </w:r>
      <w:r w:rsidRPr="009323B8">
        <w:t xml:space="preserve"> = .042) </w:t>
      </w:r>
      <w:r w:rsidRPr="009323B8">
        <w:rPr>
          <w:color w:val="000000"/>
        </w:rPr>
        <w:t xml:space="preserve">and between CON-OST </w:t>
      </w:r>
      <w:r w:rsidRPr="009323B8">
        <w:t>(</w:t>
      </w:r>
      <w:r w:rsidRPr="009323B8">
        <w:rPr>
          <w:i/>
          <w:iCs/>
        </w:rPr>
        <w:t>F</w:t>
      </w:r>
      <w:r w:rsidRPr="009323B8">
        <w:t xml:space="preserve">(2, 76) = 4.51, </w:t>
      </w:r>
      <w:r w:rsidRPr="009323B8">
        <w:rPr>
          <w:i/>
          <w:iCs/>
        </w:rPr>
        <w:t>p</w:t>
      </w:r>
      <w:r w:rsidRPr="009323B8">
        <w:t xml:space="preserve"> = .014, </w:t>
      </w:r>
      <w:r w:rsidRPr="009323B8">
        <w:rPr>
          <w:rFonts w:ascii="Courier New" w:hAnsi="Courier New" w:cs="Courier New"/>
        </w:rPr>
        <w:t>﻿</w:t>
      </w:r>
      <w:r w:rsidRPr="009323B8">
        <w:t xml:space="preserve">FDR adjusted </w:t>
      </w:r>
      <w:r w:rsidRPr="009323B8">
        <w:rPr>
          <w:i/>
          <w:iCs/>
        </w:rPr>
        <w:t>p</w:t>
      </w:r>
      <w:r w:rsidRPr="009323B8">
        <w:t xml:space="preserve"> = .042)</w:t>
      </w:r>
      <w:r w:rsidR="00091A4F" w:rsidRPr="009323B8">
        <w:t xml:space="preserve"> connectivity. For within-CON connectivity, the OCD group (M = .55, </w:t>
      </w:r>
      <w:r w:rsidR="00091A4F" w:rsidRPr="009323B8">
        <w:rPr>
          <w:i/>
          <w:iCs/>
        </w:rPr>
        <w:t>SE</w:t>
      </w:r>
      <w:r w:rsidR="00091A4F" w:rsidRPr="009323B8">
        <w:t xml:space="preserve"> = .03) was significantly different from the AC group (M = .42, </w:t>
      </w:r>
      <w:r w:rsidR="00091A4F" w:rsidRPr="009323B8">
        <w:rPr>
          <w:i/>
          <w:iCs/>
        </w:rPr>
        <w:t>SE</w:t>
      </w:r>
      <w:r w:rsidR="00091A4F" w:rsidRPr="009323B8">
        <w:t xml:space="preserve"> = .03</w:t>
      </w:r>
      <w:r w:rsidR="00B06787" w:rsidRPr="009323B8">
        <w:t xml:space="preserve">, </w:t>
      </w:r>
      <w:r w:rsidR="00B06787" w:rsidRPr="009323B8">
        <w:rPr>
          <w:i/>
          <w:iCs/>
        </w:rPr>
        <w:t>p</w:t>
      </w:r>
      <w:r w:rsidR="00B06787" w:rsidRPr="009323B8">
        <w:t xml:space="preserve"> = .004</w:t>
      </w:r>
      <w:r w:rsidR="00091A4F" w:rsidRPr="009323B8">
        <w:t xml:space="preserve">) and the HC group (M = .46, </w:t>
      </w:r>
      <w:r w:rsidR="00091A4F" w:rsidRPr="009323B8">
        <w:rPr>
          <w:i/>
          <w:iCs/>
        </w:rPr>
        <w:t>SE</w:t>
      </w:r>
      <w:r w:rsidR="00091A4F" w:rsidRPr="009323B8">
        <w:t xml:space="preserve"> = .02</w:t>
      </w:r>
      <w:r w:rsidR="00B06787" w:rsidRPr="009323B8">
        <w:t xml:space="preserve">, </w:t>
      </w:r>
      <w:r w:rsidR="00B06787" w:rsidRPr="009323B8">
        <w:rPr>
          <w:i/>
          <w:iCs/>
        </w:rPr>
        <w:t xml:space="preserve">p </w:t>
      </w:r>
      <w:r w:rsidR="00B06787" w:rsidRPr="009323B8">
        <w:t>= .037</w:t>
      </w:r>
      <w:r w:rsidR="00091A4F" w:rsidRPr="009323B8">
        <w:t>)</w:t>
      </w:r>
      <w:r w:rsidR="00B06787" w:rsidRPr="009323B8">
        <w:t xml:space="preserve">. Similarly, for between CON-OST connectivity, the OCD group (M = .43, </w:t>
      </w:r>
      <w:r w:rsidR="00B06787" w:rsidRPr="009323B8">
        <w:rPr>
          <w:i/>
          <w:iCs/>
        </w:rPr>
        <w:t>SE</w:t>
      </w:r>
      <w:r w:rsidR="00B06787" w:rsidRPr="009323B8">
        <w:t xml:space="preserve"> = .03) was significantly different from the AC group (M = .30, </w:t>
      </w:r>
      <w:r w:rsidR="00B06787" w:rsidRPr="009323B8">
        <w:rPr>
          <w:i/>
          <w:iCs/>
        </w:rPr>
        <w:t>SE</w:t>
      </w:r>
      <w:r w:rsidR="00B06787" w:rsidRPr="009323B8">
        <w:t xml:space="preserve"> = .03, </w:t>
      </w:r>
      <w:r w:rsidR="00B06787" w:rsidRPr="009323B8">
        <w:rPr>
          <w:i/>
          <w:iCs/>
        </w:rPr>
        <w:t>p</w:t>
      </w:r>
      <w:r w:rsidR="00B06787" w:rsidRPr="009323B8">
        <w:t xml:space="preserve"> = .003)</w:t>
      </w:r>
      <w:r w:rsidR="00B06787" w:rsidRPr="009323B8">
        <w:rPr>
          <w:color w:val="000000"/>
        </w:rPr>
        <w:t xml:space="preserve"> and the HC group </w:t>
      </w:r>
      <w:r w:rsidR="00B06787" w:rsidRPr="009323B8">
        <w:t xml:space="preserve">(M = .33, </w:t>
      </w:r>
      <w:r w:rsidR="00B06787" w:rsidRPr="009323B8">
        <w:rPr>
          <w:i/>
          <w:iCs/>
        </w:rPr>
        <w:t>SE</w:t>
      </w:r>
      <w:r w:rsidR="00B06787" w:rsidRPr="009323B8">
        <w:t xml:space="preserve"> = .02</w:t>
      </w:r>
      <w:r w:rsidR="00472300" w:rsidRPr="009323B8">
        <w:t xml:space="preserve">, </w:t>
      </w:r>
      <w:r w:rsidR="00472300" w:rsidRPr="009323B8">
        <w:rPr>
          <w:i/>
          <w:iCs/>
        </w:rPr>
        <w:t>p</w:t>
      </w:r>
      <w:r w:rsidR="00472300" w:rsidRPr="009323B8">
        <w:t xml:space="preserve"> = .014</w:t>
      </w:r>
      <w:r w:rsidR="00B06787" w:rsidRPr="009323B8">
        <w:t>)</w:t>
      </w:r>
      <w:r w:rsidR="00472300" w:rsidRPr="009323B8">
        <w:t xml:space="preserve">. There were no other connectivity measures that displayed significant group differences in the sample of </w:t>
      </w:r>
      <w:r w:rsidR="00AD1DA4" w:rsidRPr="009323B8">
        <w:t xml:space="preserve">participants </w:t>
      </w:r>
      <w:r w:rsidR="00141FD5" w:rsidRPr="009323B8">
        <w:t xml:space="preserve">ages </w:t>
      </w:r>
      <w:r w:rsidR="00472300" w:rsidRPr="009323B8">
        <w:t>8-17</w:t>
      </w:r>
      <w:r w:rsidR="00141FD5" w:rsidRPr="009323B8">
        <w:t>.</w:t>
      </w:r>
    </w:p>
    <w:p w14:paraId="690475B9" w14:textId="0159FDEA" w:rsidR="00B256A1" w:rsidRPr="009323B8" w:rsidRDefault="00B256A1" w:rsidP="00F344CE">
      <w:pPr>
        <w:spacing w:line="480" w:lineRule="auto"/>
        <w:ind w:firstLine="360"/>
        <w:rPr>
          <w:color w:val="000000"/>
          <w:highlight w:val="yellow"/>
        </w:rPr>
      </w:pPr>
      <w:r w:rsidRPr="009323B8">
        <w:rPr>
          <w:color w:val="000000"/>
        </w:rPr>
        <w:t xml:space="preserve">To assess the potential effects of comorbidity on our findings, we conducted </w:t>
      </w:r>
      <w:r w:rsidR="00E26854" w:rsidRPr="009323B8">
        <w:rPr>
          <w:color w:val="000000"/>
        </w:rPr>
        <w:t>independent samples</w:t>
      </w:r>
      <w:r w:rsidRPr="009323B8">
        <w:rPr>
          <w:color w:val="000000"/>
        </w:rPr>
        <w:t xml:space="preserve"> </w:t>
      </w:r>
      <w:r w:rsidRPr="009323B8">
        <w:rPr>
          <w:i/>
          <w:iCs/>
          <w:color w:val="000000"/>
        </w:rPr>
        <w:t>t</w:t>
      </w:r>
      <w:r w:rsidRPr="009323B8">
        <w:rPr>
          <w:color w:val="000000"/>
        </w:rPr>
        <w:t>-test</w:t>
      </w:r>
      <w:r w:rsidR="00E26854" w:rsidRPr="009323B8">
        <w:rPr>
          <w:color w:val="000000"/>
        </w:rPr>
        <w:t>s</w:t>
      </w:r>
      <w:r w:rsidRPr="009323B8">
        <w:rPr>
          <w:color w:val="000000"/>
        </w:rPr>
        <w:t xml:space="preserve"> to determine whether </w:t>
      </w:r>
      <w:r w:rsidR="007946E8" w:rsidRPr="009323B8">
        <w:rPr>
          <w:color w:val="000000"/>
        </w:rPr>
        <w:t xml:space="preserve">within-CON connectivity or between CON-OST connectivity </w:t>
      </w:r>
      <w:r w:rsidR="00E26854" w:rsidRPr="009323B8">
        <w:rPr>
          <w:color w:val="000000"/>
        </w:rPr>
        <w:t>differed between patients with comorbid diagnoses and patients without a comorbid diagnosis. For within-CON connectivity, there was no significant difference between patients with comorbidities (M = .48) and those without (M = .48),</w:t>
      </w:r>
      <w:r w:rsidR="00E26854" w:rsidRPr="009323B8">
        <w:rPr>
          <w:i/>
          <w:iCs/>
          <w:color w:val="000000"/>
        </w:rPr>
        <w:t xml:space="preserve"> t</w:t>
      </w:r>
      <w:r w:rsidR="00E26854" w:rsidRPr="009323B8">
        <w:rPr>
          <w:color w:val="000000"/>
        </w:rPr>
        <w:t xml:space="preserve">(47) = -.19, </w:t>
      </w:r>
      <w:r w:rsidR="00E26854" w:rsidRPr="009323B8">
        <w:rPr>
          <w:i/>
          <w:iCs/>
          <w:color w:val="000000"/>
        </w:rPr>
        <w:t>p</w:t>
      </w:r>
      <w:r w:rsidR="00E26854" w:rsidRPr="009323B8">
        <w:rPr>
          <w:color w:val="000000"/>
        </w:rPr>
        <w:t xml:space="preserve"> = .85. Similarly, for between CON-OST connectivity, there was no significant difference between patients with </w:t>
      </w:r>
      <w:r w:rsidR="00E26854" w:rsidRPr="009323B8">
        <w:rPr>
          <w:color w:val="000000"/>
        </w:rPr>
        <w:lastRenderedPageBreak/>
        <w:t xml:space="preserve">comorbidities (M = .33) and those without (M = .39), </w:t>
      </w:r>
      <w:r w:rsidR="00E26854" w:rsidRPr="009323B8">
        <w:rPr>
          <w:i/>
          <w:iCs/>
          <w:color w:val="000000"/>
        </w:rPr>
        <w:t>t</w:t>
      </w:r>
      <w:r w:rsidR="00E26854" w:rsidRPr="009323B8">
        <w:rPr>
          <w:color w:val="000000"/>
        </w:rPr>
        <w:t xml:space="preserve">(47) = -1.32, </w:t>
      </w:r>
      <w:r w:rsidR="00E26854" w:rsidRPr="009323B8">
        <w:rPr>
          <w:i/>
          <w:iCs/>
          <w:color w:val="000000"/>
        </w:rPr>
        <w:t>p</w:t>
      </w:r>
      <w:r w:rsidR="00E26854" w:rsidRPr="009323B8">
        <w:rPr>
          <w:color w:val="000000"/>
        </w:rPr>
        <w:t xml:space="preserve"> = .19. </w:t>
      </w:r>
      <w:r w:rsidR="008113E2" w:rsidRPr="009323B8">
        <w:rPr>
          <w:color w:val="000000"/>
        </w:rPr>
        <w:t>Additionally, we re-ran the within-CON and between CON-OST ANCOVAs including comorbid depressive disorder as a covariate and the results remained the same</w:t>
      </w:r>
      <w:r w:rsidR="0011094E" w:rsidRPr="009323B8">
        <w:rPr>
          <w:color w:val="000000"/>
        </w:rPr>
        <w:t xml:space="preserve"> as in the original analyses. </w:t>
      </w:r>
      <w:r w:rsidR="001C5B0F" w:rsidRPr="009323B8">
        <w:rPr>
          <w:color w:val="000000"/>
        </w:rPr>
        <w:t>For within-CON connectivity, there was a significant difference between groups (</w:t>
      </w:r>
      <w:r w:rsidR="001C5B0F" w:rsidRPr="009323B8">
        <w:rPr>
          <w:i/>
          <w:iCs/>
          <w:color w:val="000000"/>
        </w:rPr>
        <w:t>F</w:t>
      </w:r>
      <w:r w:rsidR="001C5B0F" w:rsidRPr="009323B8">
        <w:rPr>
          <w:color w:val="000000"/>
        </w:rPr>
        <w:t xml:space="preserve">(2, 92) = 4.56, </w:t>
      </w:r>
      <w:r w:rsidR="001C5B0F" w:rsidRPr="009323B8">
        <w:rPr>
          <w:i/>
          <w:iCs/>
          <w:color w:val="000000"/>
        </w:rPr>
        <w:t>p</w:t>
      </w:r>
      <w:r w:rsidR="001C5B0F" w:rsidRPr="009323B8">
        <w:rPr>
          <w:color w:val="000000"/>
        </w:rPr>
        <w:t xml:space="preserve"> = .013). </w:t>
      </w:r>
      <w:r w:rsidR="00EF1D1E" w:rsidRPr="009323B8">
        <w:rPr>
          <w:color w:val="000000"/>
        </w:rPr>
        <w:t>For between CON-OST connectivity, there was also a significant difference between groups (</w:t>
      </w:r>
      <w:r w:rsidR="00EF1D1E" w:rsidRPr="009323B8">
        <w:rPr>
          <w:i/>
          <w:iCs/>
          <w:color w:val="000000"/>
        </w:rPr>
        <w:t>F</w:t>
      </w:r>
      <w:r w:rsidR="00EF1D1E" w:rsidRPr="009323B8">
        <w:rPr>
          <w:color w:val="000000"/>
        </w:rPr>
        <w:t xml:space="preserve">(2, 92) = 3.80, </w:t>
      </w:r>
      <w:r w:rsidR="00EF1D1E" w:rsidRPr="009323B8">
        <w:rPr>
          <w:i/>
          <w:iCs/>
          <w:color w:val="000000"/>
        </w:rPr>
        <w:t>p</w:t>
      </w:r>
      <w:r w:rsidR="00EF1D1E" w:rsidRPr="009323B8">
        <w:rPr>
          <w:color w:val="000000"/>
        </w:rPr>
        <w:t xml:space="preserve"> = .026). </w:t>
      </w:r>
    </w:p>
    <w:p w14:paraId="746EBBB8" w14:textId="0363ECDD" w:rsidR="00F6789A" w:rsidRDefault="00F6789A" w:rsidP="00F404BD">
      <w:pPr>
        <w:spacing w:line="480" w:lineRule="auto"/>
        <w:rPr>
          <w:color w:val="000000"/>
          <w:highlight w:val="yellow"/>
        </w:rPr>
      </w:pPr>
    </w:p>
    <w:p w14:paraId="76E1F4A8" w14:textId="77777777" w:rsidR="00F404BD" w:rsidRDefault="00F404BD" w:rsidP="00F404BD">
      <w:pPr>
        <w:spacing w:line="480" w:lineRule="auto"/>
        <w:rPr>
          <w:color w:val="000000"/>
        </w:rPr>
      </w:pPr>
    </w:p>
    <w:p w14:paraId="54743BE5" w14:textId="77777777" w:rsidR="00F404BD" w:rsidRDefault="00F404BD" w:rsidP="00F404BD">
      <w:pPr>
        <w:spacing w:line="480" w:lineRule="auto"/>
        <w:rPr>
          <w:color w:val="000000"/>
        </w:rPr>
      </w:pPr>
    </w:p>
    <w:p w14:paraId="1FEB1081" w14:textId="77777777" w:rsidR="00F404BD" w:rsidRDefault="00F404BD" w:rsidP="00F404BD">
      <w:pPr>
        <w:spacing w:line="480" w:lineRule="auto"/>
        <w:rPr>
          <w:color w:val="000000"/>
        </w:rPr>
      </w:pPr>
    </w:p>
    <w:p w14:paraId="40F33749" w14:textId="77777777" w:rsidR="00F404BD" w:rsidRDefault="00F404BD" w:rsidP="00F404BD">
      <w:pPr>
        <w:spacing w:line="480" w:lineRule="auto"/>
        <w:rPr>
          <w:color w:val="000000"/>
        </w:rPr>
      </w:pPr>
    </w:p>
    <w:p w14:paraId="1420B704" w14:textId="77777777" w:rsidR="00F404BD" w:rsidRDefault="00F404BD" w:rsidP="00F404BD">
      <w:pPr>
        <w:spacing w:line="480" w:lineRule="auto"/>
        <w:rPr>
          <w:color w:val="000000"/>
        </w:rPr>
      </w:pPr>
    </w:p>
    <w:p w14:paraId="68D80772" w14:textId="77777777" w:rsidR="00F404BD" w:rsidRDefault="00F404BD" w:rsidP="00F404BD">
      <w:pPr>
        <w:spacing w:line="480" w:lineRule="auto"/>
        <w:rPr>
          <w:color w:val="000000"/>
        </w:rPr>
      </w:pPr>
    </w:p>
    <w:p w14:paraId="7212D4EC" w14:textId="77777777" w:rsidR="00F404BD" w:rsidRDefault="00F404BD" w:rsidP="00F404BD">
      <w:pPr>
        <w:spacing w:line="480" w:lineRule="auto"/>
        <w:rPr>
          <w:color w:val="000000"/>
        </w:rPr>
      </w:pPr>
    </w:p>
    <w:p w14:paraId="4DAEDC6B" w14:textId="77777777" w:rsidR="00F404BD" w:rsidRDefault="00F404BD" w:rsidP="00F404BD">
      <w:pPr>
        <w:spacing w:line="480" w:lineRule="auto"/>
        <w:rPr>
          <w:color w:val="000000"/>
        </w:rPr>
      </w:pPr>
    </w:p>
    <w:p w14:paraId="79C08416" w14:textId="77777777" w:rsidR="00F404BD" w:rsidRDefault="00F404BD" w:rsidP="00F404BD">
      <w:pPr>
        <w:spacing w:line="480" w:lineRule="auto"/>
        <w:rPr>
          <w:color w:val="000000"/>
        </w:rPr>
      </w:pPr>
    </w:p>
    <w:p w14:paraId="107EF45E" w14:textId="77777777" w:rsidR="00F404BD" w:rsidRDefault="00F404BD" w:rsidP="00F404BD">
      <w:pPr>
        <w:spacing w:line="480" w:lineRule="auto"/>
        <w:rPr>
          <w:color w:val="000000"/>
        </w:rPr>
      </w:pPr>
    </w:p>
    <w:p w14:paraId="2614957B" w14:textId="77777777" w:rsidR="00F404BD" w:rsidRDefault="00F404BD" w:rsidP="00F404BD">
      <w:pPr>
        <w:spacing w:line="480" w:lineRule="auto"/>
        <w:rPr>
          <w:color w:val="000000"/>
        </w:rPr>
      </w:pPr>
    </w:p>
    <w:p w14:paraId="5C77D570" w14:textId="77777777" w:rsidR="00F404BD" w:rsidRDefault="00F404BD" w:rsidP="00F404BD">
      <w:pPr>
        <w:spacing w:line="480" w:lineRule="auto"/>
        <w:rPr>
          <w:color w:val="000000"/>
        </w:rPr>
      </w:pPr>
    </w:p>
    <w:p w14:paraId="5A648B66" w14:textId="77777777" w:rsidR="00F404BD" w:rsidRDefault="00F404BD" w:rsidP="00F404BD">
      <w:pPr>
        <w:spacing w:line="480" w:lineRule="auto"/>
        <w:rPr>
          <w:color w:val="000000"/>
        </w:rPr>
      </w:pPr>
    </w:p>
    <w:p w14:paraId="0E986B1A" w14:textId="77777777" w:rsidR="00F404BD" w:rsidRDefault="00F404BD" w:rsidP="00F404BD">
      <w:pPr>
        <w:spacing w:line="480" w:lineRule="auto"/>
        <w:rPr>
          <w:color w:val="000000"/>
        </w:rPr>
      </w:pPr>
    </w:p>
    <w:p w14:paraId="395E1FCD" w14:textId="77777777" w:rsidR="00F404BD" w:rsidRDefault="00F404BD" w:rsidP="00F404BD">
      <w:pPr>
        <w:spacing w:line="480" w:lineRule="auto"/>
        <w:rPr>
          <w:color w:val="000000"/>
        </w:rPr>
      </w:pPr>
    </w:p>
    <w:p w14:paraId="003EDBDF" w14:textId="77777777" w:rsidR="00F404BD" w:rsidRDefault="00F404BD" w:rsidP="00F404BD">
      <w:pPr>
        <w:spacing w:line="480" w:lineRule="auto"/>
        <w:rPr>
          <w:color w:val="000000"/>
        </w:rPr>
      </w:pPr>
    </w:p>
    <w:p w14:paraId="2A95F200" w14:textId="35D1D552" w:rsidR="00F6789A" w:rsidRPr="00F404BD" w:rsidRDefault="00F404BD" w:rsidP="00F404BD">
      <w:pPr>
        <w:spacing w:line="480" w:lineRule="auto"/>
        <w:jc w:val="center"/>
        <w:rPr>
          <w:b/>
          <w:bCs/>
          <w:color w:val="000000"/>
          <w:highlight w:val="yellow"/>
        </w:rPr>
      </w:pPr>
      <w:r w:rsidRPr="00F404BD">
        <w:rPr>
          <w:b/>
          <w:bCs/>
          <w:color w:val="000000"/>
        </w:rPr>
        <w:lastRenderedPageBreak/>
        <w:t>Supplementary References</w:t>
      </w:r>
    </w:p>
    <w:p w14:paraId="19EF0090" w14:textId="3D258ABF" w:rsidR="00F404BD" w:rsidRPr="007B43EB" w:rsidRDefault="00F404BD" w:rsidP="00273512">
      <w:pPr>
        <w:pStyle w:val="NormalWeb"/>
        <w:spacing w:line="480" w:lineRule="auto"/>
        <w:ind w:left="480" w:hanging="480"/>
      </w:pPr>
      <w:r w:rsidRPr="007B43EB">
        <w:t>Ashburner, J. (2007). A fast diffeomorphic</w:t>
      </w:r>
      <w:r w:rsidRPr="0098515C">
        <w:t xml:space="preserve"> image registration algorithm. </w:t>
      </w:r>
      <w:r w:rsidRPr="005C4344">
        <w:rPr>
          <w:i/>
          <w:iCs/>
        </w:rPr>
        <w:t>Neuroimage</w:t>
      </w:r>
      <w:r w:rsidRPr="005C4344">
        <w:t>, </w:t>
      </w:r>
      <w:r w:rsidRPr="005C4344">
        <w:rPr>
          <w:i/>
          <w:iCs/>
        </w:rPr>
        <w:t>38</w:t>
      </w:r>
      <w:r w:rsidRPr="005C4344">
        <w:t>(1), 95-113. https://doi.org/10.1016/j.neuroimage.2007.07.007</w:t>
      </w:r>
    </w:p>
    <w:p w14:paraId="4E7207B5" w14:textId="644899E0" w:rsidR="00F404BD" w:rsidRPr="00F404BD" w:rsidRDefault="00F404BD" w:rsidP="00F404BD">
      <w:pPr>
        <w:pStyle w:val="NormalWeb"/>
        <w:spacing w:line="480" w:lineRule="auto"/>
        <w:ind w:left="480" w:hanging="480"/>
      </w:pPr>
      <w:r w:rsidRPr="007B43EB">
        <w:t>Behzadi, Y., Restom,</w:t>
      </w:r>
      <w:r w:rsidRPr="0098515C">
        <w:t xml:space="preserve"> K., Liau, J., &amp; Liu, T. T. (2007). A compon</w:t>
      </w:r>
      <w:r w:rsidRPr="005C4344">
        <w:t>ent based noise correction method (CompCor) for BOLD and perfusion based fMRI. </w:t>
      </w:r>
      <w:r w:rsidRPr="005C4344">
        <w:rPr>
          <w:i/>
          <w:iCs/>
        </w:rPr>
        <w:t>Neuroimage</w:t>
      </w:r>
      <w:r w:rsidRPr="005C4344">
        <w:t>, </w:t>
      </w:r>
      <w:r w:rsidRPr="005C4344">
        <w:rPr>
          <w:i/>
          <w:iCs/>
        </w:rPr>
        <w:t>37</w:t>
      </w:r>
      <w:r w:rsidRPr="007B43EB">
        <w:t>(1), 90-101. https://doi.org/10.1016/j.neuroimage.2007.04.042</w:t>
      </w:r>
    </w:p>
    <w:p w14:paraId="244E4062" w14:textId="50441412" w:rsidR="00F404BD" w:rsidRDefault="00F404BD" w:rsidP="00F404BD">
      <w:pPr>
        <w:pStyle w:val="NormalWeb"/>
        <w:spacing w:line="480" w:lineRule="auto"/>
        <w:ind w:left="480" w:hanging="480"/>
      </w:pPr>
      <w:r w:rsidRPr="007B43EB">
        <w:t>Friston, K. J., Williams</w:t>
      </w:r>
      <w:r w:rsidRPr="0098515C">
        <w:t>, S., Howard, R., Fra</w:t>
      </w:r>
      <w:r w:rsidRPr="005C4344">
        <w:t>ckowiak, R. S., &amp; Turner, R. (1996). Movement‐related effects in fMRI time‐series. </w:t>
      </w:r>
      <w:r w:rsidRPr="005C4344">
        <w:rPr>
          <w:i/>
          <w:iCs/>
        </w:rPr>
        <w:t>Magnetic resonance in medicine</w:t>
      </w:r>
      <w:r w:rsidRPr="005C4344">
        <w:t>, </w:t>
      </w:r>
      <w:r w:rsidRPr="007B43EB">
        <w:rPr>
          <w:i/>
          <w:iCs/>
        </w:rPr>
        <w:t>35</w:t>
      </w:r>
      <w:r w:rsidRPr="007B43EB">
        <w:t xml:space="preserve">(3), 346-355. </w:t>
      </w:r>
      <w:r>
        <w:t>https://doi.org/10.1002/mrm.1910350312</w:t>
      </w:r>
    </w:p>
    <w:p w14:paraId="2ECAC921" w14:textId="5EC2CD61" w:rsidR="00F404BD" w:rsidRPr="005C4344" w:rsidRDefault="00F404BD" w:rsidP="00F404BD">
      <w:pPr>
        <w:pStyle w:val="NormalWeb"/>
        <w:spacing w:line="480" w:lineRule="auto"/>
        <w:ind w:left="480" w:hanging="480"/>
      </w:pPr>
      <w:r w:rsidRPr="007B43EB">
        <w:t>Power, J. D., Barnes</w:t>
      </w:r>
      <w:r w:rsidRPr="0098515C">
        <w:t>, K. A., Snyder, A. Z., Schlag</w:t>
      </w:r>
      <w:r w:rsidRPr="005C4344">
        <w:t>gar, B. L., &amp; Petersen, S. E. (2012). Spurious but systematic correlations in functional connectivity MRI networks arise from subject motion. NeuroImage, 59(3), 2142–2154. https://doi.org/10.1016/j.neuroimage.2011.10.018</w:t>
      </w:r>
    </w:p>
    <w:p w14:paraId="7C7E9218" w14:textId="77777777" w:rsidR="00F404BD" w:rsidRPr="008A5B0E" w:rsidRDefault="00F404BD" w:rsidP="00F404BD">
      <w:pPr>
        <w:pStyle w:val="NormalWeb"/>
        <w:spacing w:line="480" w:lineRule="auto"/>
        <w:ind w:left="480" w:hanging="480"/>
      </w:pPr>
    </w:p>
    <w:p w14:paraId="33D24282" w14:textId="77777777" w:rsidR="00F404BD" w:rsidRPr="009323B8" w:rsidRDefault="00F404BD" w:rsidP="00F404BD">
      <w:pPr>
        <w:spacing w:line="480" w:lineRule="auto"/>
        <w:rPr>
          <w:color w:val="000000"/>
          <w:highlight w:val="yellow"/>
        </w:rPr>
      </w:pPr>
    </w:p>
    <w:p w14:paraId="05B86035" w14:textId="0D4F8841" w:rsidR="00F6789A" w:rsidRPr="009323B8" w:rsidRDefault="00F6789A" w:rsidP="00F344CE">
      <w:pPr>
        <w:spacing w:line="480" w:lineRule="auto"/>
        <w:ind w:firstLine="360"/>
        <w:rPr>
          <w:color w:val="000000"/>
          <w:highlight w:val="yellow"/>
        </w:rPr>
      </w:pPr>
    </w:p>
    <w:p w14:paraId="3F2AE587" w14:textId="6BB4438F" w:rsidR="00F6789A" w:rsidRPr="009323B8" w:rsidRDefault="00F6789A" w:rsidP="00F344CE">
      <w:pPr>
        <w:spacing w:line="480" w:lineRule="auto"/>
        <w:ind w:firstLine="360"/>
        <w:rPr>
          <w:color w:val="000000"/>
          <w:highlight w:val="yellow"/>
        </w:rPr>
      </w:pPr>
    </w:p>
    <w:p w14:paraId="7D90A4C7" w14:textId="310E72C9" w:rsidR="00F6789A" w:rsidRPr="009323B8" w:rsidRDefault="00F6789A" w:rsidP="00F344CE">
      <w:pPr>
        <w:spacing w:line="480" w:lineRule="auto"/>
        <w:ind w:firstLine="360"/>
        <w:rPr>
          <w:color w:val="000000"/>
          <w:highlight w:val="yellow"/>
        </w:rPr>
      </w:pPr>
    </w:p>
    <w:p w14:paraId="125652AD" w14:textId="14AE7F88" w:rsidR="00F6789A" w:rsidRPr="009323B8" w:rsidRDefault="00F6789A" w:rsidP="00F344CE">
      <w:pPr>
        <w:spacing w:line="480" w:lineRule="auto"/>
        <w:ind w:firstLine="360"/>
        <w:rPr>
          <w:color w:val="000000"/>
          <w:highlight w:val="yellow"/>
        </w:rPr>
      </w:pPr>
    </w:p>
    <w:p w14:paraId="055F3F3B" w14:textId="32095E1A" w:rsidR="00F6789A" w:rsidRPr="009323B8" w:rsidRDefault="00F6789A" w:rsidP="00F344CE">
      <w:pPr>
        <w:spacing w:line="480" w:lineRule="auto"/>
        <w:ind w:firstLine="360"/>
        <w:rPr>
          <w:color w:val="000000"/>
          <w:highlight w:val="yellow"/>
        </w:rPr>
      </w:pPr>
    </w:p>
    <w:p w14:paraId="2C6BD09B" w14:textId="3F2E96E3" w:rsidR="00F6789A" w:rsidRPr="009323B8" w:rsidRDefault="00F6789A" w:rsidP="00F344CE">
      <w:pPr>
        <w:spacing w:line="480" w:lineRule="auto"/>
        <w:ind w:firstLine="360"/>
        <w:rPr>
          <w:color w:val="000000"/>
          <w:highlight w:val="yellow"/>
        </w:rPr>
      </w:pPr>
    </w:p>
    <w:p w14:paraId="795F4E5D" w14:textId="584E4610" w:rsidR="00F6789A" w:rsidRPr="009323B8" w:rsidRDefault="00F6789A" w:rsidP="00F344CE">
      <w:pPr>
        <w:spacing w:line="480" w:lineRule="auto"/>
        <w:ind w:firstLine="360"/>
        <w:rPr>
          <w:color w:val="000000"/>
          <w:highlight w:val="yellow"/>
        </w:rPr>
      </w:pPr>
    </w:p>
    <w:p w14:paraId="4DE2AC74" w14:textId="77777777" w:rsidR="00F6789A" w:rsidRPr="009323B8" w:rsidRDefault="00F6789A" w:rsidP="00F344CE">
      <w:pPr>
        <w:spacing w:line="480" w:lineRule="auto"/>
        <w:ind w:firstLine="360"/>
        <w:rPr>
          <w:color w:val="000000"/>
          <w:highlight w:val="yellow"/>
        </w:rPr>
      </w:pPr>
    </w:p>
    <w:p w14:paraId="3EA13C60" w14:textId="3D0A72FD" w:rsidR="006D6A60" w:rsidRPr="009323B8" w:rsidRDefault="006D6A60" w:rsidP="006D6A60">
      <w:pPr>
        <w:spacing w:line="480" w:lineRule="auto"/>
        <w:rPr>
          <w:color w:val="000000"/>
        </w:rPr>
      </w:pPr>
    </w:p>
    <w:p w14:paraId="54EA3AB6" w14:textId="6DB2B1C5" w:rsidR="009323B8" w:rsidRDefault="009323B8" w:rsidP="006D6A60">
      <w:pPr>
        <w:spacing w:line="480" w:lineRule="auto"/>
        <w:rPr>
          <w:color w:val="000000"/>
        </w:rPr>
      </w:pPr>
    </w:p>
    <w:p w14:paraId="7B5AD636" w14:textId="77777777" w:rsidR="009323B8" w:rsidRPr="009323B8" w:rsidRDefault="009323B8" w:rsidP="006D6A60">
      <w:pPr>
        <w:spacing w:line="480" w:lineRule="auto"/>
        <w:rPr>
          <w:color w:val="000000"/>
        </w:rPr>
      </w:pPr>
    </w:p>
    <w:p w14:paraId="4D4EC7B5" w14:textId="6250536D" w:rsidR="009323B8" w:rsidRPr="009323B8" w:rsidRDefault="009323B8" w:rsidP="006D6A60">
      <w:pPr>
        <w:spacing w:line="480" w:lineRule="auto"/>
        <w:rPr>
          <w:color w:val="000000"/>
        </w:rPr>
      </w:pPr>
    </w:p>
    <w:p w14:paraId="3E9D7349" w14:textId="395C8692" w:rsidR="009323B8" w:rsidRPr="009323B8" w:rsidRDefault="009323B8" w:rsidP="006D6A60">
      <w:pPr>
        <w:spacing w:line="480" w:lineRule="auto"/>
        <w:rPr>
          <w:color w:val="000000"/>
        </w:rPr>
      </w:pPr>
    </w:p>
    <w:p w14:paraId="2DA35AB8" w14:textId="6EDC09DA" w:rsidR="009323B8" w:rsidRPr="009323B8" w:rsidRDefault="009323B8" w:rsidP="006D6A60">
      <w:pPr>
        <w:spacing w:line="480" w:lineRule="auto"/>
        <w:rPr>
          <w:color w:val="000000"/>
        </w:rPr>
      </w:pPr>
    </w:p>
    <w:p w14:paraId="0A72D534" w14:textId="77777777" w:rsidR="009323B8" w:rsidRPr="009323B8" w:rsidRDefault="009323B8" w:rsidP="006D6A60">
      <w:pPr>
        <w:spacing w:line="480" w:lineRule="auto"/>
        <w:rPr>
          <w:color w:val="000000"/>
        </w:rPr>
      </w:pPr>
    </w:p>
    <w:p w14:paraId="5AC05971" w14:textId="77777777" w:rsidR="006D6A60" w:rsidRPr="009323B8" w:rsidRDefault="006D6A60" w:rsidP="006D6A60">
      <w:pPr>
        <w:spacing w:line="480" w:lineRule="auto"/>
        <w:rPr>
          <w:b/>
          <w:bCs/>
        </w:rPr>
      </w:pPr>
      <w:r w:rsidRPr="009323B8">
        <w:rPr>
          <w:b/>
          <w:bCs/>
        </w:rPr>
        <w:t xml:space="preserve">Supplementary Figure </w:t>
      </w:r>
    </w:p>
    <w:p w14:paraId="20341C52" w14:textId="77777777" w:rsidR="006D6A60" w:rsidRPr="009323B8" w:rsidRDefault="006D6A60" w:rsidP="006D6A60">
      <w:pPr>
        <w:spacing w:line="480" w:lineRule="auto"/>
        <w:rPr>
          <w:b/>
          <w:bCs/>
        </w:rPr>
      </w:pPr>
      <w:r w:rsidRPr="009323B8">
        <w:rPr>
          <w:b/>
          <w:bCs/>
        </w:rPr>
        <w:t>Supplementary Figure 1.</w:t>
      </w:r>
      <w:r w:rsidRPr="009323B8">
        <w:t xml:space="preserve"> Labeled ROIs of the cingulo-opercular (blue), orbito-striatal-thalamic (green) and default mode (red) networks presented on glass brains.</w:t>
      </w:r>
      <w:r w:rsidRPr="009323B8">
        <w:rPr>
          <w:b/>
          <w:bCs/>
        </w:rPr>
        <w:t xml:space="preserve"> Full region labels and coordinates are given in Table 3.</w:t>
      </w:r>
    </w:p>
    <w:p w14:paraId="0A2F2838" w14:textId="77777777" w:rsidR="006D6A60" w:rsidRPr="009323B8" w:rsidRDefault="006D6A60" w:rsidP="006D6A60">
      <w:pPr>
        <w:spacing w:line="480" w:lineRule="auto"/>
        <w:jc w:val="center"/>
        <w:rPr>
          <w:color w:val="000000"/>
        </w:rPr>
      </w:pPr>
      <w:r w:rsidRPr="009323B8">
        <w:rPr>
          <w:noProof/>
          <w:color w:val="000000"/>
        </w:rPr>
        <w:drawing>
          <wp:inline distT="0" distB="0" distL="0" distR="0" wp14:anchorId="47F37044" wp14:editId="6126CDB9">
            <wp:extent cx="4915949" cy="34435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a:extLst>
                        <a:ext uri="{28A0092B-C50C-407E-A947-70E740481C1C}">
                          <a14:useLocalDpi xmlns:a14="http://schemas.microsoft.com/office/drawing/2010/main" val="0"/>
                        </a:ext>
                      </a:extLst>
                    </a:blip>
                    <a:srcRect l="15825" t="8406" r="20515" b="12319"/>
                    <a:stretch/>
                  </pic:blipFill>
                  <pic:spPr bwMode="auto">
                    <a:xfrm>
                      <a:off x="0" y="0"/>
                      <a:ext cx="4922197" cy="3447896"/>
                    </a:xfrm>
                    <a:prstGeom prst="rect">
                      <a:avLst/>
                    </a:prstGeom>
                    <a:ln>
                      <a:noFill/>
                    </a:ln>
                    <a:extLst>
                      <a:ext uri="{53640926-AAD7-44D8-BBD7-CCE9431645EC}">
                        <a14:shadowObscured xmlns:a14="http://schemas.microsoft.com/office/drawing/2010/main"/>
                      </a:ext>
                    </a:extLst>
                  </pic:spPr>
                </pic:pic>
              </a:graphicData>
            </a:graphic>
          </wp:inline>
        </w:drawing>
      </w:r>
    </w:p>
    <w:p w14:paraId="4E26A92F" w14:textId="77777777" w:rsidR="006D6A60" w:rsidRPr="009323B8" w:rsidRDefault="006D6A60" w:rsidP="006D6A60">
      <w:pPr>
        <w:spacing w:line="480" w:lineRule="auto"/>
        <w:rPr>
          <w:b/>
        </w:rPr>
      </w:pPr>
    </w:p>
    <w:p w14:paraId="3C355CCC" w14:textId="77777777" w:rsidR="006D6A60" w:rsidRPr="009323B8" w:rsidRDefault="006D6A60" w:rsidP="006D6A60">
      <w:pPr>
        <w:spacing w:line="480" w:lineRule="auto"/>
        <w:rPr>
          <w:b/>
        </w:rPr>
      </w:pPr>
    </w:p>
    <w:p w14:paraId="6635C716" w14:textId="77777777" w:rsidR="006D6A60" w:rsidRPr="009323B8" w:rsidRDefault="006D6A60" w:rsidP="006D6A60">
      <w:pPr>
        <w:spacing w:line="480" w:lineRule="auto"/>
        <w:rPr>
          <w:b/>
        </w:rPr>
      </w:pPr>
    </w:p>
    <w:p w14:paraId="3823940C" w14:textId="77777777" w:rsidR="00FB1643" w:rsidRPr="009323B8" w:rsidRDefault="00FB1643"/>
    <w:sectPr w:rsidR="00FB1643" w:rsidRPr="009323B8" w:rsidSect="00B1312B">
      <w:headerReference w:type="even" r:id="rId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4457B" w14:textId="77777777" w:rsidR="00F70C9B" w:rsidRDefault="00F70C9B" w:rsidP="00A43E5F">
      <w:r>
        <w:separator/>
      </w:r>
    </w:p>
  </w:endnote>
  <w:endnote w:type="continuationSeparator" w:id="0">
    <w:p w14:paraId="4E105105" w14:textId="77777777" w:rsidR="00F70C9B" w:rsidRDefault="00F70C9B" w:rsidP="00A43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706CF" w14:textId="77777777" w:rsidR="00F70C9B" w:rsidRDefault="00F70C9B" w:rsidP="00A43E5F">
      <w:r>
        <w:separator/>
      </w:r>
    </w:p>
  </w:footnote>
  <w:footnote w:type="continuationSeparator" w:id="0">
    <w:p w14:paraId="559F792D" w14:textId="77777777" w:rsidR="00F70C9B" w:rsidRDefault="00F70C9B" w:rsidP="00A43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8605304"/>
      <w:docPartObj>
        <w:docPartGallery w:val="Page Numbers (Top of Page)"/>
        <w:docPartUnique/>
      </w:docPartObj>
    </w:sdtPr>
    <w:sdtEndPr>
      <w:rPr>
        <w:rStyle w:val="PageNumber"/>
      </w:rPr>
    </w:sdtEndPr>
    <w:sdtContent>
      <w:p w14:paraId="5BA5B287" w14:textId="7623BBFA" w:rsidR="00A43E5F" w:rsidRDefault="00A43E5F" w:rsidP="00653F9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05B962" w14:textId="77777777" w:rsidR="00A43E5F" w:rsidRDefault="00A43E5F" w:rsidP="00A43E5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71330542"/>
      <w:docPartObj>
        <w:docPartGallery w:val="Page Numbers (Top of Page)"/>
        <w:docPartUnique/>
      </w:docPartObj>
    </w:sdtPr>
    <w:sdtEndPr>
      <w:rPr>
        <w:rStyle w:val="PageNumber"/>
      </w:rPr>
    </w:sdtEndPr>
    <w:sdtContent>
      <w:p w14:paraId="479F43EB" w14:textId="03F7A254" w:rsidR="00A43E5F" w:rsidRDefault="00A43E5F" w:rsidP="00653F9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6F2305" w14:textId="77777777" w:rsidR="00A43E5F" w:rsidRDefault="00A43E5F" w:rsidP="00A43E5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D592E"/>
    <w:multiLevelType w:val="hybridMultilevel"/>
    <w:tmpl w:val="9F646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A60"/>
    <w:rsid w:val="00091A4F"/>
    <w:rsid w:val="000B146F"/>
    <w:rsid w:val="000F50C1"/>
    <w:rsid w:val="0011094E"/>
    <w:rsid w:val="00122589"/>
    <w:rsid w:val="00141FD5"/>
    <w:rsid w:val="001C5B0F"/>
    <w:rsid w:val="00243094"/>
    <w:rsid w:val="00273512"/>
    <w:rsid w:val="003A15D0"/>
    <w:rsid w:val="003D2629"/>
    <w:rsid w:val="00472300"/>
    <w:rsid w:val="00567690"/>
    <w:rsid w:val="006D6A60"/>
    <w:rsid w:val="007946E8"/>
    <w:rsid w:val="008113E2"/>
    <w:rsid w:val="008D52BB"/>
    <w:rsid w:val="009323B8"/>
    <w:rsid w:val="009A1141"/>
    <w:rsid w:val="00A43E5F"/>
    <w:rsid w:val="00AD1DA4"/>
    <w:rsid w:val="00B06787"/>
    <w:rsid w:val="00B1312B"/>
    <w:rsid w:val="00B256A1"/>
    <w:rsid w:val="00B35CC6"/>
    <w:rsid w:val="00E1773A"/>
    <w:rsid w:val="00E26854"/>
    <w:rsid w:val="00EF1D1E"/>
    <w:rsid w:val="00F06E67"/>
    <w:rsid w:val="00F264E2"/>
    <w:rsid w:val="00F344CE"/>
    <w:rsid w:val="00F404BD"/>
    <w:rsid w:val="00F46F31"/>
    <w:rsid w:val="00F6789A"/>
    <w:rsid w:val="00F70C9B"/>
    <w:rsid w:val="00FB1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48705"/>
  <w15:chartTrackingRefBased/>
  <w15:docId w15:val="{111B4F10-290A-8642-B064-805C00AA5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A6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B35CC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A43E5F"/>
    <w:pPr>
      <w:tabs>
        <w:tab w:val="center" w:pos="4680"/>
        <w:tab w:val="right" w:pos="9360"/>
      </w:tabs>
    </w:pPr>
  </w:style>
  <w:style w:type="character" w:customStyle="1" w:styleId="HeaderChar">
    <w:name w:val="Header Char"/>
    <w:basedOn w:val="DefaultParagraphFont"/>
    <w:link w:val="Header"/>
    <w:uiPriority w:val="99"/>
    <w:rsid w:val="00A43E5F"/>
    <w:rPr>
      <w:rFonts w:ascii="Times New Roman" w:eastAsia="Times New Roman" w:hAnsi="Times New Roman" w:cs="Times New Roman"/>
    </w:rPr>
  </w:style>
  <w:style w:type="character" w:styleId="PageNumber">
    <w:name w:val="page number"/>
    <w:basedOn w:val="DefaultParagraphFont"/>
    <w:uiPriority w:val="99"/>
    <w:semiHidden/>
    <w:unhideWhenUsed/>
    <w:rsid w:val="00A43E5F"/>
  </w:style>
  <w:style w:type="paragraph" w:styleId="NormalWeb">
    <w:name w:val="Normal (Web)"/>
    <w:basedOn w:val="Normal"/>
    <w:uiPriority w:val="99"/>
    <w:unhideWhenUsed/>
    <w:rsid w:val="00F404BD"/>
    <w:pPr>
      <w:spacing w:before="100" w:beforeAutospacing="1" w:after="100" w:afterAutospacing="1"/>
    </w:pPr>
  </w:style>
  <w:style w:type="character" w:styleId="Hyperlink">
    <w:name w:val="Hyperlink"/>
    <w:basedOn w:val="DefaultParagraphFont"/>
    <w:uiPriority w:val="99"/>
    <w:unhideWhenUsed/>
    <w:rsid w:val="00F404BD"/>
    <w:rPr>
      <w:color w:val="0563C1" w:themeColor="hyperlink"/>
      <w:u w:val="single"/>
    </w:rPr>
  </w:style>
  <w:style w:type="character" w:styleId="UnresolvedMention">
    <w:name w:val="Unresolved Mention"/>
    <w:basedOn w:val="DefaultParagraphFont"/>
    <w:uiPriority w:val="99"/>
    <w:semiHidden/>
    <w:unhideWhenUsed/>
    <w:rsid w:val="00F40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dc:creator>
  <cp:keywords/>
  <dc:description/>
  <cp:lastModifiedBy>Becker</cp:lastModifiedBy>
  <cp:revision>5</cp:revision>
  <dcterms:created xsi:type="dcterms:W3CDTF">2021-08-04T13:39:00Z</dcterms:created>
  <dcterms:modified xsi:type="dcterms:W3CDTF">2021-08-04T14:08:00Z</dcterms:modified>
</cp:coreProperties>
</file>