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D74" w:rsidRDefault="00746ABF">
      <w:pPr>
        <w:adjustRightInd w:val="0"/>
        <w:spacing w:line="360" w:lineRule="auto"/>
        <w:jc w:val="center"/>
        <w:rPr>
          <w:rFonts w:ascii="Times New Roman" w:hAnsi="Times New Roman"/>
          <w:b/>
          <w:sz w:val="23"/>
          <w:szCs w:val="23"/>
        </w:rPr>
      </w:pPr>
      <w:r>
        <w:rPr>
          <w:rFonts w:ascii="Times New Roman" w:hAnsi="Times New Roman" w:hint="eastAsia"/>
          <w:b/>
          <w:sz w:val="23"/>
          <w:szCs w:val="23"/>
        </w:rPr>
        <w:t>Supplementary materials</w:t>
      </w:r>
    </w:p>
    <w:p w:rsidR="00EA0D74" w:rsidRDefault="00746ABF">
      <w:pPr>
        <w:widowControl/>
        <w:spacing w:before="100" w:beforeAutospacing="1" w:after="100" w:afterAutospacing="1" w:line="360" w:lineRule="auto"/>
        <w:jc w:val="center"/>
        <w:outlineLvl w:val="0"/>
        <w:rPr>
          <w:rFonts w:ascii="Times New Roman" w:hAnsi="Times New Roman"/>
          <w:b/>
          <w:sz w:val="28"/>
          <w:szCs w:val="28"/>
        </w:rPr>
      </w:pPr>
      <w:r>
        <w:rPr>
          <w:rFonts w:ascii="Times New Roman" w:hAnsi="Times New Roman" w:hint="eastAsia"/>
          <w:b/>
          <w:sz w:val="28"/>
          <w:szCs w:val="28"/>
        </w:rPr>
        <w:t xml:space="preserve">Compressed </w:t>
      </w:r>
      <w:r>
        <w:rPr>
          <w:rFonts w:ascii="Times New Roman" w:hAnsi="Times New Roman"/>
          <w:b/>
          <w:sz w:val="28"/>
          <w:szCs w:val="28"/>
        </w:rPr>
        <w:t>Sensorimotor-to-</w:t>
      </w:r>
      <w:proofErr w:type="spellStart"/>
      <w:r>
        <w:rPr>
          <w:rFonts w:ascii="Times New Roman" w:hAnsi="Times New Roman"/>
          <w:b/>
          <w:sz w:val="28"/>
          <w:szCs w:val="28"/>
        </w:rPr>
        <w:t>Transmodal</w:t>
      </w:r>
      <w:proofErr w:type="spellEnd"/>
      <w:r>
        <w:rPr>
          <w:rFonts w:ascii="Times New Roman" w:hAnsi="Times New Roman"/>
          <w:b/>
          <w:sz w:val="28"/>
          <w:szCs w:val="28"/>
        </w:rPr>
        <w:t xml:space="preserve"> </w:t>
      </w:r>
      <w:r>
        <w:rPr>
          <w:rFonts w:ascii="Times New Roman" w:hAnsi="Times New Roman" w:hint="eastAsia"/>
          <w:b/>
          <w:sz w:val="28"/>
          <w:szCs w:val="28"/>
        </w:rPr>
        <w:t>H</w:t>
      </w:r>
      <w:r>
        <w:rPr>
          <w:rFonts w:ascii="Times New Roman" w:hAnsi="Times New Roman"/>
          <w:b/>
          <w:sz w:val="28"/>
          <w:szCs w:val="28"/>
        </w:rPr>
        <w:t xml:space="preserve">ierarchical Organization </w:t>
      </w:r>
      <w:r>
        <w:rPr>
          <w:rFonts w:ascii="Times New Roman" w:hAnsi="Times New Roman" w:hint="eastAsia"/>
          <w:b/>
          <w:sz w:val="28"/>
          <w:szCs w:val="28"/>
        </w:rPr>
        <w:t>in Schizophrenia</w:t>
      </w:r>
    </w:p>
    <w:p w:rsidR="00EA0D74" w:rsidRDefault="00746ABF">
      <w:pPr>
        <w:spacing w:line="360" w:lineRule="auto"/>
        <w:jc w:val="left"/>
        <w:rPr>
          <w:rFonts w:ascii="Times New Roman" w:hAnsi="Times New Roman"/>
          <w:b/>
          <w:color w:val="000000" w:themeColor="text1"/>
          <w:sz w:val="28"/>
          <w:szCs w:val="28"/>
        </w:rPr>
      </w:pPr>
      <w:r>
        <w:rPr>
          <w:rFonts w:ascii="Times New Roman" w:hAnsi="Times New Roman" w:hint="eastAsia"/>
          <w:b/>
          <w:color w:val="000000" w:themeColor="text1"/>
          <w:sz w:val="28"/>
          <w:szCs w:val="28"/>
        </w:rPr>
        <w:t>S</w:t>
      </w:r>
      <w:r>
        <w:rPr>
          <w:rFonts w:ascii="Times New Roman" w:hAnsi="Times New Roman"/>
          <w:b/>
          <w:color w:val="000000" w:themeColor="text1"/>
          <w:sz w:val="28"/>
          <w:szCs w:val="28"/>
        </w:rPr>
        <w:t>upplementary methods</w:t>
      </w:r>
    </w:p>
    <w:p w:rsidR="00EA0D74" w:rsidRDefault="00746ABF">
      <w:pPr>
        <w:spacing w:line="360" w:lineRule="auto"/>
        <w:jc w:val="left"/>
        <w:rPr>
          <w:rFonts w:ascii="Times New Roman" w:hAnsi="Times New Roman"/>
          <w:b/>
          <w:color w:val="000000" w:themeColor="text1"/>
          <w:sz w:val="28"/>
          <w:szCs w:val="28"/>
        </w:rPr>
      </w:pPr>
      <w:r>
        <w:rPr>
          <w:rFonts w:ascii="Times New Roman" w:hAnsi="Times New Roman" w:hint="eastAsia"/>
          <w:b/>
          <w:color w:val="000000" w:themeColor="text1"/>
          <w:sz w:val="28"/>
          <w:szCs w:val="28"/>
        </w:rPr>
        <w:t>Participants</w:t>
      </w:r>
    </w:p>
    <w:p w:rsidR="00EA0D74" w:rsidRDefault="00746ABF">
      <w:pPr>
        <w:spacing w:line="360" w:lineRule="auto"/>
        <w:rPr>
          <w:rFonts w:ascii="Times New Roman" w:hAnsi="Times New Roman"/>
          <w:b/>
          <w:color w:val="000000" w:themeColor="text1"/>
          <w:sz w:val="28"/>
          <w:szCs w:val="28"/>
        </w:rPr>
      </w:pPr>
      <w:r>
        <w:rPr>
          <w:rFonts w:ascii="Times New Roman" w:hAnsi="Times New Roman" w:hint="eastAsia"/>
          <w:color w:val="000000" w:themeColor="text1"/>
          <w:sz w:val="22"/>
        </w:rPr>
        <w:t>O</w:t>
      </w:r>
      <w:r>
        <w:rPr>
          <w:rFonts w:ascii="Times New Roman" w:hAnsi="Times New Roman"/>
          <w:color w:val="000000" w:themeColor="text1"/>
          <w:sz w:val="22"/>
        </w:rPr>
        <w:t>ne hundred and two patients</w:t>
      </w:r>
      <w:r>
        <w:rPr>
          <w:rFonts w:ascii="Times New Roman" w:hAnsi="Times New Roman" w:hint="eastAsia"/>
          <w:color w:val="000000" w:themeColor="text1"/>
          <w:sz w:val="22"/>
        </w:rPr>
        <w:t xml:space="preserve"> with schizophrenia</w:t>
      </w:r>
      <w:r>
        <w:rPr>
          <w:rFonts w:ascii="Times New Roman" w:hAnsi="Times New Roman"/>
          <w:color w:val="000000" w:themeColor="text1"/>
          <w:sz w:val="22"/>
        </w:rPr>
        <w:t xml:space="preserve"> were recruited from the Clinical Hospital of Chengdu Brain Science Institute</w:t>
      </w:r>
      <w:r>
        <w:rPr>
          <w:rFonts w:ascii="Times New Roman" w:hAnsi="Times New Roman" w:hint="eastAsia"/>
          <w:color w:val="000000" w:themeColor="text1"/>
          <w:sz w:val="22"/>
        </w:rPr>
        <w:t>;</w:t>
      </w:r>
      <w:r>
        <w:rPr>
          <w:rFonts w:ascii="Times New Roman" w:hAnsi="Times New Roman"/>
          <w:color w:val="000000" w:themeColor="text1"/>
          <w:sz w:val="22"/>
        </w:rPr>
        <w:t xml:space="preserve"> </w:t>
      </w:r>
      <w:r>
        <w:rPr>
          <w:rFonts w:ascii="Times New Roman" w:hAnsi="Times New Roman" w:hint="eastAsia"/>
          <w:color w:val="000000" w:themeColor="text1"/>
          <w:sz w:val="22"/>
        </w:rPr>
        <w:t>126</w:t>
      </w:r>
      <w:r>
        <w:rPr>
          <w:rFonts w:ascii="Times New Roman" w:hAnsi="Times New Roman"/>
          <w:color w:val="000000" w:themeColor="text1"/>
          <w:sz w:val="22"/>
        </w:rPr>
        <w:t xml:space="preserve"> </w:t>
      </w:r>
      <w:r>
        <w:rPr>
          <w:rFonts w:ascii="Times New Roman" w:hAnsi="Times New Roman" w:hint="eastAsia"/>
          <w:color w:val="000000" w:themeColor="text1"/>
          <w:sz w:val="22"/>
        </w:rPr>
        <w:t>HC</w:t>
      </w:r>
      <w:r>
        <w:rPr>
          <w:rFonts w:ascii="Times New Roman" w:hAnsi="Times New Roman"/>
          <w:color w:val="000000" w:themeColor="text1"/>
          <w:sz w:val="22"/>
        </w:rPr>
        <w:t xml:space="preserve"> were recruited from the local community through advertisements and word of mouth.</w:t>
      </w:r>
      <w:r>
        <w:rPr>
          <w:rFonts w:ascii="Times New Roman" w:hAnsi="Times New Roman" w:hint="eastAsia"/>
          <w:color w:val="000000" w:themeColor="text1"/>
          <w:sz w:val="22"/>
        </w:rPr>
        <w:t xml:space="preserve"> </w:t>
      </w:r>
      <w:r>
        <w:rPr>
          <w:rFonts w:ascii="Times New Roman" w:hAnsi="Times New Roman"/>
          <w:color w:val="000000" w:themeColor="text1"/>
          <w:sz w:val="22"/>
          <w:shd w:val="clear" w:color="auto" w:fill="FFFFFF"/>
        </w:rPr>
        <w:t>Patients were diagnosed with schizophrenia according to the structured clinical interview for DSM-IV Axis I disorders - clinical version (SCID-I-CV).</w:t>
      </w:r>
      <w:r>
        <w:rPr>
          <w:rStyle w:val="apple-converted-space"/>
          <w:rFonts w:ascii="Times New Roman" w:hAnsi="Times New Roman"/>
          <w:color w:val="000000" w:themeColor="text1"/>
          <w:sz w:val="22"/>
          <w:shd w:val="clear" w:color="auto" w:fill="FFFFFF"/>
        </w:rPr>
        <w:t xml:space="preserve"> All patients </w:t>
      </w:r>
      <w:r>
        <w:rPr>
          <w:rStyle w:val="apple-converted-space"/>
          <w:rFonts w:ascii="Times New Roman" w:hAnsi="Times New Roman" w:hint="eastAsia"/>
          <w:color w:val="000000" w:themeColor="text1"/>
          <w:sz w:val="22"/>
          <w:shd w:val="clear" w:color="auto" w:fill="FFFFFF"/>
        </w:rPr>
        <w:t>received treatment</w:t>
      </w:r>
      <w:r>
        <w:rPr>
          <w:rStyle w:val="apple-converted-space"/>
          <w:rFonts w:ascii="Times New Roman" w:hAnsi="Times New Roman"/>
          <w:color w:val="000000" w:themeColor="text1"/>
          <w:sz w:val="22"/>
          <w:shd w:val="clear" w:color="auto" w:fill="FFFFFF"/>
        </w:rPr>
        <w:t xml:space="preserve"> with</w:t>
      </w:r>
      <w:r>
        <w:rPr>
          <w:color w:val="000000" w:themeColor="text1"/>
        </w:rPr>
        <w:t xml:space="preserve"> </w:t>
      </w:r>
      <w:r>
        <w:rPr>
          <w:rFonts w:ascii="Times New Roman" w:hAnsi="Times New Roman"/>
          <w:color w:val="000000" w:themeColor="text1"/>
          <w:sz w:val="22"/>
        </w:rPr>
        <w:t>antipsychotics</w:t>
      </w:r>
      <w:r>
        <w:rPr>
          <w:rFonts w:ascii="Times New Roman" w:hAnsi="Times New Roman" w:hint="eastAsia"/>
          <w:color w:val="000000" w:themeColor="text1"/>
          <w:sz w:val="22"/>
        </w:rPr>
        <w:t xml:space="preserve"> and did not </w:t>
      </w:r>
      <w:r>
        <w:rPr>
          <w:rFonts w:ascii="Times New Roman" w:hAnsi="Times New Roman"/>
          <w:color w:val="000000" w:themeColor="text1"/>
          <w:sz w:val="22"/>
        </w:rPr>
        <w:t>participat</w:t>
      </w:r>
      <w:r>
        <w:rPr>
          <w:rFonts w:ascii="Times New Roman" w:hAnsi="Times New Roman" w:hint="eastAsia"/>
          <w:color w:val="000000" w:themeColor="text1"/>
          <w:sz w:val="22"/>
        </w:rPr>
        <w:t>e</w:t>
      </w:r>
      <w:r>
        <w:rPr>
          <w:rFonts w:ascii="Times New Roman" w:hAnsi="Times New Roman"/>
          <w:color w:val="000000" w:themeColor="text1"/>
          <w:sz w:val="22"/>
        </w:rPr>
        <w:t xml:space="preserve"> in other therapy programs.</w:t>
      </w:r>
      <w:r>
        <w:rPr>
          <w:rFonts w:ascii="Times New Roman" w:hAnsi="Times New Roman" w:hint="eastAsia"/>
          <w:color w:val="000000" w:themeColor="text1"/>
          <w:sz w:val="22"/>
        </w:rPr>
        <w:t xml:space="preserve"> </w:t>
      </w:r>
      <w:r>
        <w:rPr>
          <w:rStyle w:val="apple-converted-space"/>
          <w:rFonts w:ascii="Times New Roman" w:hAnsi="Times New Roman"/>
          <w:color w:val="000000" w:themeColor="text1"/>
          <w:sz w:val="22"/>
          <w:shd w:val="clear" w:color="auto" w:fill="FFFFFF"/>
        </w:rPr>
        <w:t>Exclusion criteria included</w:t>
      </w:r>
      <w:r>
        <w:rPr>
          <w:rStyle w:val="apple-converted-space"/>
          <w:rFonts w:ascii="Times New Roman" w:hAnsi="Times New Roman" w:hint="eastAsia"/>
          <w:color w:val="000000" w:themeColor="text1"/>
          <w:sz w:val="22"/>
          <w:shd w:val="clear" w:color="auto" w:fill="FFFFFF"/>
        </w:rPr>
        <w:t xml:space="preserve"> </w:t>
      </w:r>
      <w:r>
        <w:rPr>
          <w:rStyle w:val="apple-converted-space"/>
          <w:rFonts w:ascii="Times New Roman" w:hAnsi="Times New Roman"/>
          <w:color w:val="000000" w:themeColor="text1"/>
          <w:sz w:val="22"/>
          <w:shd w:val="clear" w:color="auto" w:fill="FFFFFF"/>
        </w:rPr>
        <w:t>co-morbid Axis I diagnosis, active substance use disorders</w:t>
      </w:r>
      <w:r>
        <w:rPr>
          <w:rStyle w:val="apple-converted-space"/>
          <w:rFonts w:ascii="Times New Roman" w:hAnsi="Times New Roman" w:hint="eastAsia"/>
          <w:color w:val="000000" w:themeColor="text1"/>
          <w:sz w:val="22"/>
          <w:shd w:val="clear" w:color="auto" w:fill="FFFFFF"/>
        </w:rPr>
        <w:t xml:space="preserve">, </w:t>
      </w:r>
      <w:r>
        <w:rPr>
          <w:rStyle w:val="apple-converted-space"/>
          <w:rFonts w:ascii="Times New Roman" w:hAnsi="Times New Roman"/>
          <w:color w:val="000000" w:themeColor="text1"/>
          <w:sz w:val="22"/>
          <w:shd w:val="clear" w:color="auto" w:fill="FFFFFF"/>
        </w:rPr>
        <w:t xml:space="preserve">or history of brain injury. </w:t>
      </w:r>
      <w:r>
        <w:rPr>
          <w:rFonts w:ascii="Times New Roman" w:hAnsi="Times New Roman" w:hint="eastAsia"/>
          <w:color w:val="000000" w:themeColor="text1"/>
          <w:sz w:val="22"/>
        </w:rPr>
        <w:t>HC</w:t>
      </w:r>
      <w:r>
        <w:rPr>
          <w:rFonts w:ascii="Times New Roman" w:hAnsi="Times New Roman"/>
          <w:color w:val="000000" w:themeColor="text1"/>
          <w:sz w:val="22"/>
        </w:rPr>
        <w:t xml:space="preserve"> were excluded based on current or past Axis I disorder as verified using the Structured Clinical Interview for DSM-IV, history of neurological illness, traumatic brain injury, substance-related disorders, or first-degree relatives with a history of psychosis. </w:t>
      </w:r>
      <w:r>
        <w:rPr>
          <w:rFonts w:ascii="Times New Roman" w:hAnsi="Times New Roman" w:hint="eastAsia"/>
          <w:color w:val="000000" w:themeColor="text1"/>
          <w:sz w:val="22"/>
        </w:rPr>
        <w:t>T</w:t>
      </w:r>
      <w:r>
        <w:rPr>
          <w:rFonts w:ascii="Times New Roman" w:hAnsi="Times New Roman"/>
          <w:color w:val="000000" w:themeColor="text1"/>
          <w:sz w:val="22"/>
        </w:rPr>
        <w:t xml:space="preserve">wo </w:t>
      </w:r>
      <w:r>
        <w:rPr>
          <w:rFonts w:ascii="Times New Roman" w:hAnsi="Times New Roman" w:hint="eastAsia"/>
          <w:color w:val="000000" w:themeColor="text1"/>
          <w:sz w:val="22"/>
        </w:rPr>
        <w:t xml:space="preserve">HC with </w:t>
      </w:r>
      <w:r>
        <w:rPr>
          <w:rFonts w:ascii="Times New Roman" w:hAnsi="Times New Roman"/>
          <w:color w:val="000000" w:themeColor="text1"/>
          <w:sz w:val="22"/>
        </w:rPr>
        <w:t xml:space="preserve">poor quality of </w:t>
      </w:r>
      <w:r>
        <w:rPr>
          <w:rFonts w:ascii="Times New Roman" w:hAnsi="Times New Roman" w:hint="eastAsia"/>
          <w:color w:val="000000" w:themeColor="text1"/>
          <w:sz w:val="22"/>
        </w:rPr>
        <w:t xml:space="preserve">imaging </w:t>
      </w:r>
      <w:r>
        <w:rPr>
          <w:rFonts w:ascii="Times New Roman" w:hAnsi="Times New Roman"/>
          <w:color w:val="000000" w:themeColor="text1"/>
          <w:sz w:val="22"/>
        </w:rPr>
        <w:t>data as assessed by visual evaluation</w:t>
      </w:r>
      <w:r>
        <w:rPr>
          <w:rFonts w:ascii="Times New Roman" w:hAnsi="Times New Roman" w:hint="eastAsia"/>
          <w:color w:val="000000" w:themeColor="text1"/>
          <w:sz w:val="22"/>
        </w:rPr>
        <w:t xml:space="preserve"> </w:t>
      </w:r>
      <w:r>
        <w:rPr>
          <w:rFonts w:ascii="Times New Roman" w:hAnsi="Times New Roman"/>
          <w:color w:val="000000" w:themeColor="text1"/>
          <w:sz w:val="22"/>
        </w:rPr>
        <w:t>were excluded.</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Six patients and two </w:t>
      </w:r>
      <w:r>
        <w:rPr>
          <w:rFonts w:ascii="Times New Roman" w:hAnsi="Times New Roman" w:hint="eastAsia"/>
          <w:color w:val="000000" w:themeColor="text1"/>
          <w:sz w:val="22"/>
        </w:rPr>
        <w:t>HC</w:t>
      </w:r>
      <w:r>
        <w:rPr>
          <w:rFonts w:ascii="Times New Roman" w:hAnsi="Times New Roman"/>
          <w:color w:val="000000" w:themeColor="text1"/>
          <w:sz w:val="22"/>
        </w:rPr>
        <w:t xml:space="preserve"> </w:t>
      </w:r>
      <w:r>
        <w:rPr>
          <w:rFonts w:ascii="Times New Roman" w:hAnsi="Times New Roman" w:hint="eastAsia"/>
          <w:color w:val="000000" w:themeColor="text1"/>
          <w:sz w:val="22"/>
        </w:rPr>
        <w:t xml:space="preserve">were further excluded </w:t>
      </w:r>
      <w:r>
        <w:rPr>
          <w:rFonts w:ascii="Times New Roman" w:hAnsi="Times New Roman"/>
          <w:color w:val="000000" w:themeColor="text1"/>
          <w:sz w:val="22"/>
        </w:rPr>
        <w:t>based on the result of MRI preprocessing (see the method for details)</w:t>
      </w:r>
      <w:r>
        <w:rPr>
          <w:rFonts w:ascii="Times New Roman" w:hAnsi="Times New Roman" w:hint="eastAsia"/>
          <w:color w:val="000000" w:themeColor="text1"/>
          <w:sz w:val="22"/>
        </w:rPr>
        <w:t>. This process left n</w:t>
      </w:r>
      <w:r>
        <w:rPr>
          <w:rFonts w:ascii="Times New Roman" w:hAnsi="Times New Roman"/>
          <w:color w:val="000000" w:themeColor="text1"/>
          <w:sz w:val="22"/>
        </w:rPr>
        <w:t>inety-six schizophrenia patients and 12</w:t>
      </w:r>
      <w:r>
        <w:rPr>
          <w:rFonts w:ascii="Times New Roman" w:hAnsi="Times New Roman" w:hint="eastAsia"/>
          <w:color w:val="000000" w:themeColor="text1"/>
          <w:sz w:val="22"/>
        </w:rPr>
        <w:t>2</w:t>
      </w:r>
      <w:r>
        <w:rPr>
          <w:rFonts w:ascii="Times New Roman" w:hAnsi="Times New Roman"/>
          <w:color w:val="000000" w:themeColor="text1"/>
          <w:sz w:val="22"/>
        </w:rPr>
        <w:t xml:space="preserve"> </w:t>
      </w:r>
      <w:r>
        <w:rPr>
          <w:rFonts w:ascii="Times New Roman" w:hAnsi="Times New Roman" w:hint="eastAsia"/>
          <w:color w:val="000000" w:themeColor="text1"/>
          <w:sz w:val="22"/>
        </w:rPr>
        <w:t xml:space="preserve">HC </w:t>
      </w:r>
      <w:r>
        <w:rPr>
          <w:rFonts w:ascii="Times New Roman" w:hAnsi="Times New Roman"/>
          <w:color w:val="000000" w:themeColor="text1"/>
          <w:sz w:val="22"/>
        </w:rPr>
        <w:t>as a final sample of our study.</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Written informed consent was obtained from all </w:t>
      </w:r>
      <w:r>
        <w:rPr>
          <w:rFonts w:ascii="Times New Roman" w:hAnsi="Times New Roman" w:hint="eastAsia"/>
          <w:color w:val="000000" w:themeColor="text1"/>
          <w:sz w:val="22"/>
        </w:rPr>
        <w:t>subjects</w:t>
      </w:r>
      <w:r>
        <w:rPr>
          <w:rFonts w:ascii="Times New Roman" w:hAnsi="Times New Roman"/>
          <w:color w:val="000000" w:themeColor="text1"/>
          <w:sz w:val="22"/>
        </w:rPr>
        <w:t>. The authors assert that all procedures contributing to this work comply with the ethical standards of the relevant national and institutional committees on human experimentation and with the Helsinki Declaration of 1975, as revised in 2008. All procedures involving human subjects/patients were approved by the Ethics Committee of the Clinical Hospital of Chengdu Brain Science Institute</w:t>
      </w:r>
      <w:r>
        <w:rPr>
          <w:rFonts w:ascii="Times New Roman" w:hAnsi="Times New Roman" w:hint="eastAsia"/>
          <w:color w:val="000000" w:themeColor="text1"/>
          <w:sz w:val="22"/>
        </w:rPr>
        <w:t xml:space="preserve">. </w:t>
      </w:r>
    </w:p>
    <w:p w:rsidR="00EA0D74" w:rsidRDefault="00746ABF">
      <w:pPr>
        <w:spacing w:line="360" w:lineRule="auto"/>
        <w:jc w:val="left"/>
        <w:rPr>
          <w:rFonts w:ascii="Times New Roman" w:hAnsi="Times New Roman"/>
          <w:color w:val="000000" w:themeColor="text1"/>
          <w:sz w:val="28"/>
          <w:szCs w:val="28"/>
        </w:rPr>
      </w:pPr>
      <w:r>
        <w:rPr>
          <w:rFonts w:ascii="Times New Roman" w:hAnsi="Times New Roman"/>
          <w:color w:val="000000" w:themeColor="text1"/>
          <w:sz w:val="28"/>
          <w:szCs w:val="28"/>
        </w:rPr>
        <w:t xml:space="preserve">Data acquisition and </w:t>
      </w:r>
      <w:bookmarkStart w:id="0" w:name="OLE_LINK34"/>
      <w:bookmarkStart w:id="1" w:name="OLE_LINK32"/>
      <w:bookmarkStart w:id="2" w:name="OLE_LINK33"/>
      <w:r>
        <w:rPr>
          <w:rFonts w:ascii="Times New Roman" w:hAnsi="Times New Roman"/>
          <w:color w:val="000000" w:themeColor="text1"/>
          <w:sz w:val="28"/>
          <w:szCs w:val="28"/>
        </w:rPr>
        <w:t>image preprocessing</w:t>
      </w:r>
      <w:bookmarkEnd w:id="0"/>
      <w:bookmarkEnd w:id="1"/>
      <w:bookmarkEnd w:id="2"/>
    </w:p>
    <w:p w:rsidR="00EA0D74" w:rsidRDefault="00746ABF">
      <w:pPr>
        <w:spacing w:line="360" w:lineRule="auto"/>
        <w:rPr>
          <w:rFonts w:ascii="Times New Roman" w:hAnsi="Times New Roman"/>
          <w:color w:val="000000" w:themeColor="text1"/>
          <w:sz w:val="22"/>
        </w:rPr>
      </w:pPr>
      <w:r>
        <w:rPr>
          <w:rFonts w:ascii="Times New Roman" w:hAnsi="Times New Roman"/>
          <w:color w:val="000000" w:themeColor="text1"/>
          <w:sz w:val="22"/>
          <w:shd w:val="clear" w:color="auto" w:fill="FFFFFF"/>
        </w:rPr>
        <w:t xml:space="preserve">MRI data were </w:t>
      </w:r>
      <w:r>
        <w:rPr>
          <w:rFonts w:ascii="Times New Roman" w:hAnsi="Times New Roman" w:hint="eastAsia"/>
          <w:color w:val="000000" w:themeColor="text1"/>
          <w:sz w:val="22"/>
          <w:shd w:val="clear" w:color="auto" w:fill="FFFFFF"/>
        </w:rPr>
        <w:t>obtained</w:t>
      </w:r>
      <w:r>
        <w:rPr>
          <w:rFonts w:ascii="Times New Roman" w:hAnsi="Times New Roman"/>
          <w:color w:val="000000" w:themeColor="text1"/>
          <w:sz w:val="22"/>
          <w:shd w:val="clear" w:color="auto" w:fill="FFFFFF"/>
        </w:rPr>
        <w:t xml:space="preserve"> on a 3-T GE Discovery MR 750 scanner at the MRI Center of the University of Electronic Science and Technology of China. </w:t>
      </w:r>
      <w:r>
        <w:rPr>
          <w:rFonts w:ascii="Times New Roman" w:hAnsi="Times New Roman" w:hint="eastAsia"/>
          <w:color w:val="000000" w:themeColor="text1"/>
          <w:sz w:val="22"/>
          <w:shd w:val="clear" w:color="auto" w:fill="FFFFFF"/>
        </w:rPr>
        <w:t>Functional s</w:t>
      </w:r>
      <w:r>
        <w:rPr>
          <w:rFonts w:ascii="Times New Roman" w:hAnsi="Times New Roman"/>
          <w:color w:val="000000" w:themeColor="text1"/>
          <w:sz w:val="22"/>
          <w:shd w:val="clear" w:color="auto" w:fill="FFFFFF"/>
        </w:rPr>
        <w:t xml:space="preserve">cans were performed using a standard echo-planar imaging (EPI) pulse sequence with the following scan parameters: TR/TE = 2000 </w:t>
      </w:r>
      <w:proofErr w:type="spellStart"/>
      <w:r>
        <w:rPr>
          <w:rFonts w:ascii="Times New Roman" w:hAnsi="Times New Roman"/>
          <w:color w:val="000000" w:themeColor="text1"/>
          <w:sz w:val="22"/>
          <w:shd w:val="clear" w:color="auto" w:fill="FFFFFF"/>
        </w:rPr>
        <w:t>ms</w:t>
      </w:r>
      <w:proofErr w:type="spellEnd"/>
      <w:r>
        <w:rPr>
          <w:rFonts w:ascii="Times New Roman" w:hAnsi="Times New Roman"/>
          <w:color w:val="000000" w:themeColor="text1"/>
          <w:sz w:val="22"/>
          <w:shd w:val="clear" w:color="auto" w:fill="FFFFFF"/>
        </w:rPr>
        <w:t xml:space="preserve">/30 </w:t>
      </w:r>
      <w:proofErr w:type="spellStart"/>
      <w:r>
        <w:rPr>
          <w:rFonts w:ascii="Times New Roman" w:hAnsi="Times New Roman"/>
          <w:color w:val="000000" w:themeColor="text1"/>
          <w:sz w:val="22"/>
          <w:shd w:val="clear" w:color="auto" w:fill="FFFFFF"/>
        </w:rPr>
        <w:t>ms</w:t>
      </w:r>
      <w:proofErr w:type="spellEnd"/>
      <w:r>
        <w:rPr>
          <w:rFonts w:ascii="Times New Roman" w:hAnsi="Times New Roman"/>
          <w:color w:val="000000" w:themeColor="text1"/>
          <w:sz w:val="22"/>
          <w:shd w:val="clear" w:color="auto" w:fill="FFFFFF"/>
        </w:rPr>
        <w:t>, flip angle (FA) = 90°, matrix size = 64 × 64, field of view (FOV) = 240 × 240 mm</w:t>
      </w:r>
      <w:r>
        <w:rPr>
          <w:rFonts w:ascii="Times New Roman" w:hAnsi="Times New Roman"/>
          <w:color w:val="000000" w:themeColor="text1"/>
          <w:sz w:val="22"/>
          <w:shd w:val="clear" w:color="auto" w:fill="FFFFFF"/>
          <w:vertAlign w:val="superscript"/>
        </w:rPr>
        <w:t>2</w:t>
      </w:r>
      <w:r>
        <w:rPr>
          <w:rFonts w:ascii="Times New Roman" w:hAnsi="Times New Roman"/>
          <w:color w:val="000000" w:themeColor="text1"/>
          <w:sz w:val="22"/>
          <w:shd w:val="clear" w:color="auto" w:fill="FFFFFF"/>
        </w:rPr>
        <w:t>, 35 interleaved slices and slice thickness = 4 mm (no gap). During this</w:t>
      </w:r>
      <w:r>
        <w:rPr>
          <w:rFonts w:ascii="Times New Roman" w:hAnsi="Times New Roman" w:hint="eastAsia"/>
          <w:color w:val="000000" w:themeColor="text1"/>
          <w:sz w:val="22"/>
          <w:shd w:val="clear" w:color="auto" w:fill="FFFFFF"/>
        </w:rPr>
        <w:t xml:space="preserve"> resting</w:t>
      </w:r>
      <w:r>
        <w:rPr>
          <w:rFonts w:ascii="Times New Roman" w:hAnsi="Times New Roman"/>
          <w:color w:val="000000" w:themeColor="text1"/>
          <w:sz w:val="22"/>
          <w:shd w:val="clear" w:color="auto" w:fill="FFFFFF"/>
        </w:rPr>
        <w:t>-</w:t>
      </w:r>
      <w:r>
        <w:rPr>
          <w:rFonts w:ascii="Times New Roman" w:hAnsi="Times New Roman" w:hint="eastAsia"/>
          <w:color w:val="000000" w:themeColor="text1"/>
          <w:sz w:val="22"/>
          <w:shd w:val="clear" w:color="auto" w:fill="FFFFFF"/>
        </w:rPr>
        <w:t xml:space="preserve">state fMRI </w:t>
      </w:r>
      <w:r>
        <w:rPr>
          <w:rFonts w:ascii="Times New Roman" w:hAnsi="Times New Roman"/>
          <w:color w:val="000000" w:themeColor="text1"/>
          <w:sz w:val="22"/>
          <w:shd w:val="clear" w:color="auto" w:fill="FFFFFF"/>
        </w:rPr>
        <w:t>scanning</w:t>
      </w:r>
      <w:r>
        <w:rPr>
          <w:rFonts w:ascii="Times New Roman" w:hAnsi="Times New Roman" w:hint="eastAsia"/>
          <w:color w:val="000000" w:themeColor="text1"/>
          <w:sz w:val="22"/>
          <w:shd w:val="clear" w:color="auto" w:fill="FFFFFF"/>
        </w:rPr>
        <w:t xml:space="preserve">, each </w:t>
      </w:r>
      <w:r>
        <w:rPr>
          <w:rFonts w:ascii="Times New Roman" w:hAnsi="Times New Roman"/>
          <w:color w:val="000000" w:themeColor="text1"/>
          <w:sz w:val="22"/>
          <w:shd w:val="clear" w:color="auto" w:fill="FFFFFF"/>
        </w:rPr>
        <w:t>participant w</w:t>
      </w:r>
      <w:r>
        <w:rPr>
          <w:rFonts w:ascii="Times New Roman" w:hAnsi="Times New Roman" w:hint="eastAsia"/>
          <w:color w:val="000000" w:themeColor="text1"/>
          <w:sz w:val="22"/>
          <w:shd w:val="clear" w:color="auto" w:fill="FFFFFF"/>
        </w:rPr>
        <w:t>as</w:t>
      </w:r>
      <w:r>
        <w:rPr>
          <w:rFonts w:ascii="Times New Roman" w:hAnsi="Times New Roman"/>
          <w:color w:val="000000" w:themeColor="text1"/>
          <w:sz w:val="22"/>
          <w:shd w:val="clear" w:color="auto" w:fill="FFFFFF"/>
        </w:rPr>
        <w:t xml:space="preserve"> instructed to stay relaxed and close his/her eyes without falling asleep</w:t>
      </w:r>
      <w:r>
        <w:rPr>
          <w:rFonts w:ascii="Times New Roman" w:hAnsi="Times New Roman" w:hint="eastAsia"/>
          <w:color w:val="000000" w:themeColor="text1"/>
          <w:sz w:val="22"/>
          <w:shd w:val="clear" w:color="auto" w:fill="FFFFFF"/>
        </w:rPr>
        <w:t>.</w:t>
      </w:r>
      <w:r>
        <w:rPr>
          <w:rFonts w:ascii="Times New Roman" w:hAnsi="Times New Roman" w:hint="eastAsia"/>
          <w:color w:val="000000" w:themeColor="text1"/>
          <w:sz w:val="22"/>
        </w:rPr>
        <w:t xml:space="preserve"> </w:t>
      </w:r>
      <w:r>
        <w:rPr>
          <w:rFonts w:ascii="Times New Roman" w:hAnsi="Times New Roman" w:hint="eastAsia"/>
          <w:color w:val="000000" w:themeColor="text1"/>
          <w:sz w:val="22"/>
          <w:shd w:val="clear" w:color="auto" w:fill="FFFFFF"/>
        </w:rPr>
        <w:t>Each</w:t>
      </w:r>
      <w:r>
        <w:rPr>
          <w:rFonts w:ascii="Times New Roman" w:hAnsi="Times New Roman"/>
          <w:color w:val="000000" w:themeColor="text1"/>
          <w:sz w:val="22"/>
          <w:shd w:val="clear" w:color="auto" w:fill="FFFFFF"/>
        </w:rPr>
        <w:t xml:space="preserve"> scan lasted for 510 s </w:t>
      </w:r>
      <w:r>
        <w:rPr>
          <w:rFonts w:ascii="Times New Roman" w:hAnsi="Times New Roman" w:hint="eastAsia"/>
          <w:color w:val="000000" w:themeColor="text1"/>
          <w:sz w:val="22"/>
          <w:shd w:val="clear" w:color="auto" w:fill="FFFFFF"/>
        </w:rPr>
        <w:t>per</w:t>
      </w:r>
      <w:r>
        <w:rPr>
          <w:rFonts w:ascii="Times New Roman" w:hAnsi="Times New Roman"/>
          <w:color w:val="000000" w:themeColor="text1"/>
          <w:sz w:val="22"/>
          <w:shd w:val="clear" w:color="auto" w:fill="FFFFFF"/>
        </w:rPr>
        <w:t xml:space="preserve"> subject </w:t>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255 volumes</w:t>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 xml:space="preserve">. T1-weighted anatomical data were acquired using a </w:t>
      </w:r>
      <w:r>
        <w:rPr>
          <w:rFonts w:ascii="Times New Roman" w:hAnsi="Times New Roman"/>
          <w:color w:val="000000" w:themeColor="text1"/>
          <w:sz w:val="22"/>
        </w:rPr>
        <w:t>MPRAGE (MEMPR) sequence (scan parameters</w:t>
      </w:r>
      <w:r>
        <w:rPr>
          <w:rFonts w:ascii="Times New Roman" w:hAnsi="Times New Roman"/>
          <w:color w:val="000000" w:themeColor="text1"/>
          <w:sz w:val="22"/>
          <w:shd w:val="clear" w:color="auto" w:fill="FFFFFF"/>
        </w:rPr>
        <w:t xml:space="preserve">: TR/ TE= 1900 </w:t>
      </w:r>
      <w:proofErr w:type="spellStart"/>
      <w:r>
        <w:rPr>
          <w:rFonts w:ascii="Times New Roman" w:hAnsi="Times New Roman"/>
          <w:color w:val="000000" w:themeColor="text1"/>
          <w:sz w:val="22"/>
          <w:shd w:val="clear" w:color="auto" w:fill="FFFFFF"/>
        </w:rPr>
        <w:t>ms</w:t>
      </w:r>
      <w:proofErr w:type="spellEnd"/>
      <w:r>
        <w:rPr>
          <w:rFonts w:ascii="Times New Roman" w:hAnsi="Times New Roman"/>
          <w:color w:val="000000" w:themeColor="text1"/>
          <w:sz w:val="22"/>
          <w:shd w:val="clear" w:color="auto" w:fill="FFFFFF"/>
        </w:rPr>
        <w:t xml:space="preserve">/3.43 </w:t>
      </w:r>
      <w:proofErr w:type="spellStart"/>
      <w:r>
        <w:rPr>
          <w:rFonts w:ascii="Times New Roman" w:hAnsi="Times New Roman"/>
          <w:color w:val="000000" w:themeColor="text1"/>
          <w:sz w:val="22"/>
          <w:shd w:val="clear" w:color="auto" w:fill="FFFFFF"/>
        </w:rPr>
        <w:t>ms</w:t>
      </w:r>
      <w:proofErr w:type="spellEnd"/>
      <w:r>
        <w:rPr>
          <w:rFonts w:ascii="Times New Roman" w:hAnsi="Times New Roman"/>
          <w:color w:val="000000" w:themeColor="text1"/>
          <w:sz w:val="22"/>
          <w:shd w:val="clear" w:color="auto" w:fill="FFFFFF"/>
        </w:rPr>
        <w:t>, FA = 90°, matrix size = 256 × 256, FOV = 240 mm × 240 mm, slice thickness = 1 mm, voxel size = 0.9375 mm × 0.9375 mm × 1 mm, 160 slices). In both scans, foam pads were used to reduce head movement and scanner noise. The anatomical data were used to normalize functional data.</w:t>
      </w:r>
    </w:p>
    <w:p w:rsidR="00EA0D74" w:rsidRDefault="00746ABF">
      <w:pPr>
        <w:autoSpaceDE w:val="0"/>
        <w:autoSpaceDN w:val="0"/>
        <w:adjustRightInd w:val="0"/>
        <w:spacing w:line="360" w:lineRule="auto"/>
        <w:ind w:left="640" w:hanging="640"/>
      </w:pPr>
      <w:r>
        <w:rPr>
          <w:rFonts w:ascii="Times New Roman" w:hAnsi="Times New Roman"/>
          <w:color w:val="000000" w:themeColor="text1"/>
          <w:sz w:val="22"/>
          <w:shd w:val="clear" w:color="auto" w:fill="FFFFFF"/>
        </w:rPr>
        <w:t>All preprocessing steps were carried out using the Data Processing &amp; Analysis for (Resting-State) Brain Imaging</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lastRenderedPageBreak/>
        <w:t>(DPABI</w:t>
      </w:r>
      <w:r>
        <w:rPr>
          <w:rFonts w:ascii="Times New Roman" w:hAnsi="Times New Roman" w:hint="eastAsia"/>
          <w:color w:val="000000" w:themeColor="text1"/>
          <w:sz w:val="22"/>
          <w:shd w:val="clear" w:color="auto" w:fill="FFFFFF"/>
        </w:rPr>
        <w:t xml:space="preserve"> v4.1</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{"citationItems":[{"id":"ITEM-1","itemData":{"DOI":"10.1007/s12021-016-9299-4","ISSN":"15392791","abstract":"© 2016, Springer Science+Business Media New York. Brain imaging efforts are being increasingly devoted to decode the functioning of the human brain. Among neuroimaging techniques, resting-state fMRI (R-fMRI) is currently expanding exponentially. Beyond the general neuroimaging analysis packages (e.g., SPM, AFNI and FSL), REST and DPARSF were developed to meet the increasing need of user-friendly toolboxes for R-fMRI data processing. To address recently identified methodological challenges of R-fMRI, we introduce the newly developed toolbox, DPABI, which was evolved from REST and DPARSF. DPABI incorporates recent research advances on head motion control and measurement standardization, thus allowing users to evaluate results using stringent control strategies. DPABI also emphasizes test-retest reliability and quality control of data processing. Furthermore, DPABI provides a user-friendly pipeline analysis toolkit for rat/monkey R-fMRI data analysis to reflect the rapid advances in animal imaging. In addition, DPABI includes preprocessing modules for task-based fMRI, voxel-based morphometry analysis, statistical analysis and results viewing. DPABI is designed to make data analysis require fewer manual operations, be less time-consuming, have a lower skill requirement, a smaller risk of inadvertent mistakes, and be more comparable across studies. We anticipate this open-source toolbox will assist novices and expert users alike and continue to support advancing R-fMRI methodology and its application to clinical translational studies.","author":[{"dropping-particle":"","family":"Yan","given":"Chao Gan","non-dropping-particle":"","parse-names":false,"suffix":""},{"dropping-particle":"Di","family":"Wang","given":"Xin","non-dropping-particle":"","parse-names":false,"suffix":""},{"dropping-particle":"","family":"Zuo","given":"Xi Nian","non-dropping-particle":"","parse-names":false,"suffix":""},{"dropping-particle":"","family":"Zang","given":"Yu Feng","non-dropping-particle":"","parse-names":false,"suffix":""}],"container-title":"Neuroinformatics","id":"ITEM-1","issue":"3","issued":{"date-parts":[["2016"]]},"page":"339-351","publisher":"Neuroinformatics","title":"DPABI: Data Processing &amp; Analysis for (Resting-State) Brain Imaging","type":"article-journal","volume":"14"},"uris":["http://www.mendeley.com/documents/?uuid=5e64cb8a-4f97-4562-91b8-3c0f2a9361de"]}],"mendeley":{"formattedCitation":"(Yan, Wang, Zuo, &amp; Zang, 2016)","plainTextFormattedCitation":"(Yan, Wang, Zuo, &amp; Zang, 2016)","previouslyFormattedCitation":"(1)"},"properties":{"noteIndex":0},"schema":"https://github.com/citation-style-language/schema/raw/master/csl-citation.json"}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 xml:space="preserve">(Yan, Wang, Zuo, &amp; </w:t>
      </w:r>
      <w:proofErr w:type="spellStart"/>
      <w:r>
        <w:rPr>
          <w:rFonts w:ascii="Times New Roman" w:hAnsi="Times New Roman"/>
          <w:color w:val="000000" w:themeColor="text1"/>
          <w:sz w:val="22"/>
          <w:shd w:val="clear" w:color="auto" w:fill="FFFFFF"/>
        </w:rPr>
        <w:t>Zang</w:t>
      </w:r>
      <w:proofErr w:type="spellEnd"/>
      <w:r>
        <w:rPr>
          <w:rFonts w:ascii="Times New Roman" w:hAnsi="Times New Roman"/>
          <w:color w:val="000000" w:themeColor="text1"/>
          <w:sz w:val="22"/>
          <w:shd w:val="clear" w:color="auto" w:fill="FFFFFF"/>
        </w:rPr>
        <w:t>, 2016)</w:t>
      </w:r>
      <w:r>
        <w:rPr>
          <w:rFonts w:ascii="Times New Roman" w:hAnsi="Times New Roman"/>
          <w:color w:val="000000" w:themeColor="text1"/>
          <w:sz w:val="22"/>
          <w:shd w:val="clear" w:color="auto" w:fill="FFFFFF"/>
        </w:rPr>
        <w:fldChar w:fldCharType="end"/>
      </w:r>
      <w:r>
        <w:rPr>
          <w:rFonts w:ascii="Times New Roman" w:hAnsi="Times New Roman"/>
          <w:color w:val="000000" w:themeColor="text1"/>
          <w:sz w:val="22"/>
          <w:shd w:val="clear" w:color="auto" w:fill="FFFFFF"/>
        </w:rPr>
        <w:t>,</w:t>
      </w:r>
      <w:r>
        <w:t xml:space="preserve"> </w:t>
      </w:r>
      <w:r>
        <w:rPr>
          <w:rFonts w:ascii="Times New Roman" w:hAnsi="Times New Roman"/>
          <w:color w:val="000000" w:themeColor="text1"/>
          <w:sz w:val="22"/>
          <w:shd w:val="clear" w:color="auto" w:fill="FFFFFF"/>
        </w:rPr>
        <w:t xml:space="preserve">and </w:t>
      </w:r>
      <w:proofErr w:type="spellStart"/>
      <w:r>
        <w:rPr>
          <w:rFonts w:ascii="Times New Roman" w:hAnsi="Times New Roman" w:hint="eastAsia"/>
          <w:color w:val="000000" w:themeColor="text1"/>
          <w:sz w:val="22"/>
          <w:shd w:val="clear" w:color="auto" w:fill="FFFFFF"/>
        </w:rPr>
        <w:t>M</w:t>
      </w:r>
      <w:r>
        <w:rPr>
          <w:rFonts w:ascii="Times New Roman" w:hAnsi="Times New Roman"/>
          <w:color w:val="000000" w:themeColor="text1"/>
          <w:sz w:val="22"/>
          <w:shd w:val="clear" w:color="auto" w:fill="FFFFFF"/>
        </w:rPr>
        <w:t>atlab</w:t>
      </w:r>
      <w:proofErr w:type="spellEnd"/>
      <w:r>
        <w:rPr>
          <w:rFonts w:ascii="Times New Roman" w:hAnsi="Times New Roman"/>
          <w:color w:val="000000" w:themeColor="text1"/>
          <w:sz w:val="22"/>
          <w:shd w:val="clear" w:color="auto" w:fill="FFFFFF"/>
        </w:rPr>
        <w:t xml:space="preserve"> scripts. </w:t>
      </w:r>
      <w:r>
        <w:rPr>
          <w:rFonts w:ascii="Times New Roman" w:hAnsi="Times New Roman" w:hint="eastAsia"/>
          <w:color w:val="000000" w:themeColor="text1"/>
          <w:sz w:val="22"/>
          <w:shd w:val="clear" w:color="auto" w:fill="FFFFFF"/>
        </w:rPr>
        <w:t xml:space="preserve">Consistent with our previous study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10.1093/schbul/sbaa016","ISSN":"0586-7614","author":[{"dropping-particle":"","family":"Dong","given":"Debo","non-dropping-particle":"","parse-names":false,"suffix":""},{"dropping-particle":"","family":"Luo","given":"Cheng","non-dropping-particle":"","parse-names":false,"suffix":""},{"dropping-particle":"","family":"Guell","given":"Xavier","non-dropping-particle":"","parse-names":false,"suffix":""},{"dropping-particle":"","family":"Wang","given":"Yulin","non-dropping-particle":"","parse-names":false,"suffix":""},{"dropping-particle":"","family":"He","given":"Hui","non-dropping-particle":"","parse-names":false,"suffix":""},{"dropping-particle":"","family":"Duan","given":"Mingjun","non-dropping-particle":"","parse-names":false,"suffix":""},{"dropping-particle":"","family":"Eickhoff","given":"Simon B","non-dropping-particle":"","parse-names":false,"suffix":""}],"container-title":"Schizophrenia Bulletin","id":"ITEM-1","issued":{"date-parts":[["2020"]]},"page":"1-14","title":"Compression of Cerebellar Functional Gradients in Schizophrenia Debo","type":"article-journal"},"uris":["http://www.mendeley.com/documents/?uuid=b67c2700-83b2-48b6-8ace-07c071713b3b"]},{"id":"ITEM-2","itemData":{"DOI":"10.1093/cercor/bhy232","ISSN":"1047-3211","abstract":"Schizophrenia is thought as a self-disorder with dysfunctional brain connectivity. This self-disorder is often attributed to high-order cognitive impairment. Yet due to the frequent report of sensorial and perceptual deficits, it has been hypothesized that self-disorder in schizophrenia is dysfunctional communication between sensory and cognitive processes. To further verify this assumption, the present study comprehensively examined dynamic reconfigurations of resting-state functional connectivity (rsFC) in schizophrenia at voxel level, region level, and network levels (102 patients vs. 124 controls). We found patients who show consistently increased rsFC variability in sensory and perceptual system, including visual network, sensorimotor network, attention network, and thalamus at all the three levels. However, decreased variability in high-order networks, such as default mode network and frontal-parietal network were only consistently observed at region and network levels. Taken together, these findings highlighted the rudimentary role of elevated instability of information communication in sensory and perceptual system and attenuated whole-brain integration of high-order network in schizophrenia, which provided novel neural evidence to support the hypothesis of disrupted perceptual and cognitive function in schizophrenia. The foci of effects also highlighted that targeting perceptual deficits can be regarded as the key to enhance our understanding of pathophysiology in schizophrenia and promote new treatment intervention.; ","author":[{"dropping-particle":"","family":"Dong","given":"Debo","non-dropping-particle":"","parse-names":false,"suffix":""},{"dropping-particle":"","family":"Duan","given":"Mingjun","non-dropping-particle":"","parse-names":false,"suffix":""},{"dropping-particle":"","family":"Wang","given":"Yulin","non-dropping-particle":"","parse-names":false,"suffix":""},{"dropping-particle":"","family":"Zhang","given":"Xingxing","non-dropping-particle":"","parse-names":false,"suffix":""},{"dropping-particle":"","family":"Jia","given":"Xiaoyan","non-dropping-particle":"","parse-names":false,"suffix":""},{"dropping-particle":"","family":"Li","given":"Yingjia","non-dropping-particle":"","parse-names":false,"suffix":""},{"dropping-particle":"","family":"Xin","given":"Fei","non-dropping-particle":"","parse-names":false,"suffix":""},{"dropping-particle":"","family":"Yao","given":"Dezhong","non-dropping-particle":"","parse-names":false,"suffix":""},{"dropping-particle":"","family":"Luo","given":"Cheng","non-dropping-particle":"","parse-names":false,"suffix":""}],"container-title":"Cerebral Cortex","id":"ITEM-2","issued":{"date-parts":[["2018"]]},"page":"1-13","title":"Reconfiguration of Dynamic Functional Connectivity in Sensory and Perceptual System in Schizophrenia","type":"article-journal"},"uris":["http://www.mendeley.com/documents/?uuid=49e0d132-7996-4f66-b7ff-78007d0fb41f"]}],"mendeley":{"formattedCitation":"(Dong et al., 2018, 2020)","plainTextFormattedCitation":"(Dong et al., 2018, 2020)","previouslyFormattedCitation":"(2, 3)"},"properties":{"noteIndex":0},"schema":"https://github.com/citation-style-language/schema/raw/master/csl-citation.json"}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(Dong et al., 2018, 2020)</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xml:space="preserve">, </w:t>
      </w:r>
      <w:r>
        <w:rPr>
          <w:rFonts w:ascii="Times New Roman" w:hAnsi="Times New Roman" w:hint="eastAsia"/>
          <w:color w:val="000000" w:themeColor="text1"/>
          <w:sz w:val="22"/>
        </w:rPr>
        <w:t>f</w:t>
      </w:r>
      <w:r>
        <w:rPr>
          <w:rFonts w:ascii="Times New Roman" w:hAnsi="Times New Roman"/>
          <w:color w:val="000000" w:themeColor="text1"/>
          <w:sz w:val="22"/>
        </w:rPr>
        <w:t>unctional images were (1) discarded in the first five volumes, (2) slice-time corrected, (3) realigned, (</w:t>
      </w:r>
      <w:r>
        <w:rPr>
          <w:rFonts w:ascii="Times New Roman" w:hAnsi="Times New Roman" w:hint="eastAsia"/>
          <w:color w:val="000000" w:themeColor="text1"/>
          <w:sz w:val="22"/>
        </w:rPr>
        <w:t>4</w:t>
      </w:r>
      <w:r>
        <w:rPr>
          <w:rFonts w:ascii="Times New Roman" w:hAnsi="Times New Roman"/>
          <w:color w:val="000000" w:themeColor="text1"/>
          <w:sz w:val="22"/>
        </w:rPr>
        <w:t>) co-registered to the high-resolution 3D anato</w:t>
      </w:r>
      <w:r>
        <w:rPr>
          <w:rFonts w:ascii="Times New Roman" w:hAnsi="Times New Roman"/>
          <w:color w:val="000000" w:themeColor="text1"/>
          <w:sz w:val="22"/>
          <w:shd w:val="clear" w:color="auto" w:fill="FFFFFF"/>
        </w:rPr>
        <w:t>mic volume,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5</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warped into </w:t>
      </w:r>
      <w:r>
        <w:rPr>
          <w:rFonts w:ascii="Times New Roman" w:hAnsi="Times New Roman" w:hint="eastAsia"/>
          <w:color w:val="000000" w:themeColor="text1"/>
          <w:sz w:val="22"/>
          <w:shd w:val="clear" w:color="auto" w:fill="FFFFFF"/>
        </w:rPr>
        <w:t>MNI152</w:t>
      </w:r>
      <w:r>
        <w:rPr>
          <w:rFonts w:ascii="Times New Roman" w:hAnsi="Times New Roman"/>
          <w:color w:val="000000" w:themeColor="text1"/>
          <w:sz w:val="22"/>
          <w:shd w:val="clear" w:color="auto" w:fill="FFFFFF"/>
        </w:rPr>
        <w:t xml:space="preserve"> standard space </w:t>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resampling the voxel size into 3×3×3 mm</w:t>
      </w:r>
      <w:r>
        <w:rPr>
          <w:rFonts w:ascii="Times New Roman" w:hAnsi="Times New Roman"/>
          <w:color w:val="000000" w:themeColor="text1"/>
          <w:sz w:val="22"/>
          <w:shd w:val="clear" w:color="auto" w:fill="FFFFFF"/>
          <w:vertAlign w:val="superscript"/>
        </w:rPr>
        <w:t>3</w:t>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 (</w:t>
      </w:r>
      <w:r>
        <w:rPr>
          <w:rFonts w:ascii="Times New Roman" w:hAnsi="Times New Roman" w:hint="eastAsia"/>
          <w:color w:val="000000" w:themeColor="text1"/>
          <w:sz w:val="22"/>
          <w:shd w:val="clear" w:color="auto" w:fill="FFFFFF"/>
        </w:rPr>
        <w:t>6</w:t>
      </w:r>
      <w:r>
        <w:rPr>
          <w:rFonts w:ascii="Times New Roman" w:hAnsi="Times New Roman"/>
          <w:color w:val="000000" w:themeColor="text1"/>
          <w:sz w:val="22"/>
          <w:shd w:val="clear" w:color="auto" w:fill="FFFFFF"/>
        </w:rPr>
        <w:t xml:space="preserve">) </w:t>
      </w:r>
      <w:bookmarkStart w:id="3" w:name="OLE_LINK42"/>
      <w:bookmarkStart w:id="4" w:name="OLE_LINK41"/>
      <w:r>
        <w:rPr>
          <w:rFonts w:ascii="Times New Roman" w:hAnsi="Times New Roman"/>
          <w:color w:val="000000" w:themeColor="text1"/>
          <w:sz w:val="22"/>
          <w:shd w:val="clear" w:color="auto" w:fill="FFFFFF"/>
        </w:rPr>
        <w:t xml:space="preserve">underwent wavelet </w:t>
      </w:r>
      <w:proofErr w:type="spellStart"/>
      <w:r>
        <w:rPr>
          <w:rFonts w:ascii="Times New Roman" w:hAnsi="Times New Roman"/>
          <w:color w:val="000000" w:themeColor="text1"/>
          <w:sz w:val="22"/>
          <w:shd w:val="clear" w:color="auto" w:fill="FFFFFF"/>
        </w:rPr>
        <w:t>despiking</w:t>
      </w:r>
      <w:proofErr w:type="spellEnd"/>
      <w:r>
        <w:rPr>
          <w:rFonts w:ascii="Times New Roman" w:hAnsi="Times New Roman"/>
          <w:color w:val="000000" w:themeColor="text1"/>
          <w:sz w:val="22"/>
          <w:shd w:val="clear" w:color="auto" w:fill="FFFFFF"/>
        </w:rPr>
        <w:t xml:space="preserve"> of </w:t>
      </w:r>
      <w:bookmarkEnd w:id="3"/>
      <w:bookmarkEnd w:id="4"/>
      <w:r>
        <w:rPr>
          <w:rFonts w:ascii="Times New Roman" w:hAnsi="Times New Roman"/>
          <w:color w:val="000000" w:themeColor="text1"/>
          <w:sz w:val="22"/>
          <w:shd w:val="clear" w:color="auto" w:fill="FFFFFF"/>
        </w:rPr>
        <w:t>head motion artifacts</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{"citationItems":[{"id":"ITEM-1","itemData":{"DOI":"10.1016/j.neuroimage.2014.03.012","ISSN":"10959572","abstract":"The impact of in-scanner head movement on functional magnetic resonance imaging (fMRI) signals has long been established as undesirable. These effects have been traditionally corrected by methods such as linear regression of head movement parameters. However, a number of recent independent studies have demonstrated that these techniques are insufficient to remove motion confounds, and that even small movements can spuriously bias estimates of functional connectivity. Here we propose a new data-driven, spatially-adaptive, wavelet-based method for identifying, modeling, and removing non-stationary events in fMRI time series, caused by head movement, without the need for data scrubbing. This method involves the addition of just one extra step, the Wavelet Despike, in standard pre-processing pipelines. With this method, we demonstrate robust removal of a range of different motion artifacts and motion-related biases including distance-dependent connectivity artifacts, at a group and single-subject level, using a range of previously published and new diagnostic measures. The Wavelet Despike is able to accommodate the substantial spatial and temporal heterogeneity of motion artifacts and can consequently remove a range of high and low frequency artifacts from fMRI time series, that may be linearly or non-linearly related to physical movements. Our methods are demonstrated by the analysis of three cohorts of resting-state fMRI data, including two high-motion datasets: a previously published dataset on children (N= 22) and a new dataset on adults with stimulant drug dependence (N= 40). We conclude that there is a real risk of motion-related bias in connectivity analysis of fMRI data, but that this risk is generally manageable, by effective time series denoising strategies designed to attenuate synchronized signal transients induced by abrupt head movements. The Wavelet Despiking software described in this article is freely available for download at www.brainwavelet.org. © 2014.","author":[{"dropping-particle":"","family":"Patel","given":"Ameera X.","non-dropping-particle":"","parse-names":false,"suffix":""},{"dropping-particle":"","family":"Kundu","given":"Prantik","non-dropping-particle":"","parse-names":false,"suffix":""},{"dropping-particle":"","family":"Rubinov","given":"Mikail","non-dropping-particle":"","parse-names":false,"suffix":""},{"dropping-particle":"","family":"Jones","given":"P. Simon","non-dropping-particle":"","parse-names":false,"suffix":""},{"dropping-particle":"","family":"Vértes","given":"Petra E.","non-dropping-particle":"","parse-names":false,"suffix":""},{"dropping-particle":"","family":"Ersche","given":"Karen D.","non-dropping-particle":"","parse-names":false,"suffix":""},{"dropping-particle":"","family":"Suckling","given":"John","non-dropping-particle":"","parse-names":false,"suffix":""},{"dropping-particle":"","family":"Bullmore","given":"Edward T.","non-dropping-particle":"","parse-names":false,"suffix":""}],"container-title":"NeuroImage","id":"ITEM-1","issued":{"date-parts":[["2014"]]},"page":"287-304","publisher":"Elsevier B.V.","title":"A wavelet method for modeling and despiking motion artifacts from resting-state fMRI time series","type":"article-journal","volume":"95"},"uris":["http://www.mendeley.com/documents/?uuid=0343c8a9-8e9f-4077-917d-eec792e4613f"]}],"mendeley":{"formattedCitation":"(Patel et al., 2014)","plainTextFormattedCitation":"(Patel et al., 2014)","previouslyFormattedCitation":"(4)"},"properties":{"noteIndex":0},"schema":"https://github.com/citation-style-language/schema/raw/master/csl-citation.json"}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(Patel et al., 2014)</w:t>
      </w:r>
      <w:r>
        <w:rPr>
          <w:rFonts w:ascii="Times New Roman" w:hAnsi="Times New Roman"/>
          <w:color w:val="000000" w:themeColor="text1"/>
          <w:sz w:val="22"/>
          <w:shd w:val="clear" w:color="auto" w:fill="FFFFFF"/>
        </w:rPr>
        <w:fldChar w:fldCharType="end"/>
      </w:r>
      <w:r>
        <w:rPr>
          <w:rFonts w:ascii="Times New Roman" w:hAnsi="Times New Roman"/>
          <w:color w:val="000000" w:themeColor="text1"/>
          <w:sz w:val="22"/>
          <w:shd w:val="clear" w:color="auto" w:fill="FFFFFF"/>
        </w:rPr>
        <w:t xml:space="preserve">), (7) </w:t>
      </w:r>
      <w:bookmarkStart w:id="5" w:name="OLE_LINK184"/>
      <w:bookmarkStart w:id="6" w:name="OLE_LINK183"/>
      <w:bookmarkStart w:id="7" w:name="OLE_LINK181"/>
      <w:bookmarkStart w:id="8" w:name="OLE_LINK182"/>
      <w:r>
        <w:rPr>
          <w:rFonts w:ascii="Times New Roman" w:hAnsi="Times New Roman"/>
          <w:color w:val="000000" w:themeColor="text1"/>
          <w:sz w:val="22"/>
          <w:shd w:val="clear" w:color="auto" w:fill="FFFFFF"/>
        </w:rPr>
        <w:t xml:space="preserve">underwent regression </w:t>
      </w:r>
      <w:bookmarkEnd w:id="5"/>
      <w:bookmarkEnd w:id="6"/>
      <w:r>
        <w:rPr>
          <w:rFonts w:ascii="Times New Roman" w:hAnsi="Times New Roman"/>
          <w:color w:val="000000" w:themeColor="text1"/>
          <w:sz w:val="22"/>
          <w:shd w:val="clear" w:color="auto" w:fill="FFFFFF"/>
        </w:rPr>
        <w:t>o</w:t>
      </w:r>
      <w:bookmarkEnd w:id="7"/>
      <w:bookmarkEnd w:id="8"/>
      <w:r>
        <w:rPr>
          <w:rFonts w:ascii="Times New Roman" w:hAnsi="Times New Roman"/>
          <w:color w:val="000000" w:themeColor="text1"/>
          <w:sz w:val="22"/>
          <w:shd w:val="clear" w:color="auto" w:fill="FFFFFF"/>
        </w:rPr>
        <w:t xml:space="preserve">f motion and non-relevant signals, including linear trend, </w:t>
      </w:r>
      <w:proofErr w:type="spellStart"/>
      <w:r>
        <w:rPr>
          <w:rFonts w:ascii="Times New Roman" w:hAnsi="Times New Roman"/>
          <w:color w:val="000000" w:themeColor="text1"/>
          <w:sz w:val="22"/>
          <w:shd w:val="clear" w:color="auto" w:fill="FFFFFF"/>
        </w:rPr>
        <w:t>Friston</w:t>
      </w:r>
      <w:proofErr w:type="spellEnd"/>
      <w:r>
        <w:rPr>
          <w:rFonts w:ascii="Times New Roman" w:hAnsi="Times New Roman"/>
          <w:color w:val="000000" w:themeColor="text1"/>
          <w:sz w:val="22"/>
          <w:shd w:val="clear" w:color="auto" w:fill="FFFFFF"/>
        </w:rPr>
        <w:t xml:space="preserve"> 24 head motion parameters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{"citationItems":[{"id":"ITEM-1","itemData":{"author":[{"dropping-particle":"","family":"Friston","given":"Karl J","non-dropping-particle":"","parse-names":false,"suffix":""},{"dropping-particle":"","family":"Williams","given":"Steven","non-dropping-particle":"","parse-names":false,"suffix":""},{"dropping-particle":"","family":"Howard","given":"Robert","non-dropping-particle":"","parse-names":false,"suffix":""},{"dropping-particle":"","family":"Frackowiak","given":"Richard S J","non-dropping-particle":"","parse-names":false,"suffix":""}],"container-title":"Magnetic resonance in medicine","id":"ITEM-1","issue":"35","issued":{"date-parts":[["1996"]]},"page":"346-355","title":"Movement Related Effects In FMRI","type":"article-journal","volume":"3"},"uris":["http://www.mendeley.com/documents/?uuid=b7883568-1d59-4e69-8c8a-bdc267721408"]},{"id":"ITEM-2","itemData":{"DOI":"10.1016/j.neuroimage.2012.08.052","ISSN":"10538119","PMID":"22926292","abstract":"Several recent reports in large, independent samples have demonstrated the influence of motion artifact on resting-state functional connectivity MRI (rsfc-MRI). Standard rsfc-MRI preprocessing typically includes regression of confounding signals and band-pass filtering. However, substantial heterogeneity exists in how these techniques are implemented across studies, and no prior study has examined the effect of differing approaches for the control of motion-induced artifacts. To better understand how in-scanner head motion affects rsfc-MRI data, we describe the spatial, temporal, and spectral characteristics of motion artifacts in a sample of 348 adolescents. Analyses utilize a novel approach for describing head motion on a voxelwise basis. Next, we systematically evaluate the efficacy of a range of confound regression and filtering techniques for the control of motion-induced artifacts. Results reveal that the effectiveness of preprocessing procedures on the control of motion is heterogeneous, and that improved preprocessing provides a substantial benefit beyond typical procedures. These results demonstrate that the effect of motion on rsfc-MRI can be substantially attenuated through improved preprocessing procedures, but not completely removed. © 2012 Elsevier Inc.","author":[{"dropping-particle":"","family":"Satterthwaite","given":"Theodore D.","non-dropping-particle":"","parse-names":false,"suffix":""},{"dropping-particle":"","family":"Elliott","given":"Mark A.","non-dropping-particle":"","parse-names":false,"suffix":""},{"dropping-particle":"","family":"Gerraty","given":"Raphael T.","non-dropping-particle":"","parse-names":false,"suffix":""},{"dropping-particle":"","family":"Ruparel","given":"Kosha","non-dropping-particle":"","parse-names":false,"suffix":""},{"dropping-particle":"","family":"Loughead","given":"James","non-dropping-particle":"","parse-names":false,"suffix":""},{"dropping-particle":"","family":"Calkins","given":"Monica E.","non-dropping-particle":"","parse-names":false,"suffix":""},{"dropping-particle":"","family":"Eickhoff","given":"Simon B.","non-dropping-particle":"","parse-names":false,"suffix":""},{"dropping-particle":"","family":"Hakonarson","given":"Hakon","non-dropping-particle":"","parse-names":false,"suffix":""},{"dropping-particle":"","family":"Gur","given":"Ruben C.","non-dropping-particle":"","parse-names":false,"suffix":""},{"dropping-particle":"","family":"Gur","given":"Raquel E.","non-dropping-particle":"","parse-names":false,"suffix":""},{"dropping-particle":"","family":"Wolf","given":"Daniel H.","non-dropping-particle":"","parse-names":false,"suffix":""}],"container-title":"NeuroImage","id":"ITEM-2","issue":"1","issued":{"date-parts":[["2013"]]},"page":"240-256","publisher":"Elsevier Inc.","title":"An improved framework for confound regression and filtering for control of motion artifact in the preprocessing of resting-state functional connectivity data","type":"article-journal","volume":"64"},"uris":["http://www.mendeley.com/documents/?uuid=63e7205d-619e-4517-9802-8368de11a4f7"]}],"mendeley":{"formattedCitation":"(Friston, Williams, Howard, &amp; Frackowiak, 1996; Satterthwaite et al., 2013)","plainTextFormattedCitation":"(Friston, Williams, Howard, &amp; Frackowiak, 1996; Satterthwaite et al., 2013)","previouslyFormattedCitation":"(5, 6)"},"properties":{"noteIndex":0},"schema":"https://github.com/citation-style-language/schema/raw/master/csl-citation.json"}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(Friston, Williams, Howard, &amp; Frackowiak, 1996; Satterthwaite et al., 2013)</w:t>
      </w:r>
      <w:r>
        <w:rPr>
          <w:rFonts w:ascii="Times New Roman" w:hAnsi="Times New Roman"/>
          <w:color w:val="000000" w:themeColor="text1"/>
          <w:sz w:val="22"/>
          <w:shd w:val="clear" w:color="auto" w:fill="FFFFFF"/>
        </w:rPr>
        <w:fldChar w:fldCharType="end"/>
      </w:r>
      <w:r>
        <w:rPr>
          <w:rFonts w:ascii="Times New Roman" w:hAnsi="Times New Roman"/>
          <w:color w:val="000000" w:themeColor="text1"/>
          <w:sz w:val="22"/>
          <w:shd w:val="clear" w:color="auto" w:fill="FFFFFF"/>
        </w:rPr>
        <w:t xml:space="preserve"> white matter (</w:t>
      </w:r>
      <w:proofErr w:type="spellStart"/>
      <w:r>
        <w:rPr>
          <w:rFonts w:ascii="Times New Roman" w:hAnsi="Times New Roman"/>
          <w:color w:val="000000" w:themeColor="text1"/>
          <w:sz w:val="22"/>
          <w:shd w:val="clear" w:color="auto" w:fill="FFFFFF"/>
        </w:rPr>
        <w:t>CompCor</w:t>
      </w:r>
      <w:proofErr w:type="spellEnd"/>
      <w:r>
        <w:rPr>
          <w:rFonts w:ascii="Times New Roman" w:hAnsi="Times New Roman"/>
          <w:color w:val="000000" w:themeColor="text1"/>
          <w:sz w:val="22"/>
          <w:shd w:val="clear" w:color="auto" w:fill="FFFFFF"/>
        </w:rPr>
        <w:t>, 5 principal components), and CSF signal (</w:t>
      </w:r>
      <w:proofErr w:type="spellStart"/>
      <w:r>
        <w:rPr>
          <w:rFonts w:ascii="Times New Roman" w:hAnsi="Times New Roman"/>
          <w:color w:val="000000" w:themeColor="text1"/>
          <w:sz w:val="22"/>
          <w:shd w:val="clear" w:color="auto" w:fill="FFFFFF"/>
        </w:rPr>
        <w:t>CompCor</w:t>
      </w:r>
      <w:proofErr w:type="spellEnd"/>
      <w:r>
        <w:rPr>
          <w:rFonts w:ascii="Times New Roman" w:hAnsi="Times New Roman"/>
          <w:color w:val="000000" w:themeColor="text1"/>
          <w:sz w:val="22"/>
          <w:shd w:val="clear" w:color="auto" w:fill="FFFFFF"/>
        </w:rPr>
        <w:t>, 5 principal components</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{"citationItems":[{"id":"ITEM-1","itemData":{"DOI":"10.1016/j.neuroimage.2007.04.042","ISSN":"10538119","abstract":"A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author":[{"dropping-particle":"","family":"Behzadi","given":"Yashar","non-dropping-particle":"","parse-names":false,"suffix":""},{"dropping-particle":"","family":"Restom","given":"Khaled","non-dropping-particle":"","parse-names":false,"suffix":""},{"dropping-particle":"","family":"Liau","given":"Joy","non-dropping-particle":"","parse-names":false,"suffix":""},{"dropping-particle":"","family":"Liu","given":"Thomas T.","non-dropping-particle":"","parse-names":false,"suffix":""}],"container-title":"NeuroImage","id":"ITEM-1","issue":"1","issued":{"date-parts":[["2007"]]},"page":"90-101","title":"A component based noise correction method (CompCor) for BOLD and perfusion based fMRI","type":"article-journal","volume":"37"},"uris":["http://www.mendeley.com/documents/?uuid=639479d0-636b-47c0-a89a-88ef92238c31"]}],"mendeley":{"formattedCitation":"(Behzadi, Restom, Liau, &amp; Liu, 2007)","plainTextFormattedCitation":"(Behzadi, Restom, Liau, &amp; Liu, 2007)","previouslyFormattedCitation":"(7)"},"properties":{"noteIndex":0},"schema":"https://github.com/citation-style-language/schema/raw/master/csl-citation.json"}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w:t>
      </w:r>
      <w:proofErr w:type="spellStart"/>
      <w:r>
        <w:rPr>
          <w:rFonts w:ascii="Times New Roman" w:hAnsi="Times New Roman"/>
          <w:color w:val="000000" w:themeColor="text1"/>
          <w:sz w:val="22"/>
          <w:shd w:val="clear" w:color="auto" w:fill="FFFFFF"/>
        </w:rPr>
        <w:t>Behzadi</w:t>
      </w:r>
      <w:proofErr w:type="spellEnd"/>
      <w:r>
        <w:rPr>
          <w:rFonts w:ascii="Times New Roman" w:hAnsi="Times New Roman"/>
          <w:color w:val="000000" w:themeColor="text1"/>
          <w:sz w:val="22"/>
          <w:shd w:val="clear" w:color="auto" w:fill="FFFFFF"/>
        </w:rPr>
        <w:t>, Restom, Liau, &amp; Liu, 2007)</w:t>
      </w:r>
      <w:r>
        <w:rPr>
          <w:rFonts w:ascii="Times New Roman" w:hAnsi="Times New Roman"/>
          <w:color w:val="000000" w:themeColor="text1"/>
          <w:sz w:val="22"/>
          <w:shd w:val="clear" w:color="auto" w:fill="FFFFFF"/>
        </w:rPr>
        <w:fldChar w:fldCharType="end"/>
      </w:r>
      <w:r>
        <w:rPr>
          <w:rFonts w:ascii="Times New Roman" w:hAnsi="Times New Roman"/>
          <w:color w:val="000000" w:themeColor="text1"/>
          <w:sz w:val="22"/>
          <w:shd w:val="clear" w:color="auto" w:fill="FFFFFF"/>
        </w:rPr>
        <w:t>), and</w:t>
      </w:r>
      <w:r>
        <w:rPr>
          <w:rFonts w:ascii="Times New Roman" w:hAnsi="Times New Roman"/>
          <w:color w:val="000000" w:themeColor="text1"/>
          <w:sz w:val="22"/>
        </w:rPr>
        <w:t xml:space="preserve"> (8) were filtered using a band-pass filter</w:t>
      </w:r>
      <w:r>
        <w:rPr>
          <w:rFonts w:ascii="Times New Roman" w:hAnsi="Times New Roman" w:hint="eastAsia"/>
          <w:color w:val="000000" w:themeColor="text1"/>
          <w:sz w:val="22"/>
        </w:rPr>
        <w:t xml:space="preserve"> (0.01-0.1 Hz). We </w:t>
      </w:r>
      <w:r>
        <w:rPr>
          <w:rFonts w:ascii="Times New Roman" w:hAnsi="Times New Roman"/>
          <w:color w:val="000000" w:themeColor="text1"/>
          <w:sz w:val="22"/>
        </w:rPr>
        <w:t>exclude</w:t>
      </w:r>
      <w:r>
        <w:rPr>
          <w:rFonts w:ascii="Times New Roman" w:hAnsi="Times New Roman" w:hint="eastAsia"/>
          <w:color w:val="000000" w:themeColor="text1"/>
          <w:sz w:val="22"/>
        </w:rPr>
        <w:t xml:space="preserve">d participants due to maximum </w:t>
      </w:r>
      <w:r>
        <w:rPr>
          <w:rFonts w:ascii="Times New Roman" w:hAnsi="Times New Roman"/>
          <w:color w:val="000000" w:themeColor="text1"/>
          <w:sz w:val="22"/>
        </w:rPr>
        <w:t>head motion</w:t>
      </w:r>
      <w:r>
        <w:rPr>
          <w:rFonts w:ascii="Times New Roman" w:hAnsi="Times New Roman" w:hint="eastAsia"/>
          <w:color w:val="000000" w:themeColor="text1"/>
          <w:sz w:val="22"/>
        </w:rPr>
        <w:t xml:space="preserve"> </w:t>
      </w:r>
      <w:r>
        <w:rPr>
          <w:rFonts w:ascii="Times New Roman" w:hAnsi="Times New Roman"/>
          <w:color w:val="000000" w:themeColor="text1"/>
          <w:sz w:val="22"/>
        </w:rPr>
        <w:t>exceeding 2.5 mm or 2.5° rotation</w:t>
      </w:r>
      <w:r>
        <w:rPr>
          <w:rFonts w:ascii="Times New Roman" w:hAnsi="Times New Roman" w:hint="eastAsia"/>
          <w:color w:val="000000" w:themeColor="text1"/>
          <w:sz w:val="22"/>
        </w:rPr>
        <w:t xml:space="preserve"> or </w:t>
      </w:r>
      <w:r>
        <w:rPr>
          <w:rFonts w:ascii="Times New Roman" w:hAnsi="Times New Roman"/>
          <w:color w:val="000000" w:themeColor="text1"/>
          <w:sz w:val="22"/>
          <w:shd w:val="clear" w:color="auto" w:fill="FFFFFF"/>
        </w:rPr>
        <w:t xml:space="preserve">with &gt;10% </w:t>
      </w:r>
      <w:bookmarkStart w:id="9" w:name="OLE_LINK47"/>
      <w:bookmarkStart w:id="10" w:name="OLE_LINK48"/>
      <w:r>
        <w:rPr>
          <w:rFonts w:ascii="Times New Roman" w:hAnsi="Times New Roman"/>
          <w:color w:val="000000" w:themeColor="text1"/>
          <w:sz w:val="22"/>
          <w:shd w:val="clear" w:color="auto" w:fill="FFFFFF"/>
        </w:rPr>
        <w:t xml:space="preserve">frame-to-frame motion quantified by </w:t>
      </w:r>
      <w:proofErr w:type="spellStart"/>
      <w:r>
        <w:rPr>
          <w:rFonts w:ascii="Times New Roman" w:hAnsi="Times New Roman"/>
          <w:color w:val="000000" w:themeColor="text1"/>
          <w:sz w:val="22"/>
          <w:shd w:val="clear" w:color="auto" w:fill="FFFFFF"/>
        </w:rPr>
        <w:t>framewise</w:t>
      </w:r>
      <w:proofErr w:type="spellEnd"/>
      <w:r>
        <w:rPr>
          <w:rFonts w:ascii="Times New Roman" w:hAnsi="Times New Roman"/>
          <w:color w:val="000000" w:themeColor="text1"/>
          <w:sz w:val="22"/>
          <w:shd w:val="clear" w:color="auto" w:fill="FFFFFF"/>
        </w:rPr>
        <w:t xml:space="preserve"> displacements</w:t>
      </w:r>
      <w:bookmarkEnd w:id="9"/>
      <w:bookmarkEnd w:id="10"/>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FD</w:t>
      </w:r>
      <w:r>
        <w:rPr>
          <w:rFonts w:ascii="Times New Roman" w:hAnsi="Times New Roman"/>
          <w:color w:val="000000" w:themeColor="text1"/>
          <w:sz w:val="22"/>
          <w:shd w:val="clear" w:color="auto" w:fill="FFFFFF"/>
        </w:rPr>
        <w:t>&gt;0.5mm</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{"citationItems":[{"id":"ITEM-1","itemData":{"DOI":"10.1016/j.neuroimage.2011.10.018","ISSN":"10538119","abstract":"Here,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E.","non-dropping-particle":"","parse-names":false,"suffix":""}],"container-title":"NeuroImage","id":"ITEM-1","issue":"3","issued":{"date-parts":[["2012"]]},"page":"2142-2154","publisher":"Elsevier Inc.","title":"Spurious but systematic correlations in functional connectivity MRI networks arise from subject motion","type":"article-journal","volume":"59"},"uris":["http://www.mendeley.com/documents/?uuid=34fda76d-37ba-4dc7-b7e9-699d150dbcf0"]}],"mendeley":{"formattedCitation":"(Power, Barnes, Snyder, Schlaggar, &amp; Petersen, 2012)","plainTextFormattedCitation":"(Power, Barnes, Snyder, Schlaggar, &amp; Petersen, 2012)","previouslyFormattedCitation":"(8)"},"properties":{"noteIndex":0},"schema":"https://github.com/citation-style-language/schema/raw/master/csl-citation.json"}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(Power, Barnes, Snyder, Schlaggar, &amp; Petersen, 2012)</w:t>
      </w:r>
      <w:r>
        <w:rPr>
          <w:rFonts w:ascii="Times New Roman" w:hAnsi="Times New Roman"/>
          <w:color w:val="000000" w:themeColor="text1"/>
          <w:sz w:val="22"/>
          <w:shd w:val="clear" w:color="auto" w:fill="FFFFFF"/>
        </w:rPr>
        <w:fldChar w:fldCharType="end"/>
      </w:r>
      <w:r>
        <w:rPr>
          <w:rFonts w:ascii="Times New Roman" w:hAnsi="Times New Roman"/>
          <w:color w:val="000000" w:themeColor="text1"/>
          <w:sz w:val="22"/>
          <w:shd w:val="clear" w:color="auto" w:fill="FFFFFF"/>
        </w:rPr>
        <w:t>)</w:t>
      </w:r>
      <w:r>
        <w:rPr>
          <w:rFonts w:ascii="Times New Roman" w:hAnsi="Times New Roman" w:hint="eastAsia"/>
          <w:color w:val="000000" w:themeColor="text1"/>
          <w:sz w:val="22"/>
        </w:rPr>
        <w:t>)</w:t>
      </w:r>
      <w:r>
        <w:rPr>
          <w:rFonts w:ascii="Times New Roman" w:hAnsi="Times New Roman"/>
          <w:color w:val="000000" w:themeColor="text1"/>
          <w:sz w:val="22"/>
        </w:rPr>
        <w:t xml:space="preserve"> during MRI acquisition.</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Besides, </w:t>
      </w:r>
      <w:r>
        <w:rPr>
          <w:rFonts w:ascii="Times New Roman" w:hAnsi="Times New Roman" w:hint="eastAsia"/>
          <w:color w:val="000000" w:themeColor="text1"/>
          <w:sz w:val="22"/>
        </w:rPr>
        <w:t>mean FD</w:t>
      </w:r>
      <w:r>
        <w:rPr>
          <w:rFonts w:ascii="Times New Roman" w:hAnsi="Times New Roman"/>
          <w:color w:val="000000" w:themeColor="text1"/>
          <w:sz w:val="22"/>
        </w:rPr>
        <w:t xml:space="preserve"> was</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evaluated in the two groups (Power et al. 2012). The </w:t>
      </w:r>
      <w:r>
        <w:rPr>
          <w:rFonts w:ascii="Times New Roman" w:hAnsi="Times New Roman" w:hint="eastAsia"/>
          <w:color w:val="000000" w:themeColor="text1"/>
          <w:sz w:val="22"/>
        </w:rPr>
        <w:t xml:space="preserve">mean </w:t>
      </w:r>
      <w:r>
        <w:rPr>
          <w:rFonts w:ascii="Times New Roman" w:hAnsi="Times New Roman"/>
          <w:color w:val="000000" w:themeColor="text1"/>
          <w:sz w:val="22"/>
        </w:rPr>
        <w:t>FD for</w:t>
      </w:r>
      <w:r>
        <w:rPr>
          <w:rFonts w:ascii="Times New Roman" w:hAnsi="Times New Roman" w:hint="eastAsia"/>
          <w:color w:val="000000" w:themeColor="text1"/>
          <w:sz w:val="22"/>
        </w:rPr>
        <w:t xml:space="preserve"> </w:t>
      </w:r>
      <w:r>
        <w:rPr>
          <w:rFonts w:ascii="Times New Roman" w:hAnsi="Times New Roman"/>
          <w:color w:val="000000" w:themeColor="text1"/>
          <w:sz w:val="22"/>
        </w:rPr>
        <w:t>each participant was evaluated using the following formula</w:t>
      </w:r>
      <w:r>
        <w:rPr>
          <w:rFonts w:ascii="Times New Roman" w:hAnsi="Times New Roman" w:hint="eastAsia"/>
          <w:color w:val="000000" w:themeColor="text1"/>
          <w:sz w:val="22"/>
        </w:rPr>
        <w:t xml:space="preserve">: </w:t>
      </w:r>
    </w:p>
    <w:p w:rsidR="00EA0D74" w:rsidRDefault="00746ABF">
      <w:pPr>
        <w:rPr>
          <w:color w:val="000000" w:themeColor="text1"/>
          <w:lang w:val="en-GB"/>
        </w:rPr>
      </w:pPr>
      <m:oMathPara>
        <m:oMath>
          <m:r>
            <w:rPr>
              <w:rFonts w:ascii="Cambria Math" w:hAnsi="Cambria Math"/>
              <w:color w:val="000000" w:themeColor="text1"/>
              <w:lang w:val="en-GB"/>
            </w:rPr>
            <m:t>FD=</m:t>
          </m:r>
          <m:f>
            <m:fPr>
              <m:ctrlPr>
                <w:rPr>
                  <w:rFonts w:ascii="Cambria Math" w:hAnsi="Cambria Math"/>
                  <w:i/>
                  <w:color w:val="000000" w:themeColor="text1"/>
                  <w:lang w:val="en-GB"/>
                </w:rPr>
              </m:ctrlPr>
            </m:fPr>
            <m:num>
              <m:r>
                <w:rPr>
                  <w:rFonts w:ascii="Cambria Math" w:hAnsi="Cambria Math"/>
                  <w:color w:val="000000" w:themeColor="text1"/>
                  <w:lang w:val="en-GB"/>
                </w:rPr>
                <m:t>1</m:t>
              </m:r>
            </m:num>
            <m:den>
              <m:r>
                <w:rPr>
                  <w:rFonts w:ascii="Cambria Math" w:hAnsi="Cambria Math"/>
                  <w:color w:val="000000" w:themeColor="text1"/>
                  <w:lang w:val="en-GB"/>
                </w:rPr>
                <m:t>M-1</m:t>
              </m:r>
            </m:den>
          </m:f>
          <m:nary>
            <m:naryPr>
              <m:chr m:val="∑"/>
              <m:limLoc m:val="undOvr"/>
              <m:ctrlPr>
                <w:rPr>
                  <w:rFonts w:ascii="Cambria Math" w:hAnsi="Cambria Math"/>
                  <w:i/>
                  <w:color w:val="000000" w:themeColor="text1"/>
                  <w:lang w:val="en-GB"/>
                </w:rPr>
              </m:ctrlPr>
            </m:naryPr>
            <m:sub>
              <m:r>
                <w:rPr>
                  <w:rFonts w:ascii="Cambria Math" w:hAnsi="Cambria Math"/>
                  <w:color w:val="000000" w:themeColor="text1"/>
                  <w:lang w:val="en-GB"/>
                </w:rPr>
                <m:t>i=2</m:t>
              </m:r>
            </m:sub>
            <m:sup>
              <m:r>
                <w:rPr>
                  <w:rFonts w:ascii="Cambria Math" w:hAnsi="Cambria Math"/>
                  <w:color w:val="000000" w:themeColor="text1"/>
                  <w:lang w:val="en-GB"/>
                </w:rPr>
                <m:t>M</m:t>
              </m:r>
            </m:sup>
            <m:e>
              <m:rad>
                <m:radPr>
                  <m:degHide m:val="1"/>
                  <m:ctrlPr>
                    <w:rPr>
                      <w:rFonts w:ascii="Cambria Math" w:hAnsi="Cambria Math"/>
                      <w:i/>
                      <w:color w:val="000000" w:themeColor="text1"/>
                      <w:lang w:val="en-GB"/>
                    </w:rPr>
                  </m:ctrlPr>
                </m:radPr>
                <m:deg/>
                <m:e>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x</m:t>
                              </m:r>
                            </m:e>
                            <m:sub>
                              <m:r>
                                <w:rPr>
                                  <w:rFonts w:ascii="Cambria Math" w:hAnsi="Cambria Math"/>
                                  <w:color w:val="000000" w:themeColor="text1"/>
                                  <w:lang w:val="en-GB"/>
                                </w:rPr>
                                <m:t>i</m:t>
                              </m:r>
                            </m:sub>
                            <m:sup>
                              <m:r>
                                <w:rPr>
                                  <w:rFonts w:ascii="Cambria Math" w:hAnsi="Cambria Math"/>
                                  <w:color w:val="000000" w:themeColor="text1"/>
                                  <w:lang w:val="en-GB"/>
                                </w:rPr>
                                <m:t>1</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y</m:t>
                              </m:r>
                            </m:e>
                            <m:sub>
                              <m:r>
                                <w:rPr>
                                  <w:rFonts w:ascii="Cambria Math" w:hAnsi="Cambria Math"/>
                                  <w:color w:val="000000" w:themeColor="text1"/>
                                  <w:lang w:val="en-GB"/>
                                </w:rPr>
                                <m:t>i</m:t>
                              </m:r>
                            </m:sub>
                            <m:sup>
                              <m:r>
                                <w:rPr>
                                  <w:rFonts w:ascii="Cambria Math" w:hAnsi="Cambria Math"/>
                                  <w:color w:val="000000" w:themeColor="text1"/>
                                  <w:lang w:val="en-GB"/>
                                </w:rPr>
                                <m:t>1</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z</m:t>
                              </m:r>
                            </m:e>
                            <m:sub>
                              <m:r>
                                <w:rPr>
                                  <w:rFonts w:ascii="Cambria Math" w:hAnsi="Cambria Math"/>
                                  <w:color w:val="000000" w:themeColor="text1"/>
                                  <w:lang w:val="en-GB"/>
                                </w:rPr>
                                <m:t>i</m:t>
                              </m:r>
                            </m:sub>
                            <m:sup>
                              <m:r>
                                <w:rPr>
                                  <w:rFonts w:ascii="Cambria Math" w:hAnsi="Cambria Math"/>
                                  <w:color w:val="000000" w:themeColor="text1"/>
                                  <w:lang w:val="en-GB"/>
                                </w:rPr>
                                <m:t>1</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x</m:t>
                              </m:r>
                            </m:e>
                            <m:sub>
                              <m:r>
                                <w:rPr>
                                  <w:rFonts w:ascii="Cambria Math" w:hAnsi="Cambria Math"/>
                                  <w:color w:val="000000" w:themeColor="text1"/>
                                  <w:lang w:val="en-GB"/>
                                </w:rPr>
                                <m:t>i</m:t>
                              </m:r>
                            </m:sub>
                            <m:sup>
                              <m:r>
                                <w:rPr>
                                  <w:rFonts w:ascii="Cambria Math" w:hAnsi="Cambria Math"/>
                                  <w:color w:val="000000" w:themeColor="text1"/>
                                  <w:lang w:val="en-GB"/>
                                </w:rPr>
                                <m:t>2</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y</m:t>
                              </m:r>
                            </m:e>
                            <m:sub>
                              <m:r>
                                <w:rPr>
                                  <w:rFonts w:ascii="Cambria Math" w:hAnsi="Cambria Math"/>
                                  <w:color w:val="000000" w:themeColor="text1"/>
                                  <w:lang w:val="en-GB"/>
                                </w:rPr>
                                <m:t>i</m:t>
                              </m:r>
                            </m:sub>
                            <m:sup>
                              <m:r>
                                <w:rPr>
                                  <w:rFonts w:ascii="Cambria Math" w:hAnsi="Cambria Math"/>
                                  <w:color w:val="000000" w:themeColor="text1"/>
                                  <w:lang w:val="en-GB"/>
                                </w:rPr>
                                <m:t>2</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d</m:t>
                          </m:r>
                        </m:e>
                        <m:sub>
                          <m:sSubSup>
                            <m:sSubSupPr>
                              <m:ctrlPr>
                                <w:rPr>
                                  <w:rFonts w:ascii="Cambria Math" w:hAnsi="Cambria Math"/>
                                  <w:i/>
                                  <w:color w:val="000000" w:themeColor="text1"/>
                                  <w:lang w:val="en-GB"/>
                                </w:rPr>
                              </m:ctrlPr>
                            </m:sSubSupPr>
                            <m:e>
                              <m:r>
                                <w:rPr>
                                  <w:rFonts w:ascii="Cambria Math" w:hAnsi="Cambria Math"/>
                                  <w:color w:val="000000" w:themeColor="text1"/>
                                  <w:lang w:val="en-GB"/>
                                </w:rPr>
                                <m:t>z</m:t>
                              </m:r>
                            </m:e>
                            <m:sub>
                              <m:r>
                                <w:rPr>
                                  <w:rFonts w:ascii="Cambria Math" w:hAnsi="Cambria Math"/>
                                  <w:color w:val="000000" w:themeColor="text1"/>
                                  <w:lang w:val="en-GB"/>
                                </w:rPr>
                                <m:t>i</m:t>
                              </m:r>
                            </m:sub>
                            <m:sup>
                              <m:r>
                                <w:rPr>
                                  <w:rFonts w:ascii="Cambria Math" w:hAnsi="Cambria Math"/>
                                  <w:color w:val="000000" w:themeColor="text1"/>
                                  <w:lang w:val="en-GB"/>
                                </w:rPr>
                                <m:t>2</m:t>
                              </m:r>
                            </m:sup>
                          </m:sSubSup>
                        </m:sub>
                      </m:sSub>
                      <m:r>
                        <w:rPr>
                          <w:rFonts w:ascii="Cambria Math" w:hAnsi="Cambria Math"/>
                          <w:color w:val="000000" w:themeColor="text1"/>
                          <w:lang w:val="en-GB"/>
                        </w:rPr>
                        <m:t>|</m:t>
                      </m:r>
                    </m:e>
                    <m:sup>
                      <m:r>
                        <w:rPr>
                          <w:rFonts w:ascii="Cambria Math" w:hAnsi="Cambria Math"/>
                          <w:color w:val="000000" w:themeColor="text1"/>
                          <w:lang w:val="en-GB"/>
                        </w:rPr>
                        <m:t>2</m:t>
                      </m:r>
                    </m:sup>
                  </m:sSup>
                </m:e>
              </m:rad>
            </m:e>
          </m:nary>
          <m:r>
            <m:rPr>
              <m:sty m:val="p"/>
            </m:rPr>
            <w:rPr>
              <w:rFonts w:ascii="Cambria Math" w:hAnsi="Cambria Math"/>
              <w:color w:val="000000" w:themeColor="text1"/>
              <w:lang w:val="en-GB"/>
            </w:rPr>
            <m:t xml:space="preserve">   </m:t>
          </m:r>
        </m:oMath>
      </m:oMathPara>
    </w:p>
    <w:p w:rsidR="00EA0D74" w:rsidRDefault="00746ABF">
      <w:pPr>
        <w:widowControl/>
        <w:spacing w:before="100" w:beforeAutospacing="1" w:after="100" w:afterAutospacing="1" w:line="360" w:lineRule="auto"/>
        <w:outlineLvl w:val="0"/>
        <w:rPr>
          <w:rFonts w:ascii="Times New Roman" w:hAnsi="Times New Roman"/>
          <w:color w:val="000000" w:themeColor="text1"/>
          <w:sz w:val="22"/>
        </w:rPr>
      </w:pPr>
      <w:proofErr w:type="gramStart"/>
      <w:r>
        <w:rPr>
          <w:rFonts w:ascii="Times New Roman" w:hAnsi="Times New Roman" w:cs="Times New Roman"/>
          <w:color w:val="000000" w:themeColor="text1"/>
          <w:sz w:val="22"/>
        </w:rPr>
        <w:t>where</w:t>
      </w:r>
      <w:proofErr w:type="gramEnd"/>
      <w:r>
        <w:rPr>
          <w:rFonts w:ascii="Times New Roman" w:hAnsi="Times New Roman" w:cs="Times New Roman"/>
          <w:color w:val="000000" w:themeColor="text1"/>
          <w:sz w:val="22"/>
        </w:rPr>
        <w:t xml:space="preserve"> M is</w:t>
      </w:r>
      <w:r>
        <w:rPr>
          <w:rFonts w:ascii="Times New Roman" w:hAnsi="Times New Roman" w:cs="Times New Roman"/>
          <w:color w:val="000000" w:themeColor="text1"/>
          <w:lang w:val="en-GB"/>
        </w:rPr>
        <w:t xml:space="preserve"> the number of the fMRI time points, and </w:t>
      </w:r>
      <m:oMath>
        <m:f>
          <m:fPr>
            <m:type m:val="lin"/>
            <m:ctrlPr>
              <w:rPr>
                <w:rFonts w:ascii="Cambria Math" w:hAnsi="Cambria Math" w:cs="Times New Roman"/>
                <w:i/>
                <w:color w:val="000000" w:themeColor="text1"/>
                <w:lang w:val="en-GB"/>
              </w:rPr>
            </m:ctrlPr>
          </m:fPr>
          <m:num>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1</m:t>
                </m:r>
              </m:sup>
            </m:sSubSup>
          </m:num>
          <m:den>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2</m:t>
                </m:r>
              </m:sup>
            </m:sSubSup>
            <m:r>
              <w:rPr>
                <w:rFonts w:ascii="Cambria Math" w:hAnsi="Cambria Math" w:cs="Times New Roman"/>
                <w:color w:val="000000" w:themeColor="text1"/>
                <w:lang w:val="en-GB"/>
              </w:rPr>
              <m:t xml:space="preserve">, </m:t>
            </m:r>
            <m:f>
              <m:fPr>
                <m:type m:val="lin"/>
                <m:ctrlPr>
                  <w:rPr>
                    <w:rFonts w:ascii="Cambria Math" w:hAnsi="Cambria Math" w:cs="Times New Roman"/>
                    <w:i/>
                    <w:color w:val="000000" w:themeColor="text1"/>
                    <w:lang w:val="en-GB"/>
                  </w:rPr>
                </m:ctrlPr>
              </m:fPr>
              <m:num>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y</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1</m:t>
                    </m:r>
                  </m:sup>
                </m:sSubSup>
              </m:num>
              <m:den>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y</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2</m:t>
                    </m:r>
                  </m:sup>
                </m:sSubSup>
              </m:den>
            </m:f>
          </m:den>
        </m:f>
      </m:oMath>
      <w:r>
        <w:rPr>
          <w:rFonts w:ascii="Times New Roman" w:hAnsi="Times New Roman" w:cs="Times New Roman"/>
          <w:color w:val="000000" w:themeColor="text1"/>
          <w:lang w:val="en-GB"/>
        </w:rPr>
        <w:t xml:space="preserve"> and </w:t>
      </w:r>
      <m:oMath>
        <m:f>
          <m:fPr>
            <m:type m:val="lin"/>
            <m:ctrlPr>
              <w:rPr>
                <w:rFonts w:ascii="Cambria Math" w:hAnsi="Cambria Math" w:cs="Times New Roman"/>
                <w:i/>
                <w:color w:val="000000" w:themeColor="text1"/>
                <w:lang w:val="en-GB"/>
              </w:rPr>
            </m:ctrlPr>
          </m:fPr>
          <m:num>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z</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1</m:t>
                </m:r>
              </m:sup>
            </m:sSubSup>
          </m:num>
          <m:den>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z</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2</m:t>
                </m:r>
              </m:sup>
            </m:sSubSup>
          </m:den>
        </m:f>
      </m:oMath>
      <w:r>
        <w:rPr>
          <w:rFonts w:ascii="Times New Roman" w:hAnsi="Times New Roman" w:cs="Times New Roman"/>
          <w:color w:val="000000" w:themeColor="text1"/>
          <w:lang w:val="en-GB"/>
        </w:rPr>
        <w:t xml:space="preserve">are translations/rotations at the </w:t>
      </w:r>
      <m:oMath>
        <m:r>
          <w:rPr>
            <w:rFonts w:ascii="Cambria Math" w:hAnsi="Cambria Math" w:cs="Times New Roman" w:hint="eastAsia"/>
            <w:color w:val="000000" w:themeColor="text1"/>
            <w:lang w:val="en-GB"/>
          </w:rPr>
          <m:t>i</m:t>
        </m:r>
        <m:r>
          <m:rPr>
            <m:sty m:val="p"/>
          </m:rPr>
          <w:rPr>
            <w:rFonts w:ascii="Cambria Math" w:hAnsi="Cambria Math" w:cs="Times New Roman"/>
            <w:color w:val="000000" w:themeColor="text1"/>
            <w:lang w:val="en-GB"/>
          </w:rPr>
          <m:t>th</m:t>
        </m:r>
      </m:oMath>
      <w:r>
        <w:rPr>
          <w:rFonts w:ascii="Times New Roman" w:hAnsi="Times New Roman" w:cs="Times New Roman"/>
          <w:color w:val="000000" w:themeColor="text1"/>
          <w:lang w:val="en-GB"/>
        </w:rPr>
        <w:t xml:space="preserve">time point in the </w:t>
      </w:r>
      <m:oMath>
        <m:r>
          <w:rPr>
            <w:rFonts w:ascii="Cambria Math" w:hAnsi="Cambria Math" w:cs="Times New Roman"/>
            <w:color w:val="000000" w:themeColor="text1"/>
            <w:lang w:val="en-GB"/>
          </w:rPr>
          <m:t>x, y</m:t>
        </m:r>
      </m:oMath>
      <w:r>
        <w:rPr>
          <w:rFonts w:ascii="Times New Roman" w:hAnsi="Times New Roman" w:cs="Times New Roman"/>
          <w:color w:val="000000" w:themeColor="text1"/>
          <w:lang w:val="en-GB"/>
        </w:rPr>
        <w:t xml:space="preserve"> and </w:t>
      </w:r>
      <m:oMath>
        <m:r>
          <w:rPr>
            <w:rFonts w:ascii="Cambria Math" w:hAnsi="Cambria Math" w:cs="Times New Roman"/>
            <w:color w:val="000000" w:themeColor="text1"/>
            <w:lang w:val="en-GB"/>
          </w:rPr>
          <m:t>z</m:t>
        </m:r>
      </m:oMath>
      <w:r>
        <w:rPr>
          <w:rFonts w:ascii="Times New Roman" w:hAnsi="Times New Roman" w:cs="Times New Roman" w:hint="eastAsia"/>
          <w:color w:val="000000" w:themeColor="text1"/>
          <w:lang w:val="en-GB"/>
        </w:rPr>
        <w:t xml:space="preserve"> </w:t>
      </w:r>
      <w:r>
        <w:rPr>
          <w:rFonts w:ascii="Times New Roman" w:hAnsi="Times New Roman" w:cs="Times New Roman"/>
          <w:color w:val="000000" w:themeColor="text1"/>
          <w:lang w:val="en-GB"/>
        </w:rPr>
        <w:t>directions, respectively;</w:t>
      </w:r>
      <m:oMath>
        <m:r>
          <w:rPr>
            <w:rFonts w:ascii="Cambria Math" w:hAnsi="Cambria Math" w:cs="Times New Roman"/>
            <w:color w:val="000000" w:themeColor="text1"/>
            <w:lang w:val="en-GB"/>
          </w:rPr>
          <m:t xml:space="preserve"> ∆</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d</m:t>
            </m:r>
          </m:e>
          <m:sub>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1</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i</m:t>
                </m:r>
              </m:sub>
              <m:sup>
                <m:r>
                  <w:rPr>
                    <w:rFonts w:ascii="Cambria Math" w:hAnsi="Cambria Math" w:cs="Times New Roman"/>
                    <w:color w:val="000000" w:themeColor="text1"/>
                    <w:lang w:val="en-GB"/>
                  </w:rPr>
                  <m:t>1</m:t>
                </m:r>
              </m:sup>
            </m:sSubSup>
            <m:r>
              <w:rPr>
                <w:rFonts w:ascii="Cambria Math" w:hAnsi="Cambria Math" w:cs="Times New Roman"/>
                <w:color w:val="000000" w:themeColor="text1"/>
                <w:lang w:val="en-GB"/>
              </w:rPr>
              <m:t>-</m:t>
            </m:r>
            <m:sSubSup>
              <m:sSubSupPr>
                <m:ctrlPr>
                  <w:rPr>
                    <w:rFonts w:ascii="Cambria Math" w:hAnsi="Cambria Math" w:cs="Times New Roman"/>
                    <w:i/>
                    <w:color w:val="000000" w:themeColor="text1"/>
                    <w:lang w:val="en-GB"/>
                  </w:rPr>
                </m:ctrlPr>
              </m:sSubSup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i-1</m:t>
                </m:r>
              </m:sub>
              <m:sup>
                <m:r>
                  <w:rPr>
                    <w:rFonts w:ascii="Cambria Math" w:hAnsi="Cambria Math" w:cs="Times New Roman"/>
                    <w:color w:val="000000" w:themeColor="text1"/>
                    <w:lang w:val="en-GB"/>
                  </w:rPr>
                  <m:t>1</m:t>
                </m:r>
              </m:sup>
            </m:sSubSup>
          </m:sub>
        </m:sSub>
      </m:oMath>
      <w:r>
        <w:rPr>
          <w:rFonts w:ascii="Times New Roman" w:hAnsi="Times New Roman" w:cs="Times New Roman"/>
          <w:color w:val="000000" w:themeColor="text1"/>
          <w:lang w:val="en-GB"/>
        </w:rPr>
        <w:t>.</w:t>
      </w:r>
      <w:r>
        <w:rPr>
          <w:rFonts w:ascii="Times New Roman" w:hAnsi="Times New Roman" w:cs="Times New Roman" w:hint="eastAsia"/>
          <w:color w:val="000000" w:themeColor="text1"/>
          <w:lang w:val="en-GB"/>
        </w:rPr>
        <w:t xml:space="preserve"> </w:t>
      </w:r>
      <w:bookmarkStart w:id="11" w:name="_Hlk62550255"/>
      <w:r>
        <w:rPr>
          <w:rFonts w:ascii="Times New Roman" w:hAnsi="Times New Roman"/>
          <w:color w:val="000000" w:themeColor="text1"/>
          <w:sz w:val="22"/>
        </w:rPr>
        <w:t>The global mean signal was not regressed out because this may distort between-group comparisons of inter-regional correlation</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{"citationItems":[{"id":"ITEM-1","itemData":{"DOI":"10.1089/brain.2012.0080","ISSN":"21580022","abstract":"Resting-state functional magnetic resonance imaging (RS-FMRI) holds the promise of revealing brain functional connectivity without requiring specific tasks targeting particular brain systems. RS-FMRI is being used to find differences between populations even when a specific candidate target for traditional inferences is lacking. However, the problem with RS-FMRI is a lacking definition of what constitutes noise and signal. RS-FMRI is easy to acquire but is not easy to analyze or draw inferences from. In this commentary we discuss a problem that is still treated lightly despite its significant impact on RS-FMRI inferences; global signal regression (GSReg), the practice of projecting out signal averaged over the entire brain, can change resting-state correlations in ways that dramatically alter correlation patterns and hence conclusions about brain functional connectedness. Although Murphy et al. in 2009 demonstrated that GSReg negatively biases correlations, the approach remains in wide use. We revisit this issue to argue the problem that GSReg is more than negative bias or the interpretability of negative correlations. Its usage can fundamentally alter interregional correlations within a group, or their differences between groups. We used an illustrative model to clearly convey our objections and derived equations formalizing our conclusions. We hope this creates a clear context in which counterarguments can be made. We conclude that GSReg should not be used when studying RS-FMRI because GSReg biases correlations differently in different regions depending on the underlying true interregional correlation structure. GSReg can alter local and long-range correlations, potentially spreading underlying group differences to regions that may never have had any. Conclusions also apply to substitutions of GSReg for denoising with decompositions of signals aggregated over the network's regions to the extent they cannot separate signals of interest from noise. We touch on the need for careful accounting of nuisance parameters when making group comparisons of correlation maps.","author":[{"dropping-particle":"","family":"Saad","given":"Ziad S.","non-dropping-particle":"","parse-names":false,"suffix":""},{"dropping-particle":"","family":"Gotts","given":"Stephen J.","non-dropping-particle":"","parse-names":false,"suffix":""},{"dropping-particle":"","family":"Murphy","given":"Kevin","non-dropping-particle":"","parse-names":false,"suffix":""},{"dropping-particle":"","family":"Chen","given":"Gang","non-dropping-particle":"","parse-names":false,"suffix":""},{"dropping-particle":"","family":"jo","given":"Hang Joon","non-dropping-particle":"","parse-names":false,"suffix":""},{"dropping-particle":"","family":"Martin","given":"Alex","non-dropping-particle":"","parse-names":false,"suffix":""},{"dropping-particle":"","family":"Cox","given":"Robert W.","non-dropping-particle":"","parse-names":false,"suffix":""}],"container-title":"Brain Connectivity","id":"ITEM-1","issue":"1","issued":{"date-parts":[["2012"]]},"page":"25-32","title":"Trouble at Rest: How Correlation Patterns and Group Differences Become Distorted After Global Signal Regression","type":"article-journal","volume":"2"},"uris":["http://www.mendeley.com/documents/?uuid=80d0d0d0-43f8-4ab3-89f7-9a491cd9e8cb"]}],"mendeley":{"formattedCitation":"(Saad et al., 2012)","plainTextFormattedCitation":"(Saad et al., 2012)","previouslyFormattedCitation":"(9)"},"properties":{"noteIndex":0},"schema":"https://github.com/citation-style-language/schema/raw/master/csl-citation.json"}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(Saad et al., 2012)</w:t>
      </w:r>
      <w:r>
        <w:rPr>
          <w:rFonts w:ascii="Times New Roman" w:hAnsi="Times New Roman"/>
          <w:color w:val="000000" w:themeColor="text1"/>
          <w:sz w:val="22"/>
        </w:rPr>
        <w:fldChar w:fldCharType="end"/>
      </w:r>
      <w:r>
        <w:rPr>
          <w:rFonts w:ascii="Times New Roman" w:hAnsi="Times New Roman" w:hint="eastAsia"/>
          <w:color w:val="000000" w:themeColor="text1"/>
          <w:sz w:val="22"/>
        </w:rPr>
        <w:t>.</w:t>
      </w:r>
      <w:r>
        <w:rPr>
          <w:rFonts w:ascii="Times New Roman" w:hAnsi="Times New Roman"/>
          <w:color w:val="000000" w:themeColor="text1"/>
          <w:sz w:val="22"/>
        </w:rPr>
        <w:t xml:space="preserve"> Besides, </w:t>
      </w:r>
      <w:r>
        <w:rPr>
          <w:rFonts w:ascii="Times New Roman" w:hAnsi="Times New Roman" w:hint="eastAsia"/>
          <w:color w:val="000000" w:themeColor="text1"/>
          <w:sz w:val="22"/>
        </w:rPr>
        <w:t>s</w:t>
      </w:r>
      <w:r>
        <w:rPr>
          <w:rFonts w:ascii="Times New Roman" w:hAnsi="Times New Roman"/>
          <w:color w:val="000000" w:themeColor="text1"/>
          <w:sz w:val="22"/>
        </w:rPr>
        <w:t>tudies suggest that</w:t>
      </w:r>
      <w:r>
        <w:rPr>
          <w:rFonts w:ascii="Times New Roman" w:hAnsi="Times New Roman" w:hint="eastAsia"/>
          <w:color w:val="000000" w:themeColor="text1"/>
          <w:sz w:val="22"/>
        </w:rPr>
        <w:t xml:space="preserve"> </w:t>
      </w:r>
      <w:r>
        <w:rPr>
          <w:rFonts w:ascii="Times New Roman" w:hAnsi="Times New Roman"/>
          <w:color w:val="000000" w:themeColor="text1"/>
          <w:sz w:val="22"/>
        </w:rPr>
        <w:t>altered global signal is an important neuroimaging feature in schizophrenia</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{"citationItems":[{"id":"ITEM-1","itemData":{"DOI":"10.1073/pnas.1405289111","ISSN":"10916490","abstract":"Neuropsychiatric conditions like schizophrenia display a complex neurobiology, which has long been associated with distributed brain dysfunction. However, no investigation has tested whether schizophrenia shows alterations in global brain signal (GS), a signal derived from functional MRI and often discarded as a meaningless baseline in many studies. To evaluate GS alterations associated with schizophrenia, we studied two large chronic patient samples (n = 90, n = 71), comparing them to healthy subjects (n = 220) and patients diagnosed with bipolar disorder (n = 73). We identified and replicated increased cortical power and variance in schizophrenia, an effect predictive of symptoms yet obscured by GS removal. Voxel-wise signal variance was also increased in schizophrenia, independent of GS effects. Both findings were absent in bipolar patients, confirming diagnostic specificity. Biologically informed computational modeling of shared and nonshared signal propagation through the brain suggests that these findings may be explained by altered net strength of overall brain connectivity in schizophrenia.","author":[{"dropping-particle":"","family":"Yang","given":"Genevieve J.","non-dropping-particle":"","parse-names":false,"suffix":""},{"dropping-particle":"","family":"Murray","given":"John D.","non-dropping-particle":"","parse-names":false,"suffix":""},{"dropping-particle":"","family":"Repovs","given":"Grega","non-dropping-particle":"","parse-names":false,"suffix":""},{"dropping-particle":"","family":"Cole","given":"Michael W.","non-dropping-particle":"","parse-names":false,"suffix":""},{"dropping-particle":"","family":"Savic","given":"Aleksandar","non-dropping-particle":"","parse-names":false,"suffix":""},{"dropping-particle":"","family":"Glasser","given":"Matthew F.","non-dropping-particle":"","parse-names":false,"suffix":""},{"dropping-particle":"","family":"Pittenger","given":"Christopher","non-dropping-particle":"","parse-names":false,"suffix":""},{"dropping-particle":"","family":"Krystal","given":"John H.","non-dropping-particle":"","parse-names":false,"suffix":""},{"dropping-particle":"","family":"Wang","given":"Xiao Jing","non-dropping-particle":"","parse-names":false,"suffix":""},{"dropping-particle":"","family":"Pearlson","given":"Godfrey D.","non-dropping-particle":"","parse-names":false,"suffix":""},{"dropping-particle":"","family":"Glahn","given":"David C.","non-dropping-particle":"","parse-names":false,"suffix":""},{"dropping-particle":"","family":"Anticevic","given":"Alan","non-dropping-particle":"","parse-names":false,"suffix":""}],"container-title":"Proceedings of the National Academy of Sciences of the United States of America","id":"ITEM-1","issue":"20","issued":{"date-parts":[["2014"]]},"page":"7438-7443","title":"Altered global brain signal in schizophrenia","type":"article-journal","volume":"111"},"uris":["http://www.mendeley.com/documents/?uuid=81fe2c70-c483-47ff-a066-b8be0a85c803"]},{"id":"ITEM-2","itemData":{"DOI":"10.1089/brain.2014.0244","ISSN":"2158-0014","abstract":"The global signal is commonly removed from resting-state data, as it was presumed to reflect physiological noise. However, removal of the global signal is now under debate, as this signal may reflect important neuronal components, and its removal may introduce artifacts into the data. Here, we show that the functional connectivity (FC) of the global signal is of functional relevance, as it differentiates between schizophrenia patients and healthy controls during rest. We also demonstrate that other reported findings related to various clinical populations may actually reflect alternations in global signal FC. The evidence of the clinical relevance of the global signal propose its usage as a research tool, and extend previously reported perils of global signal removal in resting-state data of clinical populations.","author":[{"dropping-particle":"","family":"Hahamy","given":"Avital","non-dropping-particle":"","parse-names":false,"suffix":""},{"dropping-particle":"","family":"Calhoun","given":"Vince","non-dropping-particle":"","parse-names":false,"suffix":""},{"dropping-particle":"","family":"Pearlson","given":"Godfrey","non-dropping-particle":"","parse-names":false,"suffix":""},{"dropping-particle":"","family":"Harel","given":"Michal","non-dropping-particle":"","parse-names":false,"suffix":""},{"dropping-particle":"","family":"Stern","given":"Nachum","non-dropping-particle":"","parse-names":false,"suffix":""},{"dropping-particle":"","family":"Attar","given":"Fanny","non-dropping-particle":"","parse-names":false,"suffix":""},{"dropping-particle":"","family":"Malach","given":"Rafael","non-dropping-particle":"","parse-names":false,"suffix":""},{"dropping-particle":"","family":"Salomon","given":"Roy","non-dropping-particle":"","parse-names":false,"suffix":""}],"container-title":"Brain Connectivity","id":"ITEM-2","issue":"6","issued":{"date-parts":[["2014"]]},"page":"395-403","title":"Save the Global: Global Signal Connectivity as a Tool for Studying Clinical Populations with Functional Magnetic Resonance Imaging","type":"article-journal","volume":"4"},"uris":["http://www.mendeley.com/documents/?uuid=e6109ee3-1823-4c93-993f-5c64e95a673e"]}],"mendeley":{"formattedCitation":"(Hahamy et al., 2014; Yang et al., 2014)","plainTextFormattedCitation":"(Hahamy et al., 2014; Yang et al., 2014)","previouslyFormattedCitation":"(10, 11)"},"properties":{"noteIndex":0},"schema":"https://github.com/citation-style-language/schema/raw/master/csl-citation.json"}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(Hahamy et al., 2014; Yang et al., 2014)</w:t>
      </w:r>
      <w:r>
        <w:rPr>
          <w:rFonts w:ascii="Times New Roman" w:hAnsi="Times New Roman"/>
          <w:color w:val="000000" w:themeColor="text1"/>
          <w:sz w:val="22"/>
        </w:rPr>
        <w:fldChar w:fldCharType="end"/>
      </w:r>
      <w:r>
        <w:rPr>
          <w:rFonts w:ascii="Times New Roman" w:hAnsi="Times New Roman" w:hint="eastAsia"/>
          <w:color w:val="000000" w:themeColor="text1"/>
          <w:sz w:val="22"/>
        </w:rPr>
        <w:t xml:space="preserve">. </w:t>
      </w:r>
    </w:p>
    <w:bookmarkEnd w:id="11"/>
    <w:p w:rsidR="00EA0D74" w:rsidRDefault="00746ABF">
      <w:pPr>
        <w:spacing w:line="360" w:lineRule="auto"/>
        <w:rPr>
          <w:rFonts w:ascii="Times New Roman" w:hAnsi="Times New Roman"/>
          <w:color w:val="000000" w:themeColor="text1"/>
          <w:sz w:val="22"/>
        </w:rPr>
      </w:pPr>
      <w:r>
        <w:rPr>
          <w:rFonts w:ascii="Times New Roman" w:hAnsi="Times New Roman"/>
          <w:color w:val="000000" w:themeColor="text1"/>
          <w:sz w:val="28"/>
          <w:szCs w:val="28"/>
        </w:rPr>
        <w:t>Connectivity gradient analyses</w:t>
      </w:r>
    </w:p>
    <w:p w:rsidR="00EA0D74" w:rsidRDefault="00746ABF">
      <w:pPr>
        <w:autoSpaceDE w:val="0"/>
        <w:autoSpaceDN w:val="0"/>
        <w:adjustRightInd w:val="0"/>
        <w:spacing w:line="360" w:lineRule="auto"/>
        <w:rPr>
          <w:rFonts w:ascii="Times New Roman" w:hAnsi="Times New Roman"/>
          <w:color w:val="000000" w:themeColor="text1"/>
          <w:sz w:val="22"/>
        </w:rPr>
      </w:pPr>
      <w:r>
        <w:rPr>
          <w:rFonts w:ascii="Times New Roman" w:hAnsi="Times New Roman"/>
          <w:color w:val="000000" w:themeColor="text1"/>
          <w:sz w:val="22"/>
        </w:rPr>
        <w:t xml:space="preserve">Gradient mapping techniques describe a continuous coordinate system at the systems level that place sensory and motor networks on one end and </w:t>
      </w:r>
      <w:proofErr w:type="spellStart"/>
      <w:r>
        <w:rPr>
          <w:rFonts w:ascii="Times New Roman" w:hAnsi="Times New Roman" w:hint="eastAsia"/>
          <w:color w:val="000000" w:themeColor="text1"/>
          <w:sz w:val="22"/>
        </w:rPr>
        <w:t>transmodel</w:t>
      </w:r>
      <w:proofErr w:type="spellEnd"/>
      <w:r>
        <w:rPr>
          <w:rFonts w:ascii="Times New Roman" w:hAnsi="Times New Roman" w:hint="eastAsia"/>
          <w:color w:val="000000" w:themeColor="text1"/>
          <w:sz w:val="22"/>
        </w:rPr>
        <w:t xml:space="preserve"> network</w:t>
      </w:r>
      <w:r>
        <w:rPr>
          <w:rFonts w:ascii="Times New Roman" w:hAnsi="Times New Roman"/>
          <w:color w:val="000000" w:themeColor="text1"/>
          <w:sz w:val="22"/>
        </w:rPr>
        <w:t xml:space="preserve"> on the other</w:t>
      </w:r>
      <w:r>
        <w:rPr>
          <w:rFonts w:ascii="Times New Roman" w:hAnsi="Times New Roman" w:hint="eastAsia"/>
          <w:color w:val="000000" w:themeColor="text1"/>
          <w:sz w:val="22"/>
        </w:rPr>
        <w:t xml:space="preserve">. This approach thus provides us </w:t>
      </w:r>
      <w:r>
        <w:rPr>
          <w:rFonts w:ascii="Times New Roman" w:hAnsi="Times New Roman"/>
          <w:color w:val="000000" w:themeColor="text1"/>
          <w:sz w:val="22"/>
        </w:rPr>
        <w:t xml:space="preserve">a simplified representation in terms of main dimensions </w:t>
      </w:r>
      <w:r>
        <w:rPr>
          <w:rFonts w:ascii="Times New Roman" w:hAnsi="Times New Roman" w:hint="eastAsia"/>
          <w:color w:val="000000" w:themeColor="text1"/>
          <w:sz w:val="22"/>
        </w:rPr>
        <w:t xml:space="preserve">to characterize the alteration of the </w:t>
      </w:r>
      <w:r>
        <w:rPr>
          <w:rFonts w:ascii="Times New Roman" w:hAnsi="Times New Roman"/>
          <w:color w:val="000000" w:themeColor="text1"/>
          <w:sz w:val="22"/>
        </w:rPr>
        <w:t>macroscale cortical hierarchy</w:t>
      </w:r>
      <w:r>
        <w:rPr>
          <w:rFonts w:ascii="Times New Roman" w:hAnsi="Times New Roman" w:hint="eastAsia"/>
          <w:color w:val="000000" w:themeColor="text1"/>
          <w:sz w:val="22"/>
        </w:rPr>
        <w:t xml:space="preserve"> in schizophrenia. </w:t>
      </w:r>
    </w:p>
    <w:p w:rsidR="00EA0D74" w:rsidRDefault="00EA0D74">
      <w:pPr>
        <w:autoSpaceDE w:val="0"/>
        <w:autoSpaceDN w:val="0"/>
        <w:adjustRightInd w:val="0"/>
        <w:spacing w:line="360" w:lineRule="auto"/>
        <w:rPr>
          <w:rFonts w:ascii="Times New Roman" w:hAnsi="Times New Roman"/>
          <w:color w:val="000000" w:themeColor="text1"/>
          <w:sz w:val="22"/>
        </w:rPr>
      </w:pPr>
    </w:p>
    <w:p w:rsidR="00EA0D74" w:rsidRDefault="00746ABF">
      <w:pPr>
        <w:autoSpaceDE w:val="0"/>
        <w:autoSpaceDN w:val="0"/>
        <w:adjustRightInd w:val="0"/>
        <w:spacing w:line="360" w:lineRule="auto"/>
        <w:rPr>
          <w:rFonts w:ascii="Times New Roman" w:hAnsi="Times New Roman"/>
          <w:color w:val="000000" w:themeColor="text1"/>
          <w:sz w:val="22"/>
          <w:shd w:val="clear" w:color="auto" w:fill="FFFFFF"/>
        </w:rPr>
      </w:pPr>
      <w:proofErr w:type="spellStart"/>
      <w:r>
        <w:rPr>
          <w:rFonts w:ascii="Times New Roman" w:hAnsi="Times New Roman" w:hint="eastAsia"/>
          <w:color w:val="000000" w:themeColor="text1"/>
          <w:sz w:val="22"/>
        </w:rPr>
        <w:t>Specificlly</w:t>
      </w:r>
      <w:proofErr w:type="spellEnd"/>
      <w:r>
        <w:rPr>
          <w:rFonts w:ascii="Times New Roman" w:hAnsi="Times New Roman" w:hint="eastAsia"/>
          <w:color w:val="000000" w:themeColor="text1"/>
          <w:sz w:val="22"/>
        </w:rPr>
        <w:t>, t</w:t>
      </w:r>
      <w:r>
        <w:rPr>
          <w:rFonts w:ascii="Times New Roman" w:hAnsi="Times New Roman"/>
          <w:color w:val="000000" w:themeColor="text1"/>
          <w:sz w:val="22"/>
        </w:rPr>
        <w:t xml:space="preserve">he </w:t>
      </w:r>
      <w:r>
        <w:rPr>
          <w:rFonts w:ascii="Times New Roman" w:hAnsi="Times New Roman" w:hint="eastAsia"/>
          <w:color w:val="000000" w:themeColor="text1"/>
          <w:sz w:val="22"/>
        </w:rPr>
        <w:t xml:space="preserve">voxel-level </w:t>
      </w:r>
      <w:r>
        <w:rPr>
          <w:rFonts w:ascii="Times New Roman" w:hAnsi="Times New Roman"/>
          <w:color w:val="000000" w:themeColor="text1"/>
          <w:sz w:val="22"/>
        </w:rPr>
        <w:t>connectivity matrix</w:t>
      </w:r>
      <w:r>
        <w:rPr>
          <w:rFonts w:ascii="Times New Roman" w:hAnsi="Times New Roman" w:hint="eastAsia"/>
          <w:color w:val="000000" w:themeColor="text1"/>
          <w:sz w:val="22"/>
        </w:rPr>
        <w:t xml:space="preserve"> </w:t>
      </w:r>
      <w:r>
        <w:rPr>
          <w:rFonts w:ascii="Times New Roman" w:hAnsi="Times New Roman" w:hint="eastAsia"/>
          <w:color w:val="000000" w:themeColor="text1"/>
          <w:sz w:val="22"/>
          <w:shd w:val="clear" w:color="auto" w:fill="FFFFFF"/>
        </w:rPr>
        <w:t xml:space="preserve">for each subject </w:t>
      </w:r>
      <w:r>
        <w:rPr>
          <w:rFonts w:ascii="Times New Roman" w:hAnsi="Times New Roman"/>
          <w:color w:val="000000" w:themeColor="text1"/>
          <w:sz w:val="22"/>
          <w:shd w:val="clear" w:color="auto" w:fill="FFFFFF"/>
        </w:rPr>
        <w:t>was computed using Fisher Z-transformed Pearson correlations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Based on</w:t>
      </w:r>
      <w:r>
        <w:rPr>
          <w:rFonts w:ascii="Times New Roman" w:hAnsi="Times New Roman" w:hint="eastAsia"/>
          <w:color w:val="000000" w:themeColor="text1"/>
          <w:sz w:val="22"/>
          <w:shd w:val="clear" w:color="auto" w:fill="FFFFFF"/>
        </w:rPr>
        <w:t xml:space="preserve"> previous stud</w:t>
      </w:r>
      <w:r>
        <w:rPr>
          <w:rFonts w:ascii="Times New Roman" w:hAnsi="Times New Roman"/>
          <w:color w:val="000000" w:themeColor="text1"/>
          <w:sz w:val="22"/>
          <w:shd w:val="clear" w:color="auto" w:fill="FFFFFF"/>
        </w:rPr>
        <w:t>ies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organization","type":"article-journal","volume":"113"},"uris":["http://www.mendeley.com/documents/?uuid=1ef2e3e2-9a70-432c-b44f-2cde8a09aca4"]},{"id":"ITEM-2","itemData":{"DOI":"10.1038/s41467-019-08944-1","ISSN":"20411723","abstract":"Background: Autism spectrum disorder (ASD) is a lifelong neurodevelopmental condition, with impairments in sensory processing and social cognition. Such deficits both in low- and high-level functions suggest an association to atypical functional hierarchy. Here we assessed this hypothesis using connectome-wide diffusion embedding, a non-linear technique to synoptically map a functional connectivity gradient from sensory to default mode regions. Methods: The discovery dataset was based on resting-state fMRI data in 103 males with ASD and 108 typical males. Using diffusion embedding, we mapped the principal gradient of spatial variations in whole-brain connectivity. Surface-based models compared gradient magnitude between ASD and controls, controlling for site/age effects. Findings were complemented by systematic analyses of rich-club organization and long/short range connectivity profiling. To assess robustness, we repeated the analyses in an independent dataset (60 ASD, 59 controls). Results: Compared to controls, ASD revealed decreased gradients in core DMN hubs, including medial prefrontal and parietal regions. Conversely, we observed increased gradients in unimodal association areas. DMN gradient reductions were associated with perturbed rich club connectivity across both short- and long-ranges, while unimodal cortices show connectivity alterations at mid-range, primarily to sensory-motor regions. Gradient findings were replicated in the separate dataset. Conclusions: As hypothesized, both low- and high-level components along the functional hierarchy were affected in ASD, showing diverging patterns in connectome- and physical-space anomalies. Although the behavioral relevance of these network reconfigurations remains to be determined, they may differentially relate to anomalies in sensory integration and social cognition, commonly seen at the phenotypic level.","author":[{"dropping-particle":"","family":"Hong","given":"Seok Jun","non-dropping-particle":"","parse-names":false,"suffix":""},{"dropping-particle":"","family":"Wael","given":"Reinder Vos","non-dropping-particle":"de","parse-names":false,"suffix":""},{"dropping-particle":"","family":"Bethlehem","given":"Richard A.I.","non-dropping-particle":"","parse-names":false,"suffix":""},{"dropping-particle":"","family":"Lariviere","given":"Sara","non-dropping-particle":"","parse-names":false,"suffix":""},{"dropping-particle":"","family":"Paquola","given":"Casey","non-dropping-particle":"","parse-names":false,"suffix":""},{"dropping-particle":"","family":"Valk","given":"Sofie L.","non-dropping-particle":"","parse-names":false,"suffix":""},{"dropping-particle":"","family":"Milham","given":"Michael P.","non-dropping-particle":"","parse-names":false,"suffix":""},{"dropping-particle":"","family":"Martino","given":"Adriana","non-dropping-particle":"Di","parse-names":false,"suffix":""},{"dropping-particle":"","family":"Margulies","given":"Daniel S.","non-dropping-particle":"","parse-names":false,"suffix":""},{"dropping-particle":"","family":"Smallwood","given":"Jonathan","non-dropping-particle":"","parse-names":false,"suffix":""},{"dropping-particle":"","family":"Bernhardt","given":"Boris C.","non-dropping-particle":"","parse-names":false,"suffix":""}],"container-title":"Nature Communications","id":"ITEM-2","issue":"1","issued":{"date-parts":[["2019"]]},"page":"1-13","title":"Atypical functional connectome hierarchy in autism","type":"article-journal","volume":"10"},"uris":["http://www.mendeley.com/documents/?uuid=31920844-decb-4061-aa1f-1fe9f325d904"]},{"id":"ITEM-3","itemData":{"DOI":"10.7554/elife.36652","abstract":"A central principle for understanding the cerebral cortex is that macroscale anatomy reflects a functional hierarchy from primary to transmodal processing. In contrast, the central axis of motor and nonmotor macroscale organization in the cerebellum remains unknown. Here we applied diffusion map embedding to resting-state data from the Human Connectome Project dataset (n = 1003), and show for the first time that cerebellar functional regions follow a gradual organization which progresses from primary (motor) to transmodal (DMN, task-unfocused) regions. A secondary axis extends from task-unfocused to task-focused processing. Further, these two principal gradients revealed novel functional properties of the well-established cerebellar double motor representation (lobules I-VI and VIII), and its relationship with the recently described triple nonmotor representation (lobules VI/Crus I, Crus II/VIIB, IX/X). Functional differences exist not only between the two motor but also between the three nonmotor representations, and second motor representation might share functional similarities with third nonmotor representation.","author":[{"dropping-particle":"","family":"Guell","given":"Xavier","non-dropping-particle":"","parse-names":false,"suffix":""},{"dropping-particle":"","family":"Schmahmann","given":"Jeremy D","non-dropping-particle":"","parse-names":false,"suffix":""},{"dropping-particle":"DE","family":"Gabrieli","given":"John","non-dropping-particle":"","parse-names":false,"suffix":""},{"dropping-particle":"","family":"Ghosh","given":"Satrajit S","non-dropping-particle":"","parse-names":false,"suffix":""}],"container-title":"eLife","id":"ITEM-3","issued":{"date-parts":[["2018"]]},"page":"1-22","title":"Functional gradients of the cerebellum","type":"article-journal","volume":"7"},"uris":["http://www.mendeley.com/documents/?uuid=e32aeff5-508b-4e77-a651-cd8ef83b73cd"]},{"id":"ITEM-4","itemData":{"DOI":"10.1073/pnas.1803667115","ISSN":"10916490","abstract":"The hippocampus plays key roles in cognition and affect and serves as a model system for structure/function studies in animals. So far, its complex anatomy has challenged investigations targeting its substructural organization in humans. State-of-the-art MRI offers the resolution and versatility to identify hippocampal subfields, assess its microstructure, and study topographical principles of its connectivity in vivo. We developed an approach to unfold the human hippocampus and examine spatial variations of intrinsic functional connectivity in a large cohort of healthy adults. In addition to mapping common and unique connections across subfields, we identified two main axes of subregional connectivity transitions. An anterior/posterior gradient followed long-axis landmarks and metaanalytical findings from task-based functional MRI, while a medial/ lateral gradient followed hippocampal infolding and correlated with proxies of cortical myelin. Findings were consistent in an independent sample and highly stable across resting-state scans. Our results provide robust evidence for long-axis specialization in the resting human hippocampus and suggest an intriguing interplay between connectivity and microstructure.","author":[{"dropping-particle":"","family":"Vos De Wael","given":"Reinder","non-dropping-particle":"","parse-names":false,"suffix":""},{"dropping-particle":"","family":"Larivière","given":"Sara","non-dropping-particle":"","parse-names":false,"suffix":""},{"dropping-particle":"","family":"Caldairou","given":"BenoÎt","non-dropping-particle":"","parse-names":false,"suffix":""},{"dropping-particle":"","family":"Hong","given":"Seok Jun","non-dropping-particle":"","parse-names":false,"suffix":""},{"dropping-particle":"","family":"Margulies","given":"Daniel S.","non-dropping-particle":"","parse-names":false,"suffix":""},{"dropping-particle":"","family":"Jefferies","given":"Elizabeth","non-dropping-particle":"","parse-names":false,"suffix":""},{"dropping-particle":"","family":"Bernasconi","given":"Andrea","non-dropping-particle":"","parse-names":false,"suffix":""},{"dropping-particle":"","family":"Smallwood","given":"Jonathan","non-dropping-particle":"","parse-names":false,"suffix":""},{"dropping-particle":"","family":"Bernasconi","given":"Neda","non-dropping-particle":"","parse-names":false,"suffix":""},{"dropping-particle":"","family":"Bernhardt","given":"Boris C.","non-dropping-particle":"","parse-names":false,"suffix":""}],"container-title":"Proceedings of the National Academy of Sciences of the United States of America","id":"ITEM-4","issue":"40","issued":{"date-parts":[["2018"]]},"page":"10154-10159","title":"Anatomical and microstructural determinants of hippocampal subfield functional connectome embedding","type":"article-journal","volume":"115"},"uris":["http://www.mendeley.com/documents/?uuid=331475d1-3e1e-4a55-b379-de45449982c8"]},{"id":"ITEM-5","itemData":{"DOI":"10.1093/schbul/sbaa016","ISSN":"0586-7614","author":[{"dropping-particle":"","family":"Dong","given":"Debo","non-dropping-particle":"","parse-names":false,"suffix":""},{"dropping-particle":"","family":"Luo","given":"Cheng","non-dropping-particle":"","parse-names":false,"suffix":""},{"dropping-particle":"","family":"Guell","given":"Xavier","non-dropping-particle":"","parse-names":false,"suffix":""},{"dropping-particle":"","family":"Wang","given":"Yulin","non-dropping-particle":"","parse-names":false,"suffix":""},{"dropping-particle":"","family":"He","given":"Hui","non-dropping-particle":"","parse-names":false,"suffix":""},{"dropping-particle":"","family":"Duan","given":"Mingjun","non-dropping-particle":"","parse-names":false,"suffix":""},{"dropping-particle":"","family":"Eickhoff","given":"Simon B","non-dropping-particle":"","parse-names":false,"suffix":""}],"container-title":"Schizophrenia Bulletin","id":"ITEM-5","issued":{"date-parts":[["2020"]]},"page":"1-14","title":"Compression of Cerebellar Functional Gradients in Schizophrenia Debo","type":"article-journal"},"uris":["http://www.mendeley.com/documents/?uuid=b67c2700-83b2-48b6-8ace-07c071713b3b"]}],"mendeley":{"formattedCitation":"(Dong et al., 2020; Guell, Schmahmann, Gabrieli, &amp; Ghosh, 2018; Hong et al., 2019; Margulies et al., 2016; Vos De Wael et al., 2018)","plainTextFormattedCitation":"(Dong et al., 2020; Guell, Schmahmann, Gabrieli, &amp; Ghosh, 2018; Hong et al., 2019; Margulies et al., 2016; Vos De Wael et al., 2018)","previouslyFormattedCitation":"(2, 12–15)"},"properties":{"noteIndex":0},"schema":"https://github.com/citation-style-language/schema/raw/master/csl-citation.json"}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(Dong et al., 2020; Guell, Schmahmann, Gabrieli, &amp; Ghosh, 2018; Hong et al., 2019; Margulies et al., 2016; Vos De Wael et al., 2018)</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we </w:t>
      </w:r>
      <w:proofErr w:type="spellStart"/>
      <w:r>
        <w:rPr>
          <w:rFonts w:ascii="Times New Roman" w:hAnsi="Times New Roman"/>
          <w:color w:val="000000" w:themeColor="text1"/>
          <w:sz w:val="22"/>
          <w:shd w:val="clear" w:color="auto" w:fill="FFFFFF"/>
        </w:rPr>
        <w:t>thresholded</w:t>
      </w:r>
      <w:proofErr w:type="spellEnd"/>
      <w:r>
        <w:rPr>
          <w:rFonts w:ascii="Times New Roman" w:hAnsi="Times New Roman"/>
          <w:color w:val="000000" w:themeColor="text1"/>
          <w:sz w:val="22"/>
          <w:shd w:val="clear" w:color="auto" w:fill="FFFFFF"/>
        </w:rPr>
        <w:t xml:space="preserve"> th</w:t>
      </w:r>
      <w:r>
        <w:rPr>
          <w:rFonts w:ascii="Times New Roman" w:hAnsi="Times New Roman" w:hint="eastAsia"/>
          <w:color w:val="000000" w:themeColor="text1"/>
          <w:sz w:val="22"/>
          <w:shd w:val="clear" w:color="auto" w:fill="FFFFFF"/>
        </w:rPr>
        <w:t xml:space="preserve">e </w:t>
      </w:r>
      <w:proofErr w:type="spellStart"/>
      <w:r>
        <w:rPr>
          <w:rFonts w:ascii="Times New Roman" w:hAnsi="Times New Roman" w:hint="eastAsia"/>
          <w:color w:val="000000" w:themeColor="text1"/>
          <w:sz w:val="22"/>
          <w:shd w:val="clear" w:color="auto" w:fill="FFFFFF"/>
        </w:rPr>
        <w:t>rsFC</w:t>
      </w:r>
      <w:proofErr w:type="spellEnd"/>
      <w:r>
        <w:rPr>
          <w:rFonts w:ascii="Times New Roman" w:hAnsi="Times New Roman"/>
          <w:color w:val="000000" w:themeColor="text1"/>
          <w:sz w:val="22"/>
          <w:shd w:val="clear" w:color="auto" w:fill="FFFFFF"/>
        </w:rPr>
        <w:t xml:space="preserve"> matrix</w:t>
      </w:r>
      <w:r>
        <w:rPr>
          <w:rFonts w:ascii="Times New Roman" w:hAnsi="Times New Roman" w:hint="eastAsia"/>
          <w:color w:val="000000" w:themeColor="text1"/>
          <w:sz w:val="22"/>
          <w:shd w:val="clear" w:color="auto" w:fill="FFFFFF"/>
        </w:rPr>
        <w:t xml:space="preserve"> with </w:t>
      </w:r>
      <w:r>
        <w:rPr>
          <w:rFonts w:ascii="Times New Roman" w:hAnsi="Times New Roman"/>
          <w:color w:val="000000" w:themeColor="text1"/>
          <w:sz w:val="22"/>
          <w:shd w:val="clear" w:color="auto" w:fill="FFFFFF"/>
        </w:rPr>
        <w:t>the top 10% of connections per row</w:t>
      </w:r>
      <w:r>
        <w:rPr>
          <w:rFonts w:ascii="Times New Roman" w:hAnsi="Times New Roman" w:hint="eastAsia"/>
          <w:color w:val="000000" w:themeColor="text1"/>
          <w:sz w:val="22"/>
          <w:shd w:val="clear" w:color="auto" w:fill="FFFFFF"/>
        </w:rPr>
        <w:t xml:space="preserve"> retained</w:t>
      </w:r>
      <w:r>
        <w:rPr>
          <w:rFonts w:ascii="Times New Roman" w:hAnsi="Times New Roman"/>
          <w:color w:val="000000" w:themeColor="text1"/>
          <w:sz w:val="22"/>
          <w:shd w:val="clear" w:color="auto" w:fill="FFFFFF"/>
        </w:rPr>
        <w:t>,</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whereas all others were zeroed. Th</w:t>
      </w:r>
      <w:r>
        <w:rPr>
          <w:rFonts w:ascii="Times New Roman" w:hAnsi="Times New Roman" w:hint="eastAsia"/>
          <w:color w:val="000000" w:themeColor="text1"/>
          <w:sz w:val="22"/>
          <w:shd w:val="clear" w:color="auto" w:fill="FFFFFF"/>
        </w:rPr>
        <w:t>e</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 xml:space="preserve">negative </w:t>
      </w:r>
      <w:r>
        <w:rPr>
          <w:rFonts w:ascii="Times New Roman" w:hAnsi="Times New Roman"/>
          <w:color w:val="000000" w:themeColor="text1"/>
          <w:sz w:val="22"/>
          <w:shd w:val="clear" w:color="auto" w:fill="FFFFFF"/>
        </w:rPr>
        <w:t>connection</w:t>
      </w:r>
      <w:r>
        <w:rPr>
          <w:rFonts w:ascii="Times New Roman" w:hAnsi="Times New Roman" w:hint="eastAsia"/>
          <w:color w:val="000000" w:themeColor="text1"/>
          <w:sz w:val="22"/>
          <w:shd w:val="clear" w:color="auto" w:fill="FFFFFF"/>
        </w:rPr>
        <w:t>s</w:t>
      </w:r>
      <w:r>
        <w:rPr>
          <w:rFonts w:ascii="Times New Roman" w:hAnsi="Times New Roman"/>
          <w:color w:val="000000" w:themeColor="text1"/>
          <w:sz w:val="22"/>
          <w:shd w:val="clear" w:color="auto" w:fill="FFFFFF"/>
        </w:rPr>
        <w:t xml:space="preserve"> were zeroed as well.</w:t>
      </w:r>
      <w:r>
        <w:rPr>
          <w:rFonts w:ascii="Times New Roman" w:hAnsi="Times New Roman" w:hint="eastAsia"/>
          <w:color w:val="000000" w:themeColor="text1"/>
          <w:sz w:val="22"/>
          <w:shd w:val="clear" w:color="auto" w:fill="FFFFFF"/>
        </w:rPr>
        <w:t xml:space="preserve"> Then, we used </w:t>
      </w:r>
      <w:r>
        <w:rPr>
          <w:rFonts w:ascii="Times New Roman" w:hAnsi="Times New Roman"/>
          <w:color w:val="000000" w:themeColor="text1"/>
          <w:sz w:val="22"/>
          <w:shd w:val="clear" w:color="auto" w:fill="FFFFFF"/>
        </w:rPr>
        <w:t>cosine distance</w:t>
      </w:r>
      <w:r>
        <w:rPr>
          <w:rFonts w:ascii="Times New Roman" w:hAnsi="Times New Roman" w:hint="eastAsia"/>
          <w:color w:val="000000" w:themeColor="text1"/>
          <w:sz w:val="22"/>
          <w:shd w:val="clear" w:color="auto" w:fill="FFFFFF"/>
        </w:rPr>
        <w:t xml:space="preserve"> to generate </w:t>
      </w:r>
      <w:r>
        <w:rPr>
          <w:rFonts w:ascii="Times New Roman" w:hAnsi="Times New Roman"/>
          <w:color w:val="000000" w:themeColor="text1"/>
          <w:sz w:val="22"/>
          <w:shd w:val="clear" w:color="auto" w:fill="FFFFFF"/>
        </w:rPr>
        <w:t xml:space="preserve">a similarity matrix that </w:t>
      </w:r>
      <w:r>
        <w:rPr>
          <w:rFonts w:ascii="Times New Roman" w:hAnsi="Times New Roman" w:hint="eastAsia"/>
          <w:color w:val="000000" w:themeColor="text1"/>
          <w:sz w:val="22"/>
          <w:shd w:val="clear" w:color="auto" w:fill="FFFFFF"/>
        </w:rPr>
        <w:t>reflect</w:t>
      </w:r>
      <w:r>
        <w:rPr>
          <w:rFonts w:ascii="Times New Roman" w:hAnsi="Times New Roman"/>
          <w:color w:val="000000" w:themeColor="text1"/>
          <w:sz w:val="22"/>
          <w:shd w:val="clear" w:color="auto" w:fill="FFFFFF"/>
        </w:rPr>
        <w:t>ed the similarity of connectivity profiles</w:t>
      </w:r>
      <w:r>
        <w:rPr>
          <w:rFonts w:ascii="Times New Roman" w:hAnsi="Times New Roman" w:hint="eastAsia"/>
          <w:color w:val="000000" w:themeColor="text1"/>
          <w:sz w:val="22"/>
          <w:shd w:val="clear" w:color="auto" w:fill="FFFFFF"/>
        </w:rPr>
        <w:t xml:space="preserve"> between each pair of voxels. </w:t>
      </w:r>
      <w:r>
        <w:rPr>
          <w:rFonts w:ascii="Times New Roman" w:hAnsi="Times New Roman"/>
          <w:color w:val="000000" w:themeColor="text1"/>
          <w:sz w:val="22"/>
          <w:shd w:val="clear" w:color="auto" w:fill="FFFFFF"/>
        </w:rPr>
        <w:t xml:space="preserve">We </w:t>
      </w:r>
      <w:r>
        <w:rPr>
          <w:rFonts w:ascii="Times New Roman" w:hAnsi="Times New Roman" w:hint="eastAsia"/>
          <w:color w:val="000000" w:themeColor="text1"/>
          <w:sz w:val="22"/>
          <w:shd w:val="clear" w:color="auto" w:fill="FFFFFF"/>
        </w:rPr>
        <w:t>used</w:t>
      </w:r>
      <w:r>
        <w:rPr>
          <w:rFonts w:ascii="Times New Roman" w:hAnsi="Times New Roman"/>
          <w:color w:val="000000" w:themeColor="text1"/>
          <w:sz w:val="22"/>
          <w:shd w:val="clear" w:color="auto" w:fill="FFFFFF"/>
        </w:rPr>
        <w:t xml:space="preserve"> diffusion map embedding</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{"citationItems":[{"id":"ITEM-1","itemData":{"ISSN":"0030-1124","abstract":"In the companion article, a framework for structural multiscale geometric organization of subsets of R(n) and of graphs was introduced. Here, diffusion semigroups are used to generate multiscale analyses in order to organize and represent complex structures. We emphasize the multiscale nature of these problems and build scaling functions of Markov matrices (describing local transitions) that lead to macroscopic descriptions at different scales. The process of iterating or diffusing the Markov matrix is seen as a generalization of some aspects of the Newtonian paradigm, in which local infinitesimal transitions of a system lead to global macroscopic descriptions by integration. This article deals with the construction of fast-order N algorithms for data representation and for homogenization of heterogeneous structures.","author":[{"dropping-particle":"","family":"Coifman","given":"R. R.","non-dropping-particle":"","parse-names":false,"suffix":""},{"dropping-particle":"","family":"Lafon","given":"S.","non-dropping-particle":"","parse-names":false,"suffix":""},{"dropping-particle":"","family":"Lee","given":"A. B.","non-dropping-particle":"","parse-names":false,"suffix":""},{"dropping-particle":"","family":"Maggioni","given":"M.","non-dropping-particle":"","parse-names":false,"suffix":""},{"dropping-particle":"","family":"Nadler","given":"B.","non-dropping-particle":"","parse-names":false,"suffix":""},{"dropping-particle":"","family":"Warner","given":"F.","non-dropping-particle":"","parse-names":false,"suffix":""},{"dropping-particle":"","family":"Zucker","given":"S. W.","non-dropping-particle":"","parse-names":false,"suffix":""}],"container-title":"Proceedings of the National Academy of Sciences of the United States of America","id":"ITEM-1","issue":"21","issued":{"date-parts":[["2005"]]},"page":"7432-7437","title":"Geometric diffusions as a tool for harmonic analysis and structure definition of data: Multiscale methods","type":"article-journal","volume":"102"},"uris":["http://www.mendeley.com/documents/?uuid=d5be7ea8-1790-4a9b-98c7-9e1e82acd4d3"]}],"mendeley":{"formattedCitation":"(Coifman et al., 2005)","plainTextFormattedCitation":"(Coifman et al., 2005)","previouslyFormattedCitation":"(16)"},"properties":{"noteIndex":0},"schema":"https://github.com/citation-style-language/schema/raw/master/csl-citation.json"}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(Coifman et al., 2005)</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 xml:space="preserve"> a nonlinear dimensionality reduction </w:t>
      </w:r>
      <w:r>
        <w:rPr>
          <w:rFonts w:ascii="Times New Roman" w:hAnsi="Times New Roman"/>
          <w:color w:val="000000" w:themeColor="text1"/>
          <w:sz w:val="22"/>
          <w:shd w:val="clear" w:color="auto" w:fill="FFFFFF"/>
        </w:rPr>
        <w:lastRenderedPageBreak/>
        <w:t>algorithm, to identify a low-dimensional embedding from a high-dimensional connectivity matri</w:t>
      </w:r>
      <w:r>
        <w:rPr>
          <w:rFonts w:ascii="Times New Roman" w:hAnsi="Times New Roman" w:hint="eastAsia"/>
          <w:color w:val="000000" w:themeColor="text1"/>
          <w:sz w:val="22"/>
          <w:shd w:val="clear" w:color="auto" w:fill="FFFFFF"/>
        </w:rPr>
        <w:t>x</w:t>
      </w:r>
      <w:r>
        <w:rPr>
          <w:rFonts w:ascii="Times New Roman" w:hAnsi="Times New Roman"/>
          <w:color w:val="000000" w:themeColor="text1"/>
          <w:sz w:val="22"/>
          <w:shd w:val="clear" w:color="auto" w:fill="FFFFFF"/>
        </w:rPr>
        <w:t>. This methodological strategy has been proved to successfully identify relevant aspects of functional organization in the cerebral cortex in previous studies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organization","type":"article-journal","volume":"113"},"uris":["http://www.mendeley.com/documents/?uuid=1ef2e3e2-9a70-432c-b44f-2cde8a09aca4"]},{"id":"ITEM-2","itemData":{"DOI":"10.1038/s41467-019-08944-1","ISSN":"20411723","abstract":"Background: Autism spectrum disorder (ASD) is a lifelong neurodevelopmental condition, with impairments in sensory processing and social cognition. Such deficits both in low- and high-level functions suggest an association to atypical functional hierarchy. Here we assessed this hypothesis using connectome-wide diffusion embedding, a non-linear technique to synoptically map a functional connectivity gradient from sensory to default mode regions. Methods: The discovery dataset was based on resting-state fMRI data in 103 males with ASD and 108 typical males. Using diffusion embedding, we mapped the principal gradient of spatial variations in whole-brain connectivity. Surface-based models compared gradient magnitude between ASD and controls, controlling for site/age effects. Findings were complemented by systematic analyses of rich-club organization and long/short range connectivity profiling. To assess robustness, we repeated the analyses in an independent dataset (60 ASD, 59 controls). Results: Compared to controls, ASD revealed decreased gradients in core DMN hubs, including medial prefrontal and parietal regions. Conversely, we observed increased gradients in unimodal association areas. DMN gradient reductions were associated with perturbed rich club connectivity across both short- and long-ranges, while unimodal cortices show connectivity alterations at mid-range, primarily to sensory-motor regions. Gradient findings were replicated in the separate dataset. Conclusions: As hypothesized, both low- and high-level components along the functional hierarchy were affected in ASD, showing diverging patterns in connectome- and physical-space anomalies. Although the behavioral relevance of these network reconfigurations remains to be determined, they may differentially relate to anomalies in sensory integration and social cognition, commonly seen at the phenotypic level.","author":[{"dropping-particle":"","family":"Hong","given":"Seok Jun","non-dropping-particle":"","parse-names":false,"suffix":""},{"dropping-particle":"","family":"Wael","given":"Reinder Vos","non-dropping-particle":"de","parse-names":false,"suffix":""},{"dropping-particle":"","family":"Bethlehem","given":"Richard A.I.","non-dropping-particle":"","parse-names":false,"suffix":""},{"dropping-particle":"","family":"Lariviere","given":"Sara","non-dropping-particle":"","parse-names":false,"suffix":""},{"dropping-particle":"","family":"Paquola","given":"Casey","non-dropping-particle":"","parse-names":false,"suffix":""},{"dropping-particle":"","family":"Valk","given":"Sofie L.","non-dropping-particle":"","parse-names":false,"suffix":""},{"dropping-particle":"","family":"Milham","given":"Michael P.","non-dropping-particle":"","parse-names":false,"suffix":""},{"dropping-particle":"","family":"Martino","given":"Adriana","non-dropping-particle":"Di","parse-names":false,"suffix":""},{"dropping-particle":"","family":"Margulies","given":"Daniel S.","non-dropping-particle":"","parse-names":false,"suffix":""},{"dropping-particle":"","family":"Smallwood","given":"Jonathan","non-dropping-particle":"","parse-names":false,"suffix":""},{"dropping-particle":"","family":"Bernhardt","given":"Boris C.","non-dropping-particle":"","parse-names":false,"suffix":""}],"container-title":"Nature Communications","id":"ITEM-2","issue":"1","issued":{"date-parts":[["2019"]]},"page":"1-13","title":"Atypical functional connectome hierarchy in autism","type":"article-journal","volume":"10"},"uris":["http://www.mendeley.com/documents/?uuid=31920844-decb-4061-aa1f-1fe9f325d904"]}],"mendeley":{"formattedCitation":"(Hong et al., 2019; Margulies et al., 2016)","plainTextFormattedCitation":"(Hong et al., 2019; Margulies et al., 2016)","previouslyFormattedCitation":"(12, 13)"},"properties":{"noteIndex":0},"schema":"https://github.com/citation-style-language/schema/raw/master/csl-citation.json"}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(Hong et al., 2019; Margulies et al., 2016)</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Similar</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to</w:t>
      </w:r>
      <w:r>
        <w:rPr>
          <w:rFonts w:ascii="Times New Roman" w:hAnsi="Times New Roman"/>
          <w:color w:val="000000" w:themeColor="text1"/>
          <w:sz w:val="22"/>
          <w:shd w:val="clear" w:color="auto" w:fill="FFFFFF"/>
        </w:rPr>
        <w:t xml:space="preserve"> Principal Component Analysis (PCA), diffusion map embedding</w:t>
      </w:r>
      <w:r>
        <w:rPr>
          <w:rFonts w:ascii="Times New Roman" w:hAnsi="Times New Roman" w:hint="eastAsia"/>
          <w:color w:val="000000" w:themeColor="text1"/>
          <w:sz w:val="22"/>
          <w:shd w:val="clear" w:color="auto" w:fill="FFFFFF"/>
        </w:rPr>
        <w:t xml:space="preserve"> can</w:t>
      </w:r>
      <w:r>
        <w:rPr>
          <w:rFonts w:ascii="Times New Roman" w:hAnsi="Times New Roman"/>
          <w:color w:val="000000" w:themeColor="text1"/>
          <w:sz w:val="22"/>
          <w:shd w:val="clear" w:color="auto" w:fill="FFFFFF"/>
        </w:rPr>
        <w:t xml:space="preserve"> identify principal gradient components </w:t>
      </w:r>
      <w:r>
        <w:rPr>
          <w:rFonts w:ascii="Times New Roman" w:hAnsi="Times New Roman" w:hint="eastAsia"/>
          <w:color w:val="000000" w:themeColor="text1"/>
          <w:sz w:val="22"/>
          <w:shd w:val="clear" w:color="auto" w:fill="FFFFFF"/>
        </w:rPr>
        <w:t>accounting for the</w:t>
      </w:r>
      <w:r>
        <w:rPr>
          <w:rFonts w:ascii="Times New Roman" w:hAnsi="Times New Roman"/>
          <w:color w:val="000000" w:themeColor="text1"/>
          <w:sz w:val="22"/>
          <w:shd w:val="clear" w:color="auto" w:fill="FFFFFF"/>
        </w:rPr>
        <w:t xml:space="preserve"> variance in descending order</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The result of diffusion embedding is not one single mosaic of discrete networks, but multiple, continuous maps (gradients)</w:t>
      </w:r>
      <w:r>
        <w:rPr>
          <w:rFonts w:ascii="Times New Roman" w:hAnsi="Times New Roman" w:hint="eastAsia"/>
          <w:color w:val="000000" w:themeColor="text1"/>
          <w:sz w:val="22"/>
          <w:shd w:val="clear" w:color="auto" w:fill="FFFFFF"/>
        </w:rPr>
        <w:t xml:space="preserve">, which </w:t>
      </w:r>
      <w:r>
        <w:rPr>
          <w:rFonts w:ascii="Times New Roman" w:hAnsi="Times New Roman"/>
          <w:color w:val="000000" w:themeColor="text1"/>
          <w:sz w:val="22"/>
          <w:shd w:val="clear" w:color="auto" w:fill="FFFFFF"/>
        </w:rPr>
        <w:t>capture the similarity of each voxel’s functional connections along with a continuous space. All gradients are orthogonal to each other and capture a portion of data variability in descending order.</w:t>
      </w:r>
      <w:r>
        <w:rPr>
          <w:rFonts w:ascii="Times New Roman" w:hAnsi="Times New Roman" w:hint="eastAsia"/>
          <w:color w:val="000000" w:themeColor="text1"/>
          <w:sz w:val="22"/>
          <w:shd w:val="clear" w:color="auto" w:fill="FFFFFF"/>
        </w:rPr>
        <w:t xml:space="preserve"> </w:t>
      </w:r>
    </w:p>
    <w:p w:rsidR="00EA0D74" w:rsidRDefault="00EA0D74">
      <w:pPr>
        <w:autoSpaceDE w:val="0"/>
        <w:autoSpaceDN w:val="0"/>
        <w:adjustRightInd w:val="0"/>
        <w:spacing w:line="360" w:lineRule="auto"/>
        <w:rPr>
          <w:rFonts w:ascii="Times New Roman" w:hAnsi="Times New Roman"/>
          <w:color w:val="000000" w:themeColor="text1"/>
          <w:sz w:val="22"/>
          <w:shd w:val="clear" w:color="auto" w:fill="FFFFFF"/>
        </w:rPr>
      </w:pPr>
    </w:p>
    <w:p w:rsidR="00EA0D74" w:rsidRDefault="00746ABF">
      <w:pPr>
        <w:autoSpaceDE w:val="0"/>
        <w:autoSpaceDN w:val="0"/>
        <w:adjustRightInd w:val="0"/>
        <w:spacing w:line="360" w:lineRule="auto"/>
        <w:rPr>
          <w:rFonts w:ascii="Times New Roman" w:hAnsi="Times New Roman"/>
          <w:color w:val="000000" w:themeColor="text1"/>
          <w:sz w:val="22"/>
          <w:shd w:val="clear" w:color="auto" w:fill="FFFFFF"/>
        </w:rPr>
      </w:pPr>
      <w:r>
        <w:rPr>
          <w:rFonts w:ascii="Times New Roman" w:hAnsi="Times New Roman" w:hint="eastAsia"/>
          <w:color w:val="000000" w:themeColor="text1"/>
          <w:sz w:val="22"/>
          <w:shd w:val="clear" w:color="auto" w:fill="FFFFFF"/>
        </w:rPr>
        <w:t xml:space="preserve">There is </w:t>
      </w:r>
      <w:r>
        <w:rPr>
          <w:rFonts w:ascii="Times New Roman" w:hAnsi="Times New Roman"/>
          <w:color w:val="000000" w:themeColor="text1"/>
          <w:sz w:val="22"/>
          <w:shd w:val="clear" w:color="auto" w:fill="FFFFFF"/>
        </w:rPr>
        <w:t>a</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single parameter </w:t>
      </w:r>
      <w:r>
        <w:rPr>
          <w:rFonts w:ascii="Times New Roman" w:hAnsi="Times New Roman" w:hint="eastAsia"/>
          <w:color w:val="000000" w:themeColor="text1"/>
          <w:sz w:val="22"/>
          <w:shd w:val="clear" w:color="auto" w:fill="FFFFFF"/>
        </w:rPr>
        <w:t>α</w:t>
      </w:r>
      <w:r>
        <w:rPr>
          <w:rFonts w:ascii="Times New Roman" w:hAnsi="Times New Roman" w:hint="eastAsia"/>
          <w:color w:val="000000" w:themeColor="text1"/>
          <w:sz w:val="22"/>
          <w:shd w:val="clear" w:color="auto" w:fill="FFFFFF"/>
        </w:rPr>
        <w:t>to control how the</w:t>
      </w:r>
      <w:r>
        <w:rPr>
          <w:rFonts w:ascii="Times New Roman" w:hAnsi="Times New Roman"/>
          <w:color w:val="000000" w:themeColor="text1"/>
          <w:sz w:val="22"/>
          <w:shd w:val="clear" w:color="auto" w:fill="FFFFFF"/>
        </w:rPr>
        <w:t xml:space="preserve"> density of sampling points </w:t>
      </w:r>
      <w:r>
        <w:rPr>
          <w:rFonts w:ascii="Times New Roman" w:hAnsi="Times New Roman" w:hint="eastAsia"/>
          <w:color w:val="000000" w:themeColor="text1"/>
          <w:sz w:val="22"/>
          <w:shd w:val="clear" w:color="auto" w:fill="FFFFFF"/>
        </w:rPr>
        <w:t xml:space="preserve">affects </w:t>
      </w:r>
      <w:r>
        <w:rPr>
          <w:rFonts w:ascii="Times New Roman" w:hAnsi="Times New Roman"/>
          <w:color w:val="000000" w:themeColor="text1"/>
          <w:sz w:val="22"/>
          <w:shd w:val="clear" w:color="auto" w:fill="FFFFFF"/>
        </w:rPr>
        <w:t>the</w:t>
      </w:r>
      <w:r>
        <w:rPr>
          <w:rFonts w:ascii="Times New Roman" w:hAnsi="Times New Roman" w:hint="eastAsia"/>
          <w:color w:val="000000" w:themeColor="text1"/>
          <w:sz w:val="22"/>
          <w:shd w:val="clear" w:color="auto" w:fill="FFFFFF"/>
        </w:rPr>
        <w:t xml:space="preserve"> underlying</w:t>
      </w:r>
      <w:r>
        <w:rPr>
          <w:rFonts w:ascii="Times New Roman" w:hAnsi="Times New Roman"/>
          <w:color w:val="000000" w:themeColor="text1"/>
          <w:sz w:val="22"/>
          <w:shd w:val="clear" w:color="auto" w:fill="FFFFFF"/>
        </w:rPr>
        <w:t xml:space="preserve"> manifold (</w:t>
      </w:r>
      <w:r>
        <w:rPr>
          <w:rFonts w:ascii="Times New Roman" w:hAnsi="Times New Roman" w:hint="eastAsia"/>
          <w:color w:val="000000" w:themeColor="text1"/>
          <w:sz w:val="22"/>
          <w:shd w:val="clear" w:color="auto" w:fill="FFFFFF"/>
        </w:rPr>
        <w:t>α</w:t>
      </w:r>
      <w:r>
        <w:rPr>
          <w:rFonts w:ascii="Times New Roman" w:hAnsi="Times New Roman"/>
          <w:color w:val="000000" w:themeColor="text1"/>
          <w:sz w:val="22"/>
          <w:shd w:val="clear" w:color="auto" w:fill="FFFFFF"/>
        </w:rPr>
        <w:t xml:space="preserve"> = 0, the maximal influence of sampling density; </w:t>
      </w:r>
      <w:r>
        <w:rPr>
          <w:rFonts w:ascii="Times New Roman" w:hAnsi="Times New Roman" w:hint="eastAsia"/>
          <w:color w:val="000000" w:themeColor="text1"/>
          <w:sz w:val="22"/>
          <w:shd w:val="clear" w:color="auto" w:fill="FFFFFF"/>
        </w:rPr>
        <w:t>α</w:t>
      </w:r>
      <w:r>
        <w:rPr>
          <w:rFonts w:ascii="Times New Roman" w:hAnsi="Times New Roman"/>
          <w:color w:val="000000" w:themeColor="text1"/>
          <w:sz w:val="22"/>
          <w:shd w:val="clear" w:color="auto" w:fill="FFFFFF"/>
        </w:rPr>
        <w:t xml:space="preserve"> = 1, no influence of sampling density)</w:t>
      </w:r>
      <w:r>
        <w:rPr>
          <w:rFonts w:ascii="Times New Roman" w:hAnsi="Times New Roman" w:hint="eastAsia"/>
          <w:color w:val="000000" w:themeColor="text1"/>
          <w:sz w:val="22"/>
          <w:shd w:val="clear" w:color="auto" w:fill="FFFFFF"/>
        </w:rPr>
        <w:t xml:space="preserve"> in </w:t>
      </w:r>
      <w:r>
        <w:rPr>
          <w:rFonts w:ascii="Times New Roman" w:hAnsi="Times New Roman"/>
          <w:color w:val="000000" w:themeColor="text1"/>
          <w:sz w:val="22"/>
          <w:shd w:val="clear" w:color="auto" w:fill="FFFFFF"/>
        </w:rPr>
        <w:t>the diffusion map embedding algorithm</w:t>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 xml:space="preserve">Following previous studies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{"citationItems":[{"id":"ITEM-1","itemData":{"DOI":"10.1073/pnas.1608282113","ISSN":"0027-8424","abstract":"Understanding how the structure of cognition arises from the topographical organization of the cortex is a primary goal in neuroscience. Previous work has described local functional gradients extending from perceptual and motor regions to cortical areas representing more abstract functions, but an overarching framework for the association between structure and function is still lacking. Here, we show that the principal gradient revealed by the decomposition of connectivity data in humans and the macaque monkey is anchored by, at one end, regions serving primary sensory/motor functions and at the other end, transmodal regions that, in humans, are known as the default-mode network (DMN). These DMN regions exhibit the greatest geodesic distance along the cortical surface-and are precisely equidistant-from primary sensory/motor morphological landmarks. The principal gradient also provides an organizing spatial framework for multiple large-scale networks and characterizes a spectrum from unimodal to heteromodal activity in a functional metaanalysis. Together, these observations provide a characterization of the topographical organization of cortex and indicate that the role of the DMN in cognition might arise from its position at one extreme of a hierarchy, allowing it to process transmodal information that is unrelated to immediate sensory input.","author":[{"dropping-particle":"","family":"Margulies","given":"Daniel S.","non-dropping-particle":"","parse-names":false,"suffix":""},{"dropping-particle":"","family":"Ghosh","given":"Satrajit S.","non-dropping-particle":"","parse-names":false,"suffix":""},{"dropping-particle":"","family":"Goulas","given":"Alexandros","non-dropping-particle":"","parse-names":false,"suffix":""},{"dropping-particle":"","family":"Falkiewicz","given":"Marcel","non-dropping-particle":"","parse-names":false,"suffix":""},{"dropping-particle":"","family":"Huntenburg","given":"Julia M.","non-dropping-particle":"","parse-names":false,"suffix":""},{"dropping-particle":"","family":"Langs","given":"Georg","non-dropping-particle":"","parse-names":false,"suffix":""},{"dropping-particle":"","family":"Bezgin","given":"Gleb","non-dropping-particle":"","parse-names":false,"suffix":""},{"dropping-particle":"","family":"Eickhoff","given":"Simon B.","non-dropping-particle":"","parse-names":false,"suffix":""},{"dropping-particle":"","family":"Castellanos","given":"F. Xavier","non-dropping-particle":"","parse-names":false,"suffix":""},{"dropping-particle":"","family":"Petrides","given":"Michael","non-dropping-particle":"","parse-names":false,"suffix":""},{"dropping-particle":"","family":"Jefferies","given":"Elizabeth","non-dropping-particle":"","parse-names":false,"suffix":""},{"dropping-particle":"","family":"Smallwood","given":"Jonathan","non-dropping-particle":"","parse-names":false,"suffix":""}],"container-title":"Proceedings of the National Academy of Sciences","id":"ITEM-1","issue":"44","issued":{"date-parts":[["2016"]]},"page":"12574-12579","title":"Situating the default-mode network along a principal gradient of macroscale cortical organization","type":"article-journal","volume":"113"},"uris":["http://www.mendeley.com/documents/?uuid=1ef2e3e2-9a70-432c-b44f-2cde8a09aca4"]},{"id":"ITEM-2","itemData":{"DOI":"10.7554/elife.36652","abstract":"A central principle for understanding the cerebral cortex is that macroscale anatomy reflects a functional hierarchy from primary to transmodal processing. In contrast, the central axis of motor and nonmotor macroscale organization in the cerebellum remains unknown. Here we applied diffusion map embedding to resting-state data from the Human Connectome Project dataset (n = 1003), and show for the first time that cerebellar functional regions follow a gradual organization which progresses from primary (motor) to transmodal (DMN, task-unfocused) regions. A secondary axis extends from task-unfocused to task-focused processing. Further, these two principal gradients revealed novel functional properties of the well-established cerebellar double motor representation (lobules I-VI and VIII), and its relationship with the recently described triple nonmotor representation (lobules VI/Crus I, Crus II/VIIB, IX/X). Functional differences exist not only between the two motor but also between the three nonmotor representations, and second motor representation might share functional similarities with third nonmotor representation.","author":[{"dropping-particle":"","family":"Guell","given":"Xavier","non-dropping-particle":"","parse-names":false,"suffix":""},{"dropping-particle":"","family":"Schmahmann","given":"Jeremy D","non-dropping-particle":"","parse-names":false,"suffix":""},{"dropping-particle":"DE","family":"Gabrieli","given":"John","non-dropping-particle":"","parse-names":false,"suffix":""},{"dropping-particle":"","family":"Ghosh","given":"Satrajit S","non-dropping-particle":"","parse-names":false,"suffix":""}],"container-title":"eLife","id":"ITEM-2","issued":{"date-parts":[["2018"]]},"page":"1-22","title":"Functional gradients of the cerebellum","type":"article-journal","volume":"7"},"uris":["http://www.mendeley.com/documents/?uuid=e32aeff5-508b-4e77-a651-cd8ef83b73cd"]},{"id":"ITEM-3","itemData":{"DOI":"10.1038/s41467-019-08944-1","ISSN":"20411723","abstract":"Background: Autism spectrum disorder (ASD) is a lifelong neurodevelopmental condition, with impairments in sensory processing and social cognition. Such deficits both in low- and high-level functions suggest an association to atypical functional hierarchy. Here we assessed this hypothesis using connectome-wide diffusion embedding, a non-linear technique to synoptically map a functional connectivity gradient from sensory to default mode regions. Methods: The discovery dataset was based on resting-state fMRI data in 103 males with ASD and 108 typical males. Using diffusion embedding, we mapped the principal gradient of spatial variations in whole-brain connectivity. Surface-based models compared gradient magnitude between ASD and controls, controlling for site/age effects. Findings were complemented by systematic analyses of rich-club organization and long/short range connectivity profiling. To assess robustness, we repeated the analyses in an independent dataset (60 ASD, 59 controls). Results: Compared to controls, ASD revealed decreased gradients in core DMN hubs, including medial prefrontal and parietal regions. Conversely, we observed increased gradients in unimodal association areas. DMN gradient reductions were associated with perturbed rich club connectivity across both short- and long-ranges, while unimodal cortices show connectivity alterations at mid-range, primarily to sensory-motor regions. Gradient findings were replicated in the separate dataset. Conclusions: As hypothesized, both low- and high-level components along the functional hierarchy were affected in ASD, showing diverging patterns in connectome- and physical-space anomalies. Although the behavioral relevance of these network reconfigurations remains to be determined, they may differentially relate to anomalies in sensory integration and social cognition, commonly seen at the phenotypic level.","author":[{"dropping-particle":"","family":"Hong","given":"Seok Jun","non-dropping-particle":"","parse-names":false,"suffix":""},{"dropping-particle":"","family":"Wael","given":"Reinder Vos","non-dropping-particle":"de","parse-names":false,"suffix":""},{"dropping-particle":"","family":"Bethlehem","given":"Richard A.I.","non-dropping-particle":"","parse-names":false,"suffix":""},{"dropping-particle":"","family":"Lariviere","given":"Sara","non-dropping-particle":"","parse-names":false,"suffix":""},{"dropping-particle":"","family":"Paquola","given":"Casey","non-dropping-particle":"","parse-names":false,"suffix":""},{"dropping-particle":"","family":"Valk","given":"Sofie L.","non-dropping-particle":"","parse-names":false,"suffix":""},{"dropping-particle":"","family":"Milham","given":"Michael P.","non-dropping-particle":"","parse-names":false,"suffix":""},{"dropping-particle":"","family":"Martino","given":"Adriana","non-dropping-particle":"Di","parse-names":false,"suffix":""},{"dropping-particle":"","family":"Margulies","given":"Daniel S.","non-dropping-particle":"","parse-names":false,"suffix":""},{"dropping-particle":"","family":"Smallwood","given":"Jonathan","non-dropping-particle":"","parse-names":false,"suffix":""},{"dropping-particle":"","family":"Bernhardt","given":"Boris C.","non-dropping-particle":"","parse-names":false,"suffix":""}],"container-title":"Nature Communications","id":"ITEM-3","issue":"1","issued":{"date-parts":[["2019"]]},"page":"1-13","title":"Atypical functional connectome hierarchy in autism","type":"article-journal","volume":"10"},"uris":["http://www.mendeley.com/documents/?uuid=31920844-decb-4061-aa1f-1fe9f325d904"]}],"mendeley":{"formattedCitation":"(Guell et al., 2018; Hong et al., 2019; Margulies et al., 2016)","plainTextFormattedCitation":"(Guell et al., 2018; Hong et al., 2019; Margulies et al., 2016)","previouslyFormattedCitation":"(12–14)"},"properties":{"noteIndex":0},"schema":"https://github.com/citation-style-language/schema/raw/master/csl-citation.json"}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(Guell et al., 2018; Hong et al., 2019; Margulies et al., 2016)</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w</w:t>
      </w:r>
      <w:r>
        <w:rPr>
          <w:rFonts w:ascii="Times New Roman" w:hAnsi="Times New Roman"/>
          <w:color w:val="000000" w:themeColor="text1"/>
          <w:sz w:val="22"/>
          <w:shd w:val="clear" w:color="auto" w:fill="FFFFFF"/>
        </w:rPr>
        <w:t>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set </w:t>
      </w:r>
      <w:r>
        <w:rPr>
          <w:rFonts w:ascii="Times New Roman" w:hAnsi="Times New Roman" w:hint="eastAsia"/>
          <w:color w:val="000000" w:themeColor="text1"/>
          <w:sz w:val="22"/>
          <w:shd w:val="clear" w:color="auto" w:fill="FFFFFF"/>
        </w:rPr>
        <w:t>α</w:t>
      </w:r>
      <w:r>
        <w:rPr>
          <w:rFonts w:ascii="Times New Roman" w:hAnsi="Times New Roman"/>
          <w:color w:val="000000" w:themeColor="text1"/>
          <w:sz w:val="22"/>
          <w:shd w:val="clear" w:color="auto" w:fill="FFFFFF"/>
        </w:rPr>
        <w:t xml:space="preserve"> = 0.5, </w:t>
      </w:r>
      <w:r>
        <w:rPr>
          <w:rFonts w:ascii="Times New Roman" w:hAnsi="Times New Roman" w:hint="eastAsia"/>
          <w:color w:val="000000" w:themeColor="text1"/>
          <w:sz w:val="22"/>
          <w:shd w:val="clear" w:color="auto" w:fill="FFFFFF"/>
        </w:rPr>
        <w:t xml:space="preserve">which can help </w:t>
      </w:r>
      <w:r>
        <w:rPr>
          <w:rFonts w:ascii="Times New Roman" w:hAnsi="Times New Roman"/>
          <w:color w:val="000000" w:themeColor="text1"/>
          <w:sz w:val="22"/>
          <w:shd w:val="clear" w:color="auto" w:fill="FFFFFF"/>
        </w:rPr>
        <w:t>retain the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global relations between data points in the embedded space. </w:t>
      </w:r>
      <w:r>
        <w:rPr>
          <w:rFonts w:ascii="Times New Roman" w:hAnsi="Times New Roman" w:hint="eastAsia"/>
          <w:color w:val="000000" w:themeColor="text1"/>
          <w:sz w:val="22"/>
          <w:shd w:val="clear" w:color="auto" w:fill="FFFFFF"/>
        </w:rPr>
        <w:t>To compar</w:t>
      </w:r>
      <w:r>
        <w:rPr>
          <w:rFonts w:ascii="Times New Roman" w:hAnsi="Times New Roman"/>
          <w:color w:val="000000" w:themeColor="text1"/>
          <w:sz w:val="22"/>
          <w:shd w:val="clear" w:color="auto" w:fill="FFFFFF"/>
        </w:rPr>
        <w:t>e</w:t>
      </w:r>
      <w:r>
        <w:rPr>
          <w:rFonts w:ascii="Times New Roman" w:hAnsi="Times New Roman" w:hint="eastAsia"/>
          <w:color w:val="000000" w:themeColor="text1"/>
          <w:sz w:val="22"/>
          <w:shd w:val="clear" w:color="auto" w:fill="FFFFFF"/>
        </w:rPr>
        <w:t xml:space="preserve"> between</w:t>
      </w:r>
      <w:r>
        <w:rPr>
          <w:rFonts w:ascii="Times New Roman" w:hAnsi="Times New Roman"/>
          <w:color w:val="000000" w:themeColor="text1"/>
          <w:sz w:val="22"/>
          <w:shd w:val="clear" w:color="auto" w:fill="FFFFFF"/>
        </w:rPr>
        <w:t xml:space="preserve"> the</w:t>
      </w:r>
      <w:r>
        <w:rPr>
          <w:rFonts w:ascii="Times New Roman" w:hAnsi="Times New Roman" w:hint="eastAsia"/>
          <w:color w:val="000000" w:themeColor="text1"/>
          <w:sz w:val="22"/>
          <w:shd w:val="clear" w:color="auto" w:fill="FFFFFF"/>
        </w:rPr>
        <w:t xml:space="preserve"> SZ and HC groups, we used </w:t>
      </w:r>
      <w:r>
        <w:rPr>
          <w:rFonts w:ascii="Times New Roman" w:hAnsi="Times New Roman"/>
          <w:color w:val="000000" w:themeColor="text1"/>
          <w:sz w:val="22"/>
          <w:shd w:val="clear" w:color="auto" w:fill="FFFFFF"/>
        </w:rPr>
        <w:t>an average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connectivity matrix</w:t>
      </w:r>
      <w:r>
        <w:rPr>
          <w:rFonts w:ascii="Times New Roman" w:hAnsi="Times New Roman" w:hint="eastAsia"/>
          <w:color w:val="000000" w:themeColor="text1"/>
          <w:sz w:val="22"/>
          <w:shd w:val="clear" w:color="auto" w:fill="FFFFFF"/>
        </w:rPr>
        <w:t xml:space="preserve"> calculated from all patients and controls to produce </w:t>
      </w:r>
      <w:r>
        <w:rPr>
          <w:rFonts w:ascii="Times New Roman" w:hAnsi="Times New Roman"/>
          <w:color w:val="000000" w:themeColor="text1"/>
          <w:sz w:val="22"/>
          <w:shd w:val="clear" w:color="auto" w:fill="FFFFFF"/>
        </w:rPr>
        <w:t>a group-level gradient component template. We then performed Procrustes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rotation to align </w:t>
      </w:r>
      <w:r>
        <w:rPr>
          <w:rFonts w:ascii="Times New Roman" w:hAnsi="Times New Roman" w:hint="eastAsia"/>
          <w:color w:val="000000" w:themeColor="text1"/>
          <w:sz w:val="22"/>
          <w:shd w:val="clear" w:color="auto" w:fill="FFFFFF"/>
        </w:rPr>
        <w:t>the gradient</w:t>
      </w:r>
      <w:r>
        <w:rPr>
          <w:rFonts w:ascii="Times New Roman" w:hAnsi="Times New Roman"/>
          <w:color w:val="000000" w:themeColor="text1"/>
          <w:sz w:val="22"/>
          <w:shd w:val="clear" w:color="auto" w:fill="FFFFFF"/>
        </w:rPr>
        <w:t xml:space="preserve">s of each </w:t>
      </w:r>
      <w:r>
        <w:rPr>
          <w:rFonts w:ascii="Times New Roman" w:hAnsi="Times New Roman" w:hint="eastAsia"/>
          <w:color w:val="000000" w:themeColor="text1"/>
          <w:sz w:val="22"/>
          <w:shd w:val="clear" w:color="auto" w:fill="FFFFFF"/>
        </w:rPr>
        <w:t>participant</w:t>
      </w:r>
      <w:r>
        <w:rPr>
          <w:rFonts w:ascii="Times New Roman" w:hAnsi="Times New Roman"/>
          <w:color w:val="000000" w:themeColor="text1"/>
          <w:sz w:val="22"/>
          <w:shd w:val="clear" w:color="auto" w:fill="FFFFFF"/>
        </w:rPr>
        <w:t xml:space="preserve"> to this template, following the strategy of previous analyses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10.1007/978-3-319-24571-3_38","author":[{"dropping-particle":"","family":"Langs","given":"Georg","non-dropping-particle":"","parse-names":false,"suffix":""},{"dropping-particle":"","family":"Golland","given":"Polina","non-dropping-particle":"","parse-names":false,"suffix":""},{"dropping-particle":"","family":"Ghosh","given":"Satrajit S.","non-dropping-particle":"","parse-names":false,"suffix":""}],"container-title":"Med Image Comput Comput Assist Interv.","id":"ITEM-1","issued":{"date-parts":[["2015"]]},"page":"313–320","title":"Predicting Activation Across Individuals with Resting-State Functional Connectivity Based Multi-Atlas Label Fusion","type":"article-journal"},"uris":["http://www.mendeley.com/documents/?uuid=6bc2d4af-7e39-43d3-bae5-ab76a5fa84ce"]}],"mendeley":{"formattedCitation":"(Langs, Golland, &amp; Ghosh, 2015)","plainTextFormattedCitation":"(Langs, Golland, &amp; Ghosh, 2015)","previouslyFormattedCitation":"(17)"},"properties":{"noteIndex":0},"schema":"https://github.com/citation-style-language/schema/raw/master/csl-citation.json"}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(Langs, Golland, &amp; Ghosh, 2015)</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 xml:space="preserve"> To maximize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interpretability,</w:t>
      </w:r>
      <w:r>
        <w:rPr>
          <w:rFonts w:ascii="Times New Roman" w:hAnsi="Times New Roman" w:hint="eastAsia"/>
          <w:color w:val="000000" w:themeColor="text1"/>
          <w:sz w:val="22"/>
          <w:shd w:val="clear" w:color="auto" w:fill="FFFFFF"/>
        </w:rPr>
        <w:t xml:space="preserve"> we only </w:t>
      </w:r>
      <w:r>
        <w:rPr>
          <w:rFonts w:ascii="Times New Roman" w:hAnsi="Times New Roman"/>
          <w:color w:val="000000" w:themeColor="text1"/>
          <w:sz w:val="22"/>
          <w:shd w:val="clear" w:color="auto" w:fill="FFFFFF"/>
        </w:rPr>
        <w:t xml:space="preserve">used </w:t>
      </w:r>
      <w:r>
        <w:rPr>
          <w:rFonts w:ascii="Times New Roman" w:hAnsi="Times New Roman" w:hint="eastAsia"/>
          <w:color w:val="000000" w:themeColor="text1"/>
          <w:sz w:val="22"/>
          <w:shd w:val="clear" w:color="auto" w:fill="FFFFFF"/>
        </w:rPr>
        <w:t xml:space="preserve">the </w:t>
      </w:r>
      <w:r>
        <w:rPr>
          <w:rFonts w:ascii="Times New Roman" w:hAnsi="Times New Roman"/>
          <w:color w:val="000000" w:themeColor="text1"/>
          <w:sz w:val="22"/>
          <w:shd w:val="clear" w:color="auto" w:fill="FFFFFF"/>
        </w:rPr>
        <w:t xml:space="preserve">first </w:t>
      </w:r>
      <w:r>
        <w:rPr>
          <w:rFonts w:ascii="Times New Roman" w:hAnsi="Times New Roman" w:hint="eastAsia"/>
          <w:color w:val="000000" w:themeColor="text1"/>
          <w:sz w:val="22"/>
          <w:shd w:val="clear" w:color="auto" w:fill="FFFFFF"/>
        </w:rPr>
        <w:t xml:space="preserve">gradient </w:t>
      </w:r>
      <w:r>
        <w:rPr>
          <w:rFonts w:ascii="Times New Roman" w:hAnsi="Times New Roman"/>
          <w:color w:val="000000" w:themeColor="text1"/>
          <w:sz w:val="22"/>
          <w:shd w:val="clear" w:color="auto" w:fill="FFFFFF"/>
        </w:rPr>
        <w:t>component</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in our analyses. The first gradient </w:t>
      </w:r>
      <w:r>
        <w:rPr>
          <w:rFonts w:ascii="Times New Roman" w:hAnsi="Times New Roman" w:hint="eastAsia"/>
          <w:color w:val="000000" w:themeColor="text1"/>
          <w:sz w:val="22"/>
          <w:shd w:val="clear" w:color="auto" w:fill="FFFFFF"/>
        </w:rPr>
        <w:t>explains</w:t>
      </w:r>
      <w:r>
        <w:rPr>
          <w:rFonts w:ascii="Times New Roman" w:hAnsi="Times New Roman"/>
          <w:color w:val="000000" w:themeColor="text1"/>
          <w:sz w:val="22"/>
          <w:shd w:val="clear" w:color="auto" w:fill="FFFFFF"/>
        </w:rPr>
        <w:t xml:space="preserve"> as much of the variance in the data as possible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Figure </w:t>
      </w:r>
      <w:r>
        <w:rPr>
          <w:rFonts w:ascii="Times New Roman" w:hAnsi="Times New Roman" w:hint="eastAsia"/>
          <w:color w:val="000000" w:themeColor="text1"/>
          <w:sz w:val="22"/>
          <w:shd w:val="clear" w:color="auto" w:fill="FFFFFF"/>
        </w:rPr>
        <w:t>S1)</w:t>
      </w:r>
      <w:r>
        <w:rPr>
          <w:rFonts w:ascii="Times New Roman" w:hAnsi="Times New Roman"/>
          <w:color w:val="000000" w:themeColor="text1"/>
          <w:sz w:val="22"/>
          <w:shd w:val="clear" w:color="auto" w:fill="FFFFFF"/>
        </w:rPr>
        <w:t xml:space="preserve"> and, from a neurobiological point of view, represents a well-understood </w:t>
      </w:r>
      <w:r>
        <w:rPr>
          <w:rFonts w:ascii="Times New Roman" w:hAnsi="Times New Roman" w:hint="eastAsia"/>
          <w:color w:val="000000" w:themeColor="text1"/>
          <w:sz w:val="22"/>
          <w:shd w:val="clear" w:color="auto" w:fill="FFFFFF"/>
        </w:rPr>
        <w:t>sensorimotor</w:t>
      </w:r>
      <w:r>
        <w:rPr>
          <w:rFonts w:ascii="Times New Roman" w:hAnsi="Times New Roman"/>
          <w:color w:val="000000" w:themeColor="text1"/>
          <w:sz w:val="22"/>
          <w:shd w:val="clear" w:color="auto" w:fill="FFFFFF"/>
        </w:rPr>
        <w:t>-to-</w:t>
      </w:r>
      <w:proofErr w:type="spellStart"/>
      <w:r>
        <w:rPr>
          <w:rFonts w:ascii="Times New Roman" w:hAnsi="Times New Roman" w:hint="eastAsia"/>
          <w:color w:val="000000" w:themeColor="text1"/>
          <w:sz w:val="22"/>
          <w:shd w:val="clear" w:color="auto" w:fill="FFFFFF"/>
        </w:rPr>
        <w:t>trans</w:t>
      </w:r>
      <w:r>
        <w:rPr>
          <w:rFonts w:ascii="Times New Roman" w:hAnsi="Times New Roman"/>
          <w:color w:val="000000" w:themeColor="text1"/>
          <w:sz w:val="22"/>
          <w:shd w:val="clear" w:color="auto" w:fill="FFFFFF"/>
        </w:rPr>
        <w:t>modal</w:t>
      </w:r>
      <w:proofErr w:type="spellEnd"/>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organizational principle in the </w:t>
      </w:r>
      <w:r>
        <w:rPr>
          <w:rFonts w:ascii="Times New Roman" w:hAnsi="Times New Roman" w:hint="eastAsia"/>
          <w:color w:val="000000" w:themeColor="text1"/>
          <w:sz w:val="22"/>
          <w:shd w:val="clear" w:color="auto" w:fill="FFFFFF"/>
        </w:rPr>
        <w:t xml:space="preserve">cerebral cortex </w:t>
      </w:r>
      <w:r>
        <w:rPr>
          <w:rFonts w:ascii="Times New Roman" w:hAnsi="Times New Roman"/>
          <w:color w:val="000000" w:themeColor="text1"/>
          <w:sz w:val="22"/>
          <w:shd w:val="clear" w:color="auto" w:fill="FFFFFF"/>
        </w:rPr>
        <w:t xml:space="preserve">connections. </w:t>
      </w:r>
    </w:p>
    <w:p w:rsidR="00EA0D74" w:rsidRDefault="00746ABF">
      <w:pPr>
        <w:spacing w:line="360" w:lineRule="auto"/>
        <w:rPr>
          <w:rFonts w:ascii="Times New Roman" w:hAnsi="Times New Roman"/>
          <w:color w:val="000000" w:themeColor="text1"/>
          <w:sz w:val="28"/>
          <w:szCs w:val="28"/>
        </w:rPr>
      </w:pPr>
      <w:r>
        <w:rPr>
          <w:rFonts w:ascii="Times New Roman" w:hAnsi="Times New Roman" w:hint="eastAsia"/>
          <w:color w:val="000000" w:themeColor="text1"/>
          <w:sz w:val="28"/>
          <w:szCs w:val="28"/>
        </w:rPr>
        <w:t>Stepwise functional connectivity</w:t>
      </w:r>
      <w:r>
        <w:rPr>
          <w:rFonts w:ascii="Times New Roman" w:hAnsi="Times New Roman"/>
          <w:color w:val="000000" w:themeColor="text1"/>
          <w:sz w:val="28"/>
          <w:szCs w:val="28"/>
        </w:rPr>
        <w:t xml:space="preserve"> analyses</w:t>
      </w:r>
    </w:p>
    <w:p w:rsidR="00EA0D74" w:rsidRDefault="00746ABF">
      <w:pPr>
        <w:spacing w:line="360" w:lineRule="auto"/>
        <w:rPr>
          <w:rFonts w:ascii="Times New Roman" w:hAnsi="Times New Roman"/>
          <w:color w:val="000000" w:themeColor="text1"/>
          <w:sz w:val="22"/>
        </w:rPr>
      </w:pPr>
      <w:r>
        <w:rPr>
          <w:rFonts w:ascii="Times New Roman" w:hAnsi="Times New Roman"/>
          <w:color w:val="000000" w:themeColor="text1"/>
          <w:sz w:val="22"/>
        </w:rPr>
        <w:t>SFC analysis is a graph-theory-based method that detects both direct and indirect functional couplings from a</w:t>
      </w:r>
      <w:r>
        <w:rPr>
          <w:rFonts w:ascii="Times New Roman" w:hAnsi="Times New Roman" w:hint="eastAsia"/>
          <w:color w:val="000000" w:themeColor="text1"/>
          <w:sz w:val="22"/>
        </w:rPr>
        <w:t xml:space="preserve"> defined</w:t>
      </w:r>
      <w:r>
        <w:rPr>
          <w:rFonts w:ascii="Times New Roman" w:hAnsi="Times New Roman"/>
          <w:color w:val="000000" w:themeColor="text1"/>
          <w:sz w:val="22"/>
        </w:rPr>
        <w:t xml:space="preserve"> seed region to other regions in the brain. More importantly, SFC analytical approach allows for analysis of indirect FC (medium and large connectivity distances from the seed), which is thought to provide information integration about hierarchical flow across specific brain networks</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Neuroscience","id":"ITEM-1","issue":"31","issued":{"date-parts":[["2012"]]},"page":"10649-10661","title":"Stepwise connectivity of the modal cortex reveals the multimodal organization of the human brain","type":"article-journal","volume":"32"},"uris":["http://www.mendeley.com/documents/?uuid=2cf699ec-8024-4898-8495-6e798eaa8292"]},{"id":"ITEM-2","itemData":{"DOI":"10.1177/1073858414531657","ISSN":"10894098","abstract":"The processing of brain information relies on the organization of neuronal networks and circuits that in the end must provide the substrate for human cognition. However, the presence of highly complex and multirelay neuronal interactions has limited our ability to disentangle the assemblies of brain systems. The present review article focuses on the latest developments to understand the architecture of functional streams of the human brain at the large-scale level. Particularly, this article presents a comprehensive framework and recent findings about how the highly modular sensory cortex, such as the visual, somatosensory, auditory, as well as motor cortex areas, connects to more parallel-organized cortical hubs in the brain's functional connectome.","author":[{"dropping-particle":"","family":"Sepulcre","given":"Jorge","non-dropping-particle":"","parse-names":false,"suffix":""}],"container-title":"Neuroscientist","id":"ITEM-2","issue":"5","issued":{"date-parts":[["2014"]]},"page":"499-508","title":"Functional streams and cortical integration in the human brain","type":"article-journal","volume":"20"},"uris":["http://www.mendeley.com/documents/?uuid=7fc9a75d-a337-4d21-8bbe-b2cd4f5a31f3"]}],"mendeley":{"formattedCitation":"(Sepulcre, 2014; Sepulcre, Sabuncu, Yeo, Liu, &amp; Johnson, 2012)","plainTextFormattedCitation":"(Sepulcre, 2014; Sepulcre, Sabuncu, Yeo, Liu, &amp; Johnson, 2012)","previouslyFormattedCitation":"(18, 19)"},"properties":{"noteIndex":0},"schema":"https://github.com/citation-style-language/schema/raw/master/csl-citation.json"}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(Sepulcre, 2014; Sepulcre, Sabuncu, Yeo, Liu, &amp; Johnson, 2012)</w:t>
      </w:r>
      <w:r>
        <w:rPr>
          <w:rFonts w:ascii="Times New Roman" w:hAnsi="Times New Roman"/>
          <w:color w:val="000000" w:themeColor="text1"/>
          <w:sz w:val="22"/>
        </w:rPr>
        <w:fldChar w:fldCharType="end"/>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This approach </w:t>
      </w:r>
      <w:r>
        <w:rPr>
          <w:rFonts w:ascii="Times New Roman" w:hAnsi="Times New Roman" w:hint="eastAsia"/>
          <w:color w:val="000000" w:themeColor="text1"/>
          <w:sz w:val="22"/>
        </w:rPr>
        <w:t xml:space="preserve">thus enables us to investigate the presence of </w:t>
      </w:r>
      <w:r>
        <w:rPr>
          <w:rFonts w:ascii="Times New Roman" w:hAnsi="Times New Roman"/>
          <w:color w:val="000000" w:themeColor="text1"/>
          <w:sz w:val="22"/>
        </w:rPr>
        <w:t>atypical functional transitions from unimodal to multimodal cortical areas</w:t>
      </w:r>
      <w:r>
        <w:rPr>
          <w:rFonts w:ascii="Times New Roman" w:hAnsi="Times New Roman" w:hint="eastAsia"/>
          <w:color w:val="000000" w:themeColor="text1"/>
          <w:sz w:val="22"/>
        </w:rPr>
        <w:t xml:space="preserve"> within the framework of the cortical hierarchy</w:t>
      </w:r>
      <w:r>
        <w:rPr>
          <w:rFonts w:ascii="Times New Roman" w:hAnsi="Times New Roman"/>
          <w:color w:val="000000" w:themeColor="text1"/>
          <w:sz w:val="22"/>
        </w:rPr>
        <w:t xml:space="preserve"> in schizophrenia.</w:t>
      </w:r>
      <w:r>
        <w:rPr>
          <w:rFonts w:ascii="Times New Roman" w:hAnsi="Times New Roman" w:hint="eastAsia"/>
          <w:color w:val="000000" w:themeColor="text1"/>
          <w:sz w:val="22"/>
        </w:rPr>
        <w:t xml:space="preserve"> </w:t>
      </w:r>
    </w:p>
    <w:p w:rsidR="00EA0D74" w:rsidRDefault="00EA0D74">
      <w:pPr>
        <w:spacing w:line="360" w:lineRule="auto"/>
        <w:rPr>
          <w:rFonts w:ascii="Times New Roman" w:hAnsi="Times New Roman"/>
          <w:color w:val="000000" w:themeColor="text1"/>
          <w:sz w:val="22"/>
        </w:rPr>
      </w:pPr>
    </w:p>
    <w:p w:rsidR="00EA0D74" w:rsidRDefault="00746ABF">
      <w:pPr>
        <w:spacing w:line="360" w:lineRule="auto"/>
        <w:rPr>
          <w:rFonts w:ascii="Times New Roman" w:hAnsi="Times New Roman"/>
          <w:color w:val="000000" w:themeColor="text1"/>
          <w:sz w:val="22"/>
        </w:rPr>
      </w:pPr>
      <w:r>
        <w:rPr>
          <w:rFonts w:ascii="Times New Roman" w:hAnsi="Times New Roman"/>
          <w:color w:val="000000" w:themeColor="text1"/>
          <w:sz w:val="22"/>
        </w:rPr>
        <w:t>SFC analysis</w:t>
      </w:r>
      <w:r>
        <w:rPr>
          <w:rFonts w:ascii="Times New Roman" w:hAnsi="Times New Roman" w:hint="eastAsia"/>
          <w:color w:val="000000" w:themeColor="text1"/>
          <w:sz w:val="22"/>
        </w:rPr>
        <w:t xml:space="preserve"> </w:t>
      </w:r>
      <w:r>
        <w:rPr>
          <w:rFonts w:ascii="Times New Roman" w:hAnsi="Times New Roman"/>
          <w:color w:val="000000" w:themeColor="text1"/>
          <w:sz w:val="22"/>
        </w:rPr>
        <w:t>computes the number of functional paths between defined seed regions and every other voxel in the brain at successive numbers of relay stations or “link-step” distances</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{"citationItems":[{"id":"ITEM-1","itemData":{"DOI":"10.1177/1073858414531657","ISSN":"10894098","abstract":"The processing of brain information relies on the organization of neuronal networks and circuits that in the end must provide the substrate for human cognition. However, the presence of highly complex and multirelay neuronal interactions has limited our ability to disentangle the assemblies of brain systems. The present review article focuses on the latest developments to understand the architecture of functional streams of the human brain at the large-scale level. Particularly, this article presents a comprehensive framework and recent findings about how the highly modular sensory cortex, such as the visual, somatosensory, auditory, as well as motor cortex areas, connects to more parallel-organized cortical hubs in the brain's functional connectome.","author":[{"dropping-particle":"","family":"Sepulcre","given":"Jorge","non-dropping-particle":"","parse-names":false,"suffix":""}],"container-title":"Neuroscientist","id":"ITEM-1","issue":"5","issued":{"date-parts":[["2014"]]},"page":"499-508","title":"Functional streams and cortical integration in the human brain","type":"article-journal","volume":"20"},"uris":["http://www.mendeley.com/documents/?uuid=7fc9a75d-a337-4d21-8bbe-b2cd4f5a31f3"]},{"id":"ITEM-2","itemData":{"DOI":"10.1523/JNEUROSCI.0759-12.2012","ISSN":"02706474","abstract":"How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Neuroscience","id":"ITEM-2","issue":"31","issued":{"date-parts":[["2012"]]},"page":"10649-10661","title":"Stepwise connectivity of the modal cortex reveals the multimodal organization of the human brain","type":"article-journal","volume":"32"},"uris":["http://www.mendeley.com/documents/?uuid=2cf699ec-8024-4898-8495-6e798eaa8292"]}],"mendeley":{"formattedCitation":"(Sepulcre, 2014; Sepulcre et al., 2012)","plainTextFormattedCitation":"(Sepulcre, 2014; Sepulcre et al., 2012)","previouslyFormattedCitation":"(18, 19)"},"properties":{"noteIndex":0},"schema":"https://github.com/citation-style-language/schema/raw/master/csl-citation.json"}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(Sepulcre, 2014; Sepulcre et al., 2012)</w:t>
      </w:r>
      <w:r>
        <w:rPr>
          <w:rFonts w:ascii="Times New Roman" w:hAnsi="Times New Roman"/>
          <w:color w:val="000000" w:themeColor="text1"/>
          <w:sz w:val="22"/>
        </w:rPr>
        <w:fldChar w:fldCharType="end"/>
      </w:r>
      <w:r>
        <w:rPr>
          <w:rFonts w:ascii="Times New Roman" w:hAnsi="Times New Roman" w:hint="eastAsia"/>
          <w:color w:val="000000" w:themeColor="text1"/>
          <w:sz w:val="22"/>
        </w:rPr>
        <w:t>.</w:t>
      </w:r>
      <w:r>
        <w:rPr>
          <w:rFonts w:ascii="Times New Roman" w:hAnsi="Times New Roman"/>
          <w:color w:val="000000" w:themeColor="text1"/>
          <w:sz w:val="22"/>
        </w:rPr>
        <w:t xml:space="preserve"> </w:t>
      </w:r>
      <w:r>
        <w:rPr>
          <w:rFonts w:ascii="Times New Roman" w:hAnsi="Times New Roman" w:hint="eastAsia"/>
          <w:color w:val="000000" w:themeColor="text1"/>
          <w:sz w:val="22"/>
        </w:rPr>
        <w:t>Hence, i</w:t>
      </w:r>
      <w:r>
        <w:rPr>
          <w:rFonts w:ascii="Times New Roman" w:hAnsi="Times New Roman"/>
          <w:color w:val="000000" w:themeColor="text1"/>
          <w:sz w:val="22"/>
        </w:rPr>
        <w:t>t complements connectivity gradient approaches by allowing voxel-level functional connections to be assessed at a range of intermediate relay stations.</w:t>
      </w:r>
      <w:r>
        <w:rPr>
          <w:rFonts w:ascii="Times New Roman" w:hAnsi="Times New Roman" w:hint="eastAsia"/>
          <w:color w:val="000000" w:themeColor="text1"/>
          <w:sz w:val="22"/>
        </w:rPr>
        <w:t xml:space="preserve"> </w:t>
      </w:r>
      <w:r>
        <w:rPr>
          <w:rFonts w:ascii="Times New Roman" w:hAnsi="Times New Roman" w:hint="eastAsia"/>
          <w:color w:val="000000" w:themeColor="text1"/>
          <w:sz w:val="22"/>
          <w:shd w:val="clear" w:color="auto" w:fill="FFFFFF"/>
        </w:rPr>
        <w:t>Following</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previous stud</w:t>
      </w:r>
      <w:r>
        <w:rPr>
          <w:rFonts w:ascii="Times New Roman" w:hAnsi="Times New Roman"/>
          <w:color w:val="000000" w:themeColor="text1"/>
          <w:sz w:val="22"/>
          <w:shd w:val="clear" w:color="auto" w:fill="FFFFFF"/>
        </w:rPr>
        <w:t>ies</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10.1016/j.jaac.2019.05.033","ISSN":"0890-8567","author":[{"dropping-particle":"","family":"Martínez","given":"Kenia","non-dropping-particle":"","parse-names":false,"suffix":""},{"dropping-particle":"","family":"Martínez-garcía","given":"Magdalena","non-dropping-particle":"","parse-names":false,"suffix":""},{"dropping-particle":"","family":"Marcos-vidal","given":"Luis","non-dropping-particle":"","parse-names":false,"suffix":""},{"dropping-particle":"","family":"Janssen","given":"Joost","non-dropping-particle":"","parse-names":false,"suffix":""},{"dropping-particle":"","family":"Castellanos","given":"Francisco X","non-dropping-particle":"","parse-names":false,"suffix":""},{"dropping-particle":"","family":"Pretus","given":"Clara","non-dropping-particle":"","parse-names":false,"suffix":""},{"dropping-particle":"","family":"Villarroya","given":"Óscar","non-dropping-particle":"","parse-names":false,"suffix":""},{"dropping-particle":"","family":"Pina-camacho","given":"Laura","non-dropping-particle":"","parse-names":false,"suffix":""},{"dropping-particle":"","family":"Díaz-caneja","given":"Covadonga M","non-dropping-particle":"","parse-names":false,"suffix":""},{"dropping-particle":"","family":"Parellada","given":"Mara","non-dropping-particle":"","parse-names":false,"suffix":""},{"dropping-particle":"","family":"Arango","given":"Celso","non-dropping-particle":"","parse-names":false,"suffix":""},{"dropping-particle":"","family":"Desco","given":"Manuel","non-dropping-particle":"","parse-names":false,"suffix":""},{"dropping-particle":"","family":"Sepulcre","given":"Jorge","non-dropping-particle":"","parse-names":false,"suffix":""},{"dropping-particle":"","family":"Carmona","given":"Susanna","non-dropping-particle":"","parse-names":false,"suffix":""}],"container-title":"Journal of the American Academy of Child &amp; Adolescent Psychiatry","id":"ITEM-1","issued":{"date-parts":[["2019"]]},"publisher":"American Academy of Child &amp; Adolescent Psychiatry","title":"Sensory-to-Cognitive Systems Integration Is Associated With Clinical Severity in Autism Spectrum Disorder","type":"article-journal"},"uris":["http://www.mendeley.com/documents/?uuid=83f1b6d9-ac93-4e82-8a12-f2370727a5a8"]},{"id":"ITEM-2","itemData":{"DOI":"10.1523/JNEUROSCI.0759-12.2012","ISSN":"02706474","abstract":"How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Neuroscience","id":"ITEM-2","issue":"31","issued":{"date-parts":[["2012"]]},"page":"10649-10661","title":"Stepwise connectivity of the modal cortex reveals the multimodal organization of the human brain","type":"article-journal","volume":"32"},"uris":["http://www.mendeley.com/documents/?uuid=2cf699ec-8024-4898-8495-6e798eaa8292"]}],"mendeley":{"formattedCitation":"(Martínez et al., 2019; Sepulcre et al., 2012)","plainTextFormattedCitation":"(Martínez et al., 2019; Sepulcre et al., 2012)","previouslyFormattedCitation":"(18, 20)"},"properties":{"noteIndex":0},"schema":"https://github.com/citation-style-language/schema/raw/master/csl-citation.json"}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(Martínez et al., 2019; Sepulcre et al., 2012)</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xml:space="preserve">, </w:t>
      </w:r>
      <w:r>
        <w:rPr>
          <w:rFonts w:ascii="Times New Roman" w:hAnsi="Times New Roman" w:hint="eastAsia"/>
          <w:color w:val="000000" w:themeColor="text1"/>
          <w:sz w:val="22"/>
        </w:rPr>
        <w:t>c</w:t>
      </w:r>
      <w:r>
        <w:rPr>
          <w:rFonts w:ascii="Times New Roman" w:hAnsi="Times New Roman"/>
          <w:color w:val="000000" w:themeColor="text1"/>
          <w:sz w:val="22"/>
        </w:rPr>
        <w:t>onnectivity matrices</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were </w:t>
      </w:r>
      <w:r>
        <w:rPr>
          <w:rFonts w:ascii="Times New Roman" w:hAnsi="Times New Roman" w:hint="eastAsia"/>
          <w:color w:val="000000" w:themeColor="text1"/>
          <w:sz w:val="22"/>
        </w:rPr>
        <w:t xml:space="preserve">first </w:t>
      </w:r>
      <w:r>
        <w:rPr>
          <w:rFonts w:ascii="Times New Roman" w:hAnsi="Times New Roman"/>
          <w:color w:val="000000" w:themeColor="text1"/>
          <w:sz w:val="22"/>
        </w:rPr>
        <w:t xml:space="preserve">filtered to include only positive correlations due to the ambiguous interpretation of </w:t>
      </w:r>
      <w:r>
        <w:rPr>
          <w:rFonts w:ascii="Times New Roman" w:hAnsi="Times New Roman"/>
          <w:color w:val="000000" w:themeColor="text1"/>
          <w:sz w:val="22"/>
        </w:rPr>
        <w:lastRenderedPageBreak/>
        <w:t>negative correlations.</w:t>
      </w:r>
      <w:r>
        <w:rPr>
          <w:rFonts w:ascii="Times New Roman" w:hAnsi="Times New Roman" w:hint="eastAsia"/>
          <w:color w:val="000000" w:themeColor="text1"/>
          <w:sz w:val="22"/>
        </w:rPr>
        <w:t xml:space="preserve"> After that, the </w:t>
      </w:r>
      <w:r>
        <w:rPr>
          <w:rFonts w:ascii="Times New Roman" w:hAnsi="Times New Roman"/>
          <w:color w:val="000000" w:themeColor="text1"/>
          <w:sz w:val="22"/>
        </w:rPr>
        <w:t xml:space="preserve">connectivity matrices were </w:t>
      </w:r>
      <w:r>
        <w:rPr>
          <w:rFonts w:ascii="Times New Roman" w:hAnsi="Times New Roman" w:hint="eastAsia"/>
          <w:color w:val="000000" w:themeColor="text1"/>
          <w:sz w:val="22"/>
        </w:rPr>
        <w:t>further</w:t>
      </w:r>
      <w:r>
        <w:rPr>
          <w:rFonts w:ascii="Times New Roman" w:hAnsi="Times New Roman"/>
          <w:color w:val="000000" w:themeColor="text1"/>
          <w:sz w:val="22"/>
        </w:rPr>
        <w:t xml:space="preserve"> filtered to contain only correlations surviving </w:t>
      </w:r>
      <w:r>
        <w:rPr>
          <w:rFonts w:ascii="Times New Roman" w:hAnsi="Times New Roman" w:hint="eastAsia"/>
          <w:color w:val="000000" w:themeColor="text1"/>
          <w:sz w:val="22"/>
        </w:rPr>
        <w:t xml:space="preserve">a </w:t>
      </w:r>
      <w:r>
        <w:rPr>
          <w:rFonts w:ascii="Times New Roman" w:hAnsi="Times New Roman"/>
          <w:color w:val="000000" w:themeColor="text1"/>
          <w:sz w:val="22"/>
        </w:rPr>
        <w:t>stringent</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false discovery rate (FDR) correction (q &lt; 0.001). Finally, we </w:t>
      </w:r>
      <w:r>
        <w:rPr>
          <w:rFonts w:ascii="Times New Roman" w:hAnsi="Times New Roman" w:hint="eastAsia"/>
          <w:color w:val="000000" w:themeColor="text1"/>
          <w:sz w:val="22"/>
        </w:rPr>
        <w:t xml:space="preserve">submitted </w:t>
      </w:r>
      <w:r>
        <w:rPr>
          <w:rFonts w:ascii="Times New Roman" w:hAnsi="Times New Roman"/>
          <w:color w:val="000000" w:themeColor="text1"/>
          <w:sz w:val="22"/>
        </w:rPr>
        <w:t xml:space="preserve">the resulting FDR </w:t>
      </w:r>
      <w:proofErr w:type="spellStart"/>
      <w:r>
        <w:rPr>
          <w:rFonts w:ascii="Times New Roman" w:hAnsi="Times New Roman"/>
          <w:color w:val="000000" w:themeColor="text1"/>
          <w:sz w:val="22"/>
        </w:rPr>
        <w:t>thresholded</w:t>
      </w:r>
      <w:proofErr w:type="spellEnd"/>
      <w:r>
        <w:rPr>
          <w:rFonts w:ascii="Times New Roman" w:hAnsi="Times New Roman"/>
          <w:color w:val="000000" w:themeColor="text1"/>
          <w:sz w:val="22"/>
        </w:rPr>
        <w:t xml:space="preserve"> matrices</w:t>
      </w:r>
      <w:r>
        <w:rPr>
          <w:rFonts w:ascii="Times New Roman" w:hAnsi="Times New Roman" w:hint="eastAsia"/>
          <w:color w:val="000000" w:themeColor="text1"/>
          <w:sz w:val="22"/>
        </w:rPr>
        <w:t xml:space="preserve"> to SFC </w:t>
      </w:r>
      <w:r>
        <w:rPr>
          <w:rFonts w:ascii="Times New Roman" w:hAnsi="Times New Roman"/>
          <w:color w:val="000000" w:themeColor="text1"/>
          <w:sz w:val="22"/>
        </w:rPr>
        <w:t>analysis.</w:t>
      </w:r>
    </w:p>
    <w:p w:rsidR="00EA0D74" w:rsidRDefault="00EA0D74">
      <w:pPr>
        <w:spacing w:line="360" w:lineRule="auto"/>
        <w:rPr>
          <w:rFonts w:ascii="Times New Roman" w:hAnsi="Times New Roman"/>
          <w:color w:val="000000" w:themeColor="text1"/>
          <w:sz w:val="22"/>
        </w:rPr>
      </w:pPr>
    </w:p>
    <w:p w:rsidR="00EA0D74" w:rsidRDefault="00746ABF">
      <w:pPr>
        <w:spacing w:line="360" w:lineRule="auto"/>
        <w:rPr>
          <w:rFonts w:ascii="Times New Roman" w:hAnsi="Times New Roman"/>
          <w:color w:val="000000" w:themeColor="text1"/>
          <w:sz w:val="22"/>
        </w:rPr>
      </w:pPr>
      <w:r>
        <w:rPr>
          <w:rFonts w:ascii="Times New Roman" w:hAnsi="Times New Roman" w:hint="eastAsia"/>
          <w:color w:val="000000" w:themeColor="text1"/>
          <w:sz w:val="22"/>
        </w:rPr>
        <w:t xml:space="preserve">Given that deficits of visual, auditory, and somatosensory processing in schizophrenia were consistently observed (for reviews </w:t>
      </w:r>
      <w:r>
        <w:rPr>
          <w:rFonts w:ascii="Times New Roman" w:hAnsi="Times New Roman"/>
          <w:color w:val="000000" w:themeColor="text1"/>
          <w:sz w:val="22"/>
        </w:rPr>
        <w:fldChar w:fldCharType="begin" w:fldLock="1"/>
      </w:r>
      <w:r>
        <w:rPr>
          <w:rFonts w:ascii="Times New Roman" w:hAnsi="Times New Roman"/>
          <w:color w:val="000000" w:themeColor="text1"/>
          <w:sz w:val="22"/>
        </w:rPr>
        <w:instrText xml:space="preserve">ADDIN CSL_CITATION {"citationItems":[{"id":"ITEM-1","itemData":{"DOI":"10.1093/schbul/sbp110","ISSN":"05867614","abstract":"This special issue focuses on the theme of sensory processing dysfunction in schizophrenia. For more than 50 years, from approximately the time of Bleuler until the early 1960s, sensory function was considered one of the few preserved functions in schizophrenia (Javitt1). Fortunately, the last several decades have brought a renewed and accelerating interest in this topic. The articles included in the issue range from those addressing fundamental bases of sensory dysfunction (Brenner, Yoon, and Turetsky) to those that examine how elementary deficits in sensory processing affect the sensory experience of individuals with schizophrenia (Butler, Kantrowitz, and Coleman) to the question of how sensory-based treatments may lead to improvement in remediation strategies (Adcock). Although addressing only a small portion of the current complex and burgeoning literature on sensory impairments across modalities, the present articles provide a cross-section of the issues currently under investigation. These studies also underscore the severe challenges that individuals with schizophrenia face when trying to decode the complex world around them. </w:instrText>
      </w:r>
      <w:r>
        <w:rPr>
          <w:rFonts w:ascii="Times New Roman" w:hAnsi="Times New Roman" w:hint="eastAsia"/>
          <w:color w:val="000000" w:themeColor="text1"/>
          <w:sz w:val="22"/>
        </w:rPr>
        <w:instrText>©</w:instrText>
      </w:r>
      <w:r>
        <w:rPr>
          <w:rFonts w:ascii="Times New Roman" w:hAnsi="Times New Roman"/>
          <w:color w:val="000000" w:themeColor="text1"/>
          <w:sz w:val="22"/>
        </w:rPr>
        <w:instrText xml:space="preserve"> 2008 The Authors.","author":[{"dropping-particle":"","family":"Javitt","given":"Daniel C.","non-dropping-particle":"","parse-names":false,"suffix":""}],"container-title":"Schizophrenia Bulletin","id":"ITEM-1","issue":"6","issued":{"date-parts":[["2009"]]},"page":"1059-1064","title":"Sensory processing in schizophrenia: Neither simple nor intact","type":"article-journal","volume":"35"},"uris":["http://www.mendeley.com/documents/?uuid=9b757d8d-f669-4111-aaa6-86f4cecfbe9a"]},{"id":"ITEM-2","itemData":{"DOI":"10.1176/appi.ajp.2014.13121691","ISSN":"15357228","abstract":"Sensory processing deficits, first investigated by Kraepelin and Bleuler as possible pathophysiological mechanisms in schizophrenia, are now being recharacterized in the context of our current understanding of the molecular and neurobiological brain mechanisms involved. The National Institute of Mental Health Research Domain Criteria position these deficits as intermediaries between molecular and cellular mechanisms and clinical symptoms of schiz ophrenia, such as hallucinations. The prepulse inhibition of startle responses by a weaker preceding tone, the inhibitory gating of response to paired sensory stimuli characterized using the auditory P50 evoked response, and the detection of slight deviations in patterns of sensory stimulation eliciting the cortical mismatch negativity potential demonstrate deficits in early sensory processing mechanisms, whose molecular and neurobiological bases are increasingly well understood. Deficits in sensory processing underlie more complex cognitive dysfunction and are in turn affected by higher-level cognitive difficulties. These deficits are now being used to identify genes involved in familial transmission of schizophrenia and to monitor potentially therapeutic drug effects for both treatment and prevention. This research also provides a clinical reminder that patients' sensory perception of the surrounding world, even during treatment sessions, may differ considerably from others' perceptions. A person's ability to understand and interact effectively with the surrounding world ultimately depends on an underlying sensory experience of it.","author":[{"dropping-particle":"","family":"Javitt","given":"Daniel C.","non-dropping-particle":"","parse-names":false,"suffix":""},{"dropping-particle":"","family":"Freedman","given":"Robert","non-dropping-particle":"","parse-names":false,"suffix":""}],"container-title":"American Journal of Psychiatry","id":"ITEM-2","issue":"1","issued":{"date-parts":[["2015"]]},"page":"17-31","title":"Sensory processing dysfunction in the personal experience and neuronal machinery of schizophrenia","type":"article-journal","volume":"172"},"uris":["http://www.mendeley.com/documents/?uuid=19ec258e-7d55-4312-aa0d-4e8f875c1fdc"]}],"mendeley":{"formattedCitation":"(Javitt, 2009; Javitt &amp; Freedman, 2015)","plainTextFormattedCitation":"(Javitt, 2009; Javitt &amp; Freedman, 2015)","previouslyFormattedCitation":"(21, 22)"},"properties":{"noteIndex":0},"schema":"https://github.com/citation-style-language/schema/raw/master/csl-citation.json"}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(Javitt, 2009; Javitt &amp; Freedman, 2015)</w:t>
      </w:r>
      <w:r>
        <w:rPr>
          <w:rFonts w:ascii="Times New Roman" w:hAnsi="Times New Roman"/>
          <w:color w:val="000000" w:themeColor="text1"/>
          <w:sz w:val="22"/>
        </w:rPr>
        <w:fldChar w:fldCharType="end"/>
      </w:r>
      <w:r>
        <w:rPr>
          <w:rFonts w:ascii="Times New Roman" w:hAnsi="Times New Roman" w:hint="eastAsia"/>
          <w:color w:val="000000" w:themeColor="text1"/>
          <w:sz w:val="22"/>
        </w:rPr>
        <w:t>), three</w:t>
      </w:r>
      <w:r>
        <w:rPr>
          <w:rFonts w:ascii="Times New Roman" w:hAnsi="Times New Roman"/>
          <w:color w:val="000000" w:themeColor="text1"/>
          <w:sz w:val="22"/>
        </w:rPr>
        <w:t xml:space="preserve"> bilateral</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primary sensory </w:t>
      </w:r>
      <w:r>
        <w:rPr>
          <w:rFonts w:ascii="Times New Roman" w:hAnsi="Times New Roman" w:hint="eastAsia"/>
          <w:color w:val="000000" w:themeColor="text1"/>
          <w:sz w:val="22"/>
        </w:rPr>
        <w:t>seed region</w:t>
      </w:r>
      <w:r>
        <w:rPr>
          <w:rFonts w:ascii="Times New Roman" w:hAnsi="Times New Roman"/>
          <w:color w:val="000000" w:themeColor="text1"/>
          <w:sz w:val="22"/>
        </w:rPr>
        <w:t>s</w:t>
      </w:r>
      <w:r>
        <w:rPr>
          <w:rFonts w:ascii="Times New Roman" w:hAnsi="Times New Roman" w:hint="eastAsia"/>
          <w:color w:val="000000" w:themeColor="text1"/>
          <w:sz w:val="22"/>
        </w:rPr>
        <w:t xml:space="preserve"> of interest (ROIs) </w:t>
      </w:r>
      <w:r>
        <w:rPr>
          <w:rFonts w:ascii="Times New Roman" w:hAnsi="Times New Roman"/>
          <w:color w:val="000000" w:themeColor="text1"/>
          <w:sz w:val="22"/>
        </w:rPr>
        <w:t>including visual (MNI coordinate x, y, z: −14/10 [left/right], −78, 8</w:t>
      </w:r>
      <w:r>
        <w:rPr>
          <w:rFonts w:ascii="Times New Roman" w:hAnsi="Times New Roman" w:hint="eastAsia"/>
          <w:color w:val="000000" w:themeColor="text1"/>
          <w:sz w:val="22"/>
        </w:rPr>
        <w:t xml:space="preserve">; </w:t>
      </w:r>
      <w:r>
        <w:rPr>
          <w:rFonts w:ascii="Times New Roman" w:hAnsi="Times New Roman"/>
          <w:color w:val="000000" w:themeColor="text1"/>
          <w:sz w:val="22"/>
        </w:rPr>
        <w:t>(</w:t>
      </w:r>
      <w:proofErr w:type="spellStart"/>
      <w:r>
        <w:rPr>
          <w:rFonts w:ascii="Times New Roman" w:hAnsi="Times New Roman"/>
          <w:color w:val="000000" w:themeColor="text1"/>
          <w:sz w:val="22"/>
        </w:rPr>
        <w:t>B</w:t>
      </w:r>
      <w:r>
        <w:rPr>
          <w:rFonts w:ascii="Times New Roman" w:hAnsi="Times New Roman" w:hint="eastAsia"/>
          <w:color w:val="000000" w:themeColor="text1"/>
          <w:sz w:val="22"/>
        </w:rPr>
        <w:t>rodmann</w:t>
      </w:r>
      <w:proofErr w:type="spellEnd"/>
      <w:r>
        <w:rPr>
          <w:rFonts w:ascii="Times New Roman" w:hAnsi="Times New Roman"/>
          <w:color w:val="000000" w:themeColor="text1"/>
          <w:sz w:val="22"/>
        </w:rPr>
        <w:t xml:space="preserve"> 17, V1)), auditory (−54/58, −14, 8</w:t>
      </w:r>
      <w:r>
        <w:rPr>
          <w:rFonts w:ascii="Times New Roman" w:hAnsi="Times New Roman" w:hint="eastAsia"/>
          <w:color w:val="000000" w:themeColor="text1"/>
          <w:sz w:val="22"/>
        </w:rPr>
        <w:t xml:space="preserve">; </w:t>
      </w:r>
      <w:r>
        <w:rPr>
          <w:rFonts w:ascii="Times New Roman" w:hAnsi="Times New Roman"/>
          <w:color w:val="000000" w:themeColor="text1"/>
          <w:sz w:val="22"/>
        </w:rPr>
        <w:t>(</w:t>
      </w:r>
      <w:proofErr w:type="spellStart"/>
      <w:r>
        <w:rPr>
          <w:rFonts w:ascii="Times New Roman" w:hAnsi="Times New Roman"/>
          <w:color w:val="000000" w:themeColor="text1"/>
          <w:sz w:val="22"/>
        </w:rPr>
        <w:t>B</w:t>
      </w:r>
      <w:r>
        <w:rPr>
          <w:rFonts w:ascii="Times New Roman" w:hAnsi="Times New Roman" w:hint="eastAsia"/>
          <w:color w:val="000000" w:themeColor="text1"/>
          <w:sz w:val="22"/>
        </w:rPr>
        <w:t>rodmann</w:t>
      </w:r>
      <w:proofErr w:type="spellEnd"/>
      <w:r>
        <w:rPr>
          <w:rFonts w:ascii="Times New Roman" w:hAnsi="Times New Roman" w:hint="eastAsia"/>
          <w:color w:val="000000" w:themeColor="text1"/>
          <w:sz w:val="22"/>
        </w:rPr>
        <w:t xml:space="preserve"> </w:t>
      </w:r>
      <w:r>
        <w:rPr>
          <w:rFonts w:ascii="Times New Roman" w:hAnsi="Times New Roman"/>
          <w:color w:val="000000" w:themeColor="text1"/>
          <w:sz w:val="22"/>
        </w:rPr>
        <w:t>22, A1)) and somatosensory (−42/38, −29, 65</w:t>
      </w:r>
      <w:r>
        <w:rPr>
          <w:rFonts w:ascii="Times New Roman" w:hAnsi="Times New Roman" w:hint="eastAsia"/>
          <w:color w:val="000000" w:themeColor="text1"/>
          <w:sz w:val="22"/>
        </w:rPr>
        <w:t>; (</w:t>
      </w:r>
      <w:proofErr w:type="spellStart"/>
      <w:r>
        <w:rPr>
          <w:rFonts w:ascii="Times New Roman" w:hAnsi="Times New Roman"/>
          <w:color w:val="000000" w:themeColor="text1"/>
          <w:sz w:val="22"/>
        </w:rPr>
        <w:t>B</w:t>
      </w:r>
      <w:r>
        <w:rPr>
          <w:rFonts w:ascii="Times New Roman" w:hAnsi="Times New Roman" w:hint="eastAsia"/>
          <w:color w:val="000000" w:themeColor="text1"/>
          <w:sz w:val="22"/>
        </w:rPr>
        <w:t>rodmann</w:t>
      </w:r>
      <w:proofErr w:type="spellEnd"/>
      <w:r>
        <w:rPr>
          <w:rFonts w:ascii="Times New Roman" w:hAnsi="Times New Roman"/>
          <w:color w:val="000000" w:themeColor="text1"/>
          <w:sz w:val="22"/>
        </w:rPr>
        <w:t xml:space="preserve"> </w:t>
      </w:r>
      <w:r>
        <w:rPr>
          <w:rFonts w:ascii="Times New Roman" w:hAnsi="Times New Roman" w:hint="eastAsia"/>
          <w:color w:val="000000" w:themeColor="text1"/>
          <w:sz w:val="22"/>
        </w:rPr>
        <w:t>3</w:t>
      </w:r>
      <w:r>
        <w:rPr>
          <w:rFonts w:ascii="Times New Roman" w:hAnsi="Times New Roman"/>
          <w:color w:val="000000" w:themeColor="text1"/>
          <w:sz w:val="22"/>
        </w:rPr>
        <w:t xml:space="preserve">, </w:t>
      </w:r>
      <w:r>
        <w:rPr>
          <w:rFonts w:ascii="Times New Roman" w:hAnsi="Times New Roman" w:hint="eastAsia"/>
          <w:color w:val="000000" w:themeColor="text1"/>
          <w:sz w:val="22"/>
        </w:rPr>
        <w:t>hand area)</w:t>
      </w:r>
      <w:r>
        <w:rPr>
          <w:rFonts w:ascii="Times New Roman" w:hAnsi="Times New Roman"/>
          <w:color w:val="000000" w:themeColor="text1"/>
          <w:sz w:val="22"/>
        </w:rPr>
        <w:t>) areas</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Neuroscience","id":"ITEM-1","issue":"31","issued":{"date-parts":[["2012"]]},"page":"10649-10661","title":"Stepwise connectivity of the modal cortex reveals the multimodal organization of the human brain","type":"article-journal","volume":"32"},"uris":["http://www.mendeley.com/documents/?uuid=2cf699ec-8024-4898-8495-6e798eaa8292"]}],"mendeley":{"formattedCitation":"(Sepulcre et al., 2012)","plainTextFormattedCitation":"(Sepulcre et al., 2012)","previouslyFormattedCitation":"(18)"},"properties":{"noteIndex":0},"schema":"https://github.com/citation-style-language/schema/raw/master/csl-citation.json"}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(Sepulcre et al., 2012)</w:t>
      </w:r>
      <w:r>
        <w:rPr>
          <w:rFonts w:ascii="Times New Roman" w:hAnsi="Times New Roman"/>
          <w:color w:val="000000" w:themeColor="text1"/>
          <w:sz w:val="22"/>
        </w:rPr>
        <w:fldChar w:fldCharType="end"/>
      </w:r>
      <w:r>
        <w:rPr>
          <w:rFonts w:ascii="Times New Roman" w:hAnsi="Times New Roman" w:hint="eastAsia"/>
          <w:color w:val="000000" w:themeColor="text1"/>
          <w:sz w:val="22"/>
        </w:rPr>
        <w:t>,</w:t>
      </w:r>
      <w:r>
        <w:rPr>
          <w:rFonts w:ascii="Times New Roman" w:hAnsi="Times New Roman"/>
          <w:color w:val="000000" w:themeColor="text1"/>
          <w:sz w:val="22"/>
        </w:rPr>
        <w:t xml:space="preserve"> were defined as cubic regions of eight voxels each</w:t>
      </w:r>
      <w:r>
        <w:rPr>
          <w:rFonts w:ascii="Times New Roman" w:hAnsi="Times New Roman" w:hint="eastAsia"/>
          <w:color w:val="000000" w:themeColor="text1"/>
          <w:sz w:val="22"/>
        </w:rPr>
        <w:t xml:space="preserve">. </w:t>
      </w:r>
      <w:r>
        <w:rPr>
          <w:rFonts w:ascii="Times New Roman" w:hAnsi="Times New Roman"/>
          <w:color w:val="000000" w:themeColor="text1"/>
          <w:sz w:val="22"/>
        </w:rPr>
        <w:t>To assess the degree of combined SFC of all sensory seeds irrespective of modality, a</w:t>
      </w:r>
      <w:r>
        <w:rPr>
          <w:rFonts w:ascii="Times New Roman" w:hAnsi="Times New Roman" w:hint="eastAsia"/>
          <w:color w:val="000000" w:themeColor="text1"/>
          <w:sz w:val="22"/>
        </w:rPr>
        <w:t xml:space="preserve"> combined</w:t>
      </w:r>
      <w:r>
        <w:rPr>
          <w:rFonts w:ascii="Times New Roman" w:hAnsi="Times New Roman"/>
          <w:color w:val="000000" w:themeColor="text1"/>
          <w:sz w:val="22"/>
        </w:rPr>
        <w:t xml:space="preserve"> mask was constructed</w:t>
      </w:r>
      <w:r>
        <w:rPr>
          <w:rFonts w:ascii="Times New Roman" w:hAnsi="Times New Roman" w:hint="eastAsia"/>
          <w:color w:val="000000" w:themeColor="text1"/>
          <w:sz w:val="22"/>
        </w:rPr>
        <w:t xml:space="preserve"> by</w:t>
      </w:r>
      <w:r>
        <w:rPr>
          <w:rFonts w:ascii="Times New Roman" w:hAnsi="Times New Roman"/>
          <w:color w:val="000000" w:themeColor="text1"/>
          <w:sz w:val="22"/>
        </w:rPr>
        <w:t xml:space="preserve"> combining information from all three primary sensory regions.</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The method is described in detail elsewhere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{"citationItems":[{"id":"ITEM-1","itemData":{"DOI":"10.1177/1073858414531657","ISSN":"10894098","abstract":"The processing of brain information relies on the organization of neuronal networks and circuits that in the end must provide the substrate for human cognition. However, the presence of highly complex and multirelay neuronal interactions has limited our ability to disentangle the assemblies of brain systems. The present review article focuses on the latest developments to understand the architecture of functional streams of the human brain at the large-scale level. Particularly, this article presents a comprehensive framework and recent findings about how the highly modular sensory cortex, such as the visual, somatosensory, auditory, as well as motor cortex areas, connects to more parallel-organized cortical hubs in the brain's functional connectome.","author":[{"dropping-particle":"","family":"Sepulcre","given":"Jorge","non-dropping-particle":"","parse-names":false,"suffix":""}],"container-title":"Neuroscientist","id":"ITEM-1","issue":"5","issued":{"date-parts":[["2014"]]},"page":"499-508","title":"Functional streams and cortical integration in the human brain","type":"article-journal","volume":"20"},"uris":["http://www.mendeley.com/documents/?uuid=7fc9a75d-a337-4d21-8bbe-b2cd4f5a31f3"]},{"id":"ITEM-2","itemData":{"DOI":"10.1523/JNEUROSCI.0759-12.2012","ISSN":"02706474","abstract":"How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Neuroscience","id":"ITEM-2","issue":"31","issued":{"date-parts":[["2012"]]},"page":"10649-10661","title":"Stepwise connectivity of the modal cortex reveals the multimodal organization of the human brain","type":"article-journal","volume":"32"},"uris":["http://www.mendeley.com/documents/?uuid=2cf699ec-8024-4898-8495-6e798eaa8292"]}],"mendeley":{"formattedCitation":"(Sepulcre, 2014; Sepulcre et al., 2012)","plainTextFormattedCitation":"(Sepulcre, 2014; Sepulcre et al., 2012)","previouslyFormattedCitation":"(18, 19)"},"properties":{"noteIndex":0},"schema":"https://github.com/citation-style-language/schema/raw/master/csl-citation.json"}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(Sepulcre, 2014; Sepulcre et al., 2012)</w:t>
      </w:r>
      <w:r>
        <w:rPr>
          <w:rFonts w:ascii="Times New Roman" w:hAnsi="Times New Roman"/>
          <w:color w:val="000000" w:themeColor="text1"/>
          <w:sz w:val="22"/>
        </w:rPr>
        <w:fldChar w:fldCharType="end"/>
      </w:r>
      <w:r>
        <w:rPr>
          <w:rFonts w:ascii="Times New Roman" w:hAnsi="Times New Roman"/>
          <w:color w:val="000000" w:themeColor="text1"/>
          <w:sz w:val="22"/>
        </w:rPr>
        <w:t xml:space="preserve"> and schematically represented in Figure </w:t>
      </w:r>
      <w:r w:rsidR="007B0B5D">
        <w:rPr>
          <w:rFonts w:ascii="Times New Roman" w:hAnsi="Times New Roman" w:hint="eastAsia"/>
          <w:color w:val="000000" w:themeColor="text1"/>
          <w:sz w:val="22"/>
        </w:rPr>
        <w:t>1</w:t>
      </w:r>
      <w:r w:rsidR="008E16D6">
        <w:rPr>
          <w:rFonts w:ascii="Times New Roman" w:hAnsi="Times New Roman" w:hint="eastAsia"/>
          <w:color w:val="000000" w:themeColor="text1"/>
          <w:sz w:val="22"/>
        </w:rPr>
        <w:t>D</w:t>
      </w:r>
      <w:bookmarkStart w:id="12" w:name="_GoBack"/>
      <w:bookmarkEnd w:id="12"/>
      <w:r>
        <w:rPr>
          <w:rFonts w:ascii="Times New Roman" w:hAnsi="Times New Roman"/>
          <w:color w:val="000000" w:themeColor="text1"/>
          <w:sz w:val="22"/>
        </w:rPr>
        <w:t xml:space="preserve">. </w:t>
      </w:r>
    </w:p>
    <w:p w:rsidR="00EA0D74" w:rsidRDefault="00EA0D74">
      <w:pPr>
        <w:spacing w:line="360" w:lineRule="auto"/>
        <w:rPr>
          <w:rFonts w:ascii="Times New Roman" w:hAnsi="Times New Roman"/>
          <w:color w:val="000000" w:themeColor="text1"/>
          <w:sz w:val="22"/>
        </w:rPr>
      </w:pPr>
    </w:p>
    <w:p w:rsidR="00EA0D74" w:rsidRDefault="00746ABF">
      <w:pPr>
        <w:autoSpaceDE w:val="0"/>
        <w:autoSpaceDN w:val="0"/>
        <w:adjustRightInd w:val="0"/>
        <w:spacing w:line="360" w:lineRule="auto"/>
        <w:rPr>
          <w:rFonts w:ascii="Times New Roman" w:hAnsi="Times New Roman"/>
          <w:color w:val="000000" w:themeColor="text1"/>
          <w:sz w:val="22"/>
          <w:shd w:val="clear" w:color="auto" w:fill="FFFFFF"/>
        </w:rPr>
      </w:pPr>
      <w:r>
        <w:rPr>
          <w:rFonts w:ascii="Times New Roman" w:hAnsi="Times New Roman"/>
          <w:color w:val="000000" w:themeColor="text1"/>
          <w:sz w:val="22"/>
        </w:rPr>
        <w:t>The degree of SFC of a given voxel of the brain is defined as the number of functional paths connecting that voxel with an a priori selected seed region at a specific link-step distance</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A link-step distance is defined as the number of edges that pertain to a path connecting a given voxel to the seed </w:t>
      </w:r>
      <w:r>
        <w:rPr>
          <w:rFonts w:ascii="Times New Roman" w:hAnsi="Times New Roman" w:hint="eastAsia"/>
          <w:color w:val="000000" w:themeColor="text1"/>
          <w:sz w:val="22"/>
        </w:rPr>
        <w:t xml:space="preserve">regions. </w:t>
      </w:r>
      <w:r>
        <w:rPr>
          <w:rFonts w:ascii="Times New Roman" w:hAnsi="Times New Roman"/>
          <w:color w:val="000000" w:themeColor="text1"/>
          <w:sz w:val="22"/>
        </w:rPr>
        <w:t>At each link step, SFC maps were standardized to Z-scores by subtracting the mean and dividing by its standard deviation (SD) to yield SFC values.</w:t>
      </w:r>
      <w:r>
        <w:rPr>
          <w:rFonts w:ascii="Times New Roman" w:hAnsi="Times New Roman" w:hint="eastAsia"/>
          <w:color w:val="000000" w:themeColor="text1"/>
          <w:sz w:val="22"/>
        </w:rPr>
        <w:t xml:space="preserve"> </w:t>
      </w:r>
      <w:r>
        <w:rPr>
          <w:rFonts w:ascii="Times New Roman" w:hAnsi="Times New Roman"/>
          <w:color w:val="000000" w:themeColor="text1"/>
          <w:sz w:val="22"/>
        </w:rPr>
        <w:t>Therefore, each</w:t>
      </w:r>
      <w:r>
        <w:rPr>
          <w:rFonts w:ascii="Times New Roman" w:hAnsi="Times New Roman" w:hint="eastAsia"/>
          <w:color w:val="000000" w:themeColor="text1"/>
          <w:sz w:val="22"/>
        </w:rPr>
        <w:t xml:space="preserve"> SFC</w:t>
      </w:r>
      <w:r>
        <w:rPr>
          <w:rFonts w:ascii="Times New Roman" w:hAnsi="Times New Roman"/>
          <w:color w:val="000000" w:themeColor="text1"/>
          <w:sz w:val="22"/>
        </w:rPr>
        <w:t xml:space="preserve"> map represents a relative increase of </w:t>
      </w:r>
      <w:r>
        <w:rPr>
          <w:rFonts w:ascii="Times New Roman" w:hAnsi="Times New Roman" w:hint="eastAsia"/>
          <w:color w:val="000000" w:themeColor="text1"/>
          <w:sz w:val="22"/>
        </w:rPr>
        <w:t>connectivity</w:t>
      </w:r>
      <w:r>
        <w:rPr>
          <w:rFonts w:ascii="Times New Roman" w:hAnsi="Times New Roman"/>
          <w:color w:val="000000" w:themeColor="text1"/>
          <w:sz w:val="22"/>
        </w:rPr>
        <w:t xml:space="preserve"> degree across different </w:t>
      </w:r>
      <w:r>
        <w:rPr>
          <w:rFonts w:ascii="Times New Roman" w:hAnsi="Times New Roman" w:hint="eastAsia"/>
          <w:color w:val="000000" w:themeColor="text1"/>
          <w:sz w:val="22"/>
        </w:rPr>
        <w:t>link-</w:t>
      </w:r>
      <w:r>
        <w:rPr>
          <w:rFonts w:ascii="Times New Roman" w:hAnsi="Times New Roman"/>
          <w:color w:val="000000" w:themeColor="text1"/>
          <w:sz w:val="22"/>
        </w:rPr>
        <w:t>step</w:t>
      </w:r>
      <w:r>
        <w:rPr>
          <w:rFonts w:ascii="Times New Roman" w:hAnsi="Times New Roman" w:hint="eastAsia"/>
          <w:color w:val="000000" w:themeColor="text1"/>
          <w:sz w:val="22"/>
        </w:rPr>
        <w:t xml:space="preserve"> </w:t>
      </w:r>
      <w:r>
        <w:rPr>
          <w:rFonts w:ascii="Times New Roman" w:hAnsi="Times New Roman"/>
          <w:color w:val="000000" w:themeColor="text1"/>
          <w:sz w:val="22"/>
        </w:rPr>
        <w:t>distances.</w:t>
      </w:r>
      <w:r>
        <w:rPr>
          <w:rFonts w:ascii="Times New Roman" w:hAnsi="Times New Roman" w:hint="eastAsia"/>
          <w:color w:val="000000" w:themeColor="text1"/>
          <w:sz w:val="22"/>
        </w:rPr>
        <w:t xml:space="preserve"> </w:t>
      </w:r>
      <w:r>
        <w:rPr>
          <w:rFonts w:ascii="Times New Roman" w:hAnsi="Times New Roman"/>
          <w:color w:val="000000" w:themeColor="text1"/>
          <w:sz w:val="22"/>
        </w:rPr>
        <w:t>As demonstrated in previous studies</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{"citationItems":[{"id":"ITEM-1","itemData":{"DOI":"10.1523/JNEUROSCI.0759-12.2012","ISSN":"02706474","abstract":"How human beings integrate information from external sources and internal cognition to produce a coherent experience is still not well understood. During the past decades, anatomical, neurophysiological and neuroimaging researchin multimodal integration have stood out in the effort to understand the perceptual binding properties of the brain. Areas in the human lateral occipitotemporal, prefrontal, and posterior parietal cortices have been associated with sensory multimodal processing. Even though this, rather patchy, organization of brain regions givesus a glimpseofthe perceptual convergence, the articulation ofthe flowofinformation from modality-relatedtothe more parallel cognitive processing systems remains elusive. Usinga method called stepwise functional connectivity analysis, the present study analyzes the functional connectome and transitions from primary sensory cortices to higher-order brain systems. We identify the large-scale multimodal integration network and essential connectivity axes for perceptual integration in the human brain. © 2012 the authors.","author":[{"dropping-particle":"","family":"Sepulcre","given":"Jorge","non-dropping-particle":"","parse-names":false,"suffix":""},{"dropping-particle":"","family":"Sabuncu","given":"Mert R.","non-dropping-particle":"","parse-names":false,"suffix":""},{"dropping-particle":"","family":"Yeo","given":"Thomas B.","non-dropping-particle":"","parse-names":false,"suffix":""},{"dropping-particle":"","family":"Liu","given":"Hesheng","non-dropping-particle":"","parse-names":false,"suffix":""},{"dropping-particle":"","family":"Johnson","given":"Keith A.","non-dropping-particle":"","parse-names":false,"suffix":""}],"container-title":"Journal of Neuroscience","id":"ITEM-1","issue":"31","issued":{"date-parts":[["2012"]]},"page":"10649-10661","title":"Stepwise connectivity of the modal cortex reveals the multimodal organization of the human brain","type":"article-journal","volume":"32"},"uris":["http://www.mendeley.com/documents/?uuid=2cf699ec-8024-4898-8495-6e798eaa8292"]},{"id":"ITEM-2","itemData":{"DOI":"10.1523/JNEUROSCI.5062-08.2009","ISSN":"02706474","abstract":"Recent evidence suggests that some brain areas act as hubs interconnecting distinct, functionally specialized systems. These nexuses are intriguing because of their potential role in integration and also because they may augment metabolic cascades relevant to brain disease. To identify regions of high connectivity in the human cerebral cortex, we applied a computationally efficient approach to map the degree of intrinsic functional connectivity across the brain. Analysis of two separate functional magnetic resonance imaging datasets (each n = 24) demonstrated hubs throughout heteromodal areas of association cortex. Prominent hubs were located within posterior cingulate, lateral temporal, lateral parietal, and medial/lateral prefrontal cortices. Network analysis revealed that many, but not all, hubs were located within regions previously implicated as components of the default network. A third dataset (n = 12) demonstrated that the locations of hubs were present across passive and active task states, suggesting that they reflect a stable property of cortical network architecture. To obtain an accurate reference map, data were combined across 127 participants to yield a consensus estimate of cortical hubs. Using this consensus estimate, we explored whether the topography of hubs could explain the pattern of vulnerability in Alzheimer's disease (AD) because some models suggest that regions of high activity and metabolism accelerate pathology. Positron emission tomography amyloid imaging in AD (n = 10) compared with older controls (n = 29) showed high amyloid-β deposition in the locations of cortical hubs consistent with the possibility that hubs, while acting as critical way stations for information processing, may also augment the underlying pathological cascade in AD. Copyright © 2009 Society for Neuroscience.","author":[{"dropping-particle":"","family":"Buckner","given":"Randy L.","non-dropping-particle":"","parse-names":false,"suffix":""},{"dropping-particle":"","family":"Sepulcre","given":"Jorge","non-dropping-particle":"","parse-names":false,"suffix":""},{"dropping-particle":"","family":"Talukdar","given":"Tanveer","non-dropping-particle":"","parse-names":false,"suffix":""},{"dropping-particle":"","family":"Krienen","given":"Fenna M.","non-dropping-particle":"","parse-names":false,"suffix":""},{"dropping-particle":"","family":"Liu","given":"Hesheng","non-dropping-particle":"","parse-names":false,"suffix":""},{"dropping-particle":"","family":"Hedden","given":"Trey","non-dropping-particle":"","parse-names":false,"suffix":""},{"dropping-particle":"","family":"Andrews-Hanna","given":"Jessica R.","non-dropping-particle":"","parse-names":false,"suffix":""},{"dropping-particle":"","family":"Sperling","given":"Reisa A.","non-dropping-particle":"","parse-names":false,"suffix":""},{"dropping-particle":"","family":"Johnson","given":"Keith A.","non-dropping-particle":"","parse-names":false,"suffix":""}],"container-title":"Journal of Neuroscience","id":"ITEM-2","issue":"6","issued":{"date-parts":[["2009"]]},"page":"1860-1873","title":"Cortical hubs revealed by intrinsic functional connectivity: Mapping, assessment of stability, and relation to Alzheimer's disease","type":"article-journal","volume":"29"},"uris":["http://www.mendeley.com/documents/?uuid=21085609-353a-4ddd-8061-24e4675a8e5f"]}],"mendeley":{"formattedCitation":"(Buckner et al., 2009; Sepulcre et al., 2012)","plainTextFormattedCitation":"(Buckner et al., 2009; Sepulcre et al., 2012)","previouslyFormattedCitation":"(18, 23)"},"properties":{"noteIndex":0},"schema":"https://github.com/citation-style-language/schema/raw/master/csl-citation.json"}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(Buckner et al., 2009; Sepulcre et al., 2012)</w:t>
      </w:r>
      <w:r>
        <w:rPr>
          <w:rFonts w:ascii="Times New Roman" w:hAnsi="Times New Roman"/>
          <w:color w:val="000000" w:themeColor="text1"/>
          <w:sz w:val="22"/>
        </w:rPr>
        <w:fldChar w:fldCharType="end"/>
      </w:r>
      <w:r>
        <w:rPr>
          <w:rFonts w:ascii="Times New Roman" w:hAnsi="Times New Roman" w:hint="eastAsia"/>
          <w:color w:val="000000" w:themeColor="text1"/>
          <w:sz w:val="22"/>
        </w:rPr>
        <w:t>,</w:t>
      </w:r>
      <w:r>
        <w:rPr>
          <w:rFonts w:ascii="Times New Roman" w:hAnsi="Times New Roman"/>
          <w:color w:val="000000" w:themeColor="text1"/>
          <w:sz w:val="22"/>
        </w:rPr>
        <w:t xml:space="preserve"> functional pathways “collapse” into the cortical hubs</w:t>
      </w:r>
      <w:r>
        <w:rPr>
          <w:rFonts w:ascii="Times New Roman" w:hAnsi="Times New Roman" w:hint="eastAsia"/>
          <w:color w:val="000000" w:themeColor="text1"/>
          <w:sz w:val="22"/>
        </w:rPr>
        <w:t xml:space="preserve"> of </w:t>
      </w:r>
      <w:r>
        <w:rPr>
          <w:rFonts w:ascii="Times New Roman" w:hAnsi="Times New Roman"/>
          <w:color w:val="000000" w:themeColor="text1"/>
          <w:sz w:val="22"/>
        </w:rPr>
        <w:t xml:space="preserve">the adult human brain </w:t>
      </w:r>
      <w:r>
        <w:rPr>
          <w:rFonts w:ascii="Times New Roman" w:hAnsi="Times New Roman" w:hint="eastAsia"/>
          <w:color w:val="000000" w:themeColor="text1"/>
          <w:sz w:val="22"/>
        </w:rPr>
        <w:t>after</w:t>
      </w:r>
      <w:r>
        <w:rPr>
          <w:rFonts w:ascii="Times New Roman" w:hAnsi="Times New Roman"/>
          <w:color w:val="000000" w:themeColor="text1"/>
          <w:sz w:val="22"/>
        </w:rPr>
        <w:t xml:space="preserve"> link-step distances &gt;7; </w:t>
      </w:r>
      <w:r>
        <w:rPr>
          <w:rFonts w:ascii="Times New Roman" w:hAnsi="Times New Roman" w:hint="eastAsia"/>
          <w:color w:val="000000" w:themeColor="text1"/>
          <w:sz w:val="22"/>
        </w:rPr>
        <w:t>a</w:t>
      </w:r>
      <w:r>
        <w:rPr>
          <w:rFonts w:ascii="Times New Roman" w:hAnsi="Times New Roman"/>
          <w:color w:val="000000" w:themeColor="text1"/>
          <w:sz w:val="22"/>
        </w:rPr>
        <w:t>ccordingly, we constrained our SFC analysis to seven link-step distances</w:t>
      </w:r>
      <w:r>
        <w:rPr>
          <w:rFonts w:ascii="Times New Roman" w:hAnsi="Times New Roman" w:hint="eastAsia"/>
          <w:color w:val="000000" w:themeColor="text1"/>
          <w:sz w:val="22"/>
        </w:rPr>
        <w:t>.</w:t>
      </w:r>
    </w:p>
    <w:p w:rsidR="00EA0D74" w:rsidRDefault="00746AB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Statistical </w:t>
      </w:r>
      <w:r>
        <w:rPr>
          <w:rFonts w:ascii="Times New Roman" w:hAnsi="Times New Roman" w:hint="eastAsia"/>
          <w:color w:val="000000" w:themeColor="text1"/>
          <w:sz w:val="28"/>
          <w:szCs w:val="28"/>
        </w:rPr>
        <w:t xml:space="preserve">and Control </w:t>
      </w:r>
      <w:r>
        <w:rPr>
          <w:rFonts w:ascii="Times New Roman" w:hAnsi="Times New Roman"/>
          <w:color w:val="000000" w:themeColor="text1"/>
          <w:sz w:val="28"/>
          <w:szCs w:val="28"/>
        </w:rPr>
        <w:t>Analys</w:t>
      </w:r>
      <w:r>
        <w:rPr>
          <w:rFonts w:ascii="Times New Roman" w:hAnsi="Times New Roman" w:hint="eastAsia"/>
          <w:color w:val="000000" w:themeColor="text1"/>
          <w:sz w:val="28"/>
          <w:szCs w:val="28"/>
        </w:rPr>
        <w:t>e</w:t>
      </w:r>
      <w:r>
        <w:rPr>
          <w:rFonts w:ascii="Times New Roman" w:hAnsi="Times New Roman"/>
          <w:color w:val="000000" w:themeColor="text1"/>
          <w:sz w:val="28"/>
          <w:szCs w:val="28"/>
        </w:rPr>
        <w:t>s</w:t>
      </w:r>
    </w:p>
    <w:p w:rsidR="00EA0D74" w:rsidRDefault="00746ABF">
      <w:pPr>
        <w:spacing w:line="360" w:lineRule="auto"/>
        <w:rPr>
          <w:rFonts w:ascii="Times New Roman" w:hAnsi="Times New Roman"/>
          <w:color w:val="000000" w:themeColor="text1"/>
          <w:sz w:val="22"/>
        </w:rPr>
      </w:pPr>
      <w:r>
        <w:rPr>
          <w:rFonts w:ascii="Times New Roman" w:hAnsi="Times New Roman" w:hint="eastAsia"/>
          <w:color w:val="000000" w:themeColor="text1"/>
          <w:sz w:val="22"/>
        </w:rPr>
        <w:t xml:space="preserve">To visualize the gradient pattern, group mean maps were calculated for each group. </w:t>
      </w:r>
      <w:r>
        <w:rPr>
          <w:rFonts w:ascii="Times New Roman" w:hAnsi="Times New Roman"/>
          <w:color w:val="000000" w:themeColor="text1"/>
          <w:sz w:val="22"/>
        </w:rPr>
        <w:t>One-sample t-tests were performed to characterize the SFC patterns</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at each of the seven link-step distances in the </w:t>
      </w:r>
      <w:r>
        <w:rPr>
          <w:rFonts w:ascii="Times New Roman" w:hAnsi="Times New Roman" w:hint="eastAsia"/>
          <w:color w:val="000000" w:themeColor="text1"/>
          <w:sz w:val="22"/>
        </w:rPr>
        <w:t xml:space="preserve">HC </w:t>
      </w:r>
      <w:r>
        <w:rPr>
          <w:rFonts w:ascii="Times New Roman" w:hAnsi="Times New Roman"/>
          <w:color w:val="000000" w:themeColor="text1"/>
          <w:sz w:val="22"/>
        </w:rPr>
        <w:t xml:space="preserve">and </w:t>
      </w:r>
      <w:r>
        <w:rPr>
          <w:rFonts w:ascii="Times New Roman" w:hAnsi="Times New Roman" w:hint="eastAsia"/>
          <w:color w:val="000000" w:themeColor="text1"/>
          <w:sz w:val="22"/>
        </w:rPr>
        <w:t>schizophrenia</w:t>
      </w:r>
      <w:r>
        <w:rPr>
          <w:rFonts w:ascii="Times New Roman" w:hAnsi="Times New Roman"/>
          <w:color w:val="000000" w:themeColor="text1"/>
          <w:sz w:val="22"/>
        </w:rPr>
        <w:t xml:space="preserve"> groups separately</w:t>
      </w:r>
      <w:r>
        <w:rPr>
          <w:rFonts w:ascii="Times New Roman" w:hAnsi="Times New Roman" w:hint="eastAsia"/>
          <w:color w:val="000000" w:themeColor="text1"/>
          <w:sz w:val="22"/>
        </w:rPr>
        <w:t xml:space="preserve"> (p&lt;0.001 uncorrected, o</w:t>
      </w:r>
      <w:r>
        <w:rPr>
          <w:rFonts w:ascii="Times New Roman" w:hAnsi="Times New Roman"/>
          <w:color w:val="000000" w:themeColor="text1"/>
          <w:sz w:val="22"/>
        </w:rPr>
        <w:t>nly for purposes of clear data visualization</w:t>
      </w:r>
      <w:r>
        <w:rPr>
          <w:rFonts w:ascii="Times New Roman" w:hAnsi="Times New Roman" w:hint="eastAsia"/>
          <w:color w:val="000000" w:themeColor="text1"/>
          <w:sz w:val="22"/>
        </w:rPr>
        <w:t>)</w:t>
      </w:r>
      <w:r>
        <w:rPr>
          <w:rFonts w:ascii="Times New Roman" w:hAnsi="Times New Roman"/>
          <w:color w:val="000000" w:themeColor="text1"/>
          <w:sz w:val="22"/>
        </w:rPr>
        <w:t>.</w:t>
      </w:r>
      <w:r>
        <w:rPr>
          <w:rFonts w:ascii="Times New Roman" w:hAnsi="Times New Roman" w:hint="eastAsia"/>
          <w:color w:val="000000" w:themeColor="text1"/>
          <w:sz w:val="22"/>
        </w:rPr>
        <w:t xml:space="preserve"> </w:t>
      </w:r>
    </w:p>
    <w:p w:rsidR="00EA0D74" w:rsidRDefault="00EA0D74">
      <w:pPr>
        <w:spacing w:line="360" w:lineRule="auto"/>
        <w:rPr>
          <w:rFonts w:ascii="Times New Roman" w:hAnsi="Times New Roman"/>
          <w:color w:val="000000" w:themeColor="text1"/>
          <w:sz w:val="28"/>
          <w:szCs w:val="28"/>
        </w:rPr>
      </w:pPr>
    </w:p>
    <w:p w:rsidR="00EA0D74" w:rsidRDefault="00746ABF">
      <w:pPr>
        <w:spacing w:line="360" w:lineRule="auto"/>
        <w:rPr>
          <w:rFonts w:ascii="Times New Roman" w:hAnsi="Times New Roman" w:cs="Times New Roman"/>
          <w:color w:val="000000" w:themeColor="text1"/>
          <w:kern w:val="0"/>
          <w:sz w:val="22"/>
        </w:rPr>
      </w:pPr>
      <w:r>
        <w:rPr>
          <w:rFonts w:ascii="Times New Roman" w:hAnsi="Times New Roman" w:hint="eastAsia"/>
          <w:color w:val="000000" w:themeColor="text1"/>
          <w:sz w:val="22"/>
          <w:shd w:val="clear" w:color="auto" w:fill="FFFFFF"/>
        </w:rPr>
        <w:t>Three</w:t>
      </w:r>
      <w:r>
        <w:rPr>
          <w:rFonts w:ascii="Times New Roman" w:hAnsi="Times New Roman"/>
          <w:color w:val="000000" w:themeColor="text1"/>
          <w:sz w:val="22"/>
          <w:shd w:val="clear" w:color="auto" w:fill="FFFFFF"/>
        </w:rPr>
        <w:t xml:space="preserve"> analyses were performed to ensure robustness of the</w:t>
      </w:r>
      <w:r>
        <w:rPr>
          <w:rFonts w:ascii="Times New Roman" w:hAnsi="Times New Roman" w:hint="eastAsia"/>
          <w:color w:val="000000" w:themeColor="text1"/>
          <w:sz w:val="22"/>
          <w:shd w:val="clear" w:color="auto" w:fill="FFFFFF"/>
        </w:rPr>
        <w:t xml:space="preserve"> main findings. First,</w:t>
      </w:r>
      <w:bookmarkStart w:id="13" w:name="_Hlk62550368"/>
      <w:r>
        <w:rPr>
          <w:rFonts w:ascii="Times New Roman" w:hAnsi="Times New Roman" w:hint="eastAsia"/>
          <w:color w:val="000000" w:themeColor="text1"/>
          <w:sz w:val="22"/>
          <w:shd w:val="clear" w:color="auto" w:fill="FFFFFF"/>
        </w:rPr>
        <w:t xml:space="preserve"> </w:t>
      </w:r>
      <w:r>
        <w:rPr>
          <w:rFonts w:ascii="Times New Roman" w:hAnsi="Times New Roman" w:hint="eastAsia"/>
          <w:color w:val="000000" w:themeColor="text1"/>
          <w:sz w:val="22"/>
        </w:rPr>
        <w:t>b</w:t>
      </w:r>
      <w:r>
        <w:rPr>
          <w:rFonts w:ascii="Times New Roman" w:hAnsi="Times New Roman"/>
          <w:color w:val="000000" w:themeColor="text1"/>
          <w:sz w:val="22"/>
        </w:rPr>
        <w:t xml:space="preserve">ecause </w:t>
      </w:r>
      <w:r>
        <w:rPr>
          <w:rFonts w:ascii="Times New Roman" w:hAnsi="Times New Roman" w:hint="eastAsia"/>
          <w:color w:val="000000" w:themeColor="text1"/>
          <w:sz w:val="22"/>
        </w:rPr>
        <w:t xml:space="preserve">GSR </w:t>
      </w:r>
      <w:r>
        <w:rPr>
          <w:rFonts w:ascii="Times New Roman" w:hAnsi="Times New Roman"/>
          <w:color w:val="000000" w:themeColor="text1"/>
          <w:sz w:val="22"/>
        </w:rPr>
        <w:t>is controversial</w:t>
      </w:r>
      <w:r>
        <w:rPr>
          <w:rFonts w:ascii="Times New Roman" w:hAnsi="Times New Roman" w:hint="eastAsia"/>
          <w:color w:val="000000" w:themeColor="text1"/>
          <w:sz w:val="22"/>
        </w:rPr>
        <w:t xml:space="preserve">, </w:t>
      </w:r>
      <w:r>
        <w:rPr>
          <w:rFonts w:ascii="Times New Roman" w:hAnsi="Times New Roman"/>
          <w:color w:val="000000" w:themeColor="text1"/>
          <w:sz w:val="22"/>
        </w:rPr>
        <w:t>we repeated core analyses</w:t>
      </w:r>
      <w:r>
        <w:rPr>
          <w:rFonts w:ascii="Times New Roman" w:hAnsi="Times New Roman" w:hint="eastAsia"/>
          <w:color w:val="000000" w:themeColor="text1"/>
          <w:sz w:val="22"/>
        </w:rPr>
        <w:t xml:space="preserve"> (gradient and SFC)</w:t>
      </w:r>
      <w:r>
        <w:rPr>
          <w:rFonts w:ascii="Times New Roman" w:hAnsi="Times New Roman"/>
          <w:color w:val="000000" w:themeColor="text1"/>
          <w:sz w:val="22"/>
        </w:rPr>
        <w:t xml:space="preserve"> with GSR</w:t>
      </w:r>
      <w:r>
        <w:rPr>
          <w:rFonts w:ascii="Times New Roman" w:hAnsi="Times New Roman" w:hint="eastAsia"/>
          <w:color w:val="000000" w:themeColor="text1"/>
          <w:sz w:val="22"/>
        </w:rPr>
        <w:t xml:space="preserve">. </w:t>
      </w:r>
      <w:bookmarkEnd w:id="13"/>
      <w:r>
        <w:rPr>
          <w:rFonts w:ascii="Times New Roman" w:hAnsi="Times New Roman" w:hint="eastAsia"/>
          <w:color w:val="000000" w:themeColor="text1"/>
          <w:sz w:val="22"/>
        </w:rPr>
        <w:t xml:space="preserve">Second, as shown in Table 1, while there was no significant difference in mean </w:t>
      </w:r>
      <w:bookmarkStart w:id="14" w:name="OLE_LINK25"/>
      <w:bookmarkStart w:id="15" w:name="OLE_LINK26"/>
      <w:proofErr w:type="spellStart"/>
      <w:r>
        <w:rPr>
          <w:rFonts w:ascii="Times New Roman" w:hAnsi="Times New Roman"/>
          <w:color w:val="000000" w:themeColor="text1"/>
          <w:sz w:val="22"/>
        </w:rPr>
        <w:t>framewise</w:t>
      </w:r>
      <w:proofErr w:type="spellEnd"/>
      <w:r>
        <w:rPr>
          <w:rFonts w:ascii="Times New Roman" w:hAnsi="Times New Roman"/>
          <w:color w:val="000000" w:themeColor="text1"/>
          <w:sz w:val="22"/>
        </w:rPr>
        <w:t xml:space="preserve"> displacement</w:t>
      </w:r>
      <w:r>
        <w:rPr>
          <w:rFonts w:ascii="Times New Roman" w:hAnsi="Times New Roman" w:hint="eastAsia"/>
          <w:color w:val="000000" w:themeColor="text1"/>
          <w:sz w:val="22"/>
        </w:rPr>
        <w:t xml:space="preserve"> (FD</w:t>
      </w:r>
      <w:bookmarkEnd w:id="14"/>
      <w:bookmarkEnd w:id="15"/>
      <w:r>
        <w:rPr>
          <w:rFonts w:ascii="Times New Roman" w:hAnsi="Times New Roman" w:hint="eastAsia"/>
          <w:color w:val="000000" w:themeColor="text1"/>
          <w:sz w:val="22"/>
        </w:rPr>
        <w:t>) between patient</w:t>
      </w:r>
      <w:r>
        <w:rPr>
          <w:rFonts w:ascii="Times New Roman" w:hAnsi="Times New Roman"/>
          <w:color w:val="000000" w:themeColor="text1"/>
          <w:sz w:val="22"/>
        </w:rPr>
        <w:t xml:space="preserve">s </w:t>
      </w:r>
      <w:r>
        <w:rPr>
          <w:rFonts w:ascii="Times New Roman" w:hAnsi="Times New Roman" w:hint="eastAsia"/>
          <w:color w:val="000000" w:themeColor="text1"/>
          <w:sz w:val="22"/>
        </w:rPr>
        <w:t>and</w:t>
      </w:r>
      <w:r>
        <w:rPr>
          <w:rFonts w:ascii="Times New Roman" w:hAnsi="Times New Roman"/>
          <w:color w:val="000000" w:themeColor="text1"/>
          <w:sz w:val="22"/>
        </w:rPr>
        <w:t xml:space="preserve"> </w:t>
      </w:r>
      <w:r>
        <w:rPr>
          <w:rFonts w:ascii="Times New Roman" w:hAnsi="Times New Roman" w:hint="eastAsia"/>
          <w:color w:val="000000" w:themeColor="text1"/>
          <w:sz w:val="22"/>
        </w:rPr>
        <w:t>control</w:t>
      </w:r>
      <w:r>
        <w:rPr>
          <w:rFonts w:ascii="Times New Roman" w:hAnsi="Times New Roman"/>
          <w:color w:val="000000" w:themeColor="text1"/>
          <w:sz w:val="22"/>
        </w:rPr>
        <w:t>s</w:t>
      </w:r>
      <w:r>
        <w:rPr>
          <w:rFonts w:ascii="Times New Roman" w:hAnsi="Times New Roman" w:hint="eastAsia"/>
          <w:color w:val="000000" w:themeColor="text1"/>
          <w:sz w:val="22"/>
        </w:rPr>
        <w:t>, w</w:t>
      </w:r>
      <w:r>
        <w:rPr>
          <w:rFonts w:ascii="Times New Roman" w:hAnsi="Times New Roman"/>
          <w:color w:val="000000" w:themeColor="text1"/>
          <w:sz w:val="22"/>
        </w:rPr>
        <w:t>e also corrected for head motion in the subsequent statistical comparisons by using mean FD as covariate</w:t>
      </w:r>
      <w:r>
        <w:rPr>
          <w:rFonts w:ascii="Times New Roman" w:hAnsi="Times New Roman" w:hint="eastAsia"/>
          <w:color w:val="000000" w:themeColor="text1"/>
          <w:sz w:val="22"/>
        </w:rPr>
        <w:t xml:space="preserve"> </w:t>
      </w:r>
      <w:r>
        <w:rPr>
          <w:rFonts w:ascii="Times New Roman" w:hAnsi="Times New Roman"/>
          <w:color w:val="000000" w:themeColor="text1"/>
          <w:sz w:val="22"/>
        </w:rPr>
        <w:fldChar w:fldCharType="begin" w:fldLock="1"/>
      </w:r>
      <w:r>
        <w:rPr>
          <w:rFonts w:ascii="Times New Roman" w:hAnsi="Times New Roman"/>
          <w:color w:val="000000" w:themeColor="text1"/>
          <w:sz w:val="22"/>
        </w:rPr>
        <w:instrText>ADDIN CSL_CITATION {"citationItems":[{"id":"ITEM-1","itemData":{"DOI":"10.1016/j.neuroimage.2013.03.004","ISSN":"10538119","abstract":"Functional connectomics is one of the most rapidly expanding areas of neuroimaging research. Yet, concerns remain regarding the use of resting-state fMRI (R-fMRI) to characterize inter-individual variation in the functional connectome. In particular, recent findings that \"micro\" head movements can introduce artifactual inter-individual and group-related differences in R-fMRI metrics have raised concerns. Here, we first build on prior demonstrations of regional variation in the magnitude of framewise displacements associated with a given head movement, by providing a comprehensive voxel-based examination of the impact of motion on the BOLD signal (i.e., motion-BOLD relationships). Positive motion-BOLD relationships were detected in primary and supplementary motor areas, particularly in low motion datasets. Negative motion-BOLD relationships were most prominent in prefrontal regions, and expanded throughout the brain in high motion datasets (e.g., children). Scrubbing of volumes with FD. &gt;0.2 effectively removed negative but not positive correlations; these findings suggest that positive relationships may reflect neural origins of motion while negative relationships are likely to originate from motion artifact. We also examined the ability of motion correction strategies to eliminate artifactual differences related to motion among individuals and between groups for a broad array of voxel-wise R-fMRI metrics. Residual relationships between motion and the examined R-fMRI metrics remained for all correction approaches, underscoring the need to covary motion effects at the group-level. Notably, global signal regression reduced relationships between motion and inter-individual differences in correlation-based R-fMRI metrics; Z-standardization (mean-centering and variance normalization) of subject-level maps for R-fMRI metrics prior to group-level analyses demonstrated similar advantages. Finally, our test-retest (TRT) analyses revealed significant motion effects on TRT reliability for R-fMRI metrics. Generally, motion compromised reliability of R-fMRI metrics, with the exception of those based on frequency characteristics - particularly, amplitude of low frequency fluctuations (ALFF). The implications of our findings for decision-making regarding the assessment and correction of motion are discussed, as are insights into potential differences among volume-based metrics of motion. © 2013 Elsevier Inc.","author":[{"dropping-particle":"","family":"Yan","given":"Chao Gan","non-dropping-particle":"","parse-names":false,"suffix":""},{"dropping-particle":"","family":"Cheung","given":"Brian","non-dropping-particle":"","parse-names":false,"suffix":""},{"dropping-particle":"","family":"Kelly","given":"Clare","non-dropping-particle":"","parse-names":false,"suffix":""},{"dropping-particle":"","family":"Colcombe","given":"Stan","non-dropping-particle":"","parse-names":false,"suffix":""},{"dropping-particle":"","family":"Craddock","given":"R. Cameron","non-dropping-particle":"","parse-names":false,"suffix":""},{"dropping-particle":"","family":"Martino","given":"Adriana","non-dropping-particle":"Di","parse-names":false,"suffix":""},{"dropping-particle":"","family":"Li","given":"Qingyang","non-dropping-particle":"","parse-names":false,"suffix":""},{"dropping-particle":"","family":"Zuo","given":"Xi Nian","non-dropping-particle":"","parse-names":false,"suffix":""},{"dropping-particle":"","family":"Castellanos","given":"F. Xavier","non-dropping-particle":"","parse-names":false,"suffix":""},{"dropping-particle":"","family":"Milham","given":"Michael P.","non-dropping-particle":"","parse-names":false,"suffix":""}],"container-title":"NeuroImage","id":"ITEM-1","issued":{"date-parts":[["2013"]]},"page":"183-201","publisher":"Elsevier Inc.","title":"A comprehensive assessment of regional variation in the impact of head micromovements on functional connectomics","type":"article-journal","volume":"76"},"uris":["http://www.mendeley.com/documents/?uuid=a71322bd-39df-46d8-9f01-9a732b5ca7db"]}],"mendeley":{"formattedCitation":"(Yan et al., 2013)","plainTextFormattedCitation":"(Yan et al., 2013)","previouslyFormattedCitation":"(24)"},"properties":{"noteIndex":0},"schema":"https://github.com/citation-style-language/schema/raw/master/csl-citation.json"}</w:instrText>
      </w:r>
      <w:r>
        <w:rPr>
          <w:rFonts w:ascii="Times New Roman" w:hAnsi="Times New Roman"/>
          <w:color w:val="000000" w:themeColor="text1"/>
          <w:sz w:val="22"/>
        </w:rPr>
        <w:fldChar w:fldCharType="separate"/>
      </w:r>
      <w:r>
        <w:rPr>
          <w:rFonts w:ascii="Times New Roman" w:hAnsi="Times New Roman"/>
          <w:color w:val="000000" w:themeColor="text1"/>
          <w:sz w:val="22"/>
        </w:rPr>
        <w:t>(Yan et al., 2013)</w:t>
      </w:r>
      <w:r>
        <w:rPr>
          <w:rFonts w:ascii="Times New Roman" w:hAnsi="Times New Roman"/>
          <w:color w:val="000000" w:themeColor="text1"/>
          <w:sz w:val="22"/>
        </w:rPr>
        <w:fldChar w:fldCharType="end"/>
      </w:r>
      <w:r>
        <w:rPr>
          <w:rFonts w:ascii="Times New Roman" w:hAnsi="Times New Roman" w:hint="eastAsia"/>
          <w:color w:val="000000" w:themeColor="text1"/>
          <w:sz w:val="22"/>
        </w:rPr>
        <w:t>.</w:t>
      </w:r>
      <w:r>
        <w:rPr>
          <w:rFonts w:ascii="Times New Roman" w:hAnsi="Times New Roman"/>
          <w:color w:val="000000" w:themeColor="text1"/>
          <w:sz w:val="22"/>
        </w:rPr>
        <w:t xml:space="preserve"> </w:t>
      </w:r>
      <w:r>
        <w:rPr>
          <w:rFonts w:ascii="Times New Roman" w:hAnsi="Times New Roman" w:hint="eastAsia"/>
          <w:color w:val="000000" w:themeColor="text1"/>
          <w:sz w:val="22"/>
        </w:rPr>
        <w:t xml:space="preserve">And, </w:t>
      </w:r>
      <w:r>
        <w:rPr>
          <w:rFonts w:ascii="Times New Roman" w:hAnsi="Times New Roman" w:hint="eastAsia"/>
          <w:color w:val="000000" w:themeColor="text1"/>
          <w:sz w:val="22"/>
          <w:shd w:val="clear" w:color="auto" w:fill="FFFFFF"/>
        </w:rPr>
        <w:t>t</w:t>
      </w:r>
      <w:r>
        <w:rPr>
          <w:rFonts w:ascii="Times New Roman" w:hAnsi="Times New Roman"/>
          <w:color w:val="000000" w:themeColor="text1"/>
          <w:sz w:val="22"/>
          <w:shd w:val="clear" w:color="auto" w:fill="FFFFFF"/>
        </w:rPr>
        <w:t xml:space="preserve">o investigate the potential effects of </w:t>
      </w:r>
      <w:r>
        <w:rPr>
          <w:rFonts w:ascii="Times New Roman" w:hAnsi="Times New Roman" w:hint="eastAsia"/>
          <w:color w:val="000000" w:themeColor="text1"/>
          <w:sz w:val="22"/>
          <w:shd w:val="clear" w:color="auto" w:fill="FFFFFF"/>
        </w:rPr>
        <w:t>micro head motion</w:t>
      </w:r>
      <w:r>
        <w:rPr>
          <w:rFonts w:ascii="Times New Roman" w:hAnsi="Times New Roman"/>
          <w:color w:val="000000" w:themeColor="text1"/>
          <w:sz w:val="22"/>
          <w:shd w:val="clear" w:color="auto" w:fill="FFFFFF"/>
        </w:rPr>
        <w:t xml:space="preserve"> on our findings</w:t>
      </w:r>
      <w:r>
        <w:rPr>
          <w:rFonts w:ascii="Times New Roman" w:hAnsi="Times New Roman" w:hint="eastAsia"/>
          <w:color w:val="000000" w:themeColor="text1"/>
          <w:sz w:val="22"/>
        </w:rPr>
        <w:t xml:space="preserve">, </w:t>
      </w:r>
      <w:r>
        <w:rPr>
          <w:rFonts w:ascii="Times New Roman" w:hAnsi="Times New Roman"/>
          <w:color w:val="000000" w:themeColor="text1"/>
          <w:sz w:val="22"/>
        </w:rPr>
        <w:t xml:space="preserve">we calculated Pearson Correlations between altered gradients, SFC value and </w:t>
      </w:r>
      <w:r>
        <w:rPr>
          <w:rFonts w:ascii="Times New Roman" w:hAnsi="Times New Roman" w:hint="eastAsia"/>
          <w:color w:val="000000" w:themeColor="text1"/>
          <w:sz w:val="22"/>
        </w:rPr>
        <w:t xml:space="preserve">mean FD. Third, </w:t>
      </w:r>
      <w:r>
        <w:rPr>
          <w:rFonts w:ascii="Times New Roman" w:hAnsi="Times New Roman" w:hint="eastAsia"/>
          <w:color w:val="000000" w:themeColor="text1"/>
          <w:sz w:val="22"/>
          <w:shd w:val="clear" w:color="auto" w:fill="FFFFFF"/>
        </w:rPr>
        <w:t>t</w:t>
      </w:r>
      <w:r>
        <w:rPr>
          <w:rFonts w:ascii="Times New Roman" w:hAnsi="Times New Roman"/>
          <w:color w:val="000000" w:themeColor="text1"/>
          <w:sz w:val="22"/>
          <w:shd w:val="clear" w:color="auto" w:fill="FFFFFF"/>
        </w:rPr>
        <w:t>o target the potentially confounding effect of medication,</w:t>
      </w:r>
      <w:r>
        <w:rPr>
          <w:rFonts w:ascii="Times New Roman" w:hAnsi="Times New Roman" w:cs="Times New Roman" w:hint="eastAsia"/>
          <w:color w:val="000000" w:themeColor="text1"/>
          <w:kern w:val="0"/>
          <w:sz w:val="22"/>
        </w:rPr>
        <w:t xml:space="preserve"> </w:t>
      </w:r>
      <w:r>
        <w:rPr>
          <w:rFonts w:ascii="Times New Roman" w:hAnsi="Times New Roman"/>
          <w:color w:val="000000" w:themeColor="text1"/>
          <w:sz w:val="22"/>
          <w:shd w:val="clear" w:color="auto" w:fill="FFFFFF"/>
        </w:rPr>
        <w:t xml:space="preserve">we calculated </w:t>
      </w:r>
      <w:r>
        <w:rPr>
          <w:rFonts w:ascii="Times New Roman" w:hAnsi="Times New Roman" w:hint="eastAsia"/>
          <w:color w:val="000000" w:themeColor="text1"/>
          <w:sz w:val="22"/>
          <w:shd w:val="clear" w:color="auto" w:fill="FFFFFF"/>
        </w:rPr>
        <w:t>P</w:t>
      </w:r>
      <w:r>
        <w:rPr>
          <w:rFonts w:ascii="Times New Roman" w:hAnsi="Times New Roman"/>
          <w:color w:val="000000" w:themeColor="text1"/>
          <w:sz w:val="22"/>
          <w:shd w:val="clear" w:color="auto" w:fill="FFFFFF"/>
        </w:rPr>
        <w:t xml:space="preserve">earson </w:t>
      </w:r>
      <w:r>
        <w:rPr>
          <w:rFonts w:ascii="Times New Roman" w:hAnsi="Times New Roman" w:hint="eastAsia"/>
          <w:color w:val="000000" w:themeColor="text1"/>
          <w:sz w:val="22"/>
          <w:shd w:val="clear" w:color="auto" w:fill="FFFFFF"/>
        </w:rPr>
        <w:lastRenderedPageBreak/>
        <w:t>C</w:t>
      </w:r>
      <w:r>
        <w:rPr>
          <w:rFonts w:ascii="Times New Roman" w:hAnsi="Times New Roman"/>
          <w:color w:val="000000" w:themeColor="text1"/>
          <w:sz w:val="22"/>
          <w:shd w:val="clear" w:color="auto" w:fill="FFFFFF"/>
        </w:rPr>
        <w:t xml:space="preserve">orrelations between </w:t>
      </w:r>
      <w:r>
        <w:rPr>
          <w:rFonts w:ascii="Times New Roman" w:hAnsi="Times New Roman" w:hint="eastAsia"/>
          <w:color w:val="000000" w:themeColor="text1"/>
          <w:sz w:val="22"/>
          <w:shd w:val="clear" w:color="auto" w:fill="FFFFFF"/>
        </w:rPr>
        <w:t>altered gradient</w:t>
      </w:r>
      <w:r>
        <w:rPr>
          <w:rFonts w:ascii="Times New Roman" w:hAnsi="Times New Roman"/>
          <w:color w:val="000000" w:themeColor="text1"/>
          <w:sz w:val="22"/>
          <w:shd w:val="clear" w:color="auto" w:fill="FFFFFF"/>
        </w:rPr>
        <w:t>s</w:t>
      </w:r>
      <w:r>
        <w:rPr>
          <w:rFonts w:ascii="Times New Roman" w:hAnsi="Times New Roman" w:hint="eastAsia"/>
          <w:color w:val="000000" w:themeColor="text1"/>
          <w:sz w:val="22"/>
          <w:shd w:val="clear" w:color="auto" w:fill="FFFFFF"/>
        </w:rPr>
        <w:t xml:space="preserve">, SFC value and medication measured by </w:t>
      </w:r>
      <w:r>
        <w:rPr>
          <w:rFonts w:ascii="Times New Roman" w:hAnsi="Times New Roman" w:cs="Times New Roman" w:hint="eastAsia"/>
          <w:color w:val="000000" w:themeColor="text1"/>
          <w:kern w:val="0"/>
          <w:sz w:val="22"/>
        </w:rPr>
        <w:t>c</w:t>
      </w:r>
      <w:r>
        <w:rPr>
          <w:rFonts w:ascii="Times New Roman" w:hAnsi="Times New Roman" w:cs="Times New Roman"/>
          <w:color w:val="000000" w:themeColor="text1"/>
          <w:kern w:val="0"/>
          <w:sz w:val="22"/>
        </w:rPr>
        <w:t xml:space="preserve">hlorpromazine </w:t>
      </w:r>
      <w:r>
        <w:rPr>
          <w:rFonts w:ascii="Times New Roman" w:hAnsi="Times New Roman" w:cs="Times New Roman" w:hint="eastAsia"/>
          <w:color w:val="000000" w:themeColor="text1"/>
          <w:kern w:val="0"/>
          <w:sz w:val="22"/>
        </w:rPr>
        <w:t>e</w:t>
      </w:r>
      <w:r>
        <w:rPr>
          <w:rFonts w:ascii="Times New Roman" w:hAnsi="Times New Roman" w:cs="Times New Roman"/>
          <w:color w:val="000000" w:themeColor="text1"/>
          <w:kern w:val="0"/>
          <w:sz w:val="22"/>
        </w:rPr>
        <w:t>quivalents</w:t>
      </w:r>
      <w:r>
        <w:rPr>
          <w:rFonts w:ascii="Times New Roman" w:hAnsi="Times New Roman" w:cs="Times New Roman" w:hint="eastAsia"/>
          <w:color w:val="000000" w:themeColor="text1"/>
          <w:kern w:val="0"/>
          <w:sz w:val="22"/>
        </w:rPr>
        <w:t xml:space="preserve">. </w:t>
      </w:r>
    </w:p>
    <w:p w:rsidR="00EA0D74" w:rsidRDefault="00746AB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Data and code availability</w:t>
      </w:r>
    </w:p>
    <w:p w:rsidR="00EA0D74" w:rsidRDefault="00746ABF">
      <w:pPr>
        <w:autoSpaceDE w:val="0"/>
        <w:autoSpaceDN w:val="0"/>
        <w:adjustRightInd w:val="0"/>
        <w:spacing w:line="360" w:lineRule="auto"/>
        <w:rPr>
          <w:rFonts w:ascii="Times New Roman" w:hAnsi="Times New Roman"/>
          <w:color w:val="000000" w:themeColor="text1"/>
          <w:sz w:val="22"/>
          <w:shd w:val="clear" w:color="auto" w:fill="FFFFFF"/>
        </w:rPr>
      </w:pPr>
      <w:r>
        <w:rPr>
          <w:rFonts w:ascii="Times New Roman" w:hAnsi="Times New Roman" w:hint="eastAsia"/>
          <w:color w:val="000000" w:themeColor="text1"/>
          <w:sz w:val="22"/>
          <w:shd w:val="clear" w:color="auto" w:fill="FFFFFF"/>
        </w:rPr>
        <w:t>The</w:t>
      </w:r>
      <w:r>
        <w:rPr>
          <w:rFonts w:ascii="Times New Roman" w:hAnsi="Times New Roman"/>
          <w:color w:val="000000" w:themeColor="text1"/>
          <w:sz w:val="22"/>
          <w:shd w:val="clear" w:color="auto" w:fill="FFFFFF"/>
        </w:rPr>
        <w:t xml:space="preserve"> preprocessing </w:t>
      </w:r>
      <w:r>
        <w:rPr>
          <w:rFonts w:ascii="Times New Roman" w:hAnsi="Times New Roman" w:hint="eastAsia"/>
          <w:color w:val="000000" w:themeColor="text1"/>
          <w:sz w:val="22"/>
          <w:shd w:val="clear" w:color="auto" w:fill="FFFFFF"/>
        </w:rPr>
        <w:t>software</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is</w:t>
      </w:r>
      <w:r>
        <w:rPr>
          <w:rFonts w:ascii="Times New Roman" w:hAnsi="Times New Roman"/>
          <w:color w:val="000000" w:themeColor="text1"/>
          <w:sz w:val="22"/>
          <w:shd w:val="clear" w:color="auto" w:fill="FFFFFF"/>
        </w:rPr>
        <w:t xml:space="preserve"> freely available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DPABI</w:t>
      </w:r>
      <w:r>
        <w:rPr>
          <w:rFonts w:ascii="Times New Roman" w:hAnsi="Times New Roman" w:hint="eastAsia"/>
          <w:color w:val="000000" w:themeColor="text1"/>
          <w:sz w:val="22"/>
          <w:shd w:val="clear" w:color="auto" w:fill="FFFFFF"/>
        </w:rPr>
        <w:t xml:space="preserve"> v4.1</w:t>
      </w:r>
      <w:r>
        <w:rPr>
          <w:rFonts w:ascii="Times New Roman" w:hAnsi="Times New Roman"/>
          <w:color w:val="000000" w:themeColor="text1"/>
          <w:sz w:val="22"/>
          <w:shd w:val="clear" w:color="auto" w:fill="FFFFFF"/>
        </w:rPr>
        <w:t xml:space="preserve">, </w:t>
      </w:r>
      <w:hyperlink r:id="rId7" w:history="1">
        <w:r>
          <w:rPr>
            <w:rStyle w:val="a7"/>
            <w:rFonts w:ascii="Times New Roman" w:hAnsi="Times New Roman"/>
            <w:color w:val="000000" w:themeColor="text1"/>
            <w:sz w:val="22"/>
            <w:shd w:val="clear" w:color="auto" w:fill="FFFFFF"/>
          </w:rPr>
          <w:t>http://rfmri.org/dpabi</w:t>
        </w:r>
      </w:hyperlink>
      <w:r>
        <w:rPr>
          <w:rFonts w:ascii="Times New Roman" w:hAnsi="Times New Roman" w:hint="eastAsia"/>
          <w:color w:val="000000" w:themeColor="text1"/>
          <w:sz w:val="22"/>
          <w:shd w:val="clear" w:color="auto" w:fill="FFFFFF"/>
        </w:rPr>
        <w:t>)</w:t>
      </w:r>
      <w:r>
        <w:rPr>
          <w:rFonts w:ascii="Times New Roman" w:hAnsi="Times New Roman"/>
          <w:color w:val="000000" w:themeColor="text1"/>
          <w:sz w:val="22"/>
          <w:shd w:val="clear" w:color="auto" w:fill="FFFFFF"/>
        </w:rPr>
        <w:t>.</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The code</w:t>
      </w:r>
      <w:r>
        <w:rPr>
          <w:rFonts w:ascii="Times New Roman" w:hAnsi="Times New Roman" w:hint="eastAsia"/>
          <w:color w:val="000000" w:themeColor="text1"/>
          <w:sz w:val="22"/>
          <w:shd w:val="clear" w:color="auto" w:fill="FFFFFF"/>
        </w:rPr>
        <w:t xml:space="preserve"> for gradient analysis</w:t>
      </w:r>
      <w:r>
        <w:rPr>
          <w:rFonts w:ascii="Times New Roman" w:hAnsi="Times New Roman"/>
          <w:color w:val="000000" w:themeColor="text1"/>
          <w:sz w:val="22"/>
          <w:shd w:val="clear" w:color="auto" w:fill="FFFFFF"/>
        </w:rPr>
        <w:t xml:space="preserve"> is openly available via the </w:t>
      </w:r>
      <w:proofErr w:type="spellStart"/>
      <w:r>
        <w:rPr>
          <w:rFonts w:ascii="Times New Roman" w:hAnsi="Times New Roman"/>
          <w:color w:val="000000" w:themeColor="text1"/>
          <w:sz w:val="22"/>
          <w:shd w:val="clear" w:color="auto" w:fill="FFFFFF"/>
        </w:rPr>
        <w:t>BrainSpace</w:t>
      </w:r>
      <w:proofErr w:type="spellEnd"/>
      <w:r>
        <w:rPr>
          <w:rFonts w:ascii="Times New Roman" w:hAnsi="Times New Roman"/>
          <w:color w:val="000000" w:themeColor="text1"/>
          <w:sz w:val="22"/>
          <w:shd w:val="clear" w:color="auto" w:fill="FFFFFF"/>
        </w:rPr>
        <w:t xml:space="preserve"> toolbox (</w:t>
      </w:r>
      <w:hyperlink r:id="rId8" w:history="1">
        <w:r>
          <w:rPr>
            <w:rStyle w:val="a7"/>
            <w:rFonts w:ascii="Times New Roman" w:hAnsi="Times New Roman"/>
            <w:color w:val="000000" w:themeColor="text1"/>
            <w:sz w:val="22"/>
            <w:shd w:val="clear" w:color="auto" w:fill="FFFFFF"/>
          </w:rPr>
          <w:t>http://brainspace.readthedocs.io</w:t>
        </w:r>
      </w:hyperlink>
      <w:r>
        <w:rPr>
          <w:rFonts w:ascii="Times New Roman" w:hAnsi="Times New Roman"/>
          <w:color w:val="000000" w:themeColor="text1"/>
          <w:sz w:val="22"/>
          <w:shd w:val="clear" w:color="auto" w:fill="FFFFFF"/>
        </w:rPr>
        <w:t>)</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{"citationItems":[{"id":"ITEM-1","itemData":{"author":[{"dropping-particle":"de","family":"Wael","given":"Reinder Vos","non-dropping-particle":"","parse-names":false,"suffix":""},{"dropping-particle":"","family":"Benkarim","given":"Oualid","non-dropping-particle":"","parse-names":false,"suffix":""},{"dropping-particle":"","family":"Paquola","given":"Casey","non-dropping-particle":"","parse-names":false,"suffix":""},{"dropping-particle":"","family":"Lariviere","given":"Sara","non-dropping-particle":"","parse-names":false,"suffix":""},{"dropping-particle":"","family":"Royer","given":"Jessica","non-dropping-particle":"","parse-names":false,"suffix":""},{"dropping-particle":"","family":"Tavakol","given":"Shahin","non-dropping-particle":"","parse-names":false,"suffix":""},{"dropping-particle":"","family":"Xu","given":"Ting","non-dropping-particle":"","parse-names":false,"suffix":""},{"dropping-particle":"","family":"Hong","given":"Seok-Jun","non-dropping-particle":"","parse-names":false,"suffix":""},{"dropping-particle":"","family":"Valk","given":"Sofie L.","non-dropping-particle":"","parse-names":false,"suffix":""},{"dropping-particle":"","family":"Misic","given":"Bratislav","non-dropping-particle":"","parse-names":false,"suffix":""},{"dropping-particle":"","family":"Milham","given":"Michael P.","non-dropping-particle":"","parse-names":false,"suffix":""},{"dropping-particle":"","family":"Margulies","given":"Daniel S.","non-dropping-particle":"","parse-names":false,"suffix":""},{"dropping-particle":"","family":"Smallwood","given":"Jonathan","non-dropping-particle":"","parse-names":false,"suffix":""},{"dropping-particle":"","family":"Bernhardt","given":"Boris C.","non-dropping-particle":"","parse-names":false,"suffix":""}],"container-title":"Communications Biology","id":"ITEM-1","issued":{"date-parts":[["2020"]]},"page":"1-10","title":"BrainSpace: a toolbox for the analysis of macroscale gradients in neuroimaging and connectomics datasets","type":"article-journal","volume":"3"},"uris":["http://www.mendeley.com/documents/?uuid=7c1c6676-a063-4465-b431-2d774a32bb4b"]}],"mendeley":{"formattedCitation":"(Wael et al., 2020)","plainTextFormattedCitation":"(Wael et al., 2020)","previouslyFormattedCitation":"(25)"},"properties":{"noteIndex":0},"schema":"https://github.com/citation-style-language/schema/raw/master/csl-citation.json"}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w:t>
      </w:r>
      <w:proofErr w:type="spellStart"/>
      <w:r>
        <w:rPr>
          <w:rFonts w:ascii="Times New Roman" w:hAnsi="Times New Roman"/>
          <w:color w:val="000000" w:themeColor="text1"/>
          <w:sz w:val="22"/>
          <w:shd w:val="clear" w:color="auto" w:fill="FFFFFF"/>
        </w:rPr>
        <w:t>Wael</w:t>
      </w:r>
      <w:proofErr w:type="spellEnd"/>
      <w:r>
        <w:rPr>
          <w:rFonts w:ascii="Times New Roman" w:hAnsi="Times New Roman"/>
          <w:color w:val="000000" w:themeColor="text1"/>
          <w:sz w:val="22"/>
          <w:shd w:val="clear" w:color="auto" w:fill="FFFFFF"/>
        </w:rPr>
        <w:t xml:space="preserve"> et al., 2020)</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The code</w:t>
      </w:r>
      <w:r>
        <w:rPr>
          <w:rFonts w:ascii="Times New Roman" w:hAnsi="Times New Roman" w:hint="eastAsia"/>
          <w:color w:val="000000" w:themeColor="text1"/>
          <w:sz w:val="22"/>
          <w:shd w:val="clear" w:color="auto" w:fill="FFFFFF"/>
        </w:rPr>
        <w:t xml:space="preserve"> for SFC analysis is </w:t>
      </w:r>
      <w:r>
        <w:rPr>
          <w:rFonts w:ascii="Times New Roman" w:hAnsi="Times New Roman"/>
          <w:color w:val="000000" w:themeColor="text1"/>
          <w:sz w:val="22"/>
          <w:shd w:val="clear" w:color="auto" w:fill="FFFFFF"/>
        </w:rPr>
        <w:t>available</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via a </w:t>
      </w:r>
      <w:r>
        <w:rPr>
          <w:rFonts w:ascii="Times New Roman" w:hAnsi="Times New Roman" w:hint="eastAsia"/>
          <w:color w:val="000000" w:themeColor="text1"/>
          <w:sz w:val="22"/>
          <w:shd w:val="clear" w:color="auto" w:fill="FFFFFF"/>
        </w:rPr>
        <w:t xml:space="preserve">direct </w:t>
      </w:r>
      <w:r>
        <w:rPr>
          <w:rFonts w:ascii="Times New Roman" w:hAnsi="Times New Roman"/>
          <w:color w:val="000000" w:themeColor="text1"/>
          <w:sz w:val="22"/>
          <w:shd w:val="clear" w:color="auto" w:fill="FFFFFF"/>
        </w:rPr>
        <w:t>request</w:t>
      </w:r>
      <w:r>
        <w:rPr>
          <w:rFonts w:ascii="Times New Roman" w:hAnsi="Times New Roman" w:hint="eastAsia"/>
          <w:color w:val="000000" w:themeColor="text1"/>
          <w:sz w:val="22"/>
          <w:shd w:val="clear" w:color="auto" w:fill="FFFFFF"/>
        </w:rPr>
        <w:t xml:space="preserve"> to</w:t>
      </w:r>
      <w:r>
        <w:rPr>
          <w:rFonts w:ascii="Times New Roman" w:hAnsi="Times New Roman"/>
          <w:color w:val="000000" w:themeColor="text1"/>
          <w:sz w:val="22"/>
          <w:shd w:val="clear" w:color="auto" w:fill="FFFFFF"/>
        </w:rPr>
        <w:t xml:space="preserve"> </w:t>
      </w:r>
      <w:r>
        <w:rPr>
          <w:rFonts w:ascii="Times New Roman" w:hAnsi="Times New Roman"/>
          <w:color w:val="000000" w:themeColor="text1"/>
          <w:sz w:val="22"/>
        </w:rPr>
        <w:t xml:space="preserve">Jorge </w:t>
      </w:r>
      <w:proofErr w:type="spellStart"/>
      <w:r>
        <w:rPr>
          <w:rFonts w:ascii="Times New Roman" w:hAnsi="Times New Roman"/>
          <w:color w:val="000000" w:themeColor="text1"/>
          <w:sz w:val="22"/>
        </w:rPr>
        <w:t>Sepulcre</w:t>
      </w:r>
      <w:proofErr w:type="spellEnd"/>
      <w:r>
        <w:rPr>
          <w:rFonts w:ascii="Times New Roman" w:hAnsi="Times New Roman" w:hint="eastAsia"/>
          <w:color w:val="000000" w:themeColor="text1"/>
          <w:sz w:val="22"/>
        </w:rPr>
        <w:t>.</w:t>
      </w:r>
      <w:r>
        <w:rPr>
          <w:rFonts w:ascii="Times New Roman" w:hAnsi="Times New Roman"/>
          <w:color w:val="000000" w:themeColor="text1"/>
          <w:sz w:val="22"/>
          <w:shd w:val="clear" w:color="auto" w:fill="FFFFFF"/>
        </w:rPr>
        <w:t xml:space="preserve"> </w:t>
      </w:r>
      <w:r>
        <w:rPr>
          <w:rFonts w:ascii="Times New Roman" w:hAnsi="Times New Roman" w:hint="eastAsia"/>
          <w:color w:val="000000" w:themeColor="text1"/>
          <w:sz w:val="22"/>
          <w:shd w:val="clear" w:color="auto" w:fill="FFFFFF"/>
        </w:rPr>
        <w:t>Result</w:t>
      </w:r>
      <w:r>
        <w:rPr>
          <w:rFonts w:ascii="Times New Roman" w:hAnsi="Times New Roman"/>
          <w:color w:val="000000" w:themeColor="text1"/>
          <w:sz w:val="22"/>
          <w:shd w:val="clear" w:color="auto" w:fill="FFFFFF"/>
        </w:rPr>
        <w:t>s were visualized</w:t>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with </w:t>
      </w:r>
      <w:proofErr w:type="spellStart"/>
      <w:r>
        <w:rPr>
          <w:rFonts w:ascii="Times New Roman" w:hAnsi="Times New Roman"/>
          <w:color w:val="000000" w:themeColor="text1"/>
          <w:sz w:val="22"/>
          <w:shd w:val="clear" w:color="auto" w:fill="FFFFFF"/>
        </w:rPr>
        <w:t>BrainNet</w:t>
      </w:r>
      <w:proofErr w:type="spellEnd"/>
      <w:r>
        <w:rPr>
          <w:rFonts w:ascii="Times New Roman" w:hAnsi="Times New Roman"/>
          <w:color w:val="000000" w:themeColor="text1"/>
          <w:sz w:val="22"/>
          <w:shd w:val="clear" w:color="auto" w:fill="FFFFFF"/>
        </w:rPr>
        <w:t xml:space="preserve"> Viewer</w:t>
      </w:r>
      <w:r>
        <w:rPr>
          <w:rFonts w:ascii="Times New Roman" w:hAnsi="Times New Roman" w:hint="eastAsia"/>
          <w:color w:val="000000" w:themeColor="text1"/>
          <w:sz w:val="22"/>
          <w:shd w:val="clear" w:color="auto" w:fill="FFFFFF"/>
        </w:rPr>
        <w:t xml:space="preserve"> v1.7 (</w:t>
      </w:r>
      <w:hyperlink r:id="rId9" w:history="1">
        <w:r>
          <w:rPr>
            <w:rStyle w:val="a7"/>
            <w:rFonts w:ascii="Times New Roman" w:hAnsi="Times New Roman"/>
            <w:color w:val="000000" w:themeColor="text1"/>
            <w:sz w:val="22"/>
            <w:shd w:val="clear" w:color="auto" w:fill="FFFFFF"/>
          </w:rPr>
          <w:t>https://www.nitrc.org/projects/bnv/</w:t>
        </w:r>
      </w:hyperlink>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fldChar w:fldCharType="begin" w:fldLock="1"/>
      </w:r>
      <w:r>
        <w:rPr>
          <w:rFonts w:ascii="Times New Roman" w:hAnsi="Times New Roman"/>
          <w:color w:val="000000" w:themeColor="text1"/>
          <w:sz w:val="22"/>
          <w:shd w:val="clear" w:color="auto" w:fill="FFFFFF"/>
        </w:rPr>
        <w:instrText>ADDIN CSL_CITATION {"citationItems":[{"id":"ITEM-1","itemData":{"DOI":"10.1371/journal.pone.0068910","ISSN":"19326203","abstract":"The human brain is a complex system whose topological organization can be represented using connectomics. Recent studies have shown that human connectomes can be constructed using various neuroimaging technologies and further characterized using sophisticated analytic strategies, such as graph theory. These methods reveal the intriguing topological architectures of human brain networks in healthy populations and explore the changes throughout normal development and aging and under various pathological conditions. However, given the huge complexity of this methodology, toolboxes for graph-based network visualization are still lacking. Here, using MATLAB with a graphical user interface (GUI), we developed a graph-theoretical network visualization toolbox, called BrainNet Viewer, to illustrate human connectomes as ball-and-stick models. Within this toolbox, several combinations of defined files with connectome information can be loaded to display different combinations of brain surface, nodes and edges. In addition, display properties, such as the color and size of network elements or the layout of the figure, can be adjusted within a comprehensive but easy-to-use settings panel. Moreover, BrainNet Viewer draws the brain surface, nodes and edges in sequence and displays brain networks in multiple views, as required by the user. The figure can be manipulated with certain interaction functions to display more detailed information. Furthermore, the figures can be exported as commonly used image file formats or demonstration video for further use. BrainNet Viewer helps researchers to visualize brain networks in an easy, flexible and quick manner, and this software is freely available on the NITRC website (www.nitrc.org/projects/bnv/). © 2013 Xia et al.","author":[{"dropping-particle":"","family":"Xia","given":"Mingrui","non-dropping-particle":"","parse-names":false,"suffix":""},{"dropping-particle":"","family":"Wang","given":"Jinhui","non-dropping-particle":"","parse-names":false,"suffix":""},{"dropping-particle":"","family":"He","given":"Yong","non-dropping-particle":"","parse-names":false,"suffix":""}],"container-title":"PLoS ONE","id":"ITEM-1","issue":"7","issued":{"date-parts":[["2013"]]},"title":"BrainNet Viewer: A Network Visualization Tool for Human Brain Connectomics","type":"article-journal","volume":"8"},"uris":["http://www.mendeley.com/documents/?uuid=f84d3f61-0093-45e1-8b72-4961ac6120f2"]}],"mendeley":{"formattedCitation":"(Xia, Wang, &amp; He, 2013)","plainTextFormattedCitation":"(Xia, Wang, &amp; He, 2013)","previouslyFormattedCitation":"(26)"},"properties":{"noteIndex":0},"schema":"https://github.com/citation-style-language/schema/raw/master/csl-citation.json"}</w:instrText>
      </w:r>
      <w:r>
        <w:rPr>
          <w:rFonts w:ascii="Times New Roman" w:hAnsi="Times New Roman"/>
          <w:color w:val="000000" w:themeColor="text1"/>
          <w:sz w:val="22"/>
          <w:shd w:val="clear" w:color="auto" w:fill="FFFFFF"/>
        </w:rPr>
        <w:fldChar w:fldCharType="separate"/>
      </w:r>
      <w:r>
        <w:rPr>
          <w:rFonts w:ascii="Times New Roman" w:hAnsi="Times New Roman"/>
          <w:color w:val="000000" w:themeColor="text1"/>
          <w:sz w:val="22"/>
          <w:shd w:val="clear" w:color="auto" w:fill="FFFFFF"/>
        </w:rPr>
        <w:t>(Xia, Wang, &amp; He, 2013)</w:t>
      </w:r>
      <w:r>
        <w:rPr>
          <w:rFonts w:ascii="Times New Roman" w:hAnsi="Times New Roman"/>
          <w:color w:val="000000" w:themeColor="text1"/>
          <w:sz w:val="22"/>
          <w:shd w:val="clear" w:color="auto" w:fill="FFFFFF"/>
        </w:rPr>
        <w:fldChar w:fldCharType="end"/>
      </w:r>
      <w:r>
        <w:rPr>
          <w:rFonts w:ascii="Times New Roman" w:hAnsi="Times New Roman" w:hint="eastAsia"/>
          <w:color w:val="000000" w:themeColor="text1"/>
          <w:sz w:val="22"/>
          <w:shd w:val="clear" w:color="auto" w:fill="FFFFFF"/>
        </w:rPr>
        <w:t xml:space="preserve">. </w:t>
      </w:r>
      <w:r>
        <w:rPr>
          <w:rFonts w:ascii="Times New Roman" w:hAnsi="Times New Roman"/>
          <w:color w:val="000000" w:themeColor="text1"/>
          <w:sz w:val="22"/>
          <w:shd w:val="clear" w:color="auto" w:fill="FFFFFF"/>
        </w:rPr>
        <w:t xml:space="preserve">The imaging </w:t>
      </w:r>
      <w:r>
        <w:rPr>
          <w:rFonts w:ascii="Times New Roman" w:hAnsi="Times New Roman" w:hint="eastAsia"/>
          <w:color w:val="000000" w:themeColor="text1"/>
          <w:sz w:val="22"/>
          <w:shd w:val="clear" w:color="auto" w:fill="FFFFFF"/>
        </w:rPr>
        <w:t xml:space="preserve">and clinical </w:t>
      </w:r>
      <w:r>
        <w:rPr>
          <w:rFonts w:ascii="Times New Roman" w:hAnsi="Times New Roman"/>
          <w:color w:val="000000" w:themeColor="text1"/>
          <w:sz w:val="22"/>
          <w:shd w:val="clear" w:color="auto" w:fill="FFFFFF"/>
        </w:rPr>
        <w:t xml:space="preserve">data </w:t>
      </w:r>
      <w:r>
        <w:rPr>
          <w:rFonts w:ascii="Times New Roman" w:hAnsi="Times New Roman" w:hint="eastAsia"/>
          <w:color w:val="000000" w:themeColor="text1"/>
          <w:sz w:val="22"/>
          <w:shd w:val="clear" w:color="auto" w:fill="FFFFFF"/>
        </w:rPr>
        <w:t>are made</w:t>
      </w:r>
      <w:r>
        <w:rPr>
          <w:rFonts w:ascii="Times New Roman" w:hAnsi="Times New Roman"/>
          <w:color w:val="000000" w:themeColor="text1"/>
          <w:sz w:val="22"/>
          <w:shd w:val="clear" w:color="auto" w:fill="FFFFFF"/>
        </w:rPr>
        <w:t xml:space="preserve"> available via a </w:t>
      </w:r>
      <w:r>
        <w:rPr>
          <w:rFonts w:ascii="Times New Roman" w:hAnsi="Times New Roman" w:hint="eastAsia"/>
          <w:color w:val="000000" w:themeColor="text1"/>
          <w:sz w:val="22"/>
          <w:shd w:val="clear" w:color="auto" w:fill="FFFFFF"/>
        </w:rPr>
        <w:t xml:space="preserve">direct </w:t>
      </w:r>
      <w:r>
        <w:rPr>
          <w:rFonts w:ascii="Times New Roman" w:hAnsi="Times New Roman"/>
          <w:color w:val="000000" w:themeColor="text1"/>
          <w:sz w:val="22"/>
          <w:shd w:val="clear" w:color="auto" w:fill="FFFFFF"/>
        </w:rPr>
        <w:t xml:space="preserve">request to the </w:t>
      </w:r>
      <w:r>
        <w:rPr>
          <w:rFonts w:ascii="Times New Roman" w:hAnsi="Times New Roman" w:hint="eastAsia"/>
          <w:color w:val="000000" w:themeColor="text1"/>
          <w:sz w:val="22"/>
          <w:shd w:val="clear" w:color="auto" w:fill="FFFFFF"/>
        </w:rPr>
        <w:t>corresponding a</w:t>
      </w:r>
      <w:r>
        <w:rPr>
          <w:rFonts w:ascii="Times New Roman" w:hAnsi="Times New Roman"/>
          <w:color w:val="000000" w:themeColor="text1"/>
          <w:sz w:val="22"/>
          <w:shd w:val="clear" w:color="auto" w:fill="FFFFFF"/>
        </w:rPr>
        <w:t>uthor</w:t>
      </w:r>
      <w:r>
        <w:rPr>
          <w:rFonts w:ascii="Times New Roman" w:hAnsi="Times New Roman" w:hint="eastAsia"/>
          <w:color w:val="000000" w:themeColor="text1"/>
          <w:sz w:val="22"/>
          <w:shd w:val="clear" w:color="auto" w:fill="FFFFFF"/>
        </w:rPr>
        <w:t xml:space="preserve"> (Cheng Luo)</w:t>
      </w:r>
      <w:r>
        <w:rPr>
          <w:rFonts w:ascii="Times New Roman" w:hAnsi="Times New Roman"/>
          <w:color w:val="000000" w:themeColor="text1"/>
          <w:sz w:val="22"/>
          <w:shd w:val="clear" w:color="auto" w:fill="FFFFFF"/>
        </w:rPr>
        <w:t xml:space="preserve">. Sharing and re-use of </w:t>
      </w:r>
      <w:r>
        <w:rPr>
          <w:rFonts w:ascii="Times New Roman" w:hAnsi="Times New Roman" w:hint="eastAsia"/>
          <w:color w:val="000000" w:themeColor="text1"/>
          <w:sz w:val="22"/>
          <w:shd w:val="clear" w:color="auto" w:fill="FFFFFF"/>
        </w:rPr>
        <w:t xml:space="preserve">imaging and clinical </w:t>
      </w:r>
      <w:r>
        <w:rPr>
          <w:rFonts w:ascii="Times New Roman" w:hAnsi="Times New Roman"/>
          <w:color w:val="000000" w:themeColor="text1"/>
          <w:sz w:val="22"/>
          <w:shd w:val="clear" w:color="auto" w:fill="FFFFFF"/>
        </w:rPr>
        <w:t xml:space="preserve">data </w:t>
      </w:r>
      <w:r>
        <w:rPr>
          <w:rFonts w:ascii="Times New Roman" w:hAnsi="Times New Roman" w:hint="eastAsia"/>
          <w:color w:val="000000" w:themeColor="text1"/>
          <w:sz w:val="22"/>
          <w:shd w:val="clear" w:color="auto" w:fill="FFFFFF"/>
        </w:rPr>
        <w:t>need</w:t>
      </w:r>
      <w:r>
        <w:rPr>
          <w:rFonts w:ascii="Times New Roman" w:hAnsi="Times New Roman"/>
          <w:color w:val="000000" w:themeColor="text1"/>
          <w:sz w:val="22"/>
          <w:shd w:val="clear" w:color="auto" w:fill="FFFFFF"/>
        </w:rPr>
        <w:t xml:space="preserve"> the expressed written permission of the authors</w:t>
      </w:r>
      <w:r>
        <w:rPr>
          <w:rFonts w:ascii="Times New Roman" w:hAnsi="Times New Roman" w:hint="eastAsia"/>
          <w:color w:val="000000" w:themeColor="text1"/>
          <w:sz w:val="22"/>
          <w:shd w:val="clear" w:color="auto" w:fill="FFFFFF"/>
        </w:rPr>
        <w:t xml:space="preserve"> and</w:t>
      </w:r>
      <w:r>
        <w:rPr>
          <w:rFonts w:ascii="Times New Roman" w:hAnsi="Times New Roman"/>
          <w:color w:val="000000" w:themeColor="text1"/>
          <w:sz w:val="22"/>
          <w:shd w:val="clear" w:color="auto" w:fill="FFFFFF"/>
        </w:rPr>
        <w:t xml:space="preserve"> clearance from the relevant </w:t>
      </w:r>
      <w:r>
        <w:rPr>
          <w:rFonts w:ascii="Times New Roman" w:hAnsi="Times New Roman" w:hint="eastAsia"/>
          <w:color w:val="000000" w:themeColor="text1"/>
          <w:sz w:val="22"/>
          <w:shd w:val="clear" w:color="auto" w:fill="FFFFFF"/>
        </w:rPr>
        <w:t>i</w:t>
      </w:r>
      <w:r>
        <w:rPr>
          <w:rFonts w:ascii="Times New Roman" w:hAnsi="Times New Roman"/>
          <w:color w:val="000000" w:themeColor="text1"/>
          <w:sz w:val="22"/>
          <w:shd w:val="clear" w:color="auto" w:fill="FFFFFF"/>
        </w:rPr>
        <w:t xml:space="preserve">nstitutional </w:t>
      </w:r>
      <w:r>
        <w:rPr>
          <w:rFonts w:ascii="Times New Roman" w:hAnsi="Times New Roman" w:hint="eastAsia"/>
          <w:color w:val="000000" w:themeColor="text1"/>
          <w:sz w:val="22"/>
          <w:shd w:val="clear" w:color="auto" w:fill="FFFFFF"/>
        </w:rPr>
        <w:t>r</w:t>
      </w:r>
      <w:r>
        <w:rPr>
          <w:rFonts w:ascii="Times New Roman" w:hAnsi="Times New Roman"/>
          <w:color w:val="000000" w:themeColor="text1"/>
          <w:sz w:val="22"/>
          <w:shd w:val="clear" w:color="auto" w:fill="FFFFFF"/>
        </w:rPr>
        <w:t xml:space="preserve">eview </w:t>
      </w:r>
      <w:r>
        <w:rPr>
          <w:rFonts w:ascii="Times New Roman" w:hAnsi="Times New Roman" w:hint="eastAsia"/>
          <w:color w:val="000000" w:themeColor="text1"/>
          <w:sz w:val="22"/>
          <w:shd w:val="clear" w:color="auto" w:fill="FFFFFF"/>
        </w:rPr>
        <w:t>b</w:t>
      </w:r>
      <w:r>
        <w:rPr>
          <w:rFonts w:ascii="Times New Roman" w:hAnsi="Times New Roman"/>
          <w:color w:val="000000" w:themeColor="text1"/>
          <w:sz w:val="22"/>
          <w:shd w:val="clear" w:color="auto" w:fill="FFFFFF"/>
        </w:rPr>
        <w:t>oards.</w:t>
      </w:r>
      <w:r>
        <w:rPr>
          <w:rFonts w:ascii="Times New Roman" w:hAnsi="Times New Roman" w:hint="eastAsia"/>
          <w:color w:val="000000" w:themeColor="text1"/>
          <w:sz w:val="22"/>
          <w:shd w:val="clear" w:color="auto" w:fill="FFFFFF"/>
        </w:rPr>
        <w:t xml:space="preserve"> </w:t>
      </w:r>
    </w:p>
    <w:p w:rsidR="00EA0D74" w:rsidRDefault="00EA0D74">
      <w:pPr>
        <w:autoSpaceDE w:val="0"/>
        <w:autoSpaceDN w:val="0"/>
        <w:adjustRightInd w:val="0"/>
        <w:spacing w:line="360" w:lineRule="auto"/>
        <w:rPr>
          <w:rFonts w:ascii="Times New Roman" w:hAnsi="Times New Roman"/>
          <w:color w:val="000000" w:themeColor="text1"/>
          <w:sz w:val="22"/>
          <w:shd w:val="clear" w:color="auto" w:fill="FFFFFF"/>
        </w:rPr>
      </w:pPr>
    </w:p>
    <w:p w:rsidR="00EA0D74" w:rsidRDefault="00746ABF">
      <w:pPr>
        <w:spacing w:line="360" w:lineRule="auto"/>
        <w:rPr>
          <w:rFonts w:ascii="Times New Roman" w:hAnsi="Times New Roman"/>
          <w:b/>
          <w:color w:val="000000" w:themeColor="text1"/>
          <w:sz w:val="28"/>
          <w:szCs w:val="28"/>
        </w:rPr>
      </w:pPr>
      <w:r>
        <w:rPr>
          <w:rFonts w:ascii="Times New Roman" w:hAnsi="Times New Roman" w:hint="eastAsia"/>
          <w:b/>
          <w:color w:val="000000" w:themeColor="text1"/>
          <w:sz w:val="28"/>
          <w:szCs w:val="28"/>
        </w:rPr>
        <w:t>Supplementary results</w:t>
      </w:r>
    </w:p>
    <w:p w:rsidR="00EA0D74" w:rsidRDefault="00746ABF">
      <w:pPr>
        <w:adjustRightInd w:val="0"/>
        <w:spacing w:line="360" w:lineRule="auto"/>
        <w:rPr>
          <w:rFonts w:ascii="Times New Roman" w:hAnsi="Times New Roman"/>
          <w:b/>
          <w:sz w:val="23"/>
          <w:szCs w:val="23"/>
        </w:rPr>
      </w:pPr>
      <w:r>
        <w:rPr>
          <w:rFonts w:ascii="Times New Roman" w:hAnsi="Times New Roman"/>
          <w:b/>
          <w:sz w:val="23"/>
          <w:szCs w:val="23"/>
        </w:rPr>
        <w:t>Global signal</w:t>
      </w:r>
      <w:r>
        <w:rPr>
          <w:rFonts w:ascii="Times New Roman" w:hAnsi="Times New Roman" w:hint="eastAsia"/>
          <w:b/>
          <w:sz w:val="23"/>
          <w:szCs w:val="23"/>
        </w:rPr>
        <w:t xml:space="preserve"> regression</w:t>
      </w:r>
    </w:p>
    <w:p w:rsidR="00EA0D74" w:rsidRDefault="00746ABF">
      <w:pPr>
        <w:spacing w:line="360" w:lineRule="auto"/>
        <w:rPr>
          <w:rFonts w:ascii="Times New Roman" w:hAnsi="Times New Roman"/>
          <w:sz w:val="23"/>
          <w:szCs w:val="23"/>
        </w:rPr>
      </w:pPr>
      <w:bookmarkStart w:id="16" w:name="OLE_LINK9"/>
      <w:bookmarkStart w:id="17" w:name="OLE_LINK10"/>
      <w:r>
        <w:rPr>
          <w:rFonts w:ascii="Times New Roman" w:hAnsi="Times New Roman" w:hint="eastAsia"/>
          <w:sz w:val="23"/>
          <w:szCs w:val="23"/>
        </w:rPr>
        <w:t xml:space="preserve">Given recent studies found </w:t>
      </w:r>
      <w:r>
        <w:rPr>
          <w:rFonts w:ascii="Times New Roman" w:hAnsi="Times New Roman"/>
          <w:sz w:val="23"/>
          <w:szCs w:val="23"/>
        </w:rPr>
        <w:t xml:space="preserve">evidence of </w:t>
      </w:r>
      <w:r>
        <w:rPr>
          <w:rFonts w:ascii="Times New Roman" w:hAnsi="Times New Roman" w:hint="eastAsia"/>
          <w:sz w:val="23"/>
          <w:szCs w:val="23"/>
        </w:rPr>
        <w:t xml:space="preserve">altered </w:t>
      </w:r>
      <w:r>
        <w:rPr>
          <w:rFonts w:ascii="Times New Roman" w:hAnsi="Times New Roman"/>
          <w:sz w:val="23"/>
          <w:szCs w:val="23"/>
        </w:rPr>
        <w:t xml:space="preserve">global signal </w:t>
      </w:r>
      <w:r>
        <w:rPr>
          <w:rFonts w:ascii="Times New Roman" w:hAnsi="Times New Roman" w:hint="eastAsia"/>
          <w:sz w:val="23"/>
          <w:szCs w:val="23"/>
        </w:rPr>
        <w:t>in</w:t>
      </w:r>
      <w:r>
        <w:rPr>
          <w:rFonts w:ascii="Times New Roman" w:hAnsi="Times New Roman"/>
          <w:sz w:val="23"/>
          <w:szCs w:val="23"/>
        </w:rPr>
        <w:t xml:space="preserve"> schizophrenia patients</w:t>
      </w:r>
      <w:r>
        <w:rPr>
          <w:rFonts w:ascii="Times New Roman" w:hAnsi="Times New Roman" w:hint="eastAsia"/>
          <w:sz w:val="23"/>
          <w:szCs w:val="23"/>
        </w:rPr>
        <w:t>, s</w:t>
      </w:r>
      <w:r>
        <w:rPr>
          <w:rFonts w:ascii="Times New Roman" w:hAnsi="Times New Roman"/>
          <w:sz w:val="23"/>
          <w:szCs w:val="23"/>
        </w:rPr>
        <w:t xml:space="preserve">upporting the idea that the global signal contains </w:t>
      </w:r>
      <w:proofErr w:type="spellStart"/>
      <w:r>
        <w:rPr>
          <w:rFonts w:ascii="Times New Roman" w:hAnsi="Times New Roman"/>
          <w:sz w:val="23"/>
          <w:szCs w:val="23"/>
        </w:rPr>
        <w:t>pathophysiologically</w:t>
      </w:r>
      <w:proofErr w:type="spellEnd"/>
      <w:r>
        <w:rPr>
          <w:rFonts w:ascii="Times New Roman" w:hAnsi="Times New Roman"/>
          <w:sz w:val="23"/>
          <w:szCs w:val="23"/>
        </w:rPr>
        <w:t xml:space="preserve"> relevant information</w:t>
      </w:r>
      <w:r>
        <w:rPr>
          <w:rFonts w:ascii="Times New Roman" w:hAnsi="Times New Roman" w:hint="eastAsia"/>
          <w:sz w:val="23"/>
          <w:szCs w:val="23"/>
        </w:rPr>
        <w:t xml:space="preserve">, we did not performed </w:t>
      </w:r>
      <w:r>
        <w:rPr>
          <w:rFonts w:ascii="Times New Roman" w:hAnsi="Times New Roman"/>
          <w:sz w:val="23"/>
          <w:szCs w:val="23"/>
        </w:rPr>
        <w:t>global signal regression (GSR)</w:t>
      </w:r>
      <w:r>
        <w:rPr>
          <w:rFonts w:ascii="Times New Roman" w:hAnsi="Times New Roman" w:hint="eastAsia"/>
          <w:sz w:val="23"/>
          <w:szCs w:val="23"/>
        </w:rPr>
        <w:t xml:space="preserve"> in our main text. </w:t>
      </w:r>
      <w:bookmarkStart w:id="18" w:name="OLE_LINK5"/>
      <w:bookmarkStart w:id="19" w:name="OLE_LINK6"/>
      <w:r>
        <w:rPr>
          <w:rFonts w:ascii="Times New Roman" w:hAnsi="Times New Roman" w:hint="eastAsia"/>
          <w:sz w:val="23"/>
          <w:szCs w:val="23"/>
        </w:rPr>
        <w:t>However, currently</w:t>
      </w:r>
      <w:r>
        <w:rPr>
          <w:rFonts w:ascii="Times New Roman" w:hAnsi="Times New Roman"/>
          <w:sz w:val="23"/>
          <w:szCs w:val="23"/>
        </w:rPr>
        <w:t xml:space="preserve"> there is no consensus in the </w:t>
      </w:r>
      <w:r>
        <w:rPr>
          <w:rFonts w:ascii="Times New Roman" w:hAnsi="Times New Roman" w:hint="eastAsia"/>
          <w:sz w:val="23"/>
          <w:szCs w:val="23"/>
        </w:rPr>
        <w:t xml:space="preserve">neuroimaging </w:t>
      </w:r>
      <w:r>
        <w:rPr>
          <w:rFonts w:ascii="Times New Roman" w:hAnsi="Times New Roman"/>
          <w:sz w:val="23"/>
          <w:szCs w:val="23"/>
        </w:rPr>
        <w:t xml:space="preserve">field </w:t>
      </w:r>
      <w:r>
        <w:rPr>
          <w:rFonts w:ascii="Times New Roman" w:hAnsi="Times New Roman" w:hint="eastAsia"/>
          <w:sz w:val="23"/>
          <w:szCs w:val="23"/>
        </w:rPr>
        <w:t>whether to</w:t>
      </w:r>
      <w:r>
        <w:rPr>
          <w:rFonts w:ascii="Times New Roman" w:hAnsi="Times New Roman"/>
          <w:sz w:val="23"/>
          <w:szCs w:val="23"/>
        </w:rPr>
        <w:t xml:space="preserve"> </w:t>
      </w:r>
      <w:r>
        <w:rPr>
          <w:rFonts w:ascii="Times New Roman" w:hAnsi="Times New Roman" w:hint="eastAsia"/>
          <w:sz w:val="23"/>
          <w:szCs w:val="23"/>
        </w:rPr>
        <w:t xml:space="preserve">do GSR </w:t>
      </w:r>
      <w:r>
        <w:rPr>
          <w:rFonts w:ascii="Times New Roman" w:hAnsi="Times New Roman"/>
          <w:sz w:val="23"/>
          <w:szCs w:val="23"/>
        </w:rPr>
        <w:t xml:space="preserve">when computing </w:t>
      </w:r>
      <w:r>
        <w:rPr>
          <w:rFonts w:ascii="Times New Roman" w:hAnsi="Times New Roman" w:hint="eastAsia"/>
          <w:sz w:val="23"/>
          <w:szCs w:val="23"/>
        </w:rPr>
        <w:t xml:space="preserve">functional </w:t>
      </w:r>
      <w:r>
        <w:rPr>
          <w:rFonts w:ascii="Times New Roman" w:hAnsi="Times New Roman"/>
          <w:sz w:val="23"/>
          <w:szCs w:val="23"/>
        </w:rPr>
        <w:t>connectivity.</w:t>
      </w:r>
      <w:bookmarkEnd w:id="18"/>
      <w:bookmarkEnd w:id="19"/>
      <w:r>
        <w:rPr>
          <w:rFonts w:ascii="Times New Roman" w:hAnsi="Times New Roman" w:hint="eastAsia"/>
          <w:sz w:val="23"/>
          <w:szCs w:val="23"/>
        </w:rPr>
        <w:t xml:space="preserve"> </w:t>
      </w:r>
      <w:bookmarkStart w:id="20" w:name="OLE_LINK7"/>
      <w:bookmarkStart w:id="21" w:name="OLE_LINK8"/>
      <w:r>
        <w:rPr>
          <w:rFonts w:ascii="Times New Roman" w:hAnsi="Times New Roman" w:hint="eastAsia"/>
          <w:sz w:val="23"/>
          <w:szCs w:val="23"/>
        </w:rPr>
        <w:t xml:space="preserve">To investigate the potential effects of GSR on our findings, </w:t>
      </w:r>
      <w:r w:rsidR="002841A0" w:rsidRPr="002841A0">
        <w:rPr>
          <w:rFonts w:ascii="Times New Roman" w:hAnsi="Times New Roman"/>
          <w:sz w:val="23"/>
          <w:szCs w:val="23"/>
        </w:rPr>
        <w:t xml:space="preserve">we repeated core analyses (gradient and SFC) with GSR, which does not significantly affect the trends of overall results (Figure S2-3), although increased SFC degree was found between unimodal seeds and </w:t>
      </w:r>
      <w:proofErr w:type="spellStart"/>
      <w:r w:rsidR="002841A0" w:rsidRPr="002841A0">
        <w:rPr>
          <w:rFonts w:ascii="Times New Roman" w:hAnsi="Times New Roman"/>
          <w:sz w:val="23"/>
          <w:szCs w:val="23"/>
        </w:rPr>
        <w:t>frontoparietal</w:t>
      </w:r>
      <w:proofErr w:type="spellEnd"/>
      <w:r w:rsidR="002841A0" w:rsidRPr="002841A0">
        <w:rPr>
          <w:rFonts w:ascii="Times New Roman" w:hAnsi="Times New Roman"/>
          <w:sz w:val="23"/>
          <w:szCs w:val="23"/>
        </w:rPr>
        <w:t xml:space="preserve"> regions, i.e., middle / superior frontal gyrus, inferior parietal lobule, </w:t>
      </w:r>
      <w:proofErr w:type="spellStart"/>
      <w:r w:rsidR="002841A0" w:rsidRPr="002841A0">
        <w:rPr>
          <w:rFonts w:ascii="Times New Roman" w:hAnsi="Times New Roman"/>
          <w:sz w:val="23"/>
          <w:szCs w:val="23"/>
        </w:rPr>
        <w:t>supramarginal</w:t>
      </w:r>
      <w:proofErr w:type="spellEnd"/>
      <w:r w:rsidR="002841A0" w:rsidRPr="002841A0">
        <w:rPr>
          <w:rFonts w:ascii="Times New Roman" w:hAnsi="Times New Roman"/>
          <w:sz w:val="23"/>
          <w:szCs w:val="23"/>
        </w:rPr>
        <w:t xml:space="preserve"> gyrus, and dorsal </w:t>
      </w:r>
      <w:proofErr w:type="spellStart"/>
      <w:r w:rsidR="002841A0" w:rsidRPr="002841A0">
        <w:rPr>
          <w:rFonts w:ascii="Times New Roman" w:hAnsi="Times New Roman"/>
          <w:sz w:val="23"/>
          <w:szCs w:val="23"/>
        </w:rPr>
        <w:t>precuneus</w:t>
      </w:r>
      <w:proofErr w:type="spellEnd"/>
      <w:r w:rsidR="002841A0" w:rsidRPr="002841A0">
        <w:rPr>
          <w:rFonts w:ascii="Times New Roman" w:hAnsi="Times New Roman"/>
          <w:sz w:val="23"/>
          <w:szCs w:val="23"/>
        </w:rPr>
        <w:t xml:space="preserve">), and ventral attention regions (dorsal anterior cingulate cortex and bilateral anterior insular cortex / central </w:t>
      </w:r>
      <w:proofErr w:type="spellStart"/>
      <w:r w:rsidR="002841A0" w:rsidRPr="002841A0">
        <w:rPr>
          <w:rFonts w:ascii="Times New Roman" w:hAnsi="Times New Roman"/>
          <w:sz w:val="23"/>
          <w:szCs w:val="23"/>
        </w:rPr>
        <w:t>opercular</w:t>
      </w:r>
      <w:proofErr w:type="spellEnd"/>
      <w:r w:rsidR="002841A0" w:rsidRPr="002841A0">
        <w:rPr>
          <w:rFonts w:ascii="Times New Roman" w:hAnsi="Times New Roman"/>
          <w:sz w:val="23"/>
          <w:szCs w:val="23"/>
        </w:rPr>
        <w:t xml:space="preserve"> cortex) at all link-step distances (Step1 to 7). These differences were only found at early and medium link-step distances (Step1 to 4) without conducting GSR. Overall, the relatively consistent results with and without GSR could indicate the observed main findings reflected the reliable pathophysiologic mechanism of schizophrenia.</w:t>
      </w:r>
      <w:bookmarkEnd w:id="16"/>
      <w:bookmarkEnd w:id="17"/>
      <w:bookmarkEnd w:id="20"/>
      <w:bookmarkEnd w:id="21"/>
      <w:r>
        <w:rPr>
          <w:rFonts w:ascii="Times New Roman" w:hAnsi="Times New Roman" w:hint="eastAsia"/>
          <w:sz w:val="23"/>
          <w:szCs w:val="23"/>
        </w:rPr>
        <w:t xml:space="preserve"> </w:t>
      </w:r>
    </w:p>
    <w:p w:rsidR="00EA0D74" w:rsidRDefault="00746ABF">
      <w:pPr>
        <w:spacing w:line="360" w:lineRule="auto"/>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Control </w:t>
      </w:r>
      <w:r>
        <w:rPr>
          <w:rFonts w:ascii="Times New Roman" w:hAnsi="Times New Roman" w:hint="eastAsia"/>
          <w:color w:val="000000" w:themeColor="text1"/>
          <w:sz w:val="28"/>
          <w:szCs w:val="28"/>
          <w:shd w:val="clear" w:color="auto" w:fill="FFFFFF"/>
        </w:rPr>
        <w:t>analyses</w:t>
      </w:r>
    </w:p>
    <w:p w:rsidR="00EA0D74" w:rsidRDefault="00746ABF">
      <w:pPr>
        <w:spacing w:line="360" w:lineRule="auto"/>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 xml:space="preserve">We summarize </w:t>
      </w:r>
      <w:r>
        <w:rPr>
          <w:rFonts w:ascii="Times New Roman" w:hAnsi="Times New Roman" w:cs="Times New Roman" w:hint="eastAsia"/>
          <w:color w:val="000000" w:themeColor="text1"/>
          <w:kern w:val="0"/>
          <w:sz w:val="22"/>
        </w:rPr>
        <w:t>three</w:t>
      </w:r>
      <w:r>
        <w:rPr>
          <w:rFonts w:ascii="Times New Roman" w:hAnsi="Times New Roman" w:cs="Times New Roman"/>
          <w:color w:val="000000" w:themeColor="text1"/>
          <w:kern w:val="0"/>
          <w:sz w:val="22"/>
        </w:rPr>
        <w:t xml:space="preserve"> analyses that ensured robustness of</w:t>
      </w:r>
      <w:r>
        <w:rPr>
          <w:rFonts w:ascii="Times New Roman" w:hAnsi="Times New Roman" w:cs="Times New Roman" w:hint="eastAsia"/>
          <w:color w:val="000000" w:themeColor="text1"/>
          <w:kern w:val="0"/>
          <w:sz w:val="22"/>
        </w:rPr>
        <w:t xml:space="preserve"> results. GSR</w:t>
      </w:r>
      <w:r>
        <w:rPr>
          <w:rFonts w:ascii="Times New Roman" w:hAnsi="Times New Roman" w:cs="Times New Roman"/>
          <w:color w:val="000000" w:themeColor="text1"/>
          <w:kern w:val="0"/>
          <w:sz w:val="22"/>
        </w:rPr>
        <w:t xml:space="preserve"> d</w:t>
      </w:r>
      <w:r>
        <w:rPr>
          <w:rFonts w:ascii="Times New Roman" w:hAnsi="Times New Roman" w:cs="Times New Roman" w:hint="eastAsia"/>
          <w:color w:val="000000" w:themeColor="text1"/>
          <w:kern w:val="0"/>
          <w:sz w:val="22"/>
        </w:rPr>
        <w:t>id</w:t>
      </w:r>
      <w:r>
        <w:rPr>
          <w:rFonts w:ascii="Times New Roman" w:hAnsi="Times New Roman" w:cs="Times New Roman"/>
          <w:color w:val="000000" w:themeColor="text1"/>
          <w:kern w:val="0"/>
          <w:sz w:val="22"/>
        </w:rPr>
        <w:t xml:space="preserve"> not significantly affect trends of overall results</w:t>
      </w:r>
      <w:r>
        <w:rPr>
          <w:rFonts w:ascii="Times New Roman" w:hAnsi="Times New Roman" w:cs="Times New Roman" w:hint="eastAsia"/>
          <w:color w:val="000000" w:themeColor="text1"/>
          <w:kern w:val="0"/>
          <w:sz w:val="22"/>
        </w:rPr>
        <w:t xml:space="preserve"> (gradient and SFC analyses)</w:t>
      </w:r>
      <w:proofErr w:type="gramStart"/>
      <w:r>
        <w:rPr>
          <w:rFonts w:ascii="Times New Roman" w:hAnsi="Times New Roman" w:cs="Times New Roman"/>
          <w:color w:val="000000" w:themeColor="text1"/>
          <w:kern w:val="0"/>
          <w:sz w:val="22"/>
        </w:rPr>
        <w:t>..</w:t>
      </w:r>
      <w:proofErr w:type="gramEnd"/>
      <w:r>
        <w:rPr>
          <w:rFonts w:ascii="Times New Roman" w:hAnsi="Times New Roman" w:cs="Times New Roman" w:hint="eastAsia"/>
          <w:color w:val="000000" w:themeColor="text1"/>
          <w:kern w:val="0"/>
          <w:sz w:val="22"/>
        </w:rPr>
        <w:t xml:space="preserve"> T</w:t>
      </w:r>
      <w:r>
        <w:rPr>
          <w:rFonts w:ascii="Times New Roman" w:hAnsi="Times New Roman" w:cs="Times New Roman"/>
          <w:color w:val="000000" w:themeColor="text1"/>
          <w:kern w:val="0"/>
          <w:sz w:val="22"/>
        </w:rPr>
        <w:t>he relatively consistent results between without GSR and with GSR indicated the observed main findings reflected the reliable pathophysiolog</w:t>
      </w:r>
      <w:r>
        <w:rPr>
          <w:rFonts w:ascii="Times New Roman" w:hAnsi="Times New Roman" w:cs="Times New Roman" w:hint="eastAsia"/>
          <w:color w:val="000000" w:themeColor="text1"/>
          <w:kern w:val="0"/>
          <w:sz w:val="22"/>
        </w:rPr>
        <w:t>y</w:t>
      </w:r>
      <w:r>
        <w:rPr>
          <w:rFonts w:ascii="Times New Roman" w:hAnsi="Times New Roman" w:cs="Times New Roman"/>
          <w:color w:val="000000" w:themeColor="text1"/>
          <w:kern w:val="0"/>
          <w:sz w:val="22"/>
        </w:rPr>
        <w:t xml:space="preserve"> of schizophrenia.</w:t>
      </w:r>
      <w:r>
        <w:rPr>
          <w:rFonts w:ascii="Times New Roman" w:hAnsi="Times New Roman" w:cs="Times New Roman" w:hint="eastAsia"/>
          <w:color w:val="000000" w:themeColor="text1"/>
          <w:kern w:val="0"/>
          <w:sz w:val="22"/>
        </w:rPr>
        <w:t xml:space="preserve"> </w:t>
      </w:r>
      <w:r>
        <w:rPr>
          <w:rFonts w:ascii="Times New Roman" w:hAnsi="Times New Roman" w:hint="eastAsia"/>
          <w:color w:val="000000" w:themeColor="text1"/>
          <w:sz w:val="22"/>
        </w:rPr>
        <w:t xml:space="preserve">Second, </w:t>
      </w:r>
      <w:r>
        <w:rPr>
          <w:rFonts w:ascii="Times New Roman" w:hAnsi="Times New Roman" w:cs="Times New Roman"/>
          <w:color w:val="000000" w:themeColor="text1"/>
          <w:kern w:val="0"/>
          <w:sz w:val="22"/>
        </w:rPr>
        <w:t xml:space="preserve">we found that </w:t>
      </w:r>
      <w:r>
        <w:rPr>
          <w:rFonts w:ascii="Times New Roman" w:hAnsi="Times New Roman" w:cs="Times New Roman" w:hint="eastAsia"/>
          <w:color w:val="000000" w:themeColor="text1"/>
          <w:kern w:val="0"/>
          <w:sz w:val="22"/>
        </w:rPr>
        <w:t>FD</w:t>
      </w:r>
      <w:r>
        <w:rPr>
          <w:rFonts w:ascii="Times New Roman" w:hAnsi="Times New Roman" w:cs="Times New Roman"/>
          <w:color w:val="000000" w:themeColor="text1"/>
          <w:kern w:val="0"/>
          <w:sz w:val="22"/>
        </w:rPr>
        <w:t xml:space="preserve"> was not associated with altered </w:t>
      </w:r>
      <w:r>
        <w:rPr>
          <w:rFonts w:ascii="Times New Roman" w:hAnsi="Times New Roman" w:cs="Times New Roman" w:hint="eastAsia"/>
          <w:color w:val="000000" w:themeColor="text1"/>
          <w:kern w:val="0"/>
          <w:sz w:val="22"/>
        </w:rPr>
        <w:t xml:space="preserve">gradient and SFC degree scores </w:t>
      </w:r>
      <w:r>
        <w:rPr>
          <w:rFonts w:ascii="Times New Roman" w:hAnsi="Times New Roman" w:cs="Times New Roman"/>
          <w:color w:val="000000" w:themeColor="text1"/>
          <w:kern w:val="0"/>
          <w:sz w:val="22"/>
        </w:rPr>
        <w:t>(</w:t>
      </w:r>
      <w:r>
        <w:rPr>
          <w:rFonts w:ascii="Times New Roman" w:hAnsi="Times New Roman" w:cs="Times New Roman" w:hint="eastAsia"/>
          <w:color w:val="000000" w:themeColor="text1"/>
          <w:kern w:val="0"/>
          <w:sz w:val="22"/>
        </w:rPr>
        <w:t>all p value</w:t>
      </w:r>
      <w:r>
        <w:rPr>
          <w:rFonts w:ascii="Times New Roman" w:hAnsi="Times New Roman" w:cs="Times New Roman"/>
          <w:color w:val="000000" w:themeColor="text1"/>
          <w:kern w:val="0"/>
          <w:sz w:val="22"/>
        </w:rPr>
        <w:t>s in this analysis were</w:t>
      </w:r>
      <w:r>
        <w:rPr>
          <w:rFonts w:ascii="Times New Roman" w:hAnsi="Times New Roman" w:cs="Times New Roman" w:hint="eastAsia"/>
          <w:color w:val="000000" w:themeColor="text1"/>
          <w:kern w:val="0"/>
          <w:sz w:val="22"/>
        </w:rPr>
        <w:t xml:space="preserve"> larger than 0.05</w:t>
      </w:r>
      <w:r>
        <w:rPr>
          <w:rFonts w:ascii="Times New Roman" w:hAnsi="Times New Roman" w:cs="Times New Roman"/>
          <w:color w:val="000000" w:themeColor="text1"/>
          <w:kern w:val="0"/>
          <w:sz w:val="22"/>
        </w:rPr>
        <w:t>), indicating that</w:t>
      </w:r>
      <w:r>
        <w:rPr>
          <w:rFonts w:ascii="Times New Roman" w:hAnsi="Times New Roman" w:cs="Times New Roman" w:hint="eastAsia"/>
          <w:color w:val="000000" w:themeColor="text1"/>
          <w:kern w:val="0"/>
          <w:sz w:val="22"/>
        </w:rPr>
        <w:t xml:space="preserve"> </w:t>
      </w:r>
      <w:r>
        <w:rPr>
          <w:rFonts w:ascii="Times New Roman" w:hAnsi="Times New Roman" w:cs="Times New Roman"/>
          <w:color w:val="000000" w:themeColor="text1"/>
          <w:kern w:val="0"/>
          <w:sz w:val="22"/>
        </w:rPr>
        <w:t xml:space="preserve">group differences reported here are rather unlikely to be driven by </w:t>
      </w:r>
      <w:r>
        <w:rPr>
          <w:rFonts w:ascii="Times New Roman" w:hAnsi="Times New Roman" w:cs="Times New Roman" w:hint="eastAsia"/>
          <w:color w:val="000000" w:themeColor="text1"/>
          <w:kern w:val="0"/>
          <w:sz w:val="22"/>
        </w:rPr>
        <w:t>head motion. Similarly, C</w:t>
      </w:r>
      <w:r>
        <w:rPr>
          <w:rFonts w:ascii="Times New Roman" w:hAnsi="Times New Roman" w:cs="Times New Roman"/>
          <w:color w:val="000000" w:themeColor="text1"/>
          <w:kern w:val="0"/>
          <w:sz w:val="22"/>
        </w:rPr>
        <w:t>hlorpromazine equivalents were not associated with</w:t>
      </w:r>
      <w:r>
        <w:rPr>
          <w:rFonts w:ascii="Times New Roman" w:hAnsi="Times New Roman" w:cs="Times New Roman" w:hint="eastAsia"/>
          <w:color w:val="000000" w:themeColor="text1"/>
          <w:kern w:val="0"/>
          <w:sz w:val="22"/>
        </w:rPr>
        <w:t xml:space="preserve"> an </w:t>
      </w:r>
      <w:r>
        <w:rPr>
          <w:rFonts w:ascii="Times New Roman" w:hAnsi="Times New Roman" w:cs="Times New Roman"/>
          <w:color w:val="000000" w:themeColor="text1"/>
          <w:kern w:val="0"/>
          <w:sz w:val="22"/>
        </w:rPr>
        <w:t xml:space="preserve">altered </w:t>
      </w:r>
      <w:r>
        <w:rPr>
          <w:rFonts w:ascii="Times New Roman" w:hAnsi="Times New Roman" w:cs="Times New Roman" w:hint="eastAsia"/>
          <w:color w:val="000000" w:themeColor="text1"/>
          <w:kern w:val="0"/>
          <w:sz w:val="22"/>
        </w:rPr>
        <w:t>gradient and SFC</w:t>
      </w:r>
      <w:r>
        <w:rPr>
          <w:rFonts w:ascii="Times New Roman" w:hAnsi="Times New Roman" w:cs="Times New Roman"/>
          <w:color w:val="000000" w:themeColor="text1"/>
          <w:kern w:val="0"/>
          <w:sz w:val="22"/>
        </w:rPr>
        <w:t xml:space="preserve"> </w:t>
      </w:r>
      <w:r>
        <w:rPr>
          <w:rFonts w:ascii="Times New Roman" w:hAnsi="Times New Roman" w:cs="Times New Roman" w:hint="eastAsia"/>
          <w:color w:val="000000" w:themeColor="text1"/>
          <w:kern w:val="0"/>
          <w:sz w:val="22"/>
        </w:rPr>
        <w:t>degree</w:t>
      </w:r>
      <w:r>
        <w:rPr>
          <w:rFonts w:ascii="Times New Roman" w:hAnsi="Times New Roman" w:cs="Times New Roman"/>
          <w:color w:val="000000" w:themeColor="text1"/>
          <w:kern w:val="0"/>
          <w:sz w:val="22"/>
        </w:rPr>
        <w:t xml:space="preserve"> (all p &gt;0.1)</w:t>
      </w:r>
      <w:r>
        <w:rPr>
          <w:rFonts w:ascii="Times New Roman" w:hAnsi="Times New Roman" w:cs="Times New Roman" w:hint="eastAsia"/>
          <w:color w:val="000000" w:themeColor="text1"/>
          <w:kern w:val="0"/>
          <w:sz w:val="22"/>
        </w:rPr>
        <w:t xml:space="preserve">, </w:t>
      </w:r>
      <w:r>
        <w:rPr>
          <w:rFonts w:ascii="Times New Roman" w:hAnsi="Times New Roman" w:cs="Times New Roman"/>
          <w:color w:val="000000" w:themeColor="text1"/>
          <w:kern w:val="0"/>
          <w:sz w:val="22"/>
        </w:rPr>
        <w:t>suggesting that these changes are unlikely to be mainly driven by medication.</w:t>
      </w:r>
    </w:p>
    <w:p w:rsidR="00EA0D74" w:rsidRDefault="00EA0D74"/>
    <w:p w:rsidR="00EA0D74" w:rsidRDefault="00746ABF">
      <w:pPr>
        <w:rPr>
          <w:rFonts w:ascii="Times New Roman" w:hAnsi="Times New Roman"/>
          <w:sz w:val="23"/>
          <w:szCs w:val="23"/>
        </w:rPr>
      </w:pPr>
      <w:r>
        <w:rPr>
          <w:rFonts w:ascii="Times New Roman" w:hAnsi="Times New Roman" w:hint="eastAsia"/>
          <w:sz w:val="23"/>
          <w:szCs w:val="23"/>
        </w:rPr>
        <w:lastRenderedPageBreak/>
        <w:t>References</w:t>
      </w:r>
    </w:p>
    <w:p w:rsidR="00EA0D74" w:rsidRDefault="00EA0D74"/>
    <w:p w:rsidR="00EA0D74" w:rsidRDefault="00746ABF">
      <w:pPr>
        <w:autoSpaceDE w:val="0"/>
        <w:autoSpaceDN w:val="0"/>
        <w:adjustRightInd w:val="0"/>
        <w:ind w:left="480" w:hanging="480"/>
        <w:jc w:val="left"/>
        <w:rPr>
          <w:rFonts w:ascii="Calibri" w:hAnsi="Calibri" w:cs="Calibri"/>
          <w:kern w:val="0"/>
          <w:sz w:val="20"/>
          <w:szCs w:val="24"/>
        </w:rPr>
      </w:pPr>
      <w:r>
        <w:fldChar w:fldCharType="begin" w:fldLock="1"/>
      </w:r>
      <w:r>
        <w:instrText xml:space="preserve">ADDIN Mendeley Bibliography CSL_BIBLIOGRAPHY </w:instrText>
      </w:r>
      <w:r>
        <w:fldChar w:fldCharType="separate"/>
      </w:r>
      <w:r>
        <w:rPr>
          <w:rFonts w:ascii="Calibri" w:hAnsi="Calibri" w:cs="Calibri"/>
          <w:kern w:val="0"/>
          <w:sz w:val="20"/>
          <w:szCs w:val="24"/>
        </w:rPr>
        <w:t xml:space="preserve">Behzadi, Y., Restom, K., Liau, J., &amp; Liu, T. T. (2007). A component based noise correction method (CompCor) for BOLD and perfusion based fMRI. </w:t>
      </w:r>
      <w:r>
        <w:rPr>
          <w:rFonts w:ascii="Calibri" w:hAnsi="Calibri" w:cs="Calibri"/>
          <w:i/>
          <w:iCs/>
          <w:kern w:val="0"/>
          <w:sz w:val="20"/>
          <w:szCs w:val="24"/>
        </w:rPr>
        <w:t>NeuroImage</w:t>
      </w:r>
      <w:r>
        <w:rPr>
          <w:rFonts w:ascii="Calibri" w:hAnsi="Calibri" w:cs="Calibri"/>
          <w:kern w:val="0"/>
          <w:sz w:val="20"/>
          <w:szCs w:val="24"/>
        </w:rPr>
        <w:t xml:space="preserve">, </w:t>
      </w:r>
      <w:r>
        <w:rPr>
          <w:rFonts w:ascii="Calibri" w:hAnsi="Calibri" w:cs="Calibri"/>
          <w:i/>
          <w:iCs/>
          <w:kern w:val="0"/>
          <w:sz w:val="20"/>
          <w:szCs w:val="24"/>
        </w:rPr>
        <w:t>37</w:t>
      </w:r>
      <w:r>
        <w:rPr>
          <w:rFonts w:ascii="Calibri" w:hAnsi="Calibri" w:cs="Calibri"/>
          <w:kern w:val="0"/>
          <w:sz w:val="20"/>
          <w:szCs w:val="24"/>
        </w:rPr>
        <w:t>(1), 90–101. https://doi.org/10.1016/j.neuroimage.2007.04.042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Buckner, R. L., Sepulcre, J., Talukdar, T., Krienen, F. M., Liu, H., Hedden, T., … Johnson, K. A. (2009). Cortical hubs revealed by intrinsic functional connectivity: Mapping, assessment of stability, and relation to Alzheimer’s disease. </w:t>
      </w:r>
      <w:r>
        <w:rPr>
          <w:rFonts w:ascii="Calibri" w:hAnsi="Calibri" w:cs="Calibri"/>
          <w:i/>
          <w:iCs/>
          <w:kern w:val="0"/>
          <w:sz w:val="20"/>
          <w:szCs w:val="24"/>
        </w:rPr>
        <w:t>Journal of Neuroscience</w:t>
      </w:r>
      <w:r>
        <w:rPr>
          <w:rFonts w:ascii="Calibri" w:hAnsi="Calibri" w:cs="Calibri"/>
          <w:kern w:val="0"/>
          <w:sz w:val="20"/>
          <w:szCs w:val="24"/>
        </w:rPr>
        <w:t xml:space="preserve">, </w:t>
      </w:r>
      <w:r>
        <w:rPr>
          <w:rFonts w:ascii="Calibri" w:hAnsi="Calibri" w:cs="Calibri"/>
          <w:i/>
          <w:iCs/>
          <w:kern w:val="0"/>
          <w:sz w:val="20"/>
          <w:szCs w:val="24"/>
        </w:rPr>
        <w:t>29</w:t>
      </w:r>
      <w:r>
        <w:rPr>
          <w:rFonts w:ascii="Calibri" w:hAnsi="Calibri" w:cs="Calibri"/>
          <w:kern w:val="0"/>
          <w:sz w:val="20"/>
          <w:szCs w:val="24"/>
        </w:rPr>
        <w:t>(6), 1860–1873. https://doi.org/10.1523/JNEUROSCI.5062-08.2009</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Coifman, R. R., Lafon, S., Lee, A. B., Maggioni, M., Nadler, B., Warner, F., &amp; Zucker, S. W. (2005). Geometric diffusions as a tool for harmonic analysis and structure definition of data: Multiscale methods. </w:t>
      </w:r>
      <w:r>
        <w:rPr>
          <w:rFonts w:ascii="Calibri" w:hAnsi="Calibri" w:cs="Calibri"/>
          <w:i/>
          <w:iCs/>
          <w:kern w:val="0"/>
          <w:sz w:val="20"/>
          <w:szCs w:val="24"/>
        </w:rPr>
        <w:t>Proceedings of the National Academy of Sciences of the United States of America</w:t>
      </w:r>
      <w:r>
        <w:rPr>
          <w:rFonts w:ascii="Calibri" w:hAnsi="Calibri" w:cs="Calibri"/>
          <w:kern w:val="0"/>
          <w:sz w:val="20"/>
          <w:szCs w:val="24"/>
        </w:rPr>
        <w:t xml:space="preserve">, </w:t>
      </w:r>
      <w:r>
        <w:rPr>
          <w:rFonts w:ascii="Calibri" w:hAnsi="Calibri" w:cs="Calibri"/>
          <w:i/>
          <w:iCs/>
          <w:kern w:val="0"/>
          <w:sz w:val="20"/>
          <w:szCs w:val="24"/>
        </w:rPr>
        <w:t>102</w:t>
      </w:r>
      <w:r>
        <w:rPr>
          <w:rFonts w:ascii="Calibri" w:hAnsi="Calibri" w:cs="Calibri"/>
          <w:kern w:val="0"/>
          <w:sz w:val="20"/>
          <w:szCs w:val="24"/>
        </w:rPr>
        <w:t>(21), 7432–7437.</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Dong, D., Duan, M., Wang, Y., Zhang, X., Jia, X., Li, Y., … Luo, C. (2018). Reconfiguration of Dynamic Functional Connectivity in Sensory and Perceptual System in Schizophrenia. </w:t>
      </w:r>
      <w:r>
        <w:rPr>
          <w:rFonts w:ascii="Calibri" w:hAnsi="Calibri" w:cs="Calibri"/>
          <w:i/>
          <w:iCs/>
          <w:kern w:val="0"/>
          <w:sz w:val="20"/>
          <w:szCs w:val="24"/>
        </w:rPr>
        <w:t>Cerebral Cortex</w:t>
      </w:r>
      <w:r>
        <w:rPr>
          <w:rFonts w:ascii="Calibri" w:hAnsi="Calibri" w:cs="Calibri"/>
          <w:kern w:val="0"/>
          <w:sz w:val="20"/>
          <w:szCs w:val="24"/>
        </w:rPr>
        <w:t>, 1–13. https://doi.org/10.1093/cercor/bhy232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Dong, D., Luo, C., Guell, X., Wang, Y., He, H., Duan, M., &amp; Eickhoff, S. B. (2020). Compression of Cerebellar Functional Gradients in Schizophrenia Debo. </w:t>
      </w:r>
      <w:r>
        <w:rPr>
          <w:rFonts w:ascii="Calibri" w:hAnsi="Calibri" w:cs="Calibri"/>
          <w:i/>
          <w:iCs/>
          <w:kern w:val="0"/>
          <w:sz w:val="20"/>
          <w:szCs w:val="24"/>
        </w:rPr>
        <w:t>Schizophrenia Bulletin</w:t>
      </w:r>
      <w:r>
        <w:rPr>
          <w:rFonts w:ascii="Calibri" w:hAnsi="Calibri" w:cs="Calibri"/>
          <w:kern w:val="0"/>
          <w:sz w:val="20"/>
          <w:szCs w:val="24"/>
        </w:rPr>
        <w:t>, 1–14. https://doi.org/10.1093/schbul/sbaa016</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Friston, K. J., Williams, S., Howard, R., &amp; Frackowiak, R. S. J. (1996). Movement Related Effects In FMRI. </w:t>
      </w:r>
      <w:r>
        <w:rPr>
          <w:rFonts w:ascii="Calibri" w:hAnsi="Calibri" w:cs="Calibri"/>
          <w:i/>
          <w:iCs/>
          <w:kern w:val="0"/>
          <w:sz w:val="20"/>
          <w:szCs w:val="24"/>
        </w:rPr>
        <w:t>Magnetic Resonance in Medicine</w:t>
      </w:r>
      <w:r>
        <w:rPr>
          <w:rFonts w:ascii="Calibri" w:hAnsi="Calibri" w:cs="Calibri"/>
          <w:kern w:val="0"/>
          <w:sz w:val="20"/>
          <w:szCs w:val="24"/>
        </w:rPr>
        <w:t xml:space="preserve">, </w:t>
      </w:r>
      <w:r>
        <w:rPr>
          <w:rFonts w:ascii="Calibri" w:hAnsi="Calibri" w:cs="Calibri"/>
          <w:i/>
          <w:iCs/>
          <w:kern w:val="0"/>
          <w:sz w:val="20"/>
          <w:szCs w:val="24"/>
        </w:rPr>
        <w:t>3</w:t>
      </w:r>
      <w:r>
        <w:rPr>
          <w:rFonts w:ascii="Calibri" w:hAnsi="Calibri" w:cs="Calibri"/>
          <w:kern w:val="0"/>
          <w:sz w:val="20"/>
          <w:szCs w:val="24"/>
        </w:rPr>
        <w:t>(35), 346–355.</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Guell, X., Schmahmann, J. D., Gabrieli, J. DE, &amp; Ghosh, S. S. (2018). Functional gradients of the cerebellum. </w:t>
      </w:r>
      <w:r>
        <w:rPr>
          <w:rFonts w:ascii="Calibri" w:hAnsi="Calibri" w:cs="Calibri"/>
          <w:i/>
          <w:iCs/>
          <w:kern w:val="0"/>
          <w:sz w:val="20"/>
          <w:szCs w:val="24"/>
        </w:rPr>
        <w:t>ELife</w:t>
      </w:r>
      <w:r>
        <w:rPr>
          <w:rFonts w:ascii="Calibri" w:hAnsi="Calibri" w:cs="Calibri"/>
          <w:kern w:val="0"/>
          <w:sz w:val="20"/>
          <w:szCs w:val="24"/>
        </w:rPr>
        <w:t xml:space="preserve">, </w:t>
      </w:r>
      <w:r>
        <w:rPr>
          <w:rFonts w:ascii="Calibri" w:hAnsi="Calibri" w:cs="Calibri"/>
          <w:i/>
          <w:iCs/>
          <w:kern w:val="0"/>
          <w:sz w:val="20"/>
          <w:szCs w:val="24"/>
        </w:rPr>
        <w:t>7</w:t>
      </w:r>
      <w:r>
        <w:rPr>
          <w:rFonts w:ascii="Calibri" w:hAnsi="Calibri" w:cs="Calibri"/>
          <w:kern w:val="0"/>
          <w:sz w:val="20"/>
          <w:szCs w:val="24"/>
        </w:rPr>
        <w:t>, 1–22. https://doi.org/10.7554/elife.36652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Hahamy, A., Calhoun, V., Pearlson, G., Harel, M., Stern, N., Attar, F., … Salomon, R. (2014). Save the Global: Global Signal Connectivity as a Tool for Studying Clinical Populations with Functional Magnetic Resonance Imaging. </w:t>
      </w:r>
      <w:r>
        <w:rPr>
          <w:rFonts w:ascii="Calibri" w:hAnsi="Calibri" w:cs="Calibri"/>
          <w:i/>
          <w:iCs/>
          <w:kern w:val="0"/>
          <w:sz w:val="20"/>
          <w:szCs w:val="24"/>
        </w:rPr>
        <w:t>Brain Connectivity</w:t>
      </w:r>
      <w:r>
        <w:rPr>
          <w:rFonts w:ascii="Calibri" w:hAnsi="Calibri" w:cs="Calibri"/>
          <w:kern w:val="0"/>
          <w:sz w:val="20"/>
          <w:szCs w:val="24"/>
        </w:rPr>
        <w:t xml:space="preserve">, </w:t>
      </w:r>
      <w:r>
        <w:rPr>
          <w:rFonts w:ascii="Calibri" w:hAnsi="Calibri" w:cs="Calibri"/>
          <w:i/>
          <w:iCs/>
          <w:kern w:val="0"/>
          <w:sz w:val="20"/>
          <w:szCs w:val="24"/>
        </w:rPr>
        <w:t>4</w:t>
      </w:r>
      <w:r>
        <w:rPr>
          <w:rFonts w:ascii="Calibri" w:hAnsi="Calibri" w:cs="Calibri"/>
          <w:kern w:val="0"/>
          <w:sz w:val="20"/>
          <w:szCs w:val="24"/>
        </w:rPr>
        <w:t>(6), 395–403. https://doi.org/10.1089/brain.2014.0244</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Hong, S. J., de Wael, R. V., Bethlehem, R. A. I., Lariviere, S., Paquola, C., Valk, S. L., … Bernhardt, B. C. (2019). Atypical functional connectome hierarchy in autism. </w:t>
      </w:r>
      <w:r>
        <w:rPr>
          <w:rFonts w:ascii="Calibri" w:hAnsi="Calibri" w:cs="Calibri"/>
          <w:i/>
          <w:iCs/>
          <w:kern w:val="0"/>
          <w:sz w:val="20"/>
          <w:szCs w:val="24"/>
        </w:rPr>
        <w:t>Nature Communications</w:t>
      </w:r>
      <w:r>
        <w:rPr>
          <w:rFonts w:ascii="Calibri" w:hAnsi="Calibri" w:cs="Calibri"/>
          <w:kern w:val="0"/>
          <w:sz w:val="20"/>
          <w:szCs w:val="24"/>
        </w:rPr>
        <w:t xml:space="preserve">, </w:t>
      </w:r>
      <w:r>
        <w:rPr>
          <w:rFonts w:ascii="Calibri" w:hAnsi="Calibri" w:cs="Calibri"/>
          <w:i/>
          <w:iCs/>
          <w:kern w:val="0"/>
          <w:sz w:val="20"/>
          <w:szCs w:val="24"/>
        </w:rPr>
        <w:t>10</w:t>
      </w:r>
      <w:r>
        <w:rPr>
          <w:rFonts w:ascii="Calibri" w:hAnsi="Calibri" w:cs="Calibri"/>
          <w:kern w:val="0"/>
          <w:sz w:val="20"/>
          <w:szCs w:val="24"/>
        </w:rPr>
        <w:t>(1), 1–13. https://doi.org/10.1038/s41467-019-08944-1</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Javitt, D. C. (2009). Sensory processing in schizophrenia: Neither simple nor intact. </w:t>
      </w:r>
      <w:r>
        <w:rPr>
          <w:rFonts w:ascii="Calibri" w:hAnsi="Calibri" w:cs="Calibri"/>
          <w:i/>
          <w:iCs/>
          <w:kern w:val="0"/>
          <w:sz w:val="20"/>
          <w:szCs w:val="24"/>
        </w:rPr>
        <w:t>Schizophrenia Bulletin</w:t>
      </w:r>
      <w:r>
        <w:rPr>
          <w:rFonts w:ascii="Calibri" w:hAnsi="Calibri" w:cs="Calibri"/>
          <w:kern w:val="0"/>
          <w:sz w:val="20"/>
          <w:szCs w:val="24"/>
        </w:rPr>
        <w:t xml:space="preserve">, </w:t>
      </w:r>
      <w:r>
        <w:rPr>
          <w:rFonts w:ascii="Calibri" w:hAnsi="Calibri" w:cs="Calibri"/>
          <w:i/>
          <w:iCs/>
          <w:kern w:val="0"/>
          <w:sz w:val="20"/>
          <w:szCs w:val="24"/>
        </w:rPr>
        <w:t>35</w:t>
      </w:r>
      <w:r>
        <w:rPr>
          <w:rFonts w:ascii="Calibri" w:hAnsi="Calibri" w:cs="Calibri"/>
          <w:kern w:val="0"/>
          <w:sz w:val="20"/>
          <w:szCs w:val="24"/>
        </w:rPr>
        <w:t>(6), 1059–1064. https://doi.org/10.1093/schbul/sbp110</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Javitt, D. C., &amp; Freedman, R. (2015). Sensory processing dysfunction in the personal experience and neuronal machinery of schizophrenia. </w:t>
      </w:r>
      <w:r>
        <w:rPr>
          <w:rFonts w:ascii="Calibri" w:hAnsi="Calibri" w:cs="Calibri"/>
          <w:i/>
          <w:iCs/>
          <w:kern w:val="0"/>
          <w:sz w:val="20"/>
          <w:szCs w:val="24"/>
        </w:rPr>
        <w:t>American Journal of Psychiatry</w:t>
      </w:r>
      <w:r>
        <w:rPr>
          <w:rFonts w:ascii="Calibri" w:hAnsi="Calibri" w:cs="Calibri"/>
          <w:kern w:val="0"/>
          <w:sz w:val="20"/>
          <w:szCs w:val="24"/>
        </w:rPr>
        <w:t xml:space="preserve">, </w:t>
      </w:r>
      <w:r>
        <w:rPr>
          <w:rFonts w:ascii="Calibri" w:hAnsi="Calibri" w:cs="Calibri"/>
          <w:i/>
          <w:iCs/>
          <w:kern w:val="0"/>
          <w:sz w:val="20"/>
          <w:szCs w:val="24"/>
        </w:rPr>
        <w:t>172</w:t>
      </w:r>
      <w:r>
        <w:rPr>
          <w:rFonts w:ascii="Calibri" w:hAnsi="Calibri" w:cs="Calibri"/>
          <w:kern w:val="0"/>
          <w:sz w:val="20"/>
          <w:szCs w:val="24"/>
        </w:rPr>
        <w:t>(1), 17–31. https://doi.org/10.1176/appi.ajp.2014.13121691</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Langs, G., Golland, P., &amp; Ghosh, S. S. (2015). Predicting Activation Across Individuals with Resting-State Functional Connectivity Based Multi-Atlas Label Fusion. </w:t>
      </w:r>
      <w:r>
        <w:rPr>
          <w:rFonts w:ascii="Calibri" w:hAnsi="Calibri" w:cs="Calibri"/>
          <w:i/>
          <w:iCs/>
          <w:kern w:val="0"/>
          <w:sz w:val="20"/>
          <w:szCs w:val="24"/>
        </w:rPr>
        <w:t>Med Image Comput Comput Assist Interv.</w:t>
      </w:r>
      <w:r>
        <w:rPr>
          <w:rFonts w:ascii="Calibri" w:hAnsi="Calibri" w:cs="Calibri"/>
          <w:kern w:val="0"/>
          <w:sz w:val="20"/>
          <w:szCs w:val="24"/>
        </w:rPr>
        <w:t>, 313–320. https://doi.org/10.1007/978-3-319-24571-3_38</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Margulies, D. S., Ghosh, S. S., Goulas, A., Falkiewicz, M., Huntenburg, J. M., Langs, G., … Smallwood, J. (2016). Situating the default-mode network along a principal gradient of macroscale cortical organization. </w:t>
      </w:r>
      <w:r>
        <w:rPr>
          <w:rFonts w:ascii="Calibri" w:hAnsi="Calibri" w:cs="Calibri"/>
          <w:i/>
          <w:iCs/>
          <w:kern w:val="0"/>
          <w:sz w:val="20"/>
          <w:szCs w:val="24"/>
        </w:rPr>
        <w:t>Proceedings of the National Academy of Sciences</w:t>
      </w:r>
      <w:r>
        <w:rPr>
          <w:rFonts w:ascii="Calibri" w:hAnsi="Calibri" w:cs="Calibri"/>
          <w:kern w:val="0"/>
          <w:sz w:val="20"/>
          <w:szCs w:val="24"/>
        </w:rPr>
        <w:t xml:space="preserve">, </w:t>
      </w:r>
      <w:r>
        <w:rPr>
          <w:rFonts w:ascii="Calibri" w:hAnsi="Calibri" w:cs="Calibri"/>
          <w:i/>
          <w:iCs/>
          <w:kern w:val="0"/>
          <w:sz w:val="20"/>
          <w:szCs w:val="24"/>
        </w:rPr>
        <w:t>113</w:t>
      </w:r>
      <w:r>
        <w:rPr>
          <w:rFonts w:ascii="Calibri" w:hAnsi="Calibri" w:cs="Calibri"/>
          <w:kern w:val="0"/>
          <w:sz w:val="20"/>
          <w:szCs w:val="24"/>
        </w:rPr>
        <w:t>(44), 12574–12579. https://doi.org/10.1073/pnas.1608282113</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Martínez, K., Martínez-garcía, M., Marcos-vidal, L., Janssen, J., Castellanos, F. X., Pretus, C., … Carmona, S. (2019). Sensory-to-Cognitive Systems Integration Is Associated With Clinical Severity in Autism Spectrum Disorder. </w:t>
      </w:r>
      <w:r>
        <w:rPr>
          <w:rFonts w:ascii="Calibri" w:hAnsi="Calibri" w:cs="Calibri"/>
          <w:i/>
          <w:iCs/>
          <w:kern w:val="0"/>
          <w:sz w:val="20"/>
          <w:szCs w:val="24"/>
        </w:rPr>
        <w:t>Journal of the American Academy of Child &amp; Adolescent Psychiatry</w:t>
      </w:r>
      <w:r>
        <w:rPr>
          <w:rFonts w:ascii="Calibri" w:hAnsi="Calibri" w:cs="Calibri"/>
          <w:kern w:val="0"/>
          <w:sz w:val="20"/>
          <w:szCs w:val="24"/>
        </w:rPr>
        <w:t>. https://doi.org/10.1016/j.jaac.2019.05.033</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Patel, A. X., Kundu, P., Rubinov, M., Jones, P. S., Vértes, P. E., Ersche, K. D., … Bullmore, E. T. (2014). A wavelet method for modeling and despiking motion artifacts from resting-state fMRI time series. </w:t>
      </w:r>
      <w:r>
        <w:rPr>
          <w:rFonts w:ascii="Calibri" w:hAnsi="Calibri" w:cs="Calibri"/>
          <w:i/>
          <w:iCs/>
          <w:kern w:val="0"/>
          <w:sz w:val="20"/>
          <w:szCs w:val="24"/>
        </w:rPr>
        <w:t>NeuroImage</w:t>
      </w:r>
      <w:r>
        <w:rPr>
          <w:rFonts w:ascii="Calibri" w:hAnsi="Calibri" w:cs="Calibri"/>
          <w:kern w:val="0"/>
          <w:sz w:val="20"/>
          <w:szCs w:val="24"/>
        </w:rPr>
        <w:t xml:space="preserve">, </w:t>
      </w:r>
      <w:r>
        <w:rPr>
          <w:rFonts w:ascii="Calibri" w:hAnsi="Calibri" w:cs="Calibri"/>
          <w:i/>
          <w:iCs/>
          <w:kern w:val="0"/>
          <w:sz w:val="20"/>
          <w:szCs w:val="24"/>
        </w:rPr>
        <w:t>95</w:t>
      </w:r>
      <w:r>
        <w:rPr>
          <w:rFonts w:ascii="Calibri" w:hAnsi="Calibri" w:cs="Calibri"/>
          <w:kern w:val="0"/>
          <w:sz w:val="20"/>
          <w:szCs w:val="24"/>
        </w:rPr>
        <w:t>, 287–304. https://doi.org/10.1016/j.neuroimage.2014.03.012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Power, J. D., Barnes, K. A., Snyder, A. Z., Schlaggar, B. L., &amp; Petersen, S. E. (2012). Spurious but systematic correlations in functional connectivity MRI networks arise from subject motion. </w:t>
      </w:r>
      <w:r>
        <w:rPr>
          <w:rFonts w:ascii="Calibri" w:hAnsi="Calibri" w:cs="Calibri"/>
          <w:i/>
          <w:iCs/>
          <w:kern w:val="0"/>
          <w:sz w:val="20"/>
          <w:szCs w:val="24"/>
        </w:rPr>
        <w:t>NeuroImage</w:t>
      </w:r>
      <w:r>
        <w:rPr>
          <w:rFonts w:ascii="Calibri" w:hAnsi="Calibri" w:cs="Calibri"/>
          <w:kern w:val="0"/>
          <w:sz w:val="20"/>
          <w:szCs w:val="24"/>
        </w:rPr>
        <w:t xml:space="preserve">, </w:t>
      </w:r>
      <w:r>
        <w:rPr>
          <w:rFonts w:ascii="Calibri" w:hAnsi="Calibri" w:cs="Calibri"/>
          <w:i/>
          <w:iCs/>
          <w:kern w:val="0"/>
          <w:sz w:val="20"/>
          <w:szCs w:val="24"/>
        </w:rPr>
        <w:t>59</w:t>
      </w:r>
      <w:r>
        <w:rPr>
          <w:rFonts w:ascii="Calibri" w:hAnsi="Calibri" w:cs="Calibri"/>
          <w:kern w:val="0"/>
          <w:sz w:val="20"/>
          <w:szCs w:val="24"/>
        </w:rPr>
        <w:t>(3), 2142–2154. https://doi.org/10.1016/j.neuroimage.2011.10.018</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Saad, Z. S., Gotts, S. J., Murphy, K., Chen, G., jo, H. J., Martin, A., &amp; Cox, R. W. (2012). Trouble at Rest: How Correlation Patterns and Group Differences Become Distorted After Global Signal Regression. </w:t>
      </w:r>
      <w:r>
        <w:rPr>
          <w:rFonts w:ascii="Calibri" w:hAnsi="Calibri" w:cs="Calibri"/>
          <w:i/>
          <w:iCs/>
          <w:kern w:val="0"/>
          <w:sz w:val="20"/>
          <w:szCs w:val="24"/>
        </w:rPr>
        <w:t>Brain Connectivity</w:t>
      </w:r>
      <w:r>
        <w:rPr>
          <w:rFonts w:ascii="Calibri" w:hAnsi="Calibri" w:cs="Calibri"/>
          <w:kern w:val="0"/>
          <w:sz w:val="20"/>
          <w:szCs w:val="24"/>
        </w:rPr>
        <w:t xml:space="preserve">, </w:t>
      </w:r>
      <w:r>
        <w:rPr>
          <w:rFonts w:ascii="Calibri" w:hAnsi="Calibri" w:cs="Calibri"/>
          <w:i/>
          <w:iCs/>
          <w:kern w:val="0"/>
          <w:sz w:val="20"/>
          <w:szCs w:val="24"/>
        </w:rPr>
        <w:t>2</w:t>
      </w:r>
      <w:r>
        <w:rPr>
          <w:rFonts w:ascii="Calibri" w:hAnsi="Calibri" w:cs="Calibri"/>
          <w:kern w:val="0"/>
          <w:sz w:val="20"/>
          <w:szCs w:val="24"/>
        </w:rPr>
        <w:t>(1), 25–32. https://doi.org/10.1089/brain.2012.0080</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Satterthwaite, T. D., Elliott, M. A., Gerraty, R. T., Ruparel, K., Loughead, J., Calkins, M. E., … Wolf, D. H. (2013). An improved framework for confound regression and filtering for control of motion artifact in the preprocessing of resting-state functional connectivity data. </w:t>
      </w:r>
      <w:r>
        <w:rPr>
          <w:rFonts w:ascii="Calibri" w:hAnsi="Calibri" w:cs="Calibri"/>
          <w:i/>
          <w:iCs/>
          <w:kern w:val="0"/>
          <w:sz w:val="20"/>
          <w:szCs w:val="24"/>
        </w:rPr>
        <w:t>NeuroImage</w:t>
      </w:r>
      <w:r>
        <w:rPr>
          <w:rFonts w:ascii="Calibri" w:hAnsi="Calibri" w:cs="Calibri"/>
          <w:kern w:val="0"/>
          <w:sz w:val="20"/>
          <w:szCs w:val="24"/>
        </w:rPr>
        <w:t xml:space="preserve">, </w:t>
      </w:r>
      <w:r>
        <w:rPr>
          <w:rFonts w:ascii="Calibri" w:hAnsi="Calibri" w:cs="Calibri"/>
          <w:i/>
          <w:iCs/>
          <w:kern w:val="0"/>
          <w:sz w:val="20"/>
          <w:szCs w:val="24"/>
        </w:rPr>
        <w:t>64</w:t>
      </w:r>
      <w:r>
        <w:rPr>
          <w:rFonts w:ascii="Calibri" w:hAnsi="Calibri" w:cs="Calibri"/>
          <w:kern w:val="0"/>
          <w:sz w:val="20"/>
          <w:szCs w:val="24"/>
        </w:rPr>
        <w:t>(1), 240–256. https://doi.org/10.1016/j.neuroimage.2012.08.052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Sepulcre, J. (2014). Functional streams and cortical integration in the human brain. </w:t>
      </w:r>
      <w:r>
        <w:rPr>
          <w:rFonts w:ascii="Calibri" w:hAnsi="Calibri" w:cs="Calibri"/>
          <w:i/>
          <w:iCs/>
          <w:kern w:val="0"/>
          <w:sz w:val="20"/>
          <w:szCs w:val="24"/>
        </w:rPr>
        <w:t>Neuroscientist</w:t>
      </w:r>
      <w:r>
        <w:rPr>
          <w:rFonts w:ascii="Calibri" w:hAnsi="Calibri" w:cs="Calibri"/>
          <w:kern w:val="0"/>
          <w:sz w:val="20"/>
          <w:szCs w:val="24"/>
        </w:rPr>
        <w:t xml:space="preserve">, </w:t>
      </w:r>
      <w:r>
        <w:rPr>
          <w:rFonts w:ascii="Calibri" w:hAnsi="Calibri" w:cs="Calibri"/>
          <w:i/>
          <w:iCs/>
          <w:kern w:val="0"/>
          <w:sz w:val="20"/>
          <w:szCs w:val="24"/>
        </w:rPr>
        <w:t>20</w:t>
      </w:r>
      <w:r>
        <w:rPr>
          <w:rFonts w:ascii="Calibri" w:hAnsi="Calibri" w:cs="Calibri"/>
          <w:kern w:val="0"/>
          <w:sz w:val="20"/>
          <w:szCs w:val="24"/>
        </w:rPr>
        <w:t xml:space="preserve">(5), 499–508. </w:t>
      </w:r>
      <w:r>
        <w:rPr>
          <w:rFonts w:ascii="Calibri" w:hAnsi="Calibri" w:cs="Calibri"/>
          <w:kern w:val="0"/>
          <w:sz w:val="20"/>
          <w:szCs w:val="24"/>
        </w:rPr>
        <w:lastRenderedPageBreak/>
        <w:t>https://doi.org/10.1177/1073858414531657</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Sepulcre, J., Sabuncu, M. R., Yeo, T. B., Liu, H., &amp; Johnson, K. A. (2012). Stepwise connectivity of the modal cortex reveals the multimodal organization of the human brain. </w:t>
      </w:r>
      <w:r>
        <w:rPr>
          <w:rFonts w:ascii="Calibri" w:hAnsi="Calibri" w:cs="Calibri"/>
          <w:i/>
          <w:iCs/>
          <w:kern w:val="0"/>
          <w:sz w:val="20"/>
          <w:szCs w:val="24"/>
        </w:rPr>
        <w:t>Journal of Neuroscience</w:t>
      </w:r>
      <w:r>
        <w:rPr>
          <w:rFonts w:ascii="Calibri" w:hAnsi="Calibri" w:cs="Calibri"/>
          <w:kern w:val="0"/>
          <w:sz w:val="20"/>
          <w:szCs w:val="24"/>
        </w:rPr>
        <w:t xml:space="preserve">, </w:t>
      </w:r>
      <w:r>
        <w:rPr>
          <w:rFonts w:ascii="Calibri" w:hAnsi="Calibri" w:cs="Calibri"/>
          <w:i/>
          <w:iCs/>
          <w:kern w:val="0"/>
          <w:sz w:val="20"/>
          <w:szCs w:val="24"/>
        </w:rPr>
        <w:t>32</w:t>
      </w:r>
      <w:r>
        <w:rPr>
          <w:rFonts w:ascii="Calibri" w:hAnsi="Calibri" w:cs="Calibri"/>
          <w:kern w:val="0"/>
          <w:sz w:val="20"/>
          <w:szCs w:val="24"/>
        </w:rPr>
        <w:t>(31), 10649–10661. https://doi.org/10.1523/JNEUROSCI.0759-12.2012</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Vos De Wael, R., Larivière, S., Caldairou, B., Hong, S. J., Margulies, D. S., Jefferies, E., … Bernhardt, B. C. (2018). Anatomical and microstructural determinants of hippocampal subfield functional connectome embedding. </w:t>
      </w:r>
      <w:r>
        <w:rPr>
          <w:rFonts w:ascii="Calibri" w:hAnsi="Calibri" w:cs="Calibri"/>
          <w:i/>
          <w:iCs/>
          <w:kern w:val="0"/>
          <w:sz w:val="20"/>
          <w:szCs w:val="24"/>
        </w:rPr>
        <w:t>Proceedings of the National Academy of Sciences of the United States of America</w:t>
      </w:r>
      <w:r>
        <w:rPr>
          <w:rFonts w:ascii="Calibri" w:hAnsi="Calibri" w:cs="Calibri"/>
          <w:kern w:val="0"/>
          <w:sz w:val="20"/>
          <w:szCs w:val="24"/>
        </w:rPr>
        <w:t xml:space="preserve">, </w:t>
      </w:r>
      <w:r>
        <w:rPr>
          <w:rFonts w:ascii="Calibri" w:hAnsi="Calibri" w:cs="Calibri"/>
          <w:i/>
          <w:iCs/>
          <w:kern w:val="0"/>
          <w:sz w:val="20"/>
          <w:szCs w:val="24"/>
        </w:rPr>
        <w:t>115</w:t>
      </w:r>
      <w:r>
        <w:rPr>
          <w:rFonts w:ascii="Calibri" w:hAnsi="Calibri" w:cs="Calibri"/>
          <w:kern w:val="0"/>
          <w:sz w:val="20"/>
          <w:szCs w:val="24"/>
        </w:rPr>
        <w:t>(40), 10154–10159. https://doi.org/10.1073/pnas.1803667115</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Wael, R. V. de, Benkarim, O., Paquola, C., Lariviere, S., Royer, J., Tavakol, S., … Bernhardt, B. C. (2020). BrainSpace: a toolbox for the analysis of macroscale gradients in neuroimaging and connectomics datasets. </w:t>
      </w:r>
      <w:r>
        <w:rPr>
          <w:rFonts w:ascii="Calibri" w:hAnsi="Calibri" w:cs="Calibri"/>
          <w:i/>
          <w:iCs/>
          <w:kern w:val="0"/>
          <w:sz w:val="20"/>
          <w:szCs w:val="24"/>
        </w:rPr>
        <w:t>Communications Biology</w:t>
      </w:r>
      <w:r>
        <w:rPr>
          <w:rFonts w:ascii="Calibri" w:hAnsi="Calibri" w:cs="Calibri"/>
          <w:kern w:val="0"/>
          <w:sz w:val="20"/>
          <w:szCs w:val="24"/>
        </w:rPr>
        <w:t xml:space="preserve">, </w:t>
      </w:r>
      <w:r>
        <w:rPr>
          <w:rFonts w:ascii="Calibri" w:hAnsi="Calibri" w:cs="Calibri"/>
          <w:i/>
          <w:iCs/>
          <w:kern w:val="0"/>
          <w:sz w:val="20"/>
          <w:szCs w:val="24"/>
        </w:rPr>
        <w:t>3</w:t>
      </w:r>
      <w:r>
        <w:rPr>
          <w:rFonts w:ascii="Calibri" w:hAnsi="Calibri" w:cs="Calibri"/>
          <w:kern w:val="0"/>
          <w:sz w:val="20"/>
          <w:szCs w:val="24"/>
        </w:rPr>
        <w:t>, 1–10.</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Xia, M., Wang, J., &amp; He, Y. (2013). BrainNet Viewer: A Network Visualization Tool for Human Brain Connectomics. </w:t>
      </w:r>
      <w:r>
        <w:rPr>
          <w:rFonts w:ascii="Calibri" w:hAnsi="Calibri" w:cs="Calibri"/>
          <w:i/>
          <w:iCs/>
          <w:kern w:val="0"/>
          <w:sz w:val="20"/>
          <w:szCs w:val="24"/>
        </w:rPr>
        <w:t>PLoS ONE</w:t>
      </w:r>
      <w:r>
        <w:rPr>
          <w:rFonts w:ascii="Calibri" w:hAnsi="Calibri" w:cs="Calibri"/>
          <w:kern w:val="0"/>
          <w:sz w:val="20"/>
          <w:szCs w:val="24"/>
        </w:rPr>
        <w:t xml:space="preserve">, </w:t>
      </w:r>
      <w:r>
        <w:rPr>
          <w:rFonts w:ascii="Calibri" w:hAnsi="Calibri" w:cs="Calibri"/>
          <w:i/>
          <w:iCs/>
          <w:kern w:val="0"/>
          <w:sz w:val="20"/>
          <w:szCs w:val="24"/>
        </w:rPr>
        <w:t>8</w:t>
      </w:r>
      <w:r>
        <w:rPr>
          <w:rFonts w:ascii="Calibri" w:hAnsi="Calibri" w:cs="Calibri"/>
          <w:kern w:val="0"/>
          <w:sz w:val="20"/>
          <w:szCs w:val="24"/>
        </w:rPr>
        <w:t>(7). https://doi.org/10.1371/journal.pone.0068910</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Yan, C. G., Cheung, B., Kelly, C., Colcombe, S., Craddock, R. C., Di Martino, A., … Milham, M. P. (2013). A comprehensive assessment of regional variation in the impact of head micromovements on functional connectomics. </w:t>
      </w:r>
      <w:r>
        <w:rPr>
          <w:rFonts w:ascii="Calibri" w:hAnsi="Calibri" w:cs="Calibri"/>
          <w:i/>
          <w:iCs/>
          <w:kern w:val="0"/>
          <w:sz w:val="20"/>
          <w:szCs w:val="24"/>
        </w:rPr>
        <w:t>NeuroImage</w:t>
      </w:r>
      <w:r>
        <w:rPr>
          <w:rFonts w:ascii="Calibri" w:hAnsi="Calibri" w:cs="Calibri"/>
          <w:kern w:val="0"/>
          <w:sz w:val="20"/>
          <w:szCs w:val="24"/>
        </w:rPr>
        <w:t xml:space="preserve">, </w:t>
      </w:r>
      <w:r>
        <w:rPr>
          <w:rFonts w:ascii="Calibri" w:hAnsi="Calibri" w:cs="Calibri"/>
          <w:i/>
          <w:iCs/>
          <w:kern w:val="0"/>
          <w:sz w:val="20"/>
          <w:szCs w:val="24"/>
        </w:rPr>
        <w:t>76</w:t>
      </w:r>
      <w:r>
        <w:rPr>
          <w:rFonts w:ascii="Calibri" w:hAnsi="Calibri" w:cs="Calibri"/>
          <w:kern w:val="0"/>
          <w:sz w:val="20"/>
          <w:szCs w:val="24"/>
        </w:rPr>
        <w:t>, 183–201. https://doi.org/10.1016/j.neuroimage.2013.03.004</w:t>
      </w:r>
    </w:p>
    <w:p w:rsidR="00EA0D74" w:rsidRDefault="00746ABF">
      <w:pPr>
        <w:autoSpaceDE w:val="0"/>
        <w:autoSpaceDN w:val="0"/>
        <w:adjustRightInd w:val="0"/>
        <w:ind w:left="480" w:hanging="480"/>
        <w:jc w:val="left"/>
        <w:rPr>
          <w:rFonts w:ascii="Calibri" w:hAnsi="Calibri" w:cs="Calibri"/>
          <w:kern w:val="0"/>
          <w:sz w:val="20"/>
          <w:szCs w:val="24"/>
        </w:rPr>
      </w:pPr>
      <w:r>
        <w:rPr>
          <w:rFonts w:ascii="Calibri" w:hAnsi="Calibri" w:cs="Calibri"/>
          <w:kern w:val="0"/>
          <w:sz w:val="20"/>
          <w:szCs w:val="24"/>
        </w:rPr>
        <w:t xml:space="preserve">Yan, C. G., Wang, X. Di, Zuo, X. N., &amp; Zang, Y. F. (2016). DPABI: Data Processing &amp; Analysis for (Resting-State) Brain Imaging. </w:t>
      </w:r>
      <w:r>
        <w:rPr>
          <w:rFonts w:ascii="Calibri" w:hAnsi="Calibri" w:cs="Calibri"/>
          <w:i/>
          <w:iCs/>
          <w:kern w:val="0"/>
          <w:sz w:val="20"/>
          <w:szCs w:val="24"/>
        </w:rPr>
        <w:t>Neuroinformatics</w:t>
      </w:r>
      <w:r>
        <w:rPr>
          <w:rFonts w:ascii="Calibri" w:hAnsi="Calibri" w:cs="Calibri"/>
          <w:kern w:val="0"/>
          <w:sz w:val="20"/>
          <w:szCs w:val="24"/>
        </w:rPr>
        <w:t xml:space="preserve">, </w:t>
      </w:r>
      <w:r>
        <w:rPr>
          <w:rFonts w:ascii="Calibri" w:hAnsi="Calibri" w:cs="Calibri"/>
          <w:i/>
          <w:iCs/>
          <w:kern w:val="0"/>
          <w:sz w:val="20"/>
          <w:szCs w:val="24"/>
        </w:rPr>
        <w:t>14</w:t>
      </w:r>
      <w:r>
        <w:rPr>
          <w:rFonts w:ascii="Calibri" w:hAnsi="Calibri" w:cs="Calibri"/>
          <w:kern w:val="0"/>
          <w:sz w:val="20"/>
          <w:szCs w:val="24"/>
        </w:rPr>
        <w:t>(3), 339–351. https://doi.org/10.1007/s12021-016-9299-4</w:t>
      </w:r>
    </w:p>
    <w:p w:rsidR="00EA0D74" w:rsidRDefault="00746ABF">
      <w:pPr>
        <w:autoSpaceDE w:val="0"/>
        <w:autoSpaceDN w:val="0"/>
        <w:adjustRightInd w:val="0"/>
        <w:ind w:left="480" w:hanging="480"/>
        <w:jc w:val="left"/>
        <w:rPr>
          <w:rFonts w:ascii="Calibri" w:hAnsi="Calibri" w:cs="Calibri"/>
          <w:sz w:val="20"/>
        </w:rPr>
      </w:pPr>
      <w:r>
        <w:rPr>
          <w:rFonts w:ascii="Calibri" w:hAnsi="Calibri" w:cs="Calibri"/>
          <w:kern w:val="0"/>
          <w:sz w:val="20"/>
          <w:szCs w:val="24"/>
        </w:rPr>
        <w:t xml:space="preserve">Yang, G. J., Murray, J. D., Repovs, G., Cole, M. W., Savic, A., Glasser, M. F., … Anticevic, A. (2014). Altered global brain signal in schizophrenia. </w:t>
      </w:r>
      <w:r>
        <w:rPr>
          <w:rFonts w:ascii="Calibri" w:hAnsi="Calibri" w:cs="Calibri"/>
          <w:i/>
          <w:iCs/>
          <w:kern w:val="0"/>
          <w:sz w:val="20"/>
          <w:szCs w:val="24"/>
        </w:rPr>
        <w:t>Proceedings of the National Academy of Sciences of the United States of America</w:t>
      </w:r>
      <w:r>
        <w:rPr>
          <w:rFonts w:ascii="Calibri" w:hAnsi="Calibri" w:cs="Calibri"/>
          <w:kern w:val="0"/>
          <w:sz w:val="20"/>
          <w:szCs w:val="24"/>
        </w:rPr>
        <w:t xml:space="preserve">, </w:t>
      </w:r>
      <w:r>
        <w:rPr>
          <w:rFonts w:ascii="Calibri" w:hAnsi="Calibri" w:cs="Calibri"/>
          <w:i/>
          <w:iCs/>
          <w:kern w:val="0"/>
          <w:sz w:val="20"/>
          <w:szCs w:val="24"/>
        </w:rPr>
        <w:t>111</w:t>
      </w:r>
      <w:r>
        <w:rPr>
          <w:rFonts w:ascii="Calibri" w:hAnsi="Calibri" w:cs="Calibri"/>
          <w:kern w:val="0"/>
          <w:sz w:val="20"/>
          <w:szCs w:val="24"/>
        </w:rPr>
        <w:t>(20), 7438–7443. https://doi.org/10.1073/pnas.1405289111</w:t>
      </w:r>
    </w:p>
    <w:p w:rsidR="004D6E06" w:rsidRPr="004D6E06" w:rsidRDefault="00746ABF" w:rsidP="004D6E06">
      <w:pPr>
        <w:pStyle w:val="EndNoteBibliography"/>
        <w:ind w:left="720" w:hanging="720"/>
      </w:pPr>
      <w:r>
        <w:fldChar w:fldCharType="end"/>
      </w:r>
      <w:r w:rsidR="004D6E06">
        <w:fldChar w:fldCharType="begin"/>
      </w:r>
      <w:r w:rsidR="004D6E06">
        <w:instrText xml:space="preserve"> ADDIN EN.REFLIST </w:instrText>
      </w:r>
      <w:r w:rsidR="004D6E06">
        <w:fldChar w:fldCharType="separate"/>
      </w:r>
      <w:r w:rsidR="004D6E06" w:rsidRPr="004D6E06">
        <w:t xml:space="preserve">Yeo, B. T., Krienen, F. M., Sepulcre, J., Sabuncu, M. R., Lashkari, D., Hollinshead, M., . . . Polimeni, J. R. (2011). The organization of the human cerebral cortex estimated by intrinsic functional connectivity. </w:t>
      </w:r>
      <w:r w:rsidR="004D6E06" w:rsidRPr="004D6E06">
        <w:rPr>
          <w:i/>
        </w:rPr>
        <w:t>Journal of neurophysiology, 106</w:t>
      </w:r>
      <w:r w:rsidR="004D6E06" w:rsidRPr="004D6E06">
        <w:t>(3), 1125-1165</w:t>
      </w:r>
    </w:p>
    <w:p w:rsidR="004D6E06" w:rsidRPr="004D6E06" w:rsidRDefault="004D6E06" w:rsidP="004D6E06">
      <w:pPr>
        <w:pStyle w:val="EndNoteBibliography"/>
        <w:ind w:left="720" w:hanging="720"/>
      </w:pPr>
      <w:r w:rsidRPr="004D6E06">
        <w:t>doi:10.1152/jn.00338.2011</w:t>
      </w:r>
    </w:p>
    <w:p w:rsidR="00EA0D74" w:rsidRDefault="004D6E06" w:rsidP="004D6E06">
      <w:pPr>
        <w:autoSpaceDE w:val="0"/>
        <w:autoSpaceDN w:val="0"/>
        <w:adjustRightInd w:val="0"/>
        <w:ind w:left="480" w:hanging="480"/>
        <w:jc w:val="left"/>
      </w:pPr>
      <w:r>
        <w:fldChar w:fldCharType="end"/>
      </w:r>
    </w:p>
    <w:p w:rsidR="00EA0D74" w:rsidRDefault="00EA0D74"/>
    <w:p w:rsidR="00EA0D74" w:rsidRDefault="00EA0D74"/>
    <w:p w:rsidR="00EA0D74" w:rsidRDefault="00746ABF">
      <w:r>
        <w:br w:type="page"/>
      </w:r>
    </w:p>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Pr>
          <w:rFonts w:ascii="Times New Roman" w:hAnsi="Times New Roman" w:cs="Times New Roman" w:hint="eastAsia"/>
          <w:b/>
          <w:sz w:val="24"/>
          <w:szCs w:val="24"/>
        </w:rPr>
        <w:t>S1</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Group </w:t>
      </w:r>
      <w:r>
        <w:rPr>
          <w:rFonts w:ascii="Times New Roman" w:hAnsi="Times New Roman" w:cs="Times New Roman"/>
          <w:b/>
          <w:sz w:val="24"/>
          <w:szCs w:val="24"/>
        </w:rPr>
        <w:t xml:space="preserve">differences in </w:t>
      </w:r>
      <w:r>
        <w:rPr>
          <w:rFonts w:ascii="Times New Roman" w:hAnsi="Times New Roman" w:cs="Times New Roman" w:hint="eastAsia"/>
          <w:b/>
          <w:sz w:val="24"/>
          <w:szCs w:val="24"/>
        </w:rPr>
        <w:t>degree of stepwise functional connectivity</w:t>
      </w:r>
    </w:p>
    <w:tbl>
      <w:tblPr>
        <w:tblStyle w:val="a6"/>
        <w:tblpPr w:leftFromText="180" w:rightFromText="180" w:vertAnchor="page" w:horzAnchor="margin" w:tblpXSpec="center" w:tblpY="1257"/>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1276"/>
        <w:gridCol w:w="1559"/>
        <w:gridCol w:w="1134"/>
        <w:gridCol w:w="1134"/>
        <w:gridCol w:w="1134"/>
      </w:tblGrid>
      <w:tr w:rsidR="00EA0D74">
        <w:tc>
          <w:tcPr>
            <w:tcW w:w="4106" w:type="dxa"/>
            <w:vMerge w:val="restart"/>
            <w:tcBorders>
              <w:top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Brain regions</w:t>
            </w:r>
          </w:p>
        </w:tc>
        <w:tc>
          <w:tcPr>
            <w:tcW w:w="1276" w:type="dxa"/>
            <w:vMerge w:val="restart"/>
            <w:tcBorders>
              <w:top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T value</w:t>
            </w:r>
          </w:p>
        </w:tc>
        <w:tc>
          <w:tcPr>
            <w:tcW w:w="1559" w:type="dxa"/>
            <w:vMerge w:val="restart"/>
            <w:tcBorders>
              <w:top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Voxels (k)</w:t>
            </w:r>
          </w:p>
        </w:tc>
        <w:tc>
          <w:tcPr>
            <w:tcW w:w="3402" w:type="dxa"/>
            <w:gridSpan w:val="3"/>
            <w:tcBorders>
              <w:top w:val="single" w:sz="4" w:space="0" w:color="auto"/>
              <w:bottom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 xml:space="preserve">MNI </w:t>
            </w:r>
            <w:r>
              <w:rPr>
                <w:rFonts w:ascii="Times New Roman" w:hAnsi="Times New Roman" w:cs="Times New Roman"/>
                <w:b/>
                <w:color w:val="231F20"/>
                <w:sz w:val="24"/>
                <w:szCs w:val="24"/>
              </w:rPr>
              <w:t>coordinates</w:t>
            </w:r>
          </w:p>
        </w:tc>
      </w:tr>
      <w:tr w:rsidR="00EA0D74">
        <w:tc>
          <w:tcPr>
            <w:tcW w:w="4106" w:type="dxa"/>
            <w:vMerge/>
            <w:tcBorders>
              <w:bottom w:val="single" w:sz="4" w:space="0" w:color="auto"/>
            </w:tcBorders>
          </w:tcPr>
          <w:p w:rsidR="00EA0D74" w:rsidRDefault="00EA0D74">
            <w:pPr>
              <w:jc w:val="center"/>
              <w:rPr>
                <w:rFonts w:ascii="Times New Roman" w:hAnsi="Times New Roman" w:cs="Times New Roman"/>
                <w:b/>
                <w:sz w:val="24"/>
                <w:szCs w:val="24"/>
              </w:rPr>
            </w:pPr>
          </w:p>
        </w:tc>
        <w:tc>
          <w:tcPr>
            <w:tcW w:w="1276" w:type="dxa"/>
            <w:vMerge/>
            <w:tcBorders>
              <w:bottom w:val="single" w:sz="4" w:space="0" w:color="auto"/>
            </w:tcBorders>
          </w:tcPr>
          <w:p w:rsidR="00EA0D74" w:rsidRDefault="00EA0D74">
            <w:pPr>
              <w:jc w:val="center"/>
              <w:rPr>
                <w:rFonts w:ascii="Times New Roman" w:hAnsi="Times New Roman" w:cs="Times New Roman"/>
                <w:b/>
                <w:sz w:val="24"/>
                <w:szCs w:val="24"/>
              </w:rPr>
            </w:pPr>
          </w:p>
        </w:tc>
        <w:tc>
          <w:tcPr>
            <w:tcW w:w="1559" w:type="dxa"/>
            <w:vMerge/>
            <w:tcBorders>
              <w:bottom w:val="single" w:sz="4" w:space="0" w:color="auto"/>
            </w:tcBorders>
          </w:tcPr>
          <w:p w:rsidR="00EA0D74" w:rsidRDefault="00EA0D74">
            <w:pPr>
              <w:jc w:val="center"/>
              <w:rPr>
                <w:rFonts w:ascii="Times New Roman" w:hAnsi="Times New Roman" w:cs="Times New Roman"/>
                <w:b/>
                <w:sz w:val="24"/>
                <w:szCs w:val="24"/>
              </w:rPr>
            </w:pPr>
          </w:p>
        </w:tc>
        <w:tc>
          <w:tcPr>
            <w:tcW w:w="1134" w:type="dxa"/>
            <w:tcBorders>
              <w:top w:val="single" w:sz="4" w:space="0" w:color="auto"/>
              <w:bottom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X</w:t>
            </w:r>
          </w:p>
        </w:tc>
        <w:tc>
          <w:tcPr>
            <w:tcW w:w="1134" w:type="dxa"/>
            <w:tcBorders>
              <w:top w:val="single" w:sz="4" w:space="0" w:color="auto"/>
              <w:bottom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Y</w:t>
            </w:r>
          </w:p>
        </w:tc>
        <w:tc>
          <w:tcPr>
            <w:tcW w:w="1134" w:type="dxa"/>
            <w:tcBorders>
              <w:top w:val="single" w:sz="4" w:space="0" w:color="auto"/>
              <w:bottom w:val="single" w:sz="4" w:space="0" w:color="auto"/>
            </w:tcBorders>
          </w:tcPr>
          <w:p w:rsidR="00EA0D74" w:rsidRDefault="00746ABF">
            <w:pPr>
              <w:jc w:val="center"/>
              <w:rPr>
                <w:rFonts w:ascii="Times New Roman" w:hAnsi="Times New Roman" w:cs="Times New Roman"/>
                <w:b/>
                <w:sz w:val="24"/>
                <w:szCs w:val="24"/>
              </w:rPr>
            </w:pPr>
            <w:r>
              <w:rPr>
                <w:rFonts w:ascii="Times New Roman" w:hAnsi="Times New Roman" w:cs="Times New Roman"/>
                <w:b/>
                <w:sz w:val="24"/>
                <w:szCs w:val="24"/>
              </w:rPr>
              <w:t>Z</w:t>
            </w:r>
          </w:p>
        </w:tc>
      </w:tr>
      <w:tr w:rsidR="00EA0D74">
        <w:tc>
          <w:tcPr>
            <w:tcW w:w="4106" w:type="dxa"/>
            <w:tcBorders>
              <w:top w:val="single" w:sz="4" w:space="0" w:color="auto"/>
            </w:tcBorders>
          </w:tcPr>
          <w:p w:rsidR="00EA0D74" w:rsidRDefault="00746ABF">
            <w:pPr>
              <w:jc w:val="left"/>
              <w:rPr>
                <w:rFonts w:ascii="Times New Roman" w:hAnsi="Times New Roman" w:cs="Times New Roman"/>
                <w:b/>
                <w:sz w:val="24"/>
                <w:szCs w:val="24"/>
              </w:rPr>
            </w:pPr>
            <w:r>
              <w:rPr>
                <w:rFonts w:ascii="Times New Roman" w:hAnsi="Times New Roman" w:cs="Times New Roman" w:hint="eastAsia"/>
                <w:b/>
                <w:sz w:val="24"/>
                <w:szCs w:val="24"/>
              </w:rPr>
              <w:t>One step</w:t>
            </w:r>
          </w:p>
        </w:tc>
        <w:tc>
          <w:tcPr>
            <w:tcW w:w="1276" w:type="dxa"/>
            <w:tcBorders>
              <w:top w:val="single" w:sz="4" w:space="0" w:color="auto"/>
            </w:tcBorders>
          </w:tcPr>
          <w:p w:rsidR="00EA0D74" w:rsidRDefault="00EA0D74">
            <w:pPr>
              <w:jc w:val="center"/>
              <w:rPr>
                <w:rFonts w:ascii="Times New Roman" w:hAnsi="Times New Roman" w:cs="Times New Roman"/>
                <w:b/>
                <w:sz w:val="24"/>
                <w:szCs w:val="24"/>
              </w:rPr>
            </w:pPr>
          </w:p>
        </w:tc>
        <w:tc>
          <w:tcPr>
            <w:tcW w:w="1559" w:type="dxa"/>
            <w:tcBorders>
              <w:top w:val="single" w:sz="4" w:space="0" w:color="auto"/>
            </w:tcBorders>
          </w:tcPr>
          <w:p w:rsidR="00EA0D74" w:rsidRDefault="00EA0D74">
            <w:pPr>
              <w:jc w:val="center"/>
              <w:rPr>
                <w:rFonts w:ascii="Times New Roman" w:hAnsi="Times New Roman" w:cs="Times New Roman"/>
                <w:b/>
                <w:sz w:val="24"/>
                <w:szCs w:val="24"/>
              </w:rPr>
            </w:pPr>
          </w:p>
        </w:tc>
        <w:tc>
          <w:tcPr>
            <w:tcW w:w="1134" w:type="dxa"/>
            <w:tcBorders>
              <w:top w:val="single" w:sz="4" w:space="0" w:color="auto"/>
            </w:tcBorders>
          </w:tcPr>
          <w:p w:rsidR="00EA0D74" w:rsidRDefault="00EA0D74">
            <w:pPr>
              <w:jc w:val="center"/>
              <w:rPr>
                <w:rFonts w:ascii="Times New Roman" w:hAnsi="Times New Roman" w:cs="Times New Roman"/>
                <w:b/>
                <w:sz w:val="24"/>
                <w:szCs w:val="24"/>
              </w:rPr>
            </w:pPr>
          </w:p>
        </w:tc>
        <w:tc>
          <w:tcPr>
            <w:tcW w:w="1134" w:type="dxa"/>
            <w:tcBorders>
              <w:top w:val="single" w:sz="4" w:space="0" w:color="auto"/>
            </w:tcBorders>
          </w:tcPr>
          <w:p w:rsidR="00EA0D74" w:rsidRDefault="00EA0D74">
            <w:pPr>
              <w:jc w:val="center"/>
              <w:rPr>
                <w:rFonts w:ascii="Times New Roman" w:hAnsi="Times New Roman" w:cs="Times New Roman"/>
                <w:b/>
                <w:sz w:val="24"/>
                <w:szCs w:val="24"/>
              </w:rPr>
            </w:pPr>
          </w:p>
        </w:tc>
        <w:tc>
          <w:tcPr>
            <w:tcW w:w="1134" w:type="dxa"/>
            <w:tcBorders>
              <w:top w:val="single" w:sz="4" w:space="0" w:color="auto"/>
            </w:tcBorders>
          </w:tcPr>
          <w:p w:rsidR="00EA0D74" w:rsidRDefault="00EA0D74">
            <w:pPr>
              <w:jc w:val="center"/>
              <w:rPr>
                <w:rFonts w:ascii="Times New Roman" w:hAnsi="Times New Roman" w:cs="Times New Roman"/>
                <w:b/>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&gt;</w:t>
            </w:r>
            <w:r>
              <w:rPr>
                <w:rFonts w:ascii="Times New Roman" w:hAnsi="Times New Roman" w:cs="Times New Roman"/>
                <w:b/>
                <w:i/>
                <w:sz w:val="24"/>
                <w:szCs w:val="24"/>
              </w:rPr>
              <w:t>Controls</w:t>
            </w:r>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Inferior </w:t>
            </w:r>
            <w:r>
              <w:rPr>
                <w:rFonts w:ascii="Times New Roman" w:hAnsi="Times New Roman" w:cs="Times New Roman"/>
                <w:sz w:val="24"/>
                <w:szCs w:val="24"/>
              </w:rPr>
              <w:t>Temporal</w:t>
            </w:r>
            <w:r>
              <w:rPr>
                <w:rFonts w:ascii="Times New Roman" w:hAnsi="Times New Roman" w:cs="Times New Roman" w:hint="eastAsia"/>
                <w:sz w:val="24"/>
                <w:szCs w:val="24"/>
              </w:rPr>
              <w:t xml:space="preserve">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hint="eastAsia"/>
                <w:sz w:val="24"/>
                <w:szCs w:val="24"/>
              </w:rPr>
              <w:t>90</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Angular Gyrus /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w:t>
            </w:r>
            <w:r>
              <w:rPr>
                <w:rFonts w:ascii="Times New Roman" w:hAnsi="Times New Roman" w:cs="Times New Roman"/>
                <w:sz w:val="24"/>
                <w:szCs w:val="24"/>
              </w:rPr>
              <w:t xml:space="preserve"> Inferior Parietal Lobule</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4.38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49</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-55</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55</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4.50</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47</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w:t>
            </w:r>
            <w:r>
              <w:rPr>
                <w:rFonts w:ascii="Times New Roman" w:hAnsi="Times New Roman" w:cs="Times New Roman"/>
                <w:sz w:val="24"/>
                <w:szCs w:val="24"/>
              </w:rPr>
              <w:t>uperior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4.92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Anterior Cingulate Cortex / </w:t>
            </w:r>
            <w:proofErr w:type="spellStart"/>
            <w:r>
              <w:rPr>
                <w:rFonts w:ascii="Times New Roman" w:hAnsi="Times New Roman" w:cs="Times New Roman" w:hint="eastAsia"/>
                <w:sz w:val="24"/>
                <w:szCs w:val="24"/>
              </w:rPr>
              <w:t>Supp_Motor_Area</w:t>
            </w:r>
            <w:proofErr w:type="spellEnd"/>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5.14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24</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5.17</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proofErr w:type="spellStart"/>
            <w:r>
              <w:rPr>
                <w:rFonts w:ascii="Times New Roman" w:hAnsi="Times New Roman" w:cs="Times New Roman" w:hint="eastAsia"/>
                <w:sz w:val="24"/>
                <w:szCs w:val="24"/>
              </w:rPr>
              <w:t>P</w:t>
            </w:r>
            <w:r>
              <w:rPr>
                <w:rFonts w:ascii="Times New Roman" w:hAnsi="Times New Roman" w:cs="Times New Roman"/>
                <w:sz w:val="24"/>
                <w:szCs w:val="24"/>
              </w:rPr>
              <w:t>recuneus</w:t>
            </w:r>
            <w:proofErr w:type="spellEnd"/>
            <w:r>
              <w:rPr>
                <w:rFonts w:ascii="Times New Roman" w:hAnsi="Times New Roman" w:cs="Times New Roman" w:hint="eastAsia"/>
                <w:sz w:val="24"/>
                <w:szCs w:val="24"/>
              </w:rPr>
              <w:t xml:space="preserve"> Cortex</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5.38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/Angular Gyrus / </w:t>
            </w:r>
            <w:r>
              <w:rPr>
                <w:rFonts w:ascii="Times New Roman" w:hAnsi="Times New Roman" w:cs="Times New Roman"/>
                <w:sz w:val="24"/>
                <w:szCs w:val="24"/>
              </w:rPr>
              <w:t>Inferior Parietal Lobule</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5.95</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71</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R I</w:t>
            </w:r>
            <w:r>
              <w:rPr>
                <w:rFonts w:ascii="Times New Roman" w:hAnsi="Times New Roman" w:cs="Times New Roman"/>
                <w:sz w:val="24"/>
                <w:szCs w:val="24"/>
              </w:rPr>
              <w:t>nsular</w:t>
            </w:r>
            <w:r>
              <w:rPr>
                <w:rFonts w:ascii="Times New Roman" w:hAnsi="Times New Roman" w:cs="Times New Roman" w:hint="eastAsia"/>
                <w:sz w:val="24"/>
                <w:szCs w:val="24"/>
              </w:rPr>
              <w:t xml:space="preserve"> Cortex /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 Superior </w:t>
            </w:r>
            <w:r>
              <w:rPr>
                <w:rFonts w:ascii="Times New Roman" w:hAnsi="Times New Roman" w:cs="Times New Roman"/>
                <w:sz w:val="24"/>
                <w:szCs w:val="24"/>
              </w:rPr>
              <w:t>Temporal</w:t>
            </w:r>
            <w:r>
              <w:rPr>
                <w:rFonts w:ascii="Times New Roman" w:hAnsi="Times New Roman" w:cs="Times New Roman" w:hint="eastAsia"/>
                <w:sz w:val="24"/>
                <w:szCs w:val="24"/>
              </w:rPr>
              <w:t xml:space="preserve">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6.21</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61</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Temporal Pole</w:t>
            </w:r>
            <w:r>
              <w:rPr>
                <w:rFonts w:ascii="Times New Roman" w:hAnsi="Times New Roman" w:cs="Times New Roman" w:hint="eastAsia"/>
                <w:sz w:val="24"/>
                <w:szCs w:val="24"/>
              </w:rPr>
              <w:t xml:space="preserve"> </w:t>
            </w:r>
            <w:r>
              <w:rPr>
                <w:rFonts w:ascii="Times New Roman" w:hAnsi="Times New Roman" w:cs="Times New Roman"/>
                <w:sz w:val="24"/>
                <w:szCs w:val="24"/>
              </w:rPr>
              <w:t>/ Insular</w:t>
            </w:r>
            <w:r>
              <w:rPr>
                <w:rFonts w:ascii="Times New Roman" w:hAnsi="Times New Roman" w:cs="Times New Roman" w:hint="eastAsia"/>
                <w:sz w:val="24"/>
                <w:szCs w:val="24"/>
              </w:rPr>
              <w:t xml:space="preserve"> Cortex /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 Superior </w:t>
            </w:r>
            <w:r>
              <w:rPr>
                <w:rFonts w:ascii="Times New Roman" w:hAnsi="Times New Roman" w:cs="Times New Roman"/>
                <w:sz w:val="24"/>
                <w:szCs w:val="24"/>
              </w:rPr>
              <w:t>Temporal</w:t>
            </w:r>
            <w:r>
              <w:rPr>
                <w:rFonts w:ascii="Times New Roman" w:hAnsi="Times New Roman" w:cs="Times New Roman" w:hint="eastAsia"/>
                <w:sz w:val="24"/>
                <w:szCs w:val="24"/>
              </w:rPr>
              <w:t xml:space="preserve"> Gyrus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6.35</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EA0D74">
        <w:tc>
          <w:tcPr>
            <w:tcW w:w="4106" w:type="dxa"/>
          </w:tcPr>
          <w:p w:rsidR="00EA0D74" w:rsidRDefault="00746ABF">
            <w:pPr>
              <w:jc w:val="center"/>
              <w:rPr>
                <w:rFonts w:ascii="Times New Roman" w:hAnsi="Times New Roman" w:cs="Times New Roman"/>
                <w:b/>
                <w:i/>
                <w:sz w:val="24"/>
                <w:szCs w:val="24"/>
              </w:rPr>
            </w:pPr>
            <w:bookmarkStart w:id="22" w:name="OLE_LINK4"/>
            <w:bookmarkStart w:id="23" w:name="OLE_LINK3"/>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bookmarkEnd w:id="22"/>
            <w:bookmarkEnd w:id="23"/>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R</w:t>
            </w:r>
            <w:bookmarkStart w:id="24" w:name="OLE_LINK13"/>
            <w:r>
              <w:rPr>
                <w:rFonts w:ascii="Times New Roman" w:hAnsi="Times New Roman" w:cs="Times New Roman" w:hint="eastAsia"/>
                <w:sz w:val="24"/>
                <w:szCs w:val="24"/>
              </w:rPr>
              <w:t xml:space="preserve"> pre/post</w:t>
            </w:r>
            <w:r>
              <w:rPr>
                <w:rFonts w:ascii="Times New Roman" w:hAnsi="Times New Roman" w:cs="Times New Roman"/>
                <w:sz w:val="24"/>
                <w:szCs w:val="24"/>
              </w:rPr>
              <w:t>central Gyrus</w:t>
            </w:r>
            <w:bookmarkEnd w:id="24"/>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-7.61</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200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6.56</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92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t xml:space="preserve"> </w:t>
            </w:r>
            <w:r>
              <w:rPr>
                <w:rFonts w:ascii="Times New Roman" w:hAnsi="Times New Roman" w:cs="Times New Roman"/>
                <w:sz w:val="24"/>
                <w:szCs w:val="24"/>
              </w:rPr>
              <w:t>Cuneus</w:t>
            </w:r>
          </w:p>
        </w:tc>
        <w:tc>
          <w:tcPr>
            <w:tcW w:w="1276"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-5.04</w:t>
            </w:r>
          </w:p>
        </w:tc>
        <w:tc>
          <w:tcPr>
            <w:tcW w:w="1559"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203</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r>
      <w:tr w:rsidR="00EA0D74">
        <w:tc>
          <w:tcPr>
            <w:tcW w:w="4106" w:type="dxa"/>
            <w:tcBorders>
              <w:top w:val="single" w:sz="4" w:space="0" w:color="auto"/>
            </w:tcBorders>
          </w:tcPr>
          <w:p w:rsidR="00EA0D74" w:rsidRDefault="00746ABF">
            <w:pPr>
              <w:jc w:val="left"/>
              <w:rPr>
                <w:rFonts w:ascii="Times New Roman" w:hAnsi="Times New Roman" w:cs="Times New Roman"/>
                <w:sz w:val="24"/>
                <w:szCs w:val="24"/>
              </w:rPr>
            </w:pPr>
            <w:r>
              <w:rPr>
                <w:rFonts w:ascii="Times New Roman" w:hAnsi="Times New Roman" w:cs="Times New Roman" w:hint="eastAsia"/>
                <w:b/>
                <w:sz w:val="24"/>
                <w:szCs w:val="24"/>
              </w:rPr>
              <w:t>Two steps</w:t>
            </w:r>
          </w:p>
        </w:tc>
        <w:tc>
          <w:tcPr>
            <w:tcW w:w="1276" w:type="dxa"/>
            <w:tcBorders>
              <w:top w:val="single" w:sz="4" w:space="0" w:color="auto"/>
            </w:tcBorders>
          </w:tcPr>
          <w:p w:rsidR="00EA0D74" w:rsidRDefault="00EA0D74">
            <w:pPr>
              <w:jc w:val="center"/>
              <w:rPr>
                <w:rFonts w:ascii="Times New Roman" w:hAnsi="Times New Roman" w:cs="Times New Roman"/>
                <w:sz w:val="24"/>
                <w:szCs w:val="24"/>
              </w:rPr>
            </w:pPr>
          </w:p>
        </w:tc>
        <w:tc>
          <w:tcPr>
            <w:tcW w:w="1559" w:type="dxa"/>
            <w:tcBorders>
              <w:top w:val="single" w:sz="4" w:space="0" w:color="auto"/>
            </w:tcBorders>
          </w:tcPr>
          <w:p w:rsidR="00EA0D74" w:rsidRDefault="00EA0D74">
            <w:pPr>
              <w:jc w:val="center"/>
              <w:rPr>
                <w:rFonts w:ascii="Times New Roman" w:hAnsi="Times New Roman" w:cs="Times New Roman"/>
                <w:sz w:val="24"/>
                <w:szCs w:val="24"/>
              </w:rPr>
            </w:pPr>
          </w:p>
        </w:tc>
        <w:tc>
          <w:tcPr>
            <w:tcW w:w="1134" w:type="dxa"/>
            <w:tcBorders>
              <w:top w:val="single" w:sz="4" w:space="0" w:color="auto"/>
            </w:tcBorders>
          </w:tcPr>
          <w:p w:rsidR="00EA0D74" w:rsidRDefault="00EA0D74">
            <w:pPr>
              <w:jc w:val="center"/>
              <w:rPr>
                <w:rFonts w:ascii="Times New Roman" w:hAnsi="Times New Roman" w:cs="Times New Roman"/>
                <w:sz w:val="24"/>
                <w:szCs w:val="24"/>
              </w:rPr>
            </w:pPr>
          </w:p>
        </w:tc>
        <w:tc>
          <w:tcPr>
            <w:tcW w:w="1134" w:type="dxa"/>
            <w:tcBorders>
              <w:top w:val="single" w:sz="4" w:space="0" w:color="auto"/>
            </w:tcBorders>
          </w:tcPr>
          <w:p w:rsidR="00EA0D74" w:rsidRDefault="00EA0D74">
            <w:pPr>
              <w:jc w:val="center"/>
              <w:rPr>
                <w:rFonts w:ascii="Times New Roman" w:hAnsi="Times New Roman" w:cs="Times New Roman"/>
                <w:sz w:val="24"/>
                <w:szCs w:val="24"/>
              </w:rPr>
            </w:pPr>
          </w:p>
        </w:tc>
        <w:tc>
          <w:tcPr>
            <w:tcW w:w="1134" w:type="dxa"/>
            <w:tcBorders>
              <w:top w:val="single" w:sz="4" w:space="0" w:color="auto"/>
            </w:tcBorders>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b/>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&gt;</w:t>
            </w:r>
            <w:r>
              <w:rPr>
                <w:rFonts w:ascii="Times New Roman" w:hAnsi="Times New Roman" w:cs="Times New Roman"/>
                <w:b/>
                <w:i/>
                <w:sz w:val="24"/>
                <w:szCs w:val="24"/>
              </w:rPr>
              <w:t>Controls</w:t>
            </w:r>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sz w:val="24"/>
                <w:szCs w:val="24"/>
              </w:rPr>
            </w:pPr>
            <w:bookmarkStart w:id="25" w:name="_Hlk20878323"/>
            <w:r>
              <w:rPr>
                <w:rFonts w:ascii="Times New Roman" w:hAnsi="Times New Roman" w:cs="Times New Roman" w:hint="eastAsia"/>
                <w:sz w:val="24"/>
                <w:szCs w:val="24"/>
              </w:rPr>
              <w:t xml:space="preserve">L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4.51</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55</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5.18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57</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w:t>
            </w:r>
            <w:r>
              <w:rPr>
                <w:rFonts w:ascii="Times New Roman" w:hAnsi="Times New Roman" w:cs="Times New Roman"/>
                <w:sz w:val="24"/>
                <w:szCs w:val="24"/>
              </w:rPr>
              <w:t>Inferior Parietal Lobule</w:t>
            </w:r>
            <w:r>
              <w:rPr>
                <w:rFonts w:ascii="Times New Roman" w:hAnsi="Times New Roman" w:cs="Times New Roman" w:hint="eastAsia"/>
                <w:sz w:val="24"/>
                <w:szCs w:val="24"/>
              </w:rPr>
              <w:t xml:space="preserve"> / Angular Gyrus /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89</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w:t>
            </w:r>
            <w:r>
              <w:rPr>
                <w:rFonts w:ascii="Times New Roman" w:hAnsi="Times New Roman" w:cs="Times New Roman"/>
                <w:sz w:val="24"/>
                <w:szCs w:val="24"/>
              </w:rPr>
              <w:t>uperior Frontal Gyrus</w:t>
            </w:r>
            <w:r>
              <w:rPr>
                <w:rFonts w:ascii="Times New Roman" w:hAnsi="Times New Roman" w:cs="Times New Roman" w:hint="eastAsia"/>
                <w:sz w:val="24"/>
                <w:szCs w:val="24"/>
              </w:rPr>
              <w:t xml:space="preserve"> / Anterior Cingulate Cortex / </w:t>
            </w:r>
            <w:proofErr w:type="spellStart"/>
            <w:r>
              <w:rPr>
                <w:rFonts w:ascii="Times New Roman" w:hAnsi="Times New Roman" w:cs="Times New Roman" w:hint="eastAsia"/>
                <w:sz w:val="24"/>
                <w:szCs w:val="24"/>
              </w:rPr>
              <w:t>Supp_Motor_Area</w:t>
            </w:r>
            <w:proofErr w:type="spellEnd"/>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5.60</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156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R I</w:t>
            </w:r>
            <w:r>
              <w:rPr>
                <w:rFonts w:ascii="Times New Roman" w:hAnsi="Times New Roman" w:cs="Times New Roman"/>
                <w:sz w:val="24"/>
                <w:szCs w:val="24"/>
              </w:rPr>
              <w:t>nsular</w:t>
            </w:r>
            <w:r>
              <w:rPr>
                <w:rFonts w:ascii="Times New Roman" w:hAnsi="Times New Roman" w:cs="Times New Roman" w:hint="eastAsia"/>
                <w:sz w:val="24"/>
                <w:szCs w:val="24"/>
              </w:rPr>
              <w:t xml:space="preserve"> Cortex /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 Superior </w:t>
            </w:r>
            <w:r>
              <w:rPr>
                <w:rFonts w:ascii="Times New Roman" w:hAnsi="Times New Roman" w:cs="Times New Roman"/>
                <w:sz w:val="24"/>
                <w:szCs w:val="24"/>
              </w:rPr>
              <w:t>Temporal</w:t>
            </w:r>
            <w:r>
              <w:rPr>
                <w:rFonts w:ascii="Times New Roman" w:hAnsi="Times New Roman" w:cs="Times New Roman" w:hint="eastAsia"/>
                <w:sz w:val="24"/>
                <w:szCs w:val="24"/>
              </w:rPr>
              <w:t xml:space="preserve"> Gyrus / </w:t>
            </w:r>
            <w:r>
              <w:rPr>
                <w:rFonts w:ascii="Times New Roman" w:hAnsi="Times New Roman" w:cs="Times New Roman"/>
                <w:sz w:val="24"/>
                <w:szCs w:val="24"/>
              </w:rPr>
              <w:t xml:space="preserve"> Inferior Frontal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5.62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Angular Gyrus /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w:t>
            </w:r>
            <w:r>
              <w:rPr>
                <w:rFonts w:ascii="Times New Roman" w:hAnsi="Times New Roman" w:cs="Times New Roman"/>
                <w:sz w:val="24"/>
                <w:szCs w:val="24"/>
              </w:rPr>
              <w:t>Inferior Parietal Lobule</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5.92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106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 L </w:t>
            </w:r>
            <w:proofErr w:type="spellStart"/>
            <w:r>
              <w:rPr>
                <w:rFonts w:ascii="Times New Roman" w:hAnsi="Times New Roman" w:cs="Times New Roman" w:hint="eastAsia"/>
                <w:sz w:val="24"/>
                <w:szCs w:val="24"/>
              </w:rPr>
              <w:t>P</w:t>
            </w:r>
            <w:r>
              <w:rPr>
                <w:rFonts w:ascii="Times New Roman" w:hAnsi="Times New Roman" w:cs="Times New Roman"/>
                <w:sz w:val="24"/>
                <w:szCs w:val="24"/>
              </w:rPr>
              <w:t>recuneus</w:t>
            </w:r>
            <w:proofErr w:type="spellEnd"/>
            <w:r>
              <w:rPr>
                <w:rFonts w:ascii="Times New Roman" w:hAnsi="Times New Roman" w:cs="Times New Roman" w:hint="eastAsia"/>
                <w:sz w:val="24"/>
                <w:szCs w:val="24"/>
              </w:rPr>
              <w:t xml:space="preserve"> Cortex</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6.12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Temporal Pole</w:t>
            </w:r>
            <w:r>
              <w:rPr>
                <w:rFonts w:ascii="Times New Roman" w:hAnsi="Times New Roman" w:cs="Times New Roman" w:hint="eastAsia"/>
                <w:sz w:val="24"/>
                <w:szCs w:val="24"/>
              </w:rPr>
              <w:t xml:space="preserve"> </w:t>
            </w:r>
            <w:r>
              <w:rPr>
                <w:rFonts w:ascii="Times New Roman" w:hAnsi="Times New Roman" w:cs="Times New Roman"/>
                <w:sz w:val="24"/>
                <w:szCs w:val="24"/>
              </w:rPr>
              <w:t>/ Insular</w:t>
            </w:r>
            <w:r>
              <w:rPr>
                <w:rFonts w:ascii="Times New Roman" w:hAnsi="Times New Roman" w:cs="Times New Roman" w:hint="eastAsia"/>
                <w:sz w:val="24"/>
                <w:szCs w:val="24"/>
              </w:rPr>
              <w:t xml:space="preserve"> Cortex /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 Superior </w:t>
            </w:r>
            <w:r>
              <w:rPr>
                <w:rFonts w:ascii="Times New Roman" w:hAnsi="Times New Roman" w:cs="Times New Roman"/>
                <w:sz w:val="24"/>
                <w:szCs w:val="24"/>
              </w:rPr>
              <w:t>Temporal</w:t>
            </w:r>
            <w:r>
              <w:rPr>
                <w:rFonts w:ascii="Times New Roman" w:hAnsi="Times New Roman" w:cs="Times New Roman" w:hint="eastAsia"/>
                <w:sz w:val="24"/>
                <w:szCs w:val="24"/>
              </w:rPr>
              <w:t xml:space="preserve"> Gyrus / </w:t>
            </w:r>
            <w:r>
              <w:rPr>
                <w:rFonts w:ascii="Times New Roman" w:hAnsi="Times New Roman" w:cs="Times New Roman"/>
                <w:sz w:val="24"/>
                <w:szCs w:val="24"/>
              </w:rPr>
              <w:t>Inferior Frontal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6.63</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80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-7.78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260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6.62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121</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-5.01</w:t>
            </w:r>
          </w:p>
        </w:tc>
        <w:tc>
          <w:tcPr>
            <w:tcW w:w="1559"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424</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42</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-66</w:t>
            </w:r>
          </w:p>
        </w:tc>
        <w:tc>
          <w:tcPr>
            <w:tcW w:w="1134"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0</w:t>
            </w:r>
          </w:p>
        </w:tc>
      </w:tr>
      <w:bookmarkEnd w:id="25"/>
      <w:tr w:rsidR="00EA0D74">
        <w:tc>
          <w:tcPr>
            <w:tcW w:w="4106" w:type="dxa"/>
            <w:tcBorders>
              <w:top w:val="single" w:sz="4" w:space="0" w:color="auto"/>
            </w:tcBorders>
          </w:tcPr>
          <w:p w:rsidR="00EA0D74" w:rsidRDefault="00746ABF">
            <w:pPr>
              <w:jc w:val="left"/>
              <w:rPr>
                <w:rFonts w:ascii="Times New Roman" w:hAnsi="Times New Roman" w:cs="Times New Roman"/>
                <w:color w:val="000000" w:themeColor="text1"/>
                <w:sz w:val="24"/>
                <w:szCs w:val="24"/>
              </w:rPr>
            </w:pPr>
            <w:r>
              <w:rPr>
                <w:rFonts w:ascii="Times New Roman" w:hAnsi="Times New Roman" w:cs="Times New Roman" w:hint="eastAsia"/>
                <w:b/>
                <w:sz w:val="24"/>
                <w:szCs w:val="24"/>
              </w:rPr>
              <w:t>Three steps</w:t>
            </w:r>
          </w:p>
        </w:tc>
        <w:tc>
          <w:tcPr>
            <w:tcW w:w="1276"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559"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sz w:val="24"/>
                <w:szCs w:val="24"/>
              </w:rPr>
            </w:pPr>
            <w:r>
              <w:rPr>
                <w:rFonts w:ascii="Times New Roman" w:hAnsi="Times New Roman" w:cs="Times New Roman"/>
                <w:b/>
                <w:i/>
                <w:sz w:val="24"/>
                <w:szCs w:val="24"/>
              </w:rPr>
              <w:lastRenderedPageBreak/>
              <w:t>Patients</w:t>
            </w:r>
            <w:r>
              <w:rPr>
                <w:rFonts w:ascii="Times New Roman" w:hAnsi="Times New Roman" w:cs="Times New Roman" w:hint="eastAsia"/>
                <w:b/>
                <w:i/>
                <w:sz w:val="24"/>
                <w:szCs w:val="24"/>
              </w:rPr>
              <w:t>&gt;</w:t>
            </w:r>
            <w:r>
              <w:rPr>
                <w:rFonts w:ascii="Times New Roman" w:hAnsi="Times New Roman" w:cs="Times New Roman"/>
                <w:b/>
                <w:i/>
                <w:sz w:val="24"/>
                <w:szCs w:val="24"/>
              </w:rPr>
              <w:t>Controls</w:t>
            </w:r>
          </w:p>
        </w:tc>
        <w:tc>
          <w:tcPr>
            <w:tcW w:w="1276" w:type="dxa"/>
          </w:tcPr>
          <w:p w:rsidR="00EA0D74" w:rsidRDefault="00EA0D74">
            <w:pPr>
              <w:jc w:val="center"/>
              <w:rPr>
                <w:rFonts w:ascii="Times New Roman" w:hAnsi="Times New Roman" w:cs="Times New Roman"/>
                <w:b/>
                <w:sz w:val="24"/>
                <w:szCs w:val="24"/>
              </w:rPr>
            </w:pPr>
          </w:p>
        </w:tc>
        <w:tc>
          <w:tcPr>
            <w:tcW w:w="1559"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Angular Gyrus / </w:t>
            </w:r>
            <w:r>
              <w:rPr>
                <w:rFonts w:ascii="Times New Roman" w:hAnsi="Times New Roman" w:cs="Times New Roman"/>
                <w:sz w:val="24"/>
                <w:szCs w:val="24"/>
              </w:rPr>
              <w:t>Inferior Parietal Lobule</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4.38</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80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4.75</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Middle</w:t>
            </w:r>
            <w:r>
              <w:rPr>
                <w:rFonts w:ascii="Times New Roman" w:hAnsi="Times New Roman" w:cs="Times New Roman" w:hint="eastAsia"/>
                <w:sz w:val="24"/>
                <w:szCs w:val="24"/>
              </w:rPr>
              <w:t xml:space="preserve"> / </w:t>
            </w:r>
            <w:r>
              <w:rPr>
                <w:rFonts w:ascii="Times New Roman" w:hAnsi="Times New Roman" w:cs="Times New Roman"/>
                <w:sz w:val="24"/>
                <w:szCs w:val="24"/>
              </w:rPr>
              <w:t>Inferior Temporal Gyrus</w:t>
            </w:r>
            <w:r>
              <w:rPr>
                <w:rFonts w:ascii="Times New Roman" w:hAnsi="Times New Roman" w:cs="Times New Roman" w:hint="eastAsia"/>
                <w:sz w:val="24"/>
                <w:szCs w:val="24"/>
              </w:rPr>
              <w:t xml:space="preserve"> /  I</w:t>
            </w:r>
            <w:r>
              <w:rPr>
                <w:rFonts w:ascii="Times New Roman" w:hAnsi="Times New Roman" w:cs="Times New Roman"/>
                <w:sz w:val="24"/>
                <w:szCs w:val="24"/>
              </w:rPr>
              <w:t>nsular</w:t>
            </w:r>
            <w:r>
              <w:rPr>
                <w:rFonts w:ascii="Times New Roman" w:hAnsi="Times New Roman" w:cs="Times New Roman" w:hint="eastAsia"/>
                <w:sz w:val="24"/>
                <w:szCs w:val="24"/>
              </w:rPr>
              <w:t xml:space="preserve"> Cortex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5.22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84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5.26</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67</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Angular Gyrus /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w:t>
            </w:r>
            <w:r>
              <w:rPr>
                <w:rFonts w:ascii="Times New Roman" w:hAnsi="Times New Roman" w:cs="Times New Roman"/>
                <w:sz w:val="24"/>
                <w:szCs w:val="24"/>
              </w:rPr>
              <w:t>Inferior Parietal Lobule</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5.72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96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w:t>
            </w:r>
            <w:r>
              <w:rPr>
                <w:rFonts w:ascii="Times New Roman" w:hAnsi="Times New Roman" w:cs="Times New Roman"/>
                <w:sz w:val="24"/>
                <w:szCs w:val="24"/>
              </w:rPr>
              <w:t>uperior Frontal Gyrus</w:t>
            </w:r>
            <w:r>
              <w:rPr>
                <w:rFonts w:ascii="Times New Roman" w:hAnsi="Times New Roman" w:cs="Times New Roman" w:hint="eastAsia"/>
                <w:sz w:val="24"/>
                <w:szCs w:val="24"/>
              </w:rPr>
              <w:t xml:space="preserve"> / Anterior Cingulate Cortex / </w:t>
            </w:r>
            <w:proofErr w:type="spellStart"/>
            <w:r>
              <w:rPr>
                <w:rFonts w:ascii="Times New Roman" w:hAnsi="Times New Roman" w:cs="Times New Roman" w:hint="eastAsia"/>
                <w:sz w:val="24"/>
                <w:szCs w:val="24"/>
              </w:rPr>
              <w:t>Supp_Motor_Area</w:t>
            </w:r>
            <w:proofErr w:type="spellEnd"/>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5.74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162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R/L </w:t>
            </w:r>
            <w:proofErr w:type="spellStart"/>
            <w:r>
              <w:rPr>
                <w:rFonts w:ascii="Times New Roman" w:hAnsi="Times New Roman" w:cs="Times New Roman" w:hint="eastAsia"/>
                <w:sz w:val="24"/>
                <w:szCs w:val="24"/>
              </w:rPr>
              <w:t>P</w:t>
            </w:r>
            <w:r>
              <w:rPr>
                <w:rFonts w:ascii="Times New Roman" w:hAnsi="Times New Roman" w:cs="Times New Roman"/>
                <w:sz w:val="24"/>
                <w:szCs w:val="24"/>
              </w:rPr>
              <w:t>recuneus</w:t>
            </w:r>
            <w:proofErr w:type="spellEnd"/>
            <w:r>
              <w:rPr>
                <w:rFonts w:ascii="Times New Roman" w:hAnsi="Times New Roman" w:cs="Times New Roman" w:hint="eastAsia"/>
                <w:sz w:val="24"/>
                <w:szCs w:val="24"/>
              </w:rPr>
              <w:t xml:space="preserve"> Cortex / Middle Cingulum Cortex</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6.07</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Insular</w:t>
            </w:r>
            <w:r>
              <w:rPr>
                <w:rFonts w:ascii="Times New Roman" w:hAnsi="Times New Roman" w:cs="Times New Roman" w:hint="eastAsia"/>
                <w:sz w:val="24"/>
                <w:szCs w:val="24"/>
              </w:rPr>
              <w:t xml:space="preserve"> Cortex /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 </w:t>
            </w:r>
            <w:r>
              <w:rPr>
                <w:rFonts w:ascii="Times New Roman" w:hAnsi="Times New Roman" w:cs="Times New Roman"/>
                <w:sz w:val="24"/>
                <w:szCs w:val="24"/>
              </w:rPr>
              <w:t>Temporal Pole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Middle</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 </w:t>
            </w:r>
            <w:r>
              <w:rPr>
                <w:rFonts w:ascii="Times New Roman" w:hAnsi="Times New Roman" w:cs="Times New Roman"/>
                <w:sz w:val="24"/>
                <w:szCs w:val="24"/>
              </w:rPr>
              <w:t>Inferior Frontal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6.45</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90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-7.43</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240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6.46</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190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-5.84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537</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0</w:t>
            </w:r>
          </w:p>
        </w:tc>
      </w:tr>
      <w:tr w:rsidR="00EA0D74">
        <w:tc>
          <w:tcPr>
            <w:tcW w:w="4106" w:type="dxa"/>
            <w:tcBorders>
              <w:top w:val="single" w:sz="4" w:space="0" w:color="auto"/>
            </w:tcBorders>
          </w:tcPr>
          <w:p w:rsidR="00EA0D74" w:rsidRDefault="00746ABF">
            <w:pPr>
              <w:jc w:val="left"/>
              <w:rPr>
                <w:rFonts w:ascii="Times New Roman" w:hAnsi="Times New Roman" w:cs="Times New Roman"/>
                <w:color w:val="000000" w:themeColor="text1"/>
                <w:sz w:val="24"/>
                <w:szCs w:val="24"/>
              </w:rPr>
            </w:pPr>
            <w:r>
              <w:rPr>
                <w:rFonts w:ascii="Times New Roman" w:hAnsi="Times New Roman" w:cs="Times New Roman" w:hint="eastAsia"/>
                <w:b/>
                <w:sz w:val="24"/>
                <w:szCs w:val="24"/>
              </w:rPr>
              <w:t>Four steps</w:t>
            </w:r>
          </w:p>
        </w:tc>
        <w:tc>
          <w:tcPr>
            <w:tcW w:w="1276"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559"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&gt;</w:t>
            </w:r>
            <w:r>
              <w:rPr>
                <w:rFonts w:ascii="Times New Roman" w:hAnsi="Times New Roman" w:cs="Times New Roman"/>
                <w:b/>
                <w:i/>
                <w:sz w:val="24"/>
                <w:szCs w:val="24"/>
              </w:rPr>
              <w:t>Controls</w:t>
            </w:r>
          </w:p>
        </w:tc>
        <w:tc>
          <w:tcPr>
            <w:tcW w:w="1276" w:type="dxa"/>
          </w:tcPr>
          <w:p w:rsidR="00EA0D74" w:rsidRDefault="00EA0D74">
            <w:pPr>
              <w:jc w:val="center"/>
              <w:rPr>
                <w:rFonts w:ascii="Times New Roman" w:hAnsi="Times New Roman" w:cs="Times New Roman"/>
                <w:b/>
                <w:sz w:val="24"/>
                <w:szCs w:val="24"/>
              </w:rPr>
            </w:pPr>
          </w:p>
        </w:tc>
        <w:tc>
          <w:tcPr>
            <w:tcW w:w="1559"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c>
          <w:tcPr>
            <w:tcW w:w="1134" w:type="dxa"/>
          </w:tcPr>
          <w:p w:rsidR="00EA0D74" w:rsidRDefault="00EA0D74">
            <w:pPr>
              <w:jc w:val="center"/>
              <w:rPr>
                <w:rFonts w:ascii="Times New Roman" w:hAnsi="Times New Roman" w:cs="Times New Roman"/>
                <w:b/>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Middle Cingulum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4.00</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21</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4.27</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4.46</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Inferior Parietal Lobule</w:t>
            </w:r>
            <w:r>
              <w:rPr>
                <w:rFonts w:ascii="Times New Roman" w:hAnsi="Times New Roman" w:cs="Times New Roman" w:hint="eastAsia"/>
                <w:sz w:val="24"/>
                <w:szCs w:val="24"/>
              </w:rPr>
              <w:t xml:space="preserve"> /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/Angular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4.47</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proofErr w:type="spellStart"/>
            <w:r>
              <w:rPr>
                <w:rFonts w:ascii="Times New Roman" w:hAnsi="Times New Roman" w:cs="Times New Roman" w:hint="eastAsia"/>
                <w:sz w:val="24"/>
                <w:szCs w:val="24"/>
              </w:rPr>
              <w:t>Supramarginal</w:t>
            </w:r>
            <w:proofErr w:type="spellEnd"/>
            <w:r>
              <w:rPr>
                <w:rFonts w:ascii="Times New Roman" w:hAnsi="Times New Roman" w:cs="Times New Roman" w:hint="eastAsia"/>
                <w:sz w:val="24"/>
                <w:szCs w:val="24"/>
              </w:rPr>
              <w:t xml:space="preserve"> Gyrus / </w:t>
            </w:r>
            <w:r>
              <w:rPr>
                <w:rFonts w:ascii="Times New Roman" w:hAnsi="Times New Roman" w:cs="Times New Roman"/>
                <w:sz w:val="24"/>
                <w:szCs w:val="24"/>
              </w:rPr>
              <w:t>Inferior Parietal Lobule</w:t>
            </w:r>
            <w:r>
              <w:rPr>
                <w:rFonts w:ascii="Times New Roman" w:hAnsi="Times New Roman" w:cs="Times New Roman" w:hint="eastAsia"/>
                <w:sz w:val="24"/>
                <w:szCs w:val="24"/>
              </w:rPr>
              <w:t xml:space="preserve"> / Angular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5.13</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45</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Anterior Cingulate Cortex / S</w:t>
            </w:r>
            <w:r>
              <w:rPr>
                <w:rFonts w:ascii="Times New Roman" w:hAnsi="Times New Roman" w:cs="Times New Roman"/>
                <w:sz w:val="24"/>
                <w:szCs w:val="24"/>
              </w:rPr>
              <w:t xml:space="preserve">uperior Frontal Gyrus </w:t>
            </w:r>
            <w:r>
              <w:rPr>
                <w:rFonts w:ascii="Times New Roman" w:hAnsi="Times New Roman" w:cs="Times New Roman" w:hint="eastAsia"/>
                <w:sz w:val="24"/>
                <w:szCs w:val="24"/>
              </w:rP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5.14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113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11</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Inferior / Middle temporal Gyrus /</w:t>
            </w:r>
            <w: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178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Inferior / Middle temporal Gyrus /</w:t>
            </w:r>
            <w: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5.52</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272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-13</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-25</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Insular</w:t>
            </w:r>
            <w:r>
              <w:rPr>
                <w:rFonts w:ascii="Times New Roman" w:hAnsi="Times New Roman" w:cs="Times New Roman" w:hint="eastAsia"/>
                <w:sz w:val="24"/>
                <w:szCs w:val="24"/>
              </w:rPr>
              <w:t xml:space="preserve"> Cortex/ Central </w:t>
            </w:r>
            <w:proofErr w:type="spellStart"/>
            <w:r>
              <w:rPr>
                <w:rFonts w:ascii="Times New Roman" w:hAnsi="Times New Roman" w:cs="Times New Roman" w:hint="eastAsia"/>
                <w:sz w:val="24"/>
                <w:szCs w:val="24"/>
              </w:rPr>
              <w:t>Opercular</w:t>
            </w:r>
            <w:proofErr w:type="spellEnd"/>
            <w:r>
              <w:rPr>
                <w:rFonts w:ascii="Times New Roman" w:hAnsi="Times New Roman" w:cs="Times New Roman" w:hint="eastAsia"/>
                <w:sz w:val="24"/>
                <w:szCs w:val="24"/>
              </w:rPr>
              <w:t xml:space="preserve"> Cortex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6.04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37</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sz w:val="24"/>
                <w:szCs w:val="24"/>
              </w:rPr>
            </w:pPr>
          </w:p>
        </w:tc>
        <w:tc>
          <w:tcPr>
            <w:tcW w:w="1559"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c>
          <w:tcPr>
            <w:tcW w:w="1134" w:type="dxa"/>
          </w:tcPr>
          <w:p w:rsidR="00EA0D74" w:rsidRDefault="00EA0D74">
            <w:pPr>
              <w:jc w:val="center"/>
              <w:rPr>
                <w:rFonts w:ascii="Times New Roman" w:hAnsi="Times New Roman" w:cs="Times New Roman"/>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-6.84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256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6.04</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170</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-54</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-18</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-5.83</w:t>
            </w:r>
          </w:p>
        </w:tc>
        <w:tc>
          <w:tcPr>
            <w:tcW w:w="1559"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546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-66</w:t>
            </w:r>
          </w:p>
        </w:tc>
        <w:tc>
          <w:tcPr>
            <w:tcW w:w="1134"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color w:val="000000" w:themeColor="text1"/>
                <w:sz w:val="24"/>
                <w:szCs w:val="24"/>
              </w:rPr>
              <w:t>0</w:t>
            </w:r>
          </w:p>
        </w:tc>
      </w:tr>
      <w:tr w:rsidR="00EA0D74">
        <w:tc>
          <w:tcPr>
            <w:tcW w:w="4106" w:type="dxa"/>
            <w:tcBorders>
              <w:top w:val="single" w:sz="4" w:space="0" w:color="auto"/>
            </w:tcBorders>
          </w:tcPr>
          <w:p w:rsidR="00EA0D74" w:rsidRDefault="00746ABF">
            <w:pPr>
              <w:jc w:val="left"/>
              <w:rPr>
                <w:rFonts w:ascii="Times New Roman" w:hAnsi="Times New Roman" w:cs="Times New Roman"/>
                <w:color w:val="000000" w:themeColor="text1"/>
                <w:sz w:val="24"/>
                <w:szCs w:val="24"/>
              </w:rPr>
            </w:pPr>
            <w:r>
              <w:rPr>
                <w:rFonts w:ascii="Times New Roman" w:hAnsi="Times New Roman" w:cs="Times New Roman" w:hint="eastAsia"/>
                <w:b/>
                <w:color w:val="000000" w:themeColor="text1"/>
                <w:sz w:val="24"/>
                <w:szCs w:val="24"/>
              </w:rPr>
              <w:t>Five steps</w:t>
            </w:r>
          </w:p>
        </w:tc>
        <w:tc>
          <w:tcPr>
            <w:tcW w:w="1276"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559"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Patients</w:t>
            </w:r>
            <w:r>
              <w:rPr>
                <w:rFonts w:ascii="Times New Roman" w:hAnsi="Times New Roman" w:cs="Times New Roman" w:hint="eastAsia"/>
                <w:b/>
                <w:i/>
                <w:color w:val="000000" w:themeColor="text1"/>
                <w:sz w:val="24"/>
                <w:szCs w:val="24"/>
              </w:rPr>
              <w:t>&gt;</w:t>
            </w:r>
            <w:r>
              <w:rPr>
                <w:rFonts w:ascii="Times New Roman" w:hAnsi="Times New Roman" w:cs="Times New Roman"/>
                <w:b/>
                <w:i/>
                <w:color w:val="000000" w:themeColor="text1"/>
                <w:sz w:val="24"/>
                <w:szCs w:val="24"/>
              </w:rPr>
              <w:t>Controls</w:t>
            </w:r>
          </w:p>
        </w:tc>
        <w:tc>
          <w:tcPr>
            <w:tcW w:w="1276" w:type="dxa"/>
          </w:tcPr>
          <w:p w:rsidR="00EA0D74" w:rsidRDefault="00EA0D74">
            <w:pPr>
              <w:jc w:val="center"/>
              <w:rPr>
                <w:rFonts w:ascii="Times New Roman" w:hAnsi="Times New Roman" w:cs="Times New Roman"/>
                <w:b/>
                <w:color w:val="000000" w:themeColor="text1"/>
                <w:sz w:val="24"/>
                <w:szCs w:val="24"/>
              </w:rPr>
            </w:pPr>
          </w:p>
        </w:tc>
        <w:tc>
          <w:tcPr>
            <w:tcW w:w="1559"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r>
      <w:tr w:rsidR="00EA0D74">
        <w:tc>
          <w:tcPr>
            <w:tcW w:w="410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Middle Temporal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4.26</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54</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Superior</w:t>
            </w:r>
            <w:r>
              <w:rPr>
                <w:rFonts w:ascii="Times New Roman" w:hAnsi="Times New Roman" w:cs="Times New Roman"/>
                <w:sz w:val="24"/>
                <w:szCs w:val="24"/>
              </w:rPr>
              <w:t xml:space="preserve"> Frontal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Supp_Motor_Area</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4.93</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158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lastRenderedPageBreak/>
              <w:t xml:space="preserve">L </w:t>
            </w:r>
            <w:r>
              <w:rPr>
                <w:rFonts w:ascii="Times New Roman" w:hAnsi="Times New Roman" w:cs="Times New Roman"/>
                <w:sz w:val="24"/>
                <w:szCs w:val="24"/>
              </w:rPr>
              <w:t xml:space="preserve">Middle </w:t>
            </w:r>
            <w:r>
              <w:rPr>
                <w:rFonts w:ascii="Times New Roman" w:hAnsi="Times New Roman" w:cs="Times New Roman" w:hint="eastAsia"/>
                <w:sz w:val="24"/>
                <w:szCs w:val="24"/>
              </w:rPr>
              <w:t>/ Inferior</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Temporal_Pole</w:t>
            </w:r>
            <w:proofErr w:type="spellEnd"/>
            <w:r>
              <w:rPr>
                <w:rFonts w:ascii="Times New Roman" w:hAnsi="Times New Roman" w:cs="Times New Roman" w:hint="eastAsia"/>
                <w:sz w:val="24"/>
                <w:szCs w:val="24"/>
              </w:rPr>
              <w:t xml:space="preserve"> /</w:t>
            </w:r>
            <w: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5.19</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215</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sz w:val="24"/>
                <w:szCs w:val="24"/>
              </w:rPr>
              <w:t xml:space="preserve">Middle </w:t>
            </w:r>
            <w:r>
              <w:rPr>
                <w:rFonts w:ascii="Times New Roman" w:hAnsi="Times New Roman" w:cs="Times New Roman" w:hint="eastAsia"/>
                <w:sz w:val="24"/>
                <w:szCs w:val="24"/>
              </w:rPr>
              <w:t xml:space="preserve">/ Inferior </w:t>
            </w:r>
            <w:r>
              <w:rPr>
                <w:rFonts w:ascii="Times New Roman" w:hAnsi="Times New Roman" w:cs="Times New Roman"/>
                <w:sz w:val="24"/>
                <w:szCs w:val="24"/>
              </w:rPr>
              <w:t>Temporal Gyrus</w:t>
            </w:r>
            <w:r>
              <w:rPr>
                <w:rFonts w:ascii="Times New Roman" w:hAnsi="Times New Roman" w:cs="Times New Roman" w:hint="eastAsia"/>
                <w:sz w:val="24"/>
                <w:szCs w:val="24"/>
              </w:rPr>
              <w:t xml:space="preserve"> /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5.27</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101</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color w:val="000000" w:themeColor="text1"/>
                <w:sz w:val="24"/>
                <w:szCs w:val="24"/>
              </w:rPr>
            </w:pPr>
          </w:p>
        </w:tc>
        <w:tc>
          <w:tcPr>
            <w:tcW w:w="1559"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-6.21</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209</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54</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5.95</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92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-5.53</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545</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r>
      <w:tr w:rsidR="00EA0D74">
        <w:tc>
          <w:tcPr>
            <w:tcW w:w="4106" w:type="dxa"/>
            <w:tcBorders>
              <w:top w:val="single" w:sz="4" w:space="0" w:color="auto"/>
            </w:tcBorders>
          </w:tcPr>
          <w:p w:rsidR="00EA0D74" w:rsidRDefault="00746ABF">
            <w:pPr>
              <w:jc w:val="left"/>
              <w:rPr>
                <w:rFonts w:ascii="Times New Roman" w:hAnsi="Times New Roman" w:cs="Times New Roman"/>
                <w:color w:val="000000" w:themeColor="text1"/>
                <w:sz w:val="24"/>
                <w:szCs w:val="24"/>
              </w:rPr>
            </w:pPr>
            <w:bookmarkStart w:id="26" w:name="_Hlk20257919"/>
            <w:r>
              <w:rPr>
                <w:rFonts w:ascii="Times New Roman" w:hAnsi="Times New Roman" w:cs="Times New Roman" w:hint="eastAsia"/>
                <w:b/>
                <w:color w:val="000000" w:themeColor="text1"/>
                <w:sz w:val="24"/>
                <w:szCs w:val="24"/>
              </w:rPr>
              <w:t>Six steps</w:t>
            </w:r>
          </w:p>
        </w:tc>
        <w:tc>
          <w:tcPr>
            <w:tcW w:w="1276"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559"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r>
      <w:bookmarkEnd w:id="26"/>
      <w:tr w:rsidR="00EA0D74">
        <w:tc>
          <w:tcPr>
            <w:tcW w:w="4106" w:type="dxa"/>
          </w:tcPr>
          <w:p w:rsidR="00EA0D74" w:rsidRDefault="00746ABF">
            <w:pPr>
              <w:jc w:val="center"/>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Patients</w:t>
            </w:r>
            <w:r>
              <w:rPr>
                <w:rFonts w:ascii="Times New Roman" w:hAnsi="Times New Roman" w:cs="Times New Roman" w:hint="eastAsia"/>
                <w:b/>
                <w:i/>
                <w:color w:val="000000" w:themeColor="text1"/>
                <w:sz w:val="24"/>
                <w:szCs w:val="24"/>
              </w:rPr>
              <w:t>&gt;</w:t>
            </w:r>
            <w:r>
              <w:rPr>
                <w:rFonts w:ascii="Times New Roman" w:hAnsi="Times New Roman" w:cs="Times New Roman"/>
                <w:b/>
                <w:i/>
                <w:color w:val="000000" w:themeColor="text1"/>
                <w:sz w:val="24"/>
                <w:szCs w:val="24"/>
              </w:rPr>
              <w:t>Controls</w:t>
            </w:r>
          </w:p>
        </w:tc>
        <w:tc>
          <w:tcPr>
            <w:tcW w:w="1276" w:type="dxa"/>
          </w:tcPr>
          <w:p w:rsidR="00EA0D74" w:rsidRDefault="00EA0D74">
            <w:pPr>
              <w:jc w:val="center"/>
              <w:rPr>
                <w:rFonts w:ascii="Times New Roman" w:hAnsi="Times New Roman" w:cs="Times New Roman"/>
                <w:b/>
                <w:color w:val="000000" w:themeColor="text1"/>
                <w:sz w:val="24"/>
                <w:szCs w:val="24"/>
              </w:rPr>
            </w:pPr>
          </w:p>
        </w:tc>
        <w:tc>
          <w:tcPr>
            <w:tcW w:w="1559"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proofErr w:type="spellStart"/>
            <w:r>
              <w:rPr>
                <w:rFonts w:ascii="Times New Roman" w:hAnsi="Times New Roman" w:cs="Times New Roman"/>
                <w:sz w:val="24"/>
                <w:szCs w:val="24"/>
              </w:rPr>
              <w:t>Frontal_Sup_Orb</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4.03</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Superior</w:t>
            </w:r>
            <w:r>
              <w:rPr>
                <w:rFonts w:ascii="Times New Roman" w:hAnsi="Times New Roman" w:cs="Times New Roman"/>
                <w:sz w:val="24"/>
                <w:szCs w:val="24"/>
              </w:rPr>
              <w:t xml:space="preserve"> Frontal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Supp_Motor_Area</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4.51</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84</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Temporal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4.84</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29</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 xml:space="preserve">Middle </w:t>
            </w:r>
            <w:r>
              <w:rPr>
                <w:rFonts w:ascii="Times New Roman" w:hAnsi="Times New Roman" w:cs="Times New Roman" w:hint="eastAsia"/>
                <w:sz w:val="24"/>
                <w:szCs w:val="24"/>
              </w:rPr>
              <w:t>/ Inferior</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Temporal_Pole</w:t>
            </w:r>
            <w:proofErr w:type="spellEnd"/>
            <w:r>
              <w:rPr>
                <w:rFonts w:ascii="Times New Roman" w:hAnsi="Times New Roman" w:cs="Times New Roman" w:hint="eastAsia"/>
                <w:sz w:val="24"/>
                <w:szCs w:val="24"/>
              </w:rPr>
              <w:t xml:space="preserve"> /</w:t>
            </w:r>
            <w: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5.60</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w:t>
            </w:r>
            <w:r>
              <w:rPr>
                <w:rFonts w:ascii="Times New Roman" w:hAnsi="Times New Roman" w:cs="Times New Roman" w:hint="eastAsia"/>
                <w:sz w:val="24"/>
                <w:szCs w:val="24"/>
              </w:rPr>
              <w:t xml:space="preserve"> / Inferior</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Temporal_Pole</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5.65</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109</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color w:val="000000" w:themeColor="text1"/>
                <w:sz w:val="24"/>
                <w:szCs w:val="24"/>
              </w:rPr>
            </w:pPr>
          </w:p>
        </w:tc>
        <w:tc>
          <w:tcPr>
            <w:tcW w:w="1559"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-5.92</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227</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5.50</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180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-5.26</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r>
      <w:tr w:rsidR="00EA0D74">
        <w:tc>
          <w:tcPr>
            <w:tcW w:w="4106" w:type="dxa"/>
            <w:tcBorders>
              <w:top w:val="single" w:sz="4" w:space="0" w:color="auto"/>
            </w:tcBorders>
          </w:tcPr>
          <w:p w:rsidR="00EA0D74" w:rsidRDefault="00746ABF">
            <w:pPr>
              <w:jc w:val="left"/>
              <w:rPr>
                <w:rFonts w:ascii="Times New Roman" w:hAnsi="Times New Roman" w:cs="Times New Roman"/>
                <w:color w:val="000000" w:themeColor="text1"/>
                <w:sz w:val="24"/>
                <w:szCs w:val="24"/>
              </w:rPr>
            </w:pPr>
            <w:r>
              <w:rPr>
                <w:rFonts w:ascii="Times New Roman" w:hAnsi="Times New Roman" w:cs="Times New Roman" w:hint="eastAsia"/>
                <w:b/>
                <w:color w:val="000000" w:themeColor="text1"/>
                <w:sz w:val="24"/>
                <w:szCs w:val="24"/>
              </w:rPr>
              <w:t>Seven steps</w:t>
            </w:r>
          </w:p>
        </w:tc>
        <w:tc>
          <w:tcPr>
            <w:tcW w:w="1276"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559"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c>
          <w:tcPr>
            <w:tcW w:w="1134" w:type="dxa"/>
            <w:tcBorders>
              <w:top w:val="single" w:sz="4" w:space="0" w:color="auto"/>
            </w:tcBorders>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Patients</w:t>
            </w:r>
            <w:r>
              <w:rPr>
                <w:rFonts w:ascii="Times New Roman" w:hAnsi="Times New Roman" w:cs="Times New Roman" w:hint="eastAsia"/>
                <w:b/>
                <w:i/>
                <w:color w:val="000000" w:themeColor="text1"/>
                <w:sz w:val="24"/>
                <w:szCs w:val="24"/>
              </w:rPr>
              <w:t>&gt;</w:t>
            </w:r>
            <w:r>
              <w:rPr>
                <w:rFonts w:ascii="Times New Roman" w:hAnsi="Times New Roman" w:cs="Times New Roman"/>
                <w:b/>
                <w:i/>
                <w:color w:val="000000" w:themeColor="text1"/>
                <w:sz w:val="24"/>
                <w:szCs w:val="24"/>
              </w:rPr>
              <w:t>Controls</w:t>
            </w:r>
          </w:p>
        </w:tc>
        <w:tc>
          <w:tcPr>
            <w:tcW w:w="1276" w:type="dxa"/>
          </w:tcPr>
          <w:p w:rsidR="00EA0D74" w:rsidRDefault="00EA0D74">
            <w:pPr>
              <w:jc w:val="center"/>
              <w:rPr>
                <w:rFonts w:ascii="Times New Roman" w:hAnsi="Times New Roman" w:cs="Times New Roman"/>
                <w:b/>
                <w:color w:val="000000" w:themeColor="text1"/>
                <w:sz w:val="24"/>
                <w:szCs w:val="24"/>
              </w:rPr>
            </w:pPr>
          </w:p>
        </w:tc>
        <w:tc>
          <w:tcPr>
            <w:tcW w:w="1559"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c>
          <w:tcPr>
            <w:tcW w:w="1134" w:type="dxa"/>
          </w:tcPr>
          <w:p w:rsidR="00EA0D74" w:rsidRDefault="00EA0D74">
            <w:pPr>
              <w:jc w:val="center"/>
              <w:rPr>
                <w:rFonts w:ascii="Times New Roman" w:hAnsi="Times New Roman" w:cs="Times New Roman"/>
                <w:b/>
                <w:color w:val="000000" w:themeColor="text1"/>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Middle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3.44</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-24</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54</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18</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Superior-</w:t>
            </w:r>
            <w:r>
              <w:rPr>
                <w:rFonts w:ascii="Times New Roman" w:hAnsi="Times New Roman" w:cs="Times New Roman"/>
                <w:sz w:val="24"/>
                <w:szCs w:val="24"/>
              </w:rPr>
              <w:t>Medial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4.25</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21</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Superior</w:t>
            </w:r>
            <w:r>
              <w:rPr>
                <w:rFonts w:ascii="Times New Roman" w:hAnsi="Times New Roman" w:cs="Times New Roman"/>
                <w:sz w:val="24"/>
                <w:szCs w:val="24"/>
              </w:rPr>
              <w:t xml:space="preserve"> Frontal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Supp_Motor_Area</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4.27</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 Temporal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4.84</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31</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R </w:t>
            </w:r>
            <w:r>
              <w:rPr>
                <w:rFonts w:ascii="Times New Roman" w:hAnsi="Times New Roman" w:cs="Times New Roman"/>
                <w:sz w:val="24"/>
                <w:szCs w:val="24"/>
              </w:rPr>
              <w:t>Middle</w:t>
            </w:r>
            <w:r>
              <w:rPr>
                <w:rFonts w:ascii="Times New Roman" w:hAnsi="Times New Roman" w:cs="Times New Roman" w:hint="eastAsia"/>
                <w:sz w:val="24"/>
                <w:szCs w:val="24"/>
              </w:rPr>
              <w:t xml:space="preserve"> / Inferior</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Temporal_Pole</w:t>
            </w:r>
            <w:proofErr w:type="spellEnd"/>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5.78</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119</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L </w:t>
            </w:r>
            <w:r>
              <w:rPr>
                <w:rFonts w:ascii="Times New Roman" w:hAnsi="Times New Roman" w:cs="Times New Roman"/>
                <w:sz w:val="24"/>
                <w:szCs w:val="24"/>
              </w:rPr>
              <w:t xml:space="preserve">Middle </w:t>
            </w:r>
            <w:r>
              <w:rPr>
                <w:rFonts w:ascii="Times New Roman" w:hAnsi="Times New Roman" w:cs="Times New Roman" w:hint="eastAsia"/>
                <w:sz w:val="24"/>
                <w:szCs w:val="24"/>
              </w:rPr>
              <w:t>/ Inferior</w:t>
            </w:r>
            <w:r>
              <w:rPr>
                <w:rFonts w:ascii="Times New Roman" w:hAnsi="Times New Roman" w:cs="Times New Roman"/>
                <w:sz w:val="24"/>
                <w:szCs w:val="24"/>
              </w:rPr>
              <w:t xml:space="preserve"> Temporal Gyrus</w:t>
            </w:r>
            <w:r>
              <w:rPr>
                <w:rFonts w:ascii="Times New Roman" w:hAnsi="Times New Roman" w:cs="Times New Roman" w:hint="eastAsia"/>
                <w:sz w:val="24"/>
                <w:szCs w:val="24"/>
              </w:rPr>
              <w:t xml:space="preserve"> / </w:t>
            </w:r>
            <w:proofErr w:type="spellStart"/>
            <w:r>
              <w:rPr>
                <w:rFonts w:ascii="Times New Roman" w:hAnsi="Times New Roman" w:cs="Times New Roman"/>
                <w:sz w:val="24"/>
                <w:szCs w:val="24"/>
              </w:rPr>
              <w:t>Temporal_Pole</w:t>
            </w:r>
            <w:proofErr w:type="spellEnd"/>
            <w:r>
              <w:rPr>
                <w:rFonts w:ascii="Times New Roman" w:hAnsi="Times New Roman" w:cs="Times New Roman" w:hint="eastAsia"/>
                <w:sz w:val="24"/>
                <w:szCs w:val="24"/>
              </w:rPr>
              <w:t xml:space="preserve"> /</w:t>
            </w:r>
            <w:r>
              <w:t xml:space="preserve"> </w:t>
            </w:r>
            <w:r>
              <w:rPr>
                <w:rFonts w:ascii="Times New Roman" w:hAnsi="Times New Roman" w:cs="Times New Roman"/>
                <w:sz w:val="24"/>
                <w:szCs w:val="24"/>
              </w:rPr>
              <w:t>Inferior Frontal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5.92</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220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b/>
                <w:i/>
                <w:sz w:val="24"/>
                <w:szCs w:val="24"/>
              </w:rPr>
              <w:t>Patients</w:t>
            </w:r>
            <w:r>
              <w:rPr>
                <w:rFonts w:ascii="Times New Roman" w:hAnsi="Times New Roman" w:cs="Times New Roman" w:hint="eastAsia"/>
                <w:b/>
                <w:i/>
                <w:sz w:val="24"/>
                <w:szCs w:val="24"/>
              </w:rPr>
              <w:t>&lt;</w:t>
            </w:r>
            <w:r>
              <w:rPr>
                <w:rFonts w:ascii="Times New Roman" w:hAnsi="Times New Roman" w:cs="Times New Roman"/>
                <w:b/>
                <w:i/>
                <w:sz w:val="24"/>
                <w:szCs w:val="24"/>
              </w:rPr>
              <w:t xml:space="preserve"> Controls</w:t>
            </w:r>
          </w:p>
        </w:tc>
        <w:tc>
          <w:tcPr>
            <w:tcW w:w="1276" w:type="dxa"/>
          </w:tcPr>
          <w:p w:rsidR="00EA0D74" w:rsidRDefault="00EA0D74">
            <w:pPr>
              <w:jc w:val="center"/>
              <w:rPr>
                <w:rFonts w:ascii="Times New Roman" w:hAnsi="Times New Roman" w:cs="Times New Roman"/>
                <w:color w:val="000000" w:themeColor="text1"/>
                <w:sz w:val="24"/>
                <w:szCs w:val="24"/>
              </w:rPr>
            </w:pPr>
          </w:p>
        </w:tc>
        <w:tc>
          <w:tcPr>
            <w:tcW w:w="1559"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c>
          <w:tcPr>
            <w:tcW w:w="1134" w:type="dxa"/>
          </w:tcPr>
          <w:p w:rsidR="00EA0D74" w:rsidRDefault="00EA0D74">
            <w:pPr>
              <w:jc w:val="center"/>
              <w:rPr>
                <w:rFonts w:ascii="Times New Roman" w:hAnsi="Times New Roman" w:cs="Times New Roman"/>
                <w:color w:val="000000" w:themeColor="text1"/>
                <w:sz w:val="24"/>
                <w:szCs w:val="24"/>
              </w:rPr>
            </w:pPr>
          </w:p>
        </w:tc>
      </w:tr>
      <w:tr w:rsidR="00EA0D74">
        <w:tc>
          <w:tcPr>
            <w:tcW w:w="4106" w:type="dxa"/>
          </w:tcPr>
          <w:p w:rsidR="00EA0D74" w:rsidRDefault="00746ABF">
            <w:pPr>
              <w:jc w:val="center"/>
              <w:rPr>
                <w:rFonts w:ascii="Times New Roman" w:hAnsi="Times New Roman" w:cs="Times New Roman"/>
                <w:b/>
                <w:i/>
                <w:sz w:val="24"/>
                <w:szCs w:val="24"/>
              </w:rPr>
            </w:pPr>
            <w:r>
              <w:rPr>
                <w:rFonts w:ascii="Times New Roman" w:hAnsi="Times New Roman" w:cs="Times New Roman" w:hint="eastAsia"/>
                <w:sz w:val="24"/>
                <w:szCs w:val="24"/>
              </w:rPr>
              <w:t>R pre/post</w:t>
            </w:r>
            <w:r>
              <w:rPr>
                <w:rFonts w:ascii="Times New Roman" w:hAnsi="Times New Roman" w:cs="Times New Roman"/>
                <w:sz w:val="24"/>
                <w:szCs w:val="24"/>
              </w:rPr>
              <w:t>central Gyrus</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-5.77</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200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-18</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r>
      <w:tr w:rsidR="00EA0D74">
        <w:tc>
          <w:tcPr>
            <w:tcW w:w="4106" w:type="dxa"/>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L pre/post</w:t>
            </w:r>
            <w:r>
              <w:rPr>
                <w:rFonts w:ascii="Times New Roman" w:hAnsi="Times New Roman" w:cs="Times New Roman"/>
                <w:sz w:val="24"/>
                <w:szCs w:val="24"/>
              </w:rPr>
              <w:t>central Gyrus</w:t>
            </w:r>
            <w:r>
              <w:rPr>
                <w:rFonts w:ascii="Times New Roman" w:hAnsi="Times New Roman" w:cs="Times New Roman" w:hint="eastAsia"/>
                <w:sz w:val="24"/>
                <w:szCs w:val="24"/>
              </w:rPr>
              <w:t xml:space="preserve"> </w:t>
            </w:r>
          </w:p>
        </w:tc>
        <w:tc>
          <w:tcPr>
            <w:tcW w:w="1276"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5.27</w:t>
            </w:r>
          </w:p>
        </w:tc>
        <w:tc>
          <w:tcPr>
            <w:tcW w:w="1559"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196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-36</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-30</w:t>
            </w:r>
          </w:p>
        </w:tc>
        <w:tc>
          <w:tcPr>
            <w:tcW w:w="1134" w:type="dxa"/>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60</w:t>
            </w:r>
          </w:p>
        </w:tc>
      </w:tr>
      <w:tr w:rsidR="00EA0D74">
        <w:tc>
          <w:tcPr>
            <w:tcW w:w="4106" w:type="dxa"/>
            <w:tcBorders>
              <w:bottom w:val="single" w:sz="4" w:space="0" w:color="auto"/>
            </w:tcBorders>
          </w:tcPr>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t xml:space="preserve">Bilateral </w:t>
            </w:r>
            <w:r>
              <w:rPr>
                <w:rFonts w:ascii="Times New Roman" w:hAnsi="Times New Roman" w:cs="Times New Roman"/>
                <w:sz w:val="24"/>
                <w:szCs w:val="24"/>
              </w:rPr>
              <w:t>Middle Occipital Gyrus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t xml:space="preserve"> </w:t>
            </w:r>
            <w:proofErr w:type="spellStart"/>
            <w:r>
              <w:rPr>
                <w:rFonts w:ascii="Times New Roman" w:hAnsi="Times New Roman" w:cs="Times New Roman"/>
                <w:sz w:val="24"/>
                <w:szCs w:val="24"/>
              </w:rPr>
              <w:t>Calcarine</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 Lingual Gyrus</w:t>
            </w:r>
            <w:r>
              <w:rPr>
                <w:rFonts w:ascii="Times New Roman" w:hAnsi="Times New Roman" w:cs="Times New Roman" w:hint="eastAsia"/>
                <w:sz w:val="24"/>
                <w:szCs w:val="24"/>
              </w:rPr>
              <w:t xml:space="preserve"> / </w:t>
            </w:r>
            <w:r>
              <w:rPr>
                <w:rFonts w:ascii="Times New Roman" w:hAnsi="Times New Roman" w:cs="Times New Roman"/>
                <w:sz w:val="24"/>
                <w:szCs w:val="24"/>
              </w:rPr>
              <w:t>Cuneus</w:t>
            </w:r>
          </w:p>
        </w:tc>
        <w:tc>
          <w:tcPr>
            <w:tcW w:w="1276" w:type="dxa"/>
            <w:tcBorders>
              <w:bottom w:val="single" w:sz="4" w:space="0" w:color="auto"/>
            </w:tcBorders>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-5.26</w:t>
            </w:r>
          </w:p>
        </w:tc>
        <w:tc>
          <w:tcPr>
            <w:tcW w:w="1559" w:type="dxa"/>
            <w:tcBorders>
              <w:bottom w:val="single" w:sz="4" w:space="0" w:color="auto"/>
            </w:tcBorders>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486</w:t>
            </w:r>
          </w:p>
        </w:tc>
        <w:tc>
          <w:tcPr>
            <w:tcW w:w="1134" w:type="dxa"/>
            <w:tcBorders>
              <w:bottom w:val="single" w:sz="4" w:space="0" w:color="auto"/>
            </w:tcBorders>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42</w:t>
            </w:r>
          </w:p>
        </w:tc>
        <w:tc>
          <w:tcPr>
            <w:tcW w:w="1134" w:type="dxa"/>
            <w:tcBorders>
              <w:bottom w:val="single" w:sz="4" w:space="0" w:color="auto"/>
            </w:tcBorders>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-66</w:t>
            </w:r>
          </w:p>
        </w:tc>
        <w:tc>
          <w:tcPr>
            <w:tcW w:w="1134" w:type="dxa"/>
            <w:tcBorders>
              <w:bottom w:val="single" w:sz="4" w:space="0" w:color="auto"/>
            </w:tcBorders>
          </w:tcPr>
          <w:p w:rsidR="00EA0D74" w:rsidRDefault="00746ABF">
            <w:pPr>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w:t>
            </w:r>
          </w:p>
        </w:tc>
      </w:tr>
    </w:tbl>
    <w:p w:rsidR="00EA0D74" w:rsidRDefault="00746ABF">
      <w:pPr>
        <w:rPr>
          <w:rFonts w:ascii="Times New Roman" w:hAnsi="Times New Roman" w:cs="Times New Roman"/>
          <w:sz w:val="24"/>
          <w:szCs w:val="24"/>
        </w:rPr>
      </w:pPr>
      <w:r>
        <w:rPr>
          <w:rFonts w:ascii="Times New Roman" w:hAnsi="Times New Roman" w:cs="Times New Roman"/>
          <w:b/>
          <w:sz w:val="24"/>
          <w:szCs w:val="24"/>
        </w:rPr>
        <w:t>Notes: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L, left side of brain; R, right side of brain. Results are reported using a voxel-wise FDR threshold of </w:t>
      </w:r>
      <w:r>
        <w:rPr>
          <w:rFonts w:ascii="Times New Roman" w:hAnsi="Times New Roman" w:cs="Times New Roman"/>
          <w:i/>
          <w:sz w:val="24"/>
          <w:szCs w:val="24"/>
        </w:rPr>
        <w:t>P</w:t>
      </w:r>
      <w:r>
        <w:rPr>
          <w:rFonts w:ascii="Times New Roman" w:hAnsi="Times New Roman" w:cs="Times New Roman"/>
          <w:sz w:val="24"/>
          <w:szCs w:val="24"/>
        </w:rPr>
        <w:t xml:space="preserve"> &lt; .05 and an additional cluster-size threshold of k=20</w:t>
      </w:r>
      <w:r>
        <w:rPr>
          <w:rFonts w:ascii="Times New Roman" w:hAnsi="Times New Roman" w:cs="Times New Roman" w:hint="eastAsia"/>
          <w:sz w:val="24"/>
          <w:szCs w:val="24"/>
        </w:rPr>
        <w:t>.</w:t>
      </w:r>
    </w:p>
    <w:p w:rsidR="00EA0D74" w:rsidRDefault="00EA0D74"/>
    <w:p w:rsidR="00EA0D74" w:rsidRDefault="00EA0D74"/>
    <w:p w:rsidR="00EA0D74" w:rsidRDefault="00EA0D74"/>
    <w:p w:rsidR="00EA0D74" w:rsidRDefault="00EA0D74"/>
    <w:p w:rsidR="00EA0D74" w:rsidRDefault="00EA0D74"/>
    <w:p w:rsidR="00EA0D74" w:rsidRDefault="00EA0D74"/>
    <w:p w:rsidR="00EA0D74" w:rsidRDefault="00746ABF">
      <w:r>
        <w:br w:type="page"/>
      </w:r>
    </w:p>
    <w:p w:rsidR="00EA0D74" w:rsidRDefault="00746ABF">
      <w:pPr>
        <w:jc w:val="center"/>
        <w:rPr>
          <w:rFonts w:ascii="Times New Roman" w:hAnsi="Times New Roman" w:cs="Times New Roman"/>
          <w:sz w:val="24"/>
          <w:szCs w:val="24"/>
        </w:rPr>
      </w:pPr>
      <w:r>
        <w:rPr>
          <w:rFonts w:ascii="Times New Roman" w:hAnsi="Times New Roman" w:cs="Times New Roman" w:hint="eastAsia"/>
          <w:sz w:val="24"/>
          <w:szCs w:val="24"/>
        </w:rPr>
        <w:lastRenderedPageBreak/>
        <w:t xml:space="preserve">Table S2.  </w:t>
      </w:r>
      <w:r>
        <w:rPr>
          <w:rFonts w:ascii="Times New Roman" w:hAnsi="Times New Roman" w:cs="Times New Roman"/>
          <w:sz w:val="24"/>
          <w:szCs w:val="24"/>
        </w:rPr>
        <w:t xml:space="preserve">Association </w:t>
      </w:r>
      <w:proofErr w:type="gramStart"/>
      <w:r>
        <w:rPr>
          <w:rFonts w:ascii="Times New Roman" w:hAnsi="Times New Roman" w:cs="Times New Roman"/>
          <w:sz w:val="24"/>
          <w:szCs w:val="24"/>
        </w:rPr>
        <w:t>Between</w:t>
      </w:r>
      <w:proofErr w:type="gramEnd"/>
      <w:r>
        <w:rPr>
          <w:rFonts w:ascii="Times New Roman" w:hAnsi="Times New Roman" w:cs="Times New Roman"/>
          <w:sz w:val="24"/>
          <w:szCs w:val="24"/>
        </w:rPr>
        <w:t xml:space="preserve"> Atypical </w:t>
      </w:r>
      <w:r>
        <w:rPr>
          <w:rFonts w:ascii="Times New Roman" w:hAnsi="Times New Roman" w:cs="Times New Roman" w:hint="eastAsia"/>
          <w:sz w:val="24"/>
          <w:szCs w:val="24"/>
        </w:rPr>
        <w:t xml:space="preserve">Gradient, SFC </w:t>
      </w:r>
      <w:r>
        <w:rPr>
          <w:rFonts w:ascii="Times New Roman" w:hAnsi="Times New Roman" w:cs="Times New Roman"/>
          <w:sz w:val="24"/>
          <w:szCs w:val="24"/>
        </w:rPr>
        <w:t>Degree and Clinical Severity in</w:t>
      </w:r>
      <w:r>
        <w:rPr>
          <w:rFonts w:ascii="Times New Roman" w:hAnsi="Times New Roman" w:cs="Times New Roman" w:hint="eastAsia"/>
          <w:sz w:val="24"/>
          <w:szCs w:val="24"/>
        </w:rPr>
        <w:t xml:space="preserve"> Schizophrenia</w:t>
      </w:r>
    </w:p>
    <w:tbl>
      <w:tblPr>
        <w:tblStyle w:val="a6"/>
        <w:tblW w:w="1139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76"/>
        <w:gridCol w:w="1861"/>
        <w:gridCol w:w="974"/>
        <w:gridCol w:w="1134"/>
        <w:gridCol w:w="851"/>
        <w:gridCol w:w="992"/>
        <w:gridCol w:w="850"/>
        <w:gridCol w:w="851"/>
        <w:gridCol w:w="850"/>
        <w:gridCol w:w="1010"/>
        <w:gridCol w:w="850"/>
      </w:tblGrid>
      <w:tr w:rsidR="00EA0D74">
        <w:trPr>
          <w:jc w:val="center"/>
        </w:trPr>
        <w:tc>
          <w:tcPr>
            <w:tcW w:w="1176" w:type="dxa"/>
            <w:vMerge w:val="restart"/>
          </w:tcPr>
          <w:p w:rsidR="00EA0D74" w:rsidRDefault="00746ABF">
            <w:pPr>
              <w:jc w:val="left"/>
              <w:rPr>
                <w:rFonts w:ascii="Times New Roman" w:hAnsi="Times New Roman" w:cs="Times New Roman"/>
                <w:sz w:val="22"/>
              </w:rPr>
            </w:pPr>
            <w:r>
              <w:rPr>
                <w:rFonts w:ascii="Times New Roman" w:hAnsi="Times New Roman" w:cs="Times New Roman"/>
                <w:sz w:val="22"/>
              </w:rPr>
              <w:t>Index</w:t>
            </w:r>
          </w:p>
        </w:tc>
        <w:tc>
          <w:tcPr>
            <w:tcW w:w="2835" w:type="dxa"/>
            <w:gridSpan w:val="2"/>
            <w:vMerge w:val="restart"/>
          </w:tcPr>
          <w:p w:rsidR="00EA0D74" w:rsidRDefault="00746ABF">
            <w:pPr>
              <w:jc w:val="center"/>
              <w:rPr>
                <w:rFonts w:ascii="Times New Roman" w:hAnsi="Times New Roman" w:cs="Times New Roman"/>
                <w:sz w:val="22"/>
              </w:rPr>
            </w:pPr>
            <w:r>
              <w:rPr>
                <w:rFonts w:ascii="Times New Roman" w:hAnsi="Times New Roman" w:cs="Times New Roman"/>
                <w:sz w:val="22"/>
              </w:rPr>
              <w:t>Region</w:t>
            </w:r>
            <w:r w:rsidR="001C090F">
              <w:rPr>
                <w:rFonts w:ascii="Times New Roman" w:hAnsi="Times New Roman" w:cs="Times New Roman"/>
                <w:sz w:val="22"/>
              </w:rPr>
              <w:t>s</w:t>
            </w:r>
          </w:p>
        </w:tc>
        <w:tc>
          <w:tcPr>
            <w:tcW w:w="1985" w:type="dxa"/>
            <w:gridSpan w:val="2"/>
            <w:tcBorders>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PANSS-P</w:t>
            </w:r>
          </w:p>
        </w:tc>
        <w:tc>
          <w:tcPr>
            <w:tcW w:w="1842" w:type="dxa"/>
            <w:gridSpan w:val="2"/>
            <w:tcBorders>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PANSS-N</w:t>
            </w:r>
          </w:p>
        </w:tc>
        <w:tc>
          <w:tcPr>
            <w:tcW w:w="1701" w:type="dxa"/>
            <w:gridSpan w:val="2"/>
            <w:tcBorders>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PANSS-G</w:t>
            </w:r>
          </w:p>
        </w:tc>
        <w:tc>
          <w:tcPr>
            <w:tcW w:w="1860" w:type="dxa"/>
            <w:gridSpan w:val="2"/>
            <w:tcBorders>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PANSS-T</w:t>
            </w:r>
          </w:p>
        </w:tc>
      </w:tr>
      <w:tr w:rsidR="00EA0D74">
        <w:trPr>
          <w:jc w:val="center"/>
        </w:trPr>
        <w:tc>
          <w:tcPr>
            <w:tcW w:w="1176" w:type="dxa"/>
            <w:vMerge/>
            <w:tcBorders>
              <w:bottom w:val="single" w:sz="4" w:space="0" w:color="auto"/>
            </w:tcBorders>
          </w:tcPr>
          <w:p w:rsidR="00EA0D74" w:rsidRDefault="00EA0D74">
            <w:pPr>
              <w:jc w:val="left"/>
              <w:rPr>
                <w:rFonts w:ascii="Times New Roman" w:hAnsi="Times New Roman" w:cs="Times New Roman"/>
                <w:sz w:val="22"/>
              </w:rPr>
            </w:pPr>
          </w:p>
        </w:tc>
        <w:tc>
          <w:tcPr>
            <w:tcW w:w="2835" w:type="dxa"/>
            <w:gridSpan w:val="2"/>
            <w:vMerge/>
            <w:tcBorders>
              <w:bottom w:val="single" w:sz="4" w:space="0" w:color="auto"/>
            </w:tcBorders>
          </w:tcPr>
          <w:p w:rsidR="00EA0D74" w:rsidRDefault="00EA0D74">
            <w:pPr>
              <w:jc w:val="center"/>
              <w:rPr>
                <w:rFonts w:ascii="Times New Roman" w:hAnsi="Times New Roman" w:cs="Times New Roman"/>
                <w:color w:val="000000"/>
                <w:sz w:val="22"/>
              </w:rPr>
            </w:pPr>
          </w:p>
        </w:tc>
        <w:tc>
          <w:tcPr>
            <w:tcW w:w="1134"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r</w:t>
            </w:r>
          </w:p>
        </w:tc>
        <w:tc>
          <w:tcPr>
            <w:tcW w:w="851"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w:t>
            </w:r>
          </w:p>
        </w:tc>
        <w:tc>
          <w:tcPr>
            <w:tcW w:w="992"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r</w:t>
            </w:r>
          </w:p>
        </w:tc>
        <w:tc>
          <w:tcPr>
            <w:tcW w:w="850"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w:t>
            </w:r>
          </w:p>
        </w:tc>
        <w:tc>
          <w:tcPr>
            <w:tcW w:w="851"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r</w:t>
            </w:r>
          </w:p>
        </w:tc>
        <w:tc>
          <w:tcPr>
            <w:tcW w:w="850"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w:t>
            </w:r>
          </w:p>
        </w:tc>
        <w:tc>
          <w:tcPr>
            <w:tcW w:w="1010"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r</w:t>
            </w:r>
          </w:p>
        </w:tc>
        <w:tc>
          <w:tcPr>
            <w:tcW w:w="850" w:type="dxa"/>
            <w:tcBorders>
              <w:top w:val="single" w:sz="4" w:space="0" w:color="auto"/>
              <w:bottom w:val="single" w:sz="4" w:space="0" w:color="auto"/>
            </w:tcBorders>
          </w:tcPr>
          <w:p w:rsidR="00EA0D74" w:rsidRDefault="00746ABF">
            <w:pPr>
              <w:jc w:val="center"/>
              <w:rPr>
                <w:rFonts w:ascii="Times New Roman" w:hAnsi="Times New Roman" w:cs="Times New Roman"/>
                <w:sz w:val="22"/>
              </w:rPr>
            </w:pPr>
            <w:r>
              <w:rPr>
                <w:rFonts w:ascii="Times New Roman" w:hAnsi="Times New Roman" w:cs="Times New Roman"/>
                <w:sz w:val="22"/>
              </w:rPr>
              <w:t>p</w:t>
            </w:r>
          </w:p>
        </w:tc>
      </w:tr>
      <w:tr w:rsidR="00EA0D74">
        <w:trPr>
          <w:jc w:val="center"/>
        </w:trPr>
        <w:tc>
          <w:tcPr>
            <w:tcW w:w="1176" w:type="dxa"/>
            <w:tcBorders>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Gradient</w:t>
            </w:r>
          </w:p>
        </w:tc>
        <w:tc>
          <w:tcPr>
            <w:tcW w:w="2835" w:type="dxa"/>
            <w:gridSpan w:val="2"/>
            <w:tcBorders>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Ventral Medial Frontal Gyrus</w:t>
            </w:r>
          </w:p>
        </w:tc>
        <w:tc>
          <w:tcPr>
            <w:tcW w:w="1134"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-0.032</w:t>
            </w:r>
          </w:p>
        </w:tc>
        <w:tc>
          <w:tcPr>
            <w:tcW w:w="851"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0.799</w:t>
            </w:r>
          </w:p>
        </w:tc>
        <w:tc>
          <w:tcPr>
            <w:tcW w:w="992" w:type="dxa"/>
            <w:tcBorders>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-0.318</w:t>
            </w:r>
            <w:r>
              <w:rPr>
                <w:rFonts w:ascii="Times New Roman" w:hAnsi="Times New Roman" w:cs="Times New Roman" w:hint="eastAsia"/>
                <w:color w:val="00B050"/>
                <w:sz w:val="22"/>
              </w:rPr>
              <w:t>*</w:t>
            </w:r>
          </w:p>
        </w:tc>
        <w:tc>
          <w:tcPr>
            <w:tcW w:w="850" w:type="dxa"/>
            <w:tcBorders>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0.010</w:t>
            </w:r>
          </w:p>
        </w:tc>
        <w:tc>
          <w:tcPr>
            <w:tcW w:w="851"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-0.031</w:t>
            </w:r>
          </w:p>
        </w:tc>
        <w:tc>
          <w:tcPr>
            <w:tcW w:w="850"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0.810</w:t>
            </w:r>
          </w:p>
        </w:tc>
        <w:tc>
          <w:tcPr>
            <w:tcW w:w="1010"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-0.173</w:t>
            </w:r>
          </w:p>
        </w:tc>
        <w:tc>
          <w:tcPr>
            <w:tcW w:w="850" w:type="dxa"/>
            <w:tcBorders>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0.172</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Gradient</w:t>
            </w: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Anterior Insula</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-0.007</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0.953</w:t>
            </w:r>
          </w:p>
        </w:tc>
        <w:tc>
          <w:tcPr>
            <w:tcW w:w="992"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hint="eastAsia"/>
                <w:color w:val="00B050"/>
                <w:sz w:val="22"/>
              </w:rPr>
              <w:t>-</w:t>
            </w:r>
            <w:r>
              <w:rPr>
                <w:rFonts w:ascii="Times New Roman" w:hAnsi="Times New Roman" w:cs="Times New Roman"/>
                <w:color w:val="00B050"/>
                <w:sz w:val="22"/>
              </w:rPr>
              <w:t>0.258</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0.039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0.092</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0.470</w:t>
            </w:r>
          </w:p>
        </w:tc>
        <w:tc>
          <w:tcPr>
            <w:tcW w:w="101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0.155</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0.222</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Gradient</w:t>
            </w: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L </w:t>
            </w:r>
            <w:proofErr w:type="spellStart"/>
            <w:r>
              <w:rPr>
                <w:rFonts w:ascii="Times New Roman" w:hAnsi="Times New Roman" w:cs="Times New Roman"/>
                <w:color w:val="000000" w:themeColor="text1"/>
                <w:sz w:val="22"/>
              </w:rPr>
              <w:t>Precuneus</w:t>
            </w:r>
            <w:proofErr w:type="spellEnd"/>
          </w:p>
        </w:tc>
        <w:tc>
          <w:tcPr>
            <w:tcW w:w="1134"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-0.366</w:t>
            </w:r>
            <w:r>
              <w:rPr>
                <w:rFonts w:ascii="Times New Roman" w:hAnsi="Times New Roman" w:cs="Times New Roman" w:hint="eastAsia"/>
                <w:color w:val="00B050"/>
                <w:sz w:val="22"/>
              </w:rPr>
              <w:t>*</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0.002</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-0.102</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0.423</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-0.183</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0.147</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-0.292</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0.019</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SFC-step1</w:t>
            </w: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Superior Frontal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-0.085</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0.499</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-0.051</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0.688</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-0.278</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0.026</w:t>
            </w:r>
          </w:p>
        </w:tc>
        <w:tc>
          <w:tcPr>
            <w:tcW w:w="101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-0.184</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0.144</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R </w:t>
            </w:r>
            <w:r>
              <w:rPr>
                <w:rFonts w:ascii="Times New Roman" w:hAnsi="Times New Roman" w:cs="Times New Roman" w:hint="eastAsia"/>
                <w:color w:val="000000" w:themeColor="text1"/>
                <w:sz w:val="22"/>
              </w:rPr>
              <w:t xml:space="preserve">Anterior </w:t>
            </w:r>
            <w:r>
              <w:rPr>
                <w:rFonts w:ascii="Times New Roman" w:hAnsi="Times New Roman" w:cs="Times New Roman"/>
                <w:color w:val="000000" w:themeColor="text1"/>
                <w:sz w:val="22"/>
              </w:rPr>
              <w:t xml:space="preserve">Insular Cortex / Central </w:t>
            </w:r>
            <w:proofErr w:type="spellStart"/>
            <w:r>
              <w:rPr>
                <w:rFonts w:ascii="Times New Roman" w:hAnsi="Times New Roman" w:cs="Times New Roman"/>
                <w:color w:val="000000" w:themeColor="text1"/>
                <w:sz w:val="22"/>
              </w:rPr>
              <w:t>Opercular</w:t>
            </w:r>
            <w:proofErr w:type="spellEnd"/>
            <w:r>
              <w:rPr>
                <w:rFonts w:ascii="Times New Roman" w:hAnsi="Times New Roman" w:cs="Times New Roman"/>
                <w:color w:val="000000" w:themeColor="text1"/>
                <w:sz w:val="22"/>
              </w:rPr>
              <w:t xml:space="preserve"> Cortex</w:t>
            </w:r>
          </w:p>
        </w:tc>
        <w:tc>
          <w:tcPr>
            <w:tcW w:w="1134"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-0.290</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0.020</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-0.178</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0.157</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-0.303</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0.014</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-0.345</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0.005</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L </w:t>
            </w:r>
            <w:r>
              <w:rPr>
                <w:rFonts w:ascii="Times New Roman" w:hAnsi="Times New Roman" w:cs="Times New Roman" w:hint="eastAsia"/>
                <w:color w:val="000000" w:themeColor="text1"/>
                <w:sz w:val="22"/>
              </w:rPr>
              <w:t>Anterior</w:t>
            </w:r>
            <w:r>
              <w:rPr>
                <w:rFonts w:ascii="Times New Roman" w:hAnsi="Times New Roman" w:cs="Times New Roman"/>
                <w:color w:val="000000" w:themeColor="text1"/>
                <w:sz w:val="22"/>
              </w:rPr>
              <w:t xml:space="preserve"> Insular Cortex / Central </w:t>
            </w:r>
            <w:proofErr w:type="spellStart"/>
            <w:r>
              <w:rPr>
                <w:rFonts w:ascii="Times New Roman" w:hAnsi="Times New Roman" w:cs="Times New Roman"/>
                <w:color w:val="000000" w:themeColor="text1"/>
                <w:sz w:val="22"/>
              </w:rPr>
              <w:t>Opercular</w:t>
            </w:r>
            <w:proofErr w:type="spellEnd"/>
            <w:r>
              <w:rPr>
                <w:rFonts w:ascii="Times New Roman" w:hAnsi="Times New Roman" w:cs="Times New Roman"/>
                <w:color w:val="000000" w:themeColor="text1"/>
                <w:sz w:val="22"/>
              </w:rPr>
              <w:t xml:space="preserve"> Cortex</w:t>
            </w:r>
          </w:p>
        </w:tc>
        <w:tc>
          <w:tcPr>
            <w:tcW w:w="1134"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-0.354</w:t>
            </w:r>
            <w:r>
              <w:rPr>
                <w:rFonts w:ascii="Times New Roman" w:hAnsi="Times New Roman" w:cs="Times New Roman" w:hint="eastAsia"/>
                <w:color w:val="00B050"/>
                <w:sz w:val="22"/>
              </w:rPr>
              <w:t>*</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0.004</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-0.221</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0.078</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-0.259</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0.038</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-0.374</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0.002</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R</w:t>
            </w:r>
            <w:r>
              <w:rPr>
                <w:rStyle w:val="font01"/>
                <w:color w:val="000000" w:themeColor="text1"/>
                <w:sz w:val="22"/>
                <w:szCs w:val="22"/>
              </w:rPr>
              <w:t xml:space="preserve">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0.250</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0.046</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0.090</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0.476</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0.353</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0.004</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0.309</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0.012</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0.186</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0.139</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0.152</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0.227</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0.310</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0.012</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0.290</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0.020</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R</w:t>
            </w:r>
            <w:r>
              <w:rPr>
                <w:rFonts w:ascii="Times New Roman" w:hAnsi="Times New Roman" w:cs="Times New Roman"/>
                <w:color w:val="000000" w:themeColor="text1"/>
                <w:sz w:val="22"/>
              </w:rPr>
              <w:t xml:space="preserve"> Lingual Gyrus / </w:t>
            </w:r>
            <w:r>
              <w:rPr>
                <w:rStyle w:val="font11"/>
                <w:color w:val="000000" w:themeColor="text1"/>
                <w:sz w:val="22"/>
                <w:szCs w:val="22"/>
              </w:rPr>
              <w:t>Cuneus</w:t>
            </w:r>
          </w:p>
        </w:tc>
        <w:tc>
          <w:tcPr>
            <w:tcW w:w="1134"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0.324</w:t>
            </w:r>
            <w:r>
              <w:rPr>
                <w:rFonts w:ascii="Times New Roman" w:hAnsi="Times New Roman" w:cs="Times New Roman" w:hint="eastAsia"/>
                <w:color w:val="FF0000"/>
                <w:sz w:val="22"/>
              </w:rPr>
              <w:t>*</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0.008</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-0.104</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0.389</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sz w:val="22"/>
              </w:rPr>
              <w:t>-0.036</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0.776</w:t>
            </w:r>
          </w:p>
        </w:tc>
        <w:tc>
          <w:tcPr>
            <w:tcW w:w="101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0.079</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0.531</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SFC-step2</w:t>
            </w: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L </w:t>
            </w:r>
            <w:r>
              <w:rPr>
                <w:rFonts w:ascii="Times New Roman" w:hAnsi="Times New Roman" w:cs="Times New Roman" w:hint="eastAsia"/>
                <w:color w:val="000000" w:themeColor="text1"/>
                <w:sz w:val="22"/>
              </w:rPr>
              <w:t>Anterior</w:t>
            </w:r>
            <w:r>
              <w:rPr>
                <w:rFonts w:ascii="Times New Roman" w:hAnsi="Times New Roman" w:cs="Times New Roman"/>
                <w:color w:val="000000" w:themeColor="text1"/>
                <w:sz w:val="22"/>
              </w:rPr>
              <w:t xml:space="preserve"> Insular Cortex / Central </w:t>
            </w:r>
            <w:proofErr w:type="spellStart"/>
            <w:r>
              <w:rPr>
                <w:rFonts w:ascii="Times New Roman" w:hAnsi="Times New Roman" w:cs="Times New Roman"/>
                <w:color w:val="000000" w:themeColor="text1"/>
                <w:sz w:val="22"/>
              </w:rPr>
              <w:t>Opercular</w:t>
            </w:r>
            <w:proofErr w:type="spellEnd"/>
            <w:r>
              <w:rPr>
                <w:rFonts w:ascii="Times New Roman" w:hAnsi="Times New Roman" w:cs="Times New Roman"/>
                <w:color w:val="000000" w:themeColor="text1"/>
                <w:sz w:val="22"/>
              </w:rPr>
              <w:t xml:space="preserve"> Cortex</w:t>
            </w:r>
          </w:p>
        </w:tc>
        <w:tc>
          <w:tcPr>
            <w:tcW w:w="1134"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-0.238</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0.057</w:t>
            </w:r>
          </w:p>
        </w:tc>
        <w:tc>
          <w:tcPr>
            <w:tcW w:w="992"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-0.343</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0.005</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-0.276</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0.027</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-0.386</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0.001</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R pre/postcentral Gyrus</w:t>
            </w:r>
          </w:p>
        </w:tc>
        <w:tc>
          <w:tcPr>
            <w:tcW w:w="1134"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0.243</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0.052</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0.163</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0.197</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0.379</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0.002</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0.351</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0.004</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SFC-step3</w:t>
            </w: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L Anterior</w:t>
            </w:r>
            <w:r>
              <w:rPr>
                <w:rFonts w:ascii="Times New Roman" w:hAnsi="Times New Roman" w:cs="Times New Roman"/>
                <w:color w:val="000000" w:themeColor="text1"/>
                <w:sz w:val="22"/>
              </w:rPr>
              <w:t xml:space="preserve"> Insular Cortex / Central </w:t>
            </w:r>
            <w:proofErr w:type="spellStart"/>
            <w:r>
              <w:rPr>
                <w:rFonts w:ascii="Times New Roman" w:hAnsi="Times New Roman" w:cs="Times New Roman"/>
                <w:color w:val="000000" w:themeColor="text1"/>
                <w:sz w:val="22"/>
              </w:rPr>
              <w:t>Opercular</w:t>
            </w:r>
            <w:proofErr w:type="spellEnd"/>
            <w:r>
              <w:rPr>
                <w:rFonts w:ascii="Times New Roman" w:hAnsi="Times New Roman" w:cs="Times New Roman"/>
                <w:color w:val="000000" w:themeColor="text1"/>
                <w:sz w:val="22"/>
              </w:rPr>
              <w:t xml:space="preserve"> Cortex</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-0.159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0.208</w:t>
            </w:r>
          </w:p>
        </w:tc>
        <w:tc>
          <w:tcPr>
            <w:tcW w:w="992"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-0.383</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0.001</w:t>
            </w:r>
          </w:p>
        </w:tc>
        <w:tc>
          <w:tcPr>
            <w:tcW w:w="851"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-0.252</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0.044</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-0.358</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0.003</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R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0.164</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0.194</w:t>
            </w:r>
          </w:p>
        </w:tc>
        <w:tc>
          <w:tcPr>
            <w:tcW w:w="992"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0.166</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0.190</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0.326</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0.008</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0.293</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0.018</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R</w:t>
            </w:r>
            <w:r>
              <w:rPr>
                <w:rFonts w:ascii="Times New Roman" w:hAnsi="Times New Roman" w:cs="Times New Roman"/>
                <w:color w:val="000000" w:themeColor="text1"/>
                <w:sz w:val="22"/>
              </w:rPr>
              <w:t xml:space="preserve"> Middle Occipital Gyrus / </w:t>
            </w:r>
            <w:r>
              <w:rPr>
                <w:rStyle w:val="font01"/>
                <w:color w:val="000000" w:themeColor="text1"/>
                <w:sz w:val="22"/>
                <w:szCs w:val="22"/>
              </w:rPr>
              <w:t xml:space="preserve"> </w:t>
            </w:r>
            <w:r>
              <w:rPr>
                <w:rStyle w:val="font11"/>
                <w:color w:val="000000" w:themeColor="text1"/>
                <w:sz w:val="22"/>
                <w:szCs w:val="22"/>
              </w:rPr>
              <w:t>Lingual Gyrus / Cuneus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0.166</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0.190</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0.299</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0.016</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0.026</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0.833</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000000" w:themeColor="text1"/>
                <w:sz w:val="22"/>
              </w:rPr>
              <w:t>-0.050</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0.693</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SFC-step4</w:t>
            </w: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Middle Frontal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0.050</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0.689</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0.334</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0.006</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0.102</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0.418</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0.220</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0.079</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FBD4B4" w:themeFill="accent6" w:themeFillTint="66"/>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L </w:t>
            </w:r>
            <w:r>
              <w:rPr>
                <w:rFonts w:ascii="Times New Roman" w:hAnsi="Times New Roman" w:cs="Times New Roman" w:hint="eastAsia"/>
                <w:color w:val="000000" w:themeColor="text1"/>
                <w:sz w:val="22"/>
              </w:rPr>
              <w:t>Anterior</w:t>
            </w:r>
            <w:r>
              <w:rPr>
                <w:rFonts w:ascii="Times New Roman" w:hAnsi="Times New Roman" w:cs="Times New Roman"/>
                <w:color w:val="000000" w:themeColor="text1"/>
                <w:sz w:val="22"/>
              </w:rPr>
              <w:t xml:space="preserve"> Insular Cortex</w:t>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 xml:space="preserve">/ Central </w:t>
            </w:r>
            <w:proofErr w:type="spellStart"/>
            <w:r>
              <w:rPr>
                <w:rFonts w:ascii="Times New Roman" w:hAnsi="Times New Roman" w:cs="Times New Roman"/>
                <w:color w:val="000000" w:themeColor="text1"/>
                <w:sz w:val="22"/>
              </w:rPr>
              <w:t>Opercular</w:t>
            </w:r>
            <w:proofErr w:type="spellEnd"/>
            <w:r>
              <w:rPr>
                <w:rFonts w:ascii="Times New Roman" w:hAnsi="Times New Roman" w:cs="Times New Roman"/>
                <w:color w:val="000000" w:themeColor="text1"/>
                <w:sz w:val="22"/>
              </w:rPr>
              <w:t xml:space="preserve"> Cortex</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-0.025</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0.839</w:t>
            </w:r>
          </w:p>
        </w:tc>
        <w:tc>
          <w:tcPr>
            <w:tcW w:w="992"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-0.369</w:t>
            </w:r>
            <w:r>
              <w:rPr>
                <w:rFonts w:ascii="Times New Roman" w:hAnsi="Times New Roman" w:cs="Times New Roman" w:hint="eastAsia"/>
                <w:color w:val="00B050"/>
                <w:sz w:val="22"/>
              </w:rPr>
              <w:t>*</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0.002</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-0.226</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0.072</w:t>
            </w:r>
          </w:p>
        </w:tc>
        <w:tc>
          <w:tcPr>
            <w:tcW w:w="101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-0.280</w:t>
            </w:r>
          </w:p>
        </w:tc>
        <w:tc>
          <w:tcPr>
            <w:tcW w:w="850" w:type="dxa"/>
            <w:tcBorders>
              <w:top w:val="nil"/>
              <w:bottom w:val="nil"/>
            </w:tcBorders>
          </w:tcPr>
          <w:p w:rsidR="00EA0D74" w:rsidRDefault="00746ABF">
            <w:pPr>
              <w:jc w:val="center"/>
              <w:rPr>
                <w:rFonts w:ascii="Times New Roman" w:hAnsi="Times New Roman" w:cs="Times New Roman"/>
                <w:color w:val="00B050"/>
                <w:sz w:val="22"/>
              </w:rPr>
            </w:pPr>
            <w:r>
              <w:rPr>
                <w:rFonts w:ascii="Times New Roman" w:hAnsi="Times New Roman" w:cs="Times New Roman"/>
                <w:color w:val="00B050"/>
                <w:sz w:val="22"/>
              </w:rPr>
              <w:t>0.024</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R</w:t>
            </w:r>
            <w:r>
              <w:rPr>
                <w:rFonts w:ascii="Times New Roman" w:hAnsi="Times New Roman" w:cs="Times New Roman"/>
                <w:color w:val="000000" w:themeColor="text1"/>
                <w:sz w:val="22"/>
              </w:rPr>
              <w:t xml:space="preserve"> Middle O</w:t>
            </w:r>
            <w:r>
              <w:rPr>
                <w:rFonts w:ascii="Times New Roman" w:hAnsi="Times New Roman" w:cs="Times New Roman"/>
                <w:color w:val="000000" w:themeColor="text1"/>
                <w:sz w:val="22"/>
                <w:shd w:val="clear" w:color="auto" w:fill="C6D9F1" w:themeFill="text2" w:themeFillTint="33"/>
              </w:rPr>
              <w:t xml:space="preserve">ccipital Gyrus </w:t>
            </w:r>
            <w:r>
              <w:rPr>
                <w:rStyle w:val="font11"/>
                <w:color w:val="000000" w:themeColor="text1"/>
                <w:sz w:val="22"/>
                <w:szCs w:val="22"/>
                <w:shd w:val="clear" w:color="auto" w:fill="C6D9F1" w:themeFill="text2" w:themeFillTint="33"/>
              </w:rPr>
              <w:t xml:space="preserve">/ Lingual Gyrus </w:t>
            </w:r>
            <w:r>
              <w:rPr>
                <w:rStyle w:val="font11"/>
                <w:color w:val="000000" w:themeColor="text1"/>
                <w:sz w:val="22"/>
                <w:szCs w:val="22"/>
              </w:rPr>
              <w:t>/ Cuneus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0.163</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0.198</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0.293</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0.018</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0.015</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0.904</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-0.054</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0.671</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SFC-step5</w:t>
            </w: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0.029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0.816</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0.324</w:t>
            </w:r>
            <w:r>
              <w:rPr>
                <w:rFonts w:ascii="Times New Roman" w:hAnsi="Times New Roman" w:cs="Times New Roman" w:hint="eastAsia"/>
                <w:color w:val="FF0000"/>
                <w:sz w:val="22"/>
              </w:rPr>
              <w:t>*</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0.008</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0.247</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0.048</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0.270</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0.030</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R</w:t>
            </w:r>
            <w:r>
              <w:rPr>
                <w:rFonts w:ascii="Times New Roman" w:hAnsi="Times New Roman" w:cs="Times New Roman"/>
                <w:color w:val="000000" w:themeColor="text1"/>
                <w:sz w:val="22"/>
              </w:rPr>
              <w:t xml:space="preserve"> Middle Occipital Gyrus / </w:t>
            </w:r>
            <w:r>
              <w:rPr>
                <w:rStyle w:val="font01"/>
                <w:color w:val="000000" w:themeColor="text1"/>
                <w:sz w:val="22"/>
                <w:szCs w:val="22"/>
              </w:rPr>
              <w:t xml:space="preserve"> </w:t>
            </w:r>
            <w:r>
              <w:rPr>
                <w:rStyle w:val="font11"/>
                <w:color w:val="000000" w:themeColor="text1"/>
                <w:sz w:val="22"/>
                <w:szCs w:val="22"/>
              </w:rPr>
              <w:t>Lingual Gyrus / Cuneus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0.109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0.389</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0.247</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0.049</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-0.024</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0.850</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-0.074</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0.559</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SFC-step6</w:t>
            </w: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R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0.049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0.696</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000000" w:themeColor="text1"/>
                <w:sz w:val="22"/>
              </w:rPr>
              <w:t>0.170</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0.177</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0.262</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0.036</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0.215</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0.086</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L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0.010</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0.933</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0.313</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0.011</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0.255</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0.041</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0.260</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0.037</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hint="eastAsia"/>
                <w:color w:val="000000" w:themeColor="text1"/>
                <w:sz w:val="22"/>
              </w:rPr>
              <w:t xml:space="preserve">R </w:t>
            </w:r>
            <w:r>
              <w:rPr>
                <w:rFonts w:ascii="Times New Roman" w:hAnsi="Times New Roman" w:cs="Times New Roman"/>
                <w:color w:val="000000" w:themeColor="text1"/>
                <w:sz w:val="22"/>
              </w:rPr>
              <w:t>Middle Occipital Gyrus /</w:t>
            </w:r>
            <w:r>
              <w:rPr>
                <w:rFonts w:ascii="Times New Roman" w:hAnsi="Times New Roman" w:cs="Times New Roman" w:hint="eastAsia"/>
                <w:color w:val="000000" w:themeColor="text1"/>
                <w:sz w:val="22"/>
              </w:rPr>
              <w:t xml:space="preserve"> </w:t>
            </w:r>
            <w:r>
              <w:rPr>
                <w:rStyle w:val="font11"/>
                <w:color w:val="000000" w:themeColor="text1"/>
                <w:sz w:val="22"/>
                <w:szCs w:val="22"/>
              </w:rPr>
              <w:t>Lingual Gyrus / Cuneus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0.066</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0.601</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0.259</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0.038</w:t>
            </w:r>
          </w:p>
        </w:tc>
        <w:tc>
          <w:tcPr>
            <w:tcW w:w="851"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-0.069</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0.587</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-0.118</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0.349</w:t>
            </w:r>
          </w:p>
        </w:tc>
      </w:tr>
      <w:tr w:rsidR="00EA0D74">
        <w:trPr>
          <w:jc w:val="center"/>
        </w:trPr>
        <w:tc>
          <w:tcPr>
            <w:tcW w:w="1176" w:type="dxa"/>
            <w:tcBorders>
              <w:top w:val="nil"/>
              <w:bottom w:val="nil"/>
            </w:tcBorders>
          </w:tcPr>
          <w:p w:rsidR="00EA0D74" w:rsidRDefault="00746ABF">
            <w:pPr>
              <w:jc w:val="left"/>
              <w:rPr>
                <w:rFonts w:ascii="Times New Roman" w:hAnsi="Times New Roman" w:cs="Times New Roman"/>
                <w:sz w:val="22"/>
              </w:rPr>
            </w:pPr>
            <w:r>
              <w:rPr>
                <w:rFonts w:ascii="Times New Roman" w:hAnsi="Times New Roman" w:cs="Times New Roman"/>
                <w:sz w:val="22"/>
              </w:rPr>
              <w:t>SFC-step6</w:t>
            </w: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R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0.039</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0.753</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000000" w:themeColor="text1"/>
                <w:sz w:val="22"/>
              </w:rPr>
              <w:t>0.169</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0.181</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0.255</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0.041</w:t>
            </w:r>
          </w:p>
        </w:tc>
        <w:tc>
          <w:tcPr>
            <w:tcW w:w="1010" w:type="dxa"/>
            <w:tcBorders>
              <w:top w:val="nil"/>
              <w:bottom w:val="nil"/>
            </w:tcBorders>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0.207</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0.09</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L pre/postcentral Gyrus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0.006</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0.961</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0.307</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0.013</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0.256</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0.041</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0.256</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0.041</w:t>
            </w:r>
          </w:p>
        </w:tc>
      </w:tr>
      <w:tr w:rsidR="00EA0D74">
        <w:trPr>
          <w:jc w:val="center"/>
        </w:trPr>
        <w:tc>
          <w:tcPr>
            <w:tcW w:w="1176" w:type="dxa"/>
            <w:tcBorders>
              <w:top w:val="nil"/>
              <w:bottom w:val="nil"/>
            </w:tcBorders>
          </w:tcPr>
          <w:p w:rsidR="00EA0D74" w:rsidRDefault="00EA0D74">
            <w:pPr>
              <w:jc w:val="left"/>
              <w:rPr>
                <w:rFonts w:ascii="Times New Roman" w:hAnsi="Times New Roman" w:cs="Times New Roman"/>
                <w:sz w:val="22"/>
              </w:rPr>
            </w:pPr>
          </w:p>
        </w:tc>
        <w:tc>
          <w:tcPr>
            <w:tcW w:w="2835" w:type="dxa"/>
            <w:gridSpan w:val="2"/>
            <w:tcBorders>
              <w:top w:val="nil"/>
              <w:bottom w:val="nil"/>
            </w:tcBorders>
            <w:shd w:val="clear" w:color="auto" w:fill="C6D9F1" w:themeFill="text2" w:themeFillTint="33"/>
          </w:tcPr>
          <w:p w:rsidR="00EA0D74" w:rsidRDefault="00746ABF">
            <w:pPr>
              <w:jc w:val="center"/>
              <w:rPr>
                <w:rFonts w:ascii="Times New Roman" w:eastAsia="宋体" w:hAnsi="Times New Roman" w:cs="Times New Roman"/>
                <w:color w:val="000000" w:themeColor="text1"/>
                <w:sz w:val="22"/>
              </w:rPr>
            </w:pPr>
            <w:r>
              <w:rPr>
                <w:rFonts w:ascii="Times New Roman" w:hAnsi="Times New Roman" w:cs="Times New Roman"/>
                <w:color w:val="000000" w:themeColor="text1"/>
                <w:sz w:val="22"/>
              </w:rPr>
              <w:t xml:space="preserve">R Middle Occipital Gyrus / </w:t>
            </w:r>
            <w:r>
              <w:rPr>
                <w:rStyle w:val="font01"/>
                <w:color w:val="000000" w:themeColor="text1"/>
                <w:sz w:val="22"/>
                <w:szCs w:val="22"/>
              </w:rPr>
              <w:t xml:space="preserve"> </w:t>
            </w:r>
            <w:r>
              <w:rPr>
                <w:rStyle w:val="font11"/>
                <w:color w:val="000000" w:themeColor="text1"/>
                <w:sz w:val="22"/>
                <w:szCs w:val="22"/>
              </w:rPr>
              <w:t>Lingual Gyrus / Cuneus</w:t>
            </w:r>
          </w:p>
        </w:tc>
        <w:tc>
          <w:tcPr>
            <w:tcW w:w="1134"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0.057</w:t>
            </w:r>
          </w:p>
        </w:tc>
        <w:tc>
          <w:tcPr>
            <w:tcW w:w="851"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0.648</w:t>
            </w:r>
          </w:p>
        </w:tc>
        <w:tc>
          <w:tcPr>
            <w:tcW w:w="992"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0.264</w:t>
            </w:r>
          </w:p>
        </w:tc>
        <w:tc>
          <w:tcPr>
            <w:tcW w:w="85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FF0000"/>
                <w:sz w:val="22"/>
              </w:rPr>
              <w:t>0.035</w:t>
            </w:r>
          </w:p>
        </w:tc>
        <w:tc>
          <w:tcPr>
            <w:tcW w:w="851"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000000" w:themeColor="text1"/>
                <w:sz w:val="22"/>
              </w:rPr>
              <w:t>-0.073</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0.538</w:t>
            </w:r>
          </w:p>
        </w:tc>
        <w:tc>
          <w:tcPr>
            <w:tcW w:w="1010" w:type="dxa"/>
            <w:tcBorders>
              <w:top w:val="nil"/>
              <w:bottom w:val="nil"/>
            </w:tcBorders>
          </w:tcPr>
          <w:p w:rsidR="00EA0D74" w:rsidRDefault="00746ABF">
            <w:pPr>
              <w:jc w:val="center"/>
              <w:rPr>
                <w:rFonts w:ascii="Times New Roman" w:hAnsi="Times New Roman" w:cs="Times New Roman"/>
                <w:color w:val="FF0000"/>
                <w:sz w:val="22"/>
              </w:rPr>
            </w:pPr>
            <w:r>
              <w:rPr>
                <w:rFonts w:ascii="Times New Roman" w:hAnsi="Times New Roman" w:cs="Times New Roman"/>
                <w:color w:val="000000" w:themeColor="text1"/>
                <w:sz w:val="22"/>
              </w:rPr>
              <w:t>-0.128</w:t>
            </w:r>
          </w:p>
        </w:tc>
        <w:tc>
          <w:tcPr>
            <w:tcW w:w="850" w:type="dxa"/>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sz w:val="22"/>
              </w:rPr>
              <w:t>0.309</w:t>
            </w:r>
          </w:p>
        </w:tc>
      </w:tr>
      <w:tr w:rsidR="00EA0D74">
        <w:trPr>
          <w:jc w:val="center"/>
        </w:trPr>
        <w:tc>
          <w:tcPr>
            <w:tcW w:w="1176" w:type="dxa"/>
            <w:tcBorders>
              <w:top w:val="nil"/>
              <w:bottom w:val="nil"/>
            </w:tcBorders>
            <w:shd w:val="clear" w:color="auto" w:fill="auto"/>
          </w:tcPr>
          <w:p w:rsidR="00EA0D74" w:rsidRDefault="00EA0D74">
            <w:pPr>
              <w:jc w:val="left"/>
              <w:rPr>
                <w:rFonts w:ascii="Times New Roman" w:hAnsi="Times New Roman" w:cs="Times New Roman"/>
                <w:sz w:val="22"/>
              </w:rPr>
            </w:pPr>
          </w:p>
        </w:tc>
        <w:tc>
          <w:tcPr>
            <w:tcW w:w="1861" w:type="dxa"/>
            <w:tcBorders>
              <w:top w:val="nil"/>
              <w:bottom w:val="nil"/>
            </w:tcBorders>
            <w:shd w:val="clear" w:color="auto" w:fill="FABF8F" w:themeFill="accent6" w:themeFillTint="99"/>
          </w:tcPr>
          <w:p w:rsidR="00EA0D74" w:rsidRDefault="00EA0D74">
            <w:pPr>
              <w:jc w:val="center"/>
              <w:rPr>
                <w:rFonts w:ascii="Times New Roman" w:hAnsi="Times New Roman" w:cs="Times New Roman"/>
                <w:color w:val="000000" w:themeColor="text1"/>
                <w:sz w:val="22"/>
              </w:rPr>
            </w:pPr>
          </w:p>
        </w:tc>
        <w:tc>
          <w:tcPr>
            <w:tcW w:w="974" w:type="dxa"/>
            <w:tcBorders>
              <w:top w:val="nil"/>
              <w:bottom w:val="nil"/>
            </w:tcBorders>
            <w:shd w:val="clear" w:color="auto" w:fill="auto"/>
          </w:tcPr>
          <w:p w:rsidR="00EA0D74" w:rsidRDefault="00746ABF">
            <w:pPr>
              <w:jc w:val="center"/>
              <w:rPr>
                <w:rFonts w:ascii="Times New Roman" w:hAnsi="Times New Roman" w:cs="Times New Roman"/>
                <w:color w:val="000000" w:themeColor="text1"/>
                <w:sz w:val="22"/>
              </w:rPr>
            </w:pPr>
            <w:r>
              <w:rPr>
                <w:rFonts w:ascii="Times New Roman" w:hAnsi="Times New Roman" w:cs="Times New Roman" w:hint="eastAsia"/>
                <w:color w:val="000000" w:themeColor="text1"/>
                <w:sz w:val="22"/>
              </w:rPr>
              <w:t>SZ&gt;HC</w:t>
            </w:r>
          </w:p>
        </w:tc>
        <w:tc>
          <w:tcPr>
            <w:tcW w:w="7388" w:type="dxa"/>
            <w:gridSpan w:val="8"/>
            <w:tcBorders>
              <w:top w:val="nil"/>
              <w:bottom w:val="nil"/>
            </w:tcBorders>
          </w:tcPr>
          <w:p w:rsidR="00EA0D74" w:rsidRDefault="00746ABF">
            <w:pPr>
              <w:jc w:val="center"/>
              <w:rPr>
                <w:rFonts w:ascii="Times New Roman" w:hAnsi="Times New Roman" w:cs="Times New Roman"/>
                <w:sz w:val="22"/>
              </w:rPr>
            </w:pPr>
            <w:r>
              <w:rPr>
                <w:rFonts w:ascii="Times New Roman" w:hAnsi="Times New Roman" w:cs="Times New Roman" w:hint="eastAsia"/>
                <w:color w:val="FF0000"/>
                <w:sz w:val="22"/>
              </w:rPr>
              <w:t xml:space="preserve">The higher value is lined to the worse clinical </w:t>
            </w:r>
            <w:r>
              <w:rPr>
                <w:rFonts w:ascii="Times New Roman" w:hAnsi="Times New Roman" w:cs="Times New Roman"/>
                <w:color w:val="FF0000"/>
                <w:sz w:val="22"/>
              </w:rPr>
              <w:t>symptoms</w:t>
            </w:r>
          </w:p>
        </w:tc>
      </w:tr>
      <w:tr w:rsidR="00EA0D74">
        <w:trPr>
          <w:jc w:val="center"/>
        </w:trPr>
        <w:tc>
          <w:tcPr>
            <w:tcW w:w="1176" w:type="dxa"/>
            <w:tcBorders>
              <w:top w:val="nil"/>
            </w:tcBorders>
            <w:shd w:val="clear" w:color="auto" w:fill="auto"/>
          </w:tcPr>
          <w:p w:rsidR="00EA0D74" w:rsidRDefault="00EA0D74">
            <w:pPr>
              <w:jc w:val="left"/>
              <w:rPr>
                <w:rFonts w:ascii="Times New Roman" w:hAnsi="Times New Roman" w:cs="Times New Roman"/>
                <w:sz w:val="22"/>
              </w:rPr>
            </w:pPr>
          </w:p>
        </w:tc>
        <w:tc>
          <w:tcPr>
            <w:tcW w:w="1861" w:type="dxa"/>
            <w:tcBorders>
              <w:top w:val="nil"/>
            </w:tcBorders>
            <w:shd w:val="clear" w:color="auto" w:fill="C6D9F1" w:themeFill="text2" w:themeFillTint="33"/>
          </w:tcPr>
          <w:p w:rsidR="00EA0D74" w:rsidRDefault="00EA0D74">
            <w:pPr>
              <w:jc w:val="center"/>
              <w:rPr>
                <w:rFonts w:ascii="Times New Roman" w:hAnsi="Times New Roman" w:cs="Times New Roman"/>
                <w:color w:val="000000" w:themeColor="text1"/>
                <w:sz w:val="22"/>
              </w:rPr>
            </w:pPr>
          </w:p>
        </w:tc>
        <w:tc>
          <w:tcPr>
            <w:tcW w:w="974" w:type="dxa"/>
            <w:tcBorders>
              <w:top w:val="nil"/>
            </w:tcBorders>
            <w:shd w:val="clear" w:color="auto" w:fill="auto"/>
          </w:tcPr>
          <w:p w:rsidR="00EA0D74" w:rsidRDefault="00746ABF">
            <w:pPr>
              <w:jc w:val="center"/>
              <w:rPr>
                <w:rFonts w:ascii="Times New Roman" w:hAnsi="Times New Roman" w:cs="Times New Roman"/>
                <w:color w:val="000000" w:themeColor="text1"/>
                <w:sz w:val="22"/>
              </w:rPr>
            </w:pPr>
            <w:r>
              <w:rPr>
                <w:rFonts w:ascii="Times New Roman" w:hAnsi="Times New Roman" w:cs="Times New Roman" w:hint="eastAsia"/>
                <w:color w:val="000000" w:themeColor="text1"/>
                <w:sz w:val="22"/>
              </w:rPr>
              <w:t>SZ&lt;HC</w:t>
            </w:r>
          </w:p>
        </w:tc>
        <w:tc>
          <w:tcPr>
            <w:tcW w:w="7388" w:type="dxa"/>
            <w:gridSpan w:val="8"/>
            <w:tcBorders>
              <w:top w:val="nil"/>
            </w:tcBorders>
          </w:tcPr>
          <w:p w:rsidR="00EA0D74" w:rsidRDefault="00746ABF">
            <w:pPr>
              <w:jc w:val="center"/>
              <w:rPr>
                <w:rFonts w:ascii="Times New Roman" w:hAnsi="Times New Roman" w:cs="Times New Roman"/>
                <w:sz w:val="22"/>
              </w:rPr>
            </w:pPr>
            <w:r>
              <w:rPr>
                <w:rFonts w:ascii="Times New Roman" w:hAnsi="Times New Roman" w:cs="Times New Roman" w:hint="eastAsia"/>
                <w:color w:val="00B050"/>
                <w:sz w:val="22"/>
              </w:rPr>
              <w:t xml:space="preserve">The higher value is lined to the better clinical </w:t>
            </w:r>
            <w:r>
              <w:rPr>
                <w:rFonts w:ascii="Times New Roman" w:hAnsi="Times New Roman" w:cs="Times New Roman"/>
                <w:color w:val="00B050"/>
                <w:sz w:val="22"/>
              </w:rPr>
              <w:t>symptoms</w:t>
            </w:r>
          </w:p>
        </w:tc>
      </w:tr>
    </w:tbl>
    <w:p w:rsidR="00EA0D74" w:rsidRDefault="00746A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Notes:</w:t>
      </w:r>
      <w:r>
        <w:rPr>
          <w:rFonts w:ascii="Times New Roman" w:hAnsi="Times New Roman" w:cs="Times New Roman" w:hint="eastAsia"/>
          <w:sz w:val="24"/>
          <w:szCs w:val="24"/>
        </w:rPr>
        <w:t xml:space="preserve"> </w:t>
      </w:r>
      <w:r>
        <w:rPr>
          <w:rFonts w:ascii="Times New Roman" w:hAnsi="Times New Roman" w:cs="Times New Roman"/>
          <w:sz w:val="24"/>
          <w:szCs w:val="24"/>
        </w:rPr>
        <w:t>L, left side of brain; R, right side of brain</w:t>
      </w:r>
      <w:r>
        <w:rPr>
          <w:rFonts w:ascii="Times New Roman" w:hAnsi="Times New Roman" w:cs="Times New Roman" w:hint="eastAsia"/>
          <w:sz w:val="24"/>
          <w:szCs w:val="24"/>
        </w:rPr>
        <w:t>; * FDR p&lt;0.05 corrected</w:t>
      </w:r>
      <w:r>
        <w:rPr>
          <w:rFonts w:ascii="Times New Roman" w:hAnsi="Times New Roman" w:cs="Times New Roman"/>
          <w:sz w:val="24"/>
          <w:szCs w:val="24"/>
        </w:rPr>
        <w:t>.</w:t>
      </w:r>
      <w:r>
        <w:rPr>
          <w:rFonts w:ascii="Times New Roman" w:hAnsi="Times New Roman" w:cs="Times New Roman" w:hint="eastAsia"/>
          <w:sz w:val="24"/>
          <w:szCs w:val="24"/>
        </w:rPr>
        <w:t xml:space="preserve"> PANSS-P, PANSS-Positive Symptoms; PANSS-N, PANSS-Negative Symptoms; PANSS-G, PANSS-General Symptoms; PANSS-T, PANSS-Total </w:t>
      </w:r>
      <w:r>
        <w:rPr>
          <w:rFonts w:ascii="Times New Roman" w:hAnsi="Times New Roman" w:cs="Times New Roman"/>
          <w:sz w:val="24"/>
          <w:szCs w:val="24"/>
        </w:rPr>
        <w:t>Symptoms</w:t>
      </w:r>
      <w:r>
        <w:rPr>
          <w:rFonts w:ascii="Times New Roman" w:hAnsi="Times New Roman" w:cs="Times New Roman" w:hint="eastAsia"/>
          <w:sz w:val="24"/>
          <w:szCs w:val="24"/>
        </w:rPr>
        <w:t xml:space="preserve">. </w:t>
      </w:r>
      <w:r>
        <w:rPr>
          <w:rFonts w:ascii="Times New Roman" w:hAnsi="Times New Roman" w:cs="Times New Roman"/>
          <w:sz w:val="24"/>
          <w:szCs w:val="24"/>
        </w:rPr>
        <w:t>Note that higher scores in</w:t>
      </w:r>
      <w:r>
        <w:rPr>
          <w:rFonts w:ascii="Times New Roman" w:hAnsi="Times New Roman" w:cs="Times New Roman" w:hint="eastAsia"/>
          <w:sz w:val="24"/>
          <w:szCs w:val="24"/>
        </w:rPr>
        <w:t xml:space="preserve"> PANSS</w:t>
      </w:r>
      <w:r>
        <w:rPr>
          <w:rFonts w:ascii="Times New Roman" w:hAnsi="Times New Roman" w:cs="Times New Roman"/>
          <w:sz w:val="24"/>
          <w:szCs w:val="24"/>
        </w:rPr>
        <w:t xml:space="preserve"> indicate increased severity of symptoms</w:t>
      </w:r>
      <w:r>
        <w:rPr>
          <w:rFonts w:ascii="Times New Roman" w:hAnsi="Times New Roman" w:cs="Times New Roman" w:hint="eastAsia"/>
          <w:sz w:val="24"/>
          <w:szCs w:val="24"/>
        </w:rPr>
        <w:t>.</w:t>
      </w:r>
      <w:r>
        <w:br w:type="page"/>
      </w:r>
    </w:p>
    <w:p w:rsidR="00EA0D74" w:rsidRDefault="00746ABF">
      <w:r>
        <w:rPr>
          <w:noProof/>
        </w:rPr>
        <w:lastRenderedPageBreak/>
        <w:drawing>
          <wp:inline distT="0" distB="0" distL="0" distR="0">
            <wp:extent cx="2301240" cy="216535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03315" cy="2167233"/>
                    </a:xfrm>
                    <a:prstGeom prst="rect">
                      <a:avLst/>
                    </a:prstGeom>
                  </pic:spPr>
                </pic:pic>
              </a:graphicData>
            </a:graphic>
          </wp:inline>
        </w:drawing>
      </w:r>
    </w:p>
    <w:p w:rsidR="00EA0D74" w:rsidRDefault="00EA0D74">
      <w:pPr>
        <w:rPr>
          <w:rFonts w:ascii="Times New Roman" w:hAnsi="Times New Roman"/>
          <w:sz w:val="22"/>
        </w:rPr>
      </w:pPr>
    </w:p>
    <w:p w:rsidR="00EA0D74" w:rsidRDefault="00746ABF">
      <w:pPr>
        <w:rPr>
          <w:rFonts w:ascii="Times New Roman" w:hAnsi="Times New Roman"/>
          <w:sz w:val="22"/>
        </w:rPr>
      </w:pPr>
      <w:r>
        <w:rPr>
          <w:rFonts w:ascii="Times New Roman" w:hAnsi="Times New Roman"/>
          <w:sz w:val="22"/>
        </w:rPr>
        <w:t>Figure S</w:t>
      </w:r>
      <w:r>
        <w:rPr>
          <w:rFonts w:ascii="Times New Roman" w:hAnsi="Times New Roman" w:hint="eastAsia"/>
          <w:sz w:val="22"/>
        </w:rPr>
        <w:t>1</w:t>
      </w:r>
      <w:r>
        <w:rPr>
          <w:rFonts w:ascii="Times New Roman" w:hAnsi="Times New Roman"/>
          <w:sz w:val="22"/>
        </w:rPr>
        <w:t>. Variance explained by gradient</w:t>
      </w:r>
      <w:r>
        <w:rPr>
          <w:rFonts w:ascii="Times New Roman" w:hAnsi="Times New Roman" w:hint="eastAsia"/>
          <w:sz w:val="22"/>
        </w:rPr>
        <w:t>.</w:t>
      </w:r>
      <w:r>
        <w:rPr>
          <w:rFonts w:ascii="Times New Roman" w:hAnsi="Times New Roman"/>
          <w:sz w:val="22"/>
        </w:rPr>
        <w:t xml:space="preserve"> </w:t>
      </w:r>
    </w:p>
    <w:p w:rsidR="00EA0D74" w:rsidRDefault="00EA0D74">
      <w:pPr>
        <w:rPr>
          <w:rFonts w:ascii="Times New Roman" w:hAnsi="Times New Roman"/>
          <w:sz w:val="22"/>
        </w:rPr>
      </w:pPr>
    </w:p>
    <w:p w:rsidR="00EA0D74" w:rsidRDefault="00746ABF">
      <w:r>
        <w:br w:type="page"/>
      </w:r>
    </w:p>
    <w:p w:rsidR="00EA0D74" w:rsidRDefault="0083700F" w:rsidP="0083700F">
      <w:pPr>
        <w:jc w:val="center"/>
      </w:pPr>
      <w:r>
        <w:rPr>
          <w:noProof/>
        </w:rPr>
        <w:lastRenderedPageBreak/>
        <w:drawing>
          <wp:inline distT="0" distB="0" distL="0" distR="0">
            <wp:extent cx="6645910" cy="57435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tif"/>
                    <pic:cNvPicPr/>
                  </pic:nvPicPr>
                  <pic:blipFill>
                    <a:blip r:embed="rId11">
                      <a:extLst>
                        <a:ext uri="{28A0092B-C50C-407E-A947-70E740481C1C}">
                          <a14:useLocalDpi xmlns:a14="http://schemas.microsoft.com/office/drawing/2010/main" val="0"/>
                        </a:ext>
                      </a:extLst>
                    </a:blip>
                    <a:stretch>
                      <a:fillRect/>
                    </a:stretch>
                  </pic:blipFill>
                  <pic:spPr>
                    <a:xfrm>
                      <a:off x="0" y="0"/>
                      <a:ext cx="6645910" cy="5743575"/>
                    </a:xfrm>
                    <a:prstGeom prst="rect">
                      <a:avLst/>
                    </a:prstGeom>
                  </pic:spPr>
                </pic:pic>
              </a:graphicData>
            </a:graphic>
          </wp:inline>
        </w:drawing>
      </w:r>
    </w:p>
    <w:p w:rsidR="0083700F" w:rsidRDefault="00222DFC">
      <w:pPr>
        <w:autoSpaceDE w:val="0"/>
        <w:autoSpaceDN w:val="0"/>
        <w:adjustRightInd w:val="0"/>
        <w:rPr>
          <w:rFonts w:ascii="Times New Roman" w:hAnsi="Times New Roman" w:cs="Times New Roman"/>
          <w:kern w:val="0"/>
          <w:sz w:val="22"/>
        </w:rPr>
      </w:pPr>
      <w:r>
        <w:rPr>
          <w:rFonts w:ascii="Times New Roman" w:hAnsi="Times New Roman" w:cs="Times New Roman" w:hint="eastAsia"/>
          <w:kern w:val="0"/>
          <w:sz w:val="22"/>
        </w:rPr>
        <w:t>Figure S2</w:t>
      </w:r>
      <w:r w:rsidR="00746ABF">
        <w:rPr>
          <w:rFonts w:ascii="Times New Roman" w:hAnsi="Times New Roman" w:cs="Times New Roman" w:hint="eastAsia"/>
          <w:kern w:val="0"/>
          <w:sz w:val="22"/>
        </w:rPr>
        <w:t xml:space="preserve">. </w:t>
      </w:r>
      <w:proofErr w:type="gramStart"/>
      <w:r w:rsidR="00746ABF">
        <w:rPr>
          <w:rFonts w:ascii="Times New Roman" w:hAnsi="Times New Roman" w:cs="Times New Roman"/>
          <w:kern w:val="0"/>
          <w:sz w:val="22"/>
        </w:rPr>
        <w:t>Group</w:t>
      </w:r>
      <w:r>
        <w:rPr>
          <w:rFonts w:ascii="Times New Roman" w:hAnsi="Times New Roman" w:cs="Times New Roman" w:hint="eastAsia"/>
          <w:kern w:val="0"/>
          <w:sz w:val="22"/>
        </w:rPr>
        <w:t xml:space="preserve"> mean</w:t>
      </w:r>
      <w:r w:rsidR="00746ABF">
        <w:rPr>
          <w:rFonts w:ascii="Times New Roman" w:hAnsi="Times New Roman" w:cs="Times New Roman"/>
          <w:kern w:val="0"/>
          <w:sz w:val="22"/>
        </w:rPr>
        <w:t xml:space="preserve"> patterns and </w:t>
      </w:r>
      <w:r>
        <w:rPr>
          <w:rFonts w:ascii="Times New Roman" w:hAnsi="Times New Roman" w:cs="Times New Roman" w:hint="eastAsia"/>
          <w:kern w:val="0"/>
          <w:sz w:val="22"/>
        </w:rPr>
        <w:t xml:space="preserve">statistical </w:t>
      </w:r>
      <w:r w:rsidR="00746ABF">
        <w:rPr>
          <w:rFonts w:ascii="Times New Roman" w:hAnsi="Times New Roman" w:cs="Times New Roman"/>
          <w:kern w:val="0"/>
          <w:sz w:val="22"/>
        </w:rPr>
        <w:t>differences in the cerebral principal functional gradient</w:t>
      </w:r>
      <w:r w:rsidR="00746ABF">
        <w:rPr>
          <w:rFonts w:ascii="Times New Roman" w:hAnsi="Times New Roman" w:cs="Times New Roman" w:hint="eastAsia"/>
          <w:kern w:val="0"/>
          <w:sz w:val="22"/>
        </w:rPr>
        <w:t xml:space="preserve"> with GSR</w:t>
      </w:r>
      <w:r w:rsidR="00746ABF">
        <w:rPr>
          <w:rFonts w:ascii="Times New Roman" w:hAnsi="Times New Roman" w:cs="Times New Roman"/>
          <w:kern w:val="0"/>
          <w:sz w:val="22"/>
        </w:rPr>
        <w:t>.</w:t>
      </w:r>
      <w:proofErr w:type="gramEnd"/>
      <w:r w:rsidR="00746ABF">
        <w:rPr>
          <w:rFonts w:ascii="Times New Roman" w:hAnsi="Times New Roman" w:cs="Times New Roman"/>
          <w:kern w:val="0"/>
          <w:sz w:val="22"/>
        </w:rPr>
        <w:t xml:space="preserve"> (</w:t>
      </w:r>
      <w:r w:rsidR="00746ABF">
        <w:rPr>
          <w:rFonts w:ascii="Times New Roman" w:hAnsi="Times New Roman" w:cs="Times New Roman" w:hint="eastAsia"/>
          <w:kern w:val="0"/>
          <w:sz w:val="22"/>
        </w:rPr>
        <w:t>A</w:t>
      </w:r>
      <w:r w:rsidR="00746ABF">
        <w:rPr>
          <w:rFonts w:ascii="Times New Roman" w:hAnsi="Times New Roman" w:cs="Times New Roman"/>
          <w:kern w:val="0"/>
          <w:sz w:val="22"/>
        </w:rPr>
        <w:t xml:space="preserve">) </w:t>
      </w:r>
      <w:r>
        <w:rPr>
          <w:rFonts w:ascii="Times New Roman" w:hAnsi="Times New Roman" w:cs="Times New Roman" w:hint="eastAsia"/>
          <w:kern w:val="0"/>
          <w:sz w:val="22"/>
        </w:rPr>
        <w:t>Mean g</w:t>
      </w:r>
      <w:r w:rsidR="00746ABF">
        <w:rPr>
          <w:rFonts w:ascii="Times New Roman" w:hAnsi="Times New Roman" w:cs="Times New Roman"/>
          <w:kern w:val="0"/>
          <w:sz w:val="22"/>
        </w:rPr>
        <w:t>radient pattern in</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HC. (</w:t>
      </w:r>
      <w:r w:rsidR="00746ABF">
        <w:rPr>
          <w:rFonts w:ascii="Times New Roman" w:hAnsi="Times New Roman" w:cs="Times New Roman" w:hint="eastAsia"/>
          <w:kern w:val="0"/>
          <w:sz w:val="22"/>
        </w:rPr>
        <w:t>B</w:t>
      </w:r>
      <w:r w:rsidR="00746ABF">
        <w:rPr>
          <w:rFonts w:ascii="Times New Roman" w:hAnsi="Times New Roman" w:cs="Times New Roman"/>
          <w:kern w:val="0"/>
          <w:sz w:val="22"/>
        </w:rPr>
        <w:t xml:space="preserve">) </w:t>
      </w:r>
      <w:r>
        <w:rPr>
          <w:rFonts w:ascii="Times New Roman" w:hAnsi="Times New Roman" w:cs="Times New Roman" w:hint="eastAsia"/>
          <w:kern w:val="0"/>
          <w:sz w:val="22"/>
        </w:rPr>
        <w:t>Mean g</w:t>
      </w:r>
      <w:r w:rsidR="00746ABF">
        <w:rPr>
          <w:rFonts w:ascii="Times New Roman" w:hAnsi="Times New Roman" w:cs="Times New Roman"/>
          <w:kern w:val="0"/>
          <w:sz w:val="22"/>
        </w:rPr>
        <w:t>radient pattern in SZ. (</w:t>
      </w:r>
      <w:r w:rsidR="00746ABF">
        <w:rPr>
          <w:rFonts w:ascii="Times New Roman" w:hAnsi="Times New Roman" w:cs="Times New Roman" w:hint="eastAsia"/>
          <w:kern w:val="0"/>
          <w:sz w:val="22"/>
        </w:rPr>
        <w:t>C</w:t>
      </w:r>
      <w:r w:rsidR="00746ABF">
        <w:rPr>
          <w:rFonts w:ascii="Times New Roman" w:hAnsi="Times New Roman" w:cs="Times New Roman"/>
          <w:kern w:val="0"/>
          <w:sz w:val="22"/>
        </w:rPr>
        <w:t xml:space="preserve">) </w:t>
      </w:r>
      <w:r>
        <w:rPr>
          <w:rFonts w:ascii="Times New Roman" w:hAnsi="Times New Roman" w:cs="Times New Roman" w:hint="eastAsia"/>
          <w:kern w:val="0"/>
          <w:sz w:val="22"/>
        </w:rPr>
        <w:t>Significant g</w:t>
      </w:r>
      <w:r w:rsidR="00746ABF">
        <w:rPr>
          <w:rFonts w:ascii="Times New Roman" w:hAnsi="Times New Roman" w:cs="Times New Roman"/>
          <w:kern w:val="0"/>
          <w:sz w:val="22"/>
        </w:rPr>
        <w:t>roup differences between SZ and HC. Scatterplot</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represents cerebral gradient of SZ (y axis) vs. cerebral gradient of HC (x axis). Scatterplot</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 xml:space="preserve">colors correspond to group differences map as shown in top left corner of Figure </w:t>
      </w:r>
      <w:r w:rsidR="00746ABF">
        <w:rPr>
          <w:rFonts w:ascii="Times New Roman" w:hAnsi="Times New Roman" w:cs="Times New Roman" w:hint="eastAsia"/>
          <w:kern w:val="0"/>
          <w:sz w:val="22"/>
        </w:rPr>
        <w:t>S2</w:t>
      </w:r>
      <w:r w:rsidR="00746ABF">
        <w:rPr>
          <w:rFonts w:ascii="Times New Roman" w:hAnsi="Times New Roman" w:cs="Times New Roman"/>
          <w:kern w:val="0"/>
          <w:sz w:val="22"/>
        </w:rPr>
        <w:t>(</w:t>
      </w:r>
      <w:r w:rsidR="00746ABF">
        <w:rPr>
          <w:rFonts w:ascii="Times New Roman" w:hAnsi="Times New Roman" w:cs="Times New Roman" w:hint="eastAsia"/>
          <w:kern w:val="0"/>
          <w:sz w:val="22"/>
        </w:rPr>
        <w:t>C</w:t>
      </w:r>
      <w:r w:rsidR="00746ABF">
        <w:rPr>
          <w:rFonts w:ascii="Times New Roman" w:hAnsi="Times New Roman" w:cs="Times New Roman"/>
          <w:kern w:val="0"/>
          <w:sz w:val="22"/>
        </w:rPr>
        <w:t>): higher</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 xml:space="preserve">gradient value in SZ (red), and lower gradient value in SZ (blue) compared to HC. Compressed gradient pattern in SZ </w:t>
      </w:r>
      <w:r w:rsidR="00746ABF">
        <w:rPr>
          <w:rFonts w:ascii="Times New Roman" w:hAnsi="Times New Roman" w:cs="Times New Roman" w:hint="eastAsia"/>
          <w:kern w:val="0"/>
          <w:sz w:val="22"/>
        </w:rPr>
        <w:t xml:space="preserve">is </w:t>
      </w:r>
      <w:r w:rsidR="00746ABF">
        <w:rPr>
          <w:rFonts w:ascii="Times New Roman" w:hAnsi="Times New Roman" w:cs="Times New Roman"/>
          <w:kern w:val="0"/>
          <w:sz w:val="22"/>
        </w:rPr>
        <w:t xml:space="preserve">shown </w:t>
      </w:r>
      <w:r w:rsidR="00746ABF">
        <w:rPr>
          <w:rFonts w:ascii="Times New Roman" w:hAnsi="Times New Roman" w:cs="Times New Roman" w:hint="eastAsia"/>
          <w:kern w:val="0"/>
          <w:sz w:val="22"/>
        </w:rPr>
        <w:t xml:space="preserve">in </w:t>
      </w:r>
      <w:r w:rsidR="00746ABF">
        <w:rPr>
          <w:rFonts w:ascii="Times New Roman" w:hAnsi="Times New Roman" w:cs="Times New Roman"/>
          <w:kern w:val="0"/>
          <w:sz w:val="22"/>
        </w:rPr>
        <w:t>density histograms</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 xml:space="preserve">in </w:t>
      </w:r>
      <w:r w:rsidR="00746ABF">
        <w:rPr>
          <w:rFonts w:ascii="Times New Roman" w:hAnsi="Times New Roman" w:cs="Times New Roman" w:hint="eastAsia"/>
          <w:kern w:val="0"/>
          <w:sz w:val="22"/>
        </w:rPr>
        <w:t>bottom</w:t>
      </w:r>
      <w:r w:rsidR="00746ABF">
        <w:rPr>
          <w:rFonts w:ascii="Times New Roman" w:hAnsi="Times New Roman" w:cs="Times New Roman"/>
          <w:kern w:val="0"/>
          <w:sz w:val="22"/>
        </w:rPr>
        <w:t xml:space="preserve"> </w:t>
      </w:r>
      <w:r w:rsidR="00746ABF">
        <w:rPr>
          <w:rFonts w:ascii="Times New Roman" w:hAnsi="Times New Roman" w:cs="Times New Roman" w:hint="eastAsia"/>
          <w:kern w:val="0"/>
          <w:sz w:val="22"/>
        </w:rPr>
        <w:t>right</w:t>
      </w:r>
      <w:r w:rsidR="00746ABF">
        <w:rPr>
          <w:rFonts w:ascii="Times New Roman" w:hAnsi="Times New Roman" w:cs="Times New Roman"/>
          <w:kern w:val="0"/>
          <w:sz w:val="22"/>
        </w:rPr>
        <w:t xml:space="preserve"> corner of Figure </w:t>
      </w:r>
      <w:r w:rsidR="00746ABF">
        <w:rPr>
          <w:rFonts w:ascii="Times New Roman" w:hAnsi="Times New Roman" w:cs="Times New Roman" w:hint="eastAsia"/>
          <w:kern w:val="0"/>
          <w:sz w:val="22"/>
        </w:rPr>
        <w:t>S2</w:t>
      </w:r>
      <w:r w:rsidR="00746ABF">
        <w:rPr>
          <w:rFonts w:ascii="Times New Roman" w:hAnsi="Times New Roman" w:cs="Times New Roman"/>
          <w:kern w:val="0"/>
          <w:sz w:val="22"/>
        </w:rPr>
        <w:t>(</w:t>
      </w:r>
      <w:r w:rsidR="00746ABF">
        <w:rPr>
          <w:rFonts w:ascii="Times New Roman" w:hAnsi="Times New Roman" w:cs="Times New Roman" w:hint="eastAsia"/>
          <w:kern w:val="0"/>
          <w:sz w:val="22"/>
        </w:rPr>
        <w:t>C</w:t>
      </w:r>
      <w:r w:rsidR="00746ABF">
        <w:rPr>
          <w:rFonts w:ascii="Times New Roman" w:hAnsi="Times New Roman" w:cs="Times New Roman"/>
          <w:kern w:val="0"/>
          <w:sz w:val="22"/>
        </w:rPr>
        <w:t>)</w:t>
      </w:r>
      <w:r w:rsidR="001C090F">
        <w:rPr>
          <w:rFonts w:ascii="Times New Roman" w:hAnsi="Times New Roman" w:cs="Times New Roman"/>
          <w:kern w:val="0"/>
          <w:sz w:val="22"/>
        </w:rPr>
        <w:t>.</w:t>
      </w:r>
      <w:r w:rsidR="00746ABF">
        <w:rPr>
          <w:rFonts w:ascii="Times New Roman" w:hAnsi="Times New Roman" w:cs="Times New Roman"/>
          <w:kern w:val="0"/>
          <w:sz w:val="22"/>
        </w:rPr>
        <w:t xml:space="preserve"> </w:t>
      </w:r>
      <w:bookmarkStart w:id="27" w:name="OLE_LINK27"/>
      <w:bookmarkStart w:id="28" w:name="OLE_LINK28"/>
      <w:r w:rsidR="00746ABF">
        <w:rPr>
          <w:rFonts w:ascii="Times New Roman" w:hAnsi="Times New Roman" w:cs="Times New Roman"/>
          <w:kern w:val="0"/>
          <w:sz w:val="22"/>
        </w:rPr>
        <w:t>All results</w:t>
      </w:r>
      <w:r w:rsidR="00746ABF">
        <w:rPr>
          <w:rFonts w:ascii="Times New Roman" w:hAnsi="Times New Roman" w:cs="Times New Roman" w:hint="eastAsia"/>
          <w:kern w:val="0"/>
          <w:sz w:val="22"/>
        </w:rPr>
        <w:t xml:space="preserve"> </w:t>
      </w:r>
      <w:r w:rsidR="00746ABF">
        <w:rPr>
          <w:rFonts w:ascii="Times New Roman" w:hAnsi="Times New Roman" w:cs="Times New Roman"/>
          <w:kern w:val="0"/>
          <w:sz w:val="22"/>
        </w:rPr>
        <w:t>are shown after FDR correction (P &lt; 0.05).</w:t>
      </w:r>
      <w:bookmarkEnd w:id="27"/>
      <w:bookmarkEnd w:id="28"/>
      <w:r w:rsidR="00746ABF">
        <w:rPr>
          <w:rFonts w:ascii="Times New Roman" w:hAnsi="Times New Roman" w:cs="Times New Roman" w:hint="eastAsia"/>
          <w:kern w:val="0"/>
          <w:sz w:val="22"/>
        </w:rPr>
        <w:t xml:space="preserve"> </w:t>
      </w:r>
      <w:r w:rsidR="0055445F">
        <w:rPr>
          <w:rFonts w:ascii="Times New Roman" w:hAnsi="Times New Roman" w:cs="Times New Roman" w:hint="eastAsia"/>
          <w:kern w:val="0"/>
          <w:sz w:val="22"/>
        </w:rPr>
        <w:t>(</w:t>
      </w:r>
      <w:r w:rsidR="0055445F">
        <w:rPr>
          <w:rFonts w:ascii="Times New Roman" w:hAnsi="Times New Roman" w:cs="Times New Roman"/>
          <w:kern w:val="0"/>
          <w:sz w:val="22"/>
        </w:rPr>
        <w:t>D</w:t>
      </w:r>
      <w:r w:rsidR="0055445F">
        <w:rPr>
          <w:rFonts w:ascii="Times New Roman" w:hAnsi="Times New Roman" w:cs="Times New Roman" w:hint="eastAsia"/>
          <w:kern w:val="0"/>
          <w:sz w:val="22"/>
        </w:rPr>
        <w:t xml:space="preserve">) </w:t>
      </w:r>
      <w:r w:rsidR="0055445F" w:rsidRPr="00222DFC">
        <w:rPr>
          <w:rFonts w:ascii="Times New Roman" w:hAnsi="Times New Roman" w:cs="Times New Roman"/>
          <w:kern w:val="0"/>
          <w:sz w:val="22"/>
        </w:rPr>
        <w:t>Yeo network classification</w:t>
      </w:r>
      <w:r w:rsidR="0083700F">
        <w:rPr>
          <w:rFonts w:ascii="Times New Roman" w:hAnsi="Times New Roman" w:cs="Times New Roman" w:hint="eastAsia"/>
          <w:kern w:val="0"/>
          <w:sz w:val="22"/>
        </w:rPr>
        <w:t xml:space="preserve"> </w:t>
      </w:r>
      <w:r w:rsidR="004D6E06">
        <w:rPr>
          <w:rFonts w:ascii="Times New Roman" w:hAnsi="Times New Roman" w:cs="Times New Roman"/>
          <w:kern w:val="0"/>
          <w:sz w:val="22"/>
        </w:rPr>
        <w:fldChar w:fldCharType="begin"/>
      </w:r>
      <w:r w:rsidR="004D6E06">
        <w:rPr>
          <w:rFonts w:ascii="Times New Roman" w:hAnsi="Times New Roman" w:cs="Times New Roman"/>
          <w:kern w:val="0"/>
          <w:sz w:val="22"/>
        </w:rPr>
        <w:instrText xml:space="preserve"> ADDIN EN.CITE &lt;EndNote&gt;&lt;Cite&gt;&lt;Author&gt;Yeo&lt;/Author&gt;&lt;Year&gt;2011&lt;/Year&gt;&lt;RecNum&gt;241&lt;/RecNum&gt;&lt;DisplayText&gt;(Yeo et al., 2011)&lt;/DisplayText&gt;&lt;record&gt;&lt;rec-number&gt;241&lt;/rec-number&gt;&lt;foreign-keys&gt;&lt;key app="EN" db-id="trs5ede5wsedv5easruxzsapvwaarprx2p5x" timestamp="1594994215"&gt;241&lt;/key&gt;&lt;/foreign-keys&gt;&lt;ref-type name="Journal Article"&gt;17&lt;/ref-type&gt;&lt;contributors&gt;&lt;authors&gt;&lt;author&gt;Yeo, BT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R&lt;/author&gt;&lt;/authors&gt;&lt;/contributors&gt;&lt;titles&gt;&lt;title&gt;The organization of the human cerebral cortex estimated by intrinsic functional connectivity&lt;/title&gt;&lt;secondary-title&gt;Journal of neurophysiology&lt;/secondary-title&gt;&lt;/titles&gt;&lt;periodical&gt;&lt;full-title&gt;Journal of neurophysiology&lt;/full-title&gt;&lt;/periodical&gt;&lt;pages&gt;1125-1165&amp;#xD;&lt;/pages&gt;&lt;volume&gt;106&lt;/volume&gt;&lt;number&gt;3&lt;/number&gt;&lt;dates&gt;&lt;year&gt;2011&lt;/year&gt;&lt;/dates&gt;&lt;urls&gt;&lt;/urls&gt;&lt;electronic-resource-num&gt;10.1152/jn.00338.2011&lt;/electronic-resource-num&gt;&lt;/record&gt;&lt;/Cite&gt;&lt;/EndNote&gt;</w:instrText>
      </w:r>
      <w:r w:rsidR="004D6E06">
        <w:rPr>
          <w:rFonts w:ascii="Times New Roman" w:hAnsi="Times New Roman" w:cs="Times New Roman"/>
          <w:kern w:val="0"/>
          <w:sz w:val="22"/>
        </w:rPr>
        <w:fldChar w:fldCharType="separate"/>
      </w:r>
      <w:r w:rsidR="004D6E06">
        <w:rPr>
          <w:rFonts w:ascii="Times New Roman" w:hAnsi="Times New Roman" w:cs="Times New Roman"/>
          <w:noProof/>
          <w:kern w:val="0"/>
          <w:sz w:val="22"/>
        </w:rPr>
        <w:t>(Yeo et al., 2011)</w:t>
      </w:r>
      <w:r w:rsidR="004D6E06">
        <w:rPr>
          <w:rFonts w:ascii="Times New Roman" w:hAnsi="Times New Roman" w:cs="Times New Roman"/>
          <w:kern w:val="0"/>
          <w:sz w:val="22"/>
        </w:rPr>
        <w:fldChar w:fldCharType="end"/>
      </w:r>
      <w:r w:rsidR="0083700F">
        <w:rPr>
          <w:rFonts w:ascii="Times New Roman" w:hAnsi="Times New Roman" w:cs="Times New Roman" w:hint="eastAsia"/>
          <w:kern w:val="0"/>
          <w:sz w:val="22"/>
        </w:rPr>
        <w:t>.</w:t>
      </w:r>
    </w:p>
    <w:p w:rsidR="00EA0D74" w:rsidRDefault="0083700F">
      <w:pPr>
        <w:autoSpaceDE w:val="0"/>
        <w:autoSpaceDN w:val="0"/>
        <w:adjustRightInd w:val="0"/>
        <w:rPr>
          <w:rFonts w:ascii="Times New Roman" w:hAnsi="Times New Roman" w:cs="Times New Roman"/>
          <w:kern w:val="0"/>
          <w:sz w:val="22"/>
        </w:rPr>
      </w:pPr>
      <w:r>
        <w:rPr>
          <w:rFonts w:ascii="Times New Roman" w:hAnsi="Times New Roman" w:cs="Times New Roman"/>
          <w:kern w:val="0"/>
          <w:sz w:val="22"/>
        </w:rPr>
        <w:t xml:space="preserve"> </w:t>
      </w:r>
      <w:r w:rsidR="00746ABF">
        <w:rPr>
          <w:rFonts w:ascii="Times New Roman" w:hAnsi="Times New Roman" w:cs="Times New Roman"/>
          <w:kern w:val="0"/>
          <w:sz w:val="22"/>
        </w:rPr>
        <w:br w:type="page"/>
      </w:r>
    </w:p>
    <w:p w:rsidR="00EA0D74" w:rsidRDefault="0083700F" w:rsidP="0083700F">
      <w:pPr>
        <w:autoSpaceDE w:val="0"/>
        <w:autoSpaceDN w:val="0"/>
        <w:adjustRightInd w:val="0"/>
        <w:jc w:val="center"/>
        <w:rPr>
          <w:rFonts w:ascii="Times New Roman" w:hAnsi="Times New Roman" w:cs="Times New Roman"/>
          <w:kern w:val="0"/>
          <w:sz w:val="22"/>
        </w:rPr>
      </w:pPr>
      <w:r>
        <w:rPr>
          <w:rFonts w:ascii="Times New Roman" w:hAnsi="Times New Roman" w:cs="Times New Roman"/>
          <w:noProof/>
          <w:kern w:val="0"/>
          <w:sz w:val="22"/>
        </w:rPr>
        <w:lastRenderedPageBreak/>
        <w:drawing>
          <wp:inline distT="0" distB="0" distL="0" distR="0" wp14:anchorId="13CE01D3" wp14:editId="6128B4AC">
            <wp:extent cx="5274310" cy="2708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wisediff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08910"/>
                    </a:xfrm>
                    <a:prstGeom prst="rect">
                      <a:avLst/>
                    </a:prstGeom>
                  </pic:spPr>
                </pic:pic>
              </a:graphicData>
            </a:graphic>
          </wp:inline>
        </w:drawing>
      </w:r>
    </w:p>
    <w:p w:rsidR="00EA0D74" w:rsidRDefault="00746ABF">
      <w:pPr>
        <w:autoSpaceDE w:val="0"/>
        <w:autoSpaceDN w:val="0"/>
        <w:adjustRightInd w:val="0"/>
        <w:rPr>
          <w:rFonts w:ascii="Times New Roman" w:hAnsi="Times New Roman" w:cs="Times New Roman"/>
          <w:kern w:val="0"/>
          <w:sz w:val="22"/>
        </w:rPr>
      </w:pPr>
      <w:r>
        <w:rPr>
          <w:rFonts w:ascii="Times New Roman" w:hAnsi="Times New Roman" w:cs="Times New Roman" w:hint="eastAsia"/>
          <w:kern w:val="0"/>
          <w:sz w:val="22"/>
        </w:rPr>
        <w:t>Fi</w:t>
      </w:r>
      <w:r w:rsidR="00F93B4C">
        <w:rPr>
          <w:rFonts w:ascii="Times New Roman" w:hAnsi="Times New Roman" w:cs="Times New Roman" w:hint="eastAsia"/>
          <w:kern w:val="0"/>
          <w:sz w:val="22"/>
        </w:rPr>
        <w:t>gure S3</w:t>
      </w:r>
      <w:r>
        <w:rPr>
          <w:rFonts w:ascii="Times New Roman" w:hAnsi="Times New Roman" w:cs="Times New Roman" w:hint="eastAsia"/>
          <w:kern w:val="0"/>
          <w:sz w:val="22"/>
        </w:rPr>
        <w:t xml:space="preserve">. </w:t>
      </w:r>
      <w:proofErr w:type="gramStart"/>
      <w:r>
        <w:rPr>
          <w:rFonts w:ascii="Times New Roman" w:hAnsi="Times New Roman" w:cs="Times New Roman"/>
          <w:kern w:val="0"/>
          <w:sz w:val="22"/>
        </w:rPr>
        <w:t xml:space="preserve">Group differences between </w:t>
      </w:r>
      <w:r>
        <w:rPr>
          <w:rFonts w:ascii="Times New Roman" w:hAnsi="Times New Roman" w:cs="Times New Roman" w:hint="eastAsia"/>
          <w:kern w:val="0"/>
          <w:sz w:val="22"/>
        </w:rPr>
        <w:t>schizophrenia</w:t>
      </w:r>
      <w:r w:rsidR="00467C33">
        <w:rPr>
          <w:rFonts w:ascii="Times New Roman" w:hAnsi="Times New Roman" w:cs="Times New Roman" w:hint="eastAsia"/>
          <w:kern w:val="0"/>
          <w:sz w:val="22"/>
        </w:rPr>
        <w:t xml:space="preserve"> (SZ)</w:t>
      </w:r>
      <w:r>
        <w:rPr>
          <w:rFonts w:ascii="Times New Roman" w:hAnsi="Times New Roman" w:cs="Times New Roman"/>
          <w:kern w:val="0"/>
          <w:sz w:val="22"/>
        </w:rPr>
        <w:t xml:space="preserve"> and healthy control (HC) in stepwise functional connectivity</w:t>
      </w:r>
      <w:r>
        <w:rPr>
          <w:rFonts w:ascii="Times New Roman" w:hAnsi="Times New Roman" w:cs="Times New Roman" w:hint="eastAsia"/>
          <w:kern w:val="0"/>
          <w:sz w:val="22"/>
        </w:rPr>
        <w:t xml:space="preserve"> </w:t>
      </w:r>
      <w:r>
        <w:rPr>
          <w:rFonts w:ascii="Times New Roman" w:hAnsi="Times New Roman" w:cs="Times New Roman"/>
          <w:kern w:val="0"/>
          <w:sz w:val="22"/>
        </w:rPr>
        <w:t>degree</w:t>
      </w:r>
      <w:r>
        <w:rPr>
          <w:rFonts w:ascii="Times New Roman" w:hAnsi="Times New Roman" w:cs="Times New Roman" w:hint="eastAsia"/>
          <w:kern w:val="0"/>
          <w:sz w:val="22"/>
        </w:rPr>
        <w:t xml:space="preserve"> with GSR.</w:t>
      </w:r>
      <w:proofErr w:type="gramEnd"/>
      <w:r>
        <w:rPr>
          <w:rFonts w:ascii="Times New Roman" w:hAnsi="Times New Roman" w:cs="Times New Roman" w:hint="eastAsia"/>
          <w:kern w:val="0"/>
          <w:sz w:val="22"/>
        </w:rPr>
        <w:t xml:space="preserve"> </w:t>
      </w:r>
      <w:r>
        <w:rPr>
          <w:rFonts w:ascii="Times New Roman" w:hAnsi="Times New Roman" w:cs="Times New Roman"/>
          <w:kern w:val="0"/>
          <w:sz w:val="22"/>
        </w:rPr>
        <w:t>All results</w:t>
      </w:r>
      <w:r>
        <w:rPr>
          <w:rFonts w:ascii="Times New Roman" w:hAnsi="Times New Roman" w:cs="Times New Roman" w:hint="eastAsia"/>
          <w:kern w:val="0"/>
          <w:sz w:val="22"/>
        </w:rPr>
        <w:t xml:space="preserve"> </w:t>
      </w:r>
      <w:r>
        <w:rPr>
          <w:rFonts w:ascii="Times New Roman" w:hAnsi="Times New Roman" w:cs="Times New Roman"/>
          <w:kern w:val="0"/>
          <w:sz w:val="22"/>
        </w:rPr>
        <w:t>are shown after FDR correction (P &lt; 0.05).</w:t>
      </w:r>
      <w:r w:rsidR="00222DFC">
        <w:rPr>
          <w:rFonts w:ascii="Times New Roman" w:hAnsi="Times New Roman" w:cs="Times New Roman" w:hint="eastAsia"/>
          <w:kern w:val="0"/>
          <w:sz w:val="22"/>
        </w:rPr>
        <w:t xml:space="preserve"> </w:t>
      </w:r>
      <w:r w:rsidR="0055445F">
        <w:rPr>
          <w:rFonts w:ascii="Times New Roman" w:hAnsi="Times New Roman" w:cs="Times New Roman"/>
          <w:kern w:val="0"/>
          <w:sz w:val="22"/>
        </w:rPr>
        <w:t xml:space="preserve"> </w:t>
      </w:r>
    </w:p>
    <w:p w:rsidR="00EA0D74" w:rsidRDefault="00EA0D74"/>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p w:rsidR="00F93B4C" w:rsidRDefault="00F93B4C">
      <w:r>
        <w:rPr>
          <w:noProof/>
        </w:rPr>
        <w:lastRenderedPageBreak/>
        <w:drawing>
          <wp:inline distT="0" distB="0" distL="0" distR="0" wp14:anchorId="71A80D16" wp14:editId="570B06B1">
            <wp:extent cx="6645910" cy="5723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723255"/>
                    </a:xfrm>
                    <a:prstGeom prst="rect">
                      <a:avLst/>
                    </a:prstGeom>
                  </pic:spPr>
                </pic:pic>
              </a:graphicData>
            </a:graphic>
          </wp:inline>
        </w:drawing>
      </w:r>
    </w:p>
    <w:p w:rsidR="00F93B4C" w:rsidRDefault="00F93B4C" w:rsidP="00F93B4C">
      <w:pPr>
        <w:rPr>
          <w:rFonts w:ascii="Times New Roman" w:hAnsi="Times New Roman"/>
          <w:color w:val="000000" w:themeColor="text1"/>
        </w:rPr>
      </w:pPr>
      <w:r w:rsidRPr="00F93B4C">
        <w:rPr>
          <w:rFonts w:ascii="Times New Roman" w:hAnsi="Times New Roman" w:hint="eastAsia"/>
          <w:color w:val="000000" w:themeColor="text1"/>
        </w:rPr>
        <w:t>F</w:t>
      </w:r>
      <w:r w:rsidRPr="00F93B4C">
        <w:rPr>
          <w:rFonts w:ascii="Times New Roman" w:hAnsi="Times New Roman"/>
          <w:color w:val="000000" w:themeColor="text1"/>
        </w:rPr>
        <w:t>igure S</w:t>
      </w:r>
      <w:r w:rsidRPr="00F93B4C">
        <w:rPr>
          <w:rFonts w:ascii="Times New Roman" w:hAnsi="Times New Roman" w:hint="eastAsia"/>
          <w:color w:val="000000" w:themeColor="text1"/>
        </w:rPr>
        <w:t>4</w:t>
      </w:r>
      <w:r w:rsidRPr="00F93B4C">
        <w:rPr>
          <w:rFonts w:ascii="Times New Roman" w:hAnsi="Times New Roman"/>
          <w:color w:val="000000" w:themeColor="text1"/>
        </w:rPr>
        <w:t xml:space="preserve">. Correlations between altered functional gradient, SFC and clinical variables. (A) </w:t>
      </w:r>
      <w:bookmarkStart w:id="29" w:name="_Hlk62553358"/>
      <w:r w:rsidRPr="00F93B4C">
        <w:rPr>
          <w:rFonts w:ascii="Times New Roman" w:hAnsi="Times New Roman"/>
          <w:color w:val="000000" w:themeColor="text1"/>
        </w:rPr>
        <w:t xml:space="preserve">The correlation between altered functional gradient and clinical variables. </w:t>
      </w:r>
      <w:bookmarkEnd w:id="29"/>
      <w:r w:rsidRPr="00F93B4C">
        <w:rPr>
          <w:rFonts w:ascii="Times New Roman" w:hAnsi="Times New Roman"/>
          <w:color w:val="000000" w:themeColor="text1"/>
        </w:rPr>
        <w:t>(B) The correlation between altered SFC at one-link step distance. It should be noted that because the trends of correlation between clinical severity and altered SFC at each of the seven link-step distances were similar across the seven link-step distances. For</w:t>
      </w:r>
      <w:r w:rsidR="00181E4B">
        <w:rPr>
          <w:rFonts w:ascii="Times New Roman" w:hAnsi="Times New Roman" w:hint="eastAsia"/>
          <w:color w:val="000000" w:themeColor="text1"/>
        </w:rPr>
        <w:t xml:space="preserve"> </w:t>
      </w:r>
      <w:r w:rsidR="00181E4B" w:rsidRPr="00181E4B">
        <w:rPr>
          <w:rFonts w:ascii="Times New Roman" w:hAnsi="Times New Roman"/>
          <w:color w:val="000000" w:themeColor="text1"/>
        </w:rPr>
        <w:t>clarity</w:t>
      </w:r>
      <w:r w:rsidRPr="00F93B4C">
        <w:rPr>
          <w:rFonts w:ascii="Times New Roman" w:hAnsi="Times New Roman"/>
          <w:color w:val="000000" w:themeColor="text1"/>
        </w:rPr>
        <w:t xml:space="preserve">, we only showed the results at one-link step distance. PANSS-P, PANSS-positive symptoms scores; PANSS-N, PANSS-negative symptoms scores; PANSS-G, PANSS-general psychopathology symptoms scores; PANSS-T, PANSS-total symptoms scores; </w:t>
      </w:r>
      <w:proofErr w:type="spellStart"/>
      <w:r w:rsidRPr="00F93B4C">
        <w:rPr>
          <w:rFonts w:ascii="Times New Roman" w:hAnsi="Times New Roman"/>
          <w:color w:val="000000" w:themeColor="text1"/>
        </w:rPr>
        <w:t>Precu.L</w:t>
      </w:r>
      <w:proofErr w:type="spellEnd"/>
      <w:r w:rsidRPr="00F93B4C">
        <w:rPr>
          <w:rFonts w:ascii="Times New Roman" w:hAnsi="Times New Roman"/>
          <w:color w:val="000000" w:themeColor="text1"/>
        </w:rPr>
        <w:t xml:space="preserve">, L </w:t>
      </w:r>
      <w:proofErr w:type="spellStart"/>
      <w:r w:rsidRPr="00F93B4C">
        <w:rPr>
          <w:rFonts w:ascii="Times New Roman" w:hAnsi="Times New Roman"/>
          <w:color w:val="000000" w:themeColor="text1"/>
        </w:rPr>
        <w:t>precuneus</w:t>
      </w:r>
      <w:proofErr w:type="spellEnd"/>
      <w:r w:rsidRPr="00F93B4C">
        <w:rPr>
          <w:rFonts w:ascii="Times New Roman" w:hAnsi="Times New Roman"/>
          <w:color w:val="000000" w:themeColor="text1"/>
        </w:rPr>
        <w:t xml:space="preserve">; INS.R, R insular cortex; INS.L, L insular cortex; </w:t>
      </w:r>
      <w:proofErr w:type="spellStart"/>
      <w:r w:rsidRPr="00F93B4C">
        <w:rPr>
          <w:rFonts w:ascii="Times New Roman" w:hAnsi="Times New Roman"/>
          <w:color w:val="000000" w:themeColor="text1"/>
        </w:rPr>
        <w:t>vMPFC</w:t>
      </w:r>
      <w:proofErr w:type="spellEnd"/>
      <w:r w:rsidRPr="00F93B4C">
        <w:rPr>
          <w:rFonts w:ascii="Times New Roman" w:hAnsi="Times New Roman"/>
          <w:color w:val="000000" w:themeColor="text1"/>
        </w:rPr>
        <w:t xml:space="preserve">, ventromedial prefrontal cortex; LING.R, R lingual gyrus; SFG.L, L superior frontal gyrus; </w:t>
      </w:r>
      <w:proofErr w:type="spellStart"/>
      <w:r w:rsidRPr="00F93B4C">
        <w:rPr>
          <w:rFonts w:ascii="Times New Roman" w:hAnsi="Times New Roman"/>
          <w:color w:val="000000" w:themeColor="text1"/>
        </w:rPr>
        <w:t>PreCG.L</w:t>
      </w:r>
      <w:proofErr w:type="spellEnd"/>
      <w:r w:rsidRPr="00F93B4C">
        <w:rPr>
          <w:rFonts w:ascii="Times New Roman" w:hAnsi="Times New Roman"/>
          <w:color w:val="000000" w:themeColor="text1"/>
        </w:rPr>
        <w:t xml:space="preserve">, L precentral gyrus; </w:t>
      </w:r>
      <w:proofErr w:type="spellStart"/>
      <w:r w:rsidRPr="00F93B4C">
        <w:rPr>
          <w:rFonts w:ascii="Times New Roman" w:hAnsi="Times New Roman"/>
          <w:color w:val="000000" w:themeColor="text1"/>
        </w:rPr>
        <w:t>PreCG.R</w:t>
      </w:r>
      <w:proofErr w:type="spellEnd"/>
      <w:r w:rsidRPr="00F93B4C">
        <w:rPr>
          <w:rFonts w:ascii="Times New Roman" w:hAnsi="Times New Roman"/>
          <w:color w:val="000000" w:themeColor="text1"/>
        </w:rPr>
        <w:t>, R precentral gyrus. Size of plots is weighted by r value. * represents significant correlation after FDR corrected (p &lt; 0.05).</w:t>
      </w: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F93B4C" w:rsidP="00F93B4C">
      <w:pPr>
        <w:rPr>
          <w:rFonts w:ascii="Times New Roman" w:hAnsi="Times New Roman"/>
          <w:color w:val="000000" w:themeColor="text1"/>
        </w:rPr>
      </w:pPr>
    </w:p>
    <w:p w:rsidR="00F93B4C" w:rsidRDefault="0083700F" w:rsidP="00F93B4C">
      <w:pPr>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5D0C9E53" wp14:editId="4822B0D1">
            <wp:extent cx="6645910" cy="41192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tif"/>
                    <pic:cNvPicPr/>
                  </pic:nvPicPr>
                  <pic:blipFill>
                    <a:blip r:embed="rId14">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167DC9" w:rsidRPr="00167DC9" w:rsidRDefault="00167DC9" w:rsidP="00167DC9">
      <w:pPr>
        <w:rPr>
          <w:rFonts w:ascii="Times New Roman" w:hAnsi="Times New Roman"/>
          <w:color w:val="000000" w:themeColor="text1"/>
        </w:rPr>
      </w:pPr>
      <w:r w:rsidRPr="00167DC9">
        <w:rPr>
          <w:rFonts w:ascii="Times New Roman" w:hAnsi="Times New Roman"/>
          <w:color w:val="000000" w:themeColor="text1"/>
        </w:rPr>
        <w:t>Figure S</w:t>
      </w:r>
      <w:r w:rsidRPr="00167DC9">
        <w:rPr>
          <w:rFonts w:ascii="Times New Roman" w:hAnsi="Times New Roman" w:hint="eastAsia"/>
          <w:color w:val="000000" w:themeColor="text1"/>
        </w:rPr>
        <w:t>5</w:t>
      </w:r>
      <w:r w:rsidRPr="00167DC9">
        <w:rPr>
          <w:rFonts w:ascii="Times New Roman" w:hAnsi="Times New Roman"/>
          <w:color w:val="000000" w:themeColor="text1"/>
        </w:rPr>
        <w:t xml:space="preserve">. </w:t>
      </w:r>
      <w:proofErr w:type="gramStart"/>
      <w:r w:rsidRPr="00167DC9">
        <w:rPr>
          <w:rFonts w:ascii="Times New Roman" w:hAnsi="Times New Roman"/>
          <w:color w:val="000000" w:themeColor="text1"/>
        </w:rPr>
        <w:t xml:space="preserve">Group </w:t>
      </w:r>
      <w:r w:rsidRPr="00167DC9">
        <w:rPr>
          <w:rFonts w:ascii="Times New Roman" w:hAnsi="Times New Roman" w:hint="eastAsia"/>
          <w:color w:val="000000" w:themeColor="text1"/>
        </w:rPr>
        <w:t xml:space="preserve">mean </w:t>
      </w:r>
      <w:r w:rsidRPr="00167DC9">
        <w:rPr>
          <w:rFonts w:ascii="Times New Roman" w:hAnsi="Times New Roman"/>
          <w:color w:val="000000" w:themeColor="text1"/>
        </w:rPr>
        <w:t xml:space="preserve">patterns and </w:t>
      </w:r>
      <w:r w:rsidRPr="00167DC9">
        <w:rPr>
          <w:rFonts w:ascii="Times New Roman" w:hAnsi="Times New Roman" w:hint="eastAsia"/>
          <w:color w:val="000000" w:themeColor="text1"/>
        </w:rPr>
        <w:t xml:space="preserve">statistical </w:t>
      </w:r>
      <w:r w:rsidRPr="00167DC9">
        <w:rPr>
          <w:rFonts w:ascii="Times New Roman" w:hAnsi="Times New Roman"/>
          <w:color w:val="000000" w:themeColor="text1"/>
        </w:rPr>
        <w:t>differences in the cerebral second functional gradient.</w:t>
      </w:r>
      <w:proofErr w:type="gramEnd"/>
      <w:r w:rsidRPr="00167DC9">
        <w:rPr>
          <w:rFonts w:ascii="Times New Roman" w:hAnsi="Times New Roman"/>
          <w:color w:val="000000" w:themeColor="text1"/>
        </w:rPr>
        <w:t xml:space="preserve"> (A) </w:t>
      </w:r>
      <w:r w:rsidRPr="00167DC9">
        <w:rPr>
          <w:rFonts w:ascii="Times New Roman" w:hAnsi="Times New Roman" w:hint="eastAsia"/>
          <w:color w:val="000000" w:themeColor="text1"/>
        </w:rPr>
        <w:t>Mean g</w:t>
      </w:r>
      <w:r w:rsidRPr="00167DC9">
        <w:rPr>
          <w:rFonts w:ascii="Times New Roman" w:hAnsi="Times New Roman"/>
          <w:color w:val="000000" w:themeColor="text1"/>
        </w:rPr>
        <w:t xml:space="preserve">radient pattern in HC. (B) </w:t>
      </w:r>
      <w:r w:rsidRPr="00167DC9">
        <w:rPr>
          <w:rFonts w:ascii="Times New Roman" w:hAnsi="Times New Roman" w:hint="eastAsia"/>
          <w:color w:val="000000" w:themeColor="text1"/>
        </w:rPr>
        <w:t>Mean g</w:t>
      </w:r>
      <w:r w:rsidRPr="00167DC9">
        <w:rPr>
          <w:rFonts w:ascii="Times New Roman" w:hAnsi="Times New Roman"/>
          <w:color w:val="000000" w:themeColor="text1"/>
        </w:rPr>
        <w:t xml:space="preserve">radient pattern in SZ. (C) </w:t>
      </w:r>
      <w:r w:rsidRPr="00167DC9">
        <w:rPr>
          <w:rFonts w:ascii="Times New Roman" w:hAnsi="Times New Roman" w:hint="eastAsia"/>
          <w:color w:val="000000" w:themeColor="text1"/>
        </w:rPr>
        <w:t>Significant g</w:t>
      </w:r>
      <w:r w:rsidRPr="00167DC9">
        <w:rPr>
          <w:rFonts w:ascii="Times New Roman" w:hAnsi="Times New Roman"/>
          <w:color w:val="000000" w:themeColor="text1"/>
        </w:rPr>
        <w:t xml:space="preserve">roup differences between SZ and HC. Scatterplot represents cerebral gradient of SZ (y axis) vs. cerebral gradient of HC (x axis). Scatterplot colors correspond to group differences map as shown in top left corner of Figure </w:t>
      </w:r>
      <w:r w:rsidRPr="00167DC9">
        <w:rPr>
          <w:rFonts w:ascii="Times New Roman" w:hAnsi="Times New Roman" w:hint="eastAsia"/>
          <w:color w:val="000000" w:themeColor="text1"/>
        </w:rPr>
        <w:t>S5</w:t>
      </w:r>
      <w:r w:rsidRPr="00167DC9">
        <w:rPr>
          <w:rFonts w:ascii="Times New Roman" w:hAnsi="Times New Roman"/>
          <w:color w:val="000000" w:themeColor="text1"/>
        </w:rPr>
        <w:t xml:space="preserve">(C): higher gradient value in SZ (red), and lower gradient value in SZ (blue) compared to HC. Compressed gradient pattern in SZ is shown in density histograms in bottom right corner of Figure </w:t>
      </w:r>
      <w:r w:rsidRPr="00167DC9">
        <w:rPr>
          <w:rFonts w:ascii="Times New Roman" w:hAnsi="Times New Roman" w:hint="eastAsia"/>
          <w:color w:val="000000" w:themeColor="text1"/>
        </w:rPr>
        <w:t>S5</w:t>
      </w:r>
      <w:r w:rsidRPr="00167DC9">
        <w:rPr>
          <w:rFonts w:ascii="Times New Roman" w:hAnsi="Times New Roman"/>
          <w:color w:val="000000" w:themeColor="text1"/>
        </w:rPr>
        <w:t xml:space="preserve">(C). All results are shown after FDR correction (P &lt; 0.05). </w:t>
      </w:r>
    </w:p>
    <w:p w:rsidR="00F93B4C" w:rsidRPr="00167DC9" w:rsidRDefault="00F93B4C" w:rsidP="00F93B4C">
      <w:pPr>
        <w:rPr>
          <w:rFonts w:ascii="Times New Roman" w:hAnsi="Times New Roman"/>
          <w:color w:val="000000" w:themeColor="text1"/>
        </w:rPr>
      </w:pPr>
    </w:p>
    <w:p w:rsidR="004D6E06" w:rsidRDefault="004D6E06"/>
    <w:p w:rsidR="004D6E06" w:rsidRDefault="004D6E06"/>
    <w:p w:rsidR="00F93B4C" w:rsidRPr="00F93B4C" w:rsidRDefault="00F93B4C"/>
    <w:sectPr w:rsidR="00F93B4C" w:rsidRPr="00F93B4C">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uo">
    <w15:presenceInfo w15:providerId="None" w15:userId="CL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s5ede5wsedv5easruxzsapvwaarprx2p5x&quot;&gt;thesis_final&lt;record-ids&gt;&lt;item&gt;241&lt;/item&gt;&lt;/record-ids&gt;&lt;/item&gt;&lt;/Libraries&gt;"/>
  </w:docVars>
  <w:rsids>
    <w:rsidRoot w:val="00CD5124"/>
    <w:rsid w:val="0000023F"/>
    <w:rsid w:val="00006E46"/>
    <w:rsid w:val="00012702"/>
    <w:rsid w:val="00021236"/>
    <w:rsid w:val="000457FC"/>
    <w:rsid w:val="0007726F"/>
    <w:rsid w:val="00090F5B"/>
    <w:rsid w:val="00094D32"/>
    <w:rsid w:val="00096D3F"/>
    <w:rsid w:val="000B0BA3"/>
    <w:rsid w:val="0012269A"/>
    <w:rsid w:val="00132DB2"/>
    <w:rsid w:val="00134572"/>
    <w:rsid w:val="00167DC9"/>
    <w:rsid w:val="00174FEA"/>
    <w:rsid w:val="00181E4B"/>
    <w:rsid w:val="001908A2"/>
    <w:rsid w:val="001C090F"/>
    <w:rsid w:val="001D600B"/>
    <w:rsid w:val="001F4BEE"/>
    <w:rsid w:val="00222DFC"/>
    <w:rsid w:val="002665A7"/>
    <w:rsid w:val="002841A0"/>
    <w:rsid w:val="002A3348"/>
    <w:rsid w:val="0033073B"/>
    <w:rsid w:val="003929D9"/>
    <w:rsid w:val="003D54E3"/>
    <w:rsid w:val="003F6533"/>
    <w:rsid w:val="0043210A"/>
    <w:rsid w:val="00467C33"/>
    <w:rsid w:val="004928DD"/>
    <w:rsid w:val="004D6E06"/>
    <w:rsid w:val="0050379C"/>
    <w:rsid w:val="00526F44"/>
    <w:rsid w:val="0055445F"/>
    <w:rsid w:val="00591D1E"/>
    <w:rsid w:val="00606F65"/>
    <w:rsid w:val="00646517"/>
    <w:rsid w:val="00671EDF"/>
    <w:rsid w:val="0068743C"/>
    <w:rsid w:val="006C3BB5"/>
    <w:rsid w:val="00746ABF"/>
    <w:rsid w:val="007B0B5D"/>
    <w:rsid w:val="00806B60"/>
    <w:rsid w:val="00812749"/>
    <w:rsid w:val="0081763A"/>
    <w:rsid w:val="0083700F"/>
    <w:rsid w:val="008E16D6"/>
    <w:rsid w:val="009408B3"/>
    <w:rsid w:val="00945861"/>
    <w:rsid w:val="00955AD3"/>
    <w:rsid w:val="00970929"/>
    <w:rsid w:val="009C6A8A"/>
    <w:rsid w:val="009E5D2D"/>
    <w:rsid w:val="00A02BFD"/>
    <w:rsid w:val="00AA601A"/>
    <w:rsid w:val="00AC4677"/>
    <w:rsid w:val="00AE5A89"/>
    <w:rsid w:val="00B50F7A"/>
    <w:rsid w:val="00B938C9"/>
    <w:rsid w:val="00B94387"/>
    <w:rsid w:val="00BF69A5"/>
    <w:rsid w:val="00C02AD1"/>
    <w:rsid w:val="00CC060D"/>
    <w:rsid w:val="00CD299D"/>
    <w:rsid w:val="00CD5124"/>
    <w:rsid w:val="00D24458"/>
    <w:rsid w:val="00D30AB6"/>
    <w:rsid w:val="00D37822"/>
    <w:rsid w:val="00D8161B"/>
    <w:rsid w:val="00D90068"/>
    <w:rsid w:val="00D95A79"/>
    <w:rsid w:val="00DE59DC"/>
    <w:rsid w:val="00DF0345"/>
    <w:rsid w:val="00E019B6"/>
    <w:rsid w:val="00E1037A"/>
    <w:rsid w:val="00E725B6"/>
    <w:rsid w:val="00EA0D74"/>
    <w:rsid w:val="00EA4217"/>
    <w:rsid w:val="00EA6902"/>
    <w:rsid w:val="00EC6FF2"/>
    <w:rsid w:val="00F02B45"/>
    <w:rsid w:val="00F30663"/>
    <w:rsid w:val="00F7081B"/>
    <w:rsid w:val="00F93B4C"/>
    <w:rsid w:val="00FC571D"/>
    <w:rsid w:val="15D25935"/>
    <w:rsid w:val="16CD6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font01">
    <w:name w:val="font01"/>
    <w:basedOn w:val="a0"/>
    <w:qFormat/>
    <w:rPr>
      <w:rFonts w:ascii="Times New Roman" w:hAnsi="Times New Roman" w:cs="Times New Roman" w:hint="default"/>
      <w:color w:val="000000"/>
      <w:sz w:val="24"/>
      <w:szCs w:val="24"/>
      <w:u w:val="none"/>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apple-converted-space">
    <w:name w:val="apple-converted-space"/>
    <w:qFormat/>
  </w:style>
  <w:style w:type="paragraph" w:styleId="a8">
    <w:name w:val="Revision"/>
    <w:hidden/>
    <w:uiPriority w:val="99"/>
    <w:semiHidden/>
    <w:rsid w:val="0055445F"/>
    <w:rPr>
      <w:kern w:val="2"/>
      <w:sz w:val="21"/>
      <w:szCs w:val="22"/>
    </w:rPr>
  </w:style>
  <w:style w:type="paragraph" w:customStyle="1" w:styleId="EndNoteBibliographyTitle">
    <w:name w:val="EndNote Bibliography Title"/>
    <w:basedOn w:val="a"/>
    <w:link w:val="EndNoteBibliographyTitleChar"/>
    <w:rsid w:val="004D6E0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D6E06"/>
    <w:rPr>
      <w:rFonts w:ascii="Calibri" w:hAnsi="Calibri" w:cs="Calibri"/>
      <w:noProof/>
      <w:kern w:val="2"/>
      <w:szCs w:val="22"/>
    </w:rPr>
  </w:style>
  <w:style w:type="paragraph" w:customStyle="1" w:styleId="EndNoteBibliography">
    <w:name w:val="EndNote Bibliography"/>
    <w:basedOn w:val="a"/>
    <w:link w:val="EndNoteBibliographyChar"/>
    <w:rsid w:val="004D6E06"/>
    <w:rPr>
      <w:rFonts w:ascii="Calibri" w:hAnsi="Calibri" w:cs="Calibri"/>
      <w:noProof/>
      <w:sz w:val="20"/>
    </w:rPr>
  </w:style>
  <w:style w:type="character" w:customStyle="1" w:styleId="EndNoteBibliographyChar">
    <w:name w:val="EndNote Bibliography Char"/>
    <w:basedOn w:val="a0"/>
    <w:link w:val="EndNoteBibliography"/>
    <w:rsid w:val="004D6E06"/>
    <w:rPr>
      <w:rFonts w:ascii="Calibri" w:hAnsi="Calibri" w:cs="Calibri"/>
      <w:noProof/>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font01">
    <w:name w:val="font01"/>
    <w:basedOn w:val="a0"/>
    <w:qFormat/>
    <w:rPr>
      <w:rFonts w:ascii="Times New Roman" w:hAnsi="Times New Roman" w:cs="Times New Roman" w:hint="default"/>
      <w:color w:val="000000"/>
      <w:sz w:val="24"/>
      <w:szCs w:val="24"/>
      <w:u w:val="none"/>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apple-converted-space">
    <w:name w:val="apple-converted-space"/>
    <w:qFormat/>
  </w:style>
  <w:style w:type="paragraph" w:styleId="a8">
    <w:name w:val="Revision"/>
    <w:hidden/>
    <w:uiPriority w:val="99"/>
    <w:semiHidden/>
    <w:rsid w:val="0055445F"/>
    <w:rPr>
      <w:kern w:val="2"/>
      <w:sz w:val="21"/>
      <w:szCs w:val="22"/>
    </w:rPr>
  </w:style>
  <w:style w:type="paragraph" w:customStyle="1" w:styleId="EndNoteBibliographyTitle">
    <w:name w:val="EndNote Bibliography Title"/>
    <w:basedOn w:val="a"/>
    <w:link w:val="EndNoteBibliographyTitleChar"/>
    <w:rsid w:val="004D6E0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D6E06"/>
    <w:rPr>
      <w:rFonts w:ascii="Calibri" w:hAnsi="Calibri" w:cs="Calibri"/>
      <w:noProof/>
      <w:kern w:val="2"/>
      <w:szCs w:val="22"/>
    </w:rPr>
  </w:style>
  <w:style w:type="paragraph" w:customStyle="1" w:styleId="EndNoteBibliography">
    <w:name w:val="EndNote Bibliography"/>
    <w:basedOn w:val="a"/>
    <w:link w:val="EndNoteBibliographyChar"/>
    <w:rsid w:val="004D6E06"/>
    <w:rPr>
      <w:rFonts w:ascii="Calibri" w:hAnsi="Calibri" w:cs="Calibri"/>
      <w:noProof/>
      <w:sz w:val="20"/>
    </w:rPr>
  </w:style>
  <w:style w:type="character" w:customStyle="1" w:styleId="EndNoteBibliographyChar">
    <w:name w:val="EndNote Bibliography Char"/>
    <w:basedOn w:val="a0"/>
    <w:link w:val="EndNoteBibliography"/>
    <w:rsid w:val="004D6E06"/>
    <w:rPr>
      <w:rFonts w:ascii="Calibri" w:hAnsi="Calibri" w:cs="Calibri"/>
      <w:noProof/>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inspace.readthedocs.io"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rfmri.org/dpabi" TargetMode="Externa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nitrc.org/projects/bnv/" TargetMode="External"/><Relationship Id="rId14"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17723-3B1C-45A1-A6D0-1E717398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16</Pages>
  <Words>20490</Words>
  <Characters>116799</Characters>
  <Application>Microsoft Office Word</Application>
  <DocSecurity>0</DocSecurity>
  <Lines>973</Lines>
  <Paragraphs>274</Paragraphs>
  <ScaleCrop>false</ScaleCrop>
  <Company/>
  <LinksUpToDate>false</LinksUpToDate>
  <CharactersWithSpaces>137015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 Dong</dc:creator>
  <cp:lastModifiedBy>Debo Dong</cp:lastModifiedBy>
  <cp:revision>58</cp:revision>
  <dcterms:created xsi:type="dcterms:W3CDTF">2019-12-13T09:16:00Z</dcterms:created>
  <dcterms:modified xsi:type="dcterms:W3CDTF">2021-03-23T08:50:00Z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http://www.zotero.org/styles/biological-psychiatry</vt:lpwstr>
  </property>
  <property fmtid="{D5CDD505-2E9C-101B-9397-08002B2CF9AE}" pid="7" name="Mendeley Recent Style Name 2_1">
    <vt:lpwstr>Biological Psychiatry</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http://www.zotero.org/styles/neuropsychopharmacology</vt:lpwstr>
  </property>
  <property fmtid="{D5CDD505-2E9C-101B-9397-08002B2CF9AE}" pid="21" name="Mendeley Recent Style Name 9_1">
    <vt:lpwstr>Neuropsychopharmacology</vt:lpwstr>
  </property>
  <property fmtid="{D5CDD505-2E9C-101B-9397-08002B2CF9AE}" pid="22" name="Mendeley Document_1">
    <vt:lpwstr>True</vt:lpwstr>
  </property>
  <property fmtid="{D5CDD505-2E9C-101B-9397-08002B2CF9AE}" pid="23" name="Mendeley Unique User Id_1">
    <vt:lpwstr>eedd0173-dc6f-362e-9527-e8c96ce29113</vt:lpwstr>
  </property>
  <property fmtid="{D5CDD505-2E9C-101B-9397-08002B2CF9AE}" pid="24" name="Mendeley Citation Style_1">
    <vt:lpwstr>http://www.zotero.org/styles/apa</vt:lpwstr>
  </property>
  <property fmtid="{D5CDD505-2E9C-101B-9397-08002B2CF9AE}" pid="25" name="KSOProductBuildVer">
    <vt:lpwstr>2052-11.1.0.10314</vt:lpwstr>
  </property>
</Properties>
</file>