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232" w:rsidRPr="00916243" w:rsidRDefault="00D60232" w:rsidP="00D60232">
      <w:pPr>
        <w:rPr>
          <w:rFonts w:eastAsiaTheme="majorEastAsia"/>
          <w:lang w:val="en-GB"/>
        </w:rPr>
      </w:pPr>
    </w:p>
    <w:p w:rsidR="00D60232" w:rsidRDefault="00D60232" w:rsidP="00D60232">
      <w:pPr>
        <w:pStyle w:val="Heading2"/>
      </w:pPr>
      <w:r>
        <w:t>Supplementary Materials</w:t>
      </w:r>
    </w:p>
    <w:p w:rsidR="00D60232" w:rsidRDefault="00D60232" w:rsidP="00D60232">
      <w:pPr>
        <w:pStyle w:val="Heading3"/>
      </w:pPr>
      <w:r>
        <w:t>Further details of data analyses</w:t>
      </w:r>
    </w:p>
    <w:p w:rsidR="00D60232" w:rsidRDefault="00D60232" w:rsidP="00D60232"/>
    <w:p w:rsidR="00D60232" w:rsidRPr="00A3163D" w:rsidRDefault="00D60232" w:rsidP="00D60232">
      <w:pPr>
        <w:pStyle w:val="Heading4"/>
      </w:pPr>
      <w:r w:rsidRPr="00A3163D">
        <w:t>Pre</w:t>
      </w:r>
      <w:r>
        <w:t>-</w:t>
      </w:r>
      <w:r w:rsidRPr="00A3163D">
        <w:t>processing</w:t>
      </w:r>
    </w:p>
    <w:p w:rsidR="00D60232" w:rsidRDefault="00D60232" w:rsidP="00D60232">
      <w:r>
        <w:t>Due to overlap between symptoms measured by the CIS-R and BDI-II, pre-processing will identify multicollinearity. Items to be removed will be chosen based on having lower variability in the pair. Additionally, assumptions relating to near zero variance, approximately eq</w:t>
      </w:r>
      <w:bookmarkStart w:id="0" w:name="_GoBack"/>
      <w:bookmarkEnd w:id="0"/>
      <w:r>
        <w:t xml:space="preserve">ual variance of nodes, asymmetrical distributions will be assessed. Items will removed if they clearly violate assumptions across 2 or more training studies. </w:t>
      </w:r>
    </w:p>
    <w:p w:rsidR="00D60232" w:rsidRDefault="00D60232" w:rsidP="00D60232">
      <w:r>
        <w:t xml:space="preserve">The pre-processing will apply to the </w:t>
      </w:r>
      <w:r w:rsidRPr="007C3979">
        <w:t xml:space="preserve">three </w:t>
      </w:r>
      <w:r>
        <w:t xml:space="preserve">network informed </w:t>
      </w:r>
      <w:r w:rsidRPr="007C3979">
        <w:t>weighted models</w:t>
      </w:r>
      <w:r>
        <w:t xml:space="preserve"> and the unidimensional confirmatory factor analytic (CFA) model,</w:t>
      </w:r>
      <w:r w:rsidRPr="007C3979">
        <w:t xml:space="preserve"> any item removed from the network at the pre-processing stage will be weighted to </w:t>
      </w:r>
      <w:r>
        <w:t>zero.</w:t>
      </w:r>
    </w:p>
    <w:p w:rsidR="00D60232" w:rsidRDefault="00D60232" w:rsidP="00D60232">
      <w:r>
        <w:t xml:space="preserve">For the ENR, ‘dummy coded’ variables will be created for each category of any non-continuous/ordinal variables. </w:t>
      </w:r>
    </w:p>
    <w:p w:rsidR="00D60232" w:rsidRDefault="00D60232" w:rsidP="00D60232">
      <w:pPr>
        <w:pStyle w:val="Heading4"/>
      </w:pPr>
      <w:r>
        <w:t>Potential Deviations from Pre-processing Procedure</w:t>
      </w:r>
    </w:p>
    <w:p w:rsidR="00D60232" w:rsidRDefault="00D60232" w:rsidP="00D60232">
      <w:r>
        <w:t xml:space="preserve">If we find that the pre-processing stages above related to removing variables due to multi-collinearity or assumption violations for the network modelling result in numerous variables being removed from one set of models (the network models) but not from others, we will consider using less-conservative means of pre-processing so as to not invalidate model comparisons. For example, we might suggest that only those variables that violate network-modelling assumptions in all of the training set studies be removed rather than those that do so in just two of the studies. </w:t>
      </w:r>
    </w:p>
    <w:p w:rsidR="00D60232" w:rsidRDefault="00D60232" w:rsidP="00D60232">
      <w:pPr>
        <w:pStyle w:val="Heading4"/>
      </w:pPr>
      <w:r>
        <w:t>Missing Data</w:t>
      </w:r>
    </w:p>
    <w:p w:rsidR="00D60232" w:rsidRDefault="00D60232" w:rsidP="00D60232">
      <w:r>
        <w:t xml:space="preserve">Missing data will be imputed using the </w:t>
      </w:r>
      <w:r w:rsidRPr="00A24549">
        <w:rPr>
          <w:rFonts w:cstheme="minorHAnsi"/>
        </w:rPr>
        <w:t>“missForest” package</w:t>
      </w:r>
      <w:r>
        <w:rPr>
          <w:rFonts w:cstheme="minorHAnsi"/>
        </w:rPr>
        <w:t xml:space="preserve"> </w:t>
      </w:r>
      <w:r>
        <w:rPr>
          <w:rFonts w:cstheme="minorHAnsi"/>
        </w:rPr>
        <w:fldChar w:fldCharType="begin" w:fldLock="1"/>
      </w:r>
      <w:r>
        <w:rPr>
          <w:rFonts w:cstheme="minorHAnsi"/>
        </w:rPr>
        <w:instrText>ADDIN CSL_CITATION {"citationItems":[{"id":"ITEM-1","itemData":{"DOI":"10.1093/bioinformatics/btr597","author":[{"dropping-particle":"","family":"Stekhoven","given":"Daniel J","non-dropping-particle":"","parse-names":false,"suffix":""},{"dropping-particle":"","family":"Bühlmann","given":"Peter","non-dropping-particle":"","parse-names":false,"suffix":""}],"id":"ITEM-1","issue":"1","issued":{"date-parts":[["2012"]]},"page":"112-118","title":"MissForest — non-parametric missing value imputation for mixed-type data","type":"article-journal","volume":"28"},"uris":["http://www.mendeley.com/documents/?uuid=ff5d379d-f2ab-4ecf-879c-3e5539dc8b72"]}],"mendeley":{"formattedCitation":"(D. J. Stekhoven &amp; Bühlmann, 2012)","plainTextFormattedCitation":"(D. J. Stekhoven &amp; Bühlmann, 2012)","previouslyFormattedCitation":"(D. J. Stekhoven &amp; Bühlmann, 2012)"},"properties":{"noteIndex":0},"schema":"https://github.com/citation-style-language/schema/raw/master/csl-citation.json"}</w:instrText>
      </w:r>
      <w:r>
        <w:rPr>
          <w:rFonts w:cstheme="minorHAnsi"/>
        </w:rPr>
        <w:fldChar w:fldCharType="separate"/>
      </w:r>
      <w:r w:rsidRPr="0002472B">
        <w:rPr>
          <w:rFonts w:cstheme="minorHAnsi"/>
          <w:noProof/>
        </w:rPr>
        <w:t>(D. J. Stekhoven &amp; Bühlmann, 2012)</w:t>
      </w:r>
      <w:r>
        <w:rPr>
          <w:rFonts w:cstheme="minorHAnsi"/>
        </w:rPr>
        <w:fldChar w:fldCharType="end"/>
      </w:r>
      <w:r w:rsidRPr="00A24549">
        <w:rPr>
          <w:rFonts w:cstheme="minorHAnsi"/>
        </w:rPr>
        <w:t xml:space="preserve"> in R Studio</w:t>
      </w:r>
      <w:r>
        <w:rPr>
          <w:rFonts w:cstheme="minorHAnsi"/>
        </w:rPr>
        <w:t xml:space="preserve"> </w:t>
      </w:r>
      <w:r>
        <w:rPr>
          <w:rFonts w:cstheme="minorHAnsi"/>
        </w:rPr>
        <w:fldChar w:fldCharType="begin" w:fldLock="1"/>
      </w:r>
      <w:r>
        <w:rPr>
          <w:rFonts w:cstheme="minorHAnsi"/>
        </w:rPr>
        <w:instrText>ADDIN CSL_CITATION {"citationItems":[{"id":"ITEM-1","itemData":{"author":[{"dropping-particle":"","family":"Team","given":"R Core","non-dropping-particle":"","parse-names":false,"suffix":""}],"id":"ITEM-1","issued":{"date-parts":[["2013"]]},"title":"A Language and Environment for Statistical Computing","type":"article","volume":"201"},"uris":["http://www.mendeley.com/documents/?uuid=0f67bfc9-7e7e-42a0-9c86-6e766b319574"]}],"mendeley":{"formattedCitation":"(Team, 2013)","manualFormatting":"(R Core Team, 2013)","plainTextFormattedCitation":"(Team, 2013)","previouslyFormattedCitation":"(Team, 2013)"},"properties":{"noteIndex":0},"schema":"https://github.com/citation-style-language/schema/raw/master/csl-citation.json"}</w:instrText>
      </w:r>
      <w:r>
        <w:rPr>
          <w:rFonts w:cstheme="minorHAnsi"/>
        </w:rPr>
        <w:fldChar w:fldCharType="separate"/>
      </w:r>
      <w:r w:rsidRPr="00171028">
        <w:rPr>
          <w:rFonts w:cstheme="minorHAnsi"/>
          <w:noProof/>
        </w:rPr>
        <w:t>(</w:t>
      </w:r>
      <w:r>
        <w:rPr>
          <w:rFonts w:cstheme="minorHAnsi"/>
          <w:noProof/>
        </w:rPr>
        <w:t xml:space="preserve">R Core </w:t>
      </w:r>
      <w:r w:rsidRPr="00171028">
        <w:rPr>
          <w:rFonts w:cstheme="minorHAnsi"/>
          <w:noProof/>
        </w:rPr>
        <w:t>Team, 2013)</w:t>
      </w:r>
      <w:r>
        <w:rPr>
          <w:rFonts w:cstheme="minorHAnsi"/>
        </w:rPr>
        <w:fldChar w:fldCharType="end"/>
      </w:r>
      <w:r>
        <w:rPr>
          <w:rFonts w:cstheme="minorHAnsi"/>
        </w:rPr>
        <w:t xml:space="preserve">. This uses a random forest model to </w:t>
      </w:r>
      <w:r w:rsidRPr="00A24549">
        <w:rPr>
          <w:rFonts w:cstheme="minorHAnsi"/>
        </w:rPr>
        <w:t>imput</w:t>
      </w:r>
      <w:r>
        <w:rPr>
          <w:rFonts w:cstheme="minorHAnsi"/>
        </w:rPr>
        <w:t xml:space="preserve">e missing data on all types of variables (continuous, categorical and binary) </w:t>
      </w:r>
      <w:r w:rsidRPr="00A24549">
        <w:rPr>
          <w:rFonts w:cstheme="minorHAnsi"/>
        </w:rPr>
        <w:t>generat</w:t>
      </w:r>
      <w:r>
        <w:rPr>
          <w:rFonts w:cstheme="minorHAnsi"/>
        </w:rPr>
        <w:t xml:space="preserve">ing </w:t>
      </w:r>
      <w:r w:rsidRPr="00A24549">
        <w:rPr>
          <w:rFonts w:cstheme="minorHAnsi"/>
        </w:rPr>
        <w:t xml:space="preserve">a single dataset </w:t>
      </w:r>
      <w:r>
        <w:rPr>
          <w:rFonts w:cstheme="minorHAnsi"/>
        </w:rPr>
        <w:t xml:space="preserve">with imputed values taken </w:t>
      </w:r>
      <w:r w:rsidRPr="00A24549">
        <w:rPr>
          <w:rFonts w:cstheme="minorHAnsi"/>
        </w:rPr>
        <w:t xml:space="preserve">by averaging across </w:t>
      </w:r>
      <w:r>
        <w:rPr>
          <w:rFonts w:cstheme="minorHAnsi"/>
        </w:rPr>
        <w:t>a large number of</w:t>
      </w:r>
      <w:r w:rsidRPr="00A24549">
        <w:rPr>
          <w:rFonts w:cstheme="minorHAnsi"/>
        </w:rPr>
        <w:t xml:space="preserve"> regression tre</w:t>
      </w:r>
      <w:r>
        <w:rPr>
          <w:rFonts w:cstheme="minorHAnsi"/>
        </w:rPr>
        <w:t>e</w:t>
      </w:r>
      <w:r w:rsidRPr="00A24549">
        <w:rPr>
          <w:rFonts w:cstheme="minorHAnsi"/>
        </w:rPr>
        <w:t>s</w:t>
      </w:r>
      <w:r>
        <w:t>. The imputation model will be run separately in each of the six RCTs, the results from which will be merged to form the two datasets (train and test). For studies in the train-set, all individuals with ≥30% missingness on baseline variables and all variables with ≥30% missingness across all participants will be excluded. Missing baseline data and outcomes for the remaining cases will be imputed. The primary analyses in the test-set studies will be completers only (those without outcomes will be excluded) although the systematically missing BDI-II scores at 3-4 months post-baseline in COBALT will be interpolated using “missForest” using data at baseline, 6-8 months and the PHQ-9 scores at 3-4 months. As with the training data, cases in the test sample with ≥30% missingness on baseline variables will be excluded and imputation will be performed via random forest. However, outcome data will not be used to inform imputation of missing baseline data for the primary analyses in the test sample.</w:t>
      </w:r>
      <w:r w:rsidDel="00691EE7">
        <w:t xml:space="preserve"> </w:t>
      </w:r>
    </w:p>
    <w:p w:rsidR="00D60232" w:rsidRDefault="00D60232" w:rsidP="00D60232"/>
    <w:p w:rsidR="00D60232" w:rsidRDefault="00D60232" w:rsidP="00D60232">
      <w:pPr>
        <w:pStyle w:val="Heading4"/>
      </w:pPr>
      <w:r>
        <w:t>Consistency Checks and Additional Model Evaluation</w:t>
      </w:r>
    </w:p>
    <w:p w:rsidR="00D60232" w:rsidRPr="003B03D4" w:rsidRDefault="00D60232" w:rsidP="00D60232">
      <w:pPr>
        <w:rPr>
          <w:lang w:val="en-GB"/>
        </w:rPr>
      </w:pPr>
      <w:r w:rsidRPr="003B03D4">
        <w:rPr>
          <w:lang w:val="en-GB"/>
        </w:rPr>
        <w:t xml:space="preserve">In addition to considering the performance of the models using the metrics specified in the ‘Model Evaluation’ section above the predictions of outcome for each model were compared in a correlation matrix, the weights applied to the predictor variables were also compared. </w:t>
      </w:r>
    </w:p>
    <w:p w:rsidR="00D60232" w:rsidRDefault="00D60232" w:rsidP="00D60232"/>
    <w:p w:rsidR="00D60232" w:rsidRDefault="00D60232" w:rsidP="00D60232">
      <w:pPr>
        <w:pStyle w:val="Heading4"/>
      </w:pPr>
      <w:r>
        <w:t>Software &amp; Packages</w:t>
      </w:r>
    </w:p>
    <w:p w:rsidR="00D60232" w:rsidRDefault="00D60232" w:rsidP="00D60232">
      <w:pPr>
        <w:rPr>
          <w:rFonts w:cstheme="minorHAnsi"/>
        </w:rPr>
      </w:pPr>
      <w:r>
        <w:t xml:space="preserve">Data handling and cleaning prior to the development of the Dep-GP database was performed in Stata 15.0 </w:t>
      </w:r>
      <w:r>
        <w:fldChar w:fldCharType="begin" w:fldLock="1"/>
      </w:r>
      <w:r>
        <w:instrText>ADDIN CSL_CITATION {"citationItems":[{"id":"ITEM-1","itemData":{"ISBN":"1-59718-116-1","ISSN":"&lt;null&gt;","PMID":"4661721","author":[{"dropping-particle":"","family":"StataCorp LP.","given":"","non-dropping-particle":"","parse-names":false,"suffix":""}],"id":"ITEM-1","issued":{"date-parts":[["2017"]]},"number-of-pages":"1-2987","publisher":"Stata Press","publisher-place":"College Station, Texas","title":"Stata Base Reference Manual - Release 15","type":"book"},"uris":["http://www.mendeley.com/documents/?uuid=13ff9d4f-b9c2-44da-88dc-7dcbf20765f1"]}],"mendeley":{"formattedCitation":"(StataCorp LP., 2017)","plainTextFormattedCitation":"(StataCorp LP., 2017)","previouslyFormattedCitation":"(StataCorp LP., 2017)"},"properties":{"noteIndex":0},"schema":"https://github.com/citation-style-language/schema/raw/master/csl-citation.json"}</w:instrText>
      </w:r>
      <w:r>
        <w:fldChar w:fldCharType="separate"/>
      </w:r>
      <w:r w:rsidRPr="000C3E3E">
        <w:rPr>
          <w:noProof/>
        </w:rPr>
        <w:t>(StataCorp LP., 2017)</w:t>
      </w:r>
      <w:r>
        <w:fldChar w:fldCharType="end"/>
      </w:r>
      <w:r>
        <w:t>. All data pre-processing, imputation and analyses for the outlined study will be performed in R (</w:t>
      </w:r>
      <w:r w:rsidRPr="00A24549">
        <w:rPr>
          <w:rFonts w:cstheme="minorHAnsi"/>
        </w:rPr>
        <w:t>R Core Team, 201</w:t>
      </w:r>
      <w:r>
        <w:rPr>
          <w:rFonts w:cstheme="minorHAnsi"/>
        </w:rPr>
        <w:t xml:space="preserve">9). </w:t>
      </w:r>
    </w:p>
    <w:p w:rsidR="00D60232" w:rsidRDefault="00D60232" w:rsidP="00D60232">
      <w:r>
        <w:rPr>
          <w:rFonts w:cstheme="minorHAnsi"/>
        </w:rPr>
        <w:t xml:space="preserve">The R packages to be used are: </w:t>
      </w:r>
    </w:p>
    <w:p w:rsidR="00D60232" w:rsidRDefault="00D60232" w:rsidP="00D60232">
      <w:pPr>
        <w:pStyle w:val="ListParagraph"/>
        <w:numPr>
          <w:ilvl w:val="0"/>
          <w:numId w:val="6"/>
        </w:numPr>
      </w:pPr>
      <w:r>
        <w:t xml:space="preserve">Bootnet </w:t>
      </w:r>
      <w:r>
        <w:fldChar w:fldCharType="begin" w:fldLock="1"/>
      </w:r>
      <w:r>
        <w:instrText>ADDIN CSL_CITATION {"citationItems":[{"id":"ITEM-1","itemData":{"DOI":"10.3758/s13428-017-0862-1","ISBN":"1554-3528 (Electronic) 1554-351X (Linking)","ISSN":"15543528","PMID":"28342071","abstract":"The usage of psychological networks that conceptualize psychological behavior as a complex interplay of psychological and other components has gained increasing popularity in various fields of psychology. While prior publications have tackled the topics of estimating and interpreting such networks, little work has been conducted to check how accurate (i.e., prone to sampling variation) networks are estimated, and how stable (i.e., interpretation remains similar with less observations) inferences from the network structure (such as centrality indices) are. In this tutorial paper, we aim to introduce the reader to this field and tackle the problem of accuracy under sampling variation. We first introduce the current state-of-the-art of network estimation. Second, we provide a rationale why researchers should investigate the accuracy of psychological networks. Third, we describe how bootstrap routines can be used to (A) assess the accuracy of estimated network connections, (B) investigate the stability of centrality indices, and (C) test whether network connections and centrality estimates for different variables differ from each other. We introduce two novel statistical methods: for (B) the correlation stability coefficient, and for (C) the bootstrapped difference test for edge-weights and centrality indices. We conducted and present simulation studies to assess the performance of both methods. Finally, we developed the free R-package bootnet that allows for estimating psychological networks in a generalized framework in addition to the proposed bootstrap methods. We showcase bootnet in a tutorial, accompanied by R syntax, in which we analyze a dataset of 359 women with posttraumatic stress disorder available online.","author":[{"dropping-particle":"","family":"Epskamp","given":"Sacha","non-dropping-particle":"","parse-names":false,"suffix":""},{"dropping-particle":"","family":"Borsboom","given":"Denny","non-dropping-particle":"","parse-names":false,"suffix":""},{"dropping-particle":"","family":"Fried","given":"Eiko I.","non-dropping-particle":"","parse-names":false,"suffix":""}],"id":"ITEM-1","issued":{"date-parts":[["2018"]]},"number":"1.2","publisher":"CRAN","title":"Bootstrap Methods for Various Network Estimation Routines","type":"article"},"uris":["http://www.mendeley.com/documents/?uuid=07fc93c9-e6e3-4c3f-8e27-9e24ff582781"]}],"mendeley":{"formattedCitation":"(Epskamp, Borsboom, &amp; Fried, 2018)","plainTextFormattedCitation":"(Epskamp, Borsboom, &amp; Fried, 2018)","previouslyFormattedCitation":"(Epskamp, Borsboom, &amp; Fried, 2018)"},"properties":{"noteIndex":0},"schema":"https://github.com/citation-style-language/schema/raw/master/csl-citation.json"}</w:instrText>
      </w:r>
      <w:r>
        <w:fldChar w:fldCharType="separate"/>
      </w:r>
      <w:r w:rsidRPr="0002472B">
        <w:rPr>
          <w:noProof/>
        </w:rPr>
        <w:t>(Epskamp, Borsboom, &amp; Fried, 2018)</w:t>
      </w:r>
      <w:r>
        <w:fldChar w:fldCharType="end"/>
      </w:r>
      <w:r>
        <w:t xml:space="preserve"> </w:t>
      </w:r>
    </w:p>
    <w:p w:rsidR="00D60232" w:rsidRDefault="00D60232" w:rsidP="00D60232">
      <w:pPr>
        <w:pStyle w:val="ListParagraph"/>
        <w:numPr>
          <w:ilvl w:val="0"/>
          <w:numId w:val="6"/>
        </w:numPr>
      </w:pPr>
      <w:r>
        <w:t xml:space="preserve">Caret </w:t>
      </w:r>
      <w:r>
        <w:fldChar w:fldCharType="begin" w:fldLock="1"/>
      </w:r>
      <w:r>
        <w:instrText>ADDIN CSL_CITATION {"citationItems":[{"id":"ITEM-1","itemData":{"author":[{"dropping-particle":"","family":"Kuhn","given":"Max","non-dropping-particle":"","parse-names":false,"suffix":""},{"dropping-particle":"","family":"Weston","given":"Steve","non-dropping-particle":"","parse-names":false,"suffix":""},{"dropping-particle":"","family":"Keefer","given":"Chris","non-dropping-particle":"","parse-names":false,"suffix":""},{"dropping-particle":"","family":"Engelhardt","given":"Allan","non-dropping-particle":"","parse-names":false,"suffix":""},{"dropping-particle":"","family":"Cooper","given":"Tony","non-dropping-particle":"","parse-names":false,"suffix":""},{"dropping-particle":"","family":"Mayer","given":"Zachary","non-dropping-particle":"","parse-names":false,"suffix":""},{"dropping-particle":"","family":"Kenkel","given":"Brenton","non-dropping-particle":"","parse-names":false,"suffix":""},{"dropping-particle":"","family":"Team","given":"R Core","non-dropping-particle":"","parse-names":false,"suffix":""},{"dropping-particle":"","family":"Benesty","given":"Michael","non-dropping-particle":"","parse-names":false,"suffix":""},{"dropping-particle":"","family":"Lescarbeau","given":"Reynald","non-dropping-particle":"","parse-names":false,"suffix":""},{"dropping-particle":"","family":"Ziem","given":"Andrew","non-dropping-particle":"","parse-names":false,"suffix":""},{"dropping-particle":"","family":"Scrucca","given":"Luca","non-dropping-particle":"","parse-names":false,"suffix":""},{"dropping-particle":"","family":"Tang","given":"Yuan","non-dropping-particle":"","parse-names":false,"suffix":""},{"dropping-particle":"","family":"Candan","given":"Can","non-dropping-particle":"","parse-names":false,"suffix":""},{"dropping-particle":"","family":"Hunt","given":"Tyler","non-dropping-particle":"","parse-names":false,"suffix":""}],"id":"ITEM-1","issued":{"date-parts":[["2016"]]},"title":"Package ‘ caret '","type":"article-journal"},"uris":["http://www.mendeley.com/documents/?uuid=87c83c8b-53c4-4fdf-870f-faecbadce20f"]}],"mendeley":{"formattedCitation":"(Kuhn et al., 2016)","plainTextFormattedCitation":"(Kuhn et al., 2016)","previouslyFormattedCitation":"(Kuhn et al., 2016)"},"properties":{"noteIndex":0},"schema":"https://github.com/citation-style-language/schema/raw/master/csl-citation.json"}</w:instrText>
      </w:r>
      <w:r>
        <w:fldChar w:fldCharType="separate"/>
      </w:r>
      <w:r w:rsidRPr="0002472B">
        <w:rPr>
          <w:noProof/>
        </w:rPr>
        <w:t>(Kuhn et al., 2016)</w:t>
      </w:r>
      <w:r>
        <w:fldChar w:fldCharType="end"/>
      </w:r>
      <w:r>
        <w:t xml:space="preserve"> </w:t>
      </w:r>
    </w:p>
    <w:p w:rsidR="00D60232" w:rsidRDefault="00D60232" w:rsidP="00D60232">
      <w:pPr>
        <w:pStyle w:val="ListParagraph"/>
        <w:numPr>
          <w:ilvl w:val="0"/>
          <w:numId w:val="6"/>
        </w:numPr>
      </w:pPr>
      <w:r>
        <w:rPr>
          <w:rFonts w:ascii="Arial" w:hAnsi="Arial" w:cs="Arial"/>
          <w:color w:val="222222"/>
          <w:sz w:val="20"/>
          <w:szCs w:val="20"/>
          <w:shd w:val="clear" w:color="auto" w:fill="FFFFFF"/>
        </w:rPr>
        <w:lastRenderedPageBreak/>
        <w:t xml:space="preserve">EGAnet </w:t>
      </w:r>
      <w:r>
        <w:rPr>
          <w:rFonts w:ascii="Arial" w:hAnsi="Arial" w:cs="Arial"/>
          <w:color w:val="222222"/>
          <w:sz w:val="20"/>
          <w:szCs w:val="20"/>
          <w:shd w:val="clear" w:color="auto" w:fill="FFFFFF"/>
        </w:rPr>
        <w:fldChar w:fldCharType="begin" w:fldLock="1"/>
      </w:r>
      <w:r>
        <w:rPr>
          <w:rFonts w:ascii="Arial" w:hAnsi="Arial" w:cs="Arial"/>
          <w:color w:val="222222"/>
          <w:sz w:val="20"/>
          <w:szCs w:val="20"/>
          <w:shd w:val="clear" w:color="auto" w:fill="FFFFFF"/>
        </w:rPr>
        <w:instrText>ADDIN CSL_CITATION {"citationItems":[{"id":"ITEM-1","itemData":{"DOI":"10.1371/journal.pone.0174035","ISBN":"1111111111","ISSN":"19326203","abstract":"The estimation of the correct number of dimensions is a long-standing problem in psychometrics. Several methods have been proposed, such as parallel analysis (PA), multiple average partial procedure (MAP), the maximum-likelihood approaches that use fit indexes as BIC and EBIC and the less used and studied approach called very simple structure (VSS). In the present paper a new approach to estimate the number of dimensions will be introduced and compared via simulation to the traditional techniques pointed above. The approach proposed in the current paper is called exploratory graph analysis (EGA), since it is based on the graphical lasso with the regularization parameter specified using EBIC. The number of dimensions is verified using the walktrap, a random walk algorithm used to identify communities in networks. In total, 3,200 data sets were simulated to fit known factor structures, with the data sets varying across different criteria: number of factors (2 and 4), with five dichotomous items each, sample size (100, 500, 1000 and 5000) and correlation between factors (orthogonal, .20, .50 and .70), resulting in 32 different conditions. For each condition, 100 data sets were simulated using lavaan. The result shows that the EGA was the only technique able to correctly estimate the number of dimensions in the four-factor structure when the correlation between factors were .7, showing an accuracy of 61% for a sample size of 1,000, and 100% for a sample size of 5,000 observations, against an accuracy of 0 for all the other methods. Finally, the EGA was used to estimate the number of factors in a real dataset, in order to compare its performance with the other five techniques tested in the simulation study.","author":[{"dropping-particle":"","family":"Golino","given":"Hudson F.","non-dropping-particle":"","parse-names":false,"suffix":""},{"dropping-particle":"","family":"Epskamp","given":"Sacha","non-dropping-particle":"","parse-names":false,"suffix":""}],"container-title":"PLoS ONE","id":"ITEM-1","issue":"6","issued":{"date-parts":[["2017"]]},"page":"1-26","title":"Exploratory graph analysis: A new approach for estimating the number of dimensions in psychological research","type":"article-journal","volume":"12"},"uris":["http://www.mendeley.com/documents/?uuid=b706a417-7c2b-4648-8fb6-89f10c95ca92"]}],"mendeley":{"formattedCitation":"(Golino &amp; Epskamp, 2017)","plainTextFormattedCitation":"(Golino &amp; Epskamp, 2017)","previouslyFormattedCitation":"(Golino &amp; Epskamp, 2017)"},"properties":{"noteIndex":0},"schema":"https://github.com/citation-style-language/schema/raw/master/csl-citation.json"}</w:instrText>
      </w:r>
      <w:r>
        <w:rPr>
          <w:rFonts w:ascii="Arial" w:hAnsi="Arial" w:cs="Arial"/>
          <w:color w:val="222222"/>
          <w:sz w:val="20"/>
          <w:szCs w:val="20"/>
          <w:shd w:val="clear" w:color="auto" w:fill="FFFFFF"/>
        </w:rPr>
        <w:fldChar w:fldCharType="separate"/>
      </w:r>
      <w:r w:rsidRPr="0002472B">
        <w:rPr>
          <w:rFonts w:ascii="Arial" w:hAnsi="Arial" w:cs="Arial"/>
          <w:noProof/>
          <w:color w:val="222222"/>
          <w:sz w:val="20"/>
          <w:szCs w:val="20"/>
          <w:shd w:val="clear" w:color="auto" w:fill="FFFFFF"/>
        </w:rPr>
        <w:t>(Golino &amp; Epskamp, 2017)</w:t>
      </w:r>
      <w:r>
        <w:rPr>
          <w:rFonts w:ascii="Arial" w:hAnsi="Arial" w:cs="Arial"/>
          <w:color w:val="222222"/>
          <w:sz w:val="20"/>
          <w:szCs w:val="20"/>
          <w:shd w:val="clear" w:color="auto" w:fill="FFFFFF"/>
        </w:rPr>
        <w:fldChar w:fldCharType="end"/>
      </w:r>
    </w:p>
    <w:p w:rsidR="00D60232" w:rsidRDefault="00D60232" w:rsidP="00D60232">
      <w:pPr>
        <w:pStyle w:val="ListParagraph"/>
        <w:numPr>
          <w:ilvl w:val="0"/>
          <w:numId w:val="6"/>
        </w:numPr>
      </w:pPr>
      <w:r>
        <w:rPr>
          <w:rFonts w:ascii="Arial" w:hAnsi="Arial" w:cs="Arial"/>
          <w:color w:val="222222"/>
          <w:sz w:val="20"/>
          <w:szCs w:val="20"/>
          <w:shd w:val="clear" w:color="auto" w:fill="FFFFFF"/>
        </w:rPr>
        <w:t xml:space="preserve">EstimateGroupNetwork </w:t>
      </w:r>
      <w:r>
        <w:rPr>
          <w:rFonts w:ascii="Arial" w:hAnsi="Arial" w:cs="Arial"/>
          <w:color w:val="222222"/>
          <w:sz w:val="20"/>
          <w:szCs w:val="20"/>
          <w:shd w:val="clear" w:color="auto" w:fill="FFFFFF"/>
        </w:rPr>
        <w:fldChar w:fldCharType="begin" w:fldLock="1"/>
      </w:r>
      <w:r>
        <w:rPr>
          <w:rFonts w:ascii="Arial" w:hAnsi="Arial" w:cs="Arial"/>
          <w:color w:val="222222"/>
          <w:sz w:val="20"/>
          <w:szCs w:val="20"/>
          <w:shd w:val="clear" w:color="auto" w:fill="FFFFFF"/>
        </w:rPr>
        <w:instrText>ADDIN CSL_CITATION {"citationItems":[{"id":"ITEM-1","itemData":{"author":[{"dropping-particle":"","family":"Costantini","given":"Giulio","non-dropping-particle":"","parse-names":false,"suffix":""},{"dropping-particle":"","family":"Epskamp","given":"Sacha","non-dropping-particle":"","parse-names":false,"suffix":""}],"id":"ITEM-1","issued":{"date-parts":[["2017"]]},"number":"0.1.2","page":"1-10","publisher":"CRAN","title":"Package 'EstimateGroupNetwork'","type":"article"},"uris":["http://www.mendeley.com/documents/?uuid=f186a395-245d-43c4-8391-9dc5585a3d73","http://www.mendeley.com/documents/?uuid=afcc8403-f592-4845-a759-dee206753f2a"]}],"mendeley":{"formattedCitation":"(Costantini &amp; Epskamp, 2017)","plainTextFormattedCitation":"(Costantini &amp; Epskamp, 2017)","previouslyFormattedCitation":"(Costantini &amp; Epskamp, 2017)"},"properties":{"noteIndex":0},"schema":"https://github.com/citation-style-language/schema/raw/master/csl-citation.json"}</w:instrText>
      </w:r>
      <w:r>
        <w:rPr>
          <w:rFonts w:ascii="Arial" w:hAnsi="Arial" w:cs="Arial"/>
          <w:color w:val="222222"/>
          <w:sz w:val="20"/>
          <w:szCs w:val="20"/>
          <w:shd w:val="clear" w:color="auto" w:fill="FFFFFF"/>
        </w:rPr>
        <w:fldChar w:fldCharType="separate"/>
      </w:r>
      <w:r w:rsidRPr="0002472B">
        <w:rPr>
          <w:rFonts w:ascii="Arial" w:hAnsi="Arial" w:cs="Arial"/>
          <w:noProof/>
          <w:color w:val="222222"/>
          <w:sz w:val="20"/>
          <w:szCs w:val="20"/>
          <w:shd w:val="clear" w:color="auto" w:fill="FFFFFF"/>
        </w:rPr>
        <w:t>(Costantini &amp; Epskamp, 2017)</w:t>
      </w:r>
      <w:r>
        <w:rPr>
          <w:rFonts w:ascii="Arial" w:hAnsi="Arial" w:cs="Arial"/>
          <w:color w:val="222222"/>
          <w:sz w:val="20"/>
          <w:szCs w:val="20"/>
          <w:shd w:val="clear" w:color="auto" w:fill="FFFFFF"/>
        </w:rPr>
        <w:fldChar w:fldCharType="end"/>
      </w:r>
    </w:p>
    <w:p w:rsidR="00D60232" w:rsidRDefault="00D60232" w:rsidP="00D60232">
      <w:pPr>
        <w:pStyle w:val="ListParagraph"/>
        <w:numPr>
          <w:ilvl w:val="0"/>
          <w:numId w:val="6"/>
        </w:numPr>
      </w:pPr>
      <w:r>
        <w:t xml:space="preserve">glmnet  </w:t>
      </w:r>
      <w:r>
        <w:fldChar w:fldCharType="begin" w:fldLock="1"/>
      </w:r>
      <w:r>
        <w:instrText>ADDIN CSL_CITATION {"citationItems":[{"id":"ITEM-1","itemData":{"abstract":"Algorithms were designed by Jerome Friedman, Trevor Hastie, Noah Simon and Rob Tibshirani, Department of Statistics, Stanford University, Stanford, California, USA. Fortran code was written by Jerome Friedman. The original MATLAB wrapper was written by Hui Jiang (14 Jul 2009). It was updated by Junyang Qian (30 Aug 2013).","author":[{"dropping-particle":"","family":"Friedman","given":"","non-dropping-particle":"","parse-names":false,"suffix":""},{"dropping-particle":"","family":"Hastie","given":"","non-dropping-particle":"","parse-names":false,"suffix":""},{"dropping-particle":"","family":"Simon","given":"","non-dropping-particle":"","parse-names":false,"suffix":""},{"dropping-particle":"","family":"Tibshirani","given":"","non-dropping-particle":"","parse-names":false,"suffix":""}],"id":"ITEM-1","issued":{"date-parts":[["2018"]]},"number":"2.0-16","publisher":"CRAN","title":"Lasso and elastic-net regularized generalized linear models. R Package Version 2.0-13","type":"article"},"uris":["http://www.mendeley.com/documents/?uuid=ac627a32-f006-4acc-9160-8e403a8d73b5"]}],"mendeley":{"formattedCitation":"(Friedman, Hastie, Simon, &amp; Tibshirani, 2018)","plainTextFormattedCitation":"(Friedman, Hastie, Simon, &amp; Tibshirani, 2018)","previouslyFormattedCitation":"(Friedman, Hastie, Simon, &amp; Tibshirani, 2018)"},"properties":{"noteIndex":0},"schema":"https://github.com/citation-style-language/schema/raw/master/csl-citation.json"}</w:instrText>
      </w:r>
      <w:r>
        <w:fldChar w:fldCharType="separate"/>
      </w:r>
      <w:r w:rsidRPr="0002472B">
        <w:rPr>
          <w:noProof/>
        </w:rPr>
        <w:t>(Friedman, Hastie, Simon, &amp; Tibshirani, 2018)</w:t>
      </w:r>
      <w:r>
        <w:fldChar w:fldCharType="end"/>
      </w:r>
    </w:p>
    <w:p w:rsidR="00D60232" w:rsidRPr="00505580" w:rsidRDefault="00D60232" w:rsidP="00D60232">
      <w:pPr>
        <w:pStyle w:val="ListParagraph"/>
        <w:numPr>
          <w:ilvl w:val="0"/>
          <w:numId w:val="6"/>
        </w:numPr>
        <w:rPr>
          <w:rFonts w:cstheme="minorHAnsi"/>
        </w:rPr>
      </w:pPr>
      <w:r w:rsidRPr="000F720D">
        <w:rPr>
          <w:rFonts w:cstheme="minorHAnsi"/>
        </w:rPr>
        <w:t>missForest</w:t>
      </w:r>
      <w:r>
        <w:rPr>
          <w:rFonts w:cstheme="minorHAnsi"/>
        </w:rPr>
        <w:t xml:space="preserve"> </w:t>
      </w:r>
      <w:r>
        <w:rPr>
          <w:rFonts w:cstheme="minorHAnsi"/>
        </w:rPr>
        <w:fldChar w:fldCharType="begin" w:fldLock="1"/>
      </w:r>
      <w:r>
        <w:rPr>
          <w:rFonts w:cstheme="minorHAnsi"/>
        </w:rPr>
        <w:instrText>ADDIN CSL_CITATION {"citationItems":[{"id":"ITEM-1","itemData":{"DOI":"10.1093/bioinformatics/btr597","author":[{"dropping-particle":"","family":"Stekhoven","given":"Daniel J","non-dropping-particle":"","parse-names":false,"suffix":""},{"dropping-particle":"","family":"Bühlmann","given":"Peter","non-dropping-particle":"","parse-names":false,"suffix":""}],"id":"ITEM-1","issue":"1","issued":{"date-parts":[["2012"]]},"page":"112-118","title":"MissForest — non-parametric missing value imputation for mixed-type data","type":"article-journal","volume":"28"},"uris":["http://www.mendeley.com/documents/?uuid=ff5d379d-f2ab-4ecf-879c-3e5539dc8b72"]}],"mendeley":{"formattedCitation":"(D. J. Stekhoven &amp; Bühlmann, 2012)","plainTextFormattedCitation":"(D. J. Stekhoven &amp; Bühlmann, 2012)","previouslyFormattedCitation":"(D. J. Stekhoven &amp; Bühlmann, 2012)"},"properties":{"noteIndex":0},"schema":"https://github.com/citation-style-language/schema/raw/master/csl-citation.json"}</w:instrText>
      </w:r>
      <w:r>
        <w:rPr>
          <w:rFonts w:cstheme="minorHAnsi"/>
        </w:rPr>
        <w:fldChar w:fldCharType="separate"/>
      </w:r>
      <w:r w:rsidRPr="0002472B">
        <w:rPr>
          <w:rFonts w:cstheme="minorHAnsi"/>
          <w:noProof/>
        </w:rPr>
        <w:t>(D. J. Stekhoven &amp; Bühlmann, 2012)</w:t>
      </w:r>
      <w:r>
        <w:rPr>
          <w:rFonts w:cstheme="minorHAnsi"/>
        </w:rPr>
        <w:fldChar w:fldCharType="end"/>
      </w:r>
    </w:p>
    <w:p w:rsidR="00D60232" w:rsidRDefault="00D60232" w:rsidP="00D60232">
      <w:pPr>
        <w:pStyle w:val="ListParagraph"/>
        <w:numPr>
          <w:ilvl w:val="0"/>
          <w:numId w:val="6"/>
        </w:numPr>
        <w:rPr>
          <w:rFonts w:cstheme="minorHAnsi"/>
        </w:rPr>
      </w:pPr>
      <w:r>
        <w:rPr>
          <w:rFonts w:cstheme="minorHAnsi"/>
        </w:rPr>
        <w:t xml:space="preserve">mgm </w:t>
      </w:r>
      <w:r>
        <w:rPr>
          <w:rFonts w:cstheme="minorHAnsi"/>
        </w:rPr>
        <w:fldChar w:fldCharType="begin" w:fldLock="1"/>
      </w:r>
      <w:r>
        <w:rPr>
          <w:rFonts w:cstheme="minorHAnsi"/>
        </w:rPr>
        <w:instrText>ADDIN CSL_CITATION {"citationItems":[{"id":"ITEM-1","itemData":{"abstract":"Undirected graphical models are a key component in the analysis of complex observational data in a large variety of disciplines. In many of these applications one is interested in estimating the undirected graphical model underlying a distribution over variables with different domains. Despite the pervasive need for such an estimation method, to date there is no such method that models all variables on their proper domain. We close this methodological gap by combining a new class of mixed graphical models with a structure estimation approach based on generalized covariance matrices. We report the performance of our methods using simulations, illustrate the method with a dataset on Autism Spectrum Disorder (ASD) and provide an implementation as an R-package.","author":[{"dropping-particle":"","family":"Haslbeck","given":"Jonas M. B.","non-dropping-particle":"","parse-names":false,"suffix":""},{"dropping-particle":"","family":"Waldorp","given":"Lourens J.","non-dropping-particle":"","parse-names":false,"suffix":""}],"id":"ITEM-1","issued":{"date-parts":[["2019"]]},"number":"1.2-6","publisher":"CRAN","title":"Structure estimation for mixed graphical models in high-dimensional data","type":"article"},"uris":["http://www.mendeley.com/documents/?uuid=fd43d99c-96d1-4718-9eb1-c8106e8ed30d"]}],"mendeley":{"formattedCitation":"(Haslbeck &amp; Waldorp, 2019)","plainTextFormattedCitation":"(Haslbeck &amp; Waldorp, 2019)","previouslyFormattedCitation":"(Haslbeck &amp; Waldorp, 2019)"},"properties":{"noteIndex":0},"schema":"https://github.com/citation-style-language/schema/raw/master/csl-citation.json"}</w:instrText>
      </w:r>
      <w:r>
        <w:rPr>
          <w:rFonts w:cstheme="minorHAnsi"/>
        </w:rPr>
        <w:fldChar w:fldCharType="separate"/>
      </w:r>
      <w:r w:rsidRPr="0002472B">
        <w:rPr>
          <w:rFonts w:cstheme="minorHAnsi"/>
          <w:noProof/>
        </w:rPr>
        <w:t>(Haslbeck &amp; Waldorp, 2019)</w:t>
      </w:r>
      <w:r>
        <w:rPr>
          <w:rFonts w:cstheme="minorHAnsi"/>
        </w:rPr>
        <w:fldChar w:fldCharType="end"/>
      </w:r>
    </w:p>
    <w:p w:rsidR="00D60232" w:rsidRDefault="00D60232" w:rsidP="00D60232">
      <w:pPr>
        <w:pStyle w:val="ListParagraph"/>
        <w:numPr>
          <w:ilvl w:val="0"/>
          <w:numId w:val="6"/>
        </w:numPr>
        <w:rPr>
          <w:rFonts w:cstheme="minorHAnsi"/>
        </w:rPr>
      </w:pPr>
      <w:r>
        <w:rPr>
          <w:rFonts w:cstheme="minorHAnsi"/>
        </w:rPr>
        <w:t xml:space="preserve">networktools </w:t>
      </w:r>
      <w:r>
        <w:rPr>
          <w:rFonts w:cstheme="minorHAnsi"/>
        </w:rPr>
        <w:fldChar w:fldCharType="begin" w:fldLock="1"/>
      </w:r>
      <w:r>
        <w:rPr>
          <w:rFonts w:cstheme="minorHAnsi"/>
        </w:rPr>
        <w:instrText>ADDIN CSL_CITATION {"citationItems":[{"id":"ITEM-1","itemData":{"author":[{"dropping-particle":"","family":"Jones","given":"Payton","non-dropping-particle":"","parse-names":false,"suffix":""}],"id":"ITEM-1","issued":{"date-parts":[["2018"]]},"number":"1.2.0","publisher":"CRAN","title":"Package ‘ networktools ’","type":"article"},"uris":["http://www.mendeley.com/documents/?uuid=288dfd10-fcc4-4620-b1df-91c497eb6cae"]}],"mendeley":{"formattedCitation":"(Jones, 2018)","plainTextFormattedCitation":"(Jones, 2018)","previouslyFormattedCitation":"(Jones, 2018)"},"properties":{"noteIndex":0},"schema":"https://github.com/citation-style-language/schema/raw/master/csl-citation.json"}</w:instrText>
      </w:r>
      <w:r>
        <w:rPr>
          <w:rFonts w:cstheme="minorHAnsi"/>
        </w:rPr>
        <w:fldChar w:fldCharType="separate"/>
      </w:r>
      <w:r w:rsidRPr="000C3E3E">
        <w:rPr>
          <w:rFonts w:cstheme="minorHAnsi"/>
          <w:noProof/>
        </w:rPr>
        <w:t>(Jones, 2018)</w:t>
      </w:r>
      <w:r>
        <w:rPr>
          <w:rFonts w:cstheme="minorHAnsi"/>
        </w:rPr>
        <w:fldChar w:fldCharType="end"/>
      </w:r>
    </w:p>
    <w:p w:rsidR="00D60232" w:rsidRPr="00E56660" w:rsidRDefault="00D60232" w:rsidP="00D60232">
      <w:pPr>
        <w:pStyle w:val="ListParagraph"/>
        <w:numPr>
          <w:ilvl w:val="0"/>
          <w:numId w:val="6"/>
        </w:numPr>
        <w:rPr>
          <w:rFonts w:cstheme="minorHAnsi"/>
        </w:rPr>
      </w:pPr>
      <w:r>
        <w:rPr>
          <w:rFonts w:ascii="Arial" w:hAnsi="Arial" w:cs="Arial"/>
          <w:color w:val="222222"/>
          <w:sz w:val="20"/>
          <w:szCs w:val="20"/>
          <w:shd w:val="clear" w:color="auto" w:fill="FFFFFF"/>
        </w:rPr>
        <w:t xml:space="preserve">qgraph </w:t>
      </w:r>
      <w:r>
        <w:rPr>
          <w:rFonts w:ascii="Arial" w:hAnsi="Arial" w:cs="Arial"/>
          <w:color w:val="222222"/>
          <w:sz w:val="20"/>
          <w:szCs w:val="20"/>
          <w:shd w:val="clear" w:color="auto" w:fill="FFFFFF"/>
        </w:rPr>
        <w:fldChar w:fldCharType="begin" w:fldLock="1"/>
      </w:r>
      <w:r>
        <w:rPr>
          <w:rFonts w:ascii="Arial" w:hAnsi="Arial" w:cs="Arial"/>
          <w:color w:val="222222"/>
          <w:sz w:val="20"/>
          <w:szCs w:val="20"/>
          <w:shd w:val="clear" w:color="auto" w:fill="FFFFFF"/>
        </w:rPr>
        <w:instrText>ADDIN CSL_CITATION {"citationItems":[{"id":"ITEM-1","itemData":{"DOI":"10.18637/jss.v048.i04&gt;.URL","author":[{"dropping-particle":"","family":"Epskamp","given":"Sacha","non-dropping-particle":"","parse-names":false,"suffix":""},{"dropping-particle":"","family":"Costantini","given":"Giulio","non-dropping-particle":"","parse-names":false,"suffix":""},{"dropping-particle":"","family":"Haslbeck","given":"Jonas","non-dropping-particle":"","parse-names":false,"suffix":""},{"dropping-particle":"","family":"Cramer","given":"Angelique O J","non-dropping-particle":"","parse-names":false,"suffix":""},{"dropping-particle":"","family":"Borsboom","given":"Denny","non-dropping-particle":"","parse-names":false,"suffix":""}],"id":"ITEM-1","issued":{"date-parts":[["2019"]]},"publisher":"CRAN","title":"Package ‘ qgraph ’","type":"article"},"uris":["http://www.mendeley.com/documents/?uuid=8e37f7f5-0e92-4c4f-9729-22af6f155510"]}],"mendeley":{"formattedCitation":"(Epskamp, Costantini, Haslbeck, Cramer, &amp; Borsboom, 2019)","plainTextFormattedCitation":"(Epskamp, Costantini, Haslbeck, Cramer, &amp; Borsboom, 2019)","previouslyFormattedCitation":"(Epskamp, Costantini, Haslbeck, Cramer, &amp; Borsboom, 2019)"},"properties":{"noteIndex":0},"schema":"https://github.com/citation-style-language/schema/raw/master/csl-citation.json"}</w:instrText>
      </w:r>
      <w:r>
        <w:rPr>
          <w:rFonts w:ascii="Arial" w:hAnsi="Arial" w:cs="Arial"/>
          <w:color w:val="222222"/>
          <w:sz w:val="20"/>
          <w:szCs w:val="20"/>
          <w:shd w:val="clear" w:color="auto" w:fill="FFFFFF"/>
        </w:rPr>
        <w:fldChar w:fldCharType="separate"/>
      </w:r>
      <w:r w:rsidRPr="0002472B">
        <w:rPr>
          <w:rFonts w:ascii="Arial" w:hAnsi="Arial" w:cs="Arial"/>
          <w:noProof/>
          <w:color w:val="222222"/>
          <w:sz w:val="20"/>
          <w:szCs w:val="20"/>
          <w:shd w:val="clear" w:color="auto" w:fill="FFFFFF"/>
        </w:rPr>
        <w:t>(Epskamp, Costantini, Haslbeck, Cramer, &amp; Borsboom, 2019)</w:t>
      </w:r>
      <w:r>
        <w:rPr>
          <w:rFonts w:ascii="Arial" w:hAnsi="Arial" w:cs="Arial"/>
          <w:color w:val="222222"/>
          <w:sz w:val="20"/>
          <w:szCs w:val="20"/>
          <w:shd w:val="clear" w:color="auto" w:fill="FFFFFF"/>
        </w:rPr>
        <w:fldChar w:fldCharType="end"/>
      </w:r>
    </w:p>
    <w:p w:rsidR="00D60232" w:rsidRPr="006237BF" w:rsidRDefault="00D60232" w:rsidP="00D60232">
      <w:pPr>
        <w:pStyle w:val="ListParagraph"/>
        <w:numPr>
          <w:ilvl w:val="0"/>
          <w:numId w:val="6"/>
        </w:numPr>
        <w:rPr>
          <w:rFonts w:cstheme="minorHAnsi"/>
        </w:rPr>
      </w:pPr>
      <w:r>
        <w:rPr>
          <w:rFonts w:ascii="Arial" w:hAnsi="Arial" w:cs="Arial"/>
          <w:color w:val="222222"/>
          <w:sz w:val="20"/>
          <w:szCs w:val="20"/>
          <w:shd w:val="clear" w:color="auto" w:fill="FFFFFF"/>
        </w:rPr>
        <w:t xml:space="preserve">mirt </w:t>
      </w:r>
      <w:r>
        <w:rPr>
          <w:rFonts w:ascii="Arial" w:hAnsi="Arial" w:cs="Arial"/>
          <w:color w:val="222222"/>
          <w:sz w:val="20"/>
          <w:szCs w:val="20"/>
          <w:shd w:val="clear" w:color="auto" w:fill="FFFFFF"/>
        </w:rPr>
        <w:fldChar w:fldCharType="begin" w:fldLock="1"/>
      </w:r>
      <w:r>
        <w:rPr>
          <w:rFonts w:ascii="Arial" w:hAnsi="Arial" w:cs="Arial"/>
          <w:color w:val="222222"/>
          <w:sz w:val="20"/>
          <w:szCs w:val="20"/>
          <w:shd w:val="clear" w:color="auto" w:fill="FFFFFF"/>
        </w:rPr>
        <w:instrText>ADDIN CSL_CITATION {"citationItems":[{"id":"ITEM-1","itemData":{"DOI":"10.18637/jss.v048.i06","ISSN":"1548-7660","author":[{"dropping-particle":"","family":"Chalmers","given":"R. Philip","non-dropping-particle":"","parse-names":false,"suffix":""}],"container-title":"Journal of Statistical Software","id":"ITEM-1","issue":"6","issued":{"date-parts":[["2012"]]},"title":"mirt : A Multidimensional Item Response Theory Package for the R Environment","type":"article-journal","volume":"48"},"uris":["http://www.mendeley.com/documents/?uuid=e768b75b-209a-4970-8391-0f55b425aa21"]}],"mendeley":{"formattedCitation":"(Chalmers, 2012)","plainTextFormattedCitation":"(Chalmers, 2012)","previouslyFormattedCitation":"(Chalmers, 2012)"},"properties":{"noteIndex":0},"schema":"https://github.com/citation-style-language/schema/raw/master/csl-citation.json"}</w:instrText>
      </w:r>
      <w:r>
        <w:rPr>
          <w:rFonts w:ascii="Arial" w:hAnsi="Arial" w:cs="Arial"/>
          <w:color w:val="222222"/>
          <w:sz w:val="20"/>
          <w:szCs w:val="20"/>
          <w:shd w:val="clear" w:color="auto" w:fill="FFFFFF"/>
        </w:rPr>
        <w:fldChar w:fldCharType="separate"/>
      </w:r>
      <w:r w:rsidRPr="000C3E3E">
        <w:rPr>
          <w:rFonts w:ascii="Arial" w:hAnsi="Arial" w:cs="Arial"/>
          <w:noProof/>
          <w:color w:val="222222"/>
          <w:sz w:val="20"/>
          <w:szCs w:val="20"/>
          <w:shd w:val="clear" w:color="auto" w:fill="FFFFFF"/>
        </w:rPr>
        <w:t>(Chalmers, 2012)</w:t>
      </w:r>
      <w:r>
        <w:rPr>
          <w:rFonts w:ascii="Arial" w:hAnsi="Arial" w:cs="Arial"/>
          <w:color w:val="222222"/>
          <w:sz w:val="20"/>
          <w:szCs w:val="20"/>
          <w:shd w:val="clear" w:color="auto" w:fill="FFFFFF"/>
        </w:rPr>
        <w:fldChar w:fldCharType="end"/>
      </w:r>
    </w:p>
    <w:p w:rsidR="00D60232" w:rsidRPr="00C6216B" w:rsidRDefault="00D60232" w:rsidP="00D60232">
      <w:pPr>
        <w:pStyle w:val="ListParagraph"/>
        <w:numPr>
          <w:ilvl w:val="0"/>
          <w:numId w:val="6"/>
        </w:numPr>
        <w:rPr>
          <w:rFonts w:cstheme="minorHAnsi"/>
        </w:rPr>
      </w:pPr>
      <w:r>
        <w:rPr>
          <w:rFonts w:ascii="Arial" w:hAnsi="Arial" w:cs="Arial"/>
          <w:color w:val="222222"/>
          <w:sz w:val="20"/>
          <w:szCs w:val="20"/>
          <w:shd w:val="clear" w:color="auto" w:fill="FFFFFF"/>
        </w:rPr>
        <w:t>lavaan (Rosseel, 2012)</w:t>
      </w:r>
    </w:p>
    <w:p w:rsidR="00D60232" w:rsidRDefault="00D60232" w:rsidP="00D60232">
      <w:pPr>
        <w:spacing w:after="160" w:line="259" w:lineRule="auto"/>
        <w:rPr>
          <w:rFonts w:cstheme="minorHAnsi"/>
        </w:rPr>
      </w:pPr>
      <w:r>
        <w:rPr>
          <w:rFonts w:cstheme="minorHAnsi"/>
        </w:rPr>
        <w:br w:type="page"/>
      </w:r>
    </w:p>
    <w:p w:rsidR="00D60232" w:rsidRDefault="00D60232" w:rsidP="00D60232">
      <w:pPr>
        <w:spacing w:after="160" w:line="259" w:lineRule="auto"/>
        <w:rPr>
          <w:rFonts w:cstheme="minorHAnsi"/>
        </w:rPr>
        <w:sectPr w:rsidR="00D60232">
          <w:pgSz w:w="11906" w:h="16838"/>
          <w:pgMar w:top="1440" w:right="1440" w:bottom="1440" w:left="1440" w:header="708" w:footer="708" w:gutter="0"/>
          <w:cols w:space="708"/>
          <w:docGrid w:linePitch="360"/>
        </w:sectPr>
      </w:pPr>
    </w:p>
    <w:p w:rsidR="00D60232" w:rsidRDefault="00D60232" w:rsidP="00D60232">
      <w:r>
        <w:rPr>
          <w:b/>
        </w:rPr>
        <w:lastRenderedPageBreak/>
        <w:t xml:space="preserve">Supplementary </w:t>
      </w:r>
      <w:r w:rsidRPr="007E4D9D">
        <w:rPr>
          <w:b/>
        </w:rPr>
        <w:t>Table 1.</w:t>
      </w:r>
      <w:r w:rsidRPr="007E4D9D">
        <w:t xml:space="preserve"> Description of included studies</w:t>
      </w:r>
    </w:p>
    <w:tbl>
      <w:tblPr>
        <w:tblpPr w:leftFromText="180" w:rightFromText="180" w:vertAnchor="text" w:horzAnchor="margin" w:tblpY="148"/>
        <w:tblW w:w="14837" w:type="dxa"/>
        <w:tblLook w:val="04A0" w:firstRow="1" w:lastRow="0" w:firstColumn="1" w:lastColumn="0" w:noHBand="0" w:noVBand="1"/>
      </w:tblPr>
      <w:tblGrid>
        <w:gridCol w:w="2268"/>
        <w:gridCol w:w="5897"/>
        <w:gridCol w:w="3567"/>
        <w:gridCol w:w="2102"/>
        <w:gridCol w:w="1003"/>
      </w:tblGrid>
      <w:tr w:rsidR="00D60232" w:rsidRPr="00FD1065" w:rsidTr="004A756C">
        <w:trPr>
          <w:trHeight w:val="330"/>
        </w:trPr>
        <w:tc>
          <w:tcPr>
            <w:tcW w:w="2268" w:type="dxa"/>
            <w:tcBorders>
              <w:top w:val="single" w:sz="12" w:space="0" w:color="auto"/>
              <w:left w:val="nil"/>
              <w:bottom w:val="single" w:sz="12" w:space="0" w:color="auto"/>
              <w:right w:val="nil"/>
            </w:tcBorders>
            <w:shd w:val="clear" w:color="auto" w:fill="auto"/>
            <w:noWrap/>
            <w:vAlign w:val="bottom"/>
            <w:hideMark/>
          </w:tcPr>
          <w:p w:rsidR="00D60232" w:rsidRPr="00FD1065" w:rsidRDefault="00D60232" w:rsidP="004A756C">
            <w:pPr>
              <w:rPr>
                <w:rFonts w:ascii="Arial Narrow" w:hAnsi="Arial Narrow"/>
                <w:b/>
                <w:bCs/>
                <w:color w:val="000000"/>
                <w:sz w:val="16"/>
                <w:szCs w:val="16"/>
                <w:lang w:eastAsia="en-GB"/>
              </w:rPr>
            </w:pPr>
            <w:r w:rsidRPr="00FD1065">
              <w:rPr>
                <w:rFonts w:ascii="Arial Narrow" w:hAnsi="Arial Narrow"/>
                <w:b/>
                <w:bCs/>
                <w:color w:val="000000"/>
                <w:sz w:val="16"/>
                <w:szCs w:val="16"/>
                <w:lang w:eastAsia="en-GB"/>
              </w:rPr>
              <w:t>Study</w:t>
            </w:r>
          </w:p>
        </w:tc>
        <w:tc>
          <w:tcPr>
            <w:tcW w:w="5897" w:type="dxa"/>
            <w:tcBorders>
              <w:top w:val="single" w:sz="12" w:space="0" w:color="auto"/>
              <w:left w:val="nil"/>
              <w:bottom w:val="single" w:sz="12" w:space="0" w:color="auto"/>
              <w:right w:val="nil"/>
            </w:tcBorders>
            <w:vAlign w:val="bottom"/>
          </w:tcPr>
          <w:p w:rsidR="00D60232" w:rsidRPr="00FD1065" w:rsidRDefault="00D60232" w:rsidP="004A756C">
            <w:pPr>
              <w:rPr>
                <w:rFonts w:ascii="Arial Narrow" w:hAnsi="Arial Narrow"/>
                <w:b/>
                <w:bCs/>
                <w:color w:val="000000"/>
                <w:sz w:val="16"/>
                <w:szCs w:val="16"/>
                <w:lang w:eastAsia="en-GB"/>
              </w:rPr>
            </w:pPr>
            <w:r w:rsidRPr="00FD1065">
              <w:rPr>
                <w:rFonts w:ascii="Arial Narrow" w:hAnsi="Arial Narrow"/>
                <w:b/>
                <w:bCs/>
                <w:color w:val="000000"/>
                <w:sz w:val="16"/>
                <w:szCs w:val="16"/>
                <w:lang w:eastAsia="en-GB"/>
              </w:rPr>
              <w:t>Sample</w:t>
            </w:r>
            <w:r>
              <w:rPr>
                <w:rFonts w:ascii="Arial Narrow" w:hAnsi="Arial Narrow"/>
                <w:b/>
                <w:bCs/>
                <w:color w:val="000000"/>
                <w:sz w:val="16"/>
                <w:szCs w:val="16"/>
                <w:lang w:eastAsia="en-GB"/>
              </w:rPr>
              <w:t xml:space="preserve"> and Recruitment</w:t>
            </w:r>
          </w:p>
        </w:tc>
        <w:tc>
          <w:tcPr>
            <w:tcW w:w="3567" w:type="dxa"/>
            <w:tcBorders>
              <w:top w:val="single" w:sz="12" w:space="0" w:color="auto"/>
              <w:left w:val="nil"/>
              <w:bottom w:val="single" w:sz="12" w:space="0" w:color="auto"/>
              <w:right w:val="nil"/>
            </w:tcBorders>
            <w:shd w:val="clear" w:color="auto" w:fill="auto"/>
            <w:noWrap/>
            <w:vAlign w:val="bottom"/>
            <w:hideMark/>
          </w:tcPr>
          <w:p w:rsidR="00D60232" w:rsidRPr="00FD1065" w:rsidRDefault="00D60232" w:rsidP="004A756C">
            <w:pPr>
              <w:rPr>
                <w:rFonts w:ascii="Arial Narrow" w:hAnsi="Arial Narrow"/>
                <w:b/>
                <w:bCs/>
                <w:color w:val="000000"/>
                <w:sz w:val="16"/>
                <w:szCs w:val="16"/>
                <w:lang w:eastAsia="en-GB"/>
              </w:rPr>
            </w:pPr>
            <w:r w:rsidRPr="00FD1065">
              <w:rPr>
                <w:rFonts w:ascii="Arial Narrow" w:hAnsi="Arial Narrow"/>
                <w:b/>
                <w:bCs/>
                <w:color w:val="000000"/>
                <w:sz w:val="16"/>
                <w:szCs w:val="16"/>
                <w:lang w:eastAsia="en-GB"/>
              </w:rPr>
              <w:t>Interventions</w:t>
            </w:r>
            <w:r>
              <w:rPr>
                <w:rFonts w:ascii="Arial Narrow" w:hAnsi="Arial Narrow"/>
                <w:b/>
                <w:bCs/>
                <w:color w:val="000000"/>
                <w:sz w:val="16"/>
                <w:szCs w:val="16"/>
                <w:lang w:eastAsia="en-GB"/>
              </w:rPr>
              <w:t xml:space="preserve"> (N) </w:t>
            </w:r>
          </w:p>
        </w:tc>
        <w:tc>
          <w:tcPr>
            <w:tcW w:w="2102" w:type="dxa"/>
            <w:tcBorders>
              <w:top w:val="single" w:sz="12" w:space="0" w:color="auto"/>
              <w:left w:val="nil"/>
              <w:bottom w:val="single" w:sz="12" w:space="0" w:color="auto"/>
              <w:right w:val="nil"/>
            </w:tcBorders>
            <w:shd w:val="clear" w:color="auto" w:fill="auto"/>
            <w:noWrap/>
            <w:vAlign w:val="bottom"/>
            <w:hideMark/>
          </w:tcPr>
          <w:p w:rsidR="00D60232" w:rsidRPr="00FD1065" w:rsidRDefault="00D60232" w:rsidP="004A756C">
            <w:pPr>
              <w:rPr>
                <w:rFonts w:ascii="Arial Narrow" w:hAnsi="Arial Narrow"/>
                <w:b/>
                <w:bCs/>
                <w:color w:val="000000"/>
                <w:sz w:val="16"/>
                <w:szCs w:val="16"/>
                <w:lang w:eastAsia="en-GB"/>
              </w:rPr>
            </w:pPr>
            <w:r w:rsidRPr="00FD1065">
              <w:rPr>
                <w:rFonts w:ascii="Arial Narrow" w:hAnsi="Arial Narrow"/>
                <w:b/>
                <w:bCs/>
                <w:color w:val="000000"/>
                <w:sz w:val="16"/>
                <w:szCs w:val="16"/>
                <w:lang w:eastAsia="en-GB"/>
              </w:rPr>
              <w:t>Outcome Measure</w:t>
            </w:r>
            <w:r>
              <w:rPr>
                <w:rFonts w:ascii="Arial Narrow" w:hAnsi="Arial Narrow"/>
                <w:b/>
                <w:bCs/>
                <w:color w:val="000000"/>
                <w:sz w:val="16"/>
                <w:szCs w:val="16"/>
                <w:lang w:eastAsia="en-GB"/>
              </w:rPr>
              <w:t xml:space="preserve"> (N for analysis)</w:t>
            </w:r>
          </w:p>
        </w:tc>
        <w:tc>
          <w:tcPr>
            <w:tcW w:w="1003" w:type="dxa"/>
            <w:tcBorders>
              <w:top w:val="single" w:sz="12" w:space="0" w:color="auto"/>
              <w:left w:val="nil"/>
              <w:bottom w:val="single" w:sz="12" w:space="0" w:color="auto"/>
              <w:right w:val="nil"/>
            </w:tcBorders>
            <w:vAlign w:val="bottom"/>
          </w:tcPr>
          <w:p w:rsidR="00D60232" w:rsidRDefault="00D60232" w:rsidP="004A756C">
            <w:pPr>
              <w:rPr>
                <w:rFonts w:ascii="Arial Narrow" w:hAnsi="Arial Narrow"/>
                <w:b/>
                <w:bCs/>
                <w:color w:val="000000"/>
                <w:sz w:val="16"/>
                <w:szCs w:val="16"/>
                <w:lang w:eastAsia="en-GB"/>
              </w:rPr>
            </w:pPr>
            <w:r>
              <w:rPr>
                <w:rFonts w:ascii="Arial Narrow" w:hAnsi="Arial Narrow"/>
                <w:b/>
                <w:bCs/>
                <w:color w:val="000000"/>
                <w:sz w:val="16"/>
                <w:szCs w:val="16"/>
                <w:lang w:eastAsia="en-GB"/>
              </w:rPr>
              <w:t>Dataset</w:t>
            </w:r>
          </w:p>
        </w:tc>
      </w:tr>
      <w:tr w:rsidR="00D60232" w:rsidRPr="00FD1065" w:rsidTr="004A756C">
        <w:trPr>
          <w:trHeight w:val="300"/>
        </w:trPr>
        <w:tc>
          <w:tcPr>
            <w:tcW w:w="2268" w:type="dxa"/>
            <w:tcBorders>
              <w:top w:val="nil"/>
              <w:left w:val="nil"/>
              <w:bottom w:val="nil"/>
              <w:right w:val="nil"/>
            </w:tcBorders>
            <w:shd w:val="clear" w:color="auto" w:fill="A6A6A6" w:themeFill="background1" w:themeFillShade="A6"/>
            <w:noWrap/>
            <w:vAlign w:val="bottom"/>
            <w:hideMark/>
          </w:tcPr>
          <w:p w:rsidR="00D60232" w:rsidRPr="00C250BD" w:rsidRDefault="00D60232" w:rsidP="004A756C">
            <w:pPr>
              <w:rPr>
                <w:rFonts w:ascii="Times New Roman" w:hAnsi="Times New Roman"/>
                <w:color w:val="000000"/>
                <w:sz w:val="16"/>
                <w:szCs w:val="16"/>
                <w:lang w:eastAsia="en-GB"/>
              </w:rPr>
            </w:pPr>
            <w:r w:rsidRPr="00C250BD">
              <w:rPr>
                <w:rFonts w:ascii="Times New Roman" w:hAnsi="Times New Roman"/>
                <w:color w:val="000000"/>
                <w:sz w:val="16"/>
                <w:szCs w:val="16"/>
                <w:lang w:eastAsia="en-GB"/>
              </w:rPr>
              <w:t>COBALT</w:t>
            </w:r>
            <w:r>
              <w:rPr>
                <w:rFonts w:ascii="Times New Roman" w:hAnsi="Times New Roman"/>
                <w:color w:val="000000"/>
                <w:sz w:val="16"/>
                <w:szCs w:val="16"/>
                <w:lang w:eastAsia="en-GB"/>
              </w:rPr>
              <w:t xml:space="preserve"> </w:t>
            </w:r>
            <w:r>
              <w:rPr>
                <w:rFonts w:ascii="Times New Roman" w:hAnsi="Times New Roman"/>
                <w:color w:val="000000"/>
                <w:sz w:val="16"/>
                <w:szCs w:val="16"/>
                <w:lang w:eastAsia="en-GB"/>
              </w:rPr>
              <w:fldChar w:fldCharType="begin" w:fldLock="1"/>
            </w:r>
            <w:r>
              <w:rPr>
                <w:rFonts w:ascii="Times New Roman" w:hAnsi="Times New Roman"/>
                <w:color w:val="000000"/>
                <w:sz w:val="16"/>
                <w:szCs w:val="16"/>
                <w:lang w:eastAsia="en-GB"/>
              </w:rPr>
              <w:instrText>ADDIN CSL_CITATION {"citationItems":[{"id":"ITEM-1","itemData":{"DOI":"10.1016/S0140-6736(12)61552-9","ISSN":"01406736","author":[{"dropping-particle":"","family":"Wiles","given":"Nicola","non-dropping-particle":"","parse-names":false,"suffix":""},{"dropping-particle":"","family":"Thomas","given":"Laura","non-dropping-particle":"","parse-names":false,"suffix":""},{"dropping-particle":"","family":"Abel","given":"Anna","non-dropping-particle":"","parse-names":false,"suffix":""},{"dropping-particle":"","family":"Ridgway","given":"Nicola","non-dropping-particle":"","parse-names":false,"suffix":""},{"dropping-particle":"","family":"Turner","given":"Nicholas","non-dropping-particle":"","parse-names":false,"suffix":""},{"dropping-particle":"","family":"Campbell","given":"John","non-dropping-particle":"","parse-names":false,"suffix":""},{"dropping-particle":"","family":"Garland","given":"Anne","non-dropping-particle":"","parse-names":false,"suffix":""},{"dropping-particle":"","family":"Hollinghurst","given":"Sandra","non-dropping-particle":"","parse-names":false,"suffix":""},{"dropping-particle":"","family":"Jerrom","given":"Bill","non-dropping-particle":"","parse-names":false,"suffix":""},{"dropping-particle":"","family":"Kessler","given":"David","non-dropping-particle":"","parse-names":false,"suffix":""},{"dropping-particle":"","family":"Kuyken","given":"Willem","non-dropping-particle":"","parse-names":false,"suffix":""},{"dropping-particle":"","family":"Morrison","given":"Jill","non-dropping-particle":"","parse-names":false,"suffix":""},{"dropping-particle":"","family":"Turner","given":"Katrina","non-dropping-particle":"","parse-names":false,"suffix":""},{"dropping-particle":"","family":"Williams","given":"Chris","non-dropping-particle":"","parse-names":false,"suffix":""},{"dropping-particle":"","family":"Peters","given":"Tim","non-dropping-particle":"","parse-names":false,"suffix":""},{"dropping-particle":"","family":"Lewis","given":"Glyn","non-dropping-particle":"","parse-names":false,"suffix":""}],"container-title":"The Lancet","id":"ITEM-1","issue":"9864","issued":{"date-parts":[["2013","2"]]},"page":"375-384","publisher":"Elsevier Ltd","title":"Cognitive behavioural therapy as an adjunct to pharmacotherapy for primary care based patients with treatment resistant depression: results of the CoBalT randomised controlled trial","type":"article-journal","volume":"381"},"uris":["http://www.mendeley.com/documents/?uuid=c21ebb77-eae5-434a-8a8c-16a1a27beba0"]}],"mendeley":{"formattedCitation":"(Wiles et al., 2013)","plainTextFormattedCitation":"(Wiles et al., 2013)","previouslyFormattedCitation":"(Wiles et al., 2013)"},"properties":{"noteIndex":0},"schema":"https://github.com/citation-style-language/schema/raw/master/csl-citation.json"}</w:instrText>
            </w:r>
            <w:r>
              <w:rPr>
                <w:rFonts w:ascii="Times New Roman" w:hAnsi="Times New Roman"/>
                <w:color w:val="000000"/>
                <w:sz w:val="16"/>
                <w:szCs w:val="16"/>
                <w:lang w:eastAsia="en-GB"/>
              </w:rPr>
              <w:fldChar w:fldCharType="separate"/>
            </w:r>
            <w:r w:rsidRPr="0002472B">
              <w:rPr>
                <w:rFonts w:ascii="Times New Roman" w:hAnsi="Times New Roman"/>
                <w:noProof/>
                <w:color w:val="000000"/>
                <w:sz w:val="16"/>
                <w:szCs w:val="16"/>
                <w:lang w:eastAsia="en-GB"/>
              </w:rPr>
              <w:t>(Wiles et al., 2013)</w:t>
            </w:r>
            <w:r>
              <w:rPr>
                <w:rFonts w:ascii="Times New Roman" w:hAnsi="Times New Roman"/>
                <w:color w:val="000000"/>
                <w:sz w:val="16"/>
                <w:szCs w:val="16"/>
                <w:lang w:eastAsia="en-GB"/>
              </w:rPr>
              <w:fldChar w:fldCharType="end"/>
            </w:r>
            <w:r w:rsidRPr="00C250BD">
              <w:rPr>
                <w:rFonts w:ascii="Times New Roman" w:hAnsi="Times New Roman"/>
                <w:color w:val="000000"/>
                <w:sz w:val="16"/>
                <w:szCs w:val="16"/>
                <w:lang w:eastAsia="en-GB"/>
              </w:rPr>
              <w:t xml:space="preserve"> </w:t>
            </w:r>
          </w:p>
        </w:tc>
        <w:tc>
          <w:tcPr>
            <w:tcW w:w="5897" w:type="dxa"/>
            <w:tcBorders>
              <w:top w:val="nil"/>
              <w:left w:val="nil"/>
              <w:bottom w:val="nil"/>
              <w:right w:val="nil"/>
            </w:tcBorders>
            <w:shd w:val="clear" w:color="auto" w:fill="A6A6A6" w:themeFill="background1" w:themeFillShade="A6"/>
            <w:vAlign w:val="bottom"/>
          </w:tcPr>
          <w:p w:rsidR="00D60232" w:rsidRPr="00C250BD" w:rsidRDefault="00D60232" w:rsidP="004A756C">
            <w:pPr>
              <w:rPr>
                <w:rFonts w:ascii="Times New Roman" w:hAnsi="Times New Roman"/>
                <w:color w:val="000000"/>
                <w:sz w:val="16"/>
                <w:szCs w:val="16"/>
                <w:lang w:eastAsia="en-GB"/>
              </w:rPr>
            </w:pPr>
            <w:r w:rsidRPr="00C250BD">
              <w:rPr>
                <w:rFonts w:ascii="Times New Roman" w:hAnsi="Times New Roman"/>
                <w:color w:val="000000"/>
                <w:sz w:val="16"/>
                <w:szCs w:val="16"/>
                <w:lang w:eastAsia="en-GB"/>
              </w:rPr>
              <w:t>Adults</w:t>
            </w:r>
            <w:r>
              <w:rPr>
                <w:rFonts w:ascii="Times New Roman" w:hAnsi="Times New Roman"/>
                <w:color w:val="000000"/>
                <w:sz w:val="16"/>
                <w:szCs w:val="16"/>
                <w:lang w:eastAsia="en-GB"/>
              </w:rPr>
              <w:t xml:space="preserve"> aged</w:t>
            </w:r>
            <w:r w:rsidRPr="00C250BD">
              <w:rPr>
                <w:rFonts w:ascii="Times New Roman" w:hAnsi="Times New Roman"/>
                <w:color w:val="000000"/>
                <w:sz w:val="16"/>
                <w:szCs w:val="16"/>
                <w:lang w:eastAsia="en-GB"/>
              </w:rPr>
              <w:t xml:space="preserve"> 18-75 with treatment resistant depression, scoring ≥14 BDI-II</w:t>
            </w:r>
            <w:r>
              <w:rPr>
                <w:rFonts w:ascii="Times New Roman" w:hAnsi="Times New Roman"/>
                <w:color w:val="000000"/>
                <w:sz w:val="16"/>
                <w:szCs w:val="16"/>
                <w:lang w:eastAsia="en-GB"/>
              </w:rPr>
              <w:t xml:space="preserve">, recruited between November 2008 and September 2010 from </w:t>
            </w:r>
            <w:r w:rsidRPr="001A734A">
              <w:rPr>
                <w:rFonts w:ascii="Times New Roman" w:hAnsi="Times New Roman"/>
                <w:color w:val="000000"/>
                <w:sz w:val="16"/>
                <w:szCs w:val="16"/>
                <w:lang w:eastAsia="en-GB"/>
              </w:rPr>
              <w:t>73 general practices in urban and rural settings in three UK centres: Bristol, Exeter, and Glasgow</w:t>
            </w:r>
          </w:p>
        </w:tc>
        <w:tc>
          <w:tcPr>
            <w:tcW w:w="3567" w:type="dxa"/>
            <w:tcBorders>
              <w:top w:val="nil"/>
              <w:left w:val="nil"/>
              <w:bottom w:val="nil"/>
              <w:right w:val="nil"/>
            </w:tcBorders>
            <w:shd w:val="clear" w:color="auto" w:fill="A6A6A6" w:themeFill="background1" w:themeFillShade="A6"/>
            <w:noWrap/>
            <w:vAlign w:val="bottom"/>
            <w:hideMark/>
          </w:tcPr>
          <w:p w:rsidR="00D60232" w:rsidRPr="00C250BD" w:rsidRDefault="00D60232" w:rsidP="004A756C">
            <w:pPr>
              <w:rPr>
                <w:rFonts w:ascii="Times New Roman" w:hAnsi="Times New Roman"/>
                <w:color w:val="000000"/>
                <w:sz w:val="16"/>
                <w:szCs w:val="16"/>
                <w:lang w:eastAsia="en-GB"/>
              </w:rPr>
            </w:pPr>
            <w:r w:rsidRPr="00C250BD">
              <w:rPr>
                <w:rFonts w:ascii="Times New Roman" w:hAnsi="Times New Roman"/>
                <w:color w:val="000000"/>
                <w:sz w:val="16"/>
                <w:szCs w:val="16"/>
                <w:lang w:eastAsia="en-GB"/>
              </w:rPr>
              <w:t>TAU (</w:t>
            </w:r>
            <w:r>
              <w:rPr>
                <w:rFonts w:ascii="Times New Roman" w:hAnsi="Times New Roman"/>
                <w:color w:val="000000"/>
                <w:sz w:val="16"/>
                <w:szCs w:val="16"/>
                <w:lang w:eastAsia="en-GB"/>
              </w:rPr>
              <w:t>n=</w:t>
            </w:r>
            <w:r w:rsidRPr="00C250BD">
              <w:rPr>
                <w:rFonts w:ascii="Times New Roman" w:hAnsi="Times New Roman"/>
                <w:color w:val="000000"/>
                <w:sz w:val="16"/>
                <w:szCs w:val="16"/>
                <w:lang w:eastAsia="en-GB"/>
              </w:rPr>
              <w:t>235) vs CBT+TAU (</w:t>
            </w:r>
            <w:r>
              <w:rPr>
                <w:rFonts w:ascii="Times New Roman" w:hAnsi="Times New Roman"/>
                <w:color w:val="000000"/>
                <w:sz w:val="16"/>
                <w:szCs w:val="16"/>
                <w:lang w:eastAsia="en-GB"/>
              </w:rPr>
              <w:t>n=</w:t>
            </w:r>
            <w:r w:rsidRPr="00C250BD">
              <w:rPr>
                <w:rFonts w:ascii="Times New Roman" w:hAnsi="Times New Roman"/>
                <w:color w:val="000000"/>
                <w:sz w:val="16"/>
                <w:szCs w:val="16"/>
                <w:lang w:eastAsia="en-GB"/>
              </w:rPr>
              <w:t>234)</w:t>
            </w:r>
          </w:p>
        </w:tc>
        <w:tc>
          <w:tcPr>
            <w:tcW w:w="2102" w:type="dxa"/>
            <w:tcBorders>
              <w:top w:val="nil"/>
              <w:left w:val="nil"/>
              <w:bottom w:val="nil"/>
              <w:right w:val="nil"/>
            </w:tcBorders>
            <w:shd w:val="clear" w:color="auto" w:fill="A6A6A6" w:themeFill="background1" w:themeFillShade="A6"/>
            <w:noWrap/>
            <w:vAlign w:val="bottom"/>
            <w:hideMark/>
          </w:tcPr>
          <w:p w:rsidR="00D60232" w:rsidRPr="00C250BD" w:rsidRDefault="00D60232" w:rsidP="004A756C">
            <w:pPr>
              <w:rPr>
                <w:rFonts w:ascii="Times New Roman" w:hAnsi="Times New Roman"/>
                <w:color w:val="000000"/>
                <w:sz w:val="16"/>
                <w:szCs w:val="16"/>
                <w:lang w:eastAsia="en-GB"/>
              </w:rPr>
            </w:pPr>
            <w:r w:rsidRPr="00C250BD">
              <w:rPr>
                <w:rFonts w:ascii="Times New Roman" w:hAnsi="Times New Roman"/>
                <w:color w:val="000000"/>
                <w:sz w:val="16"/>
                <w:szCs w:val="16"/>
                <w:lang w:eastAsia="en-GB"/>
              </w:rPr>
              <w:t>BDI-II also PHQ-9</w:t>
            </w:r>
            <w:r>
              <w:rPr>
                <w:rFonts w:ascii="Times New Roman" w:hAnsi="Times New Roman"/>
                <w:color w:val="000000"/>
                <w:sz w:val="16"/>
                <w:szCs w:val="16"/>
                <w:lang w:eastAsia="en-GB"/>
              </w:rPr>
              <w:t xml:space="preserve"> (n=469)</w:t>
            </w:r>
          </w:p>
        </w:tc>
        <w:tc>
          <w:tcPr>
            <w:tcW w:w="1003" w:type="dxa"/>
            <w:tcBorders>
              <w:top w:val="nil"/>
              <w:left w:val="nil"/>
              <w:bottom w:val="nil"/>
              <w:right w:val="nil"/>
            </w:tcBorders>
            <w:shd w:val="clear" w:color="auto" w:fill="A6A6A6" w:themeFill="background1" w:themeFillShade="A6"/>
            <w:vAlign w:val="bottom"/>
          </w:tcPr>
          <w:p w:rsidR="00D60232" w:rsidRPr="00C250BD" w:rsidRDefault="00D60232" w:rsidP="004A756C">
            <w:pPr>
              <w:rPr>
                <w:rFonts w:ascii="Times New Roman" w:hAnsi="Times New Roman"/>
                <w:color w:val="000000"/>
                <w:sz w:val="16"/>
                <w:szCs w:val="16"/>
                <w:lang w:eastAsia="en-GB"/>
              </w:rPr>
            </w:pPr>
            <w:r w:rsidRPr="00C250BD">
              <w:rPr>
                <w:rFonts w:ascii="Times New Roman" w:hAnsi="Times New Roman"/>
                <w:color w:val="000000"/>
                <w:sz w:val="16"/>
                <w:szCs w:val="16"/>
                <w:lang w:eastAsia="en-GB"/>
              </w:rPr>
              <w:t>Train</w:t>
            </w:r>
          </w:p>
        </w:tc>
      </w:tr>
      <w:tr w:rsidR="00D60232" w:rsidRPr="00FD1065" w:rsidTr="004A756C">
        <w:trPr>
          <w:trHeight w:val="300"/>
        </w:trPr>
        <w:tc>
          <w:tcPr>
            <w:tcW w:w="2268" w:type="dxa"/>
            <w:tcBorders>
              <w:top w:val="nil"/>
              <w:left w:val="nil"/>
              <w:bottom w:val="nil"/>
              <w:right w:val="nil"/>
            </w:tcBorders>
            <w:shd w:val="clear" w:color="auto" w:fill="A6A6A6" w:themeFill="background1" w:themeFillShade="A6"/>
            <w:noWrap/>
            <w:vAlign w:val="bottom"/>
            <w:hideMark/>
          </w:tcPr>
          <w:p w:rsidR="00D60232" w:rsidRPr="00C250BD" w:rsidRDefault="00D60232" w:rsidP="004A756C">
            <w:pPr>
              <w:rPr>
                <w:rFonts w:ascii="Times New Roman" w:hAnsi="Times New Roman"/>
                <w:color w:val="000000"/>
                <w:sz w:val="16"/>
                <w:szCs w:val="16"/>
                <w:lang w:eastAsia="en-GB"/>
              </w:rPr>
            </w:pPr>
            <w:r w:rsidRPr="00C250BD">
              <w:rPr>
                <w:rFonts w:ascii="Times New Roman" w:hAnsi="Times New Roman"/>
                <w:color w:val="000000"/>
                <w:sz w:val="16"/>
                <w:szCs w:val="16"/>
                <w:lang w:eastAsia="en-GB"/>
              </w:rPr>
              <w:t>GENPOD</w:t>
            </w:r>
            <w:r>
              <w:rPr>
                <w:rFonts w:ascii="Times New Roman" w:hAnsi="Times New Roman"/>
                <w:color w:val="000000"/>
                <w:sz w:val="16"/>
                <w:szCs w:val="16"/>
                <w:lang w:eastAsia="en-GB"/>
              </w:rPr>
              <w:t xml:space="preserve"> </w:t>
            </w:r>
            <w:r>
              <w:rPr>
                <w:rFonts w:ascii="Times New Roman" w:hAnsi="Times New Roman"/>
                <w:color w:val="000000"/>
                <w:sz w:val="16"/>
                <w:szCs w:val="16"/>
                <w:lang w:eastAsia="en-GB"/>
              </w:rPr>
              <w:fldChar w:fldCharType="begin" w:fldLock="1"/>
            </w:r>
            <w:r>
              <w:rPr>
                <w:rFonts w:ascii="Times New Roman" w:hAnsi="Times New Roman"/>
                <w:color w:val="000000"/>
                <w:sz w:val="16"/>
                <w:szCs w:val="16"/>
                <w:lang w:eastAsia="en-GB"/>
              </w:rPr>
              <w:instrText>ADDIN CSL_CITATION {"citationItems":[{"id":"ITEM-1","itemData":{"DOI":"10.1192/bjp.bp.110.082727","ISSN":"0007-1250","author":[{"dropping-particle":"","family":"Lewis","given":"Glyn","non-dropping-particle":"","parse-names":false,"suffix":""},{"dropping-particle":"","family":"Mulligan","given":"Jean","non-dropping-particle":"","parse-names":false,"suffix":""},{"dropping-particle":"","family":"Wiles","given":"Nicola","non-dropping-particle":"","parse-names":false,"suffix":""},{"dropping-particle":"","family":"Cowen","given":"Philip","non-dropping-particle":"","parse-names":false,"suffix":""},{"dropping-particle":"","family":"Craddock","given":"Nick","non-dropping-particle":"","parse-names":false,"suffix":""},{"dropping-particle":"","family":"Ikeda","given":"Masashi","non-dropping-particle":"","parse-names":false,"suffix":""},{"dropping-particle":"","family":"Grozeva","given":"Detelina","non-dropping-particle":"","parse-names":false,"suffix":""},{"dropping-particle":"","family":"Mason","given":"Victoria","non-dropping-particle":"","parse-names":false,"suffix":""},{"dropping-particle":"","family":"Nutt","given":"David","non-dropping-particle":"","parse-names":false,"suffix":""},{"dropping-particle":"","family":"Sharp","given":"Deborah","non-dropping-particle":"","parse-names":false,"suffix":""},{"dropping-particle":"","family":"Tallon","given":"Debbie","non-dropping-particle":"","parse-names":false,"suffix":""},{"dropping-particle":"","family":"Thomas","given":"Laura","non-dropping-particle":"","parse-names":false,"suffix":""},{"dropping-particle":"","family":"O'Donovan","given":"Michael C.","non-dropping-particle":"","parse-names":false,"suffix":""},{"dropping-particle":"","family":"Peters","given":"Tim J","non-dropping-particle":"","parse-names":false,"suffix":""}],"container-title":"British Journal of Psychiatry","id":"ITEM-1","issue":"6","issued":{"date-parts":[["2011","6","2"]]},"page":"464-471","title":"Polymorphism of the 5-HT transporter and response to antidepressants: randomised controlled trial","type":"article-journal","volume":"198"},"uris":["http://www.mendeley.com/documents/?uuid=7a2bb14c-484d-471e-b1c3-29d80b119d2b"]}],"mendeley":{"formattedCitation":"(Glyn Lewis et al., 2011)","plainTextFormattedCitation":"(Glyn Lewis et al., 2011)","previouslyFormattedCitation":"(Glyn Lewis et al., 2011)"},"properties":{"noteIndex":0},"schema":"https://github.com/citation-style-language/schema/raw/master/csl-citation.json"}</w:instrText>
            </w:r>
            <w:r>
              <w:rPr>
                <w:rFonts w:ascii="Times New Roman" w:hAnsi="Times New Roman"/>
                <w:color w:val="000000"/>
                <w:sz w:val="16"/>
                <w:szCs w:val="16"/>
                <w:lang w:eastAsia="en-GB"/>
              </w:rPr>
              <w:fldChar w:fldCharType="separate"/>
            </w:r>
            <w:r w:rsidRPr="0002472B">
              <w:rPr>
                <w:rFonts w:ascii="Times New Roman" w:hAnsi="Times New Roman"/>
                <w:noProof/>
                <w:color w:val="000000"/>
                <w:sz w:val="16"/>
                <w:szCs w:val="16"/>
                <w:lang w:eastAsia="en-GB"/>
              </w:rPr>
              <w:t>(Glyn Lewis et al., 2011)</w:t>
            </w:r>
            <w:r>
              <w:rPr>
                <w:rFonts w:ascii="Times New Roman" w:hAnsi="Times New Roman"/>
                <w:color w:val="000000"/>
                <w:sz w:val="16"/>
                <w:szCs w:val="16"/>
                <w:lang w:eastAsia="en-GB"/>
              </w:rPr>
              <w:fldChar w:fldCharType="end"/>
            </w:r>
          </w:p>
        </w:tc>
        <w:tc>
          <w:tcPr>
            <w:tcW w:w="5897" w:type="dxa"/>
            <w:tcBorders>
              <w:top w:val="nil"/>
              <w:left w:val="nil"/>
              <w:bottom w:val="nil"/>
              <w:right w:val="nil"/>
            </w:tcBorders>
            <w:shd w:val="clear" w:color="auto" w:fill="A6A6A6" w:themeFill="background1" w:themeFillShade="A6"/>
            <w:vAlign w:val="bottom"/>
          </w:tcPr>
          <w:p w:rsidR="00D60232" w:rsidRPr="00C250BD" w:rsidRDefault="00D60232" w:rsidP="004A756C">
            <w:pPr>
              <w:rPr>
                <w:rFonts w:ascii="Times New Roman" w:hAnsi="Times New Roman"/>
                <w:color w:val="000000"/>
                <w:sz w:val="16"/>
                <w:szCs w:val="16"/>
                <w:lang w:eastAsia="en-GB"/>
              </w:rPr>
            </w:pPr>
            <w:r w:rsidRPr="00C250BD">
              <w:rPr>
                <w:rFonts w:ascii="Times New Roman" w:hAnsi="Times New Roman"/>
                <w:color w:val="000000"/>
                <w:sz w:val="16"/>
                <w:szCs w:val="16"/>
                <w:lang w:eastAsia="en-GB"/>
              </w:rPr>
              <w:t xml:space="preserve">Adults </w:t>
            </w:r>
            <w:r>
              <w:rPr>
                <w:rFonts w:ascii="Times New Roman" w:hAnsi="Times New Roman"/>
                <w:color w:val="000000"/>
                <w:sz w:val="16"/>
                <w:szCs w:val="16"/>
                <w:lang w:eastAsia="en-GB"/>
              </w:rPr>
              <w:t xml:space="preserve">aged </w:t>
            </w:r>
            <w:r w:rsidRPr="00C250BD">
              <w:rPr>
                <w:rFonts w:ascii="Times New Roman" w:hAnsi="Times New Roman"/>
                <w:color w:val="000000"/>
                <w:sz w:val="16"/>
                <w:szCs w:val="16"/>
                <w:lang w:eastAsia="en-GB"/>
              </w:rPr>
              <w:t>18-74 with depressive episode</w:t>
            </w:r>
            <w:r>
              <w:rPr>
                <w:rFonts w:ascii="Times New Roman" w:hAnsi="Times New Roman"/>
                <w:color w:val="000000"/>
                <w:sz w:val="16"/>
                <w:szCs w:val="16"/>
                <w:lang w:eastAsia="en-GB"/>
              </w:rPr>
              <w:t xml:space="preserve">, recruited by GPs in three UK centres: </w:t>
            </w:r>
            <w:r w:rsidRPr="001A734A">
              <w:rPr>
                <w:rFonts w:ascii="Times New Roman" w:hAnsi="Times New Roman"/>
                <w:color w:val="000000"/>
                <w:sz w:val="16"/>
                <w:szCs w:val="16"/>
                <w:lang w:eastAsia="en-GB"/>
              </w:rPr>
              <w:t>Bristol, Birmingham and Newcastle</w:t>
            </w:r>
            <w:r>
              <w:rPr>
                <w:rFonts w:ascii="Times New Roman" w:hAnsi="Times New Roman"/>
                <w:color w:val="000000"/>
                <w:sz w:val="16"/>
                <w:szCs w:val="16"/>
                <w:lang w:eastAsia="en-GB"/>
              </w:rPr>
              <w:t xml:space="preserve"> between October 2005 and February 2008.</w:t>
            </w:r>
          </w:p>
        </w:tc>
        <w:tc>
          <w:tcPr>
            <w:tcW w:w="3567" w:type="dxa"/>
            <w:tcBorders>
              <w:top w:val="nil"/>
              <w:left w:val="nil"/>
              <w:bottom w:val="nil"/>
              <w:right w:val="nil"/>
            </w:tcBorders>
            <w:shd w:val="clear" w:color="auto" w:fill="A6A6A6" w:themeFill="background1" w:themeFillShade="A6"/>
            <w:noWrap/>
            <w:vAlign w:val="bottom"/>
            <w:hideMark/>
          </w:tcPr>
          <w:p w:rsidR="00D60232" w:rsidRPr="00C250BD" w:rsidRDefault="00D60232" w:rsidP="004A756C">
            <w:pPr>
              <w:rPr>
                <w:rFonts w:ascii="Times New Roman" w:hAnsi="Times New Roman"/>
                <w:color w:val="000000"/>
                <w:sz w:val="16"/>
                <w:szCs w:val="16"/>
                <w:lang w:eastAsia="en-GB"/>
              </w:rPr>
            </w:pPr>
            <w:r w:rsidRPr="00C250BD">
              <w:rPr>
                <w:rFonts w:ascii="Times New Roman" w:hAnsi="Times New Roman"/>
                <w:color w:val="000000"/>
                <w:sz w:val="16"/>
                <w:szCs w:val="16"/>
                <w:lang w:eastAsia="en-GB"/>
              </w:rPr>
              <w:t>Citalopram (</w:t>
            </w:r>
            <w:r>
              <w:rPr>
                <w:rFonts w:ascii="Times New Roman" w:hAnsi="Times New Roman"/>
                <w:color w:val="000000"/>
                <w:sz w:val="16"/>
                <w:szCs w:val="16"/>
                <w:lang w:eastAsia="en-GB"/>
              </w:rPr>
              <w:t>n=</w:t>
            </w:r>
            <w:r w:rsidRPr="00C250BD">
              <w:rPr>
                <w:rFonts w:ascii="Times New Roman" w:hAnsi="Times New Roman"/>
                <w:color w:val="000000"/>
                <w:sz w:val="16"/>
                <w:szCs w:val="16"/>
                <w:lang w:eastAsia="en-GB"/>
              </w:rPr>
              <w:t>298) vs Reboxetine (</w:t>
            </w:r>
            <w:r>
              <w:rPr>
                <w:rFonts w:ascii="Times New Roman" w:hAnsi="Times New Roman"/>
                <w:color w:val="000000"/>
                <w:sz w:val="16"/>
                <w:szCs w:val="16"/>
                <w:lang w:eastAsia="en-GB"/>
              </w:rPr>
              <w:t>n=</w:t>
            </w:r>
            <w:r w:rsidRPr="00C250BD">
              <w:rPr>
                <w:rFonts w:ascii="Times New Roman" w:hAnsi="Times New Roman"/>
                <w:color w:val="000000"/>
                <w:sz w:val="16"/>
                <w:szCs w:val="16"/>
                <w:lang w:eastAsia="en-GB"/>
              </w:rPr>
              <w:t>303)</w:t>
            </w:r>
          </w:p>
        </w:tc>
        <w:tc>
          <w:tcPr>
            <w:tcW w:w="2102" w:type="dxa"/>
            <w:tcBorders>
              <w:top w:val="nil"/>
              <w:left w:val="nil"/>
              <w:bottom w:val="nil"/>
              <w:right w:val="nil"/>
            </w:tcBorders>
            <w:shd w:val="clear" w:color="auto" w:fill="A6A6A6" w:themeFill="background1" w:themeFillShade="A6"/>
            <w:noWrap/>
            <w:vAlign w:val="bottom"/>
            <w:hideMark/>
          </w:tcPr>
          <w:p w:rsidR="00D60232" w:rsidRPr="00C250BD" w:rsidRDefault="00D60232" w:rsidP="004A756C">
            <w:pPr>
              <w:rPr>
                <w:rFonts w:ascii="Times New Roman" w:hAnsi="Times New Roman"/>
                <w:color w:val="000000"/>
                <w:sz w:val="16"/>
                <w:szCs w:val="16"/>
                <w:lang w:eastAsia="en-GB"/>
              </w:rPr>
            </w:pPr>
            <w:r w:rsidRPr="00C250BD">
              <w:rPr>
                <w:rFonts w:ascii="Times New Roman" w:hAnsi="Times New Roman"/>
                <w:color w:val="000000"/>
                <w:sz w:val="16"/>
                <w:szCs w:val="16"/>
                <w:lang w:eastAsia="en-GB"/>
              </w:rPr>
              <w:t>BDI-II</w:t>
            </w:r>
            <w:r>
              <w:rPr>
                <w:rFonts w:ascii="Times New Roman" w:hAnsi="Times New Roman"/>
                <w:color w:val="000000"/>
                <w:sz w:val="16"/>
                <w:szCs w:val="16"/>
                <w:lang w:eastAsia="en-GB"/>
              </w:rPr>
              <w:t xml:space="preserve"> (n=601)</w:t>
            </w:r>
          </w:p>
        </w:tc>
        <w:tc>
          <w:tcPr>
            <w:tcW w:w="1003" w:type="dxa"/>
            <w:tcBorders>
              <w:top w:val="nil"/>
              <w:left w:val="nil"/>
              <w:bottom w:val="nil"/>
              <w:right w:val="nil"/>
            </w:tcBorders>
            <w:shd w:val="clear" w:color="auto" w:fill="A6A6A6" w:themeFill="background1" w:themeFillShade="A6"/>
            <w:vAlign w:val="bottom"/>
          </w:tcPr>
          <w:p w:rsidR="00D60232" w:rsidRPr="00C250BD" w:rsidRDefault="00D60232" w:rsidP="004A756C">
            <w:pPr>
              <w:rPr>
                <w:rFonts w:ascii="Times New Roman" w:hAnsi="Times New Roman"/>
                <w:color w:val="000000"/>
                <w:sz w:val="16"/>
                <w:szCs w:val="16"/>
                <w:lang w:eastAsia="en-GB"/>
              </w:rPr>
            </w:pPr>
            <w:r w:rsidRPr="00C250BD">
              <w:rPr>
                <w:rFonts w:ascii="Times New Roman" w:hAnsi="Times New Roman"/>
                <w:color w:val="000000"/>
                <w:sz w:val="16"/>
                <w:szCs w:val="16"/>
                <w:lang w:eastAsia="en-GB"/>
              </w:rPr>
              <w:t>Train</w:t>
            </w:r>
          </w:p>
        </w:tc>
      </w:tr>
      <w:tr w:rsidR="00D60232" w:rsidRPr="00FD1065" w:rsidTr="004A756C">
        <w:trPr>
          <w:trHeight w:val="300"/>
        </w:trPr>
        <w:tc>
          <w:tcPr>
            <w:tcW w:w="2268" w:type="dxa"/>
            <w:tcBorders>
              <w:top w:val="nil"/>
              <w:left w:val="nil"/>
              <w:bottom w:val="nil"/>
              <w:right w:val="nil"/>
            </w:tcBorders>
            <w:shd w:val="clear" w:color="auto" w:fill="A6A6A6" w:themeFill="background1" w:themeFillShade="A6"/>
            <w:noWrap/>
            <w:vAlign w:val="bottom"/>
          </w:tcPr>
          <w:p w:rsidR="00D60232" w:rsidRPr="00C250BD" w:rsidRDefault="00D60232" w:rsidP="004A756C">
            <w:pPr>
              <w:rPr>
                <w:rFonts w:ascii="Times New Roman" w:hAnsi="Times New Roman"/>
                <w:color w:val="000000"/>
                <w:sz w:val="16"/>
                <w:szCs w:val="16"/>
                <w:highlight w:val="lightGray"/>
                <w:lang w:eastAsia="en-GB"/>
              </w:rPr>
            </w:pPr>
            <w:r w:rsidRPr="00C250BD">
              <w:rPr>
                <w:rFonts w:ascii="Times New Roman" w:hAnsi="Times New Roman"/>
                <w:color w:val="000000"/>
                <w:sz w:val="16"/>
                <w:szCs w:val="16"/>
                <w:lang w:eastAsia="en-GB"/>
              </w:rPr>
              <w:t>PANDA</w:t>
            </w:r>
            <w:r>
              <w:rPr>
                <w:rFonts w:ascii="Times New Roman" w:hAnsi="Times New Roman"/>
                <w:color w:val="000000"/>
                <w:sz w:val="16"/>
                <w:szCs w:val="16"/>
                <w:lang w:eastAsia="en-GB"/>
              </w:rPr>
              <w:t xml:space="preserve"> </w:t>
            </w:r>
            <w:r>
              <w:rPr>
                <w:rFonts w:ascii="Times New Roman" w:hAnsi="Times New Roman"/>
                <w:color w:val="000000"/>
                <w:sz w:val="16"/>
                <w:szCs w:val="16"/>
                <w:lang w:eastAsia="en-GB"/>
              </w:rPr>
              <w:fldChar w:fldCharType="begin" w:fldLock="1"/>
            </w:r>
            <w:r>
              <w:rPr>
                <w:rFonts w:ascii="Times New Roman" w:hAnsi="Times New Roman"/>
                <w:color w:val="000000"/>
                <w:sz w:val="16"/>
                <w:szCs w:val="16"/>
                <w:lang w:eastAsia="en-GB"/>
              </w:rPr>
              <w:instrText>ADDIN CSL_CITATION {"citationItems":[{"id":"ITEM-1","itemData":{"DOI":"10.1016/S2215-0366(19)30366-9","ISSN":"22150366","PMID":"31543474","abstract":"BACKGROUND Depression is usually managed in primary care, but most antidepressant trials are of patients from secondary care mental health services, with eligibility criteria based on diagnosis and severity of depressive symptoms. Antidepressants are now used in a much wider group of people than in previous regulatory trials. We investigated the clinical effectiveness of sertraline in patients in primary care with depressive symptoms ranging from mild to severe and tested the role of severity and duration in treatment response. METHODS The PANDA study was a pragmatic, multicentre, double-blind, placebo-controlled randomised trial of patients from 179 primary care surgeries in four UK cities (Bristol, Liverpool, London, and York). We included patients aged 18 to 74 years who had depressive symptoms of any severity or duration in the past 2 years, where there was clinical uncertainty about the benefit of an antidepressant. This strategy was designed to improve the generalisability of our sample to current use of antidepressants within primary care. Patients were randomly assigned (1:1) with a remote computer-generated code to sertraline or placebo, and were stratified by severity, duration, and site with random block length. Patients received one capsule (sertraline 50 mg or placebo orally) daily for one week then two capsules daily for up to 11 weeks, consistent with evidence on optimal dosages for efficacy and acceptability. The primary outcome was depressive symptoms 6 weeks after randomisation, measured by Patient Health Questionnaire, 9-item version (PHQ-9) scores. Secondary outcomes at 2, 6 and 12 weeks were depressive symptoms and remission (PHQ-9 and Beck Depression Inventory-II), generalised anxiety symptoms (Generalised Anxiety Disorder Assessment 7-item version), mental and physical health-related quality of life (12-item Short-Form Health Survey), and self-reported improvement. All analyses compared groups as randomised (intention-to-treat). The study is registered with EudraCT, 2013-003440-22 (protocol number 13/0413; version 6.1) and ISRCTN, ISRCTN84544741, and is closed to new participants. FINDINGS Between Jan 1, 2015, and Aug 31, 2017, we recruited and randomly assigned 655 patients-326 (50%) to sertraline and 329 (50%) to placebo. Two patients in the sertraline group did not complete a substantial proportion of the baseline assessment and were excluded, leaving 653 patients in total. Due to attrition, primary outcome analyses were of 550…","author":[{"dropping-particle":"","family":"Lewis","given":"Gemma","non-dropping-particle":"","parse-names":false,"suffix":""},{"dropping-particle":"","family":"Duffy","given":"Larisa","non-dropping-particle":"","parse-names":false,"suffix":""},{"dropping-particle":"","family":"Ades","given":"Anthony","non-dropping-particle":"","parse-names":false,"suffix":""},{"dropping-particle":"","family":"Amos","given":"Rebekah","non-dropping-particle":"","parse-names":false,"suffix":""},{"dropping-particle":"","family":"Araya","given":"Ricardo","non-dropping-particle":"","parse-names":false,"suffix":""},{"dropping-particle":"","family":"Brabyn","given":"Sally","non-dropping-particle":"","parse-names":false,"suffix":""},{"dropping-particle":"","family":"Button","given":"Katherine S","non-dropping-particle":"","parse-names":false,"suffix":""},{"dropping-particle":"","family":"Churchill","given":"Rachel","non-dropping-particle":"","parse-names":false,"suffix":""},{"dropping-particle":"","family":"Derrick","given":"Catherine","non-dropping-particle":"","parse-names":false,"suffix":""},{"dropping-particle":"","family":"Dowrick","given":"Christopher","non-dropping-particle":"","parse-names":false,"suffix":""},{"dropping-particle":"","family":"Gilbody","given":"Simon","non-dropping-particle":"","parse-names":false,"suffix":""},{"dropping-particle":"","family":"Fawsitt","given":"Christopher","non-dropping-particle":"","parse-names":false,"suffix":""},{"dropping-particle":"","family":"Hollingworth","given":"William","non-dropping-particle":"","parse-names":false,"suffix":""},{"dropping-particle":"","family":"Jones","given":"Vivien","non-dropping-particle":"","parse-names":false,"suffix":""},{"dropping-particle":"","family":"Kendrick","given":"Tony","non-dropping-particle":"","parse-names":false,"suffix":""},{"dropping-particle":"","family":"Kessler","given":"David","non-dropping-particle":"","parse-names":false,"suffix":""},{"dropping-particle":"","family":"Kounali","given":"Daphne","non-dropping-particle":"","parse-names":false,"suffix":""},{"dropping-particle":"","family":"Khan","given":"Naila","non-dropping-particle":"","parse-names":false,"suffix":""},{"dropping-particle":"","family":"Lanham","given":"Paul","non-dropping-particle":"","parse-names":false,"suffix":""},{"dropping-particle":"","family":"Pervin","given":"Jodi","non-dropping-particle":"","parse-names":false,"suffix":""},{"dropping-particle":"","family":"Peters","given":"Tim J","non-dropping-particle":"","parse-names":false,"suffix":""},{"dropping-particle":"","family":"Riozzie","given":"Derek","non-dropping-particle":"","parse-names":false,"suffix":""},{"dropping-particle":"","family":"Salaminios","given":"George","non-dropping-particle":"","parse-names":false,"suffix":""},{"dropping-particle":"","family":"Thomas","given":"Laura","non-dropping-particle":"","parse-names":false,"suffix":""},{"dropping-particle":"","family":"Welton","given":"Nicky J","non-dropping-particle":"","parse-names":false,"suffix":""},{"dropping-particle":"","family":"Wiles","given":"Nicola","non-dropping-particle":"","parse-names":false,"suffix":""},{"dropping-particle":"","family":"Woodhouse","given":"Rebecca","non-dropping-particle":"","parse-names":false,"suffix":""},{"dropping-particle":"","family":"Lewis","given":"Glyn","non-dropping-particle":"","parse-names":false,"suffix":""}],"container-title":"The Lancet Psychiatry","id":"ITEM-1","issue":"11","issued":{"date-parts":[["2019","11"]]},"page":"903-914","publisher":"The Author(s). Published by Elsevier Ltd. This is an Open Access article under the CC BY 4.0 license","title":"The clinical effectiveness of sertraline in primary care and the role of depression severity and duration (PANDA): a pragmatic, double-blind, placebo-controlled randomised trial","type":"article-journal","volume":"6"},"uris":["http://www.mendeley.com/documents/?uuid=aae8da8f-42ac-465d-a513-97395872a396"]}],"mendeley":{"formattedCitation":"(Gemma Lewis et al., 2019)","plainTextFormattedCitation":"(Gemma Lewis et al., 2019)","previouslyFormattedCitation":"(Gemma Lewis et al., 2019)"},"properties":{"noteIndex":0},"schema":"https://github.com/citation-style-language/schema/raw/master/csl-citation.json"}</w:instrText>
            </w:r>
            <w:r>
              <w:rPr>
                <w:rFonts w:ascii="Times New Roman" w:hAnsi="Times New Roman"/>
                <w:color w:val="000000"/>
                <w:sz w:val="16"/>
                <w:szCs w:val="16"/>
                <w:lang w:eastAsia="en-GB"/>
              </w:rPr>
              <w:fldChar w:fldCharType="separate"/>
            </w:r>
            <w:r w:rsidRPr="0002472B">
              <w:rPr>
                <w:rFonts w:ascii="Times New Roman" w:hAnsi="Times New Roman"/>
                <w:noProof/>
                <w:color w:val="000000"/>
                <w:sz w:val="16"/>
                <w:szCs w:val="16"/>
                <w:lang w:eastAsia="en-GB"/>
              </w:rPr>
              <w:t>(Gemma Lewis et al., 2019)</w:t>
            </w:r>
            <w:r>
              <w:rPr>
                <w:rFonts w:ascii="Times New Roman" w:hAnsi="Times New Roman"/>
                <w:color w:val="000000"/>
                <w:sz w:val="16"/>
                <w:szCs w:val="16"/>
                <w:lang w:eastAsia="en-GB"/>
              </w:rPr>
              <w:fldChar w:fldCharType="end"/>
            </w:r>
          </w:p>
        </w:tc>
        <w:tc>
          <w:tcPr>
            <w:tcW w:w="5897" w:type="dxa"/>
            <w:tcBorders>
              <w:top w:val="nil"/>
              <w:left w:val="nil"/>
              <w:bottom w:val="nil"/>
              <w:right w:val="nil"/>
            </w:tcBorders>
            <w:shd w:val="clear" w:color="auto" w:fill="A6A6A6" w:themeFill="background1" w:themeFillShade="A6"/>
            <w:vAlign w:val="bottom"/>
          </w:tcPr>
          <w:p w:rsidR="00D60232" w:rsidRPr="00C250BD" w:rsidRDefault="00D60232" w:rsidP="004A756C">
            <w:pPr>
              <w:rPr>
                <w:rFonts w:ascii="Times New Roman" w:hAnsi="Times New Roman"/>
                <w:color w:val="000000"/>
                <w:sz w:val="16"/>
                <w:szCs w:val="16"/>
                <w:highlight w:val="lightGray"/>
                <w:lang w:eastAsia="en-GB"/>
              </w:rPr>
            </w:pPr>
            <w:r w:rsidRPr="00C250BD">
              <w:rPr>
                <w:rFonts w:ascii="Times New Roman" w:hAnsi="Times New Roman"/>
                <w:color w:val="000000"/>
                <w:sz w:val="16"/>
                <w:szCs w:val="16"/>
                <w:lang w:eastAsia="en-GB"/>
              </w:rPr>
              <w:t>Adults presenting with low mood or depression to GP in last 2 years, free of ADM for 8 weeks up to baseline</w:t>
            </w:r>
            <w:r>
              <w:rPr>
                <w:rFonts w:ascii="Times New Roman" w:hAnsi="Times New Roman"/>
                <w:color w:val="000000"/>
                <w:sz w:val="16"/>
                <w:szCs w:val="16"/>
                <w:lang w:eastAsia="en-GB"/>
              </w:rPr>
              <w:t xml:space="preserve">. Recruited between January 2015 and August 2018 from </w:t>
            </w:r>
            <w:r w:rsidRPr="001A734A">
              <w:rPr>
                <w:rFonts w:ascii="Times New Roman" w:hAnsi="Times New Roman"/>
                <w:color w:val="000000"/>
                <w:sz w:val="16"/>
                <w:szCs w:val="16"/>
                <w:lang w:eastAsia="en-GB"/>
              </w:rPr>
              <w:t>179 primary care surgeries in four UK cities (Bristol, Liverpool, London, and York</w:t>
            </w:r>
            <w:r>
              <w:rPr>
                <w:rFonts w:ascii="Times New Roman" w:hAnsi="Times New Roman"/>
                <w:color w:val="000000"/>
                <w:sz w:val="16"/>
                <w:szCs w:val="16"/>
                <w:lang w:eastAsia="en-GB"/>
              </w:rPr>
              <w:t>)</w:t>
            </w:r>
          </w:p>
        </w:tc>
        <w:tc>
          <w:tcPr>
            <w:tcW w:w="3567" w:type="dxa"/>
            <w:tcBorders>
              <w:top w:val="nil"/>
              <w:left w:val="nil"/>
              <w:bottom w:val="nil"/>
              <w:right w:val="nil"/>
            </w:tcBorders>
            <w:shd w:val="clear" w:color="auto" w:fill="A6A6A6" w:themeFill="background1" w:themeFillShade="A6"/>
            <w:noWrap/>
            <w:vAlign w:val="bottom"/>
          </w:tcPr>
          <w:p w:rsidR="00D60232" w:rsidRPr="00C250BD" w:rsidRDefault="00D60232" w:rsidP="004A756C">
            <w:pPr>
              <w:rPr>
                <w:rFonts w:ascii="Times New Roman" w:hAnsi="Times New Roman"/>
                <w:color w:val="000000"/>
                <w:sz w:val="16"/>
                <w:szCs w:val="16"/>
                <w:highlight w:val="lightGray"/>
                <w:lang w:eastAsia="en-GB"/>
              </w:rPr>
            </w:pPr>
            <w:r w:rsidRPr="00C250BD">
              <w:rPr>
                <w:rFonts w:ascii="Times New Roman" w:hAnsi="Times New Roman"/>
                <w:color w:val="000000"/>
                <w:sz w:val="16"/>
                <w:szCs w:val="16"/>
                <w:lang w:eastAsia="en-GB"/>
              </w:rPr>
              <w:t>Sertraline (</w:t>
            </w:r>
            <w:r>
              <w:rPr>
                <w:rFonts w:ascii="Times New Roman" w:hAnsi="Times New Roman"/>
                <w:color w:val="000000"/>
                <w:sz w:val="16"/>
                <w:szCs w:val="16"/>
                <w:lang w:eastAsia="en-GB"/>
              </w:rPr>
              <w:t>n=</w:t>
            </w:r>
            <w:r w:rsidRPr="00C250BD">
              <w:rPr>
                <w:rFonts w:ascii="Times New Roman" w:hAnsi="Times New Roman"/>
                <w:color w:val="000000"/>
                <w:sz w:val="16"/>
                <w:szCs w:val="16"/>
                <w:lang w:eastAsia="en-GB"/>
              </w:rPr>
              <w:t>323) vs Placebo (</w:t>
            </w:r>
            <w:r>
              <w:rPr>
                <w:rFonts w:ascii="Times New Roman" w:hAnsi="Times New Roman"/>
                <w:color w:val="000000"/>
                <w:sz w:val="16"/>
                <w:szCs w:val="16"/>
                <w:lang w:eastAsia="en-GB"/>
              </w:rPr>
              <w:t>n=</w:t>
            </w:r>
            <w:r w:rsidRPr="00C250BD">
              <w:rPr>
                <w:rFonts w:ascii="Times New Roman" w:hAnsi="Times New Roman"/>
                <w:color w:val="000000"/>
                <w:sz w:val="16"/>
                <w:szCs w:val="16"/>
                <w:lang w:eastAsia="en-GB"/>
              </w:rPr>
              <w:t>329)</w:t>
            </w:r>
          </w:p>
        </w:tc>
        <w:tc>
          <w:tcPr>
            <w:tcW w:w="2102" w:type="dxa"/>
            <w:tcBorders>
              <w:top w:val="nil"/>
              <w:left w:val="nil"/>
              <w:bottom w:val="nil"/>
              <w:right w:val="nil"/>
            </w:tcBorders>
            <w:shd w:val="clear" w:color="auto" w:fill="A6A6A6" w:themeFill="background1" w:themeFillShade="A6"/>
            <w:noWrap/>
            <w:vAlign w:val="bottom"/>
          </w:tcPr>
          <w:p w:rsidR="00D60232" w:rsidRPr="00C250BD" w:rsidRDefault="00D60232" w:rsidP="004A756C">
            <w:pPr>
              <w:rPr>
                <w:rFonts w:ascii="Times New Roman" w:hAnsi="Times New Roman"/>
                <w:color w:val="000000"/>
                <w:sz w:val="16"/>
                <w:szCs w:val="16"/>
                <w:highlight w:val="lightGray"/>
                <w:lang w:eastAsia="en-GB"/>
              </w:rPr>
            </w:pPr>
            <w:r w:rsidRPr="00C250BD">
              <w:rPr>
                <w:rFonts w:ascii="Times New Roman" w:hAnsi="Times New Roman"/>
                <w:color w:val="000000"/>
                <w:sz w:val="16"/>
                <w:szCs w:val="16"/>
                <w:lang w:eastAsia="en-GB"/>
              </w:rPr>
              <w:t>PHQ-9 also BDI-II</w:t>
            </w:r>
            <w:r>
              <w:rPr>
                <w:rFonts w:ascii="Times New Roman" w:hAnsi="Times New Roman"/>
                <w:color w:val="000000"/>
                <w:sz w:val="16"/>
                <w:szCs w:val="16"/>
                <w:lang w:eastAsia="en-GB"/>
              </w:rPr>
              <w:t xml:space="preserve"> (n=652</w:t>
            </w:r>
          </w:p>
        </w:tc>
        <w:tc>
          <w:tcPr>
            <w:tcW w:w="1003" w:type="dxa"/>
            <w:tcBorders>
              <w:top w:val="nil"/>
              <w:left w:val="nil"/>
              <w:bottom w:val="nil"/>
              <w:right w:val="nil"/>
            </w:tcBorders>
            <w:shd w:val="clear" w:color="auto" w:fill="A6A6A6" w:themeFill="background1" w:themeFillShade="A6"/>
            <w:vAlign w:val="bottom"/>
          </w:tcPr>
          <w:p w:rsidR="00D60232" w:rsidRPr="00C250BD" w:rsidRDefault="00D60232" w:rsidP="004A756C">
            <w:pPr>
              <w:rPr>
                <w:rFonts w:ascii="Times New Roman" w:hAnsi="Times New Roman"/>
                <w:color w:val="000000"/>
                <w:sz w:val="16"/>
                <w:szCs w:val="16"/>
                <w:highlight w:val="lightGray"/>
                <w:lang w:eastAsia="en-GB"/>
              </w:rPr>
            </w:pPr>
            <w:r w:rsidRPr="00C250BD">
              <w:rPr>
                <w:rFonts w:ascii="Times New Roman" w:hAnsi="Times New Roman"/>
                <w:color w:val="000000"/>
                <w:sz w:val="16"/>
                <w:szCs w:val="16"/>
                <w:lang w:eastAsia="en-GB"/>
              </w:rPr>
              <w:t>Train</w:t>
            </w:r>
          </w:p>
        </w:tc>
      </w:tr>
      <w:tr w:rsidR="00D60232" w:rsidRPr="00FD1065" w:rsidTr="004A756C">
        <w:trPr>
          <w:trHeight w:val="64"/>
        </w:trPr>
        <w:tc>
          <w:tcPr>
            <w:tcW w:w="2268" w:type="dxa"/>
            <w:tcBorders>
              <w:top w:val="nil"/>
              <w:left w:val="nil"/>
              <w:bottom w:val="nil"/>
              <w:right w:val="nil"/>
            </w:tcBorders>
            <w:shd w:val="clear" w:color="auto" w:fill="A6A6A6" w:themeFill="background1" w:themeFillShade="A6"/>
            <w:noWrap/>
            <w:vAlign w:val="bottom"/>
          </w:tcPr>
          <w:p w:rsidR="00D60232" w:rsidRPr="00C250BD" w:rsidRDefault="00D60232" w:rsidP="004A756C">
            <w:pPr>
              <w:rPr>
                <w:rFonts w:ascii="Times New Roman" w:hAnsi="Times New Roman"/>
                <w:color w:val="000000"/>
                <w:sz w:val="16"/>
                <w:szCs w:val="16"/>
                <w:highlight w:val="lightGray"/>
                <w:lang w:eastAsia="en-GB"/>
              </w:rPr>
            </w:pPr>
          </w:p>
        </w:tc>
        <w:tc>
          <w:tcPr>
            <w:tcW w:w="5897" w:type="dxa"/>
            <w:tcBorders>
              <w:top w:val="nil"/>
              <w:left w:val="nil"/>
              <w:bottom w:val="nil"/>
              <w:right w:val="nil"/>
            </w:tcBorders>
            <w:shd w:val="clear" w:color="auto" w:fill="A6A6A6" w:themeFill="background1" w:themeFillShade="A6"/>
            <w:vAlign w:val="bottom"/>
          </w:tcPr>
          <w:p w:rsidR="00D60232" w:rsidRPr="00C250BD" w:rsidRDefault="00D60232" w:rsidP="004A756C">
            <w:pPr>
              <w:rPr>
                <w:rFonts w:ascii="Times New Roman" w:hAnsi="Times New Roman"/>
                <w:color w:val="000000"/>
                <w:sz w:val="16"/>
                <w:szCs w:val="16"/>
                <w:highlight w:val="lightGray"/>
                <w:lang w:eastAsia="en-GB"/>
              </w:rPr>
            </w:pPr>
          </w:p>
        </w:tc>
        <w:tc>
          <w:tcPr>
            <w:tcW w:w="3567" w:type="dxa"/>
            <w:tcBorders>
              <w:top w:val="nil"/>
              <w:left w:val="nil"/>
              <w:bottom w:val="nil"/>
              <w:right w:val="nil"/>
            </w:tcBorders>
            <w:shd w:val="clear" w:color="auto" w:fill="A6A6A6" w:themeFill="background1" w:themeFillShade="A6"/>
            <w:noWrap/>
            <w:vAlign w:val="bottom"/>
          </w:tcPr>
          <w:p w:rsidR="00D60232" w:rsidRPr="00C250BD" w:rsidRDefault="00D60232" w:rsidP="004A756C">
            <w:pPr>
              <w:rPr>
                <w:rFonts w:ascii="Times New Roman" w:hAnsi="Times New Roman"/>
                <w:color w:val="000000"/>
                <w:sz w:val="16"/>
                <w:szCs w:val="16"/>
                <w:highlight w:val="lightGray"/>
                <w:lang w:eastAsia="en-GB"/>
              </w:rPr>
            </w:pPr>
          </w:p>
        </w:tc>
        <w:tc>
          <w:tcPr>
            <w:tcW w:w="2102" w:type="dxa"/>
            <w:tcBorders>
              <w:top w:val="nil"/>
              <w:left w:val="nil"/>
              <w:bottom w:val="nil"/>
              <w:right w:val="nil"/>
            </w:tcBorders>
            <w:shd w:val="clear" w:color="auto" w:fill="A6A6A6" w:themeFill="background1" w:themeFillShade="A6"/>
            <w:noWrap/>
            <w:vAlign w:val="bottom"/>
          </w:tcPr>
          <w:p w:rsidR="00D60232" w:rsidRPr="00C250BD" w:rsidRDefault="00D60232" w:rsidP="004A756C">
            <w:pPr>
              <w:rPr>
                <w:rFonts w:ascii="Times New Roman" w:hAnsi="Times New Roman"/>
                <w:color w:val="000000"/>
                <w:sz w:val="16"/>
                <w:szCs w:val="16"/>
                <w:highlight w:val="lightGray"/>
                <w:lang w:eastAsia="en-GB"/>
              </w:rPr>
            </w:pPr>
          </w:p>
        </w:tc>
        <w:tc>
          <w:tcPr>
            <w:tcW w:w="1003" w:type="dxa"/>
            <w:tcBorders>
              <w:top w:val="nil"/>
              <w:left w:val="nil"/>
              <w:bottom w:val="nil"/>
              <w:right w:val="nil"/>
            </w:tcBorders>
            <w:shd w:val="clear" w:color="auto" w:fill="A6A6A6" w:themeFill="background1" w:themeFillShade="A6"/>
            <w:vAlign w:val="bottom"/>
          </w:tcPr>
          <w:p w:rsidR="00D60232" w:rsidRPr="00C250BD" w:rsidRDefault="00D60232" w:rsidP="004A756C">
            <w:pPr>
              <w:rPr>
                <w:rFonts w:ascii="Times New Roman" w:hAnsi="Times New Roman"/>
                <w:color w:val="000000"/>
                <w:sz w:val="16"/>
                <w:szCs w:val="16"/>
                <w:highlight w:val="lightGray"/>
                <w:lang w:eastAsia="en-GB"/>
              </w:rPr>
            </w:pPr>
          </w:p>
        </w:tc>
      </w:tr>
      <w:tr w:rsidR="00D60232" w:rsidRPr="00FD1065" w:rsidTr="004A756C">
        <w:trPr>
          <w:trHeight w:val="300"/>
        </w:trPr>
        <w:tc>
          <w:tcPr>
            <w:tcW w:w="2268" w:type="dxa"/>
            <w:tcBorders>
              <w:top w:val="nil"/>
              <w:left w:val="nil"/>
              <w:bottom w:val="nil"/>
              <w:right w:val="nil"/>
            </w:tcBorders>
            <w:shd w:val="clear" w:color="auto" w:fill="F2F2F2" w:themeFill="background1" w:themeFillShade="F2"/>
            <w:noWrap/>
            <w:vAlign w:val="bottom"/>
          </w:tcPr>
          <w:p w:rsidR="00D60232" w:rsidRPr="00C250BD" w:rsidRDefault="00D60232" w:rsidP="004A756C">
            <w:pPr>
              <w:rPr>
                <w:rFonts w:ascii="Times New Roman" w:hAnsi="Times New Roman"/>
                <w:color w:val="000000"/>
                <w:sz w:val="16"/>
                <w:szCs w:val="16"/>
                <w:lang w:eastAsia="en-GB"/>
              </w:rPr>
            </w:pPr>
            <w:r w:rsidRPr="00C250BD">
              <w:rPr>
                <w:rFonts w:ascii="Times New Roman" w:hAnsi="Times New Roman"/>
                <w:color w:val="000000"/>
                <w:sz w:val="16"/>
                <w:szCs w:val="16"/>
                <w:lang w:eastAsia="en-GB"/>
              </w:rPr>
              <w:t>TREAD</w:t>
            </w:r>
            <w:r>
              <w:rPr>
                <w:rFonts w:ascii="Times New Roman" w:hAnsi="Times New Roman"/>
                <w:color w:val="000000"/>
                <w:sz w:val="16"/>
                <w:szCs w:val="16"/>
                <w:lang w:eastAsia="en-GB"/>
              </w:rPr>
              <w:t xml:space="preserve"> </w:t>
            </w:r>
            <w:r>
              <w:rPr>
                <w:rFonts w:ascii="Times New Roman" w:hAnsi="Times New Roman"/>
                <w:color w:val="000000"/>
                <w:sz w:val="16"/>
                <w:szCs w:val="16"/>
                <w:lang w:eastAsia="en-GB"/>
              </w:rPr>
              <w:fldChar w:fldCharType="begin" w:fldLock="1"/>
            </w:r>
            <w:r>
              <w:rPr>
                <w:rFonts w:ascii="Times New Roman" w:hAnsi="Times New Roman"/>
                <w:color w:val="000000"/>
                <w:sz w:val="16"/>
                <w:szCs w:val="16"/>
                <w:lang w:eastAsia="en-GB"/>
              </w:rPr>
              <w:instrText>ADDIN CSL_CITATION {"citationItems":[{"id":"ITEM-1","itemData":{"DOI":"10.1136/bmj.e2758","ISSN":"1756-1833","author":[{"dropping-particle":"","family":"Chalder","given":"Melanie","non-dropping-particle":"","parse-names":false,"suffix":""},{"dropping-particle":"","family":"Wiles","given":"Nicola J","non-dropping-particle":"","parse-names":false,"suffix":""},{"dropping-particle":"","family":"Campbell","given":"John","non-dropping-particle":"","parse-names":false,"suffix":""},{"dropping-particle":"","family":"Hollinghurst","given":"S. P.","non-dropping-particle":"","parse-names":false,"suffix":""},{"dropping-particle":"","family":"Haase","given":"Anne M","non-dropping-particle":"","parse-names":false,"suffix":""},{"dropping-particle":"","family":"Taylor","given":"Adrian H","non-dropping-particle":"","parse-names":false,"suffix":""},{"dropping-particle":"","family":"Fox","given":"Kenneth R","non-dropping-particle":"","parse-names":false,"suffix":""},{"dropping-particle":"","family":"Costelloe","given":"Cerire","non-dropping-particle":"","parse-names":false,"suffix":""},{"dropping-particle":"","family":"Searle","given":"Aidan","non-dropping-particle":"","parse-names":false,"suffix":""},{"dropping-particle":"","family":"Baxter","given":"Helen","non-dropping-particle":"","parse-names":false,"suffix":""},{"dropping-particle":"","family":"Winder","given":"Rachel","non-dropping-particle":"","parse-names":false,"suffix":""},{"dropping-particle":"","family":"Wright","given":"Christine","non-dropping-particle":"","parse-names":false,"suffix":""},{"dropping-particle":"","family":"Turner","given":"Katrina M","non-dropping-particle":"","parse-names":false,"suffix":""},{"dropping-particle":"","family":"Calnan","given":"Michael","non-dropping-particle":"","parse-names":false,"suffix":""},{"dropping-particle":"","family":"Lawlor","given":"Deborah A","non-dropping-particle":"","parse-names":false,"suffix":""},{"dropping-particle":"","family":"Peters","given":"Tim J","non-dropping-particle":"","parse-names":false,"suffix":""},{"dropping-particle":"","family":"Sharp","given":"Deborah J","non-dropping-particle":"","parse-names":false,"suffix":""},{"dropping-particle":"","family":"Montgomery","given":"Alan A","non-dropping-particle":"","parse-names":false,"suffix":""},{"dropping-particle":"","family":"Lewis","given":"Glyn","non-dropping-particle":"","parse-names":false,"suffix":""}],"container-title":"BMJ","id":"ITEM-1","issue":"jun06 1","issued":{"date-parts":[["2012","6","6"]]},"page":"e2758-e2758","title":"Facilitated physical activity as a treatment for depressed adults: randomised controlled trial","type":"article-journal","volume":"344"},"uris":["http://www.mendeley.com/documents/?uuid=3e836d57-9eea-47d1-a30b-15ad841a178b"]}],"mendeley":{"formattedCitation":"(Chalder et al., 2012)","plainTextFormattedCitation":"(Chalder et al., 2012)","previouslyFormattedCitation":"(Chalder et al., 2012)"},"properties":{"noteIndex":0},"schema":"https://github.com/citation-style-language/schema/raw/master/csl-citation.json"}</w:instrText>
            </w:r>
            <w:r>
              <w:rPr>
                <w:rFonts w:ascii="Times New Roman" w:hAnsi="Times New Roman"/>
                <w:color w:val="000000"/>
                <w:sz w:val="16"/>
                <w:szCs w:val="16"/>
                <w:lang w:eastAsia="en-GB"/>
              </w:rPr>
              <w:fldChar w:fldCharType="separate"/>
            </w:r>
            <w:r w:rsidRPr="0002472B">
              <w:rPr>
                <w:rFonts w:ascii="Times New Roman" w:hAnsi="Times New Roman"/>
                <w:noProof/>
                <w:color w:val="000000"/>
                <w:sz w:val="16"/>
                <w:szCs w:val="16"/>
                <w:lang w:eastAsia="en-GB"/>
              </w:rPr>
              <w:t>(Chalder et al., 2012)</w:t>
            </w:r>
            <w:r>
              <w:rPr>
                <w:rFonts w:ascii="Times New Roman" w:hAnsi="Times New Roman"/>
                <w:color w:val="000000"/>
                <w:sz w:val="16"/>
                <w:szCs w:val="16"/>
                <w:lang w:eastAsia="en-GB"/>
              </w:rPr>
              <w:fldChar w:fldCharType="end"/>
            </w:r>
          </w:p>
        </w:tc>
        <w:tc>
          <w:tcPr>
            <w:tcW w:w="5897" w:type="dxa"/>
            <w:tcBorders>
              <w:top w:val="nil"/>
              <w:left w:val="nil"/>
              <w:bottom w:val="nil"/>
              <w:right w:val="nil"/>
            </w:tcBorders>
            <w:shd w:val="clear" w:color="auto" w:fill="F2F2F2" w:themeFill="background1" w:themeFillShade="F2"/>
            <w:vAlign w:val="bottom"/>
          </w:tcPr>
          <w:p w:rsidR="00D60232" w:rsidRPr="00C250BD" w:rsidRDefault="00D60232" w:rsidP="004A756C">
            <w:pPr>
              <w:rPr>
                <w:rFonts w:ascii="Times New Roman" w:hAnsi="Times New Roman"/>
                <w:color w:val="000000"/>
                <w:sz w:val="16"/>
                <w:szCs w:val="16"/>
                <w:lang w:eastAsia="en-GB"/>
              </w:rPr>
            </w:pPr>
            <w:r w:rsidRPr="00C250BD">
              <w:rPr>
                <w:rFonts w:ascii="Times New Roman" w:hAnsi="Times New Roman"/>
                <w:color w:val="000000"/>
                <w:sz w:val="16"/>
                <w:szCs w:val="16"/>
                <w:lang w:eastAsia="en-GB"/>
              </w:rPr>
              <w:t xml:space="preserve">Adults </w:t>
            </w:r>
            <w:r>
              <w:rPr>
                <w:rFonts w:ascii="Times New Roman" w:hAnsi="Times New Roman"/>
                <w:color w:val="000000"/>
                <w:sz w:val="16"/>
                <w:szCs w:val="16"/>
                <w:lang w:eastAsia="en-GB"/>
              </w:rPr>
              <w:t xml:space="preserve">aged </w:t>
            </w:r>
            <w:r w:rsidRPr="00C250BD">
              <w:rPr>
                <w:rFonts w:ascii="Times New Roman" w:hAnsi="Times New Roman"/>
                <w:color w:val="000000"/>
                <w:sz w:val="16"/>
                <w:szCs w:val="16"/>
                <w:lang w:eastAsia="en-GB"/>
              </w:rPr>
              <w:t>18-69 who met diagnostic criteria for MDD and scored ≥14 on BDI-II</w:t>
            </w:r>
            <w:r>
              <w:rPr>
                <w:rFonts w:ascii="Times New Roman" w:hAnsi="Times New Roman"/>
                <w:color w:val="000000"/>
                <w:sz w:val="16"/>
                <w:szCs w:val="16"/>
                <w:lang w:eastAsia="en-GB"/>
              </w:rPr>
              <w:t>. Recruited from 65 primary care centres in Bristol and Exeter, UK, from August 2007 to October 2009.</w:t>
            </w:r>
          </w:p>
        </w:tc>
        <w:tc>
          <w:tcPr>
            <w:tcW w:w="3567" w:type="dxa"/>
            <w:tcBorders>
              <w:top w:val="nil"/>
              <w:left w:val="nil"/>
              <w:bottom w:val="nil"/>
              <w:right w:val="nil"/>
            </w:tcBorders>
            <w:shd w:val="clear" w:color="auto" w:fill="F2F2F2" w:themeFill="background1" w:themeFillShade="F2"/>
            <w:noWrap/>
            <w:vAlign w:val="bottom"/>
          </w:tcPr>
          <w:p w:rsidR="00D60232" w:rsidRPr="00C250BD" w:rsidRDefault="00D60232" w:rsidP="004A756C">
            <w:pPr>
              <w:rPr>
                <w:rFonts w:ascii="Times New Roman" w:hAnsi="Times New Roman"/>
                <w:color w:val="000000"/>
                <w:sz w:val="16"/>
                <w:szCs w:val="16"/>
                <w:lang w:eastAsia="en-GB"/>
              </w:rPr>
            </w:pPr>
            <w:r w:rsidRPr="00C250BD">
              <w:rPr>
                <w:rFonts w:ascii="Times New Roman" w:hAnsi="Times New Roman"/>
                <w:color w:val="000000"/>
                <w:sz w:val="16"/>
                <w:szCs w:val="16"/>
                <w:lang w:eastAsia="en-GB"/>
              </w:rPr>
              <w:t>TAU (</w:t>
            </w:r>
            <w:r>
              <w:rPr>
                <w:rFonts w:ascii="Times New Roman" w:hAnsi="Times New Roman"/>
                <w:color w:val="000000"/>
                <w:sz w:val="16"/>
                <w:szCs w:val="16"/>
                <w:lang w:eastAsia="en-GB"/>
              </w:rPr>
              <w:t>n=</w:t>
            </w:r>
            <w:r w:rsidRPr="00C250BD">
              <w:rPr>
                <w:rFonts w:ascii="Times New Roman" w:hAnsi="Times New Roman"/>
                <w:color w:val="000000"/>
                <w:sz w:val="16"/>
                <w:szCs w:val="16"/>
                <w:lang w:eastAsia="en-GB"/>
              </w:rPr>
              <w:t>179) vs Physical Activity + TAU (</w:t>
            </w:r>
            <w:r>
              <w:rPr>
                <w:rFonts w:ascii="Times New Roman" w:hAnsi="Times New Roman"/>
                <w:color w:val="000000"/>
                <w:sz w:val="16"/>
                <w:szCs w:val="16"/>
                <w:lang w:eastAsia="en-GB"/>
              </w:rPr>
              <w:t>n=</w:t>
            </w:r>
            <w:r w:rsidRPr="00C250BD">
              <w:rPr>
                <w:rFonts w:ascii="Times New Roman" w:hAnsi="Times New Roman"/>
                <w:color w:val="000000"/>
                <w:sz w:val="16"/>
                <w:szCs w:val="16"/>
                <w:lang w:eastAsia="en-GB"/>
              </w:rPr>
              <w:t>182)</w:t>
            </w:r>
          </w:p>
        </w:tc>
        <w:tc>
          <w:tcPr>
            <w:tcW w:w="2102" w:type="dxa"/>
            <w:tcBorders>
              <w:top w:val="nil"/>
              <w:left w:val="nil"/>
              <w:bottom w:val="nil"/>
              <w:right w:val="nil"/>
            </w:tcBorders>
            <w:shd w:val="clear" w:color="auto" w:fill="F2F2F2" w:themeFill="background1" w:themeFillShade="F2"/>
            <w:noWrap/>
            <w:vAlign w:val="bottom"/>
          </w:tcPr>
          <w:p w:rsidR="00D60232" w:rsidRPr="00C250BD" w:rsidRDefault="00D60232" w:rsidP="004A756C">
            <w:pPr>
              <w:rPr>
                <w:rFonts w:ascii="Times New Roman" w:hAnsi="Times New Roman"/>
                <w:color w:val="000000"/>
                <w:sz w:val="16"/>
                <w:szCs w:val="16"/>
                <w:lang w:eastAsia="en-GB"/>
              </w:rPr>
            </w:pPr>
            <w:r w:rsidRPr="00C250BD">
              <w:rPr>
                <w:rFonts w:ascii="Times New Roman" w:hAnsi="Times New Roman"/>
                <w:color w:val="000000"/>
                <w:sz w:val="16"/>
                <w:szCs w:val="16"/>
                <w:lang w:eastAsia="en-GB"/>
              </w:rPr>
              <w:t>BDI-II</w:t>
            </w:r>
            <w:r>
              <w:rPr>
                <w:rFonts w:ascii="Times New Roman" w:hAnsi="Times New Roman"/>
                <w:color w:val="000000"/>
                <w:sz w:val="16"/>
                <w:szCs w:val="16"/>
                <w:lang w:eastAsia="en-GB"/>
              </w:rPr>
              <w:t xml:space="preserve"> (n=288)</w:t>
            </w:r>
          </w:p>
        </w:tc>
        <w:tc>
          <w:tcPr>
            <w:tcW w:w="1003" w:type="dxa"/>
            <w:tcBorders>
              <w:top w:val="nil"/>
              <w:left w:val="nil"/>
              <w:bottom w:val="nil"/>
              <w:right w:val="nil"/>
            </w:tcBorders>
            <w:shd w:val="clear" w:color="auto" w:fill="F2F2F2" w:themeFill="background1" w:themeFillShade="F2"/>
            <w:vAlign w:val="bottom"/>
          </w:tcPr>
          <w:p w:rsidR="00D60232" w:rsidRPr="00C250BD" w:rsidRDefault="00D60232" w:rsidP="004A756C">
            <w:pPr>
              <w:rPr>
                <w:rFonts w:ascii="Times New Roman" w:hAnsi="Times New Roman"/>
                <w:color w:val="000000"/>
                <w:sz w:val="16"/>
                <w:szCs w:val="16"/>
                <w:lang w:eastAsia="en-GB"/>
              </w:rPr>
            </w:pPr>
            <w:r w:rsidRPr="00C250BD">
              <w:rPr>
                <w:rFonts w:ascii="Times New Roman" w:hAnsi="Times New Roman"/>
                <w:color w:val="000000"/>
                <w:sz w:val="16"/>
                <w:szCs w:val="16"/>
                <w:lang w:eastAsia="en-GB"/>
              </w:rPr>
              <w:t>Test</w:t>
            </w:r>
          </w:p>
        </w:tc>
      </w:tr>
      <w:tr w:rsidR="00D60232" w:rsidRPr="00FD1065" w:rsidTr="004A756C">
        <w:trPr>
          <w:trHeight w:val="300"/>
        </w:trPr>
        <w:tc>
          <w:tcPr>
            <w:tcW w:w="2268" w:type="dxa"/>
            <w:tcBorders>
              <w:top w:val="nil"/>
              <w:left w:val="nil"/>
              <w:bottom w:val="nil"/>
              <w:right w:val="nil"/>
            </w:tcBorders>
            <w:shd w:val="clear" w:color="auto" w:fill="F2F2F2" w:themeFill="background1" w:themeFillShade="F2"/>
            <w:noWrap/>
            <w:vAlign w:val="bottom"/>
          </w:tcPr>
          <w:p w:rsidR="00D60232" w:rsidRPr="00C250BD" w:rsidRDefault="00D60232" w:rsidP="004A756C">
            <w:pPr>
              <w:rPr>
                <w:rFonts w:ascii="Times New Roman" w:hAnsi="Times New Roman"/>
                <w:color w:val="000000"/>
                <w:sz w:val="16"/>
                <w:szCs w:val="16"/>
                <w:lang w:eastAsia="en-GB"/>
              </w:rPr>
            </w:pPr>
            <w:r w:rsidRPr="00C250BD">
              <w:rPr>
                <w:rFonts w:ascii="Times New Roman" w:hAnsi="Times New Roman"/>
                <w:color w:val="000000"/>
                <w:sz w:val="16"/>
                <w:szCs w:val="16"/>
                <w:lang w:eastAsia="en-GB"/>
              </w:rPr>
              <w:t>IPCRESS</w:t>
            </w:r>
            <w:r>
              <w:rPr>
                <w:rFonts w:ascii="Times New Roman" w:hAnsi="Times New Roman"/>
                <w:color w:val="000000"/>
                <w:sz w:val="16"/>
                <w:szCs w:val="16"/>
                <w:lang w:eastAsia="en-GB"/>
              </w:rPr>
              <w:t xml:space="preserve"> </w:t>
            </w:r>
            <w:r>
              <w:rPr>
                <w:rFonts w:ascii="Times New Roman" w:hAnsi="Times New Roman"/>
                <w:color w:val="000000"/>
                <w:sz w:val="16"/>
                <w:szCs w:val="16"/>
                <w:lang w:eastAsia="en-GB"/>
              </w:rPr>
              <w:fldChar w:fldCharType="begin" w:fldLock="1"/>
            </w:r>
            <w:r>
              <w:rPr>
                <w:rFonts w:ascii="Times New Roman" w:hAnsi="Times New Roman"/>
                <w:color w:val="000000"/>
                <w:sz w:val="16"/>
                <w:szCs w:val="16"/>
                <w:lang w:eastAsia="en-GB"/>
              </w:rPr>
              <w:instrText>ADDIN CSL_CITATION {"citationItems":[{"id":"ITEM-1","itemData":{"DOI":"10.1016/S0140-6736(09)61257-5","ISSN":"01406736","author":[{"dropping-particle":"","family":"Kessler","given":"David","non-dropping-particle":"","parse-names":false,"suffix":""},{"dropping-particle":"","family":"Lewis","given":"Glyn","non-dropping-particle":"","parse-names":false,"suffix":""},{"dropping-particle":"","family":"Kaur","given":"Surinder","non-dropping-particle":"","parse-names":false,"suffix":""},{"dropping-particle":"","family":"Wiles","given":"Nicola","non-dropping-particle":"","parse-names":false,"suffix":""},{"dropping-particle":"","family":"King","given":"Michael","non-dropping-particle":"","parse-names":false,"suffix":""},{"dropping-particle":"","family":"Weich","given":"Scott","non-dropping-particle":"","parse-names":false,"suffix":""},{"dropping-particle":"","family":"Sharp","given":"Debbie J","non-dropping-particle":"","parse-names":false,"suffix":""},{"dropping-particle":"","family":"Araya","given":"Ricardo","non-dropping-particle":"","parse-names":false,"suffix":""},{"dropping-particle":"","family":"Hollinghurst","given":"Sandra","non-dropping-particle":"","parse-names":false,"suffix":""},{"dropping-particle":"","family":"Peters","given":"Tim J","non-dropping-particle":"","parse-names":false,"suffix":""}],"container-title":"The Lancet","id":"ITEM-1","issue":"9690","issued":{"date-parts":[["2009","8"]]},"page":"628-634","title":"Therapist-delivered internet psychotherapy for depression in primary care: a randomised controlled trial","type":"article-journal","volume":"374"},"uris":["http://www.mendeley.com/documents/?uuid=b84f795d-50b2-40ac-80ef-39b6fab26a83"]}],"mendeley":{"formattedCitation":"(D. Kessler et al., 2009)","plainTextFormattedCitation":"(D. Kessler et al., 2009)","previouslyFormattedCitation":"(D. Kessler et al., 2009)"},"properties":{"noteIndex":0},"schema":"https://github.com/citation-style-language/schema/raw/master/csl-citation.json"}</w:instrText>
            </w:r>
            <w:r>
              <w:rPr>
                <w:rFonts w:ascii="Times New Roman" w:hAnsi="Times New Roman"/>
                <w:color w:val="000000"/>
                <w:sz w:val="16"/>
                <w:szCs w:val="16"/>
                <w:lang w:eastAsia="en-GB"/>
              </w:rPr>
              <w:fldChar w:fldCharType="separate"/>
            </w:r>
            <w:r w:rsidRPr="0002472B">
              <w:rPr>
                <w:rFonts w:ascii="Times New Roman" w:hAnsi="Times New Roman"/>
                <w:noProof/>
                <w:color w:val="000000"/>
                <w:sz w:val="16"/>
                <w:szCs w:val="16"/>
                <w:lang w:eastAsia="en-GB"/>
              </w:rPr>
              <w:t>(D. Kessler et al., 2009)</w:t>
            </w:r>
            <w:r>
              <w:rPr>
                <w:rFonts w:ascii="Times New Roman" w:hAnsi="Times New Roman"/>
                <w:color w:val="000000"/>
                <w:sz w:val="16"/>
                <w:szCs w:val="16"/>
                <w:lang w:eastAsia="en-GB"/>
              </w:rPr>
              <w:fldChar w:fldCharType="end"/>
            </w:r>
          </w:p>
        </w:tc>
        <w:tc>
          <w:tcPr>
            <w:tcW w:w="5897" w:type="dxa"/>
            <w:tcBorders>
              <w:top w:val="nil"/>
              <w:left w:val="nil"/>
              <w:bottom w:val="nil"/>
              <w:right w:val="nil"/>
            </w:tcBorders>
            <w:shd w:val="clear" w:color="auto" w:fill="F2F2F2" w:themeFill="background1" w:themeFillShade="F2"/>
            <w:vAlign w:val="bottom"/>
          </w:tcPr>
          <w:p w:rsidR="00D60232" w:rsidRPr="00C250BD" w:rsidRDefault="00D60232" w:rsidP="004A756C">
            <w:pPr>
              <w:rPr>
                <w:rFonts w:ascii="Times New Roman" w:hAnsi="Times New Roman"/>
                <w:color w:val="000000"/>
                <w:sz w:val="16"/>
                <w:szCs w:val="16"/>
                <w:lang w:eastAsia="en-GB"/>
              </w:rPr>
            </w:pPr>
            <w:r w:rsidRPr="00C250BD">
              <w:rPr>
                <w:rFonts w:ascii="Times New Roman" w:hAnsi="Times New Roman"/>
                <w:color w:val="000000"/>
                <w:sz w:val="16"/>
                <w:szCs w:val="16"/>
                <w:lang w:eastAsia="en-GB"/>
              </w:rPr>
              <w:t>Adults scoring ≥14 BDI-II and GP confirmed diagnosis of depression</w:t>
            </w:r>
            <w:r>
              <w:rPr>
                <w:rFonts w:ascii="Times New Roman" w:hAnsi="Times New Roman"/>
                <w:color w:val="000000"/>
                <w:sz w:val="16"/>
                <w:szCs w:val="16"/>
                <w:lang w:eastAsia="en-GB"/>
              </w:rPr>
              <w:t>. Recruited from 55 general practices in Bristol, London, and Warwickshire, between October 2005 and February 2008</w:t>
            </w:r>
          </w:p>
        </w:tc>
        <w:tc>
          <w:tcPr>
            <w:tcW w:w="3567" w:type="dxa"/>
            <w:tcBorders>
              <w:top w:val="nil"/>
              <w:left w:val="nil"/>
              <w:bottom w:val="nil"/>
              <w:right w:val="nil"/>
            </w:tcBorders>
            <w:shd w:val="clear" w:color="auto" w:fill="F2F2F2" w:themeFill="background1" w:themeFillShade="F2"/>
            <w:noWrap/>
            <w:vAlign w:val="bottom"/>
          </w:tcPr>
          <w:p w:rsidR="00D60232" w:rsidRPr="00C250BD" w:rsidRDefault="00D60232" w:rsidP="004A756C">
            <w:pPr>
              <w:rPr>
                <w:rFonts w:ascii="Times New Roman" w:hAnsi="Times New Roman"/>
                <w:color w:val="000000"/>
                <w:sz w:val="16"/>
                <w:szCs w:val="16"/>
                <w:lang w:eastAsia="en-GB"/>
              </w:rPr>
            </w:pPr>
            <w:r w:rsidRPr="00C250BD">
              <w:rPr>
                <w:rFonts w:ascii="Times New Roman" w:hAnsi="Times New Roman"/>
                <w:color w:val="000000"/>
                <w:sz w:val="16"/>
                <w:szCs w:val="16"/>
                <w:lang w:eastAsia="en-GB"/>
              </w:rPr>
              <w:t>iCBT (</w:t>
            </w:r>
            <w:r>
              <w:rPr>
                <w:rFonts w:ascii="Times New Roman" w:hAnsi="Times New Roman"/>
                <w:color w:val="000000"/>
                <w:sz w:val="16"/>
                <w:szCs w:val="16"/>
                <w:lang w:eastAsia="en-GB"/>
              </w:rPr>
              <w:t>n=</w:t>
            </w:r>
            <w:r w:rsidRPr="00C250BD">
              <w:rPr>
                <w:rFonts w:ascii="Times New Roman" w:hAnsi="Times New Roman"/>
                <w:color w:val="000000"/>
                <w:sz w:val="16"/>
                <w:szCs w:val="16"/>
                <w:lang w:eastAsia="en-GB"/>
              </w:rPr>
              <w:t>148) vs TAU (</w:t>
            </w:r>
            <w:r>
              <w:rPr>
                <w:rFonts w:ascii="Times New Roman" w:hAnsi="Times New Roman"/>
                <w:color w:val="000000"/>
                <w:sz w:val="16"/>
                <w:szCs w:val="16"/>
                <w:lang w:eastAsia="en-GB"/>
              </w:rPr>
              <w:t>n=</w:t>
            </w:r>
            <w:r w:rsidRPr="00C250BD">
              <w:rPr>
                <w:rFonts w:ascii="Times New Roman" w:hAnsi="Times New Roman"/>
                <w:color w:val="000000"/>
                <w:sz w:val="16"/>
                <w:szCs w:val="16"/>
                <w:lang w:eastAsia="en-GB"/>
              </w:rPr>
              <w:t>147)</w:t>
            </w:r>
          </w:p>
        </w:tc>
        <w:tc>
          <w:tcPr>
            <w:tcW w:w="2102" w:type="dxa"/>
            <w:tcBorders>
              <w:top w:val="nil"/>
              <w:left w:val="nil"/>
              <w:bottom w:val="nil"/>
              <w:right w:val="nil"/>
            </w:tcBorders>
            <w:shd w:val="clear" w:color="auto" w:fill="F2F2F2" w:themeFill="background1" w:themeFillShade="F2"/>
            <w:noWrap/>
            <w:vAlign w:val="bottom"/>
          </w:tcPr>
          <w:p w:rsidR="00D60232" w:rsidRPr="00C250BD" w:rsidRDefault="00D60232" w:rsidP="004A756C">
            <w:pPr>
              <w:rPr>
                <w:rFonts w:ascii="Times New Roman" w:hAnsi="Times New Roman"/>
                <w:color w:val="000000"/>
                <w:sz w:val="16"/>
                <w:szCs w:val="16"/>
                <w:lang w:eastAsia="en-GB"/>
              </w:rPr>
            </w:pPr>
            <w:r w:rsidRPr="00C250BD">
              <w:rPr>
                <w:rFonts w:ascii="Times New Roman" w:hAnsi="Times New Roman"/>
                <w:color w:val="000000"/>
                <w:sz w:val="16"/>
                <w:szCs w:val="16"/>
                <w:lang w:eastAsia="en-GB"/>
              </w:rPr>
              <w:t>BDI-II</w:t>
            </w:r>
            <w:r>
              <w:rPr>
                <w:rFonts w:ascii="Times New Roman" w:hAnsi="Times New Roman"/>
                <w:color w:val="000000"/>
                <w:sz w:val="16"/>
                <w:szCs w:val="16"/>
                <w:lang w:eastAsia="en-GB"/>
              </w:rPr>
              <w:t xml:space="preserve"> (n=206)</w:t>
            </w:r>
          </w:p>
        </w:tc>
        <w:tc>
          <w:tcPr>
            <w:tcW w:w="1003" w:type="dxa"/>
            <w:tcBorders>
              <w:top w:val="nil"/>
              <w:left w:val="nil"/>
              <w:bottom w:val="nil"/>
              <w:right w:val="nil"/>
            </w:tcBorders>
            <w:shd w:val="clear" w:color="auto" w:fill="F2F2F2" w:themeFill="background1" w:themeFillShade="F2"/>
            <w:vAlign w:val="bottom"/>
          </w:tcPr>
          <w:p w:rsidR="00D60232" w:rsidRPr="00C250BD" w:rsidRDefault="00D60232" w:rsidP="004A756C">
            <w:pPr>
              <w:rPr>
                <w:rFonts w:ascii="Times New Roman" w:hAnsi="Times New Roman"/>
                <w:color w:val="000000"/>
                <w:sz w:val="16"/>
                <w:szCs w:val="16"/>
                <w:lang w:eastAsia="en-GB"/>
              </w:rPr>
            </w:pPr>
            <w:r w:rsidRPr="00C250BD">
              <w:rPr>
                <w:rFonts w:ascii="Times New Roman" w:hAnsi="Times New Roman"/>
                <w:color w:val="000000"/>
                <w:sz w:val="16"/>
                <w:szCs w:val="16"/>
                <w:lang w:eastAsia="en-GB"/>
              </w:rPr>
              <w:t>Test</w:t>
            </w:r>
          </w:p>
        </w:tc>
      </w:tr>
      <w:tr w:rsidR="00D60232" w:rsidRPr="00FD1065" w:rsidTr="004A756C">
        <w:trPr>
          <w:trHeight w:val="315"/>
        </w:trPr>
        <w:tc>
          <w:tcPr>
            <w:tcW w:w="2268" w:type="dxa"/>
            <w:tcBorders>
              <w:top w:val="nil"/>
              <w:left w:val="nil"/>
              <w:bottom w:val="single" w:sz="12" w:space="0" w:color="auto"/>
              <w:right w:val="nil"/>
            </w:tcBorders>
            <w:shd w:val="clear" w:color="auto" w:fill="F2F2F2" w:themeFill="background1" w:themeFillShade="F2"/>
            <w:noWrap/>
            <w:vAlign w:val="bottom"/>
          </w:tcPr>
          <w:p w:rsidR="00D60232" w:rsidRPr="00C250BD" w:rsidRDefault="00D60232" w:rsidP="004A756C">
            <w:pPr>
              <w:rPr>
                <w:rFonts w:ascii="Times New Roman" w:hAnsi="Times New Roman"/>
                <w:color w:val="000000"/>
                <w:sz w:val="16"/>
                <w:szCs w:val="16"/>
                <w:lang w:eastAsia="en-GB"/>
              </w:rPr>
            </w:pPr>
            <w:r w:rsidRPr="00C250BD">
              <w:rPr>
                <w:rFonts w:ascii="Times New Roman" w:hAnsi="Times New Roman"/>
                <w:color w:val="000000"/>
                <w:sz w:val="16"/>
                <w:szCs w:val="16"/>
                <w:lang w:eastAsia="en-GB"/>
              </w:rPr>
              <w:t>MIR</w:t>
            </w:r>
            <w:r>
              <w:rPr>
                <w:rFonts w:ascii="Times New Roman" w:hAnsi="Times New Roman"/>
                <w:color w:val="000000"/>
                <w:sz w:val="16"/>
                <w:szCs w:val="16"/>
                <w:lang w:eastAsia="en-GB"/>
              </w:rPr>
              <w:t xml:space="preserve"> </w:t>
            </w:r>
            <w:r>
              <w:rPr>
                <w:rFonts w:ascii="Times New Roman" w:hAnsi="Times New Roman"/>
                <w:color w:val="000000"/>
                <w:sz w:val="16"/>
                <w:szCs w:val="16"/>
                <w:lang w:eastAsia="en-GB"/>
              </w:rPr>
              <w:fldChar w:fldCharType="begin" w:fldLock="1"/>
            </w:r>
            <w:r>
              <w:rPr>
                <w:rFonts w:ascii="Times New Roman" w:hAnsi="Times New Roman"/>
                <w:color w:val="000000"/>
                <w:sz w:val="16"/>
                <w:szCs w:val="16"/>
                <w:lang w:eastAsia="en-GB"/>
              </w:rPr>
              <w:instrText>ADDIN CSL_CITATION {"citationItems":[{"id":"ITEM-1","itemData":{"DOI":"10.1136/bmj.k4218","ISBN":"0000000153331","ISSN":"0959-8138","author":[{"dropping-particle":"","family":"Kessler","given":"David S","non-dropping-particle":"","parse-names":false,"suffix":""},{"dropping-particle":"","family":"MacNeill","given":"Stephanie J","non-dropping-particle":"","parse-names":false,"suffix":""},{"dropping-particle":"","family":"Tallon","given":"Deborah","non-dropping-particle":"","parse-names":false,"suffix":""},{"dropping-particle":"","family":"Lewis","given":"Glyn","non-dropping-particle":"","parse-names":false,"suffix":""},{"dropping-particle":"","family":"Peters","given":"Tim J","non-dropping-particle":"","parse-names":false,"suffix":""},{"dropping-particle":"","family":"Hollingworth","given":"William","non-dropping-particle":"","parse-names":false,"suffix":""},{"dropping-particle":"","family":"Round","given":"Jeff","non-dropping-particle":"","parse-names":false,"suffix":""},{"dropping-particle":"","family":"Burns","given":"Alison","non-dropping-particle":"","parse-names":false,"suffix":""},{"dropping-particle":"","family":"Chew-Graham","given":"Carolyn A","non-dropping-particle":"","parse-names":false,"suffix":""},{"dropping-particle":"","family":"Anderson","given":"Ian M","non-dropping-particle":"","parse-names":false,"suffix":""},{"dropping-particle":"","family":"Shepherd","given":"Tom","non-dropping-particle":"","parse-names":false,"suffix":""},{"dropping-particle":"","family":"Campbell","given":"John","non-dropping-particle":"","parse-names":false,"suffix":""},{"dropping-particle":"","family":"Dickens","given":"Chris M","non-dropping-particle":"","parse-names":false,"suffix":""},{"dropping-particle":"","family":"Carter","given":"Mary","non-dropping-particle":"","parse-names":false,"suffix":""},{"dropping-particle":"","family":"Jenkinson","given":"Caroline","non-dropping-particle":"","parse-names":false,"suffix":""},{"dropping-particle":"","family":"Macleod","given":"Una","non-dropping-particle":"","parse-names":false,"suffix":""},{"dropping-particle":"","family":"Gibson","given":"Helen","non-dropping-particle":"","parse-names":false,"suffix":""},{"dropping-particle":"","family":"Davies","given":"Simon","non-dropping-particle":"","parse-names":false,"suffix":""},{"dropping-particle":"","family":"Wiles","given":"Nicola J","non-dropping-particle":"","parse-names":false,"suffix":""}],"container-title":"BMJ","id":"ITEM-1","issued":{"date-parts":[["2018","10","31"]]},"page":"k4218","title":"Mirtazapine added to SSRIs or SNRIs for treatment resistant depression in primary care: phase III randomised placebo controlled trial (MIR)","type":"article-journal"},"uris":["http://www.mendeley.com/documents/?uuid=0850b06b-cf2b-4b4c-a7e9-78446eaa435e"]}],"mendeley":{"formattedCitation":"(D. S. Kessler et al., 2018)","plainTextFormattedCitation":"(D. S. Kessler et al., 2018)","previouslyFormattedCitation":"(D. S. Kessler et al., 2018)"},"properties":{"noteIndex":0},"schema":"https://github.com/citation-style-language/schema/raw/master/csl-citation.json"}</w:instrText>
            </w:r>
            <w:r>
              <w:rPr>
                <w:rFonts w:ascii="Times New Roman" w:hAnsi="Times New Roman"/>
                <w:color w:val="000000"/>
                <w:sz w:val="16"/>
                <w:szCs w:val="16"/>
                <w:lang w:eastAsia="en-GB"/>
              </w:rPr>
              <w:fldChar w:fldCharType="separate"/>
            </w:r>
            <w:r w:rsidRPr="0002472B">
              <w:rPr>
                <w:rFonts w:ascii="Times New Roman" w:hAnsi="Times New Roman"/>
                <w:noProof/>
                <w:color w:val="000000"/>
                <w:sz w:val="16"/>
                <w:szCs w:val="16"/>
                <w:lang w:eastAsia="en-GB"/>
              </w:rPr>
              <w:t>(D. S. Kessler et al., 2018)</w:t>
            </w:r>
            <w:r>
              <w:rPr>
                <w:rFonts w:ascii="Times New Roman" w:hAnsi="Times New Roman"/>
                <w:color w:val="000000"/>
                <w:sz w:val="16"/>
                <w:szCs w:val="16"/>
                <w:lang w:eastAsia="en-GB"/>
              </w:rPr>
              <w:fldChar w:fldCharType="end"/>
            </w:r>
          </w:p>
        </w:tc>
        <w:tc>
          <w:tcPr>
            <w:tcW w:w="5897" w:type="dxa"/>
            <w:tcBorders>
              <w:top w:val="nil"/>
              <w:left w:val="nil"/>
              <w:bottom w:val="single" w:sz="12" w:space="0" w:color="auto"/>
              <w:right w:val="nil"/>
            </w:tcBorders>
            <w:shd w:val="clear" w:color="auto" w:fill="F2F2F2" w:themeFill="background1" w:themeFillShade="F2"/>
            <w:vAlign w:val="bottom"/>
          </w:tcPr>
          <w:p w:rsidR="00D60232" w:rsidRPr="00C250BD" w:rsidRDefault="00D60232" w:rsidP="004A756C">
            <w:pPr>
              <w:rPr>
                <w:rFonts w:ascii="Times New Roman" w:hAnsi="Times New Roman"/>
                <w:color w:val="000000"/>
                <w:sz w:val="16"/>
                <w:szCs w:val="16"/>
                <w:lang w:eastAsia="en-GB"/>
              </w:rPr>
            </w:pPr>
            <w:r w:rsidRPr="00C250BD">
              <w:rPr>
                <w:rFonts w:ascii="Times New Roman" w:hAnsi="Times New Roman"/>
                <w:color w:val="000000"/>
                <w:sz w:val="16"/>
                <w:szCs w:val="16"/>
                <w:lang w:eastAsia="en-GB"/>
              </w:rPr>
              <w:t>Adults ≥18 taking SSRIs or SNRIs at adequate dose for≥ 6 weeks, and scored ≥14 on BDI-II</w:t>
            </w:r>
            <w:r>
              <w:rPr>
                <w:rFonts w:ascii="Times New Roman" w:hAnsi="Times New Roman"/>
                <w:color w:val="000000"/>
                <w:sz w:val="16"/>
                <w:szCs w:val="16"/>
                <w:lang w:eastAsia="en-GB"/>
              </w:rPr>
              <w:t xml:space="preserve">. Recruited from general practices surrounding four centres in Bristol, Exeter, Hull, and Keele/North Staffordshire, UK, between August 2013 and October 2015. </w:t>
            </w:r>
          </w:p>
        </w:tc>
        <w:tc>
          <w:tcPr>
            <w:tcW w:w="3567" w:type="dxa"/>
            <w:tcBorders>
              <w:top w:val="nil"/>
              <w:left w:val="nil"/>
              <w:bottom w:val="single" w:sz="12" w:space="0" w:color="auto"/>
              <w:right w:val="nil"/>
            </w:tcBorders>
            <w:shd w:val="clear" w:color="auto" w:fill="F2F2F2" w:themeFill="background1" w:themeFillShade="F2"/>
            <w:noWrap/>
            <w:vAlign w:val="bottom"/>
          </w:tcPr>
          <w:p w:rsidR="00D60232" w:rsidRPr="00C250BD" w:rsidRDefault="00D60232" w:rsidP="004A756C">
            <w:pPr>
              <w:rPr>
                <w:rFonts w:ascii="Times New Roman" w:hAnsi="Times New Roman"/>
                <w:color w:val="000000"/>
                <w:sz w:val="16"/>
                <w:szCs w:val="16"/>
                <w:lang w:eastAsia="en-GB"/>
              </w:rPr>
            </w:pPr>
            <w:r w:rsidRPr="00C250BD">
              <w:rPr>
                <w:rFonts w:ascii="Times New Roman" w:hAnsi="Times New Roman"/>
                <w:color w:val="000000"/>
                <w:sz w:val="16"/>
                <w:szCs w:val="16"/>
                <w:lang w:eastAsia="en-GB"/>
              </w:rPr>
              <w:t>Mirtazapine (</w:t>
            </w:r>
            <w:r>
              <w:rPr>
                <w:rFonts w:ascii="Times New Roman" w:hAnsi="Times New Roman"/>
                <w:color w:val="000000"/>
                <w:sz w:val="16"/>
                <w:szCs w:val="16"/>
                <w:lang w:eastAsia="en-GB"/>
              </w:rPr>
              <w:t>n=</w:t>
            </w:r>
            <w:r w:rsidRPr="00C250BD">
              <w:rPr>
                <w:rFonts w:ascii="Times New Roman" w:hAnsi="Times New Roman"/>
                <w:color w:val="000000"/>
                <w:sz w:val="16"/>
                <w:szCs w:val="16"/>
                <w:lang w:eastAsia="en-GB"/>
              </w:rPr>
              <w:t>241) vs Placebo (</w:t>
            </w:r>
            <w:r>
              <w:rPr>
                <w:rFonts w:ascii="Times New Roman" w:hAnsi="Times New Roman"/>
                <w:color w:val="000000"/>
                <w:sz w:val="16"/>
                <w:szCs w:val="16"/>
                <w:lang w:eastAsia="en-GB"/>
              </w:rPr>
              <w:t>n=</w:t>
            </w:r>
            <w:r w:rsidRPr="00C250BD">
              <w:rPr>
                <w:rFonts w:ascii="Times New Roman" w:hAnsi="Times New Roman"/>
                <w:color w:val="000000"/>
                <w:sz w:val="16"/>
                <w:szCs w:val="16"/>
                <w:lang w:eastAsia="en-GB"/>
              </w:rPr>
              <w:t>239)</w:t>
            </w:r>
          </w:p>
        </w:tc>
        <w:tc>
          <w:tcPr>
            <w:tcW w:w="2102" w:type="dxa"/>
            <w:tcBorders>
              <w:top w:val="nil"/>
              <w:left w:val="nil"/>
              <w:bottom w:val="single" w:sz="12" w:space="0" w:color="auto"/>
              <w:right w:val="nil"/>
            </w:tcBorders>
            <w:shd w:val="clear" w:color="auto" w:fill="F2F2F2" w:themeFill="background1" w:themeFillShade="F2"/>
            <w:noWrap/>
            <w:vAlign w:val="bottom"/>
          </w:tcPr>
          <w:p w:rsidR="00D60232" w:rsidRPr="00C250BD" w:rsidRDefault="00D60232" w:rsidP="004A756C">
            <w:pPr>
              <w:rPr>
                <w:rFonts w:ascii="Times New Roman" w:hAnsi="Times New Roman"/>
                <w:color w:val="000000"/>
                <w:sz w:val="16"/>
                <w:szCs w:val="16"/>
                <w:lang w:eastAsia="en-GB"/>
              </w:rPr>
            </w:pPr>
            <w:r w:rsidRPr="00C250BD">
              <w:rPr>
                <w:rFonts w:ascii="Times New Roman" w:hAnsi="Times New Roman"/>
                <w:color w:val="000000"/>
                <w:sz w:val="16"/>
                <w:szCs w:val="16"/>
                <w:lang w:eastAsia="en-GB"/>
              </w:rPr>
              <w:t>BDI-II also PHQ-9</w:t>
            </w:r>
            <w:r>
              <w:rPr>
                <w:rFonts w:ascii="Times New Roman" w:hAnsi="Times New Roman"/>
                <w:color w:val="000000"/>
                <w:sz w:val="16"/>
                <w:szCs w:val="16"/>
                <w:lang w:eastAsia="en-GB"/>
              </w:rPr>
              <w:t xml:space="preserve"> (n=424)</w:t>
            </w:r>
          </w:p>
        </w:tc>
        <w:tc>
          <w:tcPr>
            <w:tcW w:w="1003" w:type="dxa"/>
            <w:tcBorders>
              <w:top w:val="nil"/>
              <w:left w:val="nil"/>
              <w:bottom w:val="single" w:sz="12" w:space="0" w:color="auto"/>
              <w:right w:val="nil"/>
            </w:tcBorders>
            <w:shd w:val="clear" w:color="auto" w:fill="F2F2F2" w:themeFill="background1" w:themeFillShade="F2"/>
            <w:vAlign w:val="bottom"/>
          </w:tcPr>
          <w:p w:rsidR="00D60232" w:rsidRPr="00C250BD" w:rsidRDefault="00D60232" w:rsidP="004A756C">
            <w:pPr>
              <w:rPr>
                <w:rFonts w:ascii="Times New Roman" w:hAnsi="Times New Roman"/>
                <w:color w:val="000000"/>
                <w:sz w:val="16"/>
                <w:szCs w:val="16"/>
                <w:lang w:eastAsia="en-GB"/>
              </w:rPr>
            </w:pPr>
            <w:r w:rsidRPr="00C250BD">
              <w:rPr>
                <w:rFonts w:ascii="Times New Roman" w:hAnsi="Times New Roman"/>
                <w:color w:val="000000"/>
                <w:sz w:val="16"/>
                <w:szCs w:val="16"/>
                <w:lang w:eastAsia="en-GB"/>
              </w:rPr>
              <w:t>Test</w:t>
            </w:r>
          </w:p>
        </w:tc>
      </w:tr>
    </w:tbl>
    <w:p w:rsidR="00D60232" w:rsidRDefault="00D60232" w:rsidP="00D60232">
      <w:pPr>
        <w:rPr>
          <w:sz w:val="16"/>
        </w:rPr>
      </w:pPr>
      <w:r w:rsidRPr="007E4D9D">
        <w:rPr>
          <w:sz w:val="16"/>
        </w:rPr>
        <w:t xml:space="preserve">Abbreviations: ADM – antidepressant medication; BDI-II – Beck Depression Inventory; </w:t>
      </w:r>
      <w:r>
        <w:rPr>
          <w:sz w:val="16"/>
        </w:rPr>
        <w:t xml:space="preserve">GP – General Practitioner; </w:t>
      </w:r>
      <w:r w:rsidRPr="007E4D9D">
        <w:rPr>
          <w:sz w:val="16"/>
        </w:rPr>
        <w:t>iCBT (internet based therapist delivered cognitive behavioural therapy); MDD – Major Depressive Disorder</w:t>
      </w:r>
      <w:r>
        <w:rPr>
          <w:sz w:val="16"/>
        </w:rPr>
        <w:t>; PHQ-9 – Patient Health Questionnaire 9-item version;</w:t>
      </w:r>
      <w:r w:rsidRPr="007E4D9D">
        <w:rPr>
          <w:sz w:val="16"/>
        </w:rPr>
        <w:t xml:space="preserve"> </w:t>
      </w:r>
      <w:r>
        <w:rPr>
          <w:sz w:val="16"/>
        </w:rPr>
        <w:t xml:space="preserve">SNRI – Serotonin-Norepinephrine Reuptake Inhibitor; SSRI – Selective Serotonin Reuptake Inhibitor; </w:t>
      </w:r>
      <w:r w:rsidRPr="007E4D9D">
        <w:rPr>
          <w:sz w:val="16"/>
        </w:rPr>
        <w:t>TAU – treatment as usual</w:t>
      </w:r>
    </w:p>
    <w:p w:rsidR="00D60232" w:rsidRDefault="00D60232" w:rsidP="00D60232">
      <w:pPr>
        <w:spacing w:after="160" w:line="259" w:lineRule="auto"/>
        <w:rPr>
          <w:rFonts w:cstheme="minorHAnsi"/>
        </w:rPr>
      </w:pPr>
      <w:r>
        <w:rPr>
          <w:rFonts w:cstheme="minorHAnsi"/>
        </w:rPr>
        <w:br w:type="page"/>
      </w:r>
    </w:p>
    <w:p w:rsidR="00D60232" w:rsidRDefault="00D60232" w:rsidP="00D60232">
      <w:pPr>
        <w:ind w:left="360"/>
        <w:rPr>
          <w:rFonts w:cstheme="minorHAnsi"/>
        </w:rPr>
        <w:sectPr w:rsidR="00D60232" w:rsidSect="004A756C">
          <w:pgSz w:w="16838" w:h="11906" w:orient="landscape"/>
          <w:pgMar w:top="1440" w:right="1440" w:bottom="1440" w:left="1440" w:header="709" w:footer="709" w:gutter="0"/>
          <w:cols w:space="708"/>
          <w:docGrid w:linePitch="360"/>
        </w:sectPr>
      </w:pPr>
    </w:p>
    <w:p w:rsidR="00D60232" w:rsidRDefault="00D60232" w:rsidP="00D60232">
      <w:pPr>
        <w:ind w:left="360"/>
        <w:rPr>
          <w:rFonts w:cstheme="minorHAnsi"/>
        </w:rPr>
      </w:pPr>
    </w:p>
    <w:p w:rsidR="00D60232" w:rsidRDefault="00D60232" w:rsidP="00D60232">
      <w:pPr>
        <w:ind w:left="360"/>
        <w:rPr>
          <w:rFonts w:cstheme="minorHAnsi"/>
        </w:rPr>
      </w:pPr>
    </w:p>
    <w:p w:rsidR="00D60232" w:rsidRPr="001802D2" w:rsidRDefault="00D60232" w:rsidP="00D60232">
      <w:pPr>
        <w:rPr>
          <w:rFonts w:ascii="Times New Roman" w:hAnsi="Times New Roman"/>
          <w:b/>
          <w:sz w:val="20"/>
        </w:rPr>
      </w:pPr>
      <w:r>
        <w:rPr>
          <w:rFonts w:ascii="Times New Roman" w:hAnsi="Times New Roman"/>
          <w:b/>
          <w:sz w:val="20"/>
        </w:rPr>
        <w:t xml:space="preserve">Supplementary Table 2. </w:t>
      </w:r>
      <w:r>
        <w:rPr>
          <w:rFonts w:ascii="Times New Roman" w:hAnsi="Times New Roman"/>
          <w:sz w:val="20"/>
        </w:rPr>
        <w:t xml:space="preserve">Measures </w:t>
      </w:r>
      <w:r w:rsidRPr="001802D2">
        <w:rPr>
          <w:rFonts w:ascii="Times New Roman" w:hAnsi="Times New Roman"/>
          <w:sz w:val="20"/>
        </w:rPr>
        <w:t>used across the studies of the Dep-GP IPD database</w:t>
      </w:r>
    </w:p>
    <w:tbl>
      <w:tblPr>
        <w:tblStyle w:val="TableGrid"/>
        <w:tblW w:w="906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0"/>
        <w:gridCol w:w="3711"/>
        <w:gridCol w:w="2851"/>
      </w:tblGrid>
      <w:tr w:rsidR="00D60232" w:rsidRPr="001802D2" w:rsidTr="004A756C">
        <w:trPr>
          <w:trHeight w:val="183"/>
        </w:trPr>
        <w:tc>
          <w:tcPr>
            <w:tcW w:w="2500" w:type="dxa"/>
            <w:tcBorders>
              <w:top w:val="single" w:sz="12" w:space="0" w:color="auto"/>
              <w:bottom w:val="single" w:sz="12" w:space="0" w:color="auto"/>
            </w:tcBorders>
          </w:tcPr>
          <w:p w:rsidR="00D60232" w:rsidRPr="001802D2" w:rsidRDefault="00D60232" w:rsidP="004A756C">
            <w:pPr>
              <w:rPr>
                <w:rFonts w:ascii="Times New Roman" w:hAnsi="Times New Roman"/>
                <w:b/>
                <w:sz w:val="16"/>
                <w:szCs w:val="16"/>
              </w:rPr>
            </w:pPr>
            <w:r w:rsidRPr="001802D2">
              <w:rPr>
                <w:rFonts w:ascii="Times New Roman" w:hAnsi="Times New Roman"/>
                <w:b/>
                <w:sz w:val="16"/>
                <w:szCs w:val="16"/>
              </w:rPr>
              <w:t>Measure</w:t>
            </w:r>
          </w:p>
        </w:tc>
        <w:tc>
          <w:tcPr>
            <w:tcW w:w="3711" w:type="dxa"/>
            <w:tcBorders>
              <w:top w:val="single" w:sz="12" w:space="0" w:color="auto"/>
              <w:bottom w:val="single" w:sz="12" w:space="0" w:color="auto"/>
            </w:tcBorders>
          </w:tcPr>
          <w:p w:rsidR="00D60232" w:rsidRPr="001802D2" w:rsidRDefault="00D60232" w:rsidP="004A756C">
            <w:pPr>
              <w:rPr>
                <w:rFonts w:ascii="Times New Roman" w:hAnsi="Times New Roman"/>
                <w:b/>
                <w:sz w:val="16"/>
                <w:szCs w:val="16"/>
              </w:rPr>
            </w:pPr>
            <w:r w:rsidRPr="001802D2">
              <w:rPr>
                <w:rFonts w:ascii="Times New Roman" w:hAnsi="Times New Roman"/>
                <w:b/>
                <w:sz w:val="16"/>
                <w:szCs w:val="16"/>
              </w:rPr>
              <w:t>Details</w:t>
            </w:r>
          </w:p>
        </w:tc>
        <w:tc>
          <w:tcPr>
            <w:tcW w:w="2849" w:type="dxa"/>
            <w:tcBorders>
              <w:top w:val="single" w:sz="12" w:space="0" w:color="auto"/>
              <w:bottom w:val="single" w:sz="12" w:space="0" w:color="auto"/>
            </w:tcBorders>
          </w:tcPr>
          <w:p w:rsidR="00D60232" w:rsidRPr="001802D2" w:rsidRDefault="00D60232" w:rsidP="004A756C">
            <w:pPr>
              <w:rPr>
                <w:rFonts w:ascii="Times New Roman" w:hAnsi="Times New Roman"/>
                <w:b/>
                <w:sz w:val="16"/>
                <w:szCs w:val="16"/>
              </w:rPr>
            </w:pPr>
            <w:r w:rsidRPr="001802D2">
              <w:rPr>
                <w:rFonts w:ascii="Times New Roman" w:hAnsi="Times New Roman"/>
                <w:b/>
                <w:sz w:val="16"/>
                <w:szCs w:val="16"/>
              </w:rPr>
              <w:t>Scores and Cut-offs for Remission</w:t>
            </w:r>
          </w:p>
        </w:tc>
      </w:tr>
      <w:tr w:rsidR="00D60232" w:rsidRPr="001802D2" w:rsidTr="004A756C">
        <w:trPr>
          <w:trHeight w:val="2050"/>
        </w:trPr>
        <w:tc>
          <w:tcPr>
            <w:tcW w:w="2500" w:type="dxa"/>
            <w:tcBorders>
              <w:top w:val="single" w:sz="12" w:space="0" w:color="auto"/>
            </w:tcBorders>
          </w:tcPr>
          <w:p w:rsidR="00D60232" w:rsidRPr="001802D2" w:rsidRDefault="00D60232" w:rsidP="004A756C">
            <w:pPr>
              <w:rPr>
                <w:rFonts w:ascii="Times New Roman" w:hAnsi="Times New Roman"/>
                <w:b/>
                <w:sz w:val="16"/>
                <w:szCs w:val="16"/>
              </w:rPr>
            </w:pPr>
            <w:r w:rsidRPr="001802D2">
              <w:rPr>
                <w:rFonts w:ascii="Times New Roman" w:hAnsi="Times New Roman"/>
                <w:sz w:val="16"/>
                <w:szCs w:val="16"/>
              </w:rPr>
              <w:t>The CIS-R</w:t>
            </w:r>
            <w:r>
              <w:rPr>
                <w:rFonts w:ascii="Times New Roman" w:hAnsi="Times New Roman"/>
                <w:sz w:val="16"/>
                <w:szCs w:val="16"/>
              </w:rPr>
              <w:t xml:space="preserve"> </w:t>
            </w:r>
            <w:r w:rsidRPr="001802D2">
              <w:rPr>
                <w:rFonts w:ascii="Times New Roman" w:hAnsi="Times New Roman"/>
                <w:sz w:val="16"/>
                <w:szCs w:val="16"/>
              </w:rPr>
              <w:fldChar w:fldCharType="begin" w:fldLock="1"/>
            </w:r>
            <w:r>
              <w:rPr>
                <w:rFonts w:ascii="Times New Roman" w:hAnsi="Times New Roman"/>
                <w:sz w:val="16"/>
                <w:szCs w:val="16"/>
              </w:rPr>
              <w:instrText>ADDIN CSL_CITATION {"citationItems":[{"id":"ITEM-1","itemData":{"author":[{"dropping-particle":"","family":"Lewis","given":"Glyn","non-dropping-particle":"","parse-names":false,"suffix":""},{"dropping-particle":"","family":"Pelosi","given":"Anthony J","non-dropping-particle":"","parse-names":false,"suffix":""},{"dropping-particle":"","family":"Araya","given":"Ricardo","non-dropping-particle":"","parse-names":false,"suffix":""},{"dropping-particle":"","family":"Dunn","given":"Graham","non-dropping-particle":"","parse-names":false,"suffix":""}],"container-title":"Psychological Medicine","id":"ITEM-1","issued":{"date-parts":[["1992"]]},"page":"465-486","publisher":"Cambridge Core","title":"Measuring psychiatric disorder in the community : a standardized assessment for use by lay interviewers","type":"article-journal","volume":"22"},"uris":["http://www.mendeley.com/documents/?uuid=f9be6aa1-c87a-4e6d-85b0-aecf1e402ba8"]}],"mendeley":{"formattedCitation":"(Glyn Lewis et al., 1992)","plainTextFormattedCitation":"(Glyn Lewis et al., 1992)","previouslyFormattedCitation":"(Glyn Lewis et al., 1992)"},"properties":{"noteIndex":0},"schema":"https://github.com/citation-style-language/schema/raw/master/csl-citation.json"}</w:instrText>
            </w:r>
            <w:r w:rsidRPr="001802D2">
              <w:rPr>
                <w:rFonts w:ascii="Times New Roman" w:hAnsi="Times New Roman"/>
                <w:sz w:val="16"/>
                <w:szCs w:val="16"/>
              </w:rPr>
              <w:fldChar w:fldCharType="separate"/>
            </w:r>
            <w:r w:rsidRPr="0002472B">
              <w:rPr>
                <w:rFonts w:ascii="Times New Roman" w:hAnsi="Times New Roman"/>
                <w:noProof/>
                <w:sz w:val="16"/>
                <w:szCs w:val="16"/>
              </w:rPr>
              <w:t>(Glyn Lewis et al., 1992)</w:t>
            </w:r>
            <w:r w:rsidRPr="001802D2">
              <w:rPr>
                <w:rFonts w:ascii="Times New Roman" w:hAnsi="Times New Roman"/>
                <w:sz w:val="16"/>
                <w:szCs w:val="16"/>
              </w:rPr>
              <w:fldChar w:fldCharType="end"/>
            </w:r>
          </w:p>
        </w:tc>
        <w:tc>
          <w:tcPr>
            <w:tcW w:w="3711" w:type="dxa"/>
            <w:tcBorders>
              <w:top w:val="single" w:sz="12" w:space="0" w:color="auto"/>
            </w:tcBorders>
          </w:tcPr>
          <w:p w:rsidR="00D60232" w:rsidRPr="001802D2" w:rsidRDefault="00D60232" w:rsidP="004A756C">
            <w:pPr>
              <w:rPr>
                <w:rFonts w:ascii="Times New Roman" w:hAnsi="Times New Roman"/>
                <w:sz w:val="16"/>
                <w:szCs w:val="16"/>
              </w:rPr>
            </w:pPr>
            <w:r>
              <w:rPr>
                <w:rFonts w:ascii="Times New Roman" w:hAnsi="Times New Roman"/>
                <w:sz w:val="16"/>
                <w:szCs w:val="16"/>
              </w:rPr>
              <w:t>C</w:t>
            </w:r>
            <w:r w:rsidRPr="001802D2">
              <w:rPr>
                <w:rFonts w:ascii="Times New Roman" w:hAnsi="Times New Roman"/>
                <w:sz w:val="16"/>
                <w:szCs w:val="16"/>
              </w:rPr>
              <w:t>onsists of 14</w:t>
            </w:r>
            <w:r>
              <w:rPr>
                <w:rFonts w:ascii="Times New Roman" w:hAnsi="Times New Roman"/>
                <w:sz w:val="16"/>
                <w:szCs w:val="16"/>
              </w:rPr>
              <w:t xml:space="preserve"> symptom subsections scored 0-4, five of which measure depressive symptoms: </w:t>
            </w:r>
            <w:r w:rsidRPr="001802D2">
              <w:rPr>
                <w:rFonts w:ascii="Times New Roman" w:hAnsi="Times New Roman"/>
                <w:sz w:val="16"/>
                <w:szCs w:val="16"/>
              </w:rPr>
              <w:t>core features of depression, depressive thoughts (scored 0-5), fatigue, concentration/forgetfulness, and sleep</w:t>
            </w:r>
            <w:r>
              <w:rPr>
                <w:rFonts w:ascii="Times New Roman" w:hAnsi="Times New Roman"/>
                <w:sz w:val="16"/>
                <w:szCs w:val="16"/>
              </w:rPr>
              <w:t xml:space="preserve">. Nine sections measure anxiety symptoms: </w:t>
            </w:r>
            <w:r w:rsidRPr="001802D2">
              <w:rPr>
                <w:rFonts w:ascii="Times New Roman" w:hAnsi="Times New Roman"/>
                <w:sz w:val="16"/>
                <w:szCs w:val="16"/>
              </w:rPr>
              <w:t xml:space="preserve">generalized anxiety, worry, irritability, obsessions, compulsions, health anxiety, somatic concerns, phobic anxiety (split into agoraphobia, social phobia, and specific phobia), and panic. A final section measures general health, impairment and weight change. </w:t>
            </w:r>
            <w:r>
              <w:rPr>
                <w:rFonts w:ascii="Times New Roman" w:hAnsi="Times New Roman"/>
                <w:sz w:val="16"/>
                <w:szCs w:val="16"/>
              </w:rPr>
              <w:t>Here only eight anxiety subscales were used, irritability was not used given the similarity between this and the agitation item of the BDI-II.</w:t>
            </w:r>
          </w:p>
        </w:tc>
        <w:tc>
          <w:tcPr>
            <w:tcW w:w="2849" w:type="dxa"/>
            <w:tcBorders>
              <w:top w:val="single" w:sz="12" w:space="0" w:color="auto"/>
            </w:tcBorders>
          </w:tcPr>
          <w:p w:rsidR="00D60232" w:rsidRPr="001802D2" w:rsidRDefault="00D60232" w:rsidP="004A756C">
            <w:pPr>
              <w:rPr>
                <w:rFonts w:ascii="Times New Roman" w:hAnsi="Times New Roman"/>
                <w:b/>
                <w:sz w:val="16"/>
                <w:szCs w:val="16"/>
              </w:rPr>
            </w:pPr>
            <w:r w:rsidRPr="001802D2">
              <w:rPr>
                <w:rFonts w:ascii="Times New Roman" w:hAnsi="Times New Roman"/>
                <w:sz w:val="16"/>
                <w:szCs w:val="16"/>
              </w:rPr>
              <w:t>The total score ranges from 0-57 with a cut-off of ≥12 used to indicate likely common mental disorder, primary and secondary diagnoses using ICD-10 criteria are given as are binary indictors of diagnosis for all the disorders assessed. Scores of &lt;12 among those that were previously depressed can be used to indicate remission.</w:t>
            </w:r>
          </w:p>
        </w:tc>
      </w:tr>
      <w:tr w:rsidR="00D60232" w:rsidRPr="001802D2" w:rsidTr="004A756C">
        <w:trPr>
          <w:trHeight w:val="934"/>
        </w:trPr>
        <w:tc>
          <w:tcPr>
            <w:tcW w:w="2500" w:type="dxa"/>
          </w:tcPr>
          <w:p w:rsidR="00D60232" w:rsidRPr="001802D2" w:rsidRDefault="00D60232" w:rsidP="004A756C">
            <w:pPr>
              <w:rPr>
                <w:rFonts w:ascii="Times New Roman" w:hAnsi="Times New Roman"/>
                <w:b/>
                <w:sz w:val="16"/>
                <w:szCs w:val="16"/>
              </w:rPr>
            </w:pPr>
            <w:r w:rsidRPr="001802D2">
              <w:rPr>
                <w:rFonts w:ascii="Times New Roman" w:hAnsi="Times New Roman"/>
                <w:sz w:val="16"/>
                <w:szCs w:val="16"/>
              </w:rPr>
              <w:t>Beck Depression Inventory 2</w:t>
            </w:r>
            <w:r w:rsidRPr="001802D2">
              <w:rPr>
                <w:rFonts w:ascii="Times New Roman" w:hAnsi="Times New Roman"/>
                <w:sz w:val="16"/>
                <w:szCs w:val="16"/>
                <w:vertAlign w:val="superscript"/>
              </w:rPr>
              <w:t>nd</w:t>
            </w:r>
            <w:r>
              <w:rPr>
                <w:rFonts w:ascii="Times New Roman" w:hAnsi="Times New Roman"/>
                <w:sz w:val="16"/>
                <w:szCs w:val="16"/>
              </w:rPr>
              <w:t xml:space="preserve"> Edition (BDI-II) </w:t>
            </w:r>
            <w:r>
              <w:rPr>
                <w:rFonts w:ascii="Times New Roman" w:hAnsi="Times New Roman"/>
                <w:sz w:val="16"/>
                <w:szCs w:val="16"/>
              </w:rPr>
              <w:fldChar w:fldCharType="begin" w:fldLock="1"/>
            </w:r>
            <w:r>
              <w:rPr>
                <w:rFonts w:ascii="Times New Roman" w:hAnsi="Times New Roman"/>
                <w:sz w:val="16"/>
                <w:szCs w:val="16"/>
              </w:rPr>
              <w:instrText>ADDIN CSL_CITATION {"citationItems":[{"id":"ITEM-1","itemData":{"author":[{"dropping-particle":"","family":"Beck","given":"Aaron T","non-dropping-particle":"","parse-names":false,"suffix":""},{"dropping-particle":"","family":"Steer","given":"Robert A","non-dropping-particle":"","parse-names":false,"suffix":""},{"dropping-particle":"","family":"Brown","given":"Gregory K","non-dropping-particle":"","parse-names":false,"suffix":""}],"container-title":"Manual for the Beck Depression Inventory-II","id":"ITEM-1","issued":{"date-parts":[["1996"]]},"publisher":"Psychological Corporation","publisher-place":"San Antonio, Tx","title":"Manual for the Beck Depression Inventory-II","type":"article"},"uris":["http://www.mendeley.com/documents/?uuid=4f7a5a2d-ca03-4352-9475-4170604f3baa"]}],"mendeley":{"formattedCitation":"(Beck et al., 1996)","plainTextFormattedCitation":"(Beck et al., 1996)","previouslyFormattedCitation":"(Beck et al., 1996)"},"properties":{"noteIndex":0},"schema":"https://github.com/citation-style-language/schema/raw/master/csl-citation.json"}</w:instrText>
            </w:r>
            <w:r>
              <w:rPr>
                <w:rFonts w:ascii="Times New Roman" w:hAnsi="Times New Roman"/>
                <w:sz w:val="16"/>
                <w:szCs w:val="16"/>
              </w:rPr>
              <w:fldChar w:fldCharType="separate"/>
            </w:r>
            <w:r w:rsidRPr="0002472B">
              <w:rPr>
                <w:rFonts w:ascii="Times New Roman" w:hAnsi="Times New Roman"/>
                <w:noProof/>
                <w:sz w:val="16"/>
                <w:szCs w:val="16"/>
              </w:rPr>
              <w:t>(Beck et al., 1996)</w:t>
            </w:r>
            <w:r>
              <w:rPr>
                <w:rFonts w:ascii="Times New Roman" w:hAnsi="Times New Roman"/>
                <w:sz w:val="16"/>
                <w:szCs w:val="16"/>
              </w:rPr>
              <w:fldChar w:fldCharType="end"/>
            </w:r>
          </w:p>
        </w:tc>
        <w:tc>
          <w:tcPr>
            <w:tcW w:w="3711" w:type="dxa"/>
          </w:tcPr>
          <w:p w:rsidR="00D60232" w:rsidRPr="001802D2" w:rsidRDefault="00D60232" w:rsidP="004A756C">
            <w:pPr>
              <w:rPr>
                <w:rFonts w:ascii="Times New Roman" w:hAnsi="Times New Roman"/>
                <w:b/>
                <w:sz w:val="16"/>
                <w:szCs w:val="16"/>
              </w:rPr>
            </w:pPr>
            <w:r w:rsidRPr="001802D2">
              <w:rPr>
                <w:rFonts w:ascii="Times New Roman" w:hAnsi="Times New Roman"/>
                <w:sz w:val="16"/>
                <w:szCs w:val="16"/>
              </w:rPr>
              <w:t>Consists of 21 items to assess depressive symptoms, each item is scored 0-3.</w:t>
            </w:r>
          </w:p>
        </w:tc>
        <w:tc>
          <w:tcPr>
            <w:tcW w:w="2849" w:type="dxa"/>
          </w:tcPr>
          <w:p w:rsidR="00D60232" w:rsidRPr="001802D2" w:rsidRDefault="00D60232" w:rsidP="004A756C">
            <w:pPr>
              <w:rPr>
                <w:rFonts w:ascii="Times New Roman" w:hAnsi="Times New Roman"/>
                <w:b/>
                <w:sz w:val="16"/>
                <w:szCs w:val="16"/>
              </w:rPr>
            </w:pPr>
            <w:r w:rsidRPr="001802D2">
              <w:rPr>
                <w:rFonts w:ascii="Times New Roman" w:hAnsi="Times New Roman"/>
                <w:sz w:val="16"/>
                <w:szCs w:val="16"/>
              </w:rPr>
              <w:t>There is a maximum score obtainable of 63, and a cut-off of ≥10 is used indicate significant symptoms of depression, scores of &lt;10 are therefore used to indicate remission in those that were previously depressed/scored ≥10.</w:t>
            </w:r>
          </w:p>
        </w:tc>
      </w:tr>
      <w:tr w:rsidR="00D60232" w:rsidRPr="001802D2" w:rsidTr="004A756C">
        <w:trPr>
          <w:trHeight w:val="1122"/>
        </w:trPr>
        <w:tc>
          <w:tcPr>
            <w:tcW w:w="2500" w:type="dxa"/>
          </w:tcPr>
          <w:p w:rsidR="00D60232" w:rsidRPr="001802D2" w:rsidRDefault="00D60232" w:rsidP="004A756C">
            <w:pPr>
              <w:rPr>
                <w:rFonts w:ascii="Times New Roman" w:hAnsi="Times New Roman"/>
                <w:b/>
                <w:sz w:val="16"/>
                <w:szCs w:val="16"/>
              </w:rPr>
            </w:pPr>
            <w:r w:rsidRPr="001802D2">
              <w:rPr>
                <w:rFonts w:ascii="Times New Roman" w:hAnsi="Times New Roman"/>
                <w:sz w:val="16"/>
                <w:szCs w:val="16"/>
              </w:rPr>
              <w:t>Patient Health Questionnaire 9-item version (PHQ-9</w:t>
            </w:r>
            <w:r>
              <w:rPr>
                <w:rFonts w:ascii="Times New Roman" w:hAnsi="Times New Roman"/>
                <w:sz w:val="16"/>
                <w:szCs w:val="16"/>
              </w:rPr>
              <w:t xml:space="preserve">) </w:t>
            </w:r>
            <w:r>
              <w:rPr>
                <w:rFonts w:ascii="Times New Roman" w:hAnsi="Times New Roman"/>
                <w:sz w:val="16"/>
                <w:szCs w:val="16"/>
              </w:rPr>
              <w:fldChar w:fldCharType="begin" w:fldLock="1"/>
            </w:r>
            <w:r>
              <w:rPr>
                <w:rFonts w:ascii="Times New Roman" w:hAnsi="Times New Roman"/>
                <w:sz w:val="16"/>
                <w:szCs w:val="16"/>
              </w:rPr>
              <w:instrText>ADDIN CSL_CITATION {"citationItems":[{"id":"ITEM-1","itemData":{"DOI":"10.1046/j.1525-1497.2001.016009606.x","ISSN":"1525-1497","abstract":"OBJECTIVE: While considerable attention has focused on improving the detection of depression, assessment of severity is also important in guiding treatment decisions. Therefore, we examined the validity of a brief, new measure of depression severity. MEASUREMENTS: The Patient Health Questionnaire (PHQ) is a self-administered version of the PRIME-MD diagnostic instrument for common mental disorders. The PHQ-9 is the depression module, which scores each of the 9 DSM-IV criteria as “0” (not at all) to “3” (nearly every day). The PHQ-9 was completed by 6,000 patients in 8 primary care clinics and 7 obstetrics-gynecology clinics. Construct validity was assessed using the 20-item Short-Form General Health Survey, self-reported sick days and clinic visits, and symptom-related difficulty. Criterion validity was assessed against an independent structured mental health professional (MHP) interview in a sample of 580 patients. RESULTS: As PHQ-9 depression severity increased, there was a substantial decrease in functional status on all 6 SF-20 subscales. Also, symptom-related difficulty, sick days, and health care utilization increased. Using the MHP reinterview as the criterion standard, a PHQ-9 score ≥10 had a sensitivity of 88% and a specificity of 88% for major depression. PHQ-9 scores of 5, 10, 15, and 20 represented mild, moderate, moderately severe, and severe depression, respectively. Results were similar in the primary care and obstetrics-gynecology samples. CONCLUSION: In addition to making criteria-based diagnoses of depressive disorders, the PHQ-9 is also a reliable and valid measure of depression severity. These characteristics plus its brevity make the PHQ-9 a useful clinical and research tool.","author":[{"dropping-particle":"","family":"Kroenke","given":"Kurt","non-dropping-particle":"","parse-names":false,"suffix":""},{"dropping-particle":"","family":"Spitzer","given":"Robert L.","non-dropping-particle":"","parse-names":false,"suffix":""},{"dropping-particle":"","family":"Williams","given":"Janet B. W.","non-dropping-particle":"","parse-names":false,"suffix":""}],"container-title":"Journal of General Internal Medicine","id":"ITEM-1","issue":"9","issued":{"date-parts":[["2001","9"]]},"language":"en","page":"606-613","title":"The PHQ-9","type":"article-journal","volume":"16"},"uris":["http://www.mendeley.com/documents/?uuid=73344f7d-7d2f-44a5-be2d-5252460ca8bd"]}],"mendeley":{"formattedCitation":"(Kroenke, Spitzer, &amp; Williams, 2001)","plainTextFormattedCitation":"(Kroenke, Spitzer, &amp; Williams, 2001)","previouslyFormattedCitation":"(Kroenke, Spitzer, &amp; Williams, 2001)"},"properties":{"noteIndex":0},"schema":"https://github.com/citation-style-language/schema/raw/master/csl-citation.json"}</w:instrText>
            </w:r>
            <w:r>
              <w:rPr>
                <w:rFonts w:ascii="Times New Roman" w:hAnsi="Times New Roman"/>
                <w:sz w:val="16"/>
                <w:szCs w:val="16"/>
              </w:rPr>
              <w:fldChar w:fldCharType="separate"/>
            </w:r>
            <w:r w:rsidRPr="0002472B">
              <w:rPr>
                <w:rFonts w:ascii="Times New Roman" w:hAnsi="Times New Roman"/>
                <w:noProof/>
                <w:sz w:val="16"/>
                <w:szCs w:val="16"/>
              </w:rPr>
              <w:t>(Kroenke, Spitzer, &amp; Williams, 2001)</w:t>
            </w:r>
            <w:r>
              <w:rPr>
                <w:rFonts w:ascii="Times New Roman" w:hAnsi="Times New Roman"/>
                <w:sz w:val="16"/>
                <w:szCs w:val="16"/>
              </w:rPr>
              <w:fldChar w:fldCharType="end"/>
            </w:r>
          </w:p>
        </w:tc>
        <w:tc>
          <w:tcPr>
            <w:tcW w:w="3711" w:type="dxa"/>
          </w:tcPr>
          <w:p w:rsidR="00D60232" w:rsidRPr="001802D2" w:rsidRDefault="00D60232" w:rsidP="004A756C">
            <w:pPr>
              <w:rPr>
                <w:rFonts w:ascii="Times New Roman" w:hAnsi="Times New Roman"/>
                <w:b/>
                <w:sz w:val="16"/>
                <w:szCs w:val="16"/>
              </w:rPr>
            </w:pPr>
            <w:r w:rsidRPr="001802D2">
              <w:rPr>
                <w:rFonts w:ascii="Times New Roman" w:hAnsi="Times New Roman"/>
                <w:sz w:val="16"/>
                <w:szCs w:val="16"/>
              </w:rPr>
              <w:t>This is a depression screening measure, with respondents asked to rate how often they have been bothered by each of the nine symptom items over the preceding two weeks. Each item is scored 0-3</w:t>
            </w:r>
          </w:p>
        </w:tc>
        <w:tc>
          <w:tcPr>
            <w:tcW w:w="2849" w:type="dxa"/>
          </w:tcPr>
          <w:p w:rsidR="00D60232" w:rsidRPr="001802D2" w:rsidRDefault="00D60232" w:rsidP="004A756C">
            <w:pPr>
              <w:rPr>
                <w:rFonts w:ascii="Times New Roman" w:hAnsi="Times New Roman"/>
                <w:sz w:val="16"/>
                <w:szCs w:val="16"/>
              </w:rPr>
            </w:pPr>
            <w:r w:rsidRPr="001802D2">
              <w:rPr>
                <w:rFonts w:ascii="Times New Roman" w:hAnsi="Times New Roman"/>
                <w:sz w:val="16"/>
                <w:szCs w:val="16"/>
              </w:rPr>
              <w:t>There is a maximum score of 27 with a cut-off of ≥10 is used to indicate “caseness” for depression, a score of 9 or below for those that were previously depressed is therefore considered to indicate remission</w:t>
            </w:r>
          </w:p>
        </w:tc>
      </w:tr>
      <w:tr w:rsidR="00D60232" w:rsidRPr="001802D2" w:rsidTr="004A756C">
        <w:trPr>
          <w:trHeight w:val="3479"/>
        </w:trPr>
        <w:tc>
          <w:tcPr>
            <w:tcW w:w="2500" w:type="dxa"/>
            <w:tcBorders>
              <w:top w:val="nil"/>
            </w:tcBorders>
          </w:tcPr>
          <w:p w:rsidR="00D60232" w:rsidRPr="00286244" w:rsidRDefault="00D60232" w:rsidP="004A756C">
            <w:pPr>
              <w:rPr>
                <w:rFonts w:ascii="Times New Roman" w:hAnsi="Times New Roman"/>
                <w:bCs/>
                <w:sz w:val="16"/>
                <w:szCs w:val="16"/>
              </w:rPr>
            </w:pPr>
            <w:r w:rsidRPr="001802D2">
              <w:rPr>
                <w:rFonts w:ascii="Times New Roman" w:hAnsi="Times New Roman"/>
                <w:sz w:val="16"/>
                <w:szCs w:val="16"/>
              </w:rPr>
              <w:t xml:space="preserve">Social Support Scale - </w:t>
            </w:r>
            <w:r w:rsidRPr="001802D2">
              <w:rPr>
                <w:rFonts w:ascii="Times New Roman" w:hAnsi="Times New Roman"/>
                <w:bCs/>
                <w:sz w:val="16"/>
                <w:szCs w:val="16"/>
              </w:rPr>
              <w:t>adapted by authors of RCTs</w:t>
            </w:r>
            <w:r>
              <w:rPr>
                <w:rFonts w:ascii="Times New Roman" w:hAnsi="Times New Roman"/>
                <w:bCs/>
                <w:sz w:val="16"/>
                <w:szCs w:val="16"/>
              </w:rPr>
              <w:t xml:space="preserve"> </w:t>
            </w:r>
            <w:r>
              <w:rPr>
                <w:rFonts w:ascii="Times New Roman" w:hAnsi="Times New Roman"/>
                <w:bCs/>
                <w:sz w:val="16"/>
                <w:szCs w:val="16"/>
              </w:rPr>
              <w:fldChar w:fldCharType="begin" w:fldLock="1"/>
            </w:r>
            <w:r>
              <w:rPr>
                <w:rFonts w:ascii="Times New Roman" w:hAnsi="Times New Roman"/>
                <w:bCs/>
                <w:sz w:val="16"/>
                <w:szCs w:val="16"/>
              </w:rPr>
              <w:instrText>ADDIN CSL_CITATION {"citationItems":[{"id":"ITEM-1","itemData":{"DOI":"10.1016/S0140-6736(09)61257-5","ISSN":"01406736","author":[{"dropping-particle":"","family":"Kessler","given":"David","non-dropping-particle":"","parse-names":false,"suffix":""},{"dropping-particle":"","family":"Lewis","given":"Glyn","non-dropping-particle":"","parse-names":false,"suffix":""},{"dropping-particle":"","family":"Kaur","given":"Surinder","non-dropping-particle":"","parse-names":false,"suffix":""},{"dropping-particle":"","family":"Wiles","given":"Nicola","non-dropping-particle":"","parse-names":false,"suffix":""},{"dropping-particle":"","family":"King","given":"Michael","non-dropping-particle":"","parse-names":false,"suffix":""},{"dropping-particle":"","family":"Weich","given":"Scott","non-dropping-particle":"","parse-names":false,"suffix":""},{"dropping-particle":"","family":"Sharp","given":"Debbie J","non-dropping-particle":"","parse-names":false,"suffix":""},{"dropping-particle":"","family":"Araya","given":"Ricardo","non-dropping-particle":"","parse-names":false,"suffix":""},{"dropping-particle":"","family":"Hollinghurst","given":"Sandra","non-dropping-particle":"","parse-names":false,"suffix":""},{"dropping-particle":"","family":"Peters","given":"Tim J","non-dropping-particle":"","parse-names":false,"suffix":""}],"container-title":"The Lancet","id":"ITEM-1","issue":"9690","issued":{"date-parts":[["2009","8"]]},"page":"628-634","title":"Therapist-delivered internet psychotherapy for depression in primary care: a randomised controlled trial","type":"article-journal","volume":"374"},"uris":["http://www.mendeley.com/documents/?uuid=b84f795d-50b2-40ac-80ef-39b6fab26a83"]}],"mendeley":{"formattedCitation":"(D. Kessler et al., 2009)","plainTextFormattedCitation":"(D. Kessler et al., 2009)","previouslyFormattedCitation":"(D. Kessler et al., 2009)"},"properties":{"noteIndex":0},"schema":"https://github.com/citation-style-language/schema/raw/master/csl-citation.json"}</w:instrText>
            </w:r>
            <w:r>
              <w:rPr>
                <w:rFonts w:ascii="Times New Roman" w:hAnsi="Times New Roman"/>
                <w:bCs/>
                <w:sz w:val="16"/>
                <w:szCs w:val="16"/>
              </w:rPr>
              <w:fldChar w:fldCharType="separate"/>
            </w:r>
            <w:r w:rsidRPr="0002472B">
              <w:rPr>
                <w:rFonts w:ascii="Times New Roman" w:hAnsi="Times New Roman"/>
                <w:bCs/>
                <w:noProof/>
                <w:sz w:val="16"/>
                <w:szCs w:val="16"/>
              </w:rPr>
              <w:t>(D. Kessler et al., 2009)</w:t>
            </w:r>
            <w:r>
              <w:rPr>
                <w:rFonts w:ascii="Times New Roman" w:hAnsi="Times New Roman"/>
                <w:bCs/>
                <w:sz w:val="16"/>
                <w:szCs w:val="16"/>
              </w:rPr>
              <w:fldChar w:fldCharType="end"/>
            </w:r>
            <w:r w:rsidRPr="001802D2">
              <w:rPr>
                <w:rFonts w:ascii="Times New Roman" w:hAnsi="Times New Roman"/>
                <w:bCs/>
                <w:sz w:val="16"/>
                <w:szCs w:val="16"/>
              </w:rPr>
              <w:t xml:space="preserve"> included in this IPD </w:t>
            </w:r>
            <w:r>
              <w:rPr>
                <w:rFonts w:ascii="Times New Roman" w:hAnsi="Times New Roman"/>
                <w:bCs/>
                <w:sz w:val="16"/>
                <w:szCs w:val="16"/>
              </w:rPr>
              <w:t xml:space="preserve">by adding one item to the Health and Lifestyles Survey Social Support Measure </w:t>
            </w:r>
            <w:r>
              <w:rPr>
                <w:rFonts w:ascii="Times New Roman" w:hAnsi="Times New Roman"/>
                <w:bCs/>
                <w:sz w:val="16"/>
                <w:szCs w:val="16"/>
              </w:rPr>
              <w:fldChar w:fldCharType="begin" w:fldLock="1"/>
            </w:r>
            <w:r>
              <w:rPr>
                <w:rFonts w:ascii="Times New Roman" w:hAnsi="Times New Roman"/>
                <w:bCs/>
                <w:sz w:val="16"/>
                <w:szCs w:val="16"/>
              </w:rPr>
              <w:instrText>ADDIN CSL_CITATION {"citationItems":[{"id":"ITEM-1","itemData":{"author":[{"dropping-particle":"","family":"Cox","given":"B. D.","non-dropping-particle":"","parse-names":false,"suffix":""},{"dropping-particle":"","family":"Blaxter","given":"M.","non-dropping-particle":"","parse-names":false,"suffix":""},{"dropping-particle":"","family":"Buckle","given":"A. L. J.","non-dropping-particle":"","parse-names":false,"suffix":""},{"dropping-particle":"","family":"Fenner","given":"N. P.","non-dropping-particle":"","parse-names":false,"suffix":""},{"dropping-particle":"","family":"Golding","given":"J. F.","non-dropping-particle":"","parse-names":false,"suffix":""},{"dropping-particle":"","family":"Gore","given":"M.","non-dropping-particle":"","parse-names":false,"suffix":""},{"dropping-particle":"","family":"Huppert","given":"F. A.","non-dropping-particle":"","parse-names":false,"suffix":""},{"dropping-particle":"","family":"Nickson","given":"J.","non-dropping-particle":"","parse-names":false,"suffix":""},{"dropping-particle":"","family":"Roth","given":"M.","non-dropping-particle":"","parse-names":false,"suffix":""},{"dropping-particle":"","family":"Stark","given":"J.","non-dropping-particle":"","parse-names":false,"suffix":""},{"dropping-particle":"","family":"Wadsworth, M. E. J. Wichelow","given":"M.","non-dropping-particle":"","parse-names":false,"suffix":""}],"id":"ITEM-1","issued":{"date-parts":[["1987"]]},"publisher":"Health Promotion Research Trust","title":"The Health and Lifestyle Survey","type":"book"},"uris":["http://www.mendeley.com/documents/?uuid=22ed1bd6-1b67-4706-9974-bd7c0a2bc029"]}],"mendeley":{"formattedCitation":"(Cox et al., 1987)","plainTextFormattedCitation":"(Cox et al., 1987)","previouslyFormattedCitation":"(Cox et al., 1987)"},"properties":{"noteIndex":0},"schema":"https://github.com/citation-style-language/schema/raw/master/csl-citation.json"}</w:instrText>
            </w:r>
            <w:r>
              <w:rPr>
                <w:rFonts w:ascii="Times New Roman" w:hAnsi="Times New Roman"/>
                <w:bCs/>
                <w:sz w:val="16"/>
                <w:szCs w:val="16"/>
              </w:rPr>
              <w:fldChar w:fldCharType="separate"/>
            </w:r>
            <w:r w:rsidRPr="0002472B">
              <w:rPr>
                <w:rFonts w:ascii="Times New Roman" w:hAnsi="Times New Roman"/>
                <w:bCs/>
                <w:noProof/>
                <w:sz w:val="16"/>
                <w:szCs w:val="16"/>
              </w:rPr>
              <w:t>(Cox et al., 1987)</w:t>
            </w:r>
            <w:r>
              <w:rPr>
                <w:rFonts w:ascii="Times New Roman" w:hAnsi="Times New Roman"/>
                <w:bCs/>
                <w:sz w:val="16"/>
                <w:szCs w:val="16"/>
              </w:rPr>
              <w:fldChar w:fldCharType="end"/>
            </w:r>
          </w:p>
        </w:tc>
        <w:tc>
          <w:tcPr>
            <w:tcW w:w="3711" w:type="dxa"/>
            <w:tcBorders>
              <w:top w:val="nil"/>
            </w:tcBorders>
          </w:tcPr>
          <w:p w:rsidR="00D60232" w:rsidRPr="00DE6FDF" w:rsidRDefault="00D60232" w:rsidP="004A756C">
            <w:pPr>
              <w:rPr>
                <w:rFonts w:ascii="Times New Roman" w:hAnsi="Times New Roman"/>
                <w:sz w:val="16"/>
                <w:szCs w:val="16"/>
              </w:rPr>
            </w:pPr>
            <w:r>
              <w:rPr>
                <w:rStyle w:val="Emphasis"/>
                <w:rFonts w:ascii="Times New Roman" w:hAnsi="Times New Roman"/>
                <w:i w:val="0"/>
                <w:sz w:val="16"/>
                <w:szCs w:val="16"/>
              </w:rPr>
              <w:t>A</w:t>
            </w:r>
            <w:r w:rsidRPr="00322645">
              <w:rPr>
                <w:rStyle w:val="Emphasis"/>
                <w:rFonts w:ascii="Times New Roman" w:hAnsi="Times New Roman"/>
                <w:i w:val="0"/>
                <w:sz w:val="16"/>
                <w:szCs w:val="16"/>
              </w:rPr>
              <w:t>n 8-item instrument</w:t>
            </w:r>
            <w:r>
              <w:rPr>
                <w:rStyle w:val="Emphasis"/>
                <w:rFonts w:ascii="Times New Roman" w:hAnsi="Times New Roman"/>
                <w:i w:val="0"/>
                <w:sz w:val="16"/>
                <w:szCs w:val="16"/>
              </w:rPr>
              <w:t xml:space="preserve"> (the first seven of which are from the Health and Lifestyles Survey)</w:t>
            </w:r>
            <w:r w:rsidRPr="00322645">
              <w:rPr>
                <w:rStyle w:val="Emphasis"/>
                <w:rFonts w:ascii="Times New Roman" w:hAnsi="Times New Roman"/>
                <w:i w:val="0"/>
                <w:sz w:val="16"/>
                <w:szCs w:val="16"/>
              </w:rPr>
              <w:t xml:space="preserve"> assessing the degree to which participants rated the</w:t>
            </w:r>
            <w:r w:rsidRPr="00DE6FDF">
              <w:rPr>
                <w:rStyle w:val="Emphasis"/>
                <w:rFonts w:ascii="Times New Roman" w:hAnsi="Times New Roman"/>
                <w:sz w:val="16"/>
                <w:szCs w:val="16"/>
              </w:rPr>
              <w:t xml:space="preserve"> </w:t>
            </w:r>
            <w:r w:rsidRPr="00DE6FDF">
              <w:rPr>
                <w:rFonts w:ascii="Times New Roman" w:hAnsi="Times New Roman"/>
                <w:bCs/>
                <w:sz w:val="16"/>
                <w:szCs w:val="16"/>
              </w:rPr>
              <w:t xml:space="preserve">social support of their friends and family in each of the following domains: 1) being accepted for who one is; 2) feeling cared about; 3) feeling loved; 4) feeling important to them; 5) being able to rely on them; 6) feeling well supported and encouraged by them; 7) being made to feel happy by them; and 8) feeling able to talk to them </w:t>
            </w:r>
            <w:r w:rsidRPr="005E6742">
              <w:rPr>
                <w:rFonts w:ascii="Times New Roman" w:hAnsi="Times New Roman"/>
                <w:bCs/>
                <w:sz w:val="16"/>
                <w:szCs w:val="16"/>
              </w:rPr>
              <w:t xml:space="preserve">whenever one might like. </w:t>
            </w:r>
            <w:r w:rsidRPr="005E6742">
              <w:rPr>
                <w:rStyle w:val="Emphasis"/>
                <w:rFonts w:ascii="Times New Roman" w:hAnsi="Times New Roman"/>
                <w:i w:val="0"/>
                <w:sz w:val="16"/>
                <w:szCs w:val="16"/>
              </w:rPr>
              <w:t>Items are scored 1-3, with total scores ranging from 8-24; higher scores indicate higher levels of perceived social support</w:t>
            </w:r>
            <w:r w:rsidRPr="005E6742">
              <w:rPr>
                <w:rStyle w:val="Emphasis"/>
                <w:rFonts w:ascii="Times New Roman" w:hAnsi="Times New Roman"/>
                <w:sz w:val="16"/>
                <w:szCs w:val="16"/>
              </w:rPr>
              <w:t xml:space="preserve">. </w:t>
            </w:r>
            <w:r w:rsidRPr="005E6742">
              <w:rPr>
                <w:rStyle w:val="Emphasis"/>
                <w:rFonts w:ascii="Times New Roman" w:hAnsi="Times New Roman"/>
                <w:i w:val="0"/>
                <w:sz w:val="16"/>
                <w:szCs w:val="16"/>
              </w:rPr>
              <w:t>The authors of the Health and Lifestyles Survey suggested the maximum score for social support (which was 21 on that scale) indicated ‘no lack of social support’</w:t>
            </w:r>
            <w:r>
              <w:rPr>
                <w:rStyle w:val="Emphasis"/>
                <w:rFonts w:ascii="Times New Roman" w:hAnsi="Times New Roman"/>
                <w:i w:val="0"/>
                <w:sz w:val="16"/>
                <w:szCs w:val="16"/>
              </w:rPr>
              <w:t>,</w:t>
            </w:r>
            <w:r w:rsidRPr="005E6742">
              <w:rPr>
                <w:rStyle w:val="Emphasis"/>
                <w:rFonts w:ascii="Times New Roman" w:hAnsi="Times New Roman"/>
                <w:i w:val="0"/>
                <w:sz w:val="16"/>
                <w:szCs w:val="16"/>
              </w:rPr>
              <w:t xml:space="preserve"> scores between 18-20 indicated a ‘moderate lack of social support’</w:t>
            </w:r>
            <w:r>
              <w:rPr>
                <w:rStyle w:val="Emphasis"/>
                <w:rFonts w:ascii="Times New Roman" w:hAnsi="Times New Roman"/>
                <w:i w:val="0"/>
                <w:sz w:val="16"/>
                <w:szCs w:val="16"/>
              </w:rPr>
              <w:t>,</w:t>
            </w:r>
            <w:r w:rsidRPr="005E6742">
              <w:rPr>
                <w:rStyle w:val="Emphasis"/>
                <w:rFonts w:ascii="Times New Roman" w:hAnsi="Times New Roman"/>
                <w:i w:val="0"/>
                <w:sz w:val="16"/>
                <w:szCs w:val="16"/>
              </w:rPr>
              <w:t xml:space="preserve"> and scores of 17 or below indicated a ‘severe lack of social support’.</w:t>
            </w:r>
          </w:p>
        </w:tc>
        <w:tc>
          <w:tcPr>
            <w:tcW w:w="2849" w:type="dxa"/>
            <w:tcBorders>
              <w:top w:val="nil"/>
            </w:tcBorders>
          </w:tcPr>
          <w:p w:rsidR="00D60232" w:rsidRPr="001802D2" w:rsidRDefault="00D60232" w:rsidP="004A756C">
            <w:pPr>
              <w:rPr>
                <w:rFonts w:ascii="Times New Roman" w:hAnsi="Times New Roman"/>
                <w:sz w:val="16"/>
                <w:szCs w:val="16"/>
              </w:rPr>
            </w:pPr>
            <w:r w:rsidRPr="001802D2">
              <w:rPr>
                <w:rFonts w:ascii="Times New Roman" w:hAnsi="Times New Roman"/>
                <w:sz w:val="16"/>
                <w:szCs w:val="16"/>
              </w:rPr>
              <w:t>N/A</w:t>
            </w:r>
          </w:p>
        </w:tc>
      </w:tr>
      <w:tr w:rsidR="00D60232" w:rsidRPr="001802D2" w:rsidTr="004A756C">
        <w:trPr>
          <w:trHeight w:val="1302"/>
        </w:trPr>
        <w:tc>
          <w:tcPr>
            <w:tcW w:w="2500" w:type="dxa"/>
          </w:tcPr>
          <w:p w:rsidR="00D60232" w:rsidRPr="001802D2" w:rsidRDefault="00D60232" w:rsidP="004A756C">
            <w:pPr>
              <w:rPr>
                <w:rFonts w:ascii="Times New Roman" w:hAnsi="Times New Roman"/>
                <w:sz w:val="16"/>
                <w:szCs w:val="16"/>
              </w:rPr>
            </w:pPr>
            <w:r w:rsidRPr="001802D2">
              <w:rPr>
                <w:rFonts w:ascii="Times New Roman" w:hAnsi="Times New Roman"/>
                <w:sz w:val="16"/>
                <w:szCs w:val="16"/>
              </w:rPr>
              <w:t xml:space="preserve">Life events: </w:t>
            </w:r>
            <w:r>
              <w:rPr>
                <w:rFonts w:ascii="Times New Roman" w:hAnsi="Times New Roman"/>
                <w:sz w:val="16"/>
                <w:szCs w:val="16"/>
              </w:rPr>
              <w:t xml:space="preserve">adapted by the authors of the Adult Psychiatric Morbidity Surveys </w:t>
            </w:r>
            <w:r>
              <w:rPr>
                <w:rFonts w:ascii="Times New Roman" w:hAnsi="Times New Roman"/>
                <w:sz w:val="16"/>
                <w:szCs w:val="16"/>
              </w:rPr>
              <w:fldChar w:fldCharType="begin" w:fldLock="1"/>
            </w:r>
            <w:r>
              <w:rPr>
                <w:rFonts w:ascii="Times New Roman" w:hAnsi="Times New Roman"/>
                <w:sz w:val="16"/>
                <w:szCs w:val="16"/>
              </w:rPr>
              <w:instrText>ADDIN CSL_CITATION {"citationItems":[{"id":"ITEM-1","itemData":{"DOI":"10.1103/PhysRevB.77.235410","ISBN":"1077-2626","ISSN":"1098-0121","PMID":"224","abstract":"We investigate the use of three well established methods to model the electron-electron interaction correction to the conductivity in highly disordered two-dimensional systems. In order to determine the interaction correction δσee, we use each method to fit experimental magnetoconductivity data from highly disordered Si:P δ-doped two-dimensional electron systems having conductivities ranging from kFl</w:instrText>
            </w:r>
            <w:r>
              <w:rPr>
                <w:rFonts w:ascii="Cambria Math" w:hAnsi="Cambria Math" w:cs="Cambria Math"/>
                <w:sz w:val="16"/>
                <w:szCs w:val="16"/>
              </w:rPr>
              <w:instrText>∼</w:instrText>
            </w:r>
            <w:r>
              <w:rPr>
                <w:rFonts w:ascii="Times New Roman" w:hAnsi="Times New Roman"/>
                <w:sz w:val="16"/>
                <w:szCs w:val="16"/>
              </w:rPr>
              <w:instrText>5 to 30. From this analysis we find that none of the three methods fits the data over the whole range of conductivities achievable. Consequently, we present a new method of extracting δσee, based on the elimination of the interaction correction from the resistivity tensor, which is effective for extracting δσee over the complete range of conductivities studied. We find δσee between −5.5e2/πh and −7.5e2/πh at 0.5 K for our samples.","author":[{"dropping-particle":"","family":"McManus","given":"Sally","non-dropping-particle":"","parse-names":false,"suffix":""},{"dropping-particle":"","family":"Bebbington","given":"Paul","non-dropping-particle":"","parse-names":false,"suffix":""},{"dropping-particle":"","family":"Jenkins","given":"Rachel","non-dropping-particle":"","parse-names":false,"suffix":""},{"dropping-particle":"","family":"Brugha","given":"Terry","non-dropping-particle":"","parse-names":false,"suffix":""}],"container-title":"NHS Digital","editor":[{"dropping-particle":"","family":"McManus","given":"Sally","non-dropping-particle":"","parse-names":false,"suffix":""},{"dropping-particle":"","family":"Bebbington","given":"Paul","non-dropping-particle":"","parse-names":false,"suffix":""},{"dropping-particle":"","family":"Jenkins","given":"Rachel","non-dropping-particle":"","parse-names":false,"suffix":""},{"dropping-particle":"","family":"Brugha","given":"Terry","non-dropping-particle":"","parse-names":false,"suffix":""}],"id":"ITEM-1","issued":{"date-parts":[["2016"]]},"number-of-pages":"1-405","publisher":"NHS Digital","publisher-place":"Leeds","title":"Mental health and wellbeing in England: Adult Psychiatric Morbidity Survey 2014","type":"book"},"uris":["http://www.mendeley.com/documents/?uuid=b1bd8cc6-7273-44ea-b336-50f17e0d41db"]}],"mendeley":{"formattedCitation":"(McManus, Bebbington, Jenkins, &amp; Brugha, 2016)","plainTextFormattedCitation":"(McManus, Bebbington, Jenkins, &amp; Brugha, 2016)","previouslyFormattedCitation":"(McManus, Bebbington, Jenkins, &amp; Brugha, 2016)"},"properties":{"noteIndex":0},"schema":"https://github.com/citation-style-language/schema/raw/master/csl-citation.json"}</w:instrText>
            </w:r>
            <w:r>
              <w:rPr>
                <w:rFonts w:ascii="Times New Roman" w:hAnsi="Times New Roman"/>
                <w:sz w:val="16"/>
                <w:szCs w:val="16"/>
              </w:rPr>
              <w:fldChar w:fldCharType="separate"/>
            </w:r>
            <w:r w:rsidRPr="0002472B">
              <w:rPr>
                <w:rFonts w:ascii="Times New Roman" w:hAnsi="Times New Roman"/>
                <w:noProof/>
                <w:sz w:val="16"/>
                <w:szCs w:val="16"/>
              </w:rPr>
              <w:t>(McManus, Bebbington, Jenkins, &amp; Brugha, 2016)</w:t>
            </w:r>
            <w:r>
              <w:rPr>
                <w:rFonts w:ascii="Times New Roman" w:hAnsi="Times New Roman"/>
                <w:sz w:val="16"/>
                <w:szCs w:val="16"/>
              </w:rPr>
              <w:fldChar w:fldCharType="end"/>
            </w:r>
            <w:r>
              <w:rPr>
                <w:rFonts w:ascii="Times New Roman" w:hAnsi="Times New Roman"/>
                <w:sz w:val="16"/>
                <w:szCs w:val="16"/>
              </w:rPr>
              <w:t xml:space="preserve"> based on </w:t>
            </w:r>
            <w:r w:rsidRPr="001802D2">
              <w:rPr>
                <w:rFonts w:ascii="Times New Roman" w:hAnsi="Times New Roman"/>
                <w:bCs/>
                <w:sz w:val="16"/>
                <w:szCs w:val="16"/>
              </w:rPr>
              <w:t xml:space="preserve">the Social Readjustment Rating Scale </w:t>
            </w:r>
            <w:r w:rsidRPr="001802D2">
              <w:rPr>
                <w:rFonts w:ascii="Times New Roman" w:hAnsi="Times New Roman"/>
                <w:bCs/>
                <w:sz w:val="16"/>
                <w:szCs w:val="16"/>
              </w:rPr>
              <w:fldChar w:fldCharType="begin" w:fldLock="1"/>
            </w:r>
            <w:r>
              <w:rPr>
                <w:rFonts w:ascii="Times New Roman" w:hAnsi="Times New Roman"/>
                <w:bCs/>
                <w:sz w:val="16"/>
                <w:szCs w:val="16"/>
              </w:rPr>
              <w:instrText>ADDIN CSL_CITATION {"citationItems":[{"id":"ITEM-1","itemData":{"author":[{"dropping-particle":"","family":"Holmes","given":"Thomas H","non-dropping-particle":"","parse-names":false,"suffix":""},{"dropping-particle":"","family":"Rahe","given":"Richard H","non-dropping-particle":"","parse-names":false,"suffix":""}],"container-title":"Journal of psychosomatic research","id":"ITEM-1","issue":"2","issued":{"date-parts":[["1967"]]},"page":"213-218","publisher":"Elsevier","title":"The social readjustment rating scale","type":"article-journal","volume":"11"},"uris":["http://www.mendeley.com/documents/?uuid=6294062f-d40f-41f3-8eaa-1e7a66f97432"]}],"mendeley":{"formattedCitation":"(Holmes &amp; Rahe, 1967)","plainTextFormattedCitation":"(Holmes &amp; Rahe, 1967)","previouslyFormattedCitation":"(Holmes &amp; Rahe, 1967)"},"properties":{"noteIndex":0},"schema":"https://github.com/citation-style-language/schema/raw/master/csl-citation.json"}</w:instrText>
            </w:r>
            <w:r w:rsidRPr="001802D2">
              <w:rPr>
                <w:rFonts w:ascii="Times New Roman" w:hAnsi="Times New Roman"/>
                <w:bCs/>
                <w:sz w:val="16"/>
                <w:szCs w:val="16"/>
              </w:rPr>
              <w:fldChar w:fldCharType="separate"/>
            </w:r>
            <w:r w:rsidRPr="0002472B">
              <w:rPr>
                <w:rFonts w:ascii="Times New Roman" w:hAnsi="Times New Roman"/>
                <w:bCs/>
                <w:noProof/>
                <w:sz w:val="16"/>
                <w:szCs w:val="16"/>
              </w:rPr>
              <w:t>(Holmes &amp; Rahe, 1967)</w:t>
            </w:r>
            <w:r w:rsidRPr="001802D2">
              <w:rPr>
                <w:rFonts w:ascii="Times New Roman" w:hAnsi="Times New Roman"/>
                <w:bCs/>
                <w:sz w:val="16"/>
                <w:szCs w:val="16"/>
              </w:rPr>
              <w:fldChar w:fldCharType="end"/>
            </w:r>
          </w:p>
        </w:tc>
        <w:tc>
          <w:tcPr>
            <w:tcW w:w="3711" w:type="dxa"/>
          </w:tcPr>
          <w:p w:rsidR="00D60232" w:rsidRPr="001802D2" w:rsidRDefault="00D60232" w:rsidP="004A756C">
            <w:pPr>
              <w:rPr>
                <w:rFonts w:ascii="Times New Roman" w:hAnsi="Times New Roman"/>
                <w:sz w:val="16"/>
                <w:szCs w:val="16"/>
              </w:rPr>
            </w:pPr>
            <w:r>
              <w:rPr>
                <w:rFonts w:ascii="Times New Roman" w:hAnsi="Times New Roman"/>
                <w:bCs/>
                <w:sz w:val="16"/>
                <w:szCs w:val="16"/>
              </w:rPr>
              <w:t>P</w:t>
            </w:r>
            <w:r w:rsidRPr="001802D2">
              <w:rPr>
                <w:rFonts w:ascii="Times New Roman" w:hAnsi="Times New Roman"/>
                <w:bCs/>
                <w:sz w:val="16"/>
                <w:szCs w:val="16"/>
              </w:rPr>
              <w:t xml:space="preserve">articipants are asked to </w:t>
            </w:r>
            <w:r>
              <w:rPr>
                <w:rFonts w:ascii="Times New Roman" w:hAnsi="Times New Roman"/>
                <w:bCs/>
                <w:sz w:val="16"/>
                <w:szCs w:val="16"/>
              </w:rPr>
              <w:t>respond</w:t>
            </w:r>
            <w:r w:rsidRPr="001802D2">
              <w:rPr>
                <w:rFonts w:ascii="Times New Roman" w:hAnsi="Times New Roman"/>
                <w:bCs/>
                <w:sz w:val="16"/>
                <w:szCs w:val="16"/>
              </w:rPr>
              <w:t xml:space="preserve"> yes/no to whether they have suffered any of </w:t>
            </w:r>
            <w:r>
              <w:rPr>
                <w:rFonts w:ascii="Times New Roman" w:hAnsi="Times New Roman"/>
                <w:bCs/>
                <w:sz w:val="16"/>
                <w:szCs w:val="16"/>
              </w:rPr>
              <w:t>eight</w:t>
            </w:r>
            <w:r w:rsidRPr="001802D2">
              <w:rPr>
                <w:rFonts w:ascii="Times New Roman" w:hAnsi="Times New Roman"/>
                <w:bCs/>
                <w:sz w:val="16"/>
                <w:szCs w:val="16"/>
              </w:rPr>
              <w:t xml:space="preserve"> events within the last six months e.g. a death/bereavement; being physically attacked/injured; or going through a divorce/separation. Each item is scored yes (1) or no (0) and the total score is the sum of all the items.  </w:t>
            </w:r>
          </w:p>
        </w:tc>
        <w:tc>
          <w:tcPr>
            <w:tcW w:w="2849" w:type="dxa"/>
          </w:tcPr>
          <w:p w:rsidR="00D60232" w:rsidRPr="001802D2" w:rsidRDefault="00D60232" w:rsidP="004A756C">
            <w:pPr>
              <w:rPr>
                <w:rFonts w:ascii="Times New Roman" w:hAnsi="Times New Roman"/>
                <w:sz w:val="16"/>
                <w:szCs w:val="16"/>
              </w:rPr>
            </w:pPr>
            <w:r w:rsidRPr="001802D2">
              <w:rPr>
                <w:rFonts w:ascii="Times New Roman" w:hAnsi="Times New Roman"/>
                <w:sz w:val="16"/>
                <w:szCs w:val="16"/>
              </w:rPr>
              <w:t>N/A</w:t>
            </w:r>
          </w:p>
        </w:tc>
      </w:tr>
      <w:tr w:rsidR="00D60232" w:rsidRPr="001802D2" w:rsidTr="004A756C">
        <w:trPr>
          <w:trHeight w:val="505"/>
        </w:trPr>
        <w:tc>
          <w:tcPr>
            <w:tcW w:w="2500" w:type="dxa"/>
            <w:tcBorders>
              <w:bottom w:val="nil"/>
            </w:tcBorders>
          </w:tcPr>
          <w:p w:rsidR="00D60232" w:rsidRPr="001802D2" w:rsidRDefault="00D60232" w:rsidP="004A756C">
            <w:pPr>
              <w:rPr>
                <w:rFonts w:ascii="Times New Roman" w:hAnsi="Times New Roman"/>
                <w:sz w:val="16"/>
                <w:szCs w:val="16"/>
              </w:rPr>
            </w:pPr>
            <w:r w:rsidRPr="001802D2">
              <w:rPr>
                <w:rFonts w:ascii="Times New Roman" w:hAnsi="Times New Roman"/>
                <w:sz w:val="16"/>
                <w:szCs w:val="16"/>
              </w:rPr>
              <w:t>Alcohol use: the alcohol use disorder identification test primary care version (AUDIT-PC</w:t>
            </w:r>
            <w:r>
              <w:rPr>
                <w:rFonts w:ascii="Times New Roman" w:hAnsi="Times New Roman"/>
                <w:sz w:val="16"/>
                <w:szCs w:val="16"/>
              </w:rPr>
              <w:t xml:space="preserve">) </w:t>
            </w:r>
            <w:r>
              <w:rPr>
                <w:rFonts w:ascii="Times New Roman" w:hAnsi="Times New Roman"/>
                <w:sz w:val="16"/>
                <w:szCs w:val="16"/>
              </w:rPr>
              <w:fldChar w:fldCharType="begin" w:fldLock="1"/>
            </w:r>
            <w:r>
              <w:rPr>
                <w:rFonts w:ascii="Times New Roman" w:hAnsi="Times New Roman"/>
                <w:sz w:val="16"/>
                <w:szCs w:val="16"/>
              </w:rPr>
              <w:instrText>ADDIN CSL_CITATION {"citationItems":[{"id":"ITEM-1","itemData":{"author":[{"dropping-particle":"","family":"Piccinelli","given":"M","non-dropping-particle":"","parse-names":false,"suffix":""},{"dropping-particle":"","family":"Tessari","given":"E","non-dropping-particle":"","parse-names":false,"suffix":""},{"dropping-particle":"","family":"Bortolomasi","given":"M","non-dropping-particle":"","parse-names":false,"suffix":""},{"dropping-particle":"","family":"Piasere","given":"O","non-dropping-particle":"","parse-names":false,"suffix":""},{"dropping-particle":"","family":"Semenzin","given":"M","non-dropping-particle":"","parse-names":false,"suffix":""},{"dropping-particle":"","family":"Garzotto","given":"N","non-dropping-particle":"","parse-names":false,"suffix":""},{"dropping-particle":"","family":"Tansella","given":"M","non-dropping-particle":"","parse-names":false,"suffix":""}],"container-title":"British Medical Journal","id":"ITEM-1","issued":{"date-parts":[["1997"]]},"page":"314-320","title":"Efficacy of the AUDIT as a screening tool for hazardous alcohol intake and related disorders in primary care: a validity study","type":"article-journal","volume":"314"},"uris":["http://www.mendeley.com/documents/?uuid=1dadf74a-b124-4ff5-aa2b-6c04b5838fba"]}],"mendeley":{"formattedCitation":"(Piccinelli et al., 1997)","plainTextFormattedCitation":"(Piccinelli et al., 1997)","previouslyFormattedCitation":"(Piccinelli et al., 1997)"},"properties":{"noteIndex":0},"schema":"https://github.com/citation-style-language/schema/raw/master/csl-citation.json"}</w:instrText>
            </w:r>
            <w:r>
              <w:rPr>
                <w:rFonts w:ascii="Times New Roman" w:hAnsi="Times New Roman"/>
                <w:sz w:val="16"/>
                <w:szCs w:val="16"/>
              </w:rPr>
              <w:fldChar w:fldCharType="separate"/>
            </w:r>
            <w:r w:rsidRPr="0002472B">
              <w:rPr>
                <w:rFonts w:ascii="Times New Roman" w:hAnsi="Times New Roman"/>
                <w:noProof/>
                <w:sz w:val="16"/>
                <w:szCs w:val="16"/>
              </w:rPr>
              <w:t>(Piccinelli et al., 1997)</w:t>
            </w:r>
            <w:r>
              <w:rPr>
                <w:rFonts w:ascii="Times New Roman" w:hAnsi="Times New Roman"/>
                <w:sz w:val="16"/>
                <w:szCs w:val="16"/>
              </w:rPr>
              <w:fldChar w:fldCharType="end"/>
            </w:r>
            <w:r>
              <w:rPr>
                <w:rFonts w:ascii="Times New Roman" w:hAnsi="Times New Roman"/>
                <w:sz w:val="16"/>
                <w:szCs w:val="16"/>
              </w:rPr>
              <w:t>.</w:t>
            </w:r>
          </w:p>
        </w:tc>
        <w:tc>
          <w:tcPr>
            <w:tcW w:w="3711" w:type="dxa"/>
            <w:tcBorders>
              <w:bottom w:val="nil"/>
            </w:tcBorders>
          </w:tcPr>
          <w:p w:rsidR="00D60232" w:rsidRPr="001802D2" w:rsidRDefault="00D60232" w:rsidP="004A756C">
            <w:pPr>
              <w:rPr>
                <w:rFonts w:ascii="Times New Roman" w:hAnsi="Times New Roman"/>
                <w:sz w:val="16"/>
                <w:szCs w:val="16"/>
              </w:rPr>
            </w:pPr>
            <w:r>
              <w:rPr>
                <w:rFonts w:ascii="Times New Roman" w:hAnsi="Times New Roman"/>
                <w:sz w:val="16"/>
                <w:szCs w:val="16"/>
              </w:rPr>
              <w:t>U</w:t>
            </w:r>
            <w:r w:rsidRPr="001802D2">
              <w:rPr>
                <w:rFonts w:ascii="Times New Roman" w:hAnsi="Times New Roman"/>
                <w:sz w:val="16"/>
                <w:szCs w:val="16"/>
              </w:rPr>
              <w:t xml:space="preserve">sed to assess alcohol misuse, this includes five items </w:t>
            </w:r>
            <w:r w:rsidRPr="001802D2">
              <w:rPr>
                <w:rFonts w:ascii="Times New Roman" w:hAnsi="Times New Roman"/>
                <w:bCs/>
                <w:sz w:val="16"/>
                <w:szCs w:val="16"/>
              </w:rPr>
              <w:t>scored 0-4. A cut-off of ≥5 indicates hazardous alcohol use that may be harmful to one’s health</w:t>
            </w:r>
          </w:p>
        </w:tc>
        <w:tc>
          <w:tcPr>
            <w:tcW w:w="2849" w:type="dxa"/>
            <w:tcBorders>
              <w:bottom w:val="nil"/>
            </w:tcBorders>
          </w:tcPr>
          <w:p w:rsidR="00D60232" w:rsidRPr="001802D2" w:rsidRDefault="00D60232" w:rsidP="004A756C">
            <w:pPr>
              <w:rPr>
                <w:rFonts w:ascii="Times New Roman" w:hAnsi="Times New Roman"/>
                <w:sz w:val="16"/>
                <w:szCs w:val="16"/>
              </w:rPr>
            </w:pPr>
            <w:r w:rsidRPr="001802D2">
              <w:rPr>
                <w:rFonts w:ascii="Times New Roman" w:hAnsi="Times New Roman"/>
                <w:sz w:val="16"/>
                <w:szCs w:val="16"/>
              </w:rPr>
              <w:t>N/A</w:t>
            </w:r>
          </w:p>
        </w:tc>
      </w:tr>
      <w:tr w:rsidR="00D60232" w:rsidRPr="001802D2" w:rsidTr="004A756C">
        <w:trPr>
          <w:trHeight w:val="183"/>
        </w:trPr>
        <w:tc>
          <w:tcPr>
            <w:tcW w:w="9062" w:type="dxa"/>
            <w:gridSpan w:val="3"/>
            <w:tcBorders>
              <w:top w:val="single" w:sz="12" w:space="0" w:color="auto"/>
              <w:bottom w:val="nil"/>
            </w:tcBorders>
          </w:tcPr>
          <w:p w:rsidR="00D60232" w:rsidRPr="001802D2" w:rsidRDefault="00D60232" w:rsidP="004A756C">
            <w:pPr>
              <w:rPr>
                <w:rFonts w:ascii="Times New Roman" w:hAnsi="Times New Roman"/>
                <w:sz w:val="16"/>
                <w:szCs w:val="16"/>
              </w:rPr>
            </w:pPr>
            <w:r>
              <w:rPr>
                <w:rFonts w:ascii="Times New Roman" w:hAnsi="Times New Roman"/>
                <w:sz w:val="16"/>
                <w:szCs w:val="16"/>
              </w:rPr>
              <w:t>All measures apart from the PHQ-9 were used in all six studies, PHQ-9 was used in three studies (COBALT, MIR, &amp; PANDA), here it was only used for imputation and in the formation of the PROMIS T-Score in sensitivity analyses.</w:t>
            </w:r>
          </w:p>
        </w:tc>
      </w:tr>
    </w:tbl>
    <w:p w:rsidR="00D60232" w:rsidRDefault="00D60232" w:rsidP="00D60232">
      <w:pPr>
        <w:ind w:left="360"/>
        <w:rPr>
          <w:rFonts w:cstheme="minorHAnsi"/>
        </w:rPr>
      </w:pPr>
    </w:p>
    <w:p w:rsidR="00D60232" w:rsidRDefault="00D60232" w:rsidP="00D60232">
      <w:pPr>
        <w:spacing w:after="160" w:line="259" w:lineRule="auto"/>
        <w:rPr>
          <w:b/>
        </w:rPr>
        <w:sectPr w:rsidR="00D60232">
          <w:pgSz w:w="11906" w:h="16838"/>
          <w:pgMar w:top="1440" w:right="1440" w:bottom="1440" w:left="1440" w:header="708" w:footer="708" w:gutter="0"/>
          <w:cols w:space="708"/>
          <w:docGrid w:linePitch="360"/>
        </w:sectPr>
      </w:pPr>
      <w:r>
        <w:rPr>
          <w:rFonts w:cstheme="minorHAnsi"/>
        </w:rPr>
        <w:br w:type="page"/>
      </w:r>
    </w:p>
    <w:p w:rsidR="00D60232" w:rsidRPr="00151FD4" w:rsidRDefault="00D60232" w:rsidP="00D60232">
      <w:pPr>
        <w:spacing w:after="160" w:line="259" w:lineRule="auto"/>
      </w:pPr>
      <w:r>
        <w:rPr>
          <w:b/>
        </w:rPr>
        <w:lastRenderedPageBreak/>
        <w:t>Supplementary Table 3</w:t>
      </w:r>
      <w:r w:rsidRPr="00151FD4">
        <w:rPr>
          <w:b/>
        </w:rPr>
        <w:t xml:space="preserve">. </w:t>
      </w:r>
      <w:r>
        <w:t>Performance of the models predicting remission at 3-4 months post-baseline in the test datasets individually and combined.</w:t>
      </w:r>
    </w:p>
    <w:tbl>
      <w:tblPr>
        <w:tblW w:w="12268" w:type="dxa"/>
        <w:tblLook w:val="04A0" w:firstRow="1" w:lastRow="0" w:firstColumn="1" w:lastColumn="0" w:noHBand="0" w:noVBand="1"/>
      </w:tblPr>
      <w:tblGrid>
        <w:gridCol w:w="1732"/>
        <w:gridCol w:w="1732"/>
        <w:gridCol w:w="656"/>
        <w:gridCol w:w="731"/>
        <w:gridCol w:w="865"/>
        <w:gridCol w:w="936"/>
        <w:gridCol w:w="936"/>
        <w:gridCol w:w="936"/>
        <w:gridCol w:w="936"/>
        <w:gridCol w:w="936"/>
        <w:gridCol w:w="936"/>
        <w:gridCol w:w="936"/>
      </w:tblGrid>
      <w:tr w:rsidR="00D60232" w:rsidRPr="000C7B4F" w:rsidTr="004A756C">
        <w:trPr>
          <w:trHeight w:val="288"/>
        </w:trPr>
        <w:tc>
          <w:tcPr>
            <w:tcW w:w="1732" w:type="dxa"/>
            <w:tcBorders>
              <w:top w:val="single" w:sz="12" w:space="0" w:color="auto"/>
              <w:left w:val="nil"/>
              <w:bottom w:val="nil"/>
              <w:right w:val="nil"/>
            </w:tcBorders>
          </w:tcPr>
          <w:p w:rsidR="00D60232" w:rsidRPr="000C7B4F" w:rsidRDefault="00D60232" w:rsidP="004A756C">
            <w:pPr>
              <w:rPr>
                <w:rFonts w:ascii="Times New Roman" w:hAnsi="Times New Roman"/>
                <w:sz w:val="16"/>
                <w:szCs w:val="16"/>
                <w:lang w:val="en-GB" w:eastAsia="en-GB"/>
              </w:rPr>
            </w:pPr>
          </w:p>
        </w:tc>
        <w:tc>
          <w:tcPr>
            <w:tcW w:w="1732" w:type="dxa"/>
            <w:tcBorders>
              <w:top w:val="single" w:sz="12" w:space="0" w:color="auto"/>
              <w:left w:val="nil"/>
              <w:bottom w:val="nil"/>
              <w:right w:val="nil"/>
            </w:tcBorders>
            <w:shd w:val="clear" w:color="auto" w:fill="auto"/>
            <w:noWrap/>
            <w:vAlign w:val="bottom"/>
            <w:hideMark/>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 </w:t>
            </w:r>
          </w:p>
        </w:tc>
        <w:tc>
          <w:tcPr>
            <w:tcW w:w="1387" w:type="dxa"/>
            <w:gridSpan w:val="2"/>
            <w:tcBorders>
              <w:top w:val="single" w:sz="12" w:space="0" w:color="auto"/>
              <w:left w:val="single" w:sz="4" w:space="0" w:color="auto"/>
              <w:bottom w:val="nil"/>
              <w:right w:val="single" w:sz="4" w:space="0" w:color="auto"/>
            </w:tcBorders>
            <w:vAlign w:val="bottom"/>
          </w:tcPr>
          <w:p w:rsidR="00D60232" w:rsidRPr="000C7B4F" w:rsidRDefault="00D60232" w:rsidP="004A756C">
            <w:pPr>
              <w:jc w:val="center"/>
              <w:rPr>
                <w:rFonts w:ascii="Times New Roman" w:hAnsi="Times New Roman"/>
                <w:sz w:val="16"/>
                <w:szCs w:val="16"/>
                <w:lang w:val="en-GB" w:eastAsia="en-GB"/>
              </w:rPr>
            </w:pPr>
            <w:r w:rsidRPr="000C7B4F">
              <w:rPr>
                <w:rFonts w:ascii="Times New Roman" w:hAnsi="Times New Roman"/>
                <w:b/>
                <w:color w:val="000000"/>
                <w:sz w:val="16"/>
                <w:szCs w:val="16"/>
                <w:lang w:val="en-GB" w:eastAsia="en-GB"/>
              </w:rPr>
              <w:t>All studies combined (n=918)</w:t>
            </w:r>
          </w:p>
        </w:tc>
        <w:tc>
          <w:tcPr>
            <w:tcW w:w="1801" w:type="dxa"/>
            <w:gridSpan w:val="2"/>
            <w:tcBorders>
              <w:top w:val="single" w:sz="12" w:space="0" w:color="auto"/>
              <w:left w:val="single" w:sz="4" w:space="0" w:color="auto"/>
              <w:bottom w:val="nil"/>
              <w:right w:val="nil"/>
            </w:tcBorders>
            <w:shd w:val="clear" w:color="auto" w:fill="auto"/>
            <w:noWrap/>
            <w:vAlign w:val="bottom"/>
            <w:hideMark/>
          </w:tcPr>
          <w:p w:rsidR="00D60232" w:rsidRPr="000C7B4F" w:rsidRDefault="00D60232" w:rsidP="004A756C">
            <w:pPr>
              <w:jc w:val="center"/>
              <w:rPr>
                <w:rFonts w:ascii="Times New Roman" w:hAnsi="Times New Roman"/>
                <w:sz w:val="16"/>
                <w:szCs w:val="16"/>
                <w:lang w:val="en-GB" w:eastAsia="en-GB"/>
              </w:rPr>
            </w:pPr>
            <w:r w:rsidRPr="000C7B4F">
              <w:rPr>
                <w:rFonts w:ascii="Times New Roman" w:hAnsi="Times New Roman"/>
                <w:b/>
                <w:color w:val="000000"/>
                <w:sz w:val="16"/>
                <w:szCs w:val="16"/>
                <w:lang w:val="en-GB" w:eastAsia="en-GB"/>
              </w:rPr>
              <w:t>IPCRESS (n=206)</w:t>
            </w:r>
          </w:p>
        </w:tc>
        <w:tc>
          <w:tcPr>
            <w:tcW w:w="1872" w:type="dxa"/>
            <w:gridSpan w:val="2"/>
            <w:tcBorders>
              <w:top w:val="single" w:sz="12" w:space="0" w:color="auto"/>
              <w:left w:val="single" w:sz="4" w:space="0" w:color="auto"/>
              <w:bottom w:val="nil"/>
              <w:right w:val="nil"/>
            </w:tcBorders>
            <w:shd w:val="clear" w:color="auto" w:fill="auto"/>
            <w:noWrap/>
            <w:vAlign w:val="bottom"/>
            <w:hideMark/>
          </w:tcPr>
          <w:p w:rsidR="00D60232" w:rsidRPr="000C7B4F" w:rsidRDefault="00D60232" w:rsidP="004A756C">
            <w:pPr>
              <w:jc w:val="center"/>
              <w:rPr>
                <w:rFonts w:ascii="Times New Roman" w:hAnsi="Times New Roman"/>
                <w:sz w:val="16"/>
                <w:szCs w:val="16"/>
                <w:lang w:val="en-GB" w:eastAsia="en-GB"/>
              </w:rPr>
            </w:pPr>
            <w:r w:rsidRPr="000C7B4F">
              <w:rPr>
                <w:rFonts w:ascii="Times New Roman" w:hAnsi="Times New Roman"/>
                <w:b/>
                <w:color w:val="000000"/>
                <w:sz w:val="16"/>
                <w:szCs w:val="16"/>
                <w:lang w:val="en-GB" w:eastAsia="en-GB"/>
              </w:rPr>
              <w:t>MIR (n=424)</w:t>
            </w:r>
          </w:p>
        </w:tc>
        <w:tc>
          <w:tcPr>
            <w:tcW w:w="1872" w:type="dxa"/>
            <w:gridSpan w:val="2"/>
            <w:tcBorders>
              <w:top w:val="single" w:sz="12" w:space="0" w:color="auto"/>
              <w:left w:val="single" w:sz="4" w:space="0" w:color="auto"/>
              <w:bottom w:val="nil"/>
              <w:right w:val="nil"/>
            </w:tcBorders>
            <w:shd w:val="clear" w:color="auto" w:fill="auto"/>
            <w:noWrap/>
            <w:vAlign w:val="bottom"/>
            <w:hideMark/>
          </w:tcPr>
          <w:p w:rsidR="00D60232" w:rsidRPr="000C7B4F" w:rsidRDefault="00D60232" w:rsidP="004A756C">
            <w:pPr>
              <w:jc w:val="center"/>
              <w:rPr>
                <w:rFonts w:ascii="Times New Roman" w:hAnsi="Times New Roman"/>
                <w:sz w:val="16"/>
                <w:szCs w:val="16"/>
                <w:lang w:val="en-GB" w:eastAsia="en-GB"/>
              </w:rPr>
            </w:pPr>
            <w:r w:rsidRPr="000C7B4F">
              <w:rPr>
                <w:rFonts w:ascii="Times New Roman" w:hAnsi="Times New Roman"/>
                <w:b/>
                <w:color w:val="000000"/>
                <w:sz w:val="16"/>
                <w:szCs w:val="16"/>
                <w:lang w:val="en-GB" w:eastAsia="en-GB"/>
              </w:rPr>
              <w:t>TREAD (n=288)</w:t>
            </w:r>
          </w:p>
        </w:tc>
        <w:tc>
          <w:tcPr>
            <w:tcW w:w="1872" w:type="dxa"/>
            <w:gridSpan w:val="2"/>
            <w:tcBorders>
              <w:top w:val="single" w:sz="12" w:space="0" w:color="auto"/>
              <w:left w:val="single" w:sz="4" w:space="0" w:color="auto"/>
              <w:bottom w:val="nil"/>
              <w:right w:val="nil"/>
            </w:tcBorders>
            <w:shd w:val="clear" w:color="auto" w:fill="auto"/>
            <w:noWrap/>
            <w:vAlign w:val="bottom"/>
            <w:hideMark/>
          </w:tcPr>
          <w:p w:rsidR="00D60232" w:rsidRPr="000C7B4F" w:rsidRDefault="00D60232" w:rsidP="004A756C">
            <w:pPr>
              <w:jc w:val="center"/>
              <w:rPr>
                <w:rFonts w:ascii="Times New Roman" w:hAnsi="Times New Roman"/>
                <w:sz w:val="16"/>
                <w:szCs w:val="16"/>
                <w:lang w:val="en-GB" w:eastAsia="en-GB"/>
              </w:rPr>
            </w:pPr>
            <w:r w:rsidRPr="000C7B4F">
              <w:rPr>
                <w:rFonts w:ascii="Times New Roman" w:hAnsi="Times New Roman"/>
                <w:color w:val="000000"/>
                <w:sz w:val="16"/>
                <w:szCs w:val="16"/>
                <w:lang w:val="en-GB" w:eastAsia="en-GB"/>
              </w:rPr>
              <w:t>Internal Cross-validation</w:t>
            </w:r>
          </w:p>
        </w:tc>
      </w:tr>
      <w:tr w:rsidR="00D60232" w:rsidRPr="000C7B4F" w:rsidTr="004A756C">
        <w:trPr>
          <w:trHeight w:val="20"/>
        </w:trPr>
        <w:tc>
          <w:tcPr>
            <w:tcW w:w="1732" w:type="dxa"/>
            <w:tcBorders>
              <w:top w:val="nil"/>
              <w:left w:val="nil"/>
              <w:bottom w:val="single" w:sz="12" w:space="0" w:color="auto"/>
              <w:right w:val="nil"/>
            </w:tcBorders>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color w:val="000000"/>
                <w:sz w:val="16"/>
                <w:szCs w:val="16"/>
                <w:lang w:val="en-GB" w:eastAsia="en-GB"/>
              </w:rPr>
              <w:t>Type of approach</w:t>
            </w:r>
          </w:p>
        </w:tc>
        <w:tc>
          <w:tcPr>
            <w:tcW w:w="1732" w:type="dxa"/>
            <w:tcBorders>
              <w:top w:val="nil"/>
              <w:left w:val="nil"/>
              <w:bottom w:val="single" w:sz="12" w:space="0" w:color="auto"/>
              <w:right w:val="nil"/>
            </w:tcBorders>
            <w:shd w:val="clear" w:color="auto" w:fill="auto"/>
            <w:noWrap/>
            <w:vAlign w:val="bottom"/>
            <w:hideMark/>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Model</w:t>
            </w:r>
          </w:p>
        </w:tc>
        <w:tc>
          <w:tcPr>
            <w:tcW w:w="656" w:type="dxa"/>
            <w:tcBorders>
              <w:top w:val="nil"/>
              <w:left w:val="single" w:sz="4" w:space="0" w:color="auto"/>
              <w:bottom w:val="single" w:sz="12" w:space="0" w:color="auto"/>
            </w:tcBorders>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AUC</w:t>
            </w:r>
          </w:p>
        </w:tc>
        <w:tc>
          <w:tcPr>
            <w:tcW w:w="731" w:type="dxa"/>
            <w:tcBorders>
              <w:top w:val="nil"/>
              <w:left w:val="nil"/>
              <w:bottom w:val="single" w:sz="12" w:space="0" w:color="auto"/>
              <w:right w:val="single" w:sz="4" w:space="0" w:color="auto"/>
            </w:tcBorders>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Brier</w:t>
            </w:r>
          </w:p>
        </w:tc>
        <w:tc>
          <w:tcPr>
            <w:tcW w:w="865" w:type="dxa"/>
            <w:tcBorders>
              <w:top w:val="nil"/>
              <w:left w:val="single" w:sz="4" w:space="0" w:color="auto"/>
              <w:bottom w:val="single" w:sz="12" w:space="0" w:color="auto"/>
              <w:right w:val="nil"/>
            </w:tcBorders>
            <w:shd w:val="clear" w:color="auto" w:fill="auto"/>
            <w:noWrap/>
            <w:vAlign w:val="bottom"/>
            <w:hideMark/>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AUC</w:t>
            </w:r>
          </w:p>
        </w:tc>
        <w:tc>
          <w:tcPr>
            <w:tcW w:w="936" w:type="dxa"/>
            <w:tcBorders>
              <w:top w:val="nil"/>
              <w:left w:val="nil"/>
              <w:bottom w:val="single" w:sz="12" w:space="0" w:color="auto"/>
              <w:right w:val="nil"/>
            </w:tcBorders>
            <w:shd w:val="clear" w:color="auto" w:fill="auto"/>
            <w:noWrap/>
            <w:vAlign w:val="bottom"/>
            <w:hideMark/>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Brier</w:t>
            </w:r>
          </w:p>
        </w:tc>
        <w:tc>
          <w:tcPr>
            <w:tcW w:w="936" w:type="dxa"/>
            <w:tcBorders>
              <w:top w:val="nil"/>
              <w:left w:val="single" w:sz="4" w:space="0" w:color="auto"/>
              <w:bottom w:val="single" w:sz="12" w:space="0" w:color="auto"/>
              <w:right w:val="nil"/>
            </w:tcBorders>
            <w:shd w:val="clear" w:color="auto" w:fill="auto"/>
            <w:noWrap/>
            <w:vAlign w:val="bottom"/>
            <w:hideMark/>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AUC</w:t>
            </w:r>
          </w:p>
        </w:tc>
        <w:tc>
          <w:tcPr>
            <w:tcW w:w="936" w:type="dxa"/>
            <w:tcBorders>
              <w:top w:val="nil"/>
              <w:left w:val="nil"/>
              <w:bottom w:val="single" w:sz="12" w:space="0" w:color="auto"/>
              <w:right w:val="nil"/>
            </w:tcBorders>
            <w:shd w:val="clear" w:color="auto" w:fill="auto"/>
            <w:noWrap/>
            <w:vAlign w:val="bottom"/>
            <w:hideMark/>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Brier</w:t>
            </w:r>
          </w:p>
        </w:tc>
        <w:tc>
          <w:tcPr>
            <w:tcW w:w="936" w:type="dxa"/>
            <w:tcBorders>
              <w:top w:val="nil"/>
              <w:left w:val="single" w:sz="4" w:space="0" w:color="auto"/>
              <w:bottom w:val="single" w:sz="12" w:space="0" w:color="auto"/>
              <w:right w:val="nil"/>
            </w:tcBorders>
            <w:shd w:val="clear" w:color="auto" w:fill="auto"/>
            <w:noWrap/>
            <w:vAlign w:val="bottom"/>
            <w:hideMark/>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AUC</w:t>
            </w:r>
          </w:p>
        </w:tc>
        <w:tc>
          <w:tcPr>
            <w:tcW w:w="936" w:type="dxa"/>
            <w:tcBorders>
              <w:top w:val="nil"/>
              <w:left w:val="nil"/>
              <w:bottom w:val="single" w:sz="12" w:space="0" w:color="auto"/>
              <w:right w:val="nil"/>
            </w:tcBorders>
            <w:shd w:val="clear" w:color="auto" w:fill="auto"/>
            <w:noWrap/>
            <w:vAlign w:val="bottom"/>
            <w:hideMark/>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Brier</w:t>
            </w:r>
          </w:p>
        </w:tc>
        <w:tc>
          <w:tcPr>
            <w:tcW w:w="936" w:type="dxa"/>
            <w:tcBorders>
              <w:top w:val="nil"/>
              <w:left w:val="single" w:sz="4" w:space="0" w:color="auto"/>
              <w:bottom w:val="single" w:sz="12" w:space="0" w:color="auto"/>
              <w:right w:val="nil"/>
            </w:tcBorders>
            <w:shd w:val="clear" w:color="auto" w:fill="auto"/>
            <w:noWrap/>
            <w:vAlign w:val="bottom"/>
            <w:hideMark/>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AUC</w:t>
            </w:r>
          </w:p>
        </w:tc>
        <w:tc>
          <w:tcPr>
            <w:tcW w:w="936" w:type="dxa"/>
            <w:tcBorders>
              <w:top w:val="nil"/>
              <w:left w:val="nil"/>
              <w:bottom w:val="single" w:sz="12" w:space="0" w:color="auto"/>
              <w:right w:val="nil"/>
            </w:tcBorders>
            <w:shd w:val="clear" w:color="auto" w:fill="auto"/>
            <w:noWrap/>
            <w:vAlign w:val="bottom"/>
            <w:hideMark/>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Brier</w:t>
            </w:r>
          </w:p>
        </w:tc>
      </w:tr>
      <w:tr w:rsidR="00D60232" w:rsidRPr="000C7B4F" w:rsidTr="004A756C">
        <w:trPr>
          <w:trHeight w:val="20"/>
        </w:trPr>
        <w:tc>
          <w:tcPr>
            <w:tcW w:w="1732" w:type="dxa"/>
            <w:vMerge w:val="restart"/>
            <w:tcBorders>
              <w:top w:val="single" w:sz="12" w:space="0" w:color="auto"/>
              <w:left w:val="nil"/>
              <w:bottom w:val="single" w:sz="8" w:space="0" w:color="auto"/>
              <w:right w:val="nil"/>
            </w:tcBorders>
            <w:vAlign w:val="center"/>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Weighted Sum-scores</w:t>
            </w:r>
          </w:p>
        </w:tc>
        <w:tc>
          <w:tcPr>
            <w:tcW w:w="1732" w:type="dxa"/>
            <w:tcBorders>
              <w:top w:val="single" w:sz="12" w:space="0" w:color="auto"/>
              <w:left w:val="nil"/>
              <w:bottom w:val="nil"/>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1. EI 1-step</w:t>
            </w:r>
          </w:p>
        </w:tc>
        <w:tc>
          <w:tcPr>
            <w:tcW w:w="656" w:type="dxa"/>
            <w:tcBorders>
              <w:top w:val="single" w:sz="12" w:space="0" w:color="auto"/>
              <w:left w:val="single" w:sz="4" w:space="0" w:color="auto"/>
              <w:bottom w:val="nil"/>
            </w:tcBorders>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0.628</w:t>
            </w:r>
          </w:p>
        </w:tc>
        <w:tc>
          <w:tcPr>
            <w:tcW w:w="731" w:type="dxa"/>
            <w:tcBorders>
              <w:top w:val="single" w:sz="12" w:space="0" w:color="auto"/>
              <w:left w:val="nil"/>
              <w:bottom w:val="nil"/>
              <w:right w:val="single" w:sz="4" w:space="0" w:color="auto"/>
            </w:tcBorders>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0.227</w:t>
            </w:r>
          </w:p>
        </w:tc>
        <w:tc>
          <w:tcPr>
            <w:tcW w:w="865" w:type="dxa"/>
            <w:tcBorders>
              <w:top w:val="single" w:sz="12" w:space="0" w:color="auto"/>
              <w:left w:val="single" w:sz="4" w:space="0" w:color="auto"/>
              <w:bottom w:val="nil"/>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0.670</w:t>
            </w:r>
          </w:p>
        </w:tc>
        <w:tc>
          <w:tcPr>
            <w:tcW w:w="936" w:type="dxa"/>
            <w:tcBorders>
              <w:top w:val="single" w:sz="12" w:space="0" w:color="auto"/>
              <w:left w:val="nil"/>
              <w:bottom w:val="nil"/>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0.211</w:t>
            </w:r>
          </w:p>
        </w:tc>
        <w:tc>
          <w:tcPr>
            <w:tcW w:w="936" w:type="dxa"/>
            <w:tcBorders>
              <w:top w:val="single" w:sz="12" w:space="0" w:color="auto"/>
              <w:left w:val="single" w:sz="4" w:space="0" w:color="auto"/>
              <w:bottom w:val="nil"/>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0.645</w:t>
            </w:r>
          </w:p>
        </w:tc>
        <w:tc>
          <w:tcPr>
            <w:tcW w:w="936" w:type="dxa"/>
            <w:tcBorders>
              <w:top w:val="single" w:sz="12" w:space="0" w:color="auto"/>
              <w:left w:val="nil"/>
              <w:bottom w:val="nil"/>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0.228</w:t>
            </w:r>
          </w:p>
        </w:tc>
        <w:tc>
          <w:tcPr>
            <w:tcW w:w="936" w:type="dxa"/>
            <w:tcBorders>
              <w:top w:val="single" w:sz="12" w:space="0" w:color="auto"/>
              <w:left w:val="single" w:sz="4" w:space="0" w:color="auto"/>
              <w:bottom w:val="nil"/>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0.591</w:t>
            </w:r>
          </w:p>
        </w:tc>
        <w:tc>
          <w:tcPr>
            <w:tcW w:w="936" w:type="dxa"/>
            <w:tcBorders>
              <w:top w:val="single" w:sz="12" w:space="0" w:color="auto"/>
              <w:left w:val="nil"/>
              <w:bottom w:val="nil"/>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0.237</w:t>
            </w:r>
          </w:p>
        </w:tc>
        <w:tc>
          <w:tcPr>
            <w:tcW w:w="936" w:type="dxa"/>
            <w:tcBorders>
              <w:top w:val="single" w:sz="12" w:space="0" w:color="auto"/>
              <w:left w:val="single" w:sz="4" w:space="0" w:color="auto"/>
              <w:bottom w:val="nil"/>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0.731</w:t>
            </w:r>
          </w:p>
        </w:tc>
        <w:tc>
          <w:tcPr>
            <w:tcW w:w="936" w:type="dxa"/>
            <w:tcBorders>
              <w:top w:val="single" w:sz="12" w:space="0" w:color="auto"/>
              <w:left w:val="nil"/>
              <w:bottom w:val="nil"/>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0.208</w:t>
            </w:r>
          </w:p>
        </w:tc>
      </w:tr>
      <w:tr w:rsidR="00D60232" w:rsidRPr="000C7B4F" w:rsidTr="004A756C">
        <w:trPr>
          <w:trHeight w:val="20"/>
        </w:trPr>
        <w:tc>
          <w:tcPr>
            <w:tcW w:w="1732" w:type="dxa"/>
            <w:vMerge/>
            <w:tcBorders>
              <w:top w:val="single" w:sz="8" w:space="0" w:color="auto"/>
              <w:left w:val="nil"/>
              <w:bottom w:val="single" w:sz="8" w:space="0" w:color="auto"/>
              <w:right w:val="nil"/>
            </w:tcBorders>
            <w:vAlign w:val="center"/>
          </w:tcPr>
          <w:p w:rsidR="00D60232" w:rsidRPr="000C7B4F" w:rsidRDefault="00D60232" w:rsidP="004A756C">
            <w:pPr>
              <w:rPr>
                <w:rFonts w:ascii="Times New Roman" w:hAnsi="Times New Roman"/>
                <w:sz w:val="16"/>
                <w:szCs w:val="16"/>
                <w:lang w:val="en-GB" w:eastAsia="en-GB"/>
              </w:rPr>
            </w:pPr>
          </w:p>
        </w:tc>
        <w:tc>
          <w:tcPr>
            <w:tcW w:w="1732" w:type="dxa"/>
            <w:tcBorders>
              <w:top w:val="nil"/>
              <w:left w:val="nil"/>
              <w:bottom w:val="nil"/>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2. EI 2-Step</w:t>
            </w:r>
          </w:p>
        </w:tc>
        <w:tc>
          <w:tcPr>
            <w:tcW w:w="656" w:type="dxa"/>
            <w:tcBorders>
              <w:top w:val="nil"/>
              <w:left w:val="single" w:sz="4" w:space="0" w:color="auto"/>
              <w:bottom w:val="nil"/>
            </w:tcBorders>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0.628</w:t>
            </w:r>
          </w:p>
        </w:tc>
        <w:tc>
          <w:tcPr>
            <w:tcW w:w="731" w:type="dxa"/>
            <w:tcBorders>
              <w:top w:val="nil"/>
              <w:left w:val="nil"/>
              <w:bottom w:val="nil"/>
              <w:right w:val="single" w:sz="4" w:space="0" w:color="auto"/>
            </w:tcBorders>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0.227</w:t>
            </w:r>
          </w:p>
        </w:tc>
        <w:tc>
          <w:tcPr>
            <w:tcW w:w="865" w:type="dxa"/>
            <w:tcBorders>
              <w:top w:val="nil"/>
              <w:left w:val="single" w:sz="4" w:space="0" w:color="auto"/>
              <w:bottom w:val="nil"/>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0.669</w:t>
            </w:r>
          </w:p>
        </w:tc>
        <w:tc>
          <w:tcPr>
            <w:tcW w:w="936" w:type="dxa"/>
            <w:tcBorders>
              <w:top w:val="nil"/>
              <w:left w:val="nil"/>
              <w:bottom w:val="nil"/>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0.211</w:t>
            </w:r>
          </w:p>
        </w:tc>
        <w:tc>
          <w:tcPr>
            <w:tcW w:w="936" w:type="dxa"/>
            <w:tcBorders>
              <w:top w:val="nil"/>
              <w:left w:val="single" w:sz="4" w:space="0" w:color="auto"/>
              <w:bottom w:val="nil"/>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0.645</w:t>
            </w:r>
          </w:p>
        </w:tc>
        <w:tc>
          <w:tcPr>
            <w:tcW w:w="936" w:type="dxa"/>
            <w:tcBorders>
              <w:top w:val="nil"/>
              <w:left w:val="nil"/>
              <w:bottom w:val="nil"/>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0.228</w:t>
            </w:r>
          </w:p>
        </w:tc>
        <w:tc>
          <w:tcPr>
            <w:tcW w:w="936" w:type="dxa"/>
            <w:tcBorders>
              <w:top w:val="nil"/>
              <w:left w:val="single" w:sz="4" w:space="0" w:color="auto"/>
              <w:bottom w:val="nil"/>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0.591</w:t>
            </w:r>
          </w:p>
        </w:tc>
        <w:tc>
          <w:tcPr>
            <w:tcW w:w="936" w:type="dxa"/>
            <w:tcBorders>
              <w:top w:val="nil"/>
              <w:left w:val="nil"/>
              <w:bottom w:val="nil"/>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0.237</w:t>
            </w:r>
          </w:p>
        </w:tc>
        <w:tc>
          <w:tcPr>
            <w:tcW w:w="936" w:type="dxa"/>
            <w:tcBorders>
              <w:top w:val="nil"/>
              <w:left w:val="single" w:sz="4" w:space="0" w:color="auto"/>
              <w:bottom w:val="nil"/>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0.731</w:t>
            </w:r>
          </w:p>
        </w:tc>
        <w:tc>
          <w:tcPr>
            <w:tcW w:w="936" w:type="dxa"/>
            <w:tcBorders>
              <w:top w:val="nil"/>
              <w:left w:val="nil"/>
              <w:bottom w:val="nil"/>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0.208</w:t>
            </w:r>
          </w:p>
        </w:tc>
      </w:tr>
      <w:tr w:rsidR="00D60232" w:rsidRPr="000C7B4F" w:rsidTr="004A756C">
        <w:trPr>
          <w:trHeight w:val="20"/>
        </w:trPr>
        <w:tc>
          <w:tcPr>
            <w:tcW w:w="1732" w:type="dxa"/>
            <w:vMerge/>
            <w:tcBorders>
              <w:top w:val="single" w:sz="8" w:space="0" w:color="auto"/>
              <w:left w:val="nil"/>
              <w:bottom w:val="single" w:sz="8" w:space="0" w:color="auto"/>
              <w:right w:val="nil"/>
            </w:tcBorders>
            <w:vAlign w:val="center"/>
          </w:tcPr>
          <w:p w:rsidR="00D60232" w:rsidRPr="000C7B4F" w:rsidRDefault="00D60232" w:rsidP="004A756C">
            <w:pPr>
              <w:rPr>
                <w:rFonts w:ascii="Times New Roman" w:hAnsi="Times New Roman"/>
                <w:sz w:val="16"/>
                <w:szCs w:val="16"/>
                <w:lang w:val="en-GB" w:eastAsia="en-GB"/>
              </w:rPr>
            </w:pPr>
          </w:p>
        </w:tc>
        <w:tc>
          <w:tcPr>
            <w:tcW w:w="1732" w:type="dxa"/>
            <w:tcBorders>
              <w:top w:val="nil"/>
              <w:left w:val="nil"/>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3. PR/PC</w:t>
            </w:r>
          </w:p>
        </w:tc>
        <w:tc>
          <w:tcPr>
            <w:tcW w:w="656" w:type="dxa"/>
            <w:tcBorders>
              <w:top w:val="nil"/>
              <w:left w:val="single" w:sz="4" w:space="0" w:color="auto"/>
            </w:tcBorders>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0.633</w:t>
            </w:r>
          </w:p>
        </w:tc>
        <w:tc>
          <w:tcPr>
            <w:tcW w:w="731" w:type="dxa"/>
            <w:tcBorders>
              <w:top w:val="nil"/>
              <w:left w:val="nil"/>
              <w:right w:val="single" w:sz="4" w:space="0" w:color="auto"/>
            </w:tcBorders>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0.234</w:t>
            </w:r>
          </w:p>
        </w:tc>
        <w:tc>
          <w:tcPr>
            <w:tcW w:w="865" w:type="dxa"/>
            <w:tcBorders>
              <w:top w:val="nil"/>
              <w:left w:val="single" w:sz="4" w:space="0" w:color="auto"/>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0.681</w:t>
            </w:r>
          </w:p>
        </w:tc>
        <w:tc>
          <w:tcPr>
            <w:tcW w:w="936" w:type="dxa"/>
            <w:tcBorders>
              <w:top w:val="nil"/>
              <w:left w:val="nil"/>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0.209</w:t>
            </w:r>
          </w:p>
        </w:tc>
        <w:tc>
          <w:tcPr>
            <w:tcW w:w="936" w:type="dxa"/>
            <w:tcBorders>
              <w:top w:val="nil"/>
              <w:left w:val="single" w:sz="4" w:space="0" w:color="auto"/>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0.649</w:t>
            </w:r>
          </w:p>
        </w:tc>
        <w:tc>
          <w:tcPr>
            <w:tcW w:w="936" w:type="dxa"/>
            <w:tcBorders>
              <w:top w:val="nil"/>
              <w:left w:val="nil"/>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0.230</w:t>
            </w:r>
          </w:p>
        </w:tc>
        <w:tc>
          <w:tcPr>
            <w:tcW w:w="936" w:type="dxa"/>
            <w:tcBorders>
              <w:top w:val="nil"/>
              <w:left w:val="single" w:sz="4" w:space="0" w:color="auto"/>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0.593</w:t>
            </w:r>
          </w:p>
        </w:tc>
        <w:tc>
          <w:tcPr>
            <w:tcW w:w="936" w:type="dxa"/>
            <w:tcBorders>
              <w:top w:val="nil"/>
              <w:left w:val="nil"/>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0.259</w:t>
            </w:r>
          </w:p>
        </w:tc>
        <w:tc>
          <w:tcPr>
            <w:tcW w:w="936" w:type="dxa"/>
            <w:tcBorders>
              <w:top w:val="nil"/>
              <w:left w:val="single" w:sz="4" w:space="0" w:color="auto"/>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0.737</w:t>
            </w:r>
          </w:p>
        </w:tc>
        <w:tc>
          <w:tcPr>
            <w:tcW w:w="936" w:type="dxa"/>
            <w:tcBorders>
              <w:top w:val="nil"/>
              <w:left w:val="nil"/>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0.206</w:t>
            </w:r>
          </w:p>
        </w:tc>
      </w:tr>
      <w:tr w:rsidR="00D60232" w:rsidRPr="000C7B4F" w:rsidTr="004A756C">
        <w:trPr>
          <w:trHeight w:val="20"/>
        </w:trPr>
        <w:tc>
          <w:tcPr>
            <w:tcW w:w="1732" w:type="dxa"/>
            <w:vMerge/>
            <w:tcBorders>
              <w:top w:val="single" w:sz="8" w:space="0" w:color="auto"/>
              <w:left w:val="nil"/>
              <w:bottom w:val="single" w:sz="8" w:space="0" w:color="auto"/>
              <w:right w:val="nil"/>
            </w:tcBorders>
            <w:vAlign w:val="center"/>
          </w:tcPr>
          <w:p w:rsidR="00D60232" w:rsidRPr="000C7B4F" w:rsidRDefault="00D60232" w:rsidP="004A756C">
            <w:pPr>
              <w:rPr>
                <w:rFonts w:ascii="Times New Roman" w:hAnsi="Times New Roman"/>
                <w:sz w:val="16"/>
                <w:szCs w:val="16"/>
                <w:lang w:val="en-GB" w:eastAsia="en-GB"/>
              </w:rPr>
            </w:pPr>
          </w:p>
        </w:tc>
        <w:tc>
          <w:tcPr>
            <w:tcW w:w="1732" w:type="dxa"/>
            <w:tcBorders>
              <w:top w:val="nil"/>
              <w:left w:val="nil"/>
              <w:bottom w:val="single" w:sz="8" w:space="0" w:color="auto"/>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4. CFA</w:t>
            </w:r>
          </w:p>
        </w:tc>
        <w:tc>
          <w:tcPr>
            <w:tcW w:w="656" w:type="dxa"/>
            <w:tcBorders>
              <w:top w:val="nil"/>
              <w:left w:val="single" w:sz="4" w:space="0" w:color="auto"/>
              <w:bottom w:val="single" w:sz="8" w:space="0" w:color="auto"/>
            </w:tcBorders>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0.631</w:t>
            </w:r>
          </w:p>
        </w:tc>
        <w:tc>
          <w:tcPr>
            <w:tcW w:w="731" w:type="dxa"/>
            <w:tcBorders>
              <w:top w:val="nil"/>
              <w:left w:val="nil"/>
              <w:bottom w:val="single" w:sz="8" w:space="0" w:color="auto"/>
              <w:right w:val="single" w:sz="4" w:space="0" w:color="auto"/>
            </w:tcBorders>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0.237</w:t>
            </w:r>
          </w:p>
        </w:tc>
        <w:tc>
          <w:tcPr>
            <w:tcW w:w="865" w:type="dxa"/>
            <w:tcBorders>
              <w:top w:val="nil"/>
              <w:left w:val="single" w:sz="4" w:space="0" w:color="auto"/>
              <w:bottom w:val="single" w:sz="8" w:space="0" w:color="auto"/>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0.672</w:t>
            </w:r>
          </w:p>
        </w:tc>
        <w:tc>
          <w:tcPr>
            <w:tcW w:w="936" w:type="dxa"/>
            <w:tcBorders>
              <w:top w:val="nil"/>
              <w:left w:val="nil"/>
              <w:bottom w:val="single" w:sz="8" w:space="0" w:color="auto"/>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0.211</w:t>
            </w:r>
          </w:p>
        </w:tc>
        <w:tc>
          <w:tcPr>
            <w:tcW w:w="936" w:type="dxa"/>
            <w:tcBorders>
              <w:top w:val="nil"/>
              <w:left w:val="single" w:sz="4" w:space="0" w:color="auto"/>
              <w:bottom w:val="single" w:sz="8" w:space="0" w:color="auto"/>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0.652</w:t>
            </w:r>
          </w:p>
        </w:tc>
        <w:tc>
          <w:tcPr>
            <w:tcW w:w="936" w:type="dxa"/>
            <w:tcBorders>
              <w:top w:val="nil"/>
              <w:left w:val="nil"/>
              <w:bottom w:val="single" w:sz="8" w:space="0" w:color="auto"/>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0.229</w:t>
            </w:r>
          </w:p>
        </w:tc>
        <w:tc>
          <w:tcPr>
            <w:tcW w:w="936" w:type="dxa"/>
            <w:tcBorders>
              <w:top w:val="nil"/>
              <w:left w:val="single" w:sz="4" w:space="0" w:color="auto"/>
              <w:bottom w:val="single" w:sz="8" w:space="0" w:color="auto"/>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0.588</w:t>
            </w:r>
          </w:p>
        </w:tc>
        <w:tc>
          <w:tcPr>
            <w:tcW w:w="936" w:type="dxa"/>
            <w:tcBorders>
              <w:top w:val="nil"/>
              <w:left w:val="nil"/>
              <w:bottom w:val="single" w:sz="8" w:space="0" w:color="auto"/>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0.267</w:t>
            </w:r>
          </w:p>
        </w:tc>
        <w:tc>
          <w:tcPr>
            <w:tcW w:w="936" w:type="dxa"/>
            <w:tcBorders>
              <w:top w:val="nil"/>
              <w:left w:val="single" w:sz="4" w:space="0" w:color="auto"/>
              <w:bottom w:val="single" w:sz="8" w:space="0" w:color="auto"/>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0.735</w:t>
            </w:r>
          </w:p>
        </w:tc>
        <w:tc>
          <w:tcPr>
            <w:tcW w:w="936" w:type="dxa"/>
            <w:tcBorders>
              <w:top w:val="nil"/>
              <w:left w:val="nil"/>
              <w:bottom w:val="single" w:sz="8" w:space="0" w:color="auto"/>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0.207</w:t>
            </w:r>
          </w:p>
        </w:tc>
      </w:tr>
      <w:tr w:rsidR="00D60232" w:rsidRPr="000C7B4F" w:rsidTr="004A756C">
        <w:trPr>
          <w:trHeight w:val="20"/>
        </w:trPr>
        <w:tc>
          <w:tcPr>
            <w:tcW w:w="1732" w:type="dxa"/>
            <w:vMerge w:val="restart"/>
            <w:tcBorders>
              <w:top w:val="single" w:sz="8" w:space="0" w:color="auto"/>
              <w:left w:val="nil"/>
              <w:bottom w:val="single" w:sz="8" w:space="0" w:color="auto"/>
              <w:right w:val="nil"/>
            </w:tcBorders>
            <w:vAlign w:val="center"/>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Unweighted Sum-scores</w:t>
            </w:r>
          </w:p>
        </w:tc>
        <w:tc>
          <w:tcPr>
            <w:tcW w:w="1732" w:type="dxa"/>
            <w:tcBorders>
              <w:top w:val="single" w:sz="8" w:space="0" w:color="auto"/>
              <w:left w:val="nil"/>
              <w:right w:val="nil"/>
            </w:tcBorders>
            <w:shd w:val="clear" w:color="auto" w:fill="auto"/>
            <w:noWrap/>
            <w:vAlign w:val="bottom"/>
            <w:hideMark/>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5. ENR</w:t>
            </w:r>
            <w:r w:rsidR="004A756C">
              <w:rPr>
                <w:rFonts w:ascii="Times New Roman" w:hAnsi="Times New Roman"/>
                <w:sz w:val="16"/>
                <w:szCs w:val="16"/>
                <w:lang w:val="en-GB" w:eastAsia="en-GB"/>
              </w:rPr>
              <w:t>*</w:t>
            </w:r>
          </w:p>
        </w:tc>
        <w:tc>
          <w:tcPr>
            <w:tcW w:w="656" w:type="dxa"/>
            <w:tcBorders>
              <w:top w:val="single" w:sz="8" w:space="0" w:color="auto"/>
              <w:left w:val="single" w:sz="4" w:space="0" w:color="auto"/>
            </w:tcBorders>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0.626</w:t>
            </w:r>
          </w:p>
        </w:tc>
        <w:tc>
          <w:tcPr>
            <w:tcW w:w="731" w:type="dxa"/>
            <w:tcBorders>
              <w:top w:val="single" w:sz="8" w:space="0" w:color="auto"/>
              <w:left w:val="nil"/>
              <w:right w:val="single" w:sz="4" w:space="0" w:color="auto"/>
            </w:tcBorders>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0.234</w:t>
            </w:r>
          </w:p>
        </w:tc>
        <w:tc>
          <w:tcPr>
            <w:tcW w:w="865" w:type="dxa"/>
            <w:tcBorders>
              <w:top w:val="single" w:sz="8" w:space="0" w:color="auto"/>
              <w:left w:val="single" w:sz="4" w:space="0" w:color="auto"/>
              <w:right w:val="nil"/>
            </w:tcBorders>
            <w:shd w:val="clear" w:color="auto" w:fill="auto"/>
            <w:noWrap/>
            <w:vAlign w:val="bottom"/>
            <w:hideMark/>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0.653</w:t>
            </w:r>
          </w:p>
        </w:tc>
        <w:tc>
          <w:tcPr>
            <w:tcW w:w="936" w:type="dxa"/>
            <w:tcBorders>
              <w:top w:val="single" w:sz="8" w:space="0" w:color="auto"/>
              <w:left w:val="nil"/>
              <w:right w:val="nil"/>
            </w:tcBorders>
            <w:shd w:val="clear" w:color="auto" w:fill="auto"/>
            <w:noWrap/>
            <w:vAlign w:val="bottom"/>
            <w:hideMark/>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0.235</w:t>
            </w:r>
          </w:p>
        </w:tc>
        <w:tc>
          <w:tcPr>
            <w:tcW w:w="936" w:type="dxa"/>
            <w:tcBorders>
              <w:top w:val="single" w:sz="8" w:space="0" w:color="auto"/>
              <w:left w:val="single" w:sz="4" w:space="0" w:color="auto"/>
              <w:right w:val="nil"/>
            </w:tcBorders>
            <w:shd w:val="clear" w:color="auto" w:fill="auto"/>
            <w:noWrap/>
            <w:vAlign w:val="bottom"/>
            <w:hideMark/>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0.648</w:t>
            </w:r>
          </w:p>
        </w:tc>
        <w:tc>
          <w:tcPr>
            <w:tcW w:w="936" w:type="dxa"/>
            <w:tcBorders>
              <w:top w:val="single" w:sz="8" w:space="0" w:color="auto"/>
              <w:left w:val="nil"/>
              <w:right w:val="nil"/>
            </w:tcBorders>
            <w:shd w:val="clear" w:color="auto" w:fill="auto"/>
            <w:noWrap/>
            <w:vAlign w:val="bottom"/>
            <w:hideMark/>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0.232</w:t>
            </w:r>
          </w:p>
        </w:tc>
        <w:tc>
          <w:tcPr>
            <w:tcW w:w="936" w:type="dxa"/>
            <w:tcBorders>
              <w:top w:val="single" w:sz="8" w:space="0" w:color="auto"/>
              <w:left w:val="single" w:sz="4" w:space="0" w:color="auto"/>
              <w:right w:val="nil"/>
            </w:tcBorders>
            <w:shd w:val="clear" w:color="auto" w:fill="auto"/>
            <w:noWrap/>
            <w:vAlign w:val="bottom"/>
            <w:hideMark/>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0.592</w:t>
            </w:r>
          </w:p>
        </w:tc>
        <w:tc>
          <w:tcPr>
            <w:tcW w:w="936" w:type="dxa"/>
            <w:tcBorders>
              <w:top w:val="single" w:sz="8" w:space="0" w:color="auto"/>
              <w:left w:val="nil"/>
              <w:right w:val="nil"/>
            </w:tcBorders>
            <w:shd w:val="clear" w:color="auto" w:fill="auto"/>
            <w:noWrap/>
            <w:vAlign w:val="bottom"/>
            <w:hideMark/>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0.237</w:t>
            </w:r>
          </w:p>
        </w:tc>
        <w:tc>
          <w:tcPr>
            <w:tcW w:w="936" w:type="dxa"/>
            <w:tcBorders>
              <w:top w:val="single" w:sz="8" w:space="0" w:color="auto"/>
              <w:left w:val="single" w:sz="4" w:space="0" w:color="auto"/>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0.724</w:t>
            </w:r>
          </w:p>
        </w:tc>
        <w:tc>
          <w:tcPr>
            <w:tcW w:w="936" w:type="dxa"/>
            <w:tcBorders>
              <w:top w:val="single" w:sz="8" w:space="0" w:color="auto"/>
              <w:left w:val="nil"/>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0.243</w:t>
            </w:r>
          </w:p>
        </w:tc>
      </w:tr>
      <w:tr w:rsidR="00D60232" w:rsidRPr="000C7B4F" w:rsidTr="004A756C">
        <w:trPr>
          <w:trHeight w:val="20"/>
        </w:trPr>
        <w:tc>
          <w:tcPr>
            <w:tcW w:w="1732" w:type="dxa"/>
            <w:vMerge/>
            <w:tcBorders>
              <w:left w:val="nil"/>
              <w:bottom w:val="single" w:sz="8" w:space="0" w:color="auto"/>
              <w:right w:val="nil"/>
            </w:tcBorders>
            <w:vAlign w:val="center"/>
          </w:tcPr>
          <w:p w:rsidR="00D60232" w:rsidRPr="000C7B4F" w:rsidRDefault="00D60232" w:rsidP="004A756C">
            <w:pPr>
              <w:rPr>
                <w:rFonts w:ascii="Times New Roman" w:hAnsi="Times New Roman"/>
                <w:sz w:val="16"/>
                <w:szCs w:val="16"/>
                <w:lang w:val="en-GB" w:eastAsia="en-GB"/>
              </w:rPr>
            </w:pPr>
          </w:p>
        </w:tc>
        <w:tc>
          <w:tcPr>
            <w:tcW w:w="1732" w:type="dxa"/>
            <w:tcBorders>
              <w:top w:val="nil"/>
              <w:left w:val="nil"/>
              <w:bottom w:val="single" w:sz="8" w:space="0" w:color="auto"/>
              <w:right w:val="nil"/>
            </w:tcBorders>
            <w:shd w:val="clear" w:color="auto" w:fill="auto"/>
            <w:noWrap/>
            <w:vAlign w:val="bottom"/>
            <w:hideMark/>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6. Logistic Regression</w:t>
            </w:r>
          </w:p>
        </w:tc>
        <w:tc>
          <w:tcPr>
            <w:tcW w:w="656" w:type="dxa"/>
            <w:tcBorders>
              <w:top w:val="nil"/>
              <w:left w:val="single" w:sz="4" w:space="0" w:color="auto"/>
              <w:bottom w:val="single" w:sz="8" w:space="0" w:color="auto"/>
            </w:tcBorders>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0.632</w:t>
            </w:r>
          </w:p>
        </w:tc>
        <w:tc>
          <w:tcPr>
            <w:tcW w:w="731" w:type="dxa"/>
            <w:tcBorders>
              <w:top w:val="nil"/>
              <w:left w:val="nil"/>
              <w:bottom w:val="single" w:sz="8" w:space="0" w:color="auto"/>
              <w:right w:val="single" w:sz="4" w:space="0" w:color="auto"/>
            </w:tcBorders>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0.236</w:t>
            </w:r>
          </w:p>
        </w:tc>
        <w:tc>
          <w:tcPr>
            <w:tcW w:w="865" w:type="dxa"/>
            <w:tcBorders>
              <w:top w:val="nil"/>
              <w:left w:val="single" w:sz="4" w:space="0" w:color="auto"/>
              <w:bottom w:val="single" w:sz="8" w:space="0" w:color="auto"/>
              <w:right w:val="nil"/>
            </w:tcBorders>
            <w:shd w:val="clear" w:color="auto" w:fill="auto"/>
            <w:noWrap/>
            <w:vAlign w:val="bottom"/>
            <w:hideMark/>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0.675</w:t>
            </w:r>
          </w:p>
        </w:tc>
        <w:tc>
          <w:tcPr>
            <w:tcW w:w="936" w:type="dxa"/>
            <w:tcBorders>
              <w:top w:val="nil"/>
              <w:left w:val="nil"/>
              <w:bottom w:val="single" w:sz="8" w:space="0" w:color="auto"/>
              <w:right w:val="nil"/>
            </w:tcBorders>
            <w:shd w:val="clear" w:color="auto" w:fill="auto"/>
            <w:noWrap/>
            <w:vAlign w:val="bottom"/>
            <w:hideMark/>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0.210</w:t>
            </w:r>
          </w:p>
        </w:tc>
        <w:tc>
          <w:tcPr>
            <w:tcW w:w="936" w:type="dxa"/>
            <w:tcBorders>
              <w:top w:val="nil"/>
              <w:left w:val="single" w:sz="4" w:space="0" w:color="auto"/>
              <w:bottom w:val="single" w:sz="8" w:space="0" w:color="auto"/>
              <w:right w:val="nil"/>
            </w:tcBorders>
            <w:shd w:val="clear" w:color="auto" w:fill="auto"/>
            <w:noWrap/>
            <w:vAlign w:val="bottom"/>
            <w:hideMark/>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0.647</w:t>
            </w:r>
          </w:p>
        </w:tc>
        <w:tc>
          <w:tcPr>
            <w:tcW w:w="936" w:type="dxa"/>
            <w:tcBorders>
              <w:top w:val="nil"/>
              <w:left w:val="nil"/>
              <w:bottom w:val="single" w:sz="8" w:space="0" w:color="auto"/>
              <w:right w:val="nil"/>
            </w:tcBorders>
            <w:shd w:val="clear" w:color="auto" w:fill="auto"/>
            <w:noWrap/>
            <w:vAlign w:val="bottom"/>
            <w:hideMark/>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0.229</w:t>
            </w:r>
          </w:p>
        </w:tc>
        <w:tc>
          <w:tcPr>
            <w:tcW w:w="936" w:type="dxa"/>
            <w:tcBorders>
              <w:top w:val="nil"/>
              <w:left w:val="single" w:sz="4" w:space="0" w:color="auto"/>
              <w:bottom w:val="single" w:sz="8" w:space="0" w:color="auto"/>
              <w:right w:val="nil"/>
            </w:tcBorders>
            <w:shd w:val="clear" w:color="auto" w:fill="auto"/>
            <w:noWrap/>
            <w:vAlign w:val="bottom"/>
            <w:hideMark/>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0.593</w:t>
            </w:r>
          </w:p>
        </w:tc>
        <w:tc>
          <w:tcPr>
            <w:tcW w:w="936" w:type="dxa"/>
            <w:tcBorders>
              <w:top w:val="nil"/>
              <w:left w:val="nil"/>
              <w:bottom w:val="single" w:sz="8" w:space="0" w:color="auto"/>
              <w:right w:val="nil"/>
            </w:tcBorders>
            <w:shd w:val="clear" w:color="auto" w:fill="auto"/>
            <w:noWrap/>
            <w:vAlign w:val="bottom"/>
            <w:hideMark/>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0.264</w:t>
            </w:r>
          </w:p>
        </w:tc>
        <w:tc>
          <w:tcPr>
            <w:tcW w:w="936" w:type="dxa"/>
            <w:tcBorders>
              <w:top w:val="nil"/>
              <w:left w:val="single" w:sz="4" w:space="0" w:color="auto"/>
              <w:bottom w:val="single" w:sz="8" w:space="0" w:color="auto"/>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0.737</w:t>
            </w:r>
          </w:p>
        </w:tc>
        <w:tc>
          <w:tcPr>
            <w:tcW w:w="936" w:type="dxa"/>
            <w:tcBorders>
              <w:top w:val="nil"/>
              <w:left w:val="nil"/>
              <w:bottom w:val="single" w:sz="8" w:space="0" w:color="auto"/>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0.206</w:t>
            </w:r>
          </w:p>
        </w:tc>
      </w:tr>
      <w:tr w:rsidR="00D60232" w:rsidRPr="000C7B4F" w:rsidTr="004A756C">
        <w:trPr>
          <w:trHeight w:val="20"/>
        </w:trPr>
        <w:tc>
          <w:tcPr>
            <w:tcW w:w="1732" w:type="dxa"/>
            <w:vMerge w:val="restart"/>
            <w:tcBorders>
              <w:top w:val="nil"/>
              <w:left w:val="nil"/>
              <w:bottom w:val="single" w:sz="8" w:space="0" w:color="auto"/>
              <w:right w:val="nil"/>
            </w:tcBorders>
            <w:vAlign w:val="center"/>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Individual Symptoms</w:t>
            </w:r>
          </w:p>
        </w:tc>
        <w:tc>
          <w:tcPr>
            <w:tcW w:w="1732" w:type="dxa"/>
            <w:tcBorders>
              <w:top w:val="single" w:sz="8" w:space="0" w:color="auto"/>
              <w:left w:val="nil"/>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7. ENR</w:t>
            </w:r>
            <w:r w:rsidR="004A756C">
              <w:rPr>
                <w:rFonts w:ascii="Times New Roman" w:hAnsi="Times New Roman"/>
                <w:sz w:val="16"/>
                <w:szCs w:val="16"/>
                <w:lang w:val="en-GB" w:eastAsia="en-GB"/>
              </w:rPr>
              <w:t>⸷</w:t>
            </w:r>
          </w:p>
        </w:tc>
        <w:tc>
          <w:tcPr>
            <w:tcW w:w="656" w:type="dxa"/>
            <w:tcBorders>
              <w:top w:val="single" w:sz="8" w:space="0" w:color="auto"/>
              <w:left w:val="single" w:sz="4" w:space="0" w:color="auto"/>
            </w:tcBorders>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0.618</w:t>
            </w:r>
          </w:p>
        </w:tc>
        <w:tc>
          <w:tcPr>
            <w:tcW w:w="731" w:type="dxa"/>
            <w:tcBorders>
              <w:top w:val="single" w:sz="8" w:space="0" w:color="auto"/>
              <w:left w:val="nil"/>
              <w:right w:val="single" w:sz="4" w:space="0" w:color="auto"/>
            </w:tcBorders>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0.233</w:t>
            </w:r>
          </w:p>
        </w:tc>
        <w:tc>
          <w:tcPr>
            <w:tcW w:w="865" w:type="dxa"/>
            <w:tcBorders>
              <w:top w:val="single" w:sz="8" w:space="0" w:color="auto"/>
              <w:left w:val="single" w:sz="4" w:space="0" w:color="auto"/>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0.668</w:t>
            </w:r>
          </w:p>
        </w:tc>
        <w:tc>
          <w:tcPr>
            <w:tcW w:w="936" w:type="dxa"/>
            <w:tcBorders>
              <w:top w:val="single" w:sz="8" w:space="0" w:color="auto"/>
              <w:left w:val="nil"/>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0.233</w:t>
            </w:r>
          </w:p>
        </w:tc>
        <w:tc>
          <w:tcPr>
            <w:tcW w:w="936" w:type="dxa"/>
            <w:tcBorders>
              <w:top w:val="single" w:sz="8" w:space="0" w:color="auto"/>
              <w:left w:val="single" w:sz="4" w:space="0" w:color="auto"/>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0.625</w:t>
            </w:r>
          </w:p>
        </w:tc>
        <w:tc>
          <w:tcPr>
            <w:tcW w:w="936" w:type="dxa"/>
            <w:tcBorders>
              <w:top w:val="single" w:sz="8" w:space="0" w:color="auto"/>
              <w:left w:val="nil"/>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0.232</w:t>
            </w:r>
          </w:p>
        </w:tc>
        <w:tc>
          <w:tcPr>
            <w:tcW w:w="936" w:type="dxa"/>
            <w:tcBorders>
              <w:top w:val="single" w:sz="8" w:space="0" w:color="auto"/>
              <w:left w:val="single" w:sz="4" w:space="0" w:color="auto"/>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0.590</w:t>
            </w:r>
          </w:p>
        </w:tc>
        <w:tc>
          <w:tcPr>
            <w:tcW w:w="936" w:type="dxa"/>
            <w:tcBorders>
              <w:top w:val="single" w:sz="8" w:space="0" w:color="auto"/>
              <w:left w:val="nil"/>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0.236</w:t>
            </w:r>
          </w:p>
        </w:tc>
        <w:tc>
          <w:tcPr>
            <w:tcW w:w="936" w:type="dxa"/>
            <w:tcBorders>
              <w:top w:val="single" w:sz="8" w:space="0" w:color="auto"/>
              <w:left w:val="single" w:sz="4" w:space="0" w:color="auto"/>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0.716</w:t>
            </w:r>
          </w:p>
        </w:tc>
        <w:tc>
          <w:tcPr>
            <w:tcW w:w="936" w:type="dxa"/>
            <w:tcBorders>
              <w:top w:val="single" w:sz="8" w:space="0" w:color="auto"/>
              <w:left w:val="nil"/>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0.242</w:t>
            </w:r>
          </w:p>
        </w:tc>
      </w:tr>
      <w:tr w:rsidR="00D60232" w:rsidRPr="000C7B4F" w:rsidTr="004A756C">
        <w:trPr>
          <w:trHeight w:val="20"/>
        </w:trPr>
        <w:tc>
          <w:tcPr>
            <w:tcW w:w="1732" w:type="dxa"/>
            <w:vMerge/>
            <w:tcBorders>
              <w:left w:val="nil"/>
              <w:bottom w:val="single" w:sz="8" w:space="0" w:color="auto"/>
              <w:right w:val="nil"/>
            </w:tcBorders>
            <w:vAlign w:val="center"/>
          </w:tcPr>
          <w:p w:rsidR="00D60232" w:rsidRPr="000C7B4F" w:rsidRDefault="00D60232" w:rsidP="004A756C">
            <w:pPr>
              <w:rPr>
                <w:rFonts w:ascii="Times New Roman" w:hAnsi="Times New Roman"/>
                <w:sz w:val="16"/>
                <w:szCs w:val="16"/>
                <w:lang w:val="en-GB" w:eastAsia="en-GB"/>
              </w:rPr>
            </w:pPr>
          </w:p>
        </w:tc>
        <w:tc>
          <w:tcPr>
            <w:tcW w:w="1732" w:type="dxa"/>
            <w:tcBorders>
              <w:left w:val="nil"/>
              <w:bottom w:val="single" w:sz="8" w:space="0" w:color="auto"/>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8. OLS</w:t>
            </w:r>
          </w:p>
        </w:tc>
        <w:tc>
          <w:tcPr>
            <w:tcW w:w="656" w:type="dxa"/>
            <w:tcBorders>
              <w:left w:val="single" w:sz="4" w:space="0" w:color="auto"/>
              <w:bottom w:val="single" w:sz="8" w:space="0" w:color="auto"/>
            </w:tcBorders>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0.599</w:t>
            </w:r>
          </w:p>
        </w:tc>
        <w:tc>
          <w:tcPr>
            <w:tcW w:w="731" w:type="dxa"/>
            <w:tcBorders>
              <w:left w:val="nil"/>
              <w:bottom w:val="single" w:sz="8" w:space="0" w:color="auto"/>
              <w:right w:val="single" w:sz="4" w:space="0" w:color="auto"/>
            </w:tcBorders>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0.246</w:t>
            </w:r>
          </w:p>
        </w:tc>
        <w:tc>
          <w:tcPr>
            <w:tcW w:w="865" w:type="dxa"/>
            <w:tcBorders>
              <w:left w:val="single" w:sz="4" w:space="0" w:color="auto"/>
              <w:bottom w:val="single" w:sz="8" w:space="0" w:color="auto"/>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0.642</w:t>
            </w:r>
          </w:p>
        </w:tc>
        <w:tc>
          <w:tcPr>
            <w:tcW w:w="936" w:type="dxa"/>
            <w:tcBorders>
              <w:left w:val="nil"/>
              <w:bottom w:val="single" w:sz="8" w:space="0" w:color="auto"/>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0.219</w:t>
            </w:r>
          </w:p>
        </w:tc>
        <w:tc>
          <w:tcPr>
            <w:tcW w:w="936" w:type="dxa"/>
            <w:tcBorders>
              <w:left w:val="single" w:sz="4" w:space="0" w:color="auto"/>
              <w:bottom w:val="single" w:sz="8" w:space="0" w:color="auto"/>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0.608</w:t>
            </w:r>
          </w:p>
        </w:tc>
        <w:tc>
          <w:tcPr>
            <w:tcW w:w="936" w:type="dxa"/>
            <w:tcBorders>
              <w:left w:val="nil"/>
              <w:bottom w:val="single" w:sz="8" w:space="0" w:color="auto"/>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0.236</w:t>
            </w:r>
          </w:p>
        </w:tc>
        <w:tc>
          <w:tcPr>
            <w:tcW w:w="936" w:type="dxa"/>
            <w:tcBorders>
              <w:left w:val="single" w:sz="4" w:space="0" w:color="auto"/>
              <w:bottom w:val="single" w:sz="8" w:space="0" w:color="auto"/>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0.585</w:t>
            </w:r>
          </w:p>
        </w:tc>
        <w:tc>
          <w:tcPr>
            <w:tcW w:w="936" w:type="dxa"/>
            <w:tcBorders>
              <w:left w:val="nil"/>
              <w:bottom w:val="single" w:sz="8" w:space="0" w:color="auto"/>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0.278</w:t>
            </w:r>
          </w:p>
        </w:tc>
        <w:tc>
          <w:tcPr>
            <w:tcW w:w="936" w:type="dxa"/>
            <w:tcBorders>
              <w:left w:val="single" w:sz="4" w:space="0" w:color="auto"/>
              <w:bottom w:val="single" w:sz="8" w:space="0" w:color="auto"/>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0.738</w:t>
            </w:r>
          </w:p>
        </w:tc>
        <w:tc>
          <w:tcPr>
            <w:tcW w:w="936" w:type="dxa"/>
            <w:tcBorders>
              <w:left w:val="nil"/>
              <w:bottom w:val="single" w:sz="8" w:space="0" w:color="auto"/>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0.207</w:t>
            </w:r>
          </w:p>
        </w:tc>
      </w:tr>
      <w:tr w:rsidR="00D60232" w:rsidRPr="000C7B4F" w:rsidTr="004A756C">
        <w:trPr>
          <w:trHeight w:val="20"/>
        </w:trPr>
        <w:tc>
          <w:tcPr>
            <w:tcW w:w="1732" w:type="dxa"/>
            <w:tcBorders>
              <w:top w:val="single" w:sz="8" w:space="0" w:color="auto"/>
              <w:left w:val="nil"/>
              <w:bottom w:val="single" w:sz="12" w:space="0" w:color="auto"/>
              <w:right w:val="nil"/>
            </w:tcBorders>
            <w:vAlign w:val="center"/>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Null</w:t>
            </w:r>
          </w:p>
        </w:tc>
        <w:tc>
          <w:tcPr>
            <w:tcW w:w="1732" w:type="dxa"/>
            <w:tcBorders>
              <w:top w:val="single" w:sz="8" w:space="0" w:color="auto"/>
              <w:left w:val="nil"/>
              <w:bottom w:val="single" w:sz="12" w:space="0" w:color="auto"/>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9. Null</w:t>
            </w:r>
          </w:p>
        </w:tc>
        <w:tc>
          <w:tcPr>
            <w:tcW w:w="656" w:type="dxa"/>
            <w:tcBorders>
              <w:top w:val="single" w:sz="8" w:space="0" w:color="auto"/>
              <w:left w:val="single" w:sz="4" w:space="0" w:color="auto"/>
              <w:bottom w:val="single" w:sz="12" w:space="0" w:color="auto"/>
            </w:tcBorders>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N/A</w:t>
            </w:r>
          </w:p>
        </w:tc>
        <w:tc>
          <w:tcPr>
            <w:tcW w:w="731" w:type="dxa"/>
            <w:tcBorders>
              <w:top w:val="single" w:sz="8" w:space="0" w:color="auto"/>
              <w:left w:val="nil"/>
              <w:bottom w:val="single" w:sz="12" w:space="0" w:color="auto"/>
              <w:right w:val="single" w:sz="4" w:space="0" w:color="auto"/>
            </w:tcBorders>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0.237</w:t>
            </w:r>
          </w:p>
        </w:tc>
        <w:tc>
          <w:tcPr>
            <w:tcW w:w="865" w:type="dxa"/>
            <w:tcBorders>
              <w:top w:val="single" w:sz="8" w:space="0" w:color="auto"/>
              <w:left w:val="single" w:sz="4" w:space="0" w:color="auto"/>
              <w:bottom w:val="single" w:sz="12" w:space="0" w:color="auto"/>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N/A</w:t>
            </w:r>
          </w:p>
        </w:tc>
        <w:tc>
          <w:tcPr>
            <w:tcW w:w="936" w:type="dxa"/>
            <w:tcBorders>
              <w:top w:val="single" w:sz="8" w:space="0" w:color="auto"/>
              <w:left w:val="nil"/>
              <w:bottom w:val="single" w:sz="12" w:space="0" w:color="auto"/>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0.239</w:t>
            </w:r>
          </w:p>
        </w:tc>
        <w:tc>
          <w:tcPr>
            <w:tcW w:w="936" w:type="dxa"/>
            <w:tcBorders>
              <w:top w:val="single" w:sz="8" w:space="0" w:color="auto"/>
              <w:left w:val="single" w:sz="4" w:space="0" w:color="auto"/>
              <w:bottom w:val="single" w:sz="12" w:space="0" w:color="auto"/>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N/A</w:t>
            </w:r>
          </w:p>
        </w:tc>
        <w:tc>
          <w:tcPr>
            <w:tcW w:w="936" w:type="dxa"/>
            <w:tcBorders>
              <w:top w:val="single" w:sz="8" w:space="0" w:color="auto"/>
              <w:left w:val="nil"/>
              <w:bottom w:val="single" w:sz="12" w:space="0" w:color="auto"/>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0.235</w:t>
            </w:r>
          </w:p>
        </w:tc>
        <w:tc>
          <w:tcPr>
            <w:tcW w:w="936" w:type="dxa"/>
            <w:tcBorders>
              <w:top w:val="single" w:sz="8" w:space="0" w:color="auto"/>
              <w:left w:val="single" w:sz="4" w:space="0" w:color="auto"/>
              <w:bottom w:val="single" w:sz="12" w:space="0" w:color="auto"/>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N/A</w:t>
            </w:r>
          </w:p>
        </w:tc>
        <w:tc>
          <w:tcPr>
            <w:tcW w:w="936" w:type="dxa"/>
            <w:tcBorders>
              <w:top w:val="single" w:sz="8" w:space="0" w:color="auto"/>
              <w:left w:val="nil"/>
              <w:bottom w:val="single" w:sz="12" w:space="0" w:color="auto"/>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0.239</w:t>
            </w:r>
          </w:p>
        </w:tc>
        <w:tc>
          <w:tcPr>
            <w:tcW w:w="936" w:type="dxa"/>
            <w:tcBorders>
              <w:top w:val="single" w:sz="8" w:space="0" w:color="auto"/>
              <w:left w:val="single" w:sz="4" w:space="0" w:color="auto"/>
              <w:bottom w:val="single" w:sz="12" w:space="0" w:color="auto"/>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N/A</w:t>
            </w:r>
          </w:p>
        </w:tc>
        <w:tc>
          <w:tcPr>
            <w:tcW w:w="936" w:type="dxa"/>
            <w:tcBorders>
              <w:top w:val="single" w:sz="8" w:space="0" w:color="auto"/>
              <w:left w:val="nil"/>
              <w:bottom w:val="single" w:sz="12" w:space="0" w:color="auto"/>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0.237</w:t>
            </w:r>
          </w:p>
        </w:tc>
      </w:tr>
    </w:tbl>
    <w:p w:rsidR="00D60232" w:rsidRDefault="00D60232" w:rsidP="00D60232">
      <w:pPr>
        <w:spacing w:after="160" w:line="259" w:lineRule="auto"/>
        <w:rPr>
          <w:rFonts w:ascii="Times New Roman" w:hAnsi="Times New Roman"/>
          <w:sz w:val="16"/>
          <w:szCs w:val="16"/>
        </w:rPr>
      </w:pPr>
      <w:r w:rsidRPr="000C7B4F">
        <w:rPr>
          <w:rFonts w:ascii="Times New Roman" w:hAnsi="Times New Roman"/>
          <w:sz w:val="16"/>
          <w:szCs w:val="16"/>
        </w:rPr>
        <w:t xml:space="preserve">Abbreviations: AUC – Area Under the receiver operating characteristic Curve; CFA - Confirmatory Factor Analysis; EI - Expected Influence; ENR - Elastic Net Regularized Regression; OLS - Ordinary Least Squares; PC - Participation Coefficient; PR -Participation Ratio; </w:t>
      </w:r>
      <w:r w:rsidR="004A756C">
        <w:rPr>
          <w:rFonts w:ascii="Times New Roman" w:hAnsi="Times New Roman"/>
          <w:sz w:val="16"/>
          <w:szCs w:val="16"/>
        </w:rPr>
        <w:t>*parameters were set at (ᾳ = 0.</w:t>
      </w:r>
      <w:r w:rsidR="0079456C">
        <w:rPr>
          <w:rFonts w:ascii="Times New Roman" w:hAnsi="Times New Roman"/>
          <w:sz w:val="16"/>
          <w:szCs w:val="16"/>
        </w:rPr>
        <w:t>05</w:t>
      </w:r>
      <w:r w:rsidR="004A756C">
        <w:rPr>
          <w:rFonts w:ascii="Times New Roman" w:hAnsi="Times New Roman"/>
          <w:sz w:val="16"/>
          <w:szCs w:val="16"/>
        </w:rPr>
        <w:t xml:space="preserve"> and λ = 2</w:t>
      </w:r>
      <w:r w:rsidR="0079456C">
        <w:rPr>
          <w:rFonts w:ascii="Times New Roman" w:hAnsi="Times New Roman"/>
          <w:sz w:val="16"/>
          <w:szCs w:val="16"/>
        </w:rPr>
        <w:t>.</w:t>
      </w:r>
      <w:r w:rsidR="004A756C">
        <w:rPr>
          <w:rFonts w:ascii="Times New Roman" w:hAnsi="Times New Roman"/>
          <w:sz w:val="16"/>
          <w:szCs w:val="16"/>
        </w:rPr>
        <w:t>0</w:t>
      </w:r>
      <w:r w:rsidR="004A756C" w:rsidRPr="004A756C">
        <w:rPr>
          <w:rFonts w:ascii="Times New Roman" w:hAnsi="Times New Roman"/>
          <w:sz w:val="16"/>
          <w:szCs w:val="16"/>
        </w:rPr>
        <w:t>)</w:t>
      </w:r>
      <w:r w:rsidR="004A756C">
        <w:rPr>
          <w:rFonts w:ascii="Times New Roman" w:hAnsi="Times New Roman"/>
          <w:sz w:val="16"/>
          <w:szCs w:val="16"/>
        </w:rPr>
        <w:t>; ⸷</w:t>
      </w:r>
      <w:r w:rsidR="004A756C" w:rsidRPr="004A756C">
        <w:rPr>
          <w:rFonts w:ascii="Times New Roman" w:hAnsi="Times New Roman"/>
          <w:sz w:val="16"/>
          <w:szCs w:val="16"/>
        </w:rPr>
        <w:t xml:space="preserve"> </w:t>
      </w:r>
      <w:r w:rsidR="004A756C">
        <w:rPr>
          <w:rFonts w:ascii="Times New Roman" w:hAnsi="Times New Roman"/>
          <w:sz w:val="16"/>
          <w:szCs w:val="16"/>
        </w:rPr>
        <w:t>parameters were set at (ᾳ = 0.05 and λ = 2.0</w:t>
      </w:r>
      <w:r w:rsidR="004A756C" w:rsidRPr="004A756C">
        <w:rPr>
          <w:rFonts w:ascii="Times New Roman" w:hAnsi="Times New Roman"/>
          <w:sz w:val="16"/>
          <w:szCs w:val="16"/>
        </w:rPr>
        <w:t>)</w:t>
      </w:r>
    </w:p>
    <w:p w:rsidR="00D60232" w:rsidRDefault="00D60232">
      <w:pPr>
        <w:spacing w:after="160" w:line="259" w:lineRule="auto"/>
        <w:rPr>
          <w:rFonts w:ascii="Times New Roman" w:hAnsi="Times New Roman"/>
          <w:sz w:val="16"/>
          <w:szCs w:val="16"/>
        </w:rPr>
      </w:pPr>
      <w:r>
        <w:rPr>
          <w:rFonts w:ascii="Times New Roman" w:hAnsi="Times New Roman"/>
          <w:sz w:val="16"/>
          <w:szCs w:val="16"/>
        </w:rPr>
        <w:br w:type="page"/>
      </w:r>
    </w:p>
    <w:p w:rsidR="00D60232" w:rsidRPr="0044658F" w:rsidRDefault="00D60232" w:rsidP="00D60232">
      <w:pPr>
        <w:spacing w:after="160" w:line="259" w:lineRule="auto"/>
      </w:pPr>
      <w:r>
        <w:rPr>
          <w:b/>
        </w:rPr>
        <w:lastRenderedPageBreak/>
        <w:t>Supplementary Table 4</w:t>
      </w:r>
      <w:r w:rsidRPr="00151FD4">
        <w:rPr>
          <w:b/>
        </w:rPr>
        <w:t xml:space="preserve">. </w:t>
      </w:r>
      <w:r>
        <w:t>Performance of the models predicting PROMIS T-score scores at 3-4 months post-baseline in the test datasets individually and combined.</w:t>
      </w:r>
    </w:p>
    <w:tbl>
      <w:tblPr>
        <w:tblW w:w="14032" w:type="dxa"/>
        <w:tblLook w:val="04A0" w:firstRow="1" w:lastRow="0" w:firstColumn="1" w:lastColumn="0" w:noHBand="0" w:noVBand="1"/>
      </w:tblPr>
      <w:tblGrid>
        <w:gridCol w:w="1850"/>
        <w:gridCol w:w="2007"/>
        <w:gridCol w:w="742"/>
        <w:gridCol w:w="661"/>
        <w:gridCol w:w="664"/>
        <w:gridCol w:w="742"/>
        <w:gridCol w:w="661"/>
        <w:gridCol w:w="744"/>
        <w:gridCol w:w="742"/>
        <w:gridCol w:w="661"/>
        <w:gridCol w:w="664"/>
        <w:gridCol w:w="742"/>
        <w:gridCol w:w="661"/>
        <w:gridCol w:w="667"/>
        <w:gridCol w:w="13"/>
        <w:gridCol w:w="649"/>
        <w:gridCol w:w="581"/>
        <w:gridCol w:w="581"/>
      </w:tblGrid>
      <w:tr w:rsidR="00D60232" w:rsidRPr="000C7B4F" w:rsidTr="004A756C">
        <w:trPr>
          <w:trHeight w:val="288"/>
        </w:trPr>
        <w:tc>
          <w:tcPr>
            <w:tcW w:w="1850" w:type="dxa"/>
            <w:tcBorders>
              <w:top w:val="single" w:sz="12" w:space="0" w:color="auto"/>
              <w:left w:val="nil"/>
              <w:bottom w:val="single" w:sz="12" w:space="0" w:color="auto"/>
            </w:tcBorders>
          </w:tcPr>
          <w:p w:rsidR="00D60232" w:rsidRPr="000C7B4F" w:rsidRDefault="00D60232" w:rsidP="004A756C">
            <w:pPr>
              <w:rPr>
                <w:rFonts w:ascii="Times New Roman" w:hAnsi="Times New Roman"/>
                <w:color w:val="000000"/>
                <w:sz w:val="16"/>
                <w:szCs w:val="16"/>
                <w:lang w:val="en-GB" w:eastAsia="en-GB"/>
              </w:rPr>
            </w:pPr>
          </w:p>
        </w:tc>
        <w:tc>
          <w:tcPr>
            <w:tcW w:w="2007" w:type="dxa"/>
            <w:tcBorders>
              <w:top w:val="single" w:sz="12" w:space="0" w:color="auto"/>
              <w:left w:val="nil"/>
              <w:bottom w:val="single" w:sz="12" w:space="0" w:color="auto"/>
            </w:tcBorders>
            <w:shd w:val="clear" w:color="auto" w:fill="auto"/>
            <w:noWrap/>
            <w:vAlign w:val="bottom"/>
          </w:tcPr>
          <w:p w:rsidR="00D60232" w:rsidRPr="000C7B4F" w:rsidRDefault="00D60232" w:rsidP="004A756C">
            <w:pPr>
              <w:rPr>
                <w:rFonts w:ascii="Times New Roman" w:hAnsi="Times New Roman"/>
                <w:color w:val="000000"/>
                <w:sz w:val="16"/>
                <w:szCs w:val="16"/>
                <w:lang w:val="en-GB" w:eastAsia="en-GB"/>
              </w:rPr>
            </w:pPr>
          </w:p>
        </w:tc>
        <w:tc>
          <w:tcPr>
            <w:tcW w:w="8364" w:type="dxa"/>
            <w:gridSpan w:val="13"/>
            <w:tcBorders>
              <w:top w:val="single" w:sz="12" w:space="0" w:color="auto"/>
              <w:bottom w:val="single" w:sz="12" w:space="0" w:color="auto"/>
            </w:tcBorders>
            <w:shd w:val="clear" w:color="auto" w:fill="auto"/>
            <w:noWrap/>
            <w:vAlign w:val="bottom"/>
          </w:tcPr>
          <w:p w:rsidR="00D60232" w:rsidRPr="000C7B4F" w:rsidRDefault="00D60232" w:rsidP="004A756C">
            <w:pPr>
              <w:jc w:val="center"/>
              <w:rPr>
                <w:rFonts w:ascii="Times New Roman" w:hAnsi="Times New Roman"/>
                <w:b/>
                <w:color w:val="000000"/>
                <w:sz w:val="16"/>
                <w:szCs w:val="16"/>
                <w:lang w:val="en-GB" w:eastAsia="en-GB"/>
              </w:rPr>
            </w:pPr>
            <w:r w:rsidRPr="000C7B4F">
              <w:rPr>
                <w:rFonts w:ascii="Times New Roman" w:hAnsi="Times New Roman"/>
                <w:b/>
                <w:color w:val="000000"/>
                <w:sz w:val="16"/>
                <w:szCs w:val="16"/>
                <w:lang w:val="en-GB" w:eastAsia="en-GB"/>
              </w:rPr>
              <w:t>Test set (n with complete data at 3-4 months post-baseline)</w:t>
            </w:r>
          </w:p>
        </w:tc>
        <w:tc>
          <w:tcPr>
            <w:tcW w:w="649" w:type="dxa"/>
            <w:tcBorders>
              <w:top w:val="single" w:sz="12" w:space="0" w:color="auto"/>
              <w:bottom w:val="single" w:sz="12" w:space="0" w:color="auto"/>
            </w:tcBorders>
          </w:tcPr>
          <w:p w:rsidR="00D60232" w:rsidRPr="000C7B4F" w:rsidRDefault="00D60232" w:rsidP="004A756C">
            <w:pPr>
              <w:jc w:val="center"/>
              <w:rPr>
                <w:rFonts w:ascii="Times New Roman" w:hAnsi="Times New Roman"/>
                <w:b/>
                <w:color w:val="000000"/>
                <w:sz w:val="16"/>
                <w:szCs w:val="16"/>
                <w:lang w:val="en-GB" w:eastAsia="en-GB"/>
              </w:rPr>
            </w:pPr>
          </w:p>
        </w:tc>
        <w:tc>
          <w:tcPr>
            <w:tcW w:w="581" w:type="dxa"/>
            <w:tcBorders>
              <w:top w:val="single" w:sz="12" w:space="0" w:color="auto"/>
              <w:bottom w:val="single" w:sz="12" w:space="0" w:color="auto"/>
            </w:tcBorders>
          </w:tcPr>
          <w:p w:rsidR="00D60232" w:rsidRPr="000C7B4F" w:rsidRDefault="00D60232" w:rsidP="004A756C">
            <w:pPr>
              <w:jc w:val="center"/>
              <w:rPr>
                <w:rFonts w:ascii="Times New Roman" w:hAnsi="Times New Roman"/>
                <w:b/>
                <w:color w:val="000000"/>
                <w:sz w:val="16"/>
                <w:szCs w:val="16"/>
                <w:lang w:val="en-GB" w:eastAsia="en-GB"/>
              </w:rPr>
            </w:pPr>
          </w:p>
        </w:tc>
        <w:tc>
          <w:tcPr>
            <w:tcW w:w="581" w:type="dxa"/>
            <w:tcBorders>
              <w:top w:val="single" w:sz="12" w:space="0" w:color="auto"/>
              <w:bottom w:val="single" w:sz="12" w:space="0" w:color="auto"/>
            </w:tcBorders>
          </w:tcPr>
          <w:p w:rsidR="00D60232" w:rsidRPr="000C7B4F" w:rsidRDefault="00D60232" w:rsidP="004A756C">
            <w:pPr>
              <w:jc w:val="center"/>
              <w:rPr>
                <w:rFonts w:ascii="Times New Roman" w:hAnsi="Times New Roman"/>
                <w:b/>
                <w:color w:val="000000"/>
                <w:sz w:val="16"/>
                <w:szCs w:val="16"/>
                <w:lang w:val="en-GB" w:eastAsia="en-GB"/>
              </w:rPr>
            </w:pPr>
          </w:p>
        </w:tc>
      </w:tr>
      <w:tr w:rsidR="00D60232" w:rsidRPr="000C7B4F" w:rsidTr="004A756C">
        <w:trPr>
          <w:trHeight w:val="288"/>
        </w:trPr>
        <w:tc>
          <w:tcPr>
            <w:tcW w:w="1850" w:type="dxa"/>
            <w:tcBorders>
              <w:top w:val="single" w:sz="12" w:space="0" w:color="auto"/>
              <w:left w:val="nil"/>
              <w:right w:val="nil"/>
            </w:tcBorders>
          </w:tcPr>
          <w:p w:rsidR="00D60232" w:rsidRPr="000C7B4F" w:rsidRDefault="00D60232" w:rsidP="004A756C">
            <w:pPr>
              <w:rPr>
                <w:rFonts w:ascii="Times New Roman" w:hAnsi="Times New Roman"/>
                <w:color w:val="000000"/>
                <w:sz w:val="16"/>
                <w:szCs w:val="16"/>
                <w:lang w:val="en-GB" w:eastAsia="en-GB"/>
              </w:rPr>
            </w:pPr>
          </w:p>
        </w:tc>
        <w:tc>
          <w:tcPr>
            <w:tcW w:w="2007" w:type="dxa"/>
            <w:tcBorders>
              <w:top w:val="single" w:sz="12" w:space="0" w:color="auto"/>
              <w:left w:val="nil"/>
              <w:bottom w:val="nil"/>
              <w:right w:val="single" w:sz="8" w:space="0" w:color="auto"/>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 </w:t>
            </w:r>
          </w:p>
        </w:tc>
        <w:tc>
          <w:tcPr>
            <w:tcW w:w="2067" w:type="dxa"/>
            <w:gridSpan w:val="3"/>
            <w:tcBorders>
              <w:top w:val="single" w:sz="12" w:space="0" w:color="auto"/>
              <w:left w:val="single" w:sz="8" w:space="0" w:color="auto"/>
              <w:bottom w:val="nil"/>
              <w:right w:val="single" w:sz="4" w:space="0" w:color="000000"/>
            </w:tcBorders>
            <w:shd w:val="clear" w:color="auto" w:fill="auto"/>
            <w:noWrap/>
            <w:vAlign w:val="bottom"/>
            <w:hideMark/>
          </w:tcPr>
          <w:p w:rsidR="00D60232" w:rsidRPr="000C7B4F" w:rsidRDefault="00D60232" w:rsidP="004A756C">
            <w:pPr>
              <w:jc w:val="center"/>
              <w:rPr>
                <w:rFonts w:ascii="Times New Roman" w:hAnsi="Times New Roman"/>
                <w:b/>
                <w:color w:val="000000"/>
                <w:sz w:val="16"/>
                <w:szCs w:val="16"/>
                <w:lang w:val="en-GB" w:eastAsia="en-GB"/>
              </w:rPr>
            </w:pPr>
            <w:r w:rsidRPr="000C7B4F">
              <w:rPr>
                <w:rFonts w:ascii="Times New Roman" w:hAnsi="Times New Roman"/>
                <w:b/>
                <w:color w:val="000000"/>
                <w:sz w:val="16"/>
                <w:szCs w:val="16"/>
                <w:lang w:val="en-GB" w:eastAsia="en-GB"/>
              </w:rPr>
              <w:t>All studies combined (n=918)</w:t>
            </w:r>
          </w:p>
        </w:tc>
        <w:tc>
          <w:tcPr>
            <w:tcW w:w="2147" w:type="dxa"/>
            <w:gridSpan w:val="3"/>
            <w:tcBorders>
              <w:top w:val="single" w:sz="12" w:space="0" w:color="auto"/>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b/>
                <w:color w:val="000000"/>
                <w:sz w:val="16"/>
                <w:szCs w:val="16"/>
                <w:lang w:val="en-GB" w:eastAsia="en-GB"/>
              </w:rPr>
            </w:pPr>
            <w:r w:rsidRPr="000C7B4F">
              <w:rPr>
                <w:rFonts w:ascii="Times New Roman" w:hAnsi="Times New Roman"/>
                <w:b/>
                <w:color w:val="000000"/>
                <w:sz w:val="16"/>
                <w:szCs w:val="16"/>
                <w:lang w:val="en-GB" w:eastAsia="en-GB"/>
              </w:rPr>
              <w:t>IPCRESS (n=206)</w:t>
            </w:r>
          </w:p>
        </w:tc>
        <w:tc>
          <w:tcPr>
            <w:tcW w:w="2067" w:type="dxa"/>
            <w:gridSpan w:val="3"/>
            <w:tcBorders>
              <w:top w:val="single" w:sz="12" w:space="0" w:color="auto"/>
              <w:left w:val="single" w:sz="4" w:space="0" w:color="auto"/>
              <w:bottom w:val="nil"/>
              <w:right w:val="nil"/>
            </w:tcBorders>
            <w:shd w:val="clear" w:color="auto" w:fill="auto"/>
            <w:noWrap/>
            <w:vAlign w:val="bottom"/>
            <w:hideMark/>
          </w:tcPr>
          <w:p w:rsidR="00D60232" w:rsidRPr="000C7B4F" w:rsidRDefault="00D60232" w:rsidP="004A756C">
            <w:pPr>
              <w:jc w:val="center"/>
              <w:rPr>
                <w:rFonts w:ascii="Times New Roman" w:hAnsi="Times New Roman"/>
                <w:b/>
                <w:color w:val="000000"/>
                <w:sz w:val="16"/>
                <w:szCs w:val="16"/>
                <w:lang w:val="en-GB" w:eastAsia="en-GB"/>
              </w:rPr>
            </w:pPr>
            <w:r w:rsidRPr="000C7B4F">
              <w:rPr>
                <w:rFonts w:ascii="Times New Roman" w:hAnsi="Times New Roman"/>
                <w:b/>
                <w:color w:val="000000"/>
                <w:sz w:val="16"/>
                <w:szCs w:val="16"/>
                <w:lang w:val="en-GB" w:eastAsia="en-GB"/>
              </w:rPr>
              <w:t>MIR (n=424)</w:t>
            </w:r>
          </w:p>
        </w:tc>
        <w:tc>
          <w:tcPr>
            <w:tcW w:w="2070" w:type="dxa"/>
            <w:gridSpan w:val="3"/>
            <w:tcBorders>
              <w:top w:val="single" w:sz="12" w:space="0" w:color="auto"/>
              <w:left w:val="single" w:sz="4" w:space="0" w:color="auto"/>
              <w:bottom w:val="nil"/>
              <w:right w:val="nil"/>
            </w:tcBorders>
            <w:shd w:val="clear" w:color="auto" w:fill="auto"/>
            <w:noWrap/>
            <w:vAlign w:val="bottom"/>
            <w:hideMark/>
          </w:tcPr>
          <w:p w:rsidR="00D60232" w:rsidRPr="000C7B4F" w:rsidRDefault="00D60232" w:rsidP="004A756C">
            <w:pPr>
              <w:jc w:val="center"/>
              <w:rPr>
                <w:rFonts w:ascii="Times New Roman" w:hAnsi="Times New Roman"/>
                <w:b/>
                <w:color w:val="000000"/>
                <w:sz w:val="16"/>
                <w:szCs w:val="16"/>
                <w:lang w:val="en-GB" w:eastAsia="en-GB"/>
              </w:rPr>
            </w:pPr>
            <w:r w:rsidRPr="000C7B4F">
              <w:rPr>
                <w:rFonts w:ascii="Times New Roman" w:hAnsi="Times New Roman"/>
                <w:b/>
                <w:color w:val="000000"/>
                <w:sz w:val="16"/>
                <w:szCs w:val="16"/>
                <w:lang w:val="en-GB" w:eastAsia="en-GB"/>
              </w:rPr>
              <w:t>TREAD (n=288)</w:t>
            </w:r>
          </w:p>
        </w:tc>
        <w:tc>
          <w:tcPr>
            <w:tcW w:w="1824" w:type="dxa"/>
            <w:gridSpan w:val="4"/>
            <w:tcBorders>
              <w:top w:val="single" w:sz="12" w:space="0" w:color="auto"/>
              <w:left w:val="single" w:sz="4" w:space="0" w:color="auto"/>
              <w:bottom w:val="nil"/>
            </w:tcBorders>
          </w:tcPr>
          <w:p w:rsidR="00D60232" w:rsidRPr="000C7B4F" w:rsidRDefault="00D60232" w:rsidP="004A756C">
            <w:pPr>
              <w:jc w:val="center"/>
              <w:rPr>
                <w:rFonts w:ascii="Times New Roman" w:hAnsi="Times New Roman"/>
                <w:b/>
                <w:color w:val="000000"/>
                <w:sz w:val="16"/>
                <w:szCs w:val="16"/>
                <w:lang w:val="en-GB" w:eastAsia="en-GB"/>
              </w:rPr>
            </w:pPr>
            <w:r w:rsidRPr="000C7B4F">
              <w:rPr>
                <w:rFonts w:ascii="Times New Roman" w:hAnsi="Times New Roman"/>
                <w:color w:val="000000"/>
                <w:sz w:val="16"/>
                <w:szCs w:val="16"/>
                <w:lang w:val="en-GB" w:eastAsia="en-GB"/>
              </w:rPr>
              <w:t>Internal Cross-validation</w:t>
            </w:r>
          </w:p>
        </w:tc>
      </w:tr>
      <w:tr w:rsidR="00D60232" w:rsidRPr="000C7B4F" w:rsidTr="004A756C">
        <w:trPr>
          <w:trHeight w:val="20"/>
        </w:trPr>
        <w:tc>
          <w:tcPr>
            <w:tcW w:w="1850" w:type="dxa"/>
            <w:tcBorders>
              <w:top w:val="nil"/>
              <w:left w:val="nil"/>
              <w:bottom w:val="single" w:sz="8" w:space="0" w:color="auto"/>
              <w:right w:val="nil"/>
            </w:tcBorders>
            <w:vAlign w:val="center"/>
          </w:tcPr>
          <w:p w:rsidR="00D60232" w:rsidRPr="000C7B4F" w:rsidRDefault="00D60232" w:rsidP="004A756C">
            <w:pPr>
              <w:rPr>
                <w:rFonts w:ascii="Times New Roman" w:hAnsi="Times New Roman"/>
                <w:b/>
                <w:color w:val="000000"/>
                <w:sz w:val="16"/>
                <w:szCs w:val="16"/>
                <w:lang w:val="en-GB" w:eastAsia="en-GB"/>
              </w:rPr>
            </w:pPr>
            <w:r w:rsidRPr="000C7B4F">
              <w:rPr>
                <w:rFonts w:ascii="Times New Roman" w:hAnsi="Times New Roman"/>
                <w:color w:val="000000"/>
                <w:sz w:val="16"/>
                <w:szCs w:val="16"/>
                <w:lang w:val="en-GB" w:eastAsia="en-GB"/>
              </w:rPr>
              <w:t>Type of approach</w:t>
            </w:r>
          </w:p>
        </w:tc>
        <w:tc>
          <w:tcPr>
            <w:tcW w:w="2007" w:type="dxa"/>
            <w:tcBorders>
              <w:top w:val="nil"/>
              <w:left w:val="nil"/>
              <w:bottom w:val="single" w:sz="8" w:space="0" w:color="auto"/>
              <w:right w:val="single" w:sz="8" w:space="0" w:color="auto"/>
            </w:tcBorders>
            <w:shd w:val="clear" w:color="auto" w:fill="auto"/>
            <w:noWrap/>
            <w:vAlign w:val="bottom"/>
            <w:hideMark/>
          </w:tcPr>
          <w:p w:rsidR="00D60232" w:rsidRPr="000C7B4F" w:rsidRDefault="00D60232" w:rsidP="004A756C">
            <w:pPr>
              <w:rPr>
                <w:rFonts w:ascii="Times New Roman" w:hAnsi="Times New Roman"/>
                <w:b/>
                <w:color w:val="000000"/>
                <w:sz w:val="16"/>
                <w:szCs w:val="16"/>
                <w:lang w:val="en-GB" w:eastAsia="en-GB"/>
              </w:rPr>
            </w:pPr>
            <w:r w:rsidRPr="000C7B4F">
              <w:rPr>
                <w:rFonts w:ascii="Times New Roman" w:hAnsi="Times New Roman"/>
                <w:b/>
                <w:color w:val="000000"/>
                <w:sz w:val="16"/>
                <w:szCs w:val="16"/>
                <w:lang w:val="en-GB" w:eastAsia="en-GB"/>
              </w:rPr>
              <w:t>Model</w:t>
            </w:r>
          </w:p>
        </w:tc>
        <w:tc>
          <w:tcPr>
            <w:tcW w:w="742" w:type="dxa"/>
            <w:tcBorders>
              <w:top w:val="nil"/>
              <w:left w:val="single" w:sz="8" w:space="0" w:color="auto"/>
              <w:bottom w:val="single" w:sz="8" w:space="0" w:color="auto"/>
              <w:right w:val="nil"/>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RMSE</w:t>
            </w:r>
          </w:p>
        </w:tc>
        <w:tc>
          <w:tcPr>
            <w:tcW w:w="661" w:type="dxa"/>
            <w:tcBorders>
              <w:top w:val="nil"/>
              <w:left w:val="nil"/>
              <w:bottom w:val="single" w:sz="8" w:space="0" w:color="auto"/>
              <w:right w:val="nil"/>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Pr>
                <w:rFonts w:ascii="Times New Roman" w:hAnsi="Times New Roman"/>
                <w:color w:val="000000"/>
                <w:sz w:val="16"/>
                <w:szCs w:val="16"/>
                <w:lang w:val="en-GB" w:eastAsia="en-GB"/>
              </w:rPr>
              <w:t>R</w:t>
            </w:r>
            <w:r w:rsidRPr="000C7B4F">
              <w:rPr>
                <w:rFonts w:ascii="Times New Roman" w:hAnsi="Times New Roman"/>
                <w:color w:val="000000"/>
                <w:sz w:val="16"/>
                <w:szCs w:val="16"/>
                <w:vertAlign w:val="superscript"/>
                <w:lang w:val="en-GB" w:eastAsia="en-GB"/>
              </w:rPr>
              <w:t>2</w:t>
            </w:r>
          </w:p>
        </w:tc>
        <w:tc>
          <w:tcPr>
            <w:tcW w:w="664" w:type="dxa"/>
            <w:tcBorders>
              <w:top w:val="nil"/>
              <w:left w:val="nil"/>
              <w:bottom w:val="single" w:sz="8" w:space="0" w:color="auto"/>
              <w:right w:val="single" w:sz="8" w:space="0" w:color="auto"/>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MAE</w:t>
            </w:r>
          </w:p>
        </w:tc>
        <w:tc>
          <w:tcPr>
            <w:tcW w:w="742" w:type="dxa"/>
            <w:tcBorders>
              <w:top w:val="nil"/>
              <w:left w:val="single" w:sz="8" w:space="0" w:color="auto"/>
              <w:bottom w:val="single" w:sz="8" w:space="0" w:color="auto"/>
              <w:right w:val="nil"/>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RMSE</w:t>
            </w:r>
          </w:p>
        </w:tc>
        <w:tc>
          <w:tcPr>
            <w:tcW w:w="661" w:type="dxa"/>
            <w:tcBorders>
              <w:top w:val="nil"/>
              <w:left w:val="nil"/>
              <w:bottom w:val="single" w:sz="8" w:space="0" w:color="auto"/>
              <w:right w:val="nil"/>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Pr>
                <w:rFonts w:ascii="Times New Roman" w:hAnsi="Times New Roman"/>
                <w:color w:val="000000"/>
                <w:sz w:val="16"/>
                <w:szCs w:val="16"/>
                <w:lang w:val="en-GB" w:eastAsia="en-GB"/>
              </w:rPr>
              <w:t>R</w:t>
            </w:r>
            <w:r w:rsidRPr="000C7B4F">
              <w:rPr>
                <w:rFonts w:ascii="Times New Roman" w:hAnsi="Times New Roman"/>
                <w:color w:val="000000"/>
                <w:sz w:val="16"/>
                <w:szCs w:val="16"/>
                <w:vertAlign w:val="superscript"/>
                <w:lang w:val="en-GB" w:eastAsia="en-GB"/>
              </w:rPr>
              <w:t>2</w:t>
            </w:r>
          </w:p>
        </w:tc>
        <w:tc>
          <w:tcPr>
            <w:tcW w:w="744" w:type="dxa"/>
            <w:tcBorders>
              <w:top w:val="nil"/>
              <w:left w:val="nil"/>
              <w:bottom w:val="single" w:sz="8" w:space="0" w:color="auto"/>
              <w:right w:val="single" w:sz="8" w:space="0" w:color="auto"/>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MAE</w:t>
            </w:r>
          </w:p>
        </w:tc>
        <w:tc>
          <w:tcPr>
            <w:tcW w:w="742" w:type="dxa"/>
            <w:tcBorders>
              <w:top w:val="nil"/>
              <w:left w:val="single" w:sz="8" w:space="0" w:color="auto"/>
              <w:bottom w:val="single" w:sz="8" w:space="0" w:color="auto"/>
              <w:right w:val="nil"/>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RMSE</w:t>
            </w:r>
          </w:p>
        </w:tc>
        <w:tc>
          <w:tcPr>
            <w:tcW w:w="661" w:type="dxa"/>
            <w:tcBorders>
              <w:top w:val="nil"/>
              <w:left w:val="nil"/>
              <w:bottom w:val="single" w:sz="8" w:space="0" w:color="auto"/>
              <w:right w:val="nil"/>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Pr>
                <w:rFonts w:ascii="Times New Roman" w:hAnsi="Times New Roman"/>
                <w:color w:val="000000"/>
                <w:sz w:val="16"/>
                <w:szCs w:val="16"/>
                <w:lang w:val="en-GB" w:eastAsia="en-GB"/>
              </w:rPr>
              <w:t>R</w:t>
            </w:r>
            <w:r w:rsidRPr="000C7B4F">
              <w:rPr>
                <w:rFonts w:ascii="Times New Roman" w:hAnsi="Times New Roman"/>
                <w:color w:val="000000"/>
                <w:sz w:val="16"/>
                <w:szCs w:val="16"/>
                <w:vertAlign w:val="superscript"/>
                <w:lang w:val="en-GB" w:eastAsia="en-GB"/>
              </w:rPr>
              <w:t>2</w:t>
            </w:r>
          </w:p>
        </w:tc>
        <w:tc>
          <w:tcPr>
            <w:tcW w:w="664" w:type="dxa"/>
            <w:tcBorders>
              <w:top w:val="nil"/>
              <w:left w:val="nil"/>
              <w:bottom w:val="single" w:sz="8" w:space="0" w:color="auto"/>
              <w:right w:val="single" w:sz="8" w:space="0" w:color="auto"/>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MAE</w:t>
            </w:r>
          </w:p>
        </w:tc>
        <w:tc>
          <w:tcPr>
            <w:tcW w:w="742" w:type="dxa"/>
            <w:tcBorders>
              <w:top w:val="nil"/>
              <w:left w:val="single" w:sz="8" w:space="0" w:color="auto"/>
              <w:bottom w:val="single" w:sz="8" w:space="0" w:color="auto"/>
              <w:right w:val="nil"/>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RMSE</w:t>
            </w:r>
          </w:p>
        </w:tc>
        <w:tc>
          <w:tcPr>
            <w:tcW w:w="661" w:type="dxa"/>
            <w:tcBorders>
              <w:top w:val="nil"/>
              <w:left w:val="nil"/>
              <w:bottom w:val="single" w:sz="8" w:space="0" w:color="auto"/>
              <w:right w:val="nil"/>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Pr>
                <w:rFonts w:ascii="Times New Roman" w:hAnsi="Times New Roman"/>
                <w:color w:val="000000"/>
                <w:sz w:val="16"/>
                <w:szCs w:val="16"/>
                <w:lang w:val="en-GB" w:eastAsia="en-GB"/>
              </w:rPr>
              <w:t>R</w:t>
            </w:r>
            <w:r w:rsidRPr="000C7B4F">
              <w:rPr>
                <w:rFonts w:ascii="Times New Roman" w:hAnsi="Times New Roman"/>
                <w:color w:val="000000"/>
                <w:sz w:val="16"/>
                <w:szCs w:val="16"/>
                <w:vertAlign w:val="superscript"/>
                <w:lang w:val="en-GB" w:eastAsia="en-GB"/>
              </w:rPr>
              <w:t>2</w:t>
            </w:r>
          </w:p>
        </w:tc>
        <w:tc>
          <w:tcPr>
            <w:tcW w:w="667" w:type="dxa"/>
            <w:tcBorders>
              <w:top w:val="nil"/>
              <w:left w:val="nil"/>
              <w:bottom w:val="single" w:sz="8" w:space="0" w:color="auto"/>
              <w:right w:val="single" w:sz="8" w:space="0" w:color="auto"/>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MAE</w:t>
            </w:r>
          </w:p>
        </w:tc>
        <w:tc>
          <w:tcPr>
            <w:tcW w:w="662" w:type="dxa"/>
            <w:gridSpan w:val="2"/>
            <w:tcBorders>
              <w:top w:val="nil"/>
              <w:left w:val="single" w:sz="8" w:space="0" w:color="auto"/>
              <w:bottom w:val="single" w:sz="8" w:space="0" w:color="auto"/>
            </w:tcBorders>
            <w:vAlign w:val="bottom"/>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RMSE</w:t>
            </w:r>
          </w:p>
        </w:tc>
        <w:tc>
          <w:tcPr>
            <w:tcW w:w="581" w:type="dxa"/>
            <w:tcBorders>
              <w:top w:val="nil"/>
              <w:left w:val="nil"/>
              <w:bottom w:val="single" w:sz="8" w:space="0" w:color="auto"/>
              <w:right w:val="nil"/>
            </w:tcBorders>
            <w:vAlign w:val="bottom"/>
          </w:tcPr>
          <w:p w:rsidR="00D60232" w:rsidRPr="000C7B4F" w:rsidRDefault="00D60232" w:rsidP="004A756C">
            <w:pPr>
              <w:rPr>
                <w:rFonts w:ascii="Times New Roman" w:hAnsi="Times New Roman"/>
                <w:color w:val="000000"/>
                <w:sz w:val="16"/>
                <w:szCs w:val="16"/>
                <w:lang w:val="en-GB" w:eastAsia="en-GB"/>
              </w:rPr>
            </w:pPr>
            <w:r>
              <w:rPr>
                <w:rFonts w:ascii="Times New Roman" w:hAnsi="Times New Roman"/>
                <w:color w:val="000000"/>
                <w:sz w:val="16"/>
                <w:szCs w:val="16"/>
                <w:lang w:val="en-GB" w:eastAsia="en-GB"/>
              </w:rPr>
              <w:t>R</w:t>
            </w:r>
            <w:r w:rsidRPr="000C7B4F">
              <w:rPr>
                <w:rFonts w:ascii="Times New Roman" w:hAnsi="Times New Roman"/>
                <w:color w:val="000000"/>
                <w:sz w:val="16"/>
                <w:szCs w:val="16"/>
                <w:vertAlign w:val="superscript"/>
                <w:lang w:val="en-GB" w:eastAsia="en-GB"/>
              </w:rPr>
              <w:t>2</w:t>
            </w:r>
          </w:p>
        </w:tc>
        <w:tc>
          <w:tcPr>
            <w:tcW w:w="581" w:type="dxa"/>
            <w:tcBorders>
              <w:top w:val="nil"/>
              <w:left w:val="nil"/>
              <w:bottom w:val="single" w:sz="8" w:space="0" w:color="auto"/>
              <w:right w:val="nil"/>
            </w:tcBorders>
            <w:vAlign w:val="bottom"/>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MAE</w:t>
            </w:r>
          </w:p>
        </w:tc>
      </w:tr>
      <w:tr w:rsidR="00D60232" w:rsidRPr="000C7B4F" w:rsidTr="004A756C">
        <w:trPr>
          <w:trHeight w:val="20"/>
        </w:trPr>
        <w:tc>
          <w:tcPr>
            <w:tcW w:w="1850" w:type="dxa"/>
            <w:vMerge w:val="restart"/>
            <w:tcBorders>
              <w:top w:val="single" w:sz="8" w:space="0" w:color="auto"/>
              <w:left w:val="nil"/>
              <w:bottom w:val="single" w:sz="8" w:space="0" w:color="auto"/>
            </w:tcBorders>
            <w:vAlign w:val="center"/>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sz w:val="16"/>
                <w:szCs w:val="16"/>
                <w:lang w:val="en-GB" w:eastAsia="en-GB"/>
              </w:rPr>
              <w:t>Weighted Sum-scores</w:t>
            </w:r>
          </w:p>
        </w:tc>
        <w:tc>
          <w:tcPr>
            <w:tcW w:w="2007" w:type="dxa"/>
            <w:tcBorders>
              <w:top w:val="nil"/>
              <w:left w:val="nil"/>
              <w:bottom w:val="nil"/>
              <w:right w:val="single" w:sz="8" w:space="0" w:color="auto"/>
            </w:tcBorders>
            <w:shd w:val="clear" w:color="auto" w:fill="auto"/>
            <w:noWrap/>
            <w:vAlign w:val="bottom"/>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1. EI 1-step</w:t>
            </w:r>
          </w:p>
        </w:tc>
        <w:tc>
          <w:tcPr>
            <w:tcW w:w="742" w:type="dxa"/>
            <w:tcBorders>
              <w:top w:val="nil"/>
              <w:left w:val="single" w:sz="8" w:space="0" w:color="auto"/>
              <w:bottom w:val="nil"/>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rPr>
              <w:t>11.855</w:t>
            </w:r>
          </w:p>
        </w:tc>
        <w:tc>
          <w:tcPr>
            <w:tcW w:w="661" w:type="dxa"/>
            <w:tcBorders>
              <w:top w:val="nil"/>
              <w:left w:val="nil"/>
              <w:bottom w:val="nil"/>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Pr>
                <w:rFonts w:ascii="Times New Roman" w:hAnsi="Times New Roman"/>
                <w:sz w:val="16"/>
                <w:szCs w:val="16"/>
                <w:lang w:val="en-GB" w:eastAsia="en-GB"/>
              </w:rPr>
              <w:t>0.103</w:t>
            </w:r>
          </w:p>
        </w:tc>
        <w:tc>
          <w:tcPr>
            <w:tcW w:w="664" w:type="dxa"/>
            <w:tcBorders>
              <w:top w:val="nil"/>
              <w:left w:val="nil"/>
              <w:bottom w:val="nil"/>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rPr>
              <w:t>9.332</w:t>
            </w:r>
          </w:p>
        </w:tc>
        <w:tc>
          <w:tcPr>
            <w:tcW w:w="742" w:type="dxa"/>
            <w:tcBorders>
              <w:top w:val="nil"/>
              <w:left w:val="single" w:sz="8" w:space="0" w:color="auto"/>
              <w:bottom w:val="nil"/>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rPr>
              <w:t>13.624</w:t>
            </w:r>
          </w:p>
        </w:tc>
        <w:tc>
          <w:tcPr>
            <w:tcW w:w="661" w:type="dxa"/>
            <w:tcBorders>
              <w:top w:val="nil"/>
              <w:left w:val="nil"/>
              <w:bottom w:val="nil"/>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Pr>
                <w:rFonts w:ascii="Times New Roman" w:hAnsi="Times New Roman"/>
                <w:sz w:val="16"/>
                <w:szCs w:val="16"/>
                <w:lang w:val="en-GB" w:eastAsia="en-GB"/>
              </w:rPr>
              <w:t>0.039</w:t>
            </w:r>
          </w:p>
        </w:tc>
        <w:tc>
          <w:tcPr>
            <w:tcW w:w="744" w:type="dxa"/>
            <w:tcBorders>
              <w:top w:val="nil"/>
              <w:left w:val="nil"/>
              <w:bottom w:val="nil"/>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rPr>
              <w:t>10.644</w:t>
            </w:r>
          </w:p>
        </w:tc>
        <w:tc>
          <w:tcPr>
            <w:tcW w:w="742" w:type="dxa"/>
            <w:tcBorders>
              <w:top w:val="nil"/>
              <w:left w:val="single" w:sz="8" w:space="0" w:color="auto"/>
              <w:bottom w:val="nil"/>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rPr>
              <w:t>11.077</w:t>
            </w:r>
          </w:p>
        </w:tc>
        <w:tc>
          <w:tcPr>
            <w:tcW w:w="661" w:type="dxa"/>
            <w:tcBorders>
              <w:top w:val="nil"/>
              <w:left w:val="nil"/>
              <w:bottom w:val="nil"/>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Pr>
                <w:rFonts w:ascii="Times New Roman" w:hAnsi="Times New Roman"/>
                <w:sz w:val="16"/>
                <w:szCs w:val="16"/>
                <w:lang w:val="en-GB" w:eastAsia="en-GB"/>
              </w:rPr>
              <w:t>0.143</w:t>
            </w:r>
          </w:p>
        </w:tc>
        <w:tc>
          <w:tcPr>
            <w:tcW w:w="664" w:type="dxa"/>
            <w:tcBorders>
              <w:top w:val="nil"/>
              <w:left w:val="nil"/>
              <w:bottom w:val="nil"/>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rPr>
              <w:t>8.920</w:t>
            </w:r>
          </w:p>
        </w:tc>
        <w:tc>
          <w:tcPr>
            <w:tcW w:w="742" w:type="dxa"/>
            <w:tcBorders>
              <w:top w:val="nil"/>
              <w:left w:val="single" w:sz="8" w:space="0" w:color="auto"/>
              <w:bottom w:val="nil"/>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rPr>
              <w:t>11.514</w:t>
            </w:r>
          </w:p>
        </w:tc>
        <w:tc>
          <w:tcPr>
            <w:tcW w:w="661" w:type="dxa"/>
            <w:tcBorders>
              <w:top w:val="nil"/>
              <w:left w:val="nil"/>
              <w:bottom w:val="nil"/>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Pr>
                <w:rFonts w:ascii="Times New Roman" w:hAnsi="Times New Roman"/>
                <w:sz w:val="16"/>
                <w:szCs w:val="16"/>
                <w:lang w:val="en-GB" w:eastAsia="en-GB"/>
              </w:rPr>
              <w:t>0.081</w:t>
            </w:r>
          </w:p>
        </w:tc>
        <w:tc>
          <w:tcPr>
            <w:tcW w:w="667" w:type="dxa"/>
            <w:tcBorders>
              <w:top w:val="single" w:sz="8" w:space="0" w:color="auto"/>
              <w:left w:val="nil"/>
              <w:bottom w:val="nil"/>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rPr>
              <w:t>8.940</w:t>
            </w:r>
          </w:p>
        </w:tc>
        <w:tc>
          <w:tcPr>
            <w:tcW w:w="662" w:type="dxa"/>
            <w:gridSpan w:val="2"/>
            <w:tcBorders>
              <w:top w:val="nil"/>
              <w:left w:val="single" w:sz="8" w:space="0" w:color="auto"/>
              <w:bottom w:val="nil"/>
              <w:right w:val="nil"/>
            </w:tcBorders>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10.169</w:t>
            </w:r>
          </w:p>
        </w:tc>
        <w:tc>
          <w:tcPr>
            <w:tcW w:w="581" w:type="dxa"/>
            <w:tcBorders>
              <w:top w:val="nil"/>
              <w:left w:val="nil"/>
              <w:bottom w:val="nil"/>
              <w:right w:val="nil"/>
            </w:tcBorders>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0.152</w:t>
            </w:r>
          </w:p>
        </w:tc>
        <w:tc>
          <w:tcPr>
            <w:tcW w:w="581" w:type="dxa"/>
            <w:tcBorders>
              <w:top w:val="nil"/>
              <w:left w:val="nil"/>
              <w:bottom w:val="nil"/>
              <w:right w:val="nil"/>
            </w:tcBorders>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7.999</w:t>
            </w:r>
          </w:p>
        </w:tc>
      </w:tr>
      <w:tr w:rsidR="00D60232" w:rsidRPr="000C7B4F" w:rsidTr="004A756C">
        <w:trPr>
          <w:trHeight w:val="20"/>
        </w:trPr>
        <w:tc>
          <w:tcPr>
            <w:tcW w:w="1850" w:type="dxa"/>
            <w:vMerge/>
            <w:tcBorders>
              <w:top w:val="single" w:sz="8" w:space="0" w:color="auto"/>
              <w:left w:val="nil"/>
              <w:bottom w:val="single" w:sz="8" w:space="0" w:color="auto"/>
            </w:tcBorders>
            <w:vAlign w:val="center"/>
          </w:tcPr>
          <w:p w:rsidR="00D60232" w:rsidRPr="000C7B4F" w:rsidRDefault="00D60232" w:rsidP="004A756C">
            <w:pPr>
              <w:rPr>
                <w:rFonts w:ascii="Times New Roman" w:hAnsi="Times New Roman"/>
                <w:color w:val="000000"/>
                <w:sz w:val="16"/>
                <w:szCs w:val="16"/>
                <w:lang w:val="en-GB" w:eastAsia="en-GB"/>
              </w:rPr>
            </w:pPr>
          </w:p>
        </w:tc>
        <w:tc>
          <w:tcPr>
            <w:tcW w:w="2007" w:type="dxa"/>
            <w:tcBorders>
              <w:top w:val="nil"/>
              <w:left w:val="nil"/>
              <w:bottom w:val="nil"/>
              <w:right w:val="single" w:sz="8" w:space="0" w:color="auto"/>
            </w:tcBorders>
            <w:shd w:val="clear" w:color="auto" w:fill="auto"/>
            <w:noWrap/>
            <w:vAlign w:val="bottom"/>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2. EI 2-Step</w:t>
            </w:r>
          </w:p>
        </w:tc>
        <w:tc>
          <w:tcPr>
            <w:tcW w:w="742" w:type="dxa"/>
            <w:tcBorders>
              <w:top w:val="nil"/>
              <w:left w:val="single" w:sz="8" w:space="0" w:color="auto"/>
              <w:bottom w:val="nil"/>
              <w:right w:val="nil"/>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11.853</w:t>
            </w:r>
          </w:p>
        </w:tc>
        <w:tc>
          <w:tcPr>
            <w:tcW w:w="661" w:type="dxa"/>
            <w:tcBorders>
              <w:top w:val="nil"/>
              <w:left w:val="nil"/>
              <w:bottom w:val="nil"/>
              <w:right w:val="nil"/>
            </w:tcBorders>
            <w:shd w:val="clear" w:color="auto" w:fill="auto"/>
            <w:noWrap/>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0.104</w:t>
            </w:r>
          </w:p>
        </w:tc>
        <w:tc>
          <w:tcPr>
            <w:tcW w:w="664" w:type="dxa"/>
            <w:tcBorders>
              <w:top w:val="nil"/>
              <w:left w:val="nil"/>
              <w:bottom w:val="nil"/>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9.329</w:t>
            </w:r>
          </w:p>
        </w:tc>
        <w:tc>
          <w:tcPr>
            <w:tcW w:w="742" w:type="dxa"/>
            <w:tcBorders>
              <w:top w:val="nil"/>
              <w:left w:val="single" w:sz="8" w:space="0" w:color="auto"/>
              <w:bottom w:val="nil"/>
              <w:right w:val="nil"/>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13.628</w:t>
            </w:r>
          </w:p>
        </w:tc>
        <w:tc>
          <w:tcPr>
            <w:tcW w:w="661" w:type="dxa"/>
            <w:tcBorders>
              <w:top w:val="nil"/>
              <w:left w:val="nil"/>
              <w:bottom w:val="nil"/>
              <w:right w:val="nil"/>
            </w:tcBorders>
            <w:shd w:val="clear" w:color="auto" w:fill="auto"/>
            <w:noWrap/>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0.039</w:t>
            </w:r>
          </w:p>
        </w:tc>
        <w:tc>
          <w:tcPr>
            <w:tcW w:w="744" w:type="dxa"/>
            <w:tcBorders>
              <w:top w:val="nil"/>
              <w:left w:val="nil"/>
              <w:bottom w:val="nil"/>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10.647</w:t>
            </w:r>
          </w:p>
        </w:tc>
        <w:tc>
          <w:tcPr>
            <w:tcW w:w="742" w:type="dxa"/>
            <w:tcBorders>
              <w:top w:val="nil"/>
              <w:left w:val="single" w:sz="8" w:space="0" w:color="auto"/>
              <w:bottom w:val="nil"/>
              <w:right w:val="nil"/>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11.072</w:t>
            </w:r>
          </w:p>
        </w:tc>
        <w:tc>
          <w:tcPr>
            <w:tcW w:w="661" w:type="dxa"/>
            <w:tcBorders>
              <w:top w:val="nil"/>
              <w:left w:val="nil"/>
              <w:bottom w:val="nil"/>
              <w:right w:val="nil"/>
            </w:tcBorders>
            <w:shd w:val="clear" w:color="auto" w:fill="auto"/>
            <w:noWrap/>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0.143</w:t>
            </w:r>
          </w:p>
        </w:tc>
        <w:tc>
          <w:tcPr>
            <w:tcW w:w="664" w:type="dxa"/>
            <w:tcBorders>
              <w:top w:val="nil"/>
              <w:left w:val="nil"/>
              <w:bottom w:val="nil"/>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8.914</w:t>
            </w:r>
          </w:p>
        </w:tc>
        <w:tc>
          <w:tcPr>
            <w:tcW w:w="742" w:type="dxa"/>
            <w:tcBorders>
              <w:top w:val="nil"/>
              <w:left w:val="single" w:sz="8" w:space="0" w:color="auto"/>
              <w:bottom w:val="nil"/>
              <w:right w:val="nil"/>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11.509</w:t>
            </w:r>
          </w:p>
        </w:tc>
        <w:tc>
          <w:tcPr>
            <w:tcW w:w="661" w:type="dxa"/>
            <w:tcBorders>
              <w:top w:val="nil"/>
              <w:left w:val="nil"/>
              <w:bottom w:val="nil"/>
              <w:right w:val="nil"/>
            </w:tcBorders>
            <w:shd w:val="clear" w:color="auto" w:fill="auto"/>
            <w:noWrap/>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0.081</w:t>
            </w:r>
          </w:p>
        </w:tc>
        <w:tc>
          <w:tcPr>
            <w:tcW w:w="667" w:type="dxa"/>
            <w:tcBorders>
              <w:top w:val="nil"/>
              <w:left w:val="nil"/>
              <w:bottom w:val="nil"/>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8.937</w:t>
            </w:r>
          </w:p>
        </w:tc>
        <w:tc>
          <w:tcPr>
            <w:tcW w:w="662" w:type="dxa"/>
            <w:gridSpan w:val="2"/>
            <w:tcBorders>
              <w:top w:val="nil"/>
              <w:left w:val="single" w:sz="8" w:space="0" w:color="auto"/>
              <w:bottom w:val="nil"/>
              <w:right w:val="nil"/>
            </w:tcBorders>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10.167</w:t>
            </w:r>
          </w:p>
        </w:tc>
        <w:tc>
          <w:tcPr>
            <w:tcW w:w="581" w:type="dxa"/>
            <w:tcBorders>
              <w:top w:val="nil"/>
              <w:left w:val="nil"/>
              <w:bottom w:val="nil"/>
              <w:right w:val="nil"/>
            </w:tcBorders>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0.152</w:t>
            </w:r>
          </w:p>
        </w:tc>
        <w:tc>
          <w:tcPr>
            <w:tcW w:w="581" w:type="dxa"/>
            <w:tcBorders>
              <w:top w:val="nil"/>
              <w:left w:val="nil"/>
              <w:bottom w:val="nil"/>
              <w:right w:val="nil"/>
            </w:tcBorders>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7.998</w:t>
            </w:r>
          </w:p>
        </w:tc>
      </w:tr>
      <w:tr w:rsidR="00D60232" w:rsidRPr="000C7B4F" w:rsidTr="004A756C">
        <w:trPr>
          <w:trHeight w:val="20"/>
        </w:trPr>
        <w:tc>
          <w:tcPr>
            <w:tcW w:w="1850" w:type="dxa"/>
            <w:vMerge/>
            <w:tcBorders>
              <w:top w:val="single" w:sz="8" w:space="0" w:color="auto"/>
              <w:left w:val="nil"/>
              <w:bottom w:val="single" w:sz="8" w:space="0" w:color="auto"/>
            </w:tcBorders>
            <w:vAlign w:val="center"/>
          </w:tcPr>
          <w:p w:rsidR="00D60232" w:rsidRPr="000C7B4F" w:rsidRDefault="00D60232" w:rsidP="004A756C">
            <w:pPr>
              <w:rPr>
                <w:rFonts w:ascii="Times New Roman" w:hAnsi="Times New Roman"/>
                <w:color w:val="000000"/>
                <w:sz w:val="16"/>
                <w:szCs w:val="16"/>
                <w:lang w:val="en-GB" w:eastAsia="en-GB"/>
              </w:rPr>
            </w:pPr>
          </w:p>
        </w:tc>
        <w:tc>
          <w:tcPr>
            <w:tcW w:w="2007" w:type="dxa"/>
            <w:tcBorders>
              <w:top w:val="nil"/>
              <w:left w:val="nil"/>
              <w:right w:val="single" w:sz="8" w:space="0" w:color="auto"/>
            </w:tcBorders>
            <w:shd w:val="clear" w:color="auto" w:fill="auto"/>
            <w:noWrap/>
            <w:vAlign w:val="bottom"/>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3. Geometric-mean PR/PC</w:t>
            </w:r>
          </w:p>
        </w:tc>
        <w:tc>
          <w:tcPr>
            <w:tcW w:w="742" w:type="dxa"/>
            <w:tcBorders>
              <w:top w:val="nil"/>
              <w:left w:val="single" w:sz="8" w:space="0" w:color="auto"/>
              <w:right w:val="nil"/>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11.843</w:t>
            </w:r>
          </w:p>
        </w:tc>
        <w:tc>
          <w:tcPr>
            <w:tcW w:w="661" w:type="dxa"/>
            <w:tcBorders>
              <w:top w:val="nil"/>
              <w:left w:val="nil"/>
              <w:right w:val="nil"/>
            </w:tcBorders>
            <w:shd w:val="clear" w:color="auto" w:fill="auto"/>
            <w:noWrap/>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0.105</w:t>
            </w:r>
          </w:p>
        </w:tc>
        <w:tc>
          <w:tcPr>
            <w:tcW w:w="664" w:type="dxa"/>
            <w:tcBorders>
              <w:top w:val="nil"/>
              <w:left w:val="nil"/>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9.447</w:t>
            </w:r>
          </w:p>
        </w:tc>
        <w:tc>
          <w:tcPr>
            <w:tcW w:w="742" w:type="dxa"/>
            <w:tcBorders>
              <w:top w:val="nil"/>
              <w:left w:val="single" w:sz="8" w:space="0" w:color="auto"/>
              <w:right w:val="nil"/>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13.575</w:t>
            </w:r>
          </w:p>
        </w:tc>
        <w:tc>
          <w:tcPr>
            <w:tcW w:w="661" w:type="dxa"/>
            <w:tcBorders>
              <w:top w:val="nil"/>
              <w:left w:val="nil"/>
              <w:right w:val="nil"/>
            </w:tcBorders>
            <w:shd w:val="clear" w:color="auto" w:fill="auto"/>
            <w:noWrap/>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0.046</w:t>
            </w:r>
          </w:p>
        </w:tc>
        <w:tc>
          <w:tcPr>
            <w:tcW w:w="744" w:type="dxa"/>
            <w:tcBorders>
              <w:top w:val="nil"/>
              <w:left w:val="nil"/>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10.593</w:t>
            </w:r>
          </w:p>
        </w:tc>
        <w:tc>
          <w:tcPr>
            <w:tcW w:w="742" w:type="dxa"/>
            <w:tcBorders>
              <w:top w:val="nil"/>
              <w:left w:val="single" w:sz="8" w:space="0" w:color="auto"/>
              <w:right w:val="nil"/>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11.081</w:t>
            </w:r>
          </w:p>
        </w:tc>
        <w:tc>
          <w:tcPr>
            <w:tcW w:w="661" w:type="dxa"/>
            <w:tcBorders>
              <w:top w:val="nil"/>
              <w:left w:val="nil"/>
              <w:right w:val="nil"/>
            </w:tcBorders>
            <w:shd w:val="clear" w:color="auto" w:fill="auto"/>
            <w:noWrap/>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0.142</w:t>
            </w:r>
          </w:p>
        </w:tc>
        <w:tc>
          <w:tcPr>
            <w:tcW w:w="664" w:type="dxa"/>
            <w:tcBorders>
              <w:top w:val="nil"/>
              <w:left w:val="nil"/>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8.999</w:t>
            </w:r>
          </w:p>
        </w:tc>
        <w:tc>
          <w:tcPr>
            <w:tcW w:w="742" w:type="dxa"/>
            <w:tcBorders>
              <w:top w:val="nil"/>
              <w:left w:val="single" w:sz="8" w:space="0" w:color="auto"/>
              <w:right w:val="nil"/>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11.563</w:t>
            </w:r>
          </w:p>
        </w:tc>
        <w:tc>
          <w:tcPr>
            <w:tcW w:w="661" w:type="dxa"/>
            <w:tcBorders>
              <w:top w:val="nil"/>
              <w:left w:val="nil"/>
              <w:right w:val="nil"/>
            </w:tcBorders>
            <w:shd w:val="clear" w:color="auto" w:fill="auto"/>
            <w:noWrap/>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0.081</w:t>
            </w:r>
          </w:p>
        </w:tc>
        <w:tc>
          <w:tcPr>
            <w:tcW w:w="667" w:type="dxa"/>
            <w:tcBorders>
              <w:top w:val="nil"/>
              <w:left w:val="nil"/>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9.327</w:t>
            </w:r>
          </w:p>
        </w:tc>
        <w:tc>
          <w:tcPr>
            <w:tcW w:w="662" w:type="dxa"/>
            <w:gridSpan w:val="2"/>
            <w:tcBorders>
              <w:top w:val="nil"/>
              <w:left w:val="single" w:sz="8" w:space="0" w:color="auto"/>
              <w:right w:val="nil"/>
            </w:tcBorders>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10.117</w:t>
            </w:r>
          </w:p>
        </w:tc>
        <w:tc>
          <w:tcPr>
            <w:tcW w:w="581" w:type="dxa"/>
            <w:tcBorders>
              <w:top w:val="nil"/>
              <w:left w:val="nil"/>
              <w:right w:val="nil"/>
            </w:tcBorders>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0.161</w:t>
            </w:r>
          </w:p>
        </w:tc>
        <w:tc>
          <w:tcPr>
            <w:tcW w:w="581" w:type="dxa"/>
            <w:tcBorders>
              <w:top w:val="nil"/>
              <w:left w:val="nil"/>
              <w:right w:val="nil"/>
            </w:tcBorders>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7.961</w:t>
            </w:r>
          </w:p>
        </w:tc>
      </w:tr>
      <w:tr w:rsidR="00D60232" w:rsidRPr="000C7B4F" w:rsidTr="004A756C">
        <w:trPr>
          <w:trHeight w:val="20"/>
        </w:trPr>
        <w:tc>
          <w:tcPr>
            <w:tcW w:w="1850" w:type="dxa"/>
            <w:vMerge/>
            <w:tcBorders>
              <w:top w:val="single" w:sz="8" w:space="0" w:color="auto"/>
              <w:left w:val="nil"/>
              <w:bottom w:val="single" w:sz="8" w:space="0" w:color="auto"/>
            </w:tcBorders>
            <w:vAlign w:val="center"/>
          </w:tcPr>
          <w:p w:rsidR="00D60232" w:rsidRPr="000C7B4F" w:rsidRDefault="00D60232" w:rsidP="004A756C">
            <w:pPr>
              <w:rPr>
                <w:rFonts w:ascii="Times New Roman" w:hAnsi="Times New Roman"/>
                <w:color w:val="000000"/>
                <w:sz w:val="16"/>
                <w:szCs w:val="16"/>
                <w:lang w:val="en-GB" w:eastAsia="en-GB"/>
              </w:rPr>
            </w:pPr>
          </w:p>
        </w:tc>
        <w:tc>
          <w:tcPr>
            <w:tcW w:w="2007" w:type="dxa"/>
            <w:tcBorders>
              <w:top w:val="nil"/>
              <w:left w:val="nil"/>
              <w:bottom w:val="single" w:sz="8" w:space="0" w:color="auto"/>
              <w:right w:val="single" w:sz="8" w:space="0" w:color="auto"/>
            </w:tcBorders>
            <w:shd w:val="clear" w:color="auto" w:fill="auto"/>
            <w:noWrap/>
            <w:vAlign w:val="bottom"/>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4. CFA</w:t>
            </w:r>
          </w:p>
        </w:tc>
        <w:tc>
          <w:tcPr>
            <w:tcW w:w="742" w:type="dxa"/>
            <w:tcBorders>
              <w:top w:val="nil"/>
              <w:left w:val="single" w:sz="8" w:space="0" w:color="auto"/>
              <w:bottom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rPr>
              <w:t>11.863</w:t>
            </w:r>
          </w:p>
        </w:tc>
        <w:tc>
          <w:tcPr>
            <w:tcW w:w="661" w:type="dxa"/>
            <w:tcBorders>
              <w:top w:val="nil"/>
              <w:bottom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Pr>
                <w:rFonts w:ascii="Times New Roman" w:hAnsi="Times New Roman"/>
                <w:sz w:val="16"/>
                <w:szCs w:val="16"/>
                <w:lang w:val="en-GB" w:eastAsia="en-GB"/>
              </w:rPr>
              <w:t>0.102</w:t>
            </w:r>
          </w:p>
        </w:tc>
        <w:tc>
          <w:tcPr>
            <w:tcW w:w="664" w:type="dxa"/>
            <w:tcBorders>
              <w:top w:val="nil"/>
              <w:bottom w:val="single" w:sz="8" w:space="0" w:color="auto"/>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rPr>
              <w:t>9.477</w:t>
            </w:r>
          </w:p>
        </w:tc>
        <w:tc>
          <w:tcPr>
            <w:tcW w:w="742" w:type="dxa"/>
            <w:tcBorders>
              <w:top w:val="nil"/>
              <w:left w:val="single" w:sz="8" w:space="0" w:color="auto"/>
              <w:bottom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rPr>
              <w:t>13.613</w:t>
            </w:r>
          </w:p>
        </w:tc>
        <w:tc>
          <w:tcPr>
            <w:tcW w:w="661" w:type="dxa"/>
            <w:tcBorders>
              <w:top w:val="nil"/>
              <w:bottom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Pr>
                <w:rFonts w:ascii="Times New Roman" w:hAnsi="Times New Roman"/>
                <w:sz w:val="16"/>
                <w:szCs w:val="16"/>
                <w:lang w:val="en-GB" w:eastAsia="en-GB"/>
              </w:rPr>
              <w:t>0.041</w:t>
            </w:r>
          </w:p>
        </w:tc>
        <w:tc>
          <w:tcPr>
            <w:tcW w:w="744" w:type="dxa"/>
            <w:tcBorders>
              <w:top w:val="nil"/>
              <w:bottom w:val="single" w:sz="8" w:space="0" w:color="auto"/>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rPr>
              <w:t>10.639</w:t>
            </w:r>
          </w:p>
        </w:tc>
        <w:tc>
          <w:tcPr>
            <w:tcW w:w="742" w:type="dxa"/>
            <w:tcBorders>
              <w:top w:val="nil"/>
              <w:left w:val="single" w:sz="8" w:space="0" w:color="auto"/>
              <w:bottom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rPr>
              <w:t>11.067</w:t>
            </w:r>
          </w:p>
        </w:tc>
        <w:tc>
          <w:tcPr>
            <w:tcW w:w="661" w:type="dxa"/>
            <w:tcBorders>
              <w:top w:val="nil"/>
              <w:bottom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Pr>
                <w:rFonts w:ascii="Times New Roman" w:hAnsi="Times New Roman"/>
                <w:sz w:val="16"/>
                <w:szCs w:val="16"/>
                <w:lang w:val="en-GB" w:eastAsia="en-GB"/>
              </w:rPr>
              <w:t>0.144</w:t>
            </w:r>
          </w:p>
        </w:tc>
        <w:tc>
          <w:tcPr>
            <w:tcW w:w="664" w:type="dxa"/>
            <w:tcBorders>
              <w:top w:val="nil"/>
              <w:bottom w:val="single" w:sz="8" w:space="0" w:color="auto"/>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rPr>
              <w:t>8.978</w:t>
            </w:r>
          </w:p>
        </w:tc>
        <w:tc>
          <w:tcPr>
            <w:tcW w:w="742" w:type="dxa"/>
            <w:tcBorders>
              <w:top w:val="nil"/>
              <w:left w:val="single" w:sz="8" w:space="0" w:color="auto"/>
              <w:bottom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rPr>
              <w:t>11.563</w:t>
            </w:r>
          </w:p>
        </w:tc>
        <w:tc>
          <w:tcPr>
            <w:tcW w:w="661" w:type="dxa"/>
            <w:tcBorders>
              <w:top w:val="nil"/>
              <w:bottom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Pr>
                <w:rFonts w:ascii="Times New Roman" w:hAnsi="Times New Roman"/>
                <w:sz w:val="16"/>
                <w:szCs w:val="16"/>
                <w:lang w:val="en-GB" w:eastAsia="en-GB"/>
              </w:rPr>
              <w:t>0.073</w:t>
            </w:r>
          </w:p>
        </w:tc>
        <w:tc>
          <w:tcPr>
            <w:tcW w:w="667" w:type="dxa"/>
            <w:tcBorders>
              <w:top w:val="nil"/>
              <w:bottom w:val="single" w:sz="8" w:space="0" w:color="auto"/>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rPr>
              <w:t>9.327</w:t>
            </w:r>
          </w:p>
        </w:tc>
        <w:tc>
          <w:tcPr>
            <w:tcW w:w="662" w:type="dxa"/>
            <w:gridSpan w:val="2"/>
            <w:tcBorders>
              <w:top w:val="nil"/>
              <w:left w:val="single" w:sz="8" w:space="0" w:color="auto"/>
              <w:bottom w:val="single" w:sz="8" w:space="0" w:color="auto"/>
            </w:tcBorders>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10.122</w:t>
            </w:r>
          </w:p>
        </w:tc>
        <w:tc>
          <w:tcPr>
            <w:tcW w:w="581" w:type="dxa"/>
            <w:tcBorders>
              <w:top w:val="nil"/>
              <w:bottom w:val="single" w:sz="8" w:space="0" w:color="auto"/>
            </w:tcBorders>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0.160</w:t>
            </w:r>
          </w:p>
        </w:tc>
        <w:tc>
          <w:tcPr>
            <w:tcW w:w="581" w:type="dxa"/>
            <w:tcBorders>
              <w:top w:val="nil"/>
              <w:bottom w:val="single" w:sz="8" w:space="0" w:color="auto"/>
              <w:right w:val="nil"/>
            </w:tcBorders>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7.978</w:t>
            </w:r>
          </w:p>
        </w:tc>
      </w:tr>
      <w:tr w:rsidR="00D60232" w:rsidRPr="000C7B4F" w:rsidTr="004A756C">
        <w:trPr>
          <w:trHeight w:val="20"/>
        </w:trPr>
        <w:tc>
          <w:tcPr>
            <w:tcW w:w="1850" w:type="dxa"/>
            <w:vMerge w:val="restart"/>
            <w:tcBorders>
              <w:top w:val="single" w:sz="8" w:space="0" w:color="auto"/>
              <w:left w:val="nil"/>
              <w:bottom w:val="single" w:sz="8" w:space="0" w:color="auto"/>
            </w:tcBorders>
            <w:vAlign w:val="center"/>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sz w:val="16"/>
                <w:szCs w:val="16"/>
                <w:lang w:val="en-GB" w:eastAsia="en-GB"/>
              </w:rPr>
              <w:t>Unweighted Sum-scores</w:t>
            </w:r>
          </w:p>
        </w:tc>
        <w:tc>
          <w:tcPr>
            <w:tcW w:w="2007" w:type="dxa"/>
            <w:tcBorders>
              <w:top w:val="single" w:sz="8" w:space="0" w:color="auto"/>
              <w:left w:val="nil"/>
              <w:right w:val="single" w:sz="8" w:space="0" w:color="auto"/>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5. ENR</w:t>
            </w:r>
            <w:r w:rsidR="004A756C">
              <w:rPr>
                <w:rFonts w:ascii="Times New Roman" w:hAnsi="Times New Roman"/>
                <w:color w:val="000000"/>
                <w:sz w:val="16"/>
                <w:szCs w:val="16"/>
                <w:lang w:val="en-GB" w:eastAsia="en-GB"/>
              </w:rPr>
              <w:t>*</w:t>
            </w:r>
          </w:p>
        </w:tc>
        <w:tc>
          <w:tcPr>
            <w:tcW w:w="742" w:type="dxa"/>
            <w:tcBorders>
              <w:top w:val="single" w:sz="8" w:space="0" w:color="auto"/>
              <w:left w:val="single" w:sz="8" w:space="0" w:color="auto"/>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rPr>
              <w:t>11.859</w:t>
            </w:r>
          </w:p>
        </w:tc>
        <w:tc>
          <w:tcPr>
            <w:tcW w:w="661" w:type="dxa"/>
            <w:tcBorders>
              <w:top w:val="single" w:sz="8" w:space="0" w:color="auto"/>
              <w:left w:val="nil"/>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Pr>
                <w:rFonts w:ascii="Times New Roman" w:hAnsi="Times New Roman"/>
                <w:sz w:val="16"/>
                <w:szCs w:val="16"/>
                <w:lang w:val="en-GB" w:eastAsia="en-GB"/>
              </w:rPr>
              <w:t>0.103</w:t>
            </w:r>
          </w:p>
        </w:tc>
        <w:tc>
          <w:tcPr>
            <w:tcW w:w="664" w:type="dxa"/>
            <w:tcBorders>
              <w:top w:val="single" w:sz="8" w:space="0" w:color="auto"/>
              <w:left w:val="nil"/>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rPr>
              <w:t>9.473</w:t>
            </w:r>
          </w:p>
        </w:tc>
        <w:tc>
          <w:tcPr>
            <w:tcW w:w="742" w:type="dxa"/>
            <w:tcBorders>
              <w:top w:val="single" w:sz="8" w:space="0" w:color="auto"/>
              <w:left w:val="single" w:sz="8" w:space="0" w:color="auto"/>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rPr>
              <w:t>13.599</w:t>
            </w:r>
          </w:p>
        </w:tc>
        <w:tc>
          <w:tcPr>
            <w:tcW w:w="661" w:type="dxa"/>
            <w:tcBorders>
              <w:top w:val="single" w:sz="8" w:space="0" w:color="auto"/>
              <w:left w:val="nil"/>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Pr>
                <w:rFonts w:ascii="Times New Roman" w:hAnsi="Times New Roman"/>
                <w:sz w:val="16"/>
                <w:szCs w:val="16"/>
                <w:lang w:val="en-GB" w:eastAsia="en-GB"/>
              </w:rPr>
              <w:t>0.043</w:t>
            </w:r>
          </w:p>
        </w:tc>
        <w:tc>
          <w:tcPr>
            <w:tcW w:w="744" w:type="dxa"/>
            <w:tcBorders>
              <w:top w:val="single" w:sz="8" w:space="0" w:color="auto"/>
              <w:left w:val="nil"/>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rPr>
              <w:t>10.635</w:t>
            </w:r>
          </w:p>
        </w:tc>
        <w:tc>
          <w:tcPr>
            <w:tcW w:w="742" w:type="dxa"/>
            <w:tcBorders>
              <w:top w:val="single" w:sz="8" w:space="0" w:color="auto"/>
              <w:left w:val="single" w:sz="8" w:space="0" w:color="auto"/>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rPr>
              <w:t>11.085</w:t>
            </w:r>
          </w:p>
        </w:tc>
        <w:tc>
          <w:tcPr>
            <w:tcW w:w="661" w:type="dxa"/>
            <w:tcBorders>
              <w:top w:val="single" w:sz="8" w:space="0" w:color="auto"/>
              <w:left w:val="nil"/>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Pr>
                <w:rFonts w:ascii="Times New Roman" w:hAnsi="Times New Roman"/>
                <w:sz w:val="16"/>
                <w:szCs w:val="16"/>
                <w:lang w:val="en-GB" w:eastAsia="en-GB"/>
              </w:rPr>
              <w:t>0.141</w:t>
            </w:r>
          </w:p>
        </w:tc>
        <w:tc>
          <w:tcPr>
            <w:tcW w:w="664" w:type="dxa"/>
            <w:tcBorders>
              <w:top w:val="single" w:sz="8" w:space="0" w:color="auto"/>
              <w:left w:val="nil"/>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rPr>
              <w:t>8.991</w:t>
            </w:r>
          </w:p>
        </w:tc>
        <w:tc>
          <w:tcPr>
            <w:tcW w:w="742" w:type="dxa"/>
            <w:tcBorders>
              <w:top w:val="single" w:sz="8" w:space="0" w:color="auto"/>
              <w:left w:val="single" w:sz="8" w:space="0" w:color="auto"/>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rPr>
              <w:t>11.539</w:t>
            </w:r>
          </w:p>
        </w:tc>
        <w:tc>
          <w:tcPr>
            <w:tcW w:w="661" w:type="dxa"/>
            <w:tcBorders>
              <w:top w:val="single" w:sz="8" w:space="0" w:color="auto"/>
              <w:left w:val="nil"/>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Pr>
                <w:rFonts w:ascii="Times New Roman" w:hAnsi="Times New Roman"/>
                <w:sz w:val="16"/>
                <w:szCs w:val="16"/>
                <w:lang w:val="en-GB" w:eastAsia="en-GB"/>
              </w:rPr>
              <w:t>0.077</w:t>
            </w:r>
          </w:p>
        </w:tc>
        <w:tc>
          <w:tcPr>
            <w:tcW w:w="667" w:type="dxa"/>
            <w:tcBorders>
              <w:top w:val="single" w:sz="8" w:space="0" w:color="auto"/>
              <w:left w:val="nil"/>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rPr>
              <w:t>9.299</w:t>
            </w:r>
          </w:p>
        </w:tc>
        <w:tc>
          <w:tcPr>
            <w:tcW w:w="662" w:type="dxa"/>
            <w:gridSpan w:val="2"/>
            <w:tcBorders>
              <w:top w:val="single" w:sz="8" w:space="0" w:color="auto"/>
              <w:left w:val="single" w:sz="8" w:space="0" w:color="auto"/>
              <w:right w:val="nil"/>
            </w:tcBorders>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10.114</w:t>
            </w:r>
          </w:p>
        </w:tc>
        <w:tc>
          <w:tcPr>
            <w:tcW w:w="581" w:type="dxa"/>
            <w:tcBorders>
              <w:top w:val="single" w:sz="8" w:space="0" w:color="auto"/>
              <w:left w:val="nil"/>
              <w:right w:val="nil"/>
            </w:tcBorders>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0.161</w:t>
            </w:r>
          </w:p>
        </w:tc>
        <w:tc>
          <w:tcPr>
            <w:tcW w:w="581" w:type="dxa"/>
            <w:tcBorders>
              <w:top w:val="single" w:sz="8" w:space="0" w:color="auto"/>
              <w:left w:val="nil"/>
              <w:right w:val="nil"/>
            </w:tcBorders>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7.961</w:t>
            </w:r>
          </w:p>
        </w:tc>
      </w:tr>
      <w:tr w:rsidR="00D60232" w:rsidRPr="000C7B4F" w:rsidTr="004A756C">
        <w:trPr>
          <w:trHeight w:val="20"/>
        </w:trPr>
        <w:tc>
          <w:tcPr>
            <w:tcW w:w="1850" w:type="dxa"/>
            <w:vMerge/>
            <w:tcBorders>
              <w:top w:val="single" w:sz="8" w:space="0" w:color="auto"/>
              <w:left w:val="nil"/>
              <w:bottom w:val="single" w:sz="8" w:space="0" w:color="auto"/>
            </w:tcBorders>
            <w:vAlign w:val="center"/>
          </w:tcPr>
          <w:p w:rsidR="00D60232" w:rsidRPr="000C7B4F" w:rsidRDefault="00D60232" w:rsidP="004A756C">
            <w:pPr>
              <w:rPr>
                <w:rFonts w:ascii="Times New Roman" w:hAnsi="Times New Roman"/>
                <w:color w:val="000000"/>
                <w:sz w:val="16"/>
                <w:szCs w:val="16"/>
                <w:lang w:val="en-GB" w:eastAsia="en-GB"/>
              </w:rPr>
            </w:pPr>
          </w:p>
        </w:tc>
        <w:tc>
          <w:tcPr>
            <w:tcW w:w="2007" w:type="dxa"/>
            <w:tcBorders>
              <w:top w:val="nil"/>
              <w:left w:val="nil"/>
              <w:bottom w:val="single" w:sz="8" w:space="0" w:color="auto"/>
              <w:right w:val="single" w:sz="8" w:space="0" w:color="auto"/>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6. OLS</w:t>
            </w:r>
          </w:p>
        </w:tc>
        <w:tc>
          <w:tcPr>
            <w:tcW w:w="742" w:type="dxa"/>
            <w:tcBorders>
              <w:top w:val="nil"/>
              <w:left w:val="single" w:sz="8" w:space="0" w:color="auto"/>
              <w:bottom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rPr>
              <w:t>11.851</w:t>
            </w:r>
          </w:p>
        </w:tc>
        <w:tc>
          <w:tcPr>
            <w:tcW w:w="661" w:type="dxa"/>
            <w:tcBorders>
              <w:top w:val="nil"/>
              <w:bottom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Pr>
                <w:rFonts w:ascii="Times New Roman" w:hAnsi="Times New Roman"/>
                <w:sz w:val="16"/>
                <w:szCs w:val="16"/>
                <w:lang w:val="en-GB" w:eastAsia="en-GB"/>
              </w:rPr>
              <w:t>0.104</w:t>
            </w:r>
          </w:p>
        </w:tc>
        <w:tc>
          <w:tcPr>
            <w:tcW w:w="664" w:type="dxa"/>
            <w:tcBorders>
              <w:top w:val="nil"/>
              <w:bottom w:val="single" w:sz="8" w:space="0" w:color="auto"/>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rPr>
              <w:t>9.462</w:t>
            </w:r>
          </w:p>
        </w:tc>
        <w:tc>
          <w:tcPr>
            <w:tcW w:w="742" w:type="dxa"/>
            <w:tcBorders>
              <w:top w:val="nil"/>
              <w:left w:val="single" w:sz="8" w:space="0" w:color="auto"/>
              <w:bottom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rPr>
              <w:t>13.599</w:t>
            </w:r>
          </w:p>
        </w:tc>
        <w:tc>
          <w:tcPr>
            <w:tcW w:w="661" w:type="dxa"/>
            <w:tcBorders>
              <w:top w:val="nil"/>
              <w:bottom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Pr>
                <w:rFonts w:ascii="Times New Roman" w:hAnsi="Times New Roman"/>
                <w:sz w:val="16"/>
                <w:szCs w:val="16"/>
                <w:lang w:val="en-GB" w:eastAsia="en-GB"/>
              </w:rPr>
              <w:t>0.043</w:t>
            </w:r>
          </w:p>
        </w:tc>
        <w:tc>
          <w:tcPr>
            <w:tcW w:w="744" w:type="dxa"/>
            <w:tcBorders>
              <w:top w:val="nil"/>
              <w:bottom w:val="single" w:sz="8" w:space="0" w:color="auto"/>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rPr>
              <w:t>10.625</w:t>
            </w:r>
          </w:p>
        </w:tc>
        <w:tc>
          <w:tcPr>
            <w:tcW w:w="742" w:type="dxa"/>
            <w:tcBorders>
              <w:top w:val="nil"/>
              <w:left w:val="single" w:sz="8" w:space="0" w:color="auto"/>
              <w:bottom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rPr>
              <w:t>11.076</w:t>
            </w:r>
          </w:p>
        </w:tc>
        <w:tc>
          <w:tcPr>
            <w:tcW w:w="661" w:type="dxa"/>
            <w:tcBorders>
              <w:top w:val="nil"/>
              <w:bottom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Pr>
                <w:rFonts w:ascii="Times New Roman" w:hAnsi="Times New Roman"/>
                <w:sz w:val="16"/>
                <w:szCs w:val="16"/>
                <w:lang w:val="en-GB" w:eastAsia="en-GB"/>
              </w:rPr>
              <w:t>0.143</w:t>
            </w:r>
          </w:p>
        </w:tc>
        <w:tc>
          <w:tcPr>
            <w:tcW w:w="664" w:type="dxa"/>
            <w:tcBorders>
              <w:top w:val="nil"/>
              <w:bottom w:val="single" w:sz="8" w:space="0" w:color="auto"/>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rPr>
              <w:t>8.980</w:t>
            </w:r>
          </w:p>
        </w:tc>
        <w:tc>
          <w:tcPr>
            <w:tcW w:w="742" w:type="dxa"/>
            <w:tcBorders>
              <w:top w:val="nil"/>
              <w:left w:val="single" w:sz="8" w:space="0" w:color="auto"/>
              <w:bottom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rPr>
              <w:t>11.524</w:t>
            </w:r>
          </w:p>
        </w:tc>
        <w:tc>
          <w:tcPr>
            <w:tcW w:w="661" w:type="dxa"/>
            <w:tcBorders>
              <w:top w:val="nil"/>
              <w:bottom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Pr>
                <w:rFonts w:ascii="Times New Roman" w:hAnsi="Times New Roman"/>
                <w:sz w:val="16"/>
                <w:szCs w:val="16"/>
                <w:lang w:val="en-GB" w:eastAsia="en-GB"/>
              </w:rPr>
              <w:t>0.079</w:t>
            </w:r>
          </w:p>
        </w:tc>
        <w:tc>
          <w:tcPr>
            <w:tcW w:w="667" w:type="dxa"/>
            <w:tcBorders>
              <w:top w:val="nil"/>
              <w:bottom w:val="single" w:sz="8" w:space="0" w:color="auto"/>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rPr>
              <w:t>9.287</w:t>
            </w:r>
          </w:p>
        </w:tc>
        <w:tc>
          <w:tcPr>
            <w:tcW w:w="662" w:type="dxa"/>
            <w:gridSpan w:val="2"/>
            <w:tcBorders>
              <w:top w:val="nil"/>
              <w:left w:val="single" w:sz="8" w:space="0" w:color="auto"/>
              <w:bottom w:val="single" w:sz="8" w:space="0" w:color="auto"/>
            </w:tcBorders>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10.115</w:t>
            </w:r>
          </w:p>
        </w:tc>
        <w:tc>
          <w:tcPr>
            <w:tcW w:w="581" w:type="dxa"/>
            <w:tcBorders>
              <w:top w:val="nil"/>
              <w:bottom w:val="single" w:sz="8" w:space="0" w:color="auto"/>
            </w:tcBorders>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0.161</w:t>
            </w:r>
          </w:p>
        </w:tc>
        <w:tc>
          <w:tcPr>
            <w:tcW w:w="581" w:type="dxa"/>
            <w:tcBorders>
              <w:top w:val="nil"/>
              <w:bottom w:val="single" w:sz="8" w:space="0" w:color="auto"/>
              <w:right w:val="nil"/>
            </w:tcBorders>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7.961</w:t>
            </w:r>
          </w:p>
        </w:tc>
      </w:tr>
      <w:tr w:rsidR="00D60232" w:rsidRPr="000C7B4F" w:rsidTr="004A756C">
        <w:trPr>
          <w:trHeight w:val="20"/>
        </w:trPr>
        <w:tc>
          <w:tcPr>
            <w:tcW w:w="1850" w:type="dxa"/>
            <w:vMerge w:val="restart"/>
            <w:tcBorders>
              <w:top w:val="single" w:sz="8" w:space="0" w:color="auto"/>
              <w:left w:val="nil"/>
              <w:bottom w:val="single" w:sz="8" w:space="0" w:color="auto"/>
            </w:tcBorders>
            <w:vAlign w:val="center"/>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sz w:val="16"/>
                <w:szCs w:val="16"/>
                <w:lang w:val="en-GB" w:eastAsia="en-GB"/>
              </w:rPr>
              <w:t>Individual Symptoms</w:t>
            </w:r>
          </w:p>
        </w:tc>
        <w:tc>
          <w:tcPr>
            <w:tcW w:w="2007" w:type="dxa"/>
            <w:tcBorders>
              <w:top w:val="single" w:sz="8" w:space="0" w:color="auto"/>
              <w:left w:val="nil"/>
              <w:right w:val="single" w:sz="8" w:space="0" w:color="auto"/>
            </w:tcBorders>
            <w:shd w:val="clear" w:color="auto" w:fill="auto"/>
            <w:noWrap/>
            <w:vAlign w:val="bottom"/>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7. ENR</w:t>
            </w:r>
            <w:r w:rsidR="004A756C">
              <w:rPr>
                <w:rFonts w:ascii="Times New Roman" w:hAnsi="Times New Roman"/>
                <w:color w:val="000000"/>
                <w:sz w:val="16"/>
                <w:szCs w:val="16"/>
                <w:lang w:val="en-GB" w:eastAsia="en-GB"/>
              </w:rPr>
              <w:t>⸷</w:t>
            </w:r>
          </w:p>
        </w:tc>
        <w:tc>
          <w:tcPr>
            <w:tcW w:w="742" w:type="dxa"/>
            <w:tcBorders>
              <w:top w:val="single" w:sz="8" w:space="0" w:color="auto"/>
              <w:left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12.082</w:t>
            </w:r>
          </w:p>
        </w:tc>
        <w:tc>
          <w:tcPr>
            <w:tcW w:w="661" w:type="dxa"/>
            <w:tcBorders>
              <w:top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0.069</w:t>
            </w:r>
          </w:p>
        </w:tc>
        <w:tc>
          <w:tcPr>
            <w:tcW w:w="664" w:type="dxa"/>
            <w:tcBorders>
              <w:top w:val="single" w:sz="8" w:space="0" w:color="auto"/>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9.538</w:t>
            </w:r>
          </w:p>
        </w:tc>
        <w:tc>
          <w:tcPr>
            <w:tcW w:w="742" w:type="dxa"/>
            <w:tcBorders>
              <w:top w:val="single" w:sz="8" w:space="0" w:color="auto"/>
              <w:left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14.379</w:t>
            </w:r>
          </w:p>
        </w:tc>
        <w:tc>
          <w:tcPr>
            <w:tcW w:w="661" w:type="dxa"/>
            <w:tcBorders>
              <w:top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-0.070</w:t>
            </w:r>
          </w:p>
        </w:tc>
        <w:tc>
          <w:tcPr>
            <w:tcW w:w="744" w:type="dxa"/>
            <w:tcBorders>
              <w:top w:val="single" w:sz="8" w:space="0" w:color="auto"/>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10.949</w:t>
            </w:r>
          </w:p>
        </w:tc>
        <w:tc>
          <w:tcPr>
            <w:tcW w:w="742" w:type="dxa"/>
            <w:tcBorders>
              <w:top w:val="single" w:sz="8" w:space="0" w:color="auto"/>
              <w:left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11.128</w:t>
            </w:r>
          </w:p>
        </w:tc>
        <w:tc>
          <w:tcPr>
            <w:tcW w:w="661" w:type="dxa"/>
            <w:tcBorders>
              <w:top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0.135</w:t>
            </w:r>
          </w:p>
        </w:tc>
        <w:tc>
          <w:tcPr>
            <w:tcW w:w="664" w:type="dxa"/>
            <w:tcBorders>
              <w:top w:val="single" w:sz="8" w:space="0" w:color="auto"/>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8.939</w:t>
            </w:r>
          </w:p>
        </w:tc>
        <w:tc>
          <w:tcPr>
            <w:tcW w:w="742" w:type="dxa"/>
            <w:tcBorders>
              <w:top w:val="single" w:sz="8" w:space="0" w:color="auto"/>
              <w:left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11.503</w:t>
            </w:r>
          </w:p>
        </w:tc>
        <w:tc>
          <w:tcPr>
            <w:tcW w:w="661" w:type="dxa"/>
            <w:tcBorders>
              <w:top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0.082</w:t>
            </w:r>
          </w:p>
        </w:tc>
        <w:tc>
          <w:tcPr>
            <w:tcW w:w="667" w:type="dxa"/>
            <w:tcBorders>
              <w:top w:val="single" w:sz="8" w:space="0" w:color="auto"/>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9.348</w:t>
            </w:r>
          </w:p>
        </w:tc>
        <w:tc>
          <w:tcPr>
            <w:tcW w:w="662" w:type="dxa"/>
            <w:gridSpan w:val="2"/>
            <w:tcBorders>
              <w:top w:val="single" w:sz="8" w:space="0" w:color="auto"/>
              <w:left w:val="single" w:sz="8" w:space="0" w:color="auto"/>
              <w:right w:val="nil"/>
            </w:tcBorders>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10.025</w:t>
            </w:r>
          </w:p>
        </w:tc>
        <w:tc>
          <w:tcPr>
            <w:tcW w:w="581" w:type="dxa"/>
            <w:tcBorders>
              <w:top w:val="single" w:sz="8" w:space="0" w:color="auto"/>
            </w:tcBorders>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0.176</w:t>
            </w:r>
          </w:p>
        </w:tc>
        <w:tc>
          <w:tcPr>
            <w:tcW w:w="581" w:type="dxa"/>
            <w:tcBorders>
              <w:top w:val="single" w:sz="8" w:space="0" w:color="auto"/>
              <w:right w:val="nil"/>
            </w:tcBorders>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7.869</w:t>
            </w:r>
          </w:p>
        </w:tc>
      </w:tr>
      <w:tr w:rsidR="00D60232" w:rsidRPr="000C7B4F" w:rsidTr="004A756C">
        <w:trPr>
          <w:trHeight w:val="20"/>
        </w:trPr>
        <w:tc>
          <w:tcPr>
            <w:tcW w:w="1850" w:type="dxa"/>
            <w:vMerge/>
            <w:tcBorders>
              <w:top w:val="single" w:sz="8" w:space="0" w:color="auto"/>
              <w:left w:val="nil"/>
              <w:bottom w:val="single" w:sz="8" w:space="0" w:color="auto"/>
            </w:tcBorders>
            <w:vAlign w:val="center"/>
          </w:tcPr>
          <w:p w:rsidR="00D60232" w:rsidRPr="000C7B4F" w:rsidRDefault="00D60232" w:rsidP="004A756C">
            <w:pPr>
              <w:rPr>
                <w:rFonts w:ascii="Times New Roman" w:hAnsi="Times New Roman"/>
                <w:color w:val="000000"/>
                <w:sz w:val="16"/>
                <w:szCs w:val="16"/>
                <w:lang w:val="en-GB" w:eastAsia="en-GB"/>
              </w:rPr>
            </w:pPr>
          </w:p>
        </w:tc>
        <w:tc>
          <w:tcPr>
            <w:tcW w:w="2007" w:type="dxa"/>
            <w:tcBorders>
              <w:left w:val="nil"/>
              <w:bottom w:val="single" w:sz="8" w:space="0" w:color="auto"/>
              <w:right w:val="single" w:sz="8" w:space="0" w:color="auto"/>
            </w:tcBorders>
            <w:shd w:val="clear" w:color="auto" w:fill="auto"/>
            <w:noWrap/>
            <w:vAlign w:val="bottom"/>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8. OLS</w:t>
            </w:r>
          </w:p>
        </w:tc>
        <w:tc>
          <w:tcPr>
            <w:tcW w:w="742" w:type="dxa"/>
            <w:tcBorders>
              <w:left w:val="single" w:sz="8" w:space="0" w:color="auto"/>
              <w:bottom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12.232</w:t>
            </w:r>
          </w:p>
        </w:tc>
        <w:tc>
          <w:tcPr>
            <w:tcW w:w="661" w:type="dxa"/>
            <w:tcBorders>
              <w:bottom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0.046</w:t>
            </w:r>
          </w:p>
        </w:tc>
        <w:tc>
          <w:tcPr>
            <w:tcW w:w="664" w:type="dxa"/>
            <w:tcBorders>
              <w:bottom w:val="single" w:sz="8" w:space="0" w:color="auto"/>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9.643</w:t>
            </w:r>
          </w:p>
        </w:tc>
        <w:tc>
          <w:tcPr>
            <w:tcW w:w="742" w:type="dxa"/>
            <w:tcBorders>
              <w:left w:val="single" w:sz="8" w:space="0" w:color="auto"/>
              <w:bottom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14.706</w:t>
            </w:r>
          </w:p>
        </w:tc>
        <w:tc>
          <w:tcPr>
            <w:tcW w:w="661" w:type="dxa"/>
            <w:tcBorders>
              <w:bottom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-0.120</w:t>
            </w:r>
          </w:p>
        </w:tc>
        <w:tc>
          <w:tcPr>
            <w:tcW w:w="744" w:type="dxa"/>
            <w:tcBorders>
              <w:bottom w:val="single" w:sz="8" w:space="0" w:color="auto"/>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11.107</w:t>
            </w:r>
          </w:p>
        </w:tc>
        <w:tc>
          <w:tcPr>
            <w:tcW w:w="742" w:type="dxa"/>
            <w:tcBorders>
              <w:left w:val="single" w:sz="8" w:space="0" w:color="auto"/>
              <w:bottom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11.185</w:t>
            </w:r>
          </w:p>
        </w:tc>
        <w:tc>
          <w:tcPr>
            <w:tcW w:w="661" w:type="dxa"/>
            <w:tcBorders>
              <w:bottom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0.126</w:t>
            </w:r>
          </w:p>
        </w:tc>
        <w:tc>
          <w:tcPr>
            <w:tcW w:w="664" w:type="dxa"/>
            <w:tcBorders>
              <w:bottom w:val="single" w:sz="8" w:space="0" w:color="auto"/>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8.969</w:t>
            </w:r>
          </w:p>
        </w:tc>
        <w:tc>
          <w:tcPr>
            <w:tcW w:w="742" w:type="dxa"/>
            <w:tcBorders>
              <w:left w:val="single" w:sz="8" w:space="0" w:color="auto"/>
              <w:bottom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11.622</w:t>
            </w:r>
          </w:p>
        </w:tc>
        <w:tc>
          <w:tcPr>
            <w:tcW w:w="661" w:type="dxa"/>
            <w:tcBorders>
              <w:bottom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0.063</w:t>
            </w:r>
          </w:p>
        </w:tc>
        <w:tc>
          <w:tcPr>
            <w:tcW w:w="667" w:type="dxa"/>
            <w:tcBorders>
              <w:bottom w:val="single" w:sz="8" w:space="0" w:color="auto"/>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9.525</w:t>
            </w:r>
          </w:p>
        </w:tc>
        <w:tc>
          <w:tcPr>
            <w:tcW w:w="662" w:type="dxa"/>
            <w:gridSpan w:val="2"/>
            <w:tcBorders>
              <w:left w:val="single" w:sz="8" w:space="0" w:color="auto"/>
              <w:bottom w:val="single" w:sz="8" w:space="0" w:color="auto"/>
            </w:tcBorders>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10.035</w:t>
            </w:r>
          </w:p>
        </w:tc>
        <w:tc>
          <w:tcPr>
            <w:tcW w:w="581" w:type="dxa"/>
            <w:tcBorders>
              <w:bottom w:val="single" w:sz="8" w:space="0" w:color="auto"/>
            </w:tcBorders>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0.174</w:t>
            </w:r>
          </w:p>
        </w:tc>
        <w:tc>
          <w:tcPr>
            <w:tcW w:w="581" w:type="dxa"/>
            <w:tcBorders>
              <w:bottom w:val="single" w:sz="8" w:space="0" w:color="auto"/>
              <w:right w:val="nil"/>
            </w:tcBorders>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7.867</w:t>
            </w:r>
          </w:p>
        </w:tc>
      </w:tr>
      <w:tr w:rsidR="00D60232" w:rsidRPr="000C7B4F" w:rsidTr="004A756C">
        <w:trPr>
          <w:trHeight w:val="20"/>
        </w:trPr>
        <w:tc>
          <w:tcPr>
            <w:tcW w:w="1850" w:type="dxa"/>
            <w:tcBorders>
              <w:top w:val="single" w:sz="8" w:space="0" w:color="auto"/>
              <w:left w:val="nil"/>
              <w:bottom w:val="single" w:sz="12" w:space="0" w:color="auto"/>
            </w:tcBorders>
            <w:vAlign w:val="center"/>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sz w:val="16"/>
                <w:szCs w:val="16"/>
                <w:lang w:val="en-GB" w:eastAsia="en-GB"/>
              </w:rPr>
              <w:t>Null</w:t>
            </w:r>
          </w:p>
        </w:tc>
        <w:tc>
          <w:tcPr>
            <w:tcW w:w="2007" w:type="dxa"/>
            <w:tcBorders>
              <w:top w:val="single" w:sz="8" w:space="0" w:color="auto"/>
              <w:left w:val="nil"/>
              <w:bottom w:val="single" w:sz="12" w:space="0" w:color="auto"/>
              <w:right w:val="single" w:sz="8" w:space="0" w:color="auto"/>
            </w:tcBorders>
            <w:shd w:val="clear" w:color="auto" w:fill="auto"/>
            <w:noWrap/>
            <w:vAlign w:val="bottom"/>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9. Null</w:t>
            </w:r>
          </w:p>
        </w:tc>
        <w:tc>
          <w:tcPr>
            <w:tcW w:w="742" w:type="dxa"/>
            <w:tcBorders>
              <w:top w:val="single" w:sz="8" w:space="0" w:color="auto"/>
              <w:left w:val="single" w:sz="8" w:space="0" w:color="auto"/>
              <w:bottom w:val="single" w:sz="12"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12.522</w:t>
            </w:r>
          </w:p>
        </w:tc>
        <w:tc>
          <w:tcPr>
            <w:tcW w:w="661" w:type="dxa"/>
            <w:tcBorders>
              <w:top w:val="single" w:sz="8" w:space="0" w:color="auto"/>
              <w:bottom w:val="single" w:sz="12" w:space="0" w:color="auto"/>
            </w:tcBorders>
            <w:shd w:val="clear" w:color="auto" w:fill="auto"/>
            <w:noWrap/>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0.000</w:t>
            </w:r>
          </w:p>
        </w:tc>
        <w:tc>
          <w:tcPr>
            <w:tcW w:w="664" w:type="dxa"/>
            <w:tcBorders>
              <w:top w:val="single" w:sz="8" w:space="0" w:color="auto"/>
              <w:bottom w:val="single" w:sz="12" w:space="0" w:color="auto"/>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10.007</w:t>
            </w:r>
          </w:p>
        </w:tc>
        <w:tc>
          <w:tcPr>
            <w:tcW w:w="742" w:type="dxa"/>
            <w:tcBorders>
              <w:top w:val="single" w:sz="8" w:space="0" w:color="auto"/>
              <w:left w:val="single" w:sz="8" w:space="0" w:color="auto"/>
              <w:bottom w:val="single" w:sz="12"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13.995</w:t>
            </w:r>
          </w:p>
        </w:tc>
        <w:tc>
          <w:tcPr>
            <w:tcW w:w="661" w:type="dxa"/>
            <w:tcBorders>
              <w:top w:val="single" w:sz="8" w:space="0" w:color="auto"/>
              <w:bottom w:val="single" w:sz="12" w:space="0" w:color="auto"/>
            </w:tcBorders>
            <w:shd w:val="clear" w:color="auto" w:fill="auto"/>
            <w:noWrap/>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-0.014</w:t>
            </w:r>
          </w:p>
        </w:tc>
        <w:tc>
          <w:tcPr>
            <w:tcW w:w="744" w:type="dxa"/>
            <w:tcBorders>
              <w:top w:val="single" w:sz="8" w:space="0" w:color="auto"/>
              <w:bottom w:val="single" w:sz="12" w:space="0" w:color="auto"/>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11.360</w:t>
            </w:r>
          </w:p>
        </w:tc>
        <w:tc>
          <w:tcPr>
            <w:tcW w:w="742" w:type="dxa"/>
            <w:tcBorders>
              <w:top w:val="single" w:sz="8" w:space="0" w:color="auto"/>
              <w:left w:val="single" w:sz="8" w:space="0" w:color="auto"/>
              <w:bottom w:val="single" w:sz="12"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12.022</w:t>
            </w:r>
          </w:p>
        </w:tc>
        <w:tc>
          <w:tcPr>
            <w:tcW w:w="661" w:type="dxa"/>
            <w:tcBorders>
              <w:top w:val="single" w:sz="8" w:space="0" w:color="auto"/>
              <w:bottom w:val="single" w:sz="12" w:space="0" w:color="auto"/>
            </w:tcBorders>
            <w:shd w:val="clear" w:color="auto" w:fill="auto"/>
            <w:noWrap/>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0.000</w:t>
            </w:r>
          </w:p>
        </w:tc>
        <w:tc>
          <w:tcPr>
            <w:tcW w:w="664" w:type="dxa"/>
            <w:tcBorders>
              <w:top w:val="single" w:sz="8" w:space="0" w:color="auto"/>
              <w:bottom w:val="single" w:sz="12" w:space="0" w:color="auto"/>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9.719</w:t>
            </w:r>
          </w:p>
        </w:tc>
        <w:tc>
          <w:tcPr>
            <w:tcW w:w="742" w:type="dxa"/>
            <w:tcBorders>
              <w:top w:val="single" w:sz="8" w:space="0" w:color="auto"/>
              <w:left w:val="single" w:sz="8" w:space="0" w:color="auto"/>
              <w:bottom w:val="single" w:sz="12"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12.045</w:t>
            </w:r>
          </w:p>
        </w:tc>
        <w:tc>
          <w:tcPr>
            <w:tcW w:w="661" w:type="dxa"/>
            <w:tcBorders>
              <w:top w:val="single" w:sz="8" w:space="0" w:color="auto"/>
              <w:bottom w:val="single" w:sz="12" w:space="0" w:color="auto"/>
            </w:tcBorders>
            <w:shd w:val="clear" w:color="auto" w:fill="auto"/>
            <w:noWrap/>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-0.006</w:t>
            </w:r>
          </w:p>
        </w:tc>
        <w:tc>
          <w:tcPr>
            <w:tcW w:w="667" w:type="dxa"/>
            <w:tcBorders>
              <w:top w:val="single" w:sz="8" w:space="0" w:color="auto"/>
              <w:bottom w:val="single" w:sz="12" w:space="0" w:color="auto"/>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9.399</w:t>
            </w:r>
          </w:p>
        </w:tc>
        <w:tc>
          <w:tcPr>
            <w:tcW w:w="662" w:type="dxa"/>
            <w:gridSpan w:val="2"/>
            <w:tcBorders>
              <w:top w:val="single" w:sz="8" w:space="0" w:color="auto"/>
              <w:left w:val="single" w:sz="8" w:space="0" w:color="auto"/>
              <w:bottom w:val="single" w:sz="12" w:space="0" w:color="auto"/>
              <w:right w:val="nil"/>
            </w:tcBorders>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11.045</w:t>
            </w:r>
          </w:p>
        </w:tc>
        <w:tc>
          <w:tcPr>
            <w:tcW w:w="581" w:type="dxa"/>
            <w:tcBorders>
              <w:top w:val="single" w:sz="8" w:space="0" w:color="auto"/>
              <w:bottom w:val="single" w:sz="12" w:space="0" w:color="auto"/>
            </w:tcBorders>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0.000</w:t>
            </w:r>
          </w:p>
        </w:tc>
        <w:tc>
          <w:tcPr>
            <w:tcW w:w="581" w:type="dxa"/>
            <w:tcBorders>
              <w:top w:val="single" w:sz="8" w:space="0" w:color="auto"/>
              <w:bottom w:val="single" w:sz="12" w:space="0" w:color="auto"/>
              <w:right w:val="nil"/>
            </w:tcBorders>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8.775</w:t>
            </w:r>
          </w:p>
        </w:tc>
      </w:tr>
    </w:tbl>
    <w:p w:rsidR="00D60232" w:rsidRPr="000C7B4F" w:rsidRDefault="00D60232" w:rsidP="00D60232">
      <w:pPr>
        <w:spacing w:after="160" w:line="259" w:lineRule="auto"/>
        <w:rPr>
          <w:rFonts w:ascii="Times New Roman" w:hAnsi="Times New Roman"/>
          <w:sz w:val="16"/>
          <w:szCs w:val="16"/>
        </w:rPr>
      </w:pPr>
      <w:r w:rsidRPr="000C7B4F">
        <w:rPr>
          <w:rFonts w:ascii="Times New Roman" w:hAnsi="Times New Roman"/>
          <w:sz w:val="16"/>
          <w:szCs w:val="16"/>
        </w:rPr>
        <w:t>Abbreviations: CFA - Confirmatory Factor Analysis; EI - Expected Influence; ENR - Elastic Net Regularized Regression; MAE - Mean Absolute Error; OLS - Ordinary Least Squares; PC - Participation Coefficient; PR -Participation Ratio; RMSE - Root Mean-Squared Error. N</w:t>
      </w:r>
      <w:r>
        <w:rPr>
          <w:rFonts w:ascii="Times New Roman" w:hAnsi="Times New Roman"/>
          <w:sz w:val="16"/>
          <w:szCs w:val="16"/>
        </w:rPr>
        <w:t>ote there is no calculation of r</w:t>
      </w:r>
      <w:r w:rsidRPr="000C7B4F">
        <w:rPr>
          <w:rFonts w:ascii="Times New Roman" w:hAnsi="Times New Roman"/>
          <w:sz w:val="16"/>
          <w:szCs w:val="16"/>
          <w:vertAlign w:val="superscript"/>
        </w:rPr>
        <w:t xml:space="preserve">2 </w:t>
      </w:r>
      <w:r w:rsidRPr="000C7B4F">
        <w:rPr>
          <w:rFonts w:ascii="Times New Roman" w:hAnsi="Times New Roman"/>
          <w:sz w:val="16"/>
          <w:szCs w:val="16"/>
        </w:rPr>
        <w:t>for the Null model as all there was no variability in prediction.</w:t>
      </w:r>
      <w:r w:rsidR="004A756C" w:rsidRPr="000C7B4F">
        <w:rPr>
          <w:rFonts w:ascii="Times New Roman" w:hAnsi="Times New Roman"/>
          <w:sz w:val="16"/>
          <w:szCs w:val="16"/>
        </w:rPr>
        <w:t xml:space="preserve"> </w:t>
      </w:r>
      <w:r w:rsidR="004A756C">
        <w:rPr>
          <w:rFonts w:ascii="Times New Roman" w:hAnsi="Times New Roman"/>
          <w:sz w:val="16"/>
          <w:szCs w:val="16"/>
        </w:rPr>
        <w:t>*parameters were set at (ᾳ = 0.0 and λ = 0.40</w:t>
      </w:r>
      <w:r w:rsidR="004A756C" w:rsidRPr="004A756C">
        <w:rPr>
          <w:rFonts w:ascii="Times New Roman" w:hAnsi="Times New Roman"/>
          <w:sz w:val="16"/>
          <w:szCs w:val="16"/>
        </w:rPr>
        <w:t>)</w:t>
      </w:r>
      <w:r w:rsidR="004A756C">
        <w:rPr>
          <w:rFonts w:ascii="Times New Roman" w:hAnsi="Times New Roman"/>
          <w:sz w:val="16"/>
          <w:szCs w:val="16"/>
        </w:rPr>
        <w:t>; ⸷</w:t>
      </w:r>
      <w:r w:rsidR="004A756C" w:rsidRPr="004A756C">
        <w:rPr>
          <w:rFonts w:ascii="Times New Roman" w:hAnsi="Times New Roman"/>
          <w:sz w:val="16"/>
          <w:szCs w:val="16"/>
        </w:rPr>
        <w:t xml:space="preserve"> </w:t>
      </w:r>
      <w:r w:rsidR="004A756C">
        <w:rPr>
          <w:rFonts w:ascii="Times New Roman" w:hAnsi="Times New Roman"/>
          <w:sz w:val="16"/>
          <w:szCs w:val="16"/>
        </w:rPr>
        <w:t>parameters were set at (ᾳ = 0.0 and λ = 2.0</w:t>
      </w:r>
      <w:r w:rsidR="004A756C" w:rsidRPr="004A756C">
        <w:rPr>
          <w:rFonts w:ascii="Times New Roman" w:hAnsi="Times New Roman"/>
          <w:sz w:val="16"/>
          <w:szCs w:val="16"/>
        </w:rPr>
        <w:t>)</w:t>
      </w:r>
    </w:p>
    <w:p w:rsidR="00D60232" w:rsidRDefault="00D60232" w:rsidP="00D60232">
      <w:pPr>
        <w:spacing w:after="160" w:line="259" w:lineRule="auto"/>
        <w:rPr>
          <w:b/>
        </w:rPr>
      </w:pPr>
    </w:p>
    <w:p w:rsidR="004A756C" w:rsidRDefault="004A756C">
      <w:pPr>
        <w:spacing w:after="160" w:line="259" w:lineRule="auto"/>
        <w:rPr>
          <w:b/>
        </w:rPr>
      </w:pPr>
      <w:r>
        <w:rPr>
          <w:b/>
        </w:rPr>
        <w:br w:type="page"/>
      </w:r>
    </w:p>
    <w:p w:rsidR="00D60232" w:rsidRDefault="00D60232" w:rsidP="00D60232">
      <w:pPr>
        <w:spacing w:after="160" w:line="259" w:lineRule="auto"/>
      </w:pPr>
      <w:r>
        <w:rPr>
          <w:b/>
        </w:rPr>
        <w:lastRenderedPageBreak/>
        <w:t>Supplementary Table 5</w:t>
      </w:r>
      <w:r w:rsidRPr="00151FD4">
        <w:rPr>
          <w:b/>
        </w:rPr>
        <w:t xml:space="preserve">. </w:t>
      </w:r>
      <w:r>
        <w:t>Performance of the models predicting BDI-II scores at 3-4 months post-baseline in the test datasets individually and combined. Models were only developed in two training set studies, excluding COBALT.</w:t>
      </w:r>
    </w:p>
    <w:tbl>
      <w:tblPr>
        <w:tblW w:w="14163" w:type="dxa"/>
        <w:tblLayout w:type="fixed"/>
        <w:tblLook w:val="04A0" w:firstRow="1" w:lastRow="0" w:firstColumn="1" w:lastColumn="0" w:noHBand="0" w:noVBand="1"/>
      </w:tblPr>
      <w:tblGrid>
        <w:gridCol w:w="1850"/>
        <w:gridCol w:w="2007"/>
        <w:gridCol w:w="742"/>
        <w:gridCol w:w="661"/>
        <w:gridCol w:w="664"/>
        <w:gridCol w:w="742"/>
        <w:gridCol w:w="661"/>
        <w:gridCol w:w="744"/>
        <w:gridCol w:w="742"/>
        <w:gridCol w:w="661"/>
        <w:gridCol w:w="664"/>
        <w:gridCol w:w="742"/>
        <w:gridCol w:w="661"/>
        <w:gridCol w:w="667"/>
        <w:gridCol w:w="13"/>
        <w:gridCol w:w="649"/>
        <w:gridCol w:w="710"/>
        <w:gridCol w:w="583"/>
      </w:tblGrid>
      <w:tr w:rsidR="00D60232" w:rsidRPr="000C7B4F" w:rsidTr="004A756C">
        <w:trPr>
          <w:trHeight w:val="288"/>
        </w:trPr>
        <w:tc>
          <w:tcPr>
            <w:tcW w:w="1850" w:type="dxa"/>
            <w:tcBorders>
              <w:top w:val="single" w:sz="12" w:space="0" w:color="auto"/>
              <w:left w:val="nil"/>
              <w:bottom w:val="single" w:sz="12" w:space="0" w:color="auto"/>
            </w:tcBorders>
          </w:tcPr>
          <w:p w:rsidR="00D60232" w:rsidRPr="000C7B4F" w:rsidRDefault="00D60232" w:rsidP="004A756C">
            <w:pPr>
              <w:rPr>
                <w:rFonts w:ascii="Times New Roman" w:hAnsi="Times New Roman"/>
                <w:color w:val="000000"/>
                <w:sz w:val="16"/>
                <w:szCs w:val="16"/>
                <w:lang w:val="en-GB" w:eastAsia="en-GB"/>
              </w:rPr>
            </w:pPr>
          </w:p>
        </w:tc>
        <w:tc>
          <w:tcPr>
            <w:tcW w:w="2007" w:type="dxa"/>
            <w:tcBorders>
              <w:top w:val="single" w:sz="12" w:space="0" w:color="auto"/>
              <w:left w:val="nil"/>
              <w:bottom w:val="single" w:sz="12" w:space="0" w:color="auto"/>
            </w:tcBorders>
            <w:shd w:val="clear" w:color="auto" w:fill="auto"/>
            <w:noWrap/>
            <w:vAlign w:val="bottom"/>
          </w:tcPr>
          <w:p w:rsidR="00D60232" w:rsidRPr="000C7B4F" w:rsidRDefault="00D60232" w:rsidP="004A756C">
            <w:pPr>
              <w:rPr>
                <w:rFonts w:ascii="Times New Roman" w:hAnsi="Times New Roman"/>
                <w:color w:val="000000"/>
                <w:sz w:val="16"/>
                <w:szCs w:val="16"/>
                <w:lang w:val="en-GB" w:eastAsia="en-GB"/>
              </w:rPr>
            </w:pPr>
          </w:p>
        </w:tc>
        <w:tc>
          <w:tcPr>
            <w:tcW w:w="8364" w:type="dxa"/>
            <w:gridSpan w:val="13"/>
            <w:tcBorders>
              <w:top w:val="single" w:sz="12" w:space="0" w:color="auto"/>
              <w:bottom w:val="single" w:sz="12" w:space="0" w:color="auto"/>
            </w:tcBorders>
            <w:shd w:val="clear" w:color="auto" w:fill="auto"/>
            <w:noWrap/>
            <w:vAlign w:val="bottom"/>
          </w:tcPr>
          <w:p w:rsidR="00D60232" w:rsidRPr="000C7B4F" w:rsidRDefault="00D60232" w:rsidP="004A756C">
            <w:pPr>
              <w:jc w:val="center"/>
              <w:rPr>
                <w:rFonts w:ascii="Times New Roman" w:hAnsi="Times New Roman"/>
                <w:b/>
                <w:color w:val="000000"/>
                <w:sz w:val="16"/>
                <w:szCs w:val="16"/>
                <w:lang w:val="en-GB" w:eastAsia="en-GB"/>
              </w:rPr>
            </w:pPr>
            <w:r w:rsidRPr="000C7B4F">
              <w:rPr>
                <w:rFonts w:ascii="Times New Roman" w:hAnsi="Times New Roman"/>
                <w:b/>
                <w:color w:val="000000"/>
                <w:sz w:val="16"/>
                <w:szCs w:val="16"/>
                <w:lang w:val="en-GB" w:eastAsia="en-GB"/>
              </w:rPr>
              <w:t>Test set (n with complete data at 3-4 months post-baseline)</w:t>
            </w:r>
          </w:p>
        </w:tc>
        <w:tc>
          <w:tcPr>
            <w:tcW w:w="649" w:type="dxa"/>
            <w:tcBorders>
              <w:top w:val="single" w:sz="12" w:space="0" w:color="auto"/>
              <w:bottom w:val="single" w:sz="12" w:space="0" w:color="auto"/>
            </w:tcBorders>
          </w:tcPr>
          <w:p w:rsidR="00D60232" w:rsidRPr="000C7B4F" w:rsidRDefault="00D60232" w:rsidP="004A756C">
            <w:pPr>
              <w:jc w:val="center"/>
              <w:rPr>
                <w:rFonts w:ascii="Times New Roman" w:hAnsi="Times New Roman"/>
                <w:b/>
                <w:color w:val="000000"/>
                <w:sz w:val="16"/>
                <w:szCs w:val="16"/>
                <w:lang w:val="en-GB" w:eastAsia="en-GB"/>
              </w:rPr>
            </w:pPr>
          </w:p>
        </w:tc>
        <w:tc>
          <w:tcPr>
            <w:tcW w:w="710" w:type="dxa"/>
            <w:tcBorders>
              <w:top w:val="single" w:sz="12" w:space="0" w:color="auto"/>
              <w:bottom w:val="single" w:sz="12" w:space="0" w:color="auto"/>
            </w:tcBorders>
          </w:tcPr>
          <w:p w:rsidR="00D60232" w:rsidRPr="000C7B4F" w:rsidRDefault="00D60232" w:rsidP="004A756C">
            <w:pPr>
              <w:jc w:val="center"/>
              <w:rPr>
                <w:rFonts w:ascii="Times New Roman" w:hAnsi="Times New Roman"/>
                <w:b/>
                <w:color w:val="000000"/>
                <w:sz w:val="16"/>
                <w:szCs w:val="16"/>
                <w:lang w:val="en-GB" w:eastAsia="en-GB"/>
              </w:rPr>
            </w:pPr>
          </w:p>
        </w:tc>
        <w:tc>
          <w:tcPr>
            <w:tcW w:w="581" w:type="dxa"/>
            <w:tcBorders>
              <w:top w:val="single" w:sz="12" w:space="0" w:color="auto"/>
              <w:bottom w:val="single" w:sz="12" w:space="0" w:color="auto"/>
            </w:tcBorders>
          </w:tcPr>
          <w:p w:rsidR="00D60232" w:rsidRPr="000C7B4F" w:rsidRDefault="00D60232" w:rsidP="004A756C">
            <w:pPr>
              <w:jc w:val="center"/>
              <w:rPr>
                <w:rFonts w:ascii="Times New Roman" w:hAnsi="Times New Roman"/>
                <w:b/>
                <w:color w:val="000000"/>
                <w:sz w:val="16"/>
                <w:szCs w:val="16"/>
                <w:lang w:val="en-GB" w:eastAsia="en-GB"/>
              </w:rPr>
            </w:pPr>
          </w:p>
        </w:tc>
      </w:tr>
      <w:tr w:rsidR="00D60232" w:rsidRPr="000C7B4F" w:rsidTr="004A756C">
        <w:trPr>
          <w:trHeight w:val="288"/>
        </w:trPr>
        <w:tc>
          <w:tcPr>
            <w:tcW w:w="1850" w:type="dxa"/>
            <w:tcBorders>
              <w:top w:val="single" w:sz="12" w:space="0" w:color="auto"/>
              <w:left w:val="nil"/>
              <w:right w:val="nil"/>
            </w:tcBorders>
          </w:tcPr>
          <w:p w:rsidR="00D60232" w:rsidRPr="000C7B4F" w:rsidRDefault="00D60232" w:rsidP="004A756C">
            <w:pPr>
              <w:rPr>
                <w:rFonts w:ascii="Times New Roman" w:hAnsi="Times New Roman"/>
                <w:color w:val="000000"/>
                <w:sz w:val="16"/>
                <w:szCs w:val="16"/>
                <w:lang w:val="en-GB" w:eastAsia="en-GB"/>
              </w:rPr>
            </w:pPr>
          </w:p>
        </w:tc>
        <w:tc>
          <w:tcPr>
            <w:tcW w:w="2007" w:type="dxa"/>
            <w:tcBorders>
              <w:top w:val="single" w:sz="12" w:space="0" w:color="auto"/>
              <w:left w:val="nil"/>
              <w:bottom w:val="nil"/>
              <w:right w:val="single" w:sz="8" w:space="0" w:color="auto"/>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 </w:t>
            </w:r>
          </w:p>
        </w:tc>
        <w:tc>
          <w:tcPr>
            <w:tcW w:w="2067" w:type="dxa"/>
            <w:gridSpan w:val="3"/>
            <w:tcBorders>
              <w:top w:val="single" w:sz="12" w:space="0" w:color="auto"/>
              <w:left w:val="single" w:sz="8" w:space="0" w:color="auto"/>
              <w:bottom w:val="nil"/>
              <w:right w:val="single" w:sz="4" w:space="0" w:color="000000"/>
            </w:tcBorders>
            <w:shd w:val="clear" w:color="auto" w:fill="auto"/>
            <w:noWrap/>
            <w:vAlign w:val="bottom"/>
            <w:hideMark/>
          </w:tcPr>
          <w:p w:rsidR="00D60232" w:rsidRPr="000C7B4F" w:rsidRDefault="00D60232" w:rsidP="004A756C">
            <w:pPr>
              <w:jc w:val="center"/>
              <w:rPr>
                <w:rFonts w:ascii="Times New Roman" w:hAnsi="Times New Roman"/>
                <w:b/>
                <w:color w:val="000000"/>
                <w:sz w:val="16"/>
                <w:szCs w:val="16"/>
                <w:lang w:val="en-GB" w:eastAsia="en-GB"/>
              </w:rPr>
            </w:pPr>
            <w:r w:rsidRPr="000C7B4F">
              <w:rPr>
                <w:rFonts w:ascii="Times New Roman" w:hAnsi="Times New Roman"/>
                <w:b/>
                <w:color w:val="000000"/>
                <w:sz w:val="16"/>
                <w:szCs w:val="16"/>
                <w:lang w:val="en-GB" w:eastAsia="en-GB"/>
              </w:rPr>
              <w:t>All studies combined (n=918)</w:t>
            </w:r>
          </w:p>
        </w:tc>
        <w:tc>
          <w:tcPr>
            <w:tcW w:w="2147" w:type="dxa"/>
            <w:gridSpan w:val="3"/>
            <w:tcBorders>
              <w:top w:val="single" w:sz="12" w:space="0" w:color="auto"/>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b/>
                <w:color w:val="000000"/>
                <w:sz w:val="16"/>
                <w:szCs w:val="16"/>
                <w:lang w:val="en-GB" w:eastAsia="en-GB"/>
              </w:rPr>
            </w:pPr>
            <w:r w:rsidRPr="000C7B4F">
              <w:rPr>
                <w:rFonts w:ascii="Times New Roman" w:hAnsi="Times New Roman"/>
                <w:b/>
                <w:color w:val="000000"/>
                <w:sz w:val="16"/>
                <w:szCs w:val="16"/>
                <w:lang w:val="en-GB" w:eastAsia="en-GB"/>
              </w:rPr>
              <w:t>IPCRESS (n=206)</w:t>
            </w:r>
          </w:p>
        </w:tc>
        <w:tc>
          <w:tcPr>
            <w:tcW w:w="2067" w:type="dxa"/>
            <w:gridSpan w:val="3"/>
            <w:tcBorders>
              <w:top w:val="single" w:sz="12" w:space="0" w:color="auto"/>
              <w:left w:val="single" w:sz="4" w:space="0" w:color="auto"/>
              <w:bottom w:val="nil"/>
              <w:right w:val="nil"/>
            </w:tcBorders>
            <w:shd w:val="clear" w:color="auto" w:fill="auto"/>
            <w:noWrap/>
            <w:vAlign w:val="bottom"/>
            <w:hideMark/>
          </w:tcPr>
          <w:p w:rsidR="00D60232" w:rsidRPr="000C7B4F" w:rsidRDefault="00D60232" w:rsidP="004A756C">
            <w:pPr>
              <w:jc w:val="center"/>
              <w:rPr>
                <w:rFonts w:ascii="Times New Roman" w:hAnsi="Times New Roman"/>
                <w:b/>
                <w:color w:val="000000"/>
                <w:sz w:val="16"/>
                <w:szCs w:val="16"/>
                <w:lang w:val="en-GB" w:eastAsia="en-GB"/>
              </w:rPr>
            </w:pPr>
            <w:r w:rsidRPr="000C7B4F">
              <w:rPr>
                <w:rFonts w:ascii="Times New Roman" w:hAnsi="Times New Roman"/>
                <w:b/>
                <w:color w:val="000000"/>
                <w:sz w:val="16"/>
                <w:szCs w:val="16"/>
                <w:lang w:val="en-GB" w:eastAsia="en-GB"/>
              </w:rPr>
              <w:t>MIR (n=424)</w:t>
            </w:r>
          </w:p>
        </w:tc>
        <w:tc>
          <w:tcPr>
            <w:tcW w:w="2070" w:type="dxa"/>
            <w:gridSpan w:val="3"/>
            <w:tcBorders>
              <w:top w:val="single" w:sz="12" w:space="0" w:color="auto"/>
              <w:left w:val="single" w:sz="4" w:space="0" w:color="auto"/>
              <w:bottom w:val="nil"/>
              <w:right w:val="nil"/>
            </w:tcBorders>
            <w:shd w:val="clear" w:color="auto" w:fill="auto"/>
            <w:noWrap/>
            <w:vAlign w:val="bottom"/>
            <w:hideMark/>
          </w:tcPr>
          <w:p w:rsidR="00D60232" w:rsidRPr="000C7B4F" w:rsidRDefault="00D60232" w:rsidP="004A756C">
            <w:pPr>
              <w:jc w:val="center"/>
              <w:rPr>
                <w:rFonts w:ascii="Times New Roman" w:hAnsi="Times New Roman"/>
                <w:b/>
                <w:color w:val="000000"/>
                <w:sz w:val="16"/>
                <w:szCs w:val="16"/>
                <w:lang w:val="en-GB" w:eastAsia="en-GB"/>
              </w:rPr>
            </w:pPr>
            <w:r w:rsidRPr="000C7B4F">
              <w:rPr>
                <w:rFonts w:ascii="Times New Roman" w:hAnsi="Times New Roman"/>
                <w:b/>
                <w:color w:val="000000"/>
                <w:sz w:val="16"/>
                <w:szCs w:val="16"/>
                <w:lang w:val="en-GB" w:eastAsia="en-GB"/>
              </w:rPr>
              <w:t>TREAD (n=288)</w:t>
            </w:r>
          </w:p>
        </w:tc>
        <w:tc>
          <w:tcPr>
            <w:tcW w:w="1955" w:type="dxa"/>
            <w:gridSpan w:val="4"/>
            <w:tcBorders>
              <w:top w:val="single" w:sz="12" w:space="0" w:color="auto"/>
              <w:left w:val="single" w:sz="4" w:space="0" w:color="auto"/>
              <w:bottom w:val="nil"/>
            </w:tcBorders>
          </w:tcPr>
          <w:p w:rsidR="00D60232" w:rsidRPr="000C7B4F" w:rsidRDefault="00D60232" w:rsidP="004A756C">
            <w:pPr>
              <w:jc w:val="center"/>
              <w:rPr>
                <w:rFonts w:ascii="Times New Roman" w:hAnsi="Times New Roman"/>
                <w:b/>
                <w:color w:val="000000"/>
                <w:sz w:val="16"/>
                <w:szCs w:val="16"/>
                <w:lang w:val="en-GB" w:eastAsia="en-GB"/>
              </w:rPr>
            </w:pPr>
            <w:r w:rsidRPr="000C7B4F">
              <w:rPr>
                <w:rFonts w:ascii="Times New Roman" w:hAnsi="Times New Roman"/>
                <w:color w:val="000000"/>
                <w:sz w:val="16"/>
                <w:szCs w:val="16"/>
                <w:lang w:val="en-GB" w:eastAsia="en-GB"/>
              </w:rPr>
              <w:t>Internal Cross-validation</w:t>
            </w:r>
          </w:p>
        </w:tc>
      </w:tr>
      <w:tr w:rsidR="00D60232" w:rsidRPr="000C7B4F" w:rsidTr="004A756C">
        <w:trPr>
          <w:trHeight w:val="20"/>
        </w:trPr>
        <w:tc>
          <w:tcPr>
            <w:tcW w:w="1850" w:type="dxa"/>
            <w:tcBorders>
              <w:top w:val="nil"/>
              <w:left w:val="nil"/>
              <w:bottom w:val="single" w:sz="8" w:space="0" w:color="auto"/>
              <w:right w:val="nil"/>
            </w:tcBorders>
            <w:vAlign w:val="center"/>
          </w:tcPr>
          <w:p w:rsidR="00D60232" w:rsidRPr="000C7B4F" w:rsidRDefault="00D60232" w:rsidP="004A756C">
            <w:pPr>
              <w:rPr>
                <w:rFonts w:ascii="Times New Roman" w:hAnsi="Times New Roman"/>
                <w:b/>
                <w:color w:val="000000"/>
                <w:sz w:val="16"/>
                <w:szCs w:val="16"/>
                <w:lang w:val="en-GB" w:eastAsia="en-GB"/>
              </w:rPr>
            </w:pPr>
            <w:r w:rsidRPr="000C7B4F">
              <w:rPr>
                <w:rFonts w:ascii="Times New Roman" w:hAnsi="Times New Roman"/>
                <w:color w:val="000000"/>
                <w:sz w:val="16"/>
                <w:szCs w:val="16"/>
                <w:lang w:val="en-GB" w:eastAsia="en-GB"/>
              </w:rPr>
              <w:t>Type of approach</w:t>
            </w:r>
          </w:p>
        </w:tc>
        <w:tc>
          <w:tcPr>
            <w:tcW w:w="2007" w:type="dxa"/>
            <w:tcBorders>
              <w:top w:val="nil"/>
              <w:left w:val="nil"/>
              <w:bottom w:val="single" w:sz="8" w:space="0" w:color="auto"/>
              <w:right w:val="single" w:sz="8" w:space="0" w:color="auto"/>
            </w:tcBorders>
            <w:shd w:val="clear" w:color="auto" w:fill="auto"/>
            <w:noWrap/>
            <w:vAlign w:val="bottom"/>
            <w:hideMark/>
          </w:tcPr>
          <w:p w:rsidR="00D60232" w:rsidRPr="000C7B4F" w:rsidRDefault="00D60232" w:rsidP="004A756C">
            <w:pPr>
              <w:rPr>
                <w:rFonts w:ascii="Times New Roman" w:hAnsi="Times New Roman"/>
                <w:b/>
                <w:color w:val="000000"/>
                <w:sz w:val="16"/>
                <w:szCs w:val="16"/>
                <w:lang w:val="en-GB" w:eastAsia="en-GB"/>
              </w:rPr>
            </w:pPr>
            <w:r w:rsidRPr="000C7B4F">
              <w:rPr>
                <w:rFonts w:ascii="Times New Roman" w:hAnsi="Times New Roman"/>
                <w:b/>
                <w:color w:val="000000"/>
                <w:sz w:val="16"/>
                <w:szCs w:val="16"/>
                <w:lang w:val="en-GB" w:eastAsia="en-GB"/>
              </w:rPr>
              <w:t>Model</w:t>
            </w:r>
          </w:p>
        </w:tc>
        <w:tc>
          <w:tcPr>
            <w:tcW w:w="742" w:type="dxa"/>
            <w:tcBorders>
              <w:top w:val="nil"/>
              <w:left w:val="single" w:sz="8" w:space="0" w:color="auto"/>
              <w:bottom w:val="single" w:sz="8" w:space="0" w:color="auto"/>
              <w:right w:val="nil"/>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RMSE</w:t>
            </w:r>
          </w:p>
        </w:tc>
        <w:tc>
          <w:tcPr>
            <w:tcW w:w="661" w:type="dxa"/>
            <w:tcBorders>
              <w:top w:val="nil"/>
              <w:left w:val="nil"/>
              <w:bottom w:val="single" w:sz="8" w:space="0" w:color="auto"/>
              <w:right w:val="nil"/>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Pr>
                <w:rFonts w:ascii="Times New Roman" w:hAnsi="Times New Roman"/>
                <w:color w:val="000000"/>
                <w:sz w:val="16"/>
                <w:szCs w:val="16"/>
                <w:lang w:val="en-GB" w:eastAsia="en-GB"/>
              </w:rPr>
              <w:t>R</w:t>
            </w:r>
            <w:r w:rsidRPr="000C7B4F">
              <w:rPr>
                <w:rFonts w:ascii="Times New Roman" w:hAnsi="Times New Roman"/>
                <w:color w:val="000000"/>
                <w:sz w:val="16"/>
                <w:szCs w:val="16"/>
                <w:vertAlign w:val="superscript"/>
                <w:lang w:val="en-GB" w:eastAsia="en-GB"/>
              </w:rPr>
              <w:t>2</w:t>
            </w:r>
          </w:p>
        </w:tc>
        <w:tc>
          <w:tcPr>
            <w:tcW w:w="664" w:type="dxa"/>
            <w:tcBorders>
              <w:top w:val="nil"/>
              <w:left w:val="nil"/>
              <w:bottom w:val="single" w:sz="8" w:space="0" w:color="auto"/>
              <w:right w:val="single" w:sz="8" w:space="0" w:color="auto"/>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MAE</w:t>
            </w:r>
          </w:p>
        </w:tc>
        <w:tc>
          <w:tcPr>
            <w:tcW w:w="742" w:type="dxa"/>
            <w:tcBorders>
              <w:top w:val="nil"/>
              <w:left w:val="single" w:sz="8" w:space="0" w:color="auto"/>
              <w:bottom w:val="single" w:sz="8" w:space="0" w:color="auto"/>
              <w:right w:val="nil"/>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RMSE</w:t>
            </w:r>
          </w:p>
        </w:tc>
        <w:tc>
          <w:tcPr>
            <w:tcW w:w="661" w:type="dxa"/>
            <w:tcBorders>
              <w:top w:val="nil"/>
              <w:left w:val="nil"/>
              <w:bottom w:val="single" w:sz="8" w:space="0" w:color="auto"/>
              <w:right w:val="nil"/>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Pr>
                <w:rFonts w:ascii="Times New Roman" w:hAnsi="Times New Roman"/>
                <w:color w:val="000000"/>
                <w:sz w:val="16"/>
                <w:szCs w:val="16"/>
                <w:lang w:val="en-GB" w:eastAsia="en-GB"/>
              </w:rPr>
              <w:t>R</w:t>
            </w:r>
            <w:r w:rsidRPr="000C7B4F">
              <w:rPr>
                <w:rFonts w:ascii="Times New Roman" w:hAnsi="Times New Roman"/>
                <w:color w:val="000000"/>
                <w:sz w:val="16"/>
                <w:szCs w:val="16"/>
                <w:vertAlign w:val="superscript"/>
                <w:lang w:val="en-GB" w:eastAsia="en-GB"/>
              </w:rPr>
              <w:t>2</w:t>
            </w:r>
          </w:p>
        </w:tc>
        <w:tc>
          <w:tcPr>
            <w:tcW w:w="744" w:type="dxa"/>
            <w:tcBorders>
              <w:top w:val="nil"/>
              <w:left w:val="nil"/>
              <w:bottom w:val="single" w:sz="8" w:space="0" w:color="auto"/>
              <w:right w:val="single" w:sz="8" w:space="0" w:color="auto"/>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MAE</w:t>
            </w:r>
          </w:p>
        </w:tc>
        <w:tc>
          <w:tcPr>
            <w:tcW w:w="742" w:type="dxa"/>
            <w:tcBorders>
              <w:top w:val="nil"/>
              <w:left w:val="single" w:sz="8" w:space="0" w:color="auto"/>
              <w:bottom w:val="single" w:sz="8" w:space="0" w:color="auto"/>
              <w:right w:val="nil"/>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RMSE</w:t>
            </w:r>
          </w:p>
        </w:tc>
        <w:tc>
          <w:tcPr>
            <w:tcW w:w="661" w:type="dxa"/>
            <w:tcBorders>
              <w:top w:val="nil"/>
              <w:left w:val="nil"/>
              <w:bottom w:val="single" w:sz="8" w:space="0" w:color="auto"/>
              <w:right w:val="nil"/>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Pr>
                <w:rFonts w:ascii="Times New Roman" w:hAnsi="Times New Roman"/>
                <w:color w:val="000000"/>
                <w:sz w:val="16"/>
                <w:szCs w:val="16"/>
                <w:lang w:val="en-GB" w:eastAsia="en-GB"/>
              </w:rPr>
              <w:t>R</w:t>
            </w:r>
            <w:r w:rsidRPr="000C7B4F">
              <w:rPr>
                <w:rFonts w:ascii="Times New Roman" w:hAnsi="Times New Roman"/>
                <w:color w:val="000000"/>
                <w:sz w:val="16"/>
                <w:szCs w:val="16"/>
                <w:vertAlign w:val="superscript"/>
                <w:lang w:val="en-GB" w:eastAsia="en-GB"/>
              </w:rPr>
              <w:t>2</w:t>
            </w:r>
          </w:p>
        </w:tc>
        <w:tc>
          <w:tcPr>
            <w:tcW w:w="664" w:type="dxa"/>
            <w:tcBorders>
              <w:top w:val="nil"/>
              <w:left w:val="nil"/>
              <w:bottom w:val="single" w:sz="8" w:space="0" w:color="auto"/>
              <w:right w:val="single" w:sz="8" w:space="0" w:color="auto"/>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MAE</w:t>
            </w:r>
          </w:p>
        </w:tc>
        <w:tc>
          <w:tcPr>
            <w:tcW w:w="742" w:type="dxa"/>
            <w:tcBorders>
              <w:top w:val="nil"/>
              <w:left w:val="single" w:sz="8" w:space="0" w:color="auto"/>
              <w:bottom w:val="single" w:sz="8" w:space="0" w:color="auto"/>
              <w:right w:val="nil"/>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RMSE</w:t>
            </w:r>
          </w:p>
        </w:tc>
        <w:tc>
          <w:tcPr>
            <w:tcW w:w="661" w:type="dxa"/>
            <w:tcBorders>
              <w:top w:val="nil"/>
              <w:left w:val="nil"/>
              <w:bottom w:val="single" w:sz="8" w:space="0" w:color="auto"/>
              <w:right w:val="nil"/>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Pr>
                <w:rFonts w:ascii="Times New Roman" w:hAnsi="Times New Roman"/>
                <w:color w:val="000000"/>
                <w:sz w:val="16"/>
                <w:szCs w:val="16"/>
                <w:lang w:val="en-GB" w:eastAsia="en-GB"/>
              </w:rPr>
              <w:t>R</w:t>
            </w:r>
            <w:r w:rsidRPr="000C7B4F">
              <w:rPr>
                <w:rFonts w:ascii="Times New Roman" w:hAnsi="Times New Roman"/>
                <w:color w:val="000000"/>
                <w:sz w:val="16"/>
                <w:szCs w:val="16"/>
                <w:vertAlign w:val="superscript"/>
                <w:lang w:val="en-GB" w:eastAsia="en-GB"/>
              </w:rPr>
              <w:t>2</w:t>
            </w:r>
          </w:p>
        </w:tc>
        <w:tc>
          <w:tcPr>
            <w:tcW w:w="667" w:type="dxa"/>
            <w:tcBorders>
              <w:top w:val="nil"/>
              <w:left w:val="nil"/>
              <w:bottom w:val="single" w:sz="8" w:space="0" w:color="auto"/>
              <w:right w:val="single" w:sz="8" w:space="0" w:color="auto"/>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MAE</w:t>
            </w:r>
          </w:p>
        </w:tc>
        <w:tc>
          <w:tcPr>
            <w:tcW w:w="662" w:type="dxa"/>
            <w:gridSpan w:val="2"/>
            <w:tcBorders>
              <w:top w:val="nil"/>
              <w:left w:val="single" w:sz="8" w:space="0" w:color="auto"/>
              <w:bottom w:val="single" w:sz="8" w:space="0" w:color="auto"/>
            </w:tcBorders>
            <w:vAlign w:val="bottom"/>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RMSE</w:t>
            </w:r>
          </w:p>
        </w:tc>
        <w:tc>
          <w:tcPr>
            <w:tcW w:w="710" w:type="dxa"/>
            <w:tcBorders>
              <w:top w:val="nil"/>
              <w:left w:val="nil"/>
              <w:bottom w:val="single" w:sz="8" w:space="0" w:color="auto"/>
              <w:right w:val="nil"/>
            </w:tcBorders>
            <w:vAlign w:val="bottom"/>
          </w:tcPr>
          <w:p w:rsidR="00D60232" w:rsidRPr="000C7B4F" w:rsidRDefault="00D60232" w:rsidP="004A756C">
            <w:pPr>
              <w:rPr>
                <w:rFonts w:ascii="Times New Roman" w:hAnsi="Times New Roman"/>
                <w:color w:val="000000"/>
                <w:sz w:val="16"/>
                <w:szCs w:val="16"/>
                <w:lang w:val="en-GB" w:eastAsia="en-GB"/>
              </w:rPr>
            </w:pPr>
            <w:r>
              <w:rPr>
                <w:rFonts w:ascii="Times New Roman" w:hAnsi="Times New Roman"/>
                <w:color w:val="000000"/>
                <w:sz w:val="16"/>
                <w:szCs w:val="16"/>
                <w:lang w:val="en-GB" w:eastAsia="en-GB"/>
              </w:rPr>
              <w:t>R</w:t>
            </w:r>
            <w:r w:rsidRPr="000C7B4F">
              <w:rPr>
                <w:rFonts w:ascii="Times New Roman" w:hAnsi="Times New Roman"/>
                <w:color w:val="000000"/>
                <w:sz w:val="16"/>
                <w:szCs w:val="16"/>
                <w:vertAlign w:val="superscript"/>
                <w:lang w:val="en-GB" w:eastAsia="en-GB"/>
              </w:rPr>
              <w:t>2</w:t>
            </w:r>
          </w:p>
        </w:tc>
        <w:tc>
          <w:tcPr>
            <w:tcW w:w="581" w:type="dxa"/>
            <w:tcBorders>
              <w:top w:val="nil"/>
              <w:left w:val="nil"/>
              <w:bottom w:val="single" w:sz="8" w:space="0" w:color="auto"/>
              <w:right w:val="nil"/>
            </w:tcBorders>
            <w:vAlign w:val="bottom"/>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MAE</w:t>
            </w:r>
          </w:p>
        </w:tc>
      </w:tr>
      <w:tr w:rsidR="00D60232" w:rsidRPr="000C7B4F" w:rsidTr="004A756C">
        <w:trPr>
          <w:trHeight w:val="20"/>
        </w:trPr>
        <w:tc>
          <w:tcPr>
            <w:tcW w:w="1850" w:type="dxa"/>
            <w:vMerge w:val="restart"/>
            <w:tcBorders>
              <w:top w:val="single" w:sz="8" w:space="0" w:color="auto"/>
              <w:left w:val="nil"/>
              <w:bottom w:val="single" w:sz="8" w:space="0" w:color="auto"/>
            </w:tcBorders>
            <w:vAlign w:val="center"/>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sz w:val="16"/>
                <w:szCs w:val="16"/>
                <w:lang w:val="en-GB" w:eastAsia="en-GB"/>
              </w:rPr>
              <w:t>Weighted Sum-scores</w:t>
            </w:r>
          </w:p>
        </w:tc>
        <w:tc>
          <w:tcPr>
            <w:tcW w:w="2007" w:type="dxa"/>
            <w:tcBorders>
              <w:top w:val="nil"/>
              <w:left w:val="nil"/>
              <w:bottom w:val="nil"/>
              <w:right w:val="single" w:sz="8" w:space="0" w:color="auto"/>
            </w:tcBorders>
            <w:shd w:val="clear" w:color="auto" w:fill="auto"/>
            <w:noWrap/>
            <w:vAlign w:val="bottom"/>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1. EI 1-step</w:t>
            </w:r>
          </w:p>
        </w:tc>
        <w:tc>
          <w:tcPr>
            <w:tcW w:w="742" w:type="dxa"/>
            <w:tcBorders>
              <w:top w:val="nil"/>
              <w:left w:val="single" w:sz="8" w:space="0" w:color="auto"/>
              <w:bottom w:val="nil"/>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rPr>
              <w:t>11.441</w:t>
            </w:r>
          </w:p>
        </w:tc>
        <w:tc>
          <w:tcPr>
            <w:tcW w:w="661" w:type="dxa"/>
            <w:tcBorders>
              <w:top w:val="nil"/>
              <w:left w:val="nil"/>
              <w:bottom w:val="nil"/>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Pr>
                <w:rFonts w:ascii="Times New Roman" w:hAnsi="Times New Roman"/>
                <w:sz w:val="16"/>
                <w:szCs w:val="16"/>
                <w:lang w:val="en-GB" w:eastAsia="en-GB"/>
              </w:rPr>
              <w:t>0.145</w:t>
            </w:r>
          </w:p>
        </w:tc>
        <w:tc>
          <w:tcPr>
            <w:tcW w:w="664" w:type="dxa"/>
            <w:tcBorders>
              <w:top w:val="nil"/>
              <w:left w:val="nil"/>
              <w:bottom w:val="nil"/>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rPr>
              <w:t>9.173</w:t>
            </w:r>
          </w:p>
        </w:tc>
        <w:tc>
          <w:tcPr>
            <w:tcW w:w="742" w:type="dxa"/>
            <w:tcBorders>
              <w:top w:val="nil"/>
              <w:left w:val="single" w:sz="8" w:space="0" w:color="auto"/>
              <w:bottom w:val="nil"/>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11.603</w:t>
            </w:r>
          </w:p>
        </w:tc>
        <w:tc>
          <w:tcPr>
            <w:tcW w:w="661" w:type="dxa"/>
            <w:tcBorders>
              <w:top w:val="nil"/>
              <w:left w:val="nil"/>
              <w:bottom w:val="nil"/>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Pr>
                <w:rFonts w:ascii="Times New Roman" w:hAnsi="Times New Roman"/>
                <w:sz w:val="16"/>
                <w:szCs w:val="16"/>
                <w:lang w:val="en-GB" w:eastAsia="en-GB"/>
              </w:rPr>
              <w:t>0.176</w:t>
            </w:r>
          </w:p>
        </w:tc>
        <w:tc>
          <w:tcPr>
            <w:tcW w:w="744" w:type="dxa"/>
            <w:tcBorders>
              <w:top w:val="nil"/>
              <w:left w:val="nil"/>
              <w:bottom w:val="nil"/>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9.424</w:t>
            </w:r>
          </w:p>
        </w:tc>
        <w:tc>
          <w:tcPr>
            <w:tcW w:w="742" w:type="dxa"/>
            <w:tcBorders>
              <w:top w:val="nil"/>
              <w:left w:val="single" w:sz="8" w:space="0" w:color="auto"/>
              <w:bottom w:val="nil"/>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11.578</w:t>
            </w:r>
          </w:p>
        </w:tc>
        <w:tc>
          <w:tcPr>
            <w:tcW w:w="661" w:type="dxa"/>
            <w:tcBorders>
              <w:top w:val="nil"/>
              <w:left w:val="nil"/>
              <w:bottom w:val="nil"/>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Pr>
                <w:rFonts w:ascii="Times New Roman" w:hAnsi="Times New Roman"/>
                <w:sz w:val="16"/>
                <w:szCs w:val="16"/>
                <w:lang w:val="en-GB" w:eastAsia="en-GB"/>
              </w:rPr>
              <w:t>0.121</w:t>
            </w:r>
          </w:p>
        </w:tc>
        <w:tc>
          <w:tcPr>
            <w:tcW w:w="664" w:type="dxa"/>
            <w:tcBorders>
              <w:top w:val="nil"/>
              <w:left w:val="nil"/>
              <w:bottom w:val="nil"/>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9.241</w:t>
            </w:r>
          </w:p>
        </w:tc>
        <w:tc>
          <w:tcPr>
            <w:tcW w:w="742" w:type="dxa"/>
            <w:tcBorders>
              <w:top w:val="nil"/>
              <w:left w:val="single" w:sz="8" w:space="0" w:color="auto"/>
              <w:bottom w:val="nil"/>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11.115</w:t>
            </w:r>
          </w:p>
        </w:tc>
        <w:tc>
          <w:tcPr>
            <w:tcW w:w="661" w:type="dxa"/>
            <w:tcBorders>
              <w:top w:val="nil"/>
              <w:left w:val="nil"/>
              <w:bottom w:val="nil"/>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Pr>
                <w:rFonts w:ascii="Times New Roman" w:hAnsi="Times New Roman"/>
                <w:sz w:val="16"/>
                <w:szCs w:val="16"/>
                <w:lang w:val="en-GB" w:eastAsia="en-GB"/>
              </w:rPr>
              <w:t>0.138</w:t>
            </w:r>
          </w:p>
        </w:tc>
        <w:tc>
          <w:tcPr>
            <w:tcW w:w="667" w:type="dxa"/>
            <w:tcBorders>
              <w:top w:val="single" w:sz="8" w:space="0" w:color="auto"/>
              <w:left w:val="nil"/>
              <w:bottom w:val="nil"/>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8.895</w:t>
            </w:r>
          </w:p>
        </w:tc>
        <w:tc>
          <w:tcPr>
            <w:tcW w:w="662" w:type="dxa"/>
            <w:gridSpan w:val="2"/>
            <w:tcBorders>
              <w:top w:val="nil"/>
              <w:left w:val="single" w:sz="8" w:space="0" w:color="auto"/>
              <w:bottom w:val="nil"/>
              <w:right w:val="nil"/>
            </w:tcBorders>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9.906</w:t>
            </w:r>
          </w:p>
        </w:tc>
        <w:tc>
          <w:tcPr>
            <w:tcW w:w="710" w:type="dxa"/>
            <w:tcBorders>
              <w:top w:val="nil"/>
              <w:left w:val="nil"/>
              <w:bottom w:val="nil"/>
              <w:right w:val="nil"/>
            </w:tcBorders>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0.191</w:t>
            </w:r>
          </w:p>
        </w:tc>
        <w:tc>
          <w:tcPr>
            <w:tcW w:w="581" w:type="dxa"/>
            <w:tcBorders>
              <w:top w:val="nil"/>
              <w:left w:val="nil"/>
              <w:bottom w:val="nil"/>
              <w:right w:val="nil"/>
            </w:tcBorders>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7.869</w:t>
            </w:r>
          </w:p>
        </w:tc>
      </w:tr>
      <w:tr w:rsidR="00D60232" w:rsidRPr="000C7B4F" w:rsidTr="004A756C">
        <w:trPr>
          <w:trHeight w:val="20"/>
        </w:trPr>
        <w:tc>
          <w:tcPr>
            <w:tcW w:w="1850" w:type="dxa"/>
            <w:vMerge/>
            <w:tcBorders>
              <w:top w:val="single" w:sz="8" w:space="0" w:color="auto"/>
              <w:left w:val="nil"/>
              <w:bottom w:val="single" w:sz="8" w:space="0" w:color="auto"/>
            </w:tcBorders>
            <w:vAlign w:val="center"/>
          </w:tcPr>
          <w:p w:rsidR="00D60232" w:rsidRPr="000C7B4F" w:rsidRDefault="00D60232" w:rsidP="004A756C">
            <w:pPr>
              <w:rPr>
                <w:rFonts w:ascii="Times New Roman" w:hAnsi="Times New Roman"/>
                <w:color w:val="000000"/>
                <w:sz w:val="16"/>
                <w:szCs w:val="16"/>
                <w:lang w:val="en-GB" w:eastAsia="en-GB"/>
              </w:rPr>
            </w:pPr>
          </w:p>
        </w:tc>
        <w:tc>
          <w:tcPr>
            <w:tcW w:w="2007" w:type="dxa"/>
            <w:tcBorders>
              <w:top w:val="nil"/>
              <w:left w:val="nil"/>
              <w:bottom w:val="nil"/>
              <w:right w:val="single" w:sz="8" w:space="0" w:color="auto"/>
            </w:tcBorders>
            <w:shd w:val="clear" w:color="auto" w:fill="auto"/>
            <w:noWrap/>
            <w:vAlign w:val="bottom"/>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2. EI 2-Step</w:t>
            </w:r>
          </w:p>
        </w:tc>
        <w:tc>
          <w:tcPr>
            <w:tcW w:w="742" w:type="dxa"/>
            <w:tcBorders>
              <w:top w:val="nil"/>
              <w:left w:val="single" w:sz="8" w:space="0" w:color="auto"/>
              <w:bottom w:val="nil"/>
              <w:right w:val="nil"/>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11.435</w:t>
            </w:r>
          </w:p>
        </w:tc>
        <w:tc>
          <w:tcPr>
            <w:tcW w:w="661" w:type="dxa"/>
            <w:tcBorders>
              <w:top w:val="nil"/>
              <w:left w:val="nil"/>
              <w:bottom w:val="nil"/>
              <w:right w:val="nil"/>
            </w:tcBorders>
            <w:shd w:val="clear" w:color="auto" w:fill="auto"/>
            <w:noWrap/>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0.146</w:t>
            </w:r>
          </w:p>
        </w:tc>
        <w:tc>
          <w:tcPr>
            <w:tcW w:w="664" w:type="dxa"/>
            <w:tcBorders>
              <w:top w:val="nil"/>
              <w:left w:val="nil"/>
              <w:bottom w:val="nil"/>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9.170</w:t>
            </w:r>
          </w:p>
        </w:tc>
        <w:tc>
          <w:tcPr>
            <w:tcW w:w="742" w:type="dxa"/>
            <w:tcBorders>
              <w:top w:val="nil"/>
              <w:left w:val="single" w:sz="8" w:space="0" w:color="auto"/>
              <w:bottom w:val="nil"/>
              <w:right w:val="nil"/>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11.607</w:t>
            </w:r>
          </w:p>
        </w:tc>
        <w:tc>
          <w:tcPr>
            <w:tcW w:w="661" w:type="dxa"/>
            <w:tcBorders>
              <w:top w:val="nil"/>
              <w:left w:val="nil"/>
              <w:bottom w:val="nil"/>
              <w:right w:val="nil"/>
            </w:tcBorders>
            <w:shd w:val="clear" w:color="auto" w:fill="auto"/>
            <w:noWrap/>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0.176</w:t>
            </w:r>
          </w:p>
        </w:tc>
        <w:tc>
          <w:tcPr>
            <w:tcW w:w="744" w:type="dxa"/>
            <w:tcBorders>
              <w:top w:val="nil"/>
              <w:left w:val="nil"/>
              <w:bottom w:val="nil"/>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9.427</w:t>
            </w:r>
          </w:p>
        </w:tc>
        <w:tc>
          <w:tcPr>
            <w:tcW w:w="742" w:type="dxa"/>
            <w:tcBorders>
              <w:top w:val="nil"/>
              <w:left w:val="single" w:sz="8" w:space="0" w:color="auto"/>
              <w:bottom w:val="nil"/>
              <w:right w:val="nil"/>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11.569</w:t>
            </w:r>
          </w:p>
        </w:tc>
        <w:tc>
          <w:tcPr>
            <w:tcW w:w="661" w:type="dxa"/>
            <w:tcBorders>
              <w:top w:val="nil"/>
              <w:left w:val="nil"/>
              <w:bottom w:val="nil"/>
              <w:right w:val="nil"/>
            </w:tcBorders>
            <w:shd w:val="clear" w:color="auto" w:fill="auto"/>
            <w:noWrap/>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0.123</w:t>
            </w:r>
          </w:p>
        </w:tc>
        <w:tc>
          <w:tcPr>
            <w:tcW w:w="664" w:type="dxa"/>
            <w:tcBorders>
              <w:top w:val="nil"/>
              <w:left w:val="nil"/>
              <w:bottom w:val="nil"/>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9.234</w:t>
            </w:r>
          </w:p>
        </w:tc>
        <w:tc>
          <w:tcPr>
            <w:tcW w:w="742" w:type="dxa"/>
            <w:tcBorders>
              <w:top w:val="nil"/>
              <w:left w:val="single" w:sz="8" w:space="0" w:color="auto"/>
              <w:bottom w:val="nil"/>
              <w:right w:val="nil"/>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11.111</w:t>
            </w:r>
          </w:p>
        </w:tc>
        <w:tc>
          <w:tcPr>
            <w:tcW w:w="661" w:type="dxa"/>
            <w:tcBorders>
              <w:top w:val="nil"/>
              <w:left w:val="nil"/>
              <w:bottom w:val="nil"/>
              <w:right w:val="nil"/>
            </w:tcBorders>
            <w:shd w:val="clear" w:color="auto" w:fill="auto"/>
            <w:noWrap/>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0.139</w:t>
            </w:r>
          </w:p>
        </w:tc>
        <w:tc>
          <w:tcPr>
            <w:tcW w:w="667" w:type="dxa"/>
            <w:tcBorders>
              <w:top w:val="nil"/>
              <w:left w:val="nil"/>
              <w:bottom w:val="nil"/>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8.891</w:t>
            </w:r>
          </w:p>
        </w:tc>
        <w:tc>
          <w:tcPr>
            <w:tcW w:w="662" w:type="dxa"/>
            <w:gridSpan w:val="2"/>
            <w:tcBorders>
              <w:top w:val="nil"/>
              <w:left w:val="single" w:sz="8" w:space="0" w:color="auto"/>
              <w:bottom w:val="nil"/>
              <w:right w:val="nil"/>
            </w:tcBorders>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9.903</w:t>
            </w:r>
          </w:p>
        </w:tc>
        <w:tc>
          <w:tcPr>
            <w:tcW w:w="710" w:type="dxa"/>
            <w:tcBorders>
              <w:top w:val="nil"/>
              <w:left w:val="nil"/>
              <w:bottom w:val="nil"/>
              <w:right w:val="nil"/>
            </w:tcBorders>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0.191</w:t>
            </w:r>
          </w:p>
        </w:tc>
        <w:tc>
          <w:tcPr>
            <w:tcW w:w="581" w:type="dxa"/>
            <w:tcBorders>
              <w:top w:val="nil"/>
              <w:left w:val="nil"/>
              <w:bottom w:val="nil"/>
              <w:right w:val="nil"/>
            </w:tcBorders>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7.868</w:t>
            </w:r>
          </w:p>
        </w:tc>
      </w:tr>
      <w:tr w:rsidR="00D60232" w:rsidRPr="000C7B4F" w:rsidTr="004A756C">
        <w:trPr>
          <w:trHeight w:val="20"/>
        </w:trPr>
        <w:tc>
          <w:tcPr>
            <w:tcW w:w="1850" w:type="dxa"/>
            <w:vMerge/>
            <w:tcBorders>
              <w:top w:val="single" w:sz="8" w:space="0" w:color="auto"/>
              <w:left w:val="nil"/>
              <w:bottom w:val="single" w:sz="8" w:space="0" w:color="auto"/>
            </w:tcBorders>
            <w:vAlign w:val="center"/>
          </w:tcPr>
          <w:p w:rsidR="00D60232" w:rsidRPr="000C7B4F" w:rsidRDefault="00D60232" w:rsidP="004A756C">
            <w:pPr>
              <w:rPr>
                <w:rFonts w:ascii="Times New Roman" w:hAnsi="Times New Roman"/>
                <w:color w:val="000000"/>
                <w:sz w:val="16"/>
                <w:szCs w:val="16"/>
                <w:lang w:val="en-GB" w:eastAsia="en-GB"/>
              </w:rPr>
            </w:pPr>
          </w:p>
        </w:tc>
        <w:tc>
          <w:tcPr>
            <w:tcW w:w="2007" w:type="dxa"/>
            <w:tcBorders>
              <w:top w:val="nil"/>
              <w:left w:val="nil"/>
              <w:right w:val="single" w:sz="8" w:space="0" w:color="auto"/>
            </w:tcBorders>
            <w:shd w:val="clear" w:color="auto" w:fill="auto"/>
            <w:noWrap/>
            <w:vAlign w:val="bottom"/>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3. Geometric-mean PR/PC</w:t>
            </w:r>
          </w:p>
        </w:tc>
        <w:tc>
          <w:tcPr>
            <w:tcW w:w="742" w:type="dxa"/>
            <w:tcBorders>
              <w:top w:val="nil"/>
              <w:left w:val="single" w:sz="8" w:space="0" w:color="auto"/>
              <w:right w:val="nil"/>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lang w:val="en-GB" w:eastAsia="en-GB"/>
              </w:rPr>
              <w:t>11.550</w:t>
            </w:r>
          </w:p>
        </w:tc>
        <w:tc>
          <w:tcPr>
            <w:tcW w:w="661" w:type="dxa"/>
            <w:tcBorders>
              <w:top w:val="nil"/>
              <w:left w:val="nil"/>
              <w:right w:val="nil"/>
            </w:tcBorders>
            <w:shd w:val="clear" w:color="auto" w:fill="auto"/>
            <w:noWrap/>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0.129</w:t>
            </w:r>
          </w:p>
        </w:tc>
        <w:tc>
          <w:tcPr>
            <w:tcW w:w="664" w:type="dxa"/>
            <w:tcBorders>
              <w:top w:val="nil"/>
              <w:left w:val="nil"/>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lang w:val="en-GB" w:eastAsia="en-GB"/>
              </w:rPr>
              <w:t>9.202</w:t>
            </w:r>
          </w:p>
        </w:tc>
        <w:tc>
          <w:tcPr>
            <w:tcW w:w="742" w:type="dxa"/>
            <w:tcBorders>
              <w:top w:val="nil"/>
              <w:left w:val="single" w:sz="8" w:space="0" w:color="auto"/>
              <w:right w:val="nil"/>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11.615</w:t>
            </w:r>
          </w:p>
        </w:tc>
        <w:tc>
          <w:tcPr>
            <w:tcW w:w="661" w:type="dxa"/>
            <w:tcBorders>
              <w:top w:val="nil"/>
              <w:left w:val="nil"/>
              <w:right w:val="nil"/>
            </w:tcBorders>
            <w:shd w:val="clear" w:color="auto" w:fill="auto"/>
            <w:noWrap/>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0.174</w:t>
            </w:r>
          </w:p>
        </w:tc>
        <w:tc>
          <w:tcPr>
            <w:tcW w:w="744" w:type="dxa"/>
            <w:tcBorders>
              <w:top w:val="nil"/>
              <w:left w:val="nil"/>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9.442</w:t>
            </w:r>
          </w:p>
        </w:tc>
        <w:tc>
          <w:tcPr>
            <w:tcW w:w="742" w:type="dxa"/>
            <w:tcBorders>
              <w:top w:val="nil"/>
              <w:left w:val="single" w:sz="8" w:space="0" w:color="auto"/>
              <w:right w:val="nil"/>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11.542</w:t>
            </w:r>
          </w:p>
        </w:tc>
        <w:tc>
          <w:tcPr>
            <w:tcW w:w="661" w:type="dxa"/>
            <w:tcBorders>
              <w:top w:val="nil"/>
              <w:left w:val="nil"/>
              <w:right w:val="nil"/>
            </w:tcBorders>
            <w:shd w:val="clear" w:color="auto" w:fill="auto"/>
            <w:noWrap/>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0.127</w:t>
            </w:r>
          </w:p>
        </w:tc>
        <w:tc>
          <w:tcPr>
            <w:tcW w:w="664" w:type="dxa"/>
            <w:tcBorders>
              <w:top w:val="nil"/>
              <w:left w:val="nil"/>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9.270</w:t>
            </w:r>
          </w:p>
        </w:tc>
        <w:tc>
          <w:tcPr>
            <w:tcW w:w="742" w:type="dxa"/>
            <w:tcBorders>
              <w:top w:val="nil"/>
              <w:left w:val="single" w:sz="8" w:space="0" w:color="auto"/>
              <w:right w:val="nil"/>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11.515</w:t>
            </w:r>
          </w:p>
        </w:tc>
        <w:tc>
          <w:tcPr>
            <w:tcW w:w="661" w:type="dxa"/>
            <w:tcBorders>
              <w:top w:val="nil"/>
              <w:left w:val="nil"/>
              <w:right w:val="nil"/>
            </w:tcBorders>
            <w:shd w:val="clear" w:color="auto" w:fill="auto"/>
            <w:noWrap/>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0.075</w:t>
            </w:r>
          </w:p>
        </w:tc>
        <w:tc>
          <w:tcPr>
            <w:tcW w:w="667" w:type="dxa"/>
            <w:tcBorders>
              <w:top w:val="nil"/>
              <w:left w:val="nil"/>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8.930</w:t>
            </w:r>
          </w:p>
        </w:tc>
        <w:tc>
          <w:tcPr>
            <w:tcW w:w="662" w:type="dxa"/>
            <w:gridSpan w:val="2"/>
            <w:tcBorders>
              <w:top w:val="nil"/>
              <w:left w:val="single" w:sz="8" w:space="0" w:color="auto"/>
              <w:right w:val="nil"/>
            </w:tcBorders>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9.848</w:t>
            </w:r>
          </w:p>
        </w:tc>
        <w:tc>
          <w:tcPr>
            <w:tcW w:w="710" w:type="dxa"/>
            <w:tcBorders>
              <w:top w:val="nil"/>
              <w:left w:val="nil"/>
              <w:right w:val="nil"/>
            </w:tcBorders>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0.200</w:t>
            </w:r>
          </w:p>
        </w:tc>
        <w:tc>
          <w:tcPr>
            <w:tcW w:w="581" w:type="dxa"/>
            <w:tcBorders>
              <w:top w:val="nil"/>
              <w:left w:val="nil"/>
              <w:right w:val="nil"/>
            </w:tcBorders>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7.832</w:t>
            </w:r>
          </w:p>
        </w:tc>
      </w:tr>
      <w:tr w:rsidR="00D60232" w:rsidRPr="000C7B4F" w:rsidTr="004A756C">
        <w:trPr>
          <w:trHeight w:val="20"/>
        </w:trPr>
        <w:tc>
          <w:tcPr>
            <w:tcW w:w="1850" w:type="dxa"/>
            <w:vMerge/>
            <w:tcBorders>
              <w:top w:val="single" w:sz="8" w:space="0" w:color="auto"/>
              <w:left w:val="nil"/>
              <w:bottom w:val="single" w:sz="8" w:space="0" w:color="auto"/>
            </w:tcBorders>
            <w:vAlign w:val="center"/>
          </w:tcPr>
          <w:p w:rsidR="00D60232" w:rsidRPr="000C7B4F" w:rsidRDefault="00D60232" w:rsidP="004A756C">
            <w:pPr>
              <w:rPr>
                <w:rFonts w:ascii="Times New Roman" w:hAnsi="Times New Roman"/>
                <w:color w:val="000000"/>
                <w:sz w:val="16"/>
                <w:szCs w:val="16"/>
                <w:lang w:val="en-GB" w:eastAsia="en-GB"/>
              </w:rPr>
            </w:pPr>
          </w:p>
        </w:tc>
        <w:tc>
          <w:tcPr>
            <w:tcW w:w="2007" w:type="dxa"/>
            <w:tcBorders>
              <w:top w:val="nil"/>
              <w:left w:val="nil"/>
              <w:bottom w:val="single" w:sz="8" w:space="0" w:color="auto"/>
              <w:right w:val="single" w:sz="8" w:space="0" w:color="auto"/>
            </w:tcBorders>
            <w:shd w:val="clear" w:color="auto" w:fill="auto"/>
            <w:noWrap/>
            <w:vAlign w:val="bottom"/>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4. CFA</w:t>
            </w:r>
          </w:p>
        </w:tc>
        <w:tc>
          <w:tcPr>
            <w:tcW w:w="742" w:type="dxa"/>
            <w:tcBorders>
              <w:top w:val="nil"/>
              <w:left w:val="single" w:sz="8" w:space="0" w:color="auto"/>
              <w:bottom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11.566</w:t>
            </w:r>
          </w:p>
        </w:tc>
        <w:tc>
          <w:tcPr>
            <w:tcW w:w="661" w:type="dxa"/>
            <w:tcBorders>
              <w:top w:val="nil"/>
              <w:bottom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Pr>
                <w:rFonts w:ascii="Times New Roman" w:hAnsi="Times New Roman"/>
                <w:sz w:val="16"/>
                <w:szCs w:val="16"/>
                <w:lang w:val="en-GB" w:eastAsia="en-GB"/>
              </w:rPr>
              <w:t>0.126</w:t>
            </w:r>
          </w:p>
        </w:tc>
        <w:tc>
          <w:tcPr>
            <w:tcW w:w="664" w:type="dxa"/>
            <w:tcBorders>
              <w:top w:val="nil"/>
              <w:bottom w:val="single" w:sz="8" w:space="0" w:color="auto"/>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9.217</w:t>
            </w:r>
          </w:p>
        </w:tc>
        <w:tc>
          <w:tcPr>
            <w:tcW w:w="742" w:type="dxa"/>
            <w:tcBorders>
              <w:top w:val="nil"/>
              <w:left w:val="single" w:sz="8" w:space="0" w:color="auto"/>
              <w:bottom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11.604</w:t>
            </w:r>
          </w:p>
        </w:tc>
        <w:tc>
          <w:tcPr>
            <w:tcW w:w="661" w:type="dxa"/>
            <w:tcBorders>
              <w:top w:val="nil"/>
              <w:bottom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Pr>
                <w:rFonts w:ascii="Times New Roman" w:hAnsi="Times New Roman"/>
                <w:sz w:val="16"/>
                <w:szCs w:val="16"/>
                <w:lang w:val="en-GB" w:eastAsia="en-GB"/>
              </w:rPr>
              <w:t>0.176</w:t>
            </w:r>
          </w:p>
        </w:tc>
        <w:tc>
          <w:tcPr>
            <w:tcW w:w="744" w:type="dxa"/>
            <w:tcBorders>
              <w:top w:val="nil"/>
              <w:bottom w:val="single" w:sz="8" w:space="0" w:color="auto"/>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9.404</w:t>
            </w:r>
          </w:p>
        </w:tc>
        <w:tc>
          <w:tcPr>
            <w:tcW w:w="742" w:type="dxa"/>
            <w:tcBorders>
              <w:top w:val="nil"/>
              <w:left w:val="single" w:sz="8" w:space="0" w:color="auto"/>
              <w:bottom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11.619</w:t>
            </w:r>
          </w:p>
        </w:tc>
        <w:tc>
          <w:tcPr>
            <w:tcW w:w="661" w:type="dxa"/>
            <w:tcBorders>
              <w:top w:val="nil"/>
              <w:bottom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Pr>
                <w:rFonts w:ascii="Times New Roman" w:hAnsi="Times New Roman"/>
                <w:sz w:val="16"/>
                <w:szCs w:val="16"/>
                <w:lang w:val="en-GB" w:eastAsia="en-GB"/>
              </w:rPr>
              <w:t>0.115</w:t>
            </w:r>
          </w:p>
        </w:tc>
        <w:tc>
          <w:tcPr>
            <w:tcW w:w="664" w:type="dxa"/>
            <w:tcBorders>
              <w:top w:val="nil"/>
              <w:bottom w:val="single" w:sz="8" w:space="0" w:color="auto"/>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9.313</w:t>
            </w:r>
          </w:p>
        </w:tc>
        <w:tc>
          <w:tcPr>
            <w:tcW w:w="742" w:type="dxa"/>
            <w:tcBorders>
              <w:top w:val="nil"/>
              <w:left w:val="single" w:sz="8" w:space="0" w:color="auto"/>
              <w:bottom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11.458</w:t>
            </w:r>
          </w:p>
        </w:tc>
        <w:tc>
          <w:tcPr>
            <w:tcW w:w="661" w:type="dxa"/>
            <w:tcBorders>
              <w:top w:val="nil"/>
              <w:bottom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Pr>
                <w:rFonts w:ascii="Times New Roman" w:hAnsi="Times New Roman"/>
                <w:sz w:val="16"/>
                <w:szCs w:val="16"/>
                <w:lang w:val="en-GB" w:eastAsia="en-GB"/>
              </w:rPr>
              <w:t>0.084</w:t>
            </w:r>
          </w:p>
        </w:tc>
        <w:tc>
          <w:tcPr>
            <w:tcW w:w="667" w:type="dxa"/>
            <w:tcBorders>
              <w:top w:val="nil"/>
              <w:bottom w:val="single" w:sz="8" w:space="0" w:color="auto"/>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8.944</w:t>
            </w:r>
          </w:p>
        </w:tc>
        <w:tc>
          <w:tcPr>
            <w:tcW w:w="662" w:type="dxa"/>
            <w:gridSpan w:val="2"/>
            <w:tcBorders>
              <w:top w:val="nil"/>
              <w:left w:val="single" w:sz="8" w:space="0" w:color="auto"/>
              <w:bottom w:val="single" w:sz="8" w:space="0" w:color="auto"/>
            </w:tcBorders>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9.848</w:t>
            </w:r>
          </w:p>
        </w:tc>
        <w:tc>
          <w:tcPr>
            <w:tcW w:w="710" w:type="dxa"/>
            <w:tcBorders>
              <w:top w:val="nil"/>
              <w:bottom w:val="single" w:sz="8" w:space="0" w:color="auto"/>
            </w:tcBorders>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0.200</w:t>
            </w:r>
          </w:p>
        </w:tc>
        <w:tc>
          <w:tcPr>
            <w:tcW w:w="581" w:type="dxa"/>
            <w:tcBorders>
              <w:top w:val="nil"/>
              <w:bottom w:val="single" w:sz="8" w:space="0" w:color="auto"/>
              <w:right w:val="nil"/>
            </w:tcBorders>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7.817</w:t>
            </w:r>
          </w:p>
        </w:tc>
      </w:tr>
      <w:tr w:rsidR="00D60232" w:rsidRPr="000C7B4F" w:rsidTr="004A756C">
        <w:trPr>
          <w:trHeight w:val="20"/>
        </w:trPr>
        <w:tc>
          <w:tcPr>
            <w:tcW w:w="1850" w:type="dxa"/>
            <w:vMerge w:val="restart"/>
            <w:tcBorders>
              <w:top w:val="single" w:sz="8" w:space="0" w:color="auto"/>
              <w:left w:val="nil"/>
              <w:bottom w:val="single" w:sz="8" w:space="0" w:color="auto"/>
            </w:tcBorders>
            <w:vAlign w:val="center"/>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sz w:val="16"/>
                <w:szCs w:val="16"/>
                <w:lang w:val="en-GB" w:eastAsia="en-GB"/>
              </w:rPr>
              <w:t>Unweighted Sum-scores</w:t>
            </w:r>
          </w:p>
        </w:tc>
        <w:tc>
          <w:tcPr>
            <w:tcW w:w="2007" w:type="dxa"/>
            <w:tcBorders>
              <w:top w:val="single" w:sz="8" w:space="0" w:color="auto"/>
              <w:left w:val="nil"/>
              <w:right w:val="single" w:sz="8" w:space="0" w:color="auto"/>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5. ENR</w:t>
            </w:r>
            <w:r w:rsidR="004A756C">
              <w:rPr>
                <w:rFonts w:ascii="Times New Roman" w:hAnsi="Times New Roman"/>
                <w:color w:val="000000"/>
                <w:sz w:val="16"/>
                <w:szCs w:val="16"/>
                <w:lang w:val="en-GB" w:eastAsia="en-GB"/>
              </w:rPr>
              <w:t>*</w:t>
            </w:r>
          </w:p>
        </w:tc>
        <w:tc>
          <w:tcPr>
            <w:tcW w:w="742" w:type="dxa"/>
            <w:tcBorders>
              <w:top w:val="single" w:sz="8" w:space="0" w:color="auto"/>
              <w:left w:val="single" w:sz="8" w:space="0" w:color="auto"/>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11.595</w:t>
            </w:r>
          </w:p>
        </w:tc>
        <w:tc>
          <w:tcPr>
            <w:tcW w:w="661" w:type="dxa"/>
            <w:tcBorders>
              <w:top w:val="single" w:sz="8" w:space="0" w:color="auto"/>
              <w:left w:val="nil"/>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Pr>
                <w:rFonts w:ascii="Times New Roman" w:hAnsi="Times New Roman"/>
                <w:sz w:val="16"/>
                <w:szCs w:val="16"/>
                <w:lang w:val="en-GB" w:eastAsia="en-GB"/>
              </w:rPr>
              <w:t>0.126</w:t>
            </w:r>
          </w:p>
        </w:tc>
        <w:tc>
          <w:tcPr>
            <w:tcW w:w="664" w:type="dxa"/>
            <w:tcBorders>
              <w:top w:val="single" w:sz="8" w:space="0" w:color="auto"/>
              <w:left w:val="nil"/>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9.225</w:t>
            </w:r>
          </w:p>
        </w:tc>
        <w:tc>
          <w:tcPr>
            <w:tcW w:w="742" w:type="dxa"/>
            <w:tcBorders>
              <w:top w:val="single" w:sz="8" w:space="0" w:color="auto"/>
              <w:left w:val="single" w:sz="8" w:space="0" w:color="auto"/>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11.625</w:t>
            </w:r>
          </w:p>
        </w:tc>
        <w:tc>
          <w:tcPr>
            <w:tcW w:w="661" w:type="dxa"/>
            <w:tcBorders>
              <w:top w:val="single" w:sz="8" w:space="0" w:color="auto"/>
              <w:left w:val="nil"/>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Pr>
                <w:rFonts w:ascii="Times New Roman" w:hAnsi="Times New Roman"/>
                <w:sz w:val="16"/>
                <w:szCs w:val="16"/>
                <w:lang w:val="en-GB" w:eastAsia="en-GB"/>
              </w:rPr>
              <w:t>0.173</w:t>
            </w:r>
          </w:p>
        </w:tc>
        <w:tc>
          <w:tcPr>
            <w:tcW w:w="744" w:type="dxa"/>
            <w:tcBorders>
              <w:top w:val="single" w:sz="8" w:space="0" w:color="auto"/>
              <w:left w:val="nil"/>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9.424</w:t>
            </w:r>
          </w:p>
        </w:tc>
        <w:tc>
          <w:tcPr>
            <w:tcW w:w="742" w:type="dxa"/>
            <w:tcBorders>
              <w:top w:val="single" w:sz="8" w:space="0" w:color="auto"/>
              <w:left w:val="single" w:sz="8" w:space="0" w:color="auto"/>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11.613</w:t>
            </w:r>
          </w:p>
        </w:tc>
        <w:tc>
          <w:tcPr>
            <w:tcW w:w="661" w:type="dxa"/>
            <w:tcBorders>
              <w:top w:val="single" w:sz="8" w:space="0" w:color="auto"/>
              <w:left w:val="nil"/>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Pr>
                <w:rFonts w:ascii="Times New Roman" w:hAnsi="Times New Roman"/>
                <w:sz w:val="16"/>
                <w:szCs w:val="16"/>
                <w:lang w:val="en-GB" w:eastAsia="en-GB"/>
              </w:rPr>
              <w:t>0.116</w:t>
            </w:r>
          </w:p>
        </w:tc>
        <w:tc>
          <w:tcPr>
            <w:tcW w:w="664" w:type="dxa"/>
            <w:tcBorders>
              <w:top w:val="single" w:sz="8" w:space="0" w:color="auto"/>
              <w:left w:val="nil"/>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9.320</w:t>
            </w:r>
          </w:p>
        </w:tc>
        <w:tc>
          <w:tcPr>
            <w:tcW w:w="742" w:type="dxa"/>
            <w:tcBorders>
              <w:top w:val="single" w:sz="8" w:space="0" w:color="auto"/>
              <w:left w:val="single" w:sz="8" w:space="0" w:color="auto"/>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11.462</w:t>
            </w:r>
          </w:p>
        </w:tc>
        <w:tc>
          <w:tcPr>
            <w:tcW w:w="661" w:type="dxa"/>
            <w:tcBorders>
              <w:top w:val="single" w:sz="8" w:space="0" w:color="auto"/>
              <w:left w:val="nil"/>
              <w:right w:val="nil"/>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Pr>
                <w:rFonts w:ascii="Times New Roman" w:hAnsi="Times New Roman"/>
                <w:sz w:val="16"/>
                <w:szCs w:val="16"/>
                <w:lang w:val="en-GB" w:eastAsia="en-GB"/>
              </w:rPr>
              <w:t>0.084</w:t>
            </w:r>
          </w:p>
        </w:tc>
        <w:tc>
          <w:tcPr>
            <w:tcW w:w="667" w:type="dxa"/>
            <w:tcBorders>
              <w:top w:val="single" w:sz="8" w:space="0" w:color="auto"/>
              <w:left w:val="nil"/>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8.944</w:t>
            </w:r>
          </w:p>
        </w:tc>
        <w:tc>
          <w:tcPr>
            <w:tcW w:w="662" w:type="dxa"/>
            <w:gridSpan w:val="2"/>
            <w:tcBorders>
              <w:top w:val="single" w:sz="8" w:space="0" w:color="auto"/>
              <w:left w:val="single" w:sz="8" w:space="0" w:color="auto"/>
              <w:right w:val="nil"/>
            </w:tcBorders>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9.849</w:t>
            </w:r>
          </w:p>
        </w:tc>
        <w:tc>
          <w:tcPr>
            <w:tcW w:w="710" w:type="dxa"/>
            <w:tcBorders>
              <w:top w:val="single" w:sz="8" w:space="0" w:color="auto"/>
              <w:left w:val="nil"/>
              <w:right w:val="nil"/>
            </w:tcBorders>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0.200</w:t>
            </w:r>
          </w:p>
        </w:tc>
        <w:tc>
          <w:tcPr>
            <w:tcW w:w="581" w:type="dxa"/>
            <w:tcBorders>
              <w:top w:val="single" w:sz="8" w:space="0" w:color="auto"/>
              <w:left w:val="nil"/>
              <w:right w:val="nil"/>
            </w:tcBorders>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7.821</w:t>
            </w:r>
          </w:p>
        </w:tc>
      </w:tr>
      <w:tr w:rsidR="00D60232" w:rsidRPr="000C7B4F" w:rsidTr="004A756C">
        <w:trPr>
          <w:trHeight w:val="20"/>
        </w:trPr>
        <w:tc>
          <w:tcPr>
            <w:tcW w:w="1850" w:type="dxa"/>
            <w:vMerge/>
            <w:tcBorders>
              <w:top w:val="single" w:sz="8" w:space="0" w:color="auto"/>
              <w:left w:val="nil"/>
              <w:bottom w:val="single" w:sz="8" w:space="0" w:color="auto"/>
            </w:tcBorders>
            <w:vAlign w:val="center"/>
          </w:tcPr>
          <w:p w:rsidR="00D60232" w:rsidRPr="000C7B4F" w:rsidRDefault="00D60232" w:rsidP="004A756C">
            <w:pPr>
              <w:rPr>
                <w:rFonts w:ascii="Times New Roman" w:hAnsi="Times New Roman"/>
                <w:color w:val="000000"/>
                <w:sz w:val="16"/>
                <w:szCs w:val="16"/>
                <w:lang w:val="en-GB" w:eastAsia="en-GB"/>
              </w:rPr>
            </w:pPr>
          </w:p>
        </w:tc>
        <w:tc>
          <w:tcPr>
            <w:tcW w:w="2007" w:type="dxa"/>
            <w:tcBorders>
              <w:top w:val="nil"/>
              <w:left w:val="nil"/>
              <w:bottom w:val="single" w:sz="8" w:space="0" w:color="auto"/>
              <w:right w:val="single" w:sz="8" w:space="0" w:color="auto"/>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6. OLS</w:t>
            </w:r>
          </w:p>
        </w:tc>
        <w:tc>
          <w:tcPr>
            <w:tcW w:w="742" w:type="dxa"/>
            <w:tcBorders>
              <w:top w:val="nil"/>
              <w:left w:val="single" w:sz="8" w:space="0" w:color="auto"/>
              <w:bottom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11.540</w:t>
            </w:r>
          </w:p>
        </w:tc>
        <w:tc>
          <w:tcPr>
            <w:tcW w:w="661" w:type="dxa"/>
            <w:tcBorders>
              <w:top w:val="nil"/>
              <w:bottom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Pr>
                <w:rFonts w:ascii="Times New Roman" w:hAnsi="Times New Roman"/>
                <w:sz w:val="16"/>
                <w:szCs w:val="16"/>
                <w:lang w:val="en-GB" w:eastAsia="en-GB"/>
              </w:rPr>
              <w:t>0.130</w:t>
            </w:r>
          </w:p>
        </w:tc>
        <w:tc>
          <w:tcPr>
            <w:tcW w:w="664" w:type="dxa"/>
            <w:tcBorders>
              <w:top w:val="nil"/>
              <w:bottom w:val="single" w:sz="8" w:space="0" w:color="auto"/>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9.207</w:t>
            </w:r>
          </w:p>
        </w:tc>
        <w:tc>
          <w:tcPr>
            <w:tcW w:w="742" w:type="dxa"/>
            <w:tcBorders>
              <w:top w:val="nil"/>
              <w:left w:val="single" w:sz="8" w:space="0" w:color="auto"/>
              <w:bottom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11.587</w:t>
            </w:r>
          </w:p>
        </w:tc>
        <w:tc>
          <w:tcPr>
            <w:tcW w:w="661" w:type="dxa"/>
            <w:tcBorders>
              <w:top w:val="nil"/>
              <w:bottom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Pr>
                <w:rFonts w:ascii="Times New Roman" w:hAnsi="Times New Roman"/>
                <w:sz w:val="16"/>
                <w:szCs w:val="16"/>
                <w:lang w:val="en-GB" w:eastAsia="en-GB"/>
              </w:rPr>
              <w:t>0.178</w:t>
            </w:r>
          </w:p>
        </w:tc>
        <w:tc>
          <w:tcPr>
            <w:tcW w:w="744" w:type="dxa"/>
            <w:tcBorders>
              <w:top w:val="nil"/>
              <w:bottom w:val="single" w:sz="8" w:space="0" w:color="auto"/>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9.392</w:t>
            </w:r>
          </w:p>
        </w:tc>
        <w:tc>
          <w:tcPr>
            <w:tcW w:w="742" w:type="dxa"/>
            <w:tcBorders>
              <w:top w:val="nil"/>
              <w:left w:val="single" w:sz="8" w:space="0" w:color="auto"/>
              <w:bottom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11.596</w:t>
            </w:r>
          </w:p>
        </w:tc>
        <w:tc>
          <w:tcPr>
            <w:tcW w:w="661" w:type="dxa"/>
            <w:tcBorders>
              <w:top w:val="nil"/>
              <w:bottom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Pr>
                <w:rFonts w:ascii="Times New Roman" w:hAnsi="Times New Roman"/>
                <w:sz w:val="16"/>
                <w:szCs w:val="16"/>
                <w:lang w:val="en-GB" w:eastAsia="en-GB"/>
              </w:rPr>
              <w:t>0.119</w:t>
            </w:r>
          </w:p>
        </w:tc>
        <w:tc>
          <w:tcPr>
            <w:tcW w:w="664" w:type="dxa"/>
            <w:tcBorders>
              <w:top w:val="nil"/>
              <w:bottom w:val="single" w:sz="8" w:space="0" w:color="auto"/>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9.307</w:t>
            </w:r>
          </w:p>
        </w:tc>
        <w:tc>
          <w:tcPr>
            <w:tcW w:w="742" w:type="dxa"/>
            <w:tcBorders>
              <w:top w:val="nil"/>
              <w:left w:val="single" w:sz="8" w:space="0" w:color="auto"/>
              <w:bottom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11.423</w:t>
            </w:r>
          </w:p>
        </w:tc>
        <w:tc>
          <w:tcPr>
            <w:tcW w:w="661" w:type="dxa"/>
            <w:tcBorders>
              <w:top w:val="nil"/>
              <w:bottom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Pr>
                <w:rFonts w:ascii="Times New Roman" w:hAnsi="Times New Roman"/>
                <w:sz w:val="16"/>
                <w:szCs w:val="16"/>
                <w:lang w:val="en-GB" w:eastAsia="en-GB"/>
              </w:rPr>
              <w:t>0.090</w:t>
            </w:r>
          </w:p>
        </w:tc>
        <w:tc>
          <w:tcPr>
            <w:tcW w:w="667" w:type="dxa"/>
            <w:tcBorders>
              <w:top w:val="nil"/>
              <w:bottom w:val="single" w:sz="8" w:space="0" w:color="auto"/>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lang w:val="en-GB" w:eastAsia="en-GB"/>
              </w:rPr>
            </w:pPr>
            <w:r w:rsidRPr="000C7B4F">
              <w:rPr>
                <w:rFonts w:ascii="Times New Roman" w:hAnsi="Times New Roman"/>
                <w:sz w:val="16"/>
                <w:szCs w:val="16"/>
                <w:lang w:val="en-GB" w:eastAsia="en-GB"/>
              </w:rPr>
              <w:t>8.926</w:t>
            </w:r>
          </w:p>
        </w:tc>
        <w:tc>
          <w:tcPr>
            <w:tcW w:w="662" w:type="dxa"/>
            <w:gridSpan w:val="2"/>
            <w:tcBorders>
              <w:top w:val="nil"/>
              <w:left w:val="single" w:sz="8" w:space="0" w:color="auto"/>
              <w:bottom w:val="single" w:sz="8" w:space="0" w:color="auto"/>
            </w:tcBorders>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9.850</w:t>
            </w:r>
          </w:p>
        </w:tc>
        <w:tc>
          <w:tcPr>
            <w:tcW w:w="710" w:type="dxa"/>
            <w:tcBorders>
              <w:top w:val="nil"/>
              <w:bottom w:val="single" w:sz="8" w:space="0" w:color="auto"/>
            </w:tcBorders>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0.200</w:t>
            </w:r>
          </w:p>
        </w:tc>
        <w:tc>
          <w:tcPr>
            <w:tcW w:w="581" w:type="dxa"/>
            <w:tcBorders>
              <w:top w:val="nil"/>
              <w:bottom w:val="single" w:sz="8" w:space="0" w:color="auto"/>
              <w:right w:val="nil"/>
            </w:tcBorders>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7.818</w:t>
            </w:r>
          </w:p>
        </w:tc>
      </w:tr>
      <w:tr w:rsidR="00D60232" w:rsidRPr="000C7B4F" w:rsidTr="004A756C">
        <w:trPr>
          <w:trHeight w:val="20"/>
        </w:trPr>
        <w:tc>
          <w:tcPr>
            <w:tcW w:w="1850" w:type="dxa"/>
            <w:vMerge w:val="restart"/>
            <w:tcBorders>
              <w:top w:val="single" w:sz="8" w:space="0" w:color="auto"/>
              <w:left w:val="nil"/>
              <w:bottom w:val="single" w:sz="8" w:space="0" w:color="auto"/>
            </w:tcBorders>
            <w:vAlign w:val="center"/>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sz w:val="16"/>
                <w:szCs w:val="16"/>
                <w:lang w:val="en-GB" w:eastAsia="en-GB"/>
              </w:rPr>
              <w:t>Individual Symptoms</w:t>
            </w:r>
          </w:p>
        </w:tc>
        <w:tc>
          <w:tcPr>
            <w:tcW w:w="2007" w:type="dxa"/>
            <w:tcBorders>
              <w:top w:val="single" w:sz="8" w:space="0" w:color="auto"/>
              <w:left w:val="nil"/>
              <w:right w:val="single" w:sz="8" w:space="0" w:color="auto"/>
            </w:tcBorders>
            <w:shd w:val="clear" w:color="auto" w:fill="auto"/>
            <w:noWrap/>
            <w:vAlign w:val="bottom"/>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7. ENR</w:t>
            </w:r>
            <w:r w:rsidR="004A756C">
              <w:rPr>
                <w:rFonts w:ascii="Times New Roman" w:hAnsi="Times New Roman"/>
                <w:color w:val="000000"/>
                <w:sz w:val="16"/>
                <w:szCs w:val="16"/>
                <w:lang w:val="en-GB" w:eastAsia="en-GB"/>
              </w:rPr>
              <w:t>⸷</w:t>
            </w:r>
          </w:p>
        </w:tc>
        <w:tc>
          <w:tcPr>
            <w:tcW w:w="742" w:type="dxa"/>
            <w:tcBorders>
              <w:top w:val="single" w:sz="8" w:space="0" w:color="auto"/>
              <w:left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lang w:val="en-GB" w:eastAsia="en-GB"/>
              </w:rPr>
              <w:t>11.552</w:t>
            </w:r>
          </w:p>
        </w:tc>
        <w:tc>
          <w:tcPr>
            <w:tcW w:w="661" w:type="dxa"/>
            <w:tcBorders>
              <w:top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0.129</w:t>
            </w:r>
          </w:p>
        </w:tc>
        <w:tc>
          <w:tcPr>
            <w:tcW w:w="664" w:type="dxa"/>
            <w:tcBorders>
              <w:top w:val="single" w:sz="8" w:space="0" w:color="auto"/>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lang w:val="en-GB" w:eastAsia="en-GB"/>
              </w:rPr>
              <w:t>9.262</w:t>
            </w:r>
          </w:p>
        </w:tc>
        <w:tc>
          <w:tcPr>
            <w:tcW w:w="742" w:type="dxa"/>
            <w:tcBorders>
              <w:top w:val="single" w:sz="8" w:space="0" w:color="auto"/>
              <w:left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lang w:val="en-GB" w:eastAsia="en-GB"/>
              </w:rPr>
              <w:t>11.896</w:t>
            </w:r>
          </w:p>
        </w:tc>
        <w:tc>
          <w:tcPr>
            <w:tcW w:w="661" w:type="dxa"/>
            <w:tcBorders>
              <w:top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0.134</w:t>
            </w:r>
          </w:p>
        </w:tc>
        <w:tc>
          <w:tcPr>
            <w:tcW w:w="744" w:type="dxa"/>
            <w:tcBorders>
              <w:top w:val="single" w:sz="8" w:space="0" w:color="auto"/>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lang w:val="en-GB" w:eastAsia="en-GB"/>
              </w:rPr>
              <w:t>9.782</w:t>
            </w:r>
          </w:p>
        </w:tc>
        <w:tc>
          <w:tcPr>
            <w:tcW w:w="742" w:type="dxa"/>
            <w:tcBorders>
              <w:top w:val="single" w:sz="8" w:space="0" w:color="auto"/>
              <w:left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lang w:val="en-GB" w:eastAsia="en-GB"/>
              </w:rPr>
              <w:t>11.463</w:t>
            </w:r>
          </w:p>
        </w:tc>
        <w:tc>
          <w:tcPr>
            <w:tcW w:w="661" w:type="dxa"/>
            <w:tcBorders>
              <w:top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0.139</w:t>
            </w:r>
          </w:p>
        </w:tc>
        <w:tc>
          <w:tcPr>
            <w:tcW w:w="664" w:type="dxa"/>
            <w:tcBorders>
              <w:top w:val="single" w:sz="8" w:space="0" w:color="auto"/>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lang w:val="en-GB" w:eastAsia="en-GB"/>
              </w:rPr>
              <w:t>9.229</w:t>
            </w:r>
          </w:p>
        </w:tc>
        <w:tc>
          <w:tcPr>
            <w:tcW w:w="742" w:type="dxa"/>
            <w:tcBorders>
              <w:top w:val="single" w:sz="8" w:space="0" w:color="auto"/>
              <w:left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lang w:val="en-GB" w:eastAsia="en-GB"/>
              </w:rPr>
              <w:t>11.431</w:t>
            </w:r>
          </w:p>
        </w:tc>
        <w:tc>
          <w:tcPr>
            <w:tcW w:w="661" w:type="dxa"/>
            <w:tcBorders>
              <w:top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0.089</w:t>
            </w:r>
          </w:p>
        </w:tc>
        <w:tc>
          <w:tcPr>
            <w:tcW w:w="667" w:type="dxa"/>
            <w:tcBorders>
              <w:top w:val="single" w:sz="8" w:space="0" w:color="auto"/>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lang w:val="en-GB" w:eastAsia="en-GB"/>
              </w:rPr>
              <w:t>8.939</w:t>
            </w:r>
          </w:p>
        </w:tc>
        <w:tc>
          <w:tcPr>
            <w:tcW w:w="662" w:type="dxa"/>
            <w:gridSpan w:val="2"/>
            <w:tcBorders>
              <w:top w:val="single" w:sz="8" w:space="0" w:color="auto"/>
              <w:left w:val="single" w:sz="8" w:space="0" w:color="auto"/>
              <w:right w:val="nil"/>
            </w:tcBorders>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9.865</w:t>
            </w:r>
          </w:p>
        </w:tc>
        <w:tc>
          <w:tcPr>
            <w:tcW w:w="710" w:type="dxa"/>
            <w:tcBorders>
              <w:top w:val="single" w:sz="8" w:space="0" w:color="auto"/>
            </w:tcBorders>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0.198</w:t>
            </w:r>
          </w:p>
        </w:tc>
        <w:tc>
          <w:tcPr>
            <w:tcW w:w="581" w:type="dxa"/>
            <w:tcBorders>
              <w:top w:val="single" w:sz="8" w:space="0" w:color="auto"/>
              <w:right w:val="nil"/>
            </w:tcBorders>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7.836</w:t>
            </w:r>
          </w:p>
        </w:tc>
      </w:tr>
      <w:tr w:rsidR="00D60232" w:rsidRPr="000C7B4F" w:rsidTr="004A756C">
        <w:trPr>
          <w:trHeight w:val="20"/>
        </w:trPr>
        <w:tc>
          <w:tcPr>
            <w:tcW w:w="1850" w:type="dxa"/>
            <w:vMerge/>
            <w:tcBorders>
              <w:top w:val="single" w:sz="8" w:space="0" w:color="auto"/>
              <w:left w:val="nil"/>
              <w:bottom w:val="single" w:sz="8" w:space="0" w:color="auto"/>
            </w:tcBorders>
            <w:vAlign w:val="center"/>
          </w:tcPr>
          <w:p w:rsidR="00D60232" w:rsidRPr="000C7B4F" w:rsidRDefault="00D60232" w:rsidP="004A756C">
            <w:pPr>
              <w:rPr>
                <w:rFonts w:ascii="Times New Roman" w:hAnsi="Times New Roman"/>
                <w:color w:val="000000"/>
                <w:sz w:val="16"/>
                <w:szCs w:val="16"/>
                <w:lang w:val="en-GB" w:eastAsia="en-GB"/>
              </w:rPr>
            </w:pPr>
          </w:p>
        </w:tc>
        <w:tc>
          <w:tcPr>
            <w:tcW w:w="2007" w:type="dxa"/>
            <w:tcBorders>
              <w:left w:val="nil"/>
              <w:bottom w:val="single" w:sz="8" w:space="0" w:color="auto"/>
              <w:right w:val="single" w:sz="8" w:space="0" w:color="auto"/>
            </w:tcBorders>
            <w:shd w:val="clear" w:color="auto" w:fill="auto"/>
            <w:noWrap/>
            <w:vAlign w:val="bottom"/>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8. OLS</w:t>
            </w:r>
          </w:p>
        </w:tc>
        <w:tc>
          <w:tcPr>
            <w:tcW w:w="742" w:type="dxa"/>
            <w:tcBorders>
              <w:left w:val="single" w:sz="8" w:space="0" w:color="auto"/>
              <w:bottom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lang w:val="en-GB" w:eastAsia="en-GB"/>
              </w:rPr>
              <w:t>11.683</w:t>
            </w:r>
          </w:p>
        </w:tc>
        <w:tc>
          <w:tcPr>
            <w:tcW w:w="661" w:type="dxa"/>
            <w:tcBorders>
              <w:bottom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0.109</w:t>
            </w:r>
          </w:p>
        </w:tc>
        <w:tc>
          <w:tcPr>
            <w:tcW w:w="664" w:type="dxa"/>
            <w:tcBorders>
              <w:bottom w:val="single" w:sz="8" w:space="0" w:color="auto"/>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lang w:val="en-GB" w:eastAsia="en-GB"/>
              </w:rPr>
              <w:t>9.373</w:t>
            </w:r>
          </w:p>
        </w:tc>
        <w:tc>
          <w:tcPr>
            <w:tcW w:w="742" w:type="dxa"/>
            <w:tcBorders>
              <w:left w:val="single" w:sz="8" w:space="0" w:color="auto"/>
              <w:bottom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lang w:val="en-GB" w:eastAsia="en-GB"/>
              </w:rPr>
              <w:t>12.186</w:t>
            </w:r>
          </w:p>
        </w:tc>
        <w:tc>
          <w:tcPr>
            <w:tcW w:w="661" w:type="dxa"/>
            <w:tcBorders>
              <w:bottom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0.091</w:t>
            </w:r>
          </w:p>
        </w:tc>
        <w:tc>
          <w:tcPr>
            <w:tcW w:w="744" w:type="dxa"/>
            <w:tcBorders>
              <w:bottom w:val="single" w:sz="8" w:space="0" w:color="auto"/>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lang w:val="en-GB" w:eastAsia="en-GB"/>
              </w:rPr>
              <w:t>10.047</w:t>
            </w:r>
          </w:p>
        </w:tc>
        <w:tc>
          <w:tcPr>
            <w:tcW w:w="742" w:type="dxa"/>
            <w:tcBorders>
              <w:left w:val="single" w:sz="8" w:space="0" w:color="auto"/>
              <w:bottom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lang w:val="en-GB" w:eastAsia="en-GB"/>
              </w:rPr>
              <w:t>11.489</w:t>
            </w:r>
          </w:p>
        </w:tc>
        <w:tc>
          <w:tcPr>
            <w:tcW w:w="661" w:type="dxa"/>
            <w:tcBorders>
              <w:bottom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0.135</w:t>
            </w:r>
          </w:p>
        </w:tc>
        <w:tc>
          <w:tcPr>
            <w:tcW w:w="664" w:type="dxa"/>
            <w:tcBorders>
              <w:bottom w:val="single" w:sz="8" w:space="0" w:color="auto"/>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lang w:val="en-GB" w:eastAsia="en-GB"/>
              </w:rPr>
              <w:t>9.256</w:t>
            </w:r>
          </w:p>
        </w:tc>
        <w:tc>
          <w:tcPr>
            <w:tcW w:w="742" w:type="dxa"/>
            <w:tcBorders>
              <w:left w:val="single" w:sz="8" w:space="0" w:color="auto"/>
              <w:bottom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lang w:val="en-GB" w:eastAsia="en-GB"/>
              </w:rPr>
              <w:t>11.597</w:t>
            </w:r>
          </w:p>
        </w:tc>
        <w:tc>
          <w:tcPr>
            <w:tcW w:w="661" w:type="dxa"/>
            <w:tcBorders>
              <w:bottom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0.062</w:t>
            </w:r>
          </w:p>
        </w:tc>
        <w:tc>
          <w:tcPr>
            <w:tcW w:w="667" w:type="dxa"/>
            <w:tcBorders>
              <w:bottom w:val="single" w:sz="8" w:space="0" w:color="auto"/>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lang w:val="en-GB" w:eastAsia="en-GB"/>
              </w:rPr>
              <w:t>9.064</w:t>
            </w:r>
          </w:p>
        </w:tc>
        <w:tc>
          <w:tcPr>
            <w:tcW w:w="662" w:type="dxa"/>
            <w:gridSpan w:val="2"/>
            <w:tcBorders>
              <w:left w:val="single" w:sz="8" w:space="0" w:color="auto"/>
              <w:bottom w:val="single" w:sz="8" w:space="0" w:color="auto"/>
            </w:tcBorders>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9.899</w:t>
            </w:r>
          </w:p>
        </w:tc>
        <w:tc>
          <w:tcPr>
            <w:tcW w:w="710" w:type="dxa"/>
            <w:tcBorders>
              <w:bottom w:val="single" w:sz="8" w:space="0" w:color="auto"/>
            </w:tcBorders>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0.192</w:t>
            </w:r>
          </w:p>
        </w:tc>
        <w:tc>
          <w:tcPr>
            <w:tcW w:w="581" w:type="dxa"/>
            <w:tcBorders>
              <w:bottom w:val="single" w:sz="8" w:space="0" w:color="auto"/>
              <w:right w:val="nil"/>
            </w:tcBorders>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7.834</w:t>
            </w:r>
          </w:p>
        </w:tc>
      </w:tr>
      <w:tr w:rsidR="00D60232" w:rsidRPr="000C7B4F" w:rsidTr="004A756C">
        <w:trPr>
          <w:trHeight w:val="20"/>
        </w:trPr>
        <w:tc>
          <w:tcPr>
            <w:tcW w:w="1850" w:type="dxa"/>
            <w:tcBorders>
              <w:top w:val="single" w:sz="8" w:space="0" w:color="auto"/>
              <w:left w:val="nil"/>
              <w:bottom w:val="single" w:sz="12" w:space="0" w:color="auto"/>
            </w:tcBorders>
            <w:vAlign w:val="center"/>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sz w:val="16"/>
                <w:szCs w:val="16"/>
                <w:lang w:val="en-GB" w:eastAsia="en-GB"/>
              </w:rPr>
              <w:t>Null</w:t>
            </w:r>
          </w:p>
        </w:tc>
        <w:tc>
          <w:tcPr>
            <w:tcW w:w="2007" w:type="dxa"/>
            <w:tcBorders>
              <w:top w:val="single" w:sz="8" w:space="0" w:color="auto"/>
              <w:left w:val="nil"/>
              <w:bottom w:val="single" w:sz="12" w:space="0" w:color="auto"/>
              <w:right w:val="single" w:sz="8" w:space="0" w:color="auto"/>
            </w:tcBorders>
            <w:shd w:val="clear" w:color="auto" w:fill="auto"/>
            <w:noWrap/>
            <w:vAlign w:val="bottom"/>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9. Null</w:t>
            </w:r>
          </w:p>
        </w:tc>
        <w:tc>
          <w:tcPr>
            <w:tcW w:w="742" w:type="dxa"/>
            <w:tcBorders>
              <w:top w:val="single" w:sz="8" w:space="0" w:color="auto"/>
              <w:left w:val="single" w:sz="8" w:space="0" w:color="auto"/>
              <w:bottom w:val="single" w:sz="12"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lang w:val="en-GB" w:eastAsia="en-GB"/>
              </w:rPr>
              <w:t>12.664</w:t>
            </w:r>
          </w:p>
        </w:tc>
        <w:tc>
          <w:tcPr>
            <w:tcW w:w="661" w:type="dxa"/>
            <w:tcBorders>
              <w:top w:val="single" w:sz="8" w:space="0" w:color="auto"/>
              <w:bottom w:val="single" w:sz="12" w:space="0" w:color="auto"/>
            </w:tcBorders>
            <w:shd w:val="clear" w:color="auto" w:fill="auto"/>
            <w:noWrap/>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-0.047</w:t>
            </w:r>
          </w:p>
        </w:tc>
        <w:tc>
          <w:tcPr>
            <w:tcW w:w="664" w:type="dxa"/>
            <w:tcBorders>
              <w:top w:val="single" w:sz="8" w:space="0" w:color="auto"/>
              <w:bottom w:val="single" w:sz="12" w:space="0" w:color="auto"/>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lang w:val="en-GB" w:eastAsia="en-GB"/>
              </w:rPr>
              <w:t>9.918</w:t>
            </w:r>
          </w:p>
        </w:tc>
        <w:tc>
          <w:tcPr>
            <w:tcW w:w="742" w:type="dxa"/>
            <w:tcBorders>
              <w:top w:val="single" w:sz="8" w:space="0" w:color="auto"/>
              <w:left w:val="single" w:sz="8" w:space="0" w:color="auto"/>
              <w:bottom w:val="single" w:sz="12"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lang w:val="en-GB" w:eastAsia="en-GB"/>
              </w:rPr>
              <w:t>13.076</w:t>
            </w:r>
          </w:p>
        </w:tc>
        <w:tc>
          <w:tcPr>
            <w:tcW w:w="661" w:type="dxa"/>
            <w:tcBorders>
              <w:top w:val="single" w:sz="8" w:space="0" w:color="auto"/>
              <w:bottom w:val="single" w:sz="12" w:space="0" w:color="auto"/>
            </w:tcBorders>
            <w:shd w:val="clear" w:color="auto" w:fill="auto"/>
            <w:noWrap/>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-0.046</w:t>
            </w:r>
          </w:p>
        </w:tc>
        <w:tc>
          <w:tcPr>
            <w:tcW w:w="744" w:type="dxa"/>
            <w:tcBorders>
              <w:top w:val="single" w:sz="8" w:space="0" w:color="auto"/>
              <w:bottom w:val="single" w:sz="12" w:space="0" w:color="auto"/>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lang w:val="en-GB" w:eastAsia="en-GB"/>
              </w:rPr>
              <w:t>10.414</w:t>
            </w:r>
          </w:p>
        </w:tc>
        <w:tc>
          <w:tcPr>
            <w:tcW w:w="742" w:type="dxa"/>
            <w:tcBorders>
              <w:top w:val="single" w:sz="8" w:space="0" w:color="auto"/>
              <w:left w:val="single" w:sz="8" w:space="0" w:color="auto"/>
              <w:bottom w:val="single" w:sz="12"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lang w:val="en-GB" w:eastAsia="en-GB"/>
              </w:rPr>
              <w:t>12.871</w:t>
            </w:r>
          </w:p>
        </w:tc>
        <w:tc>
          <w:tcPr>
            <w:tcW w:w="661" w:type="dxa"/>
            <w:tcBorders>
              <w:top w:val="single" w:sz="8" w:space="0" w:color="auto"/>
              <w:bottom w:val="single" w:sz="12" w:space="0" w:color="auto"/>
            </w:tcBorders>
            <w:shd w:val="clear" w:color="auto" w:fill="auto"/>
            <w:noWrap/>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-0.086</w:t>
            </w:r>
          </w:p>
        </w:tc>
        <w:tc>
          <w:tcPr>
            <w:tcW w:w="664" w:type="dxa"/>
            <w:tcBorders>
              <w:top w:val="single" w:sz="8" w:space="0" w:color="auto"/>
              <w:bottom w:val="single" w:sz="12" w:space="0" w:color="auto"/>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lang w:val="en-GB" w:eastAsia="en-GB"/>
              </w:rPr>
              <w:t>10.081</w:t>
            </w:r>
          </w:p>
        </w:tc>
        <w:tc>
          <w:tcPr>
            <w:tcW w:w="742" w:type="dxa"/>
            <w:tcBorders>
              <w:top w:val="single" w:sz="8" w:space="0" w:color="auto"/>
              <w:left w:val="single" w:sz="8" w:space="0" w:color="auto"/>
              <w:bottom w:val="single" w:sz="12"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lang w:val="en-GB" w:eastAsia="en-GB"/>
              </w:rPr>
              <w:t>12.044</w:t>
            </w:r>
          </w:p>
        </w:tc>
        <w:tc>
          <w:tcPr>
            <w:tcW w:w="661" w:type="dxa"/>
            <w:tcBorders>
              <w:top w:val="single" w:sz="8" w:space="0" w:color="auto"/>
              <w:bottom w:val="single" w:sz="12" w:space="0" w:color="auto"/>
            </w:tcBorders>
            <w:shd w:val="clear" w:color="auto" w:fill="auto"/>
            <w:noWrap/>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-0.012</w:t>
            </w:r>
          </w:p>
        </w:tc>
        <w:tc>
          <w:tcPr>
            <w:tcW w:w="667" w:type="dxa"/>
            <w:tcBorders>
              <w:top w:val="single" w:sz="8" w:space="0" w:color="auto"/>
              <w:bottom w:val="single" w:sz="12" w:space="0" w:color="auto"/>
              <w:right w:val="single" w:sz="8" w:space="0" w:color="auto"/>
            </w:tcBorders>
            <w:shd w:val="clear" w:color="auto" w:fill="auto"/>
            <w:noWrap/>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lang w:val="en-GB" w:eastAsia="en-GB"/>
              </w:rPr>
              <w:t>9.322</w:t>
            </w:r>
          </w:p>
        </w:tc>
        <w:tc>
          <w:tcPr>
            <w:tcW w:w="662" w:type="dxa"/>
            <w:gridSpan w:val="2"/>
            <w:tcBorders>
              <w:top w:val="single" w:sz="8" w:space="0" w:color="auto"/>
              <w:left w:val="single" w:sz="8" w:space="0" w:color="auto"/>
              <w:bottom w:val="single" w:sz="12" w:space="0" w:color="auto"/>
              <w:right w:val="nil"/>
            </w:tcBorders>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11.021</w:t>
            </w:r>
          </w:p>
        </w:tc>
        <w:tc>
          <w:tcPr>
            <w:tcW w:w="710" w:type="dxa"/>
            <w:tcBorders>
              <w:top w:val="single" w:sz="8" w:space="0" w:color="auto"/>
              <w:bottom w:val="single" w:sz="12" w:space="0" w:color="auto"/>
            </w:tcBorders>
            <w:vAlign w:val="bottom"/>
          </w:tcPr>
          <w:p w:rsidR="00D60232" w:rsidRPr="000C7B4F" w:rsidRDefault="00D60232" w:rsidP="004A756C">
            <w:pPr>
              <w:rPr>
                <w:rFonts w:ascii="Times New Roman" w:hAnsi="Times New Roman"/>
                <w:sz w:val="16"/>
                <w:szCs w:val="16"/>
              </w:rPr>
            </w:pPr>
            <w:r>
              <w:rPr>
                <w:rFonts w:ascii="Times New Roman" w:hAnsi="Times New Roman"/>
                <w:sz w:val="16"/>
                <w:szCs w:val="16"/>
              </w:rPr>
              <w:t>-0.001</w:t>
            </w:r>
          </w:p>
        </w:tc>
        <w:tc>
          <w:tcPr>
            <w:tcW w:w="581" w:type="dxa"/>
            <w:tcBorders>
              <w:top w:val="single" w:sz="8" w:space="0" w:color="auto"/>
              <w:bottom w:val="single" w:sz="12" w:space="0" w:color="auto"/>
              <w:right w:val="nil"/>
            </w:tcBorders>
            <w:vAlign w:val="bottom"/>
          </w:tcPr>
          <w:p w:rsidR="00D60232" w:rsidRPr="000C7B4F" w:rsidRDefault="00D60232" w:rsidP="004A756C">
            <w:pPr>
              <w:rPr>
                <w:rFonts w:ascii="Times New Roman" w:hAnsi="Times New Roman"/>
                <w:sz w:val="16"/>
                <w:szCs w:val="16"/>
              </w:rPr>
            </w:pPr>
            <w:r w:rsidRPr="000C7B4F">
              <w:rPr>
                <w:rFonts w:ascii="Times New Roman" w:hAnsi="Times New Roman"/>
                <w:sz w:val="16"/>
                <w:szCs w:val="16"/>
              </w:rPr>
              <w:t>8.740</w:t>
            </w:r>
          </w:p>
        </w:tc>
      </w:tr>
    </w:tbl>
    <w:p w:rsidR="00D60232" w:rsidRPr="000C7B4F" w:rsidRDefault="00D60232" w:rsidP="00D60232">
      <w:pPr>
        <w:spacing w:after="160" w:line="259" w:lineRule="auto"/>
        <w:rPr>
          <w:rFonts w:ascii="Times New Roman" w:hAnsi="Times New Roman"/>
          <w:sz w:val="16"/>
          <w:szCs w:val="16"/>
        </w:rPr>
      </w:pPr>
      <w:r w:rsidRPr="000C7B4F">
        <w:rPr>
          <w:rFonts w:ascii="Times New Roman" w:hAnsi="Times New Roman"/>
          <w:sz w:val="16"/>
          <w:szCs w:val="16"/>
        </w:rPr>
        <w:t>Abbreviations: CFA - Confirmatory Factor Analysis; EI - Expected Influence; ENR - Elastic Net Regularized Regression; MAE - Mean Absolute Error; OLS - Ordinary Least Squares; PC - Participation Coefficient; PR -Participation Ratio; RMSE - Root Mean-Squared Error. N</w:t>
      </w:r>
      <w:r>
        <w:rPr>
          <w:rFonts w:ascii="Times New Roman" w:hAnsi="Times New Roman"/>
          <w:sz w:val="16"/>
          <w:szCs w:val="16"/>
        </w:rPr>
        <w:t>ote there is no calculation of r</w:t>
      </w:r>
      <w:r w:rsidRPr="000C7B4F">
        <w:rPr>
          <w:rFonts w:ascii="Times New Roman" w:hAnsi="Times New Roman"/>
          <w:sz w:val="16"/>
          <w:szCs w:val="16"/>
          <w:vertAlign w:val="superscript"/>
        </w:rPr>
        <w:t xml:space="preserve">2 </w:t>
      </w:r>
      <w:r w:rsidRPr="000C7B4F">
        <w:rPr>
          <w:rFonts w:ascii="Times New Roman" w:hAnsi="Times New Roman"/>
          <w:sz w:val="16"/>
          <w:szCs w:val="16"/>
        </w:rPr>
        <w:t>for the Null model as all there was no variability in prediction.</w:t>
      </w:r>
      <w:r w:rsidR="004A756C">
        <w:rPr>
          <w:rFonts w:ascii="Times New Roman" w:hAnsi="Times New Roman"/>
          <w:sz w:val="16"/>
          <w:szCs w:val="16"/>
        </w:rPr>
        <w:t xml:space="preserve"> *parameters were set at (ᾳ = 0.0 and λ = 0.45</w:t>
      </w:r>
      <w:r w:rsidR="004A756C" w:rsidRPr="004A756C">
        <w:rPr>
          <w:rFonts w:ascii="Times New Roman" w:hAnsi="Times New Roman"/>
          <w:sz w:val="16"/>
          <w:szCs w:val="16"/>
        </w:rPr>
        <w:t>)</w:t>
      </w:r>
      <w:r w:rsidR="004A756C">
        <w:rPr>
          <w:rFonts w:ascii="Times New Roman" w:hAnsi="Times New Roman"/>
          <w:sz w:val="16"/>
          <w:szCs w:val="16"/>
        </w:rPr>
        <w:t>; ⸷</w:t>
      </w:r>
      <w:r w:rsidR="004A756C" w:rsidRPr="004A756C">
        <w:rPr>
          <w:rFonts w:ascii="Times New Roman" w:hAnsi="Times New Roman"/>
          <w:sz w:val="16"/>
          <w:szCs w:val="16"/>
        </w:rPr>
        <w:t xml:space="preserve"> </w:t>
      </w:r>
      <w:r w:rsidR="004A756C">
        <w:rPr>
          <w:rFonts w:ascii="Times New Roman" w:hAnsi="Times New Roman"/>
          <w:sz w:val="16"/>
          <w:szCs w:val="16"/>
        </w:rPr>
        <w:t>parameters were set at (ᾳ = 0.0 and λ = 2.0</w:t>
      </w:r>
      <w:r w:rsidR="004A756C" w:rsidRPr="004A756C">
        <w:rPr>
          <w:rFonts w:ascii="Times New Roman" w:hAnsi="Times New Roman"/>
          <w:sz w:val="16"/>
          <w:szCs w:val="16"/>
        </w:rPr>
        <w:t>)</w:t>
      </w:r>
    </w:p>
    <w:p w:rsidR="00D60232" w:rsidRDefault="00D60232" w:rsidP="00D60232">
      <w:pPr>
        <w:spacing w:after="160" w:line="259" w:lineRule="auto"/>
        <w:rPr>
          <w:rFonts w:cstheme="minorHAnsi"/>
        </w:rPr>
      </w:pPr>
      <w:r>
        <w:rPr>
          <w:rFonts w:cstheme="minorHAnsi"/>
        </w:rPr>
        <w:br w:type="page"/>
      </w:r>
    </w:p>
    <w:p w:rsidR="00D60232" w:rsidRPr="00936BD8" w:rsidRDefault="00D60232" w:rsidP="00D60232">
      <w:pPr>
        <w:spacing w:after="160" w:line="259" w:lineRule="auto"/>
        <w:rPr>
          <w:rFonts w:cstheme="minorHAnsi"/>
        </w:rPr>
        <w:sectPr w:rsidR="00D60232" w:rsidRPr="00936BD8" w:rsidSect="004A756C">
          <w:pgSz w:w="16838" w:h="11906" w:orient="landscape"/>
          <w:pgMar w:top="1440" w:right="1440" w:bottom="1440" w:left="1440" w:header="709" w:footer="709" w:gutter="0"/>
          <w:cols w:space="708"/>
          <w:docGrid w:linePitch="360"/>
        </w:sectPr>
      </w:pPr>
    </w:p>
    <w:tbl>
      <w:tblPr>
        <w:tblpPr w:leftFromText="180" w:rightFromText="180" w:vertAnchor="page" w:horzAnchor="margin" w:tblpY="2125"/>
        <w:tblW w:w="7335" w:type="dxa"/>
        <w:tblLook w:val="04A0" w:firstRow="1" w:lastRow="0" w:firstColumn="1" w:lastColumn="0" w:noHBand="0" w:noVBand="1"/>
      </w:tblPr>
      <w:tblGrid>
        <w:gridCol w:w="2351"/>
        <w:gridCol w:w="1412"/>
        <w:gridCol w:w="1412"/>
        <w:gridCol w:w="1194"/>
        <w:gridCol w:w="966"/>
      </w:tblGrid>
      <w:tr w:rsidR="00D60232" w:rsidRPr="000C7B4F" w:rsidTr="004A756C">
        <w:trPr>
          <w:trHeight w:val="312"/>
        </w:trPr>
        <w:tc>
          <w:tcPr>
            <w:tcW w:w="2351" w:type="dxa"/>
            <w:tcBorders>
              <w:top w:val="single" w:sz="12" w:space="0" w:color="auto"/>
              <w:left w:val="nil"/>
              <w:bottom w:val="nil"/>
              <w:right w:val="nil"/>
            </w:tcBorders>
            <w:shd w:val="clear" w:color="auto" w:fill="auto"/>
            <w:noWrap/>
            <w:vAlign w:val="bottom"/>
            <w:hideMark/>
          </w:tcPr>
          <w:p w:rsidR="00D60232" w:rsidRPr="000C7B4F" w:rsidRDefault="00D60232" w:rsidP="004A756C">
            <w:pPr>
              <w:rPr>
                <w:rFonts w:ascii="Times New Roman" w:hAnsi="Times New Roman"/>
                <w:b/>
                <w:color w:val="000000"/>
                <w:sz w:val="16"/>
                <w:szCs w:val="16"/>
                <w:lang w:val="en-GB" w:eastAsia="en-GB"/>
              </w:rPr>
            </w:pPr>
            <w:r w:rsidRPr="000C7B4F">
              <w:rPr>
                <w:rFonts w:ascii="Times New Roman" w:hAnsi="Times New Roman"/>
                <w:b/>
                <w:color w:val="000000"/>
                <w:sz w:val="16"/>
                <w:szCs w:val="16"/>
                <w:lang w:val="en-GB" w:eastAsia="en-GB"/>
              </w:rPr>
              <w:lastRenderedPageBreak/>
              <w:t>Variable</w:t>
            </w:r>
          </w:p>
        </w:tc>
        <w:tc>
          <w:tcPr>
            <w:tcW w:w="4984" w:type="dxa"/>
            <w:gridSpan w:val="4"/>
            <w:tcBorders>
              <w:top w:val="single" w:sz="12" w:space="0" w:color="auto"/>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b/>
                <w:color w:val="000000"/>
                <w:sz w:val="16"/>
                <w:szCs w:val="16"/>
                <w:lang w:val="en-GB" w:eastAsia="en-GB"/>
              </w:rPr>
            </w:pPr>
            <w:r w:rsidRPr="000C7B4F">
              <w:rPr>
                <w:rFonts w:ascii="Times New Roman" w:hAnsi="Times New Roman"/>
                <w:b/>
                <w:color w:val="000000"/>
                <w:sz w:val="16"/>
                <w:szCs w:val="16"/>
                <w:lang w:val="en-GB" w:eastAsia="en-GB"/>
              </w:rPr>
              <w:t>Model</w:t>
            </w:r>
          </w:p>
        </w:tc>
      </w:tr>
      <w:tr w:rsidR="00D60232" w:rsidRPr="000C7B4F" w:rsidTr="004A756C">
        <w:trPr>
          <w:trHeight w:val="312"/>
        </w:trPr>
        <w:tc>
          <w:tcPr>
            <w:tcW w:w="2351" w:type="dxa"/>
            <w:tcBorders>
              <w:top w:val="nil"/>
              <w:left w:val="nil"/>
              <w:bottom w:val="single" w:sz="12" w:space="0" w:color="auto"/>
              <w:right w:val="nil"/>
            </w:tcBorders>
            <w:shd w:val="clear" w:color="auto" w:fill="auto"/>
            <w:noWrap/>
            <w:vAlign w:val="bottom"/>
            <w:hideMark/>
          </w:tcPr>
          <w:p w:rsidR="00D60232" w:rsidRPr="000C7B4F" w:rsidRDefault="00D60232" w:rsidP="004A756C">
            <w:pPr>
              <w:rPr>
                <w:rFonts w:ascii="Times New Roman" w:hAnsi="Times New Roman"/>
                <w:b/>
                <w:color w:val="000000"/>
                <w:sz w:val="16"/>
                <w:szCs w:val="16"/>
                <w:lang w:val="en-GB" w:eastAsia="en-GB"/>
              </w:rPr>
            </w:pPr>
          </w:p>
        </w:tc>
        <w:tc>
          <w:tcPr>
            <w:tcW w:w="1412" w:type="dxa"/>
            <w:tcBorders>
              <w:top w:val="nil"/>
              <w:left w:val="nil"/>
              <w:bottom w:val="single" w:sz="12" w:space="0" w:color="auto"/>
              <w:right w:val="nil"/>
            </w:tcBorders>
            <w:shd w:val="clear" w:color="auto" w:fill="auto"/>
            <w:noWrap/>
            <w:vAlign w:val="bottom"/>
            <w:hideMark/>
          </w:tcPr>
          <w:p w:rsidR="00D60232" w:rsidRPr="000C7B4F" w:rsidRDefault="00D60232" w:rsidP="004A756C">
            <w:pPr>
              <w:jc w:val="center"/>
              <w:rPr>
                <w:rFonts w:ascii="Times New Roman" w:hAnsi="Times New Roman"/>
                <w:b/>
                <w:color w:val="000000"/>
                <w:sz w:val="16"/>
                <w:szCs w:val="16"/>
                <w:lang w:val="en-GB" w:eastAsia="en-GB"/>
              </w:rPr>
            </w:pPr>
            <w:r w:rsidRPr="000C7B4F">
              <w:rPr>
                <w:rFonts w:ascii="Times New Roman" w:hAnsi="Times New Roman"/>
                <w:b/>
                <w:color w:val="000000"/>
                <w:sz w:val="16"/>
                <w:szCs w:val="16"/>
                <w:lang w:val="en-GB" w:eastAsia="en-GB"/>
              </w:rPr>
              <w:t>EI 1-Step (1)</w:t>
            </w:r>
          </w:p>
        </w:tc>
        <w:tc>
          <w:tcPr>
            <w:tcW w:w="1412" w:type="dxa"/>
            <w:tcBorders>
              <w:top w:val="nil"/>
              <w:left w:val="nil"/>
              <w:bottom w:val="single" w:sz="12" w:space="0" w:color="auto"/>
              <w:right w:val="nil"/>
            </w:tcBorders>
            <w:shd w:val="clear" w:color="auto" w:fill="auto"/>
            <w:noWrap/>
            <w:vAlign w:val="bottom"/>
            <w:hideMark/>
          </w:tcPr>
          <w:p w:rsidR="00D60232" w:rsidRPr="000C7B4F" w:rsidRDefault="00D60232" w:rsidP="004A756C">
            <w:pPr>
              <w:jc w:val="center"/>
              <w:rPr>
                <w:rFonts w:ascii="Times New Roman" w:hAnsi="Times New Roman"/>
                <w:b/>
                <w:color w:val="000000"/>
                <w:sz w:val="16"/>
                <w:szCs w:val="16"/>
                <w:lang w:val="en-GB" w:eastAsia="en-GB"/>
              </w:rPr>
            </w:pPr>
            <w:r w:rsidRPr="000C7B4F">
              <w:rPr>
                <w:rFonts w:ascii="Times New Roman" w:hAnsi="Times New Roman"/>
                <w:b/>
                <w:color w:val="000000"/>
                <w:sz w:val="16"/>
                <w:szCs w:val="16"/>
                <w:lang w:val="en-GB" w:eastAsia="en-GB"/>
              </w:rPr>
              <w:t>EI 2-Step (2)</w:t>
            </w:r>
          </w:p>
        </w:tc>
        <w:tc>
          <w:tcPr>
            <w:tcW w:w="1194" w:type="dxa"/>
            <w:tcBorders>
              <w:top w:val="nil"/>
              <w:left w:val="nil"/>
              <w:bottom w:val="single" w:sz="12" w:space="0" w:color="auto"/>
              <w:right w:val="nil"/>
            </w:tcBorders>
            <w:shd w:val="clear" w:color="auto" w:fill="auto"/>
            <w:noWrap/>
            <w:vAlign w:val="bottom"/>
            <w:hideMark/>
          </w:tcPr>
          <w:p w:rsidR="00D60232" w:rsidRPr="000C7B4F" w:rsidRDefault="00D60232" w:rsidP="004A756C">
            <w:pPr>
              <w:jc w:val="center"/>
              <w:rPr>
                <w:rFonts w:ascii="Times New Roman" w:hAnsi="Times New Roman"/>
                <w:b/>
                <w:color w:val="000000"/>
                <w:sz w:val="16"/>
                <w:szCs w:val="16"/>
                <w:lang w:val="en-GB" w:eastAsia="en-GB"/>
              </w:rPr>
            </w:pPr>
            <w:r w:rsidRPr="000C7B4F">
              <w:rPr>
                <w:rFonts w:ascii="Times New Roman" w:hAnsi="Times New Roman"/>
                <w:b/>
                <w:color w:val="000000"/>
                <w:sz w:val="16"/>
                <w:szCs w:val="16"/>
                <w:lang w:val="en-GB" w:eastAsia="en-GB"/>
              </w:rPr>
              <w:t>PC_PR (3)</w:t>
            </w:r>
          </w:p>
        </w:tc>
        <w:tc>
          <w:tcPr>
            <w:tcW w:w="966" w:type="dxa"/>
            <w:tcBorders>
              <w:top w:val="nil"/>
              <w:left w:val="nil"/>
              <w:bottom w:val="single" w:sz="12" w:space="0" w:color="auto"/>
              <w:right w:val="nil"/>
            </w:tcBorders>
            <w:shd w:val="clear" w:color="auto" w:fill="auto"/>
            <w:noWrap/>
            <w:vAlign w:val="bottom"/>
            <w:hideMark/>
          </w:tcPr>
          <w:p w:rsidR="00D60232" w:rsidRPr="000C7B4F" w:rsidRDefault="00D60232" w:rsidP="004A756C">
            <w:pPr>
              <w:jc w:val="center"/>
              <w:rPr>
                <w:rFonts w:ascii="Times New Roman" w:hAnsi="Times New Roman"/>
                <w:b/>
                <w:color w:val="000000"/>
                <w:sz w:val="16"/>
                <w:szCs w:val="16"/>
                <w:lang w:val="en-GB" w:eastAsia="en-GB"/>
              </w:rPr>
            </w:pPr>
            <w:r w:rsidRPr="000C7B4F">
              <w:rPr>
                <w:rFonts w:ascii="Times New Roman" w:hAnsi="Times New Roman"/>
                <w:b/>
                <w:color w:val="000000"/>
                <w:sz w:val="16"/>
                <w:szCs w:val="16"/>
                <w:lang w:val="en-GB" w:eastAsia="en-GB"/>
              </w:rPr>
              <w:t>CFA (4)</w:t>
            </w:r>
          </w:p>
        </w:tc>
      </w:tr>
      <w:tr w:rsidR="00D60232" w:rsidRPr="000C7B4F" w:rsidTr="004A756C">
        <w:trPr>
          <w:trHeight w:val="300"/>
        </w:trPr>
        <w:tc>
          <w:tcPr>
            <w:tcW w:w="2351" w:type="dxa"/>
            <w:tcBorders>
              <w:top w:val="nil"/>
              <w:left w:val="nil"/>
              <w:bottom w:val="nil"/>
              <w:right w:val="nil"/>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Anxiety (cisr)</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0.773</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0.757</w:t>
            </w:r>
          </w:p>
        </w:tc>
        <w:tc>
          <w:tcPr>
            <w:tcW w:w="1194"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0.724</w:t>
            </w:r>
          </w:p>
        </w:tc>
        <w:tc>
          <w:tcPr>
            <w:tcW w:w="966"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0.165</w:t>
            </w:r>
          </w:p>
        </w:tc>
      </w:tr>
      <w:tr w:rsidR="00D60232" w:rsidRPr="000C7B4F" w:rsidTr="004A756C">
        <w:trPr>
          <w:trHeight w:val="288"/>
        </w:trPr>
        <w:tc>
          <w:tcPr>
            <w:tcW w:w="2351" w:type="dxa"/>
            <w:tcBorders>
              <w:top w:val="nil"/>
              <w:left w:val="nil"/>
              <w:bottom w:val="nil"/>
              <w:right w:val="nil"/>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Compulsions (cisr)</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0.638</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0.626</w:t>
            </w:r>
          </w:p>
        </w:tc>
        <w:tc>
          <w:tcPr>
            <w:tcW w:w="1194"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0.716</w:t>
            </w:r>
          </w:p>
        </w:tc>
        <w:tc>
          <w:tcPr>
            <w:tcW w:w="966"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0.172</w:t>
            </w:r>
          </w:p>
        </w:tc>
      </w:tr>
      <w:tr w:rsidR="00D60232" w:rsidRPr="000C7B4F" w:rsidTr="004A756C">
        <w:trPr>
          <w:trHeight w:val="252"/>
        </w:trPr>
        <w:tc>
          <w:tcPr>
            <w:tcW w:w="2351" w:type="dxa"/>
            <w:tcBorders>
              <w:top w:val="nil"/>
              <w:left w:val="nil"/>
              <w:bottom w:val="nil"/>
              <w:right w:val="nil"/>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Health anxiety (cisr)</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0.656</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0.620</w:t>
            </w:r>
          </w:p>
        </w:tc>
        <w:tc>
          <w:tcPr>
            <w:tcW w:w="1194"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0.812</w:t>
            </w:r>
          </w:p>
        </w:tc>
        <w:tc>
          <w:tcPr>
            <w:tcW w:w="966"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0.173</w:t>
            </w:r>
          </w:p>
        </w:tc>
      </w:tr>
      <w:tr w:rsidR="00D60232" w:rsidRPr="000C7B4F" w:rsidTr="004A756C">
        <w:trPr>
          <w:trHeight w:val="288"/>
        </w:trPr>
        <w:tc>
          <w:tcPr>
            <w:tcW w:w="2351" w:type="dxa"/>
            <w:tcBorders>
              <w:top w:val="nil"/>
              <w:left w:val="nil"/>
              <w:bottom w:val="nil"/>
              <w:right w:val="nil"/>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Obsessions (cisr)</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0.547</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0.543</w:t>
            </w:r>
          </w:p>
        </w:tc>
        <w:tc>
          <w:tcPr>
            <w:tcW w:w="1194"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0.598</w:t>
            </w:r>
          </w:p>
        </w:tc>
        <w:tc>
          <w:tcPr>
            <w:tcW w:w="966"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0.181</w:t>
            </w:r>
          </w:p>
        </w:tc>
      </w:tr>
      <w:tr w:rsidR="00D60232" w:rsidRPr="000C7B4F" w:rsidTr="004A756C">
        <w:trPr>
          <w:trHeight w:val="288"/>
        </w:trPr>
        <w:tc>
          <w:tcPr>
            <w:tcW w:w="2351" w:type="dxa"/>
            <w:tcBorders>
              <w:top w:val="nil"/>
              <w:left w:val="nil"/>
              <w:bottom w:val="nil"/>
              <w:right w:val="nil"/>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Panic (cisr)</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0.895</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0.874</w:t>
            </w:r>
          </w:p>
        </w:tc>
        <w:tc>
          <w:tcPr>
            <w:tcW w:w="1194"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0.891</w:t>
            </w:r>
          </w:p>
        </w:tc>
        <w:tc>
          <w:tcPr>
            <w:tcW w:w="966"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0.188</w:t>
            </w:r>
          </w:p>
        </w:tc>
      </w:tr>
      <w:tr w:rsidR="00D60232" w:rsidRPr="000C7B4F" w:rsidTr="004A756C">
        <w:trPr>
          <w:trHeight w:val="288"/>
        </w:trPr>
        <w:tc>
          <w:tcPr>
            <w:tcW w:w="2351" w:type="dxa"/>
            <w:tcBorders>
              <w:top w:val="nil"/>
              <w:left w:val="nil"/>
              <w:bottom w:val="nil"/>
              <w:right w:val="nil"/>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Phobia (cisr)</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0.810</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0.803</w:t>
            </w:r>
          </w:p>
        </w:tc>
        <w:tc>
          <w:tcPr>
            <w:tcW w:w="1194"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0.797</w:t>
            </w:r>
          </w:p>
        </w:tc>
        <w:tc>
          <w:tcPr>
            <w:tcW w:w="966"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0.168</w:t>
            </w:r>
          </w:p>
        </w:tc>
      </w:tr>
      <w:tr w:rsidR="00D60232" w:rsidRPr="000C7B4F" w:rsidTr="004A756C">
        <w:trPr>
          <w:trHeight w:val="300"/>
        </w:trPr>
        <w:tc>
          <w:tcPr>
            <w:tcW w:w="2351" w:type="dxa"/>
            <w:tcBorders>
              <w:top w:val="nil"/>
              <w:left w:val="nil"/>
              <w:bottom w:val="nil"/>
              <w:right w:val="nil"/>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Somatic (cisr)</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0.439</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0.437</w:t>
            </w:r>
          </w:p>
        </w:tc>
        <w:tc>
          <w:tcPr>
            <w:tcW w:w="1194"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0.602</w:t>
            </w:r>
          </w:p>
        </w:tc>
        <w:tc>
          <w:tcPr>
            <w:tcW w:w="966"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0.186</w:t>
            </w:r>
          </w:p>
        </w:tc>
      </w:tr>
      <w:tr w:rsidR="00D60232" w:rsidRPr="000C7B4F" w:rsidTr="004A756C">
        <w:trPr>
          <w:trHeight w:val="312"/>
        </w:trPr>
        <w:tc>
          <w:tcPr>
            <w:tcW w:w="2351" w:type="dxa"/>
            <w:tcBorders>
              <w:top w:val="nil"/>
              <w:left w:val="nil"/>
              <w:bottom w:val="nil"/>
              <w:right w:val="nil"/>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Worry (cisr)</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0.719</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0.704</w:t>
            </w:r>
          </w:p>
        </w:tc>
        <w:tc>
          <w:tcPr>
            <w:tcW w:w="1194"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0.696</w:t>
            </w:r>
          </w:p>
        </w:tc>
        <w:tc>
          <w:tcPr>
            <w:tcW w:w="966"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0.176</w:t>
            </w:r>
          </w:p>
        </w:tc>
      </w:tr>
      <w:tr w:rsidR="00D60232" w:rsidRPr="000C7B4F" w:rsidTr="004A756C">
        <w:trPr>
          <w:trHeight w:val="312"/>
        </w:trPr>
        <w:tc>
          <w:tcPr>
            <w:tcW w:w="2351" w:type="dxa"/>
            <w:tcBorders>
              <w:top w:val="nil"/>
              <w:left w:val="nil"/>
              <w:bottom w:val="nil"/>
              <w:right w:val="nil"/>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Sadness (BDI)</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0.955</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0.943</w:t>
            </w:r>
          </w:p>
        </w:tc>
        <w:tc>
          <w:tcPr>
            <w:tcW w:w="1194"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0.978</w:t>
            </w:r>
          </w:p>
        </w:tc>
        <w:tc>
          <w:tcPr>
            <w:tcW w:w="966"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0.182</w:t>
            </w:r>
          </w:p>
        </w:tc>
      </w:tr>
      <w:tr w:rsidR="00D60232" w:rsidRPr="000C7B4F" w:rsidTr="004A756C">
        <w:trPr>
          <w:trHeight w:val="300"/>
        </w:trPr>
        <w:tc>
          <w:tcPr>
            <w:tcW w:w="2351" w:type="dxa"/>
            <w:tcBorders>
              <w:top w:val="nil"/>
              <w:left w:val="nil"/>
              <w:bottom w:val="nil"/>
              <w:right w:val="nil"/>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Pessimism (BDI)</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0.736</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0.792</w:t>
            </w:r>
          </w:p>
        </w:tc>
        <w:tc>
          <w:tcPr>
            <w:tcW w:w="1194"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0.801</w:t>
            </w:r>
          </w:p>
        </w:tc>
        <w:tc>
          <w:tcPr>
            <w:tcW w:w="966"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0.181</w:t>
            </w:r>
          </w:p>
        </w:tc>
      </w:tr>
      <w:tr w:rsidR="00D60232" w:rsidRPr="000C7B4F" w:rsidTr="004A756C">
        <w:trPr>
          <w:trHeight w:val="288"/>
        </w:trPr>
        <w:tc>
          <w:tcPr>
            <w:tcW w:w="2351" w:type="dxa"/>
            <w:tcBorders>
              <w:top w:val="nil"/>
              <w:left w:val="nil"/>
              <w:bottom w:val="nil"/>
              <w:right w:val="nil"/>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Failure (BDI)</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0.814</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0.872</w:t>
            </w:r>
          </w:p>
        </w:tc>
        <w:tc>
          <w:tcPr>
            <w:tcW w:w="1194"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0.718</w:t>
            </w:r>
          </w:p>
        </w:tc>
        <w:tc>
          <w:tcPr>
            <w:tcW w:w="966"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0.172</w:t>
            </w:r>
          </w:p>
        </w:tc>
      </w:tr>
      <w:tr w:rsidR="00D60232" w:rsidRPr="000C7B4F" w:rsidTr="004A756C">
        <w:trPr>
          <w:trHeight w:val="300"/>
        </w:trPr>
        <w:tc>
          <w:tcPr>
            <w:tcW w:w="2351" w:type="dxa"/>
            <w:tcBorders>
              <w:top w:val="nil"/>
              <w:left w:val="nil"/>
              <w:bottom w:val="nil"/>
              <w:right w:val="nil"/>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Loss of pleasure (BDI)</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0.785</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0.834</w:t>
            </w:r>
          </w:p>
        </w:tc>
        <w:tc>
          <w:tcPr>
            <w:tcW w:w="1194"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0.844</w:t>
            </w:r>
          </w:p>
        </w:tc>
        <w:tc>
          <w:tcPr>
            <w:tcW w:w="966"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0.180</w:t>
            </w:r>
          </w:p>
        </w:tc>
      </w:tr>
      <w:tr w:rsidR="00D60232" w:rsidRPr="000C7B4F" w:rsidTr="004A756C">
        <w:trPr>
          <w:trHeight w:val="300"/>
        </w:trPr>
        <w:tc>
          <w:tcPr>
            <w:tcW w:w="2351" w:type="dxa"/>
            <w:tcBorders>
              <w:top w:val="nil"/>
              <w:left w:val="nil"/>
              <w:bottom w:val="nil"/>
              <w:right w:val="nil"/>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Guilt (BDI)</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0.861</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0.881</w:t>
            </w:r>
          </w:p>
        </w:tc>
        <w:tc>
          <w:tcPr>
            <w:tcW w:w="1194"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0.851</w:t>
            </w:r>
          </w:p>
        </w:tc>
        <w:tc>
          <w:tcPr>
            <w:tcW w:w="966"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0.194</w:t>
            </w:r>
          </w:p>
        </w:tc>
      </w:tr>
      <w:tr w:rsidR="00D60232" w:rsidRPr="000C7B4F" w:rsidTr="004A756C">
        <w:trPr>
          <w:trHeight w:val="288"/>
        </w:trPr>
        <w:tc>
          <w:tcPr>
            <w:tcW w:w="2351" w:type="dxa"/>
            <w:tcBorders>
              <w:top w:val="nil"/>
              <w:left w:val="nil"/>
              <w:bottom w:val="nil"/>
              <w:right w:val="nil"/>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Punishment (BDI)</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0.813</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0.825</w:t>
            </w:r>
          </w:p>
        </w:tc>
        <w:tc>
          <w:tcPr>
            <w:tcW w:w="1194"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0.860</w:t>
            </w:r>
          </w:p>
        </w:tc>
        <w:tc>
          <w:tcPr>
            <w:tcW w:w="966"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0.176</w:t>
            </w:r>
          </w:p>
        </w:tc>
      </w:tr>
      <w:tr w:rsidR="00D60232" w:rsidRPr="000C7B4F" w:rsidTr="004A756C">
        <w:trPr>
          <w:trHeight w:val="288"/>
        </w:trPr>
        <w:tc>
          <w:tcPr>
            <w:tcW w:w="2351" w:type="dxa"/>
            <w:tcBorders>
              <w:top w:val="nil"/>
              <w:left w:val="nil"/>
              <w:bottom w:val="nil"/>
              <w:right w:val="nil"/>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Self dislike (BDI)</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0.696</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0.732</w:t>
            </w:r>
          </w:p>
        </w:tc>
        <w:tc>
          <w:tcPr>
            <w:tcW w:w="1194"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0.515</w:t>
            </w:r>
          </w:p>
        </w:tc>
        <w:tc>
          <w:tcPr>
            <w:tcW w:w="966"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0.182</w:t>
            </w:r>
          </w:p>
        </w:tc>
      </w:tr>
      <w:tr w:rsidR="00D60232" w:rsidRPr="000C7B4F" w:rsidTr="004A756C">
        <w:trPr>
          <w:trHeight w:val="288"/>
        </w:trPr>
        <w:tc>
          <w:tcPr>
            <w:tcW w:w="2351" w:type="dxa"/>
            <w:tcBorders>
              <w:top w:val="nil"/>
              <w:left w:val="nil"/>
              <w:bottom w:val="nil"/>
              <w:right w:val="nil"/>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Self criticism (BDI)</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0.853</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0.866</w:t>
            </w:r>
          </w:p>
        </w:tc>
        <w:tc>
          <w:tcPr>
            <w:tcW w:w="1194"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0.763</w:t>
            </w:r>
          </w:p>
        </w:tc>
        <w:tc>
          <w:tcPr>
            <w:tcW w:w="966"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0.156</w:t>
            </w:r>
          </w:p>
        </w:tc>
      </w:tr>
      <w:tr w:rsidR="00D60232" w:rsidRPr="000C7B4F" w:rsidTr="004A756C">
        <w:trPr>
          <w:trHeight w:val="300"/>
        </w:trPr>
        <w:tc>
          <w:tcPr>
            <w:tcW w:w="2351" w:type="dxa"/>
            <w:tcBorders>
              <w:top w:val="nil"/>
              <w:left w:val="nil"/>
              <w:bottom w:val="nil"/>
              <w:right w:val="nil"/>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Suicidal thoughts (BDI)</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0.741</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0.750</w:t>
            </w:r>
          </w:p>
        </w:tc>
        <w:tc>
          <w:tcPr>
            <w:tcW w:w="1194"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0.811</w:t>
            </w:r>
          </w:p>
        </w:tc>
        <w:tc>
          <w:tcPr>
            <w:tcW w:w="966"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0.173</w:t>
            </w:r>
          </w:p>
        </w:tc>
      </w:tr>
      <w:tr w:rsidR="00D60232" w:rsidRPr="000C7B4F" w:rsidTr="004A756C">
        <w:trPr>
          <w:trHeight w:val="312"/>
        </w:trPr>
        <w:tc>
          <w:tcPr>
            <w:tcW w:w="2351" w:type="dxa"/>
            <w:tcBorders>
              <w:top w:val="nil"/>
              <w:left w:val="nil"/>
              <w:bottom w:val="nil"/>
              <w:right w:val="nil"/>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Crying (BDI)</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0.578</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0.586</w:t>
            </w:r>
          </w:p>
        </w:tc>
        <w:tc>
          <w:tcPr>
            <w:tcW w:w="1194"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0.733</w:t>
            </w:r>
          </w:p>
        </w:tc>
        <w:tc>
          <w:tcPr>
            <w:tcW w:w="966"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0.163</w:t>
            </w:r>
          </w:p>
        </w:tc>
      </w:tr>
      <w:tr w:rsidR="00D60232" w:rsidRPr="000C7B4F" w:rsidTr="004A756C">
        <w:trPr>
          <w:trHeight w:val="300"/>
        </w:trPr>
        <w:tc>
          <w:tcPr>
            <w:tcW w:w="2351" w:type="dxa"/>
            <w:tcBorders>
              <w:top w:val="nil"/>
              <w:left w:val="nil"/>
              <w:bottom w:val="nil"/>
              <w:right w:val="nil"/>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Agitation (BDI)</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0.698</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0.686</w:t>
            </w:r>
          </w:p>
        </w:tc>
        <w:tc>
          <w:tcPr>
            <w:tcW w:w="1194"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0.709</w:t>
            </w:r>
          </w:p>
        </w:tc>
        <w:tc>
          <w:tcPr>
            <w:tcW w:w="966"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0.184</w:t>
            </w:r>
          </w:p>
        </w:tc>
      </w:tr>
      <w:tr w:rsidR="00D60232" w:rsidRPr="000C7B4F" w:rsidTr="004A756C">
        <w:trPr>
          <w:trHeight w:val="288"/>
        </w:trPr>
        <w:tc>
          <w:tcPr>
            <w:tcW w:w="2351" w:type="dxa"/>
            <w:tcBorders>
              <w:top w:val="nil"/>
              <w:left w:val="nil"/>
              <w:bottom w:val="nil"/>
              <w:right w:val="nil"/>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Loss of Interest (BDI)</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0.800</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0.820</w:t>
            </w:r>
          </w:p>
        </w:tc>
        <w:tc>
          <w:tcPr>
            <w:tcW w:w="1194"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0.857</w:t>
            </w:r>
          </w:p>
        </w:tc>
        <w:tc>
          <w:tcPr>
            <w:tcW w:w="966"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0.184</w:t>
            </w:r>
          </w:p>
        </w:tc>
      </w:tr>
      <w:tr w:rsidR="00D60232" w:rsidRPr="000C7B4F" w:rsidTr="004A756C">
        <w:trPr>
          <w:trHeight w:val="288"/>
        </w:trPr>
        <w:tc>
          <w:tcPr>
            <w:tcW w:w="2351" w:type="dxa"/>
            <w:tcBorders>
              <w:top w:val="nil"/>
              <w:left w:val="nil"/>
              <w:bottom w:val="nil"/>
              <w:right w:val="nil"/>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Indecisiveness (BDI)</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0.736</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0.765</w:t>
            </w:r>
          </w:p>
        </w:tc>
        <w:tc>
          <w:tcPr>
            <w:tcW w:w="1194"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0.828</w:t>
            </w:r>
          </w:p>
        </w:tc>
        <w:tc>
          <w:tcPr>
            <w:tcW w:w="966"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0.186</w:t>
            </w:r>
          </w:p>
        </w:tc>
      </w:tr>
      <w:tr w:rsidR="00D60232" w:rsidRPr="000C7B4F" w:rsidTr="004A756C">
        <w:trPr>
          <w:trHeight w:val="288"/>
        </w:trPr>
        <w:tc>
          <w:tcPr>
            <w:tcW w:w="2351" w:type="dxa"/>
            <w:tcBorders>
              <w:top w:val="nil"/>
              <w:left w:val="nil"/>
              <w:bottom w:val="nil"/>
              <w:right w:val="nil"/>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Worthlessness (BDI)</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1.000</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1.000</w:t>
            </w:r>
          </w:p>
        </w:tc>
        <w:tc>
          <w:tcPr>
            <w:tcW w:w="1194"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0.736</w:t>
            </w:r>
          </w:p>
        </w:tc>
        <w:tc>
          <w:tcPr>
            <w:tcW w:w="966"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0.169</w:t>
            </w:r>
          </w:p>
        </w:tc>
      </w:tr>
      <w:tr w:rsidR="00D60232" w:rsidRPr="000C7B4F" w:rsidTr="004A756C">
        <w:trPr>
          <w:trHeight w:val="288"/>
        </w:trPr>
        <w:tc>
          <w:tcPr>
            <w:tcW w:w="2351" w:type="dxa"/>
            <w:tcBorders>
              <w:top w:val="nil"/>
              <w:left w:val="nil"/>
              <w:bottom w:val="nil"/>
              <w:right w:val="nil"/>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Loss of energy (BDI)</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0.900</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0.916</w:t>
            </w:r>
          </w:p>
        </w:tc>
        <w:tc>
          <w:tcPr>
            <w:tcW w:w="1194"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0.888</w:t>
            </w:r>
          </w:p>
        </w:tc>
        <w:tc>
          <w:tcPr>
            <w:tcW w:w="966"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0.156</w:t>
            </w:r>
          </w:p>
        </w:tc>
      </w:tr>
      <w:tr w:rsidR="00D60232" w:rsidRPr="000C7B4F" w:rsidTr="004A756C">
        <w:trPr>
          <w:trHeight w:val="288"/>
        </w:trPr>
        <w:tc>
          <w:tcPr>
            <w:tcW w:w="2351" w:type="dxa"/>
            <w:tcBorders>
              <w:top w:val="nil"/>
              <w:left w:val="nil"/>
              <w:bottom w:val="nil"/>
              <w:right w:val="nil"/>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Sleep (BDI)</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0.492</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0.486</w:t>
            </w:r>
          </w:p>
        </w:tc>
        <w:tc>
          <w:tcPr>
            <w:tcW w:w="1194"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0.547</w:t>
            </w:r>
          </w:p>
        </w:tc>
        <w:tc>
          <w:tcPr>
            <w:tcW w:w="966"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0.177</w:t>
            </w:r>
          </w:p>
        </w:tc>
      </w:tr>
      <w:tr w:rsidR="00D60232" w:rsidRPr="000C7B4F" w:rsidTr="004A756C">
        <w:trPr>
          <w:trHeight w:val="300"/>
        </w:trPr>
        <w:tc>
          <w:tcPr>
            <w:tcW w:w="2351" w:type="dxa"/>
            <w:tcBorders>
              <w:top w:val="nil"/>
              <w:left w:val="nil"/>
              <w:bottom w:val="nil"/>
              <w:right w:val="nil"/>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Irritability (BDI)</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0.825</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0.817</w:t>
            </w:r>
          </w:p>
        </w:tc>
        <w:tc>
          <w:tcPr>
            <w:tcW w:w="1194"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0.830</w:t>
            </w:r>
          </w:p>
        </w:tc>
        <w:tc>
          <w:tcPr>
            <w:tcW w:w="966"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0.177</w:t>
            </w:r>
          </w:p>
        </w:tc>
      </w:tr>
      <w:tr w:rsidR="00D60232" w:rsidRPr="000C7B4F" w:rsidTr="004A756C">
        <w:trPr>
          <w:trHeight w:val="312"/>
        </w:trPr>
        <w:tc>
          <w:tcPr>
            <w:tcW w:w="2351" w:type="dxa"/>
            <w:tcBorders>
              <w:top w:val="nil"/>
              <w:left w:val="nil"/>
              <w:bottom w:val="nil"/>
              <w:right w:val="nil"/>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Concentration (BDI)</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0.912</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0.921</w:t>
            </w:r>
          </w:p>
        </w:tc>
        <w:tc>
          <w:tcPr>
            <w:tcW w:w="1194"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0.823</w:t>
            </w:r>
          </w:p>
        </w:tc>
        <w:tc>
          <w:tcPr>
            <w:tcW w:w="966"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0.170</w:t>
            </w:r>
          </w:p>
        </w:tc>
      </w:tr>
      <w:tr w:rsidR="00D60232" w:rsidRPr="000C7B4F" w:rsidTr="004A756C">
        <w:trPr>
          <w:trHeight w:val="312"/>
        </w:trPr>
        <w:tc>
          <w:tcPr>
            <w:tcW w:w="2351" w:type="dxa"/>
            <w:tcBorders>
              <w:top w:val="nil"/>
              <w:left w:val="nil"/>
              <w:bottom w:val="nil"/>
              <w:right w:val="nil"/>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Fatigue (BDI)</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0.837</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0.853</w:t>
            </w:r>
          </w:p>
        </w:tc>
        <w:tc>
          <w:tcPr>
            <w:tcW w:w="1194"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0.665</w:t>
            </w:r>
          </w:p>
        </w:tc>
        <w:tc>
          <w:tcPr>
            <w:tcW w:w="966"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0.164</w:t>
            </w:r>
          </w:p>
        </w:tc>
      </w:tr>
      <w:tr w:rsidR="00D60232" w:rsidRPr="000C7B4F" w:rsidTr="004A756C">
        <w:trPr>
          <w:trHeight w:val="300"/>
        </w:trPr>
        <w:tc>
          <w:tcPr>
            <w:tcW w:w="2351" w:type="dxa"/>
            <w:tcBorders>
              <w:top w:val="nil"/>
              <w:left w:val="nil"/>
              <w:bottom w:val="nil"/>
              <w:right w:val="nil"/>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Libido (BDI)</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0.452</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0.451</w:t>
            </w:r>
          </w:p>
        </w:tc>
        <w:tc>
          <w:tcPr>
            <w:tcW w:w="1194"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0.510</w:t>
            </w:r>
          </w:p>
        </w:tc>
        <w:tc>
          <w:tcPr>
            <w:tcW w:w="966"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0.000</w:t>
            </w:r>
          </w:p>
        </w:tc>
      </w:tr>
      <w:tr w:rsidR="00D60232" w:rsidRPr="000C7B4F" w:rsidTr="004A756C">
        <w:trPr>
          <w:trHeight w:val="288"/>
        </w:trPr>
        <w:tc>
          <w:tcPr>
            <w:tcW w:w="2351" w:type="dxa"/>
            <w:tcBorders>
              <w:top w:val="nil"/>
              <w:left w:val="nil"/>
              <w:bottom w:val="nil"/>
              <w:right w:val="nil"/>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Social Support</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0.000</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0.000</w:t>
            </w:r>
          </w:p>
        </w:tc>
        <w:tc>
          <w:tcPr>
            <w:tcW w:w="1194"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0.437</w:t>
            </w:r>
          </w:p>
        </w:tc>
        <w:tc>
          <w:tcPr>
            <w:tcW w:w="966"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0.157</w:t>
            </w:r>
          </w:p>
        </w:tc>
      </w:tr>
      <w:tr w:rsidR="00D60232" w:rsidRPr="000C7B4F" w:rsidTr="004A756C">
        <w:trPr>
          <w:trHeight w:val="300"/>
        </w:trPr>
        <w:tc>
          <w:tcPr>
            <w:tcW w:w="2351" w:type="dxa"/>
            <w:tcBorders>
              <w:top w:val="nil"/>
              <w:left w:val="nil"/>
              <w:bottom w:val="nil"/>
              <w:right w:val="nil"/>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Recent life events</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0.469</w:t>
            </w:r>
          </w:p>
        </w:tc>
        <w:tc>
          <w:tcPr>
            <w:tcW w:w="1412"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0.447</w:t>
            </w:r>
          </w:p>
        </w:tc>
        <w:tc>
          <w:tcPr>
            <w:tcW w:w="1194"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0.508</w:t>
            </w:r>
          </w:p>
        </w:tc>
        <w:tc>
          <w:tcPr>
            <w:tcW w:w="966" w:type="dxa"/>
            <w:tcBorders>
              <w:top w:val="nil"/>
              <w:left w:val="nil"/>
              <w:bottom w:val="nil"/>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0.106</w:t>
            </w:r>
          </w:p>
        </w:tc>
      </w:tr>
      <w:tr w:rsidR="00D60232" w:rsidRPr="000C7B4F" w:rsidTr="004A756C">
        <w:trPr>
          <w:trHeight w:val="312"/>
        </w:trPr>
        <w:tc>
          <w:tcPr>
            <w:tcW w:w="2351" w:type="dxa"/>
            <w:tcBorders>
              <w:top w:val="nil"/>
              <w:left w:val="nil"/>
              <w:bottom w:val="single" w:sz="12" w:space="0" w:color="auto"/>
              <w:right w:val="nil"/>
            </w:tcBorders>
            <w:shd w:val="clear" w:color="auto" w:fill="auto"/>
            <w:noWrap/>
            <w:vAlign w:val="bottom"/>
            <w:hideMark/>
          </w:tcPr>
          <w:p w:rsidR="00D60232" w:rsidRPr="000C7B4F" w:rsidRDefault="00D60232" w:rsidP="004A756C">
            <w:pP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Alcohol use (AUDIT)</w:t>
            </w:r>
          </w:p>
        </w:tc>
        <w:tc>
          <w:tcPr>
            <w:tcW w:w="1412" w:type="dxa"/>
            <w:tcBorders>
              <w:top w:val="nil"/>
              <w:left w:val="nil"/>
              <w:bottom w:val="single" w:sz="12" w:space="0" w:color="auto"/>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0.300</w:t>
            </w:r>
          </w:p>
        </w:tc>
        <w:tc>
          <w:tcPr>
            <w:tcW w:w="1412" w:type="dxa"/>
            <w:tcBorders>
              <w:top w:val="nil"/>
              <w:left w:val="nil"/>
              <w:bottom w:val="single" w:sz="12" w:space="0" w:color="auto"/>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0.294</w:t>
            </w:r>
          </w:p>
        </w:tc>
        <w:tc>
          <w:tcPr>
            <w:tcW w:w="1194" w:type="dxa"/>
            <w:tcBorders>
              <w:top w:val="nil"/>
              <w:left w:val="nil"/>
              <w:bottom w:val="single" w:sz="12" w:space="0" w:color="auto"/>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0.000</w:t>
            </w:r>
          </w:p>
        </w:tc>
        <w:tc>
          <w:tcPr>
            <w:tcW w:w="966" w:type="dxa"/>
            <w:tcBorders>
              <w:top w:val="nil"/>
              <w:left w:val="nil"/>
              <w:bottom w:val="single" w:sz="12" w:space="0" w:color="auto"/>
              <w:right w:val="nil"/>
            </w:tcBorders>
            <w:shd w:val="clear" w:color="auto" w:fill="auto"/>
            <w:noWrap/>
            <w:vAlign w:val="bottom"/>
            <w:hideMark/>
          </w:tcPr>
          <w:p w:rsidR="00D60232" w:rsidRPr="000C7B4F" w:rsidRDefault="00D60232" w:rsidP="004A756C">
            <w:pPr>
              <w:jc w:val="center"/>
              <w:rPr>
                <w:rFonts w:ascii="Times New Roman" w:hAnsi="Times New Roman"/>
                <w:color w:val="000000"/>
                <w:sz w:val="16"/>
                <w:szCs w:val="16"/>
                <w:lang w:val="en-GB" w:eastAsia="en-GB"/>
              </w:rPr>
            </w:pPr>
            <w:r w:rsidRPr="000C7B4F">
              <w:rPr>
                <w:rFonts w:ascii="Times New Roman" w:hAnsi="Times New Roman"/>
                <w:color w:val="000000"/>
                <w:sz w:val="16"/>
                <w:szCs w:val="16"/>
                <w:lang w:val="en-GB" w:eastAsia="en-GB"/>
              </w:rPr>
              <w:t>0.251</w:t>
            </w:r>
          </w:p>
        </w:tc>
      </w:tr>
    </w:tbl>
    <w:p w:rsidR="00D60232" w:rsidRDefault="00D60232" w:rsidP="00D60232">
      <w:pPr>
        <w:spacing w:after="160" w:line="259" w:lineRule="auto"/>
        <w:rPr>
          <w:rFonts w:ascii="Calibri" w:hAnsi="Calibri" w:cs="Calibri"/>
          <w:color w:val="000000"/>
          <w:szCs w:val="22"/>
          <w:lang w:val="en-GB" w:eastAsia="en-GB"/>
        </w:rPr>
        <w:sectPr w:rsidR="00D60232" w:rsidSect="004A756C">
          <w:pgSz w:w="11906" w:h="16838"/>
          <w:pgMar w:top="1440" w:right="1440" w:bottom="1440" w:left="1440" w:header="709" w:footer="709" w:gutter="0"/>
          <w:cols w:space="708"/>
          <w:docGrid w:linePitch="360"/>
        </w:sectPr>
      </w:pPr>
      <w:r>
        <w:rPr>
          <w:rFonts w:cstheme="minorHAnsi"/>
          <w:b/>
        </w:rPr>
        <w:t xml:space="preserve">Supplementary Table 6. </w:t>
      </w:r>
      <w:r>
        <w:rPr>
          <w:rFonts w:cstheme="minorHAnsi"/>
        </w:rPr>
        <w:t xml:space="preserve">Item weights from the three ways of determining item centrality from the </w:t>
      </w:r>
      <w:r w:rsidR="00471DE0">
        <w:rPr>
          <w:rFonts w:cstheme="minorHAnsi"/>
        </w:rPr>
        <w:t>FGL</w:t>
      </w:r>
      <w:r>
        <w:rPr>
          <w:rFonts w:cstheme="minorHAnsi"/>
        </w:rPr>
        <w:t xml:space="preserve"> network and factor loadings from the CFA model.</w:t>
      </w:r>
    </w:p>
    <w:tbl>
      <w:tblPr>
        <w:tblpPr w:leftFromText="180" w:rightFromText="180" w:vertAnchor="page" w:horzAnchor="margin" w:tblpY="1933"/>
        <w:tblW w:w="13892" w:type="dxa"/>
        <w:tblLook w:val="04A0" w:firstRow="1" w:lastRow="0" w:firstColumn="1" w:lastColumn="0" w:noHBand="0" w:noVBand="1"/>
      </w:tblPr>
      <w:tblGrid>
        <w:gridCol w:w="1682"/>
        <w:gridCol w:w="865"/>
        <w:gridCol w:w="2488"/>
        <w:gridCol w:w="1803"/>
        <w:gridCol w:w="2595"/>
        <w:gridCol w:w="2275"/>
        <w:gridCol w:w="2184"/>
      </w:tblGrid>
      <w:tr w:rsidR="00D60232" w:rsidRPr="00E42D3C" w:rsidTr="004A756C">
        <w:trPr>
          <w:trHeight w:val="254"/>
        </w:trPr>
        <w:tc>
          <w:tcPr>
            <w:tcW w:w="1682" w:type="dxa"/>
            <w:tcBorders>
              <w:top w:val="single" w:sz="12" w:space="0" w:color="auto"/>
              <w:left w:val="nil"/>
              <w:bottom w:val="single" w:sz="12" w:space="0" w:color="auto"/>
              <w:right w:val="nil"/>
            </w:tcBorders>
            <w:shd w:val="clear" w:color="auto" w:fill="auto"/>
            <w:noWrap/>
            <w:vAlign w:val="bottom"/>
            <w:hideMark/>
          </w:tcPr>
          <w:p w:rsidR="00D60232" w:rsidRPr="00E42D3C" w:rsidRDefault="00D60232" w:rsidP="004A756C">
            <w:pPr>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lastRenderedPageBreak/>
              <w:t>Model</w:t>
            </w:r>
          </w:p>
        </w:tc>
        <w:tc>
          <w:tcPr>
            <w:tcW w:w="865" w:type="dxa"/>
            <w:tcBorders>
              <w:top w:val="single" w:sz="12" w:space="0" w:color="auto"/>
              <w:left w:val="nil"/>
              <w:bottom w:val="single" w:sz="12" w:space="0" w:color="auto"/>
              <w:right w:val="nil"/>
            </w:tcBorders>
            <w:shd w:val="clear" w:color="auto" w:fill="auto"/>
            <w:noWrap/>
            <w:vAlign w:val="bottom"/>
            <w:hideMark/>
          </w:tcPr>
          <w:p w:rsidR="00D60232" w:rsidRPr="00E42D3C" w:rsidRDefault="00D60232" w:rsidP="004A756C">
            <w:pPr>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Intercept</w:t>
            </w:r>
          </w:p>
        </w:tc>
        <w:tc>
          <w:tcPr>
            <w:tcW w:w="11345" w:type="dxa"/>
            <w:gridSpan w:val="5"/>
            <w:tcBorders>
              <w:top w:val="single" w:sz="12" w:space="0" w:color="auto"/>
              <w:left w:val="nil"/>
              <w:bottom w:val="single" w:sz="12" w:space="0" w:color="auto"/>
              <w:right w:val="nil"/>
            </w:tcBorders>
            <w:shd w:val="clear" w:color="auto" w:fill="auto"/>
            <w:noWrap/>
            <w:vAlign w:val="bottom"/>
            <w:hideMark/>
          </w:tcPr>
          <w:p w:rsidR="00D60232" w:rsidRPr="00E42D3C" w:rsidRDefault="00D60232" w:rsidP="004A756C">
            <w:pPr>
              <w:jc w:val="center"/>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Coefficients</w:t>
            </w:r>
          </w:p>
        </w:tc>
      </w:tr>
      <w:tr w:rsidR="00D60232" w:rsidRPr="00E42D3C" w:rsidTr="004A756C">
        <w:trPr>
          <w:trHeight w:val="545"/>
        </w:trPr>
        <w:tc>
          <w:tcPr>
            <w:tcW w:w="1682" w:type="dxa"/>
            <w:tcBorders>
              <w:top w:val="nil"/>
              <w:left w:val="nil"/>
              <w:bottom w:val="nil"/>
              <w:right w:val="nil"/>
            </w:tcBorders>
            <w:shd w:val="clear" w:color="auto" w:fill="auto"/>
            <w:noWrap/>
            <w:vAlign w:val="bottom"/>
            <w:hideMark/>
          </w:tcPr>
          <w:p w:rsidR="00D60232" w:rsidRPr="00E42D3C" w:rsidRDefault="00D60232" w:rsidP="004A756C">
            <w:pPr>
              <w:jc w:val="center"/>
              <w:rPr>
                <w:rFonts w:ascii="Times New Roman" w:hAnsi="Times New Roman"/>
                <w:color w:val="000000"/>
                <w:sz w:val="16"/>
                <w:szCs w:val="16"/>
                <w:lang w:val="en-GB" w:eastAsia="en-GB"/>
              </w:rPr>
            </w:pPr>
          </w:p>
        </w:tc>
        <w:tc>
          <w:tcPr>
            <w:tcW w:w="865" w:type="dxa"/>
            <w:tcBorders>
              <w:top w:val="nil"/>
              <w:left w:val="nil"/>
              <w:bottom w:val="nil"/>
              <w:right w:val="nil"/>
            </w:tcBorders>
            <w:shd w:val="clear" w:color="auto" w:fill="auto"/>
            <w:noWrap/>
            <w:vAlign w:val="bottom"/>
            <w:hideMark/>
          </w:tcPr>
          <w:p w:rsidR="00D60232" w:rsidRPr="00E42D3C" w:rsidRDefault="00D60232" w:rsidP="004A756C">
            <w:pPr>
              <w:rPr>
                <w:rFonts w:ascii="Times New Roman" w:hAnsi="Times New Roman"/>
                <w:sz w:val="16"/>
                <w:szCs w:val="16"/>
                <w:lang w:val="en-GB" w:eastAsia="en-GB"/>
              </w:rPr>
            </w:pPr>
          </w:p>
        </w:tc>
        <w:tc>
          <w:tcPr>
            <w:tcW w:w="2488" w:type="dxa"/>
            <w:tcBorders>
              <w:top w:val="nil"/>
              <w:left w:val="nil"/>
              <w:bottom w:val="nil"/>
              <w:right w:val="nil"/>
            </w:tcBorders>
            <w:shd w:val="clear" w:color="auto" w:fill="auto"/>
            <w:noWrap/>
            <w:vAlign w:val="bottom"/>
            <w:hideMark/>
          </w:tcPr>
          <w:p w:rsidR="00D60232" w:rsidRPr="00E42D3C" w:rsidRDefault="00D60232" w:rsidP="004A756C">
            <w:pPr>
              <w:jc w:val="center"/>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CIS</w:t>
            </w:r>
            <w:r>
              <w:rPr>
                <w:rFonts w:ascii="Times New Roman" w:hAnsi="Times New Roman"/>
                <w:color w:val="000000"/>
                <w:sz w:val="16"/>
                <w:szCs w:val="16"/>
                <w:lang w:val="en-GB" w:eastAsia="en-GB"/>
              </w:rPr>
              <w:t xml:space="preserve">-R </w:t>
            </w:r>
            <w:r w:rsidRPr="00E42D3C">
              <w:rPr>
                <w:rFonts w:ascii="Times New Roman" w:hAnsi="Times New Roman"/>
                <w:color w:val="000000"/>
                <w:sz w:val="16"/>
                <w:szCs w:val="16"/>
                <w:lang w:val="en-GB" w:eastAsia="en-GB"/>
              </w:rPr>
              <w:t>Anxiety Sum</w:t>
            </w:r>
            <w:r>
              <w:rPr>
                <w:rFonts w:ascii="Times New Roman" w:hAnsi="Times New Roman"/>
                <w:color w:val="000000"/>
                <w:sz w:val="16"/>
                <w:szCs w:val="16"/>
                <w:lang w:val="en-GB" w:eastAsia="en-GB"/>
              </w:rPr>
              <w:t>-s</w:t>
            </w:r>
            <w:r w:rsidRPr="00E42D3C">
              <w:rPr>
                <w:rFonts w:ascii="Times New Roman" w:hAnsi="Times New Roman"/>
                <w:color w:val="000000"/>
                <w:sz w:val="16"/>
                <w:szCs w:val="16"/>
                <w:lang w:val="en-GB" w:eastAsia="en-GB"/>
              </w:rPr>
              <w:t>core</w:t>
            </w:r>
          </w:p>
        </w:tc>
        <w:tc>
          <w:tcPr>
            <w:tcW w:w="1803" w:type="dxa"/>
            <w:tcBorders>
              <w:top w:val="nil"/>
              <w:left w:val="nil"/>
              <w:bottom w:val="nil"/>
              <w:right w:val="nil"/>
            </w:tcBorders>
            <w:shd w:val="clear" w:color="auto" w:fill="auto"/>
            <w:noWrap/>
            <w:vAlign w:val="bottom"/>
            <w:hideMark/>
          </w:tcPr>
          <w:p w:rsidR="00D60232" w:rsidRPr="00E42D3C" w:rsidRDefault="00D60232" w:rsidP="004A756C">
            <w:pPr>
              <w:jc w:val="center"/>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 xml:space="preserve">BDI-II </w:t>
            </w:r>
            <w:r>
              <w:rPr>
                <w:rFonts w:ascii="Times New Roman" w:hAnsi="Times New Roman"/>
                <w:color w:val="000000"/>
                <w:sz w:val="16"/>
                <w:szCs w:val="16"/>
                <w:lang w:val="en-GB" w:eastAsia="en-GB"/>
              </w:rPr>
              <w:t>Sum-score</w:t>
            </w:r>
          </w:p>
        </w:tc>
        <w:tc>
          <w:tcPr>
            <w:tcW w:w="2595" w:type="dxa"/>
            <w:tcBorders>
              <w:top w:val="nil"/>
              <w:left w:val="nil"/>
              <w:bottom w:val="nil"/>
              <w:right w:val="nil"/>
            </w:tcBorders>
            <w:shd w:val="clear" w:color="auto" w:fill="auto"/>
            <w:noWrap/>
            <w:vAlign w:val="bottom"/>
            <w:hideMark/>
          </w:tcPr>
          <w:p w:rsidR="00D60232" w:rsidRPr="00E42D3C" w:rsidRDefault="00D60232" w:rsidP="004A756C">
            <w:pPr>
              <w:jc w:val="center"/>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Social Support Sum</w:t>
            </w:r>
            <w:r>
              <w:rPr>
                <w:rFonts w:ascii="Times New Roman" w:hAnsi="Times New Roman"/>
                <w:color w:val="000000"/>
                <w:sz w:val="16"/>
                <w:szCs w:val="16"/>
                <w:lang w:val="en-GB" w:eastAsia="en-GB"/>
              </w:rPr>
              <w:t>-score</w:t>
            </w:r>
          </w:p>
        </w:tc>
        <w:tc>
          <w:tcPr>
            <w:tcW w:w="2275" w:type="dxa"/>
            <w:tcBorders>
              <w:top w:val="nil"/>
              <w:left w:val="nil"/>
              <w:bottom w:val="nil"/>
              <w:right w:val="nil"/>
            </w:tcBorders>
            <w:shd w:val="clear" w:color="auto" w:fill="auto"/>
            <w:noWrap/>
            <w:vAlign w:val="bottom"/>
            <w:hideMark/>
          </w:tcPr>
          <w:p w:rsidR="00D60232" w:rsidRPr="00E42D3C" w:rsidRDefault="00D60232" w:rsidP="004A756C">
            <w:pPr>
              <w:jc w:val="center"/>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Life Events Sum</w:t>
            </w:r>
            <w:r>
              <w:rPr>
                <w:rFonts w:ascii="Times New Roman" w:hAnsi="Times New Roman"/>
                <w:color w:val="000000"/>
                <w:sz w:val="16"/>
                <w:szCs w:val="16"/>
                <w:lang w:val="en-GB" w:eastAsia="en-GB"/>
              </w:rPr>
              <w:t>-s</w:t>
            </w:r>
            <w:r w:rsidRPr="00E42D3C">
              <w:rPr>
                <w:rFonts w:ascii="Times New Roman" w:hAnsi="Times New Roman"/>
                <w:color w:val="000000"/>
                <w:sz w:val="16"/>
                <w:szCs w:val="16"/>
                <w:lang w:val="en-GB" w:eastAsia="en-GB"/>
              </w:rPr>
              <w:t>core</w:t>
            </w:r>
          </w:p>
        </w:tc>
        <w:tc>
          <w:tcPr>
            <w:tcW w:w="2184" w:type="dxa"/>
            <w:tcBorders>
              <w:top w:val="nil"/>
              <w:left w:val="nil"/>
              <w:bottom w:val="nil"/>
              <w:right w:val="nil"/>
            </w:tcBorders>
            <w:shd w:val="clear" w:color="auto" w:fill="auto"/>
            <w:noWrap/>
            <w:vAlign w:val="bottom"/>
            <w:hideMark/>
          </w:tcPr>
          <w:p w:rsidR="00D60232" w:rsidRPr="00E42D3C" w:rsidRDefault="00D60232" w:rsidP="004A756C">
            <w:pPr>
              <w:jc w:val="center"/>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AUDIT-PC Sum</w:t>
            </w:r>
            <w:r>
              <w:rPr>
                <w:rFonts w:ascii="Times New Roman" w:hAnsi="Times New Roman"/>
                <w:color w:val="000000"/>
                <w:sz w:val="16"/>
                <w:szCs w:val="16"/>
                <w:lang w:val="en-GB" w:eastAsia="en-GB"/>
              </w:rPr>
              <w:t>-s</w:t>
            </w:r>
            <w:r w:rsidRPr="00E42D3C">
              <w:rPr>
                <w:rFonts w:ascii="Times New Roman" w:hAnsi="Times New Roman"/>
                <w:color w:val="000000"/>
                <w:sz w:val="16"/>
                <w:szCs w:val="16"/>
                <w:lang w:val="en-GB" w:eastAsia="en-GB"/>
              </w:rPr>
              <w:t>core</w:t>
            </w:r>
          </w:p>
        </w:tc>
      </w:tr>
      <w:tr w:rsidR="00D60232" w:rsidRPr="00E42D3C" w:rsidTr="004A756C">
        <w:trPr>
          <w:trHeight w:val="523"/>
        </w:trPr>
        <w:tc>
          <w:tcPr>
            <w:tcW w:w="1682" w:type="dxa"/>
            <w:tcBorders>
              <w:top w:val="nil"/>
              <w:left w:val="nil"/>
              <w:bottom w:val="nil"/>
              <w:right w:val="nil"/>
            </w:tcBorders>
            <w:shd w:val="clear" w:color="auto" w:fill="auto"/>
            <w:noWrap/>
            <w:vAlign w:val="bottom"/>
            <w:hideMark/>
          </w:tcPr>
          <w:p w:rsidR="00D60232" w:rsidRPr="00E42D3C" w:rsidRDefault="00D60232" w:rsidP="004A756C">
            <w:pPr>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Model 1 (EI 1-Step)</w:t>
            </w:r>
          </w:p>
        </w:tc>
        <w:tc>
          <w:tcPr>
            <w:tcW w:w="865"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2.883</w:t>
            </w:r>
          </w:p>
        </w:tc>
        <w:tc>
          <w:tcPr>
            <w:tcW w:w="2488" w:type="dxa"/>
            <w:tcBorders>
              <w:top w:val="nil"/>
              <w:left w:val="nil"/>
              <w:bottom w:val="nil"/>
              <w:right w:val="nil"/>
            </w:tcBorders>
            <w:shd w:val="clear" w:color="auto" w:fill="auto"/>
            <w:noWrap/>
            <w:vAlign w:val="bottom"/>
            <w:hideMark/>
          </w:tcPr>
          <w:p w:rsidR="00D60232" w:rsidRPr="00E42D3C" w:rsidRDefault="00D60232" w:rsidP="004A756C">
            <w:pPr>
              <w:jc w:val="center"/>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0.300</w:t>
            </w:r>
          </w:p>
        </w:tc>
        <w:tc>
          <w:tcPr>
            <w:tcW w:w="1803" w:type="dxa"/>
            <w:tcBorders>
              <w:top w:val="nil"/>
              <w:left w:val="nil"/>
              <w:bottom w:val="nil"/>
              <w:right w:val="nil"/>
            </w:tcBorders>
            <w:shd w:val="clear" w:color="auto" w:fill="auto"/>
            <w:noWrap/>
            <w:vAlign w:val="bottom"/>
            <w:hideMark/>
          </w:tcPr>
          <w:p w:rsidR="00D60232" w:rsidRPr="00E42D3C" w:rsidRDefault="00D60232" w:rsidP="004A756C">
            <w:pPr>
              <w:jc w:val="center"/>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0.501</w:t>
            </w:r>
          </w:p>
        </w:tc>
        <w:tc>
          <w:tcPr>
            <w:tcW w:w="2595" w:type="dxa"/>
            <w:tcBorders>
              <w:top w:val="nil"/>
              <w:left w:val="nil"/>
              <w:bottom w:val="nil"/>
              <w:right w:val="nil"/>
            </w:tcBorders>
            <w:shd w:val="clear" w:color="auto" w:fill="auto"/>
            <w:noWrap/>
            <w:vAlign w:val="bottom"/>
            <w:hideMark/>
          </w:tcPr>
          <w:p w:rsidR="00D60232" w:rsidRPr="00E42D3C" w:rsidRDefault="00D60232" w:rsidP="004A756C">
            <w:pPr>
              <w:jc w:val="center"/>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w:t>
            </w:r>
          </w:p>
        </w:tc>
        <w:tc>
          <w:tcPr>
            <w:tcW w:w="2275" w:type="dxa"/>
            <w:tcBorders>
              <w:top w:val="nil"/>
              <w:left w:val="nil"/>
              <w:bottom w:val="nil"/>
              <w:right w:val="nil"/>
            </w:tcBorders>
            <w:shd w:val="clear" w:color="auto" w:fill="auto"/>
            <w:noWrap/>
            <w:vAlign w:val="bottom"/>
            <w:hideMark/>
          </w:tcPr>
          <w:p w:rsidR="00D60232" w:rsidRPr="00E42D3C" w:rsidRDefault="00D60232" w:rsidP="004A756C">
            <w:pPr>
              <w:jc w:val="center"/>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0.200</w:t>
            </w:r>
          </w:p>
        </w:tc>
        <w:tc>
          <w:tcPr>
            <w:tcW w:w="2184" w:type="dxa"/>
            <w:tcBorders>
              <w:top w:val="nil"/>
              <w:left w:val="nil"/>
              <w:bottom w:val="nil"/>
              <w:right w:val="nil"/>
            </w:tcBorders>
            <w:shd w:val="clear" w:color="auto" w:fill="auto"/>
            <w:noWrap/>
            <w:vAlign w:val="bottom"/>
            <w:hideMark/>
          </w:tcPr>
          <w:p w:rsidR="00D60232" w:rsidRPr="00E42D3C" w:rsidRDefault="00D60232" w:rsidP="004A756C">
            <w:pPr>
              <w:jc w:val="center"/>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-0.072</w:t>
            </w:r>
          </w:p>
        </w:tc>
      </w:tr>
      <w:tr w:rsidR="00D60232" w:rsidRPr="00E42D3C" w:rsidTr="004A756C">
        <w:trPr>
          <w:trHeight w:val="458"/>
        </w:trPr>
        <w:tc>
          <w:tcPr>
            <w:tcW w:w="1682" w:type="dxa"/>
            <w:tcBorders>
              <w:top w:val="nil"/>
              <w:left w:val="nil"/>
              <w:bottom w:val="nil"/>
              <w:right w:val="nil"/>
            </w:tcBorders>
            <w:shd w:val="clear" w:color="auto" w:fill="auto"/>
            <w:noWrap/>
            <w:vAlign w:val="bottom"/>
            <w:hideMark/>
          </w:tcPr>
          <w:p w:rsidR="00D60232" w:rsidRPr="00E42D3C" w:rsidRDefault="00D60232" w:rsidP="004A756C">
            <w:pPr>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Model 2 (EI 2-Step)</w:t>
            </w:r>
          </w:p>
        </w:tc>
        <w:tc>
          <w:tcPr>
            <w:tcW w:w="865"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2.858</w:t>
            </w:r>
          </w:p>
        </w:tc>
        <w:tc>
          <w:tcPr>
            <w:tcW w:w="2488" w:type="dxa"/>
            <w:tcBorders>
              <w:top w:val="nil"/>
              <w:left w:val="nil"/>
              <w:bottom w:val="nil"/>
              <w:right w:val="nil"/>
            </w:tcBorders>
            <w:shd w:val="clear" w:color="auto" w:fill="auto"/>
            <w:noWrap/>
            <w:vAlign w:val="bottom"/>
            <w:hideMark/>
          </w:tcPr>
          <w:p w:rsidR="00D60232" w:rsidRPr="00E42D3C" w:rsidRDefault="00D60232" w:rsidP="004A756C">
            <w:pPr>
              <w:jc w:val="center"/>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0.304</w:t>
            </w:r>
          </w:p>
        </w:tc>
        <w:tc>
          <w:tcPr>
            <w:tcW w:w="1803" w:type="dxa"/>
            <w:tcBorders>
              <w:top w:val="nil"/>
              <w:left w:val="nil"/>
              <w:bottom w:val="nil"/>
              <w:right w:val="nil"/>
            </w:tcBorders>
            <w:shd w:val="clear" w:color="auto" w:fill="auto"/>
            <w:noWrap/>
            <w:vAlign w:val="bottom"/>
            <w:hideMark/>
          </w:tcPr>
          <w:p w:rsidR="00D60232" w:rsidRPr="00E42D3C" w:rsidRDefault="00D60232" w:rsidP="004A756C">
            <w:pPr>
              <w:jc w:val="center"/>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0.494</w:t>
            </w:r>
          </w:p>
        </w:tc>
        <w:tc>
          <w:tcPr>
            <w:tcW w:w="2595" w:type="dxa"/>
            <w:tcBorders>
              <w:top w:val="nil"/>
              <w:left w:val="nil"/>
              <w:bottom w:val="nil"/>
              <w:right w:val="nil"/>
            </w:tcBorders>
            <w:shd w:val="clear" w:color="auto" w:fill="auto"/>
            <w:noWrap/>
            <w:vAlign w:val="bottom"/>
            <w:hideMark/>
          </w:tcPr>
          <w:p w:rsidR="00D60232" w:rsidRPr="00E42D3C" w:rsidRDefault="00D60232" w:rsidP="004A756C">
            <w:pPr>
              <w:jc w:val="center"/>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w:t>
            </w:r>
          </w:p>
        </w:tc>
        <w:tc>
          <w:tcPr>
            <w:tcW w:w="2275" w:type="dxa"/>
            <w:tcBorders>
              <w:top w:val="nil"/>
              <w:left w:val="nil"/>
              <w:bottom w:val="nil"/>
              <w:right w:val="nil"/>
            </w:tcBorders>
            <w:shd w:val="clear" w:color="auto" w:fill="auto"/>
            <w:noWrap/>
            <w:vAlign w:val="bottom"/>
            <w:hideMark/>
          </w:tcPr>
          <w:p w:rsidR="00D60232" w:rsidRPr="00E42D3C" w:rsidRDefault="00D60232" w:rsidP="004A756C">
            <w:pPr>
              <w:jc w:val="center"/>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0.215</w:t>
            </w:r>
          </w:p>
        </w:tc>
        <w:tc>
          <w:tcPr>
            <w:tcW w:w="2184" w:type="dxa"/>
            <w:tcBorders>
              <w:top w:val="nil"/>
              <w:left w:val="nil"/>
              <w:bottom w:val="nil"/>
              <w:right w:val="nil"/>
            </w:tcBorders>
            <w:shd w:val="clear" w:color="auto" w:fill="auto"/>
            <w:noWrap/>
            <w:vAlign w:val="bottom"/>
            <w:hideMark/>
          </w:tcPr>
          <w:p w:rsidR="00D60232" w:rsidRPr="00E42D3C" w:rsidRDefault="00D60232" w:rsidP="004A756C">
            <w:pPr>
              <w:jc w:val="center"/>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-0.074</w:t>
            </w:r>
          </w:p>
        </w:tc>
      </w:tr>
      <w:tr w:rsidR="00D60232" w:rsidRPr="00E42D3C" w:rsidTr="004A756C">
        <w:trPr>
          <w:trHeight w:val="523"/>
        </w:trPr>
        <w:tc>
          <w:tcPr>
            <w:tcW w:w="1682" w:type="dxa"/>
            <w:tcBorders>
              <w:top w:val="nil"/>
              <w:left w:val="nil"/>
              <w:bottom w:val="nil"/>
              <w:right w:val="nil"/>
            </w:tcBorders>
            <w:shd w:val="clear" w:color="auto" w:fill="auto"/>
            <w:noWrap/>
            <w:vAlign w:val="bottom"/>
            <w:hideMark/>
          </w:tcPr>
          <w:p w:rsidR="00D60232" w:rsidRPr="00E42D3C" w:rsidRDefault="00D60232" w:rsidP="004A756C">
            <w:pPr>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Model 3 (PC/PR)</w:t>
            </w:r>
          </w:p>
        </w:tc>
        <w:tc>
          <w:tcPr>
            <w:tcW w:w="865"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7.251</w:t>
            </w:r>
          </w:p>
        </w:tc>
        <w:tc>
          <w:tcPr>
            <w:tcW w:w="2488" w:type="dxa"/>
            <w:tcBorders>
              <w:top w:val="nil"/>
              <w:left w:val="nil"/>
              <w:bottom w:val="nil"/>
              <w:right w:val="nil"/>
            </w:tcBorders>
            <w:shd w:val="clear" w:color="auto" w:fill="auto"/>
            <w:noWrap/>
            <w:vAlign w:val="bottom"/>
            <w:hideMark/>
          </w:tcPr>
          <w:p w:rsidR="00D60232" w:rsidRPr="00E42D3C" w:rsidRDefault="00D60232" w:rsidP="004A756C">
            <w:pPr>
              <w:jc w:val="center"/>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0.324</w:t>
            </w:r>
          </w:p>
        </w:tc>
        <w:tc>
          <w:tcPr>
            <w:tcW w:w="1803" w:type="dxa"/>
            <w:tcBorders>
              <w:top w:val="nil"/>
              <w:left w:val="nil"/>
              <w:bottom w:val="nil"/>
              <w:right w:val="nil"/>
            </w:tcBorders>
            <w:shd w:val="clear" w:color="auto" w:fill="auto"/>
            <w:noWrap/>
            <w:vAlign w:val="bottom"/>
            <w:hideMark/>
          </w:tcPr>
          <w:p w:rsidR="00D60232" w:rsidRPr="00E42D3C" w:rsidRDefault="00D60232" w:rsidP="004A756C">
            <w:pPr>
              <w:jc w:val="center"/>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0.454</w:t>
            </w:r>
          </w:p>
        </w:tc>
        <w:tc>
          <w:tcPr>
            <w:tcW w:w="2595" w:type="dxa"/>
            <w:tcBorders>
              <w:top w:val="nil"/>
              <w:left w:val="nil"/>
              <w:bottom w:val="nil"/>
              <w:right w:val="nil"/>
            </w:tcBorders>
            <w:shd w:val="clear" w:color="auto" w:fill="auto"/>
            <w:noWrap/>
            <w:vAlign w:val="bottom"/>
            <w:hideMark/>
          </w:tcPr>
          <w:p w:rsidR="00D60232" w:rsidRPr="00E42D3C" w:rsidRDefault="00D60232" w:rsidP="004A756C">
            <w:pPr>
              <w:jc w:val="center"/>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-0.642</w:t>
            </w:r>
          </w:p>
        </w:tc>
        <w:tc>
          <w:tcPr>
            <w:tcW w:w="2275" w:type="dxa"/>
            <w:tcBorders>
              <w:top w:val="nil"/>
              <w:left w:val="nil"/>
              <w:bottom w:val="nil"/>
              <w:right w:val="nil"/>
            </w:tcBorders>
            <w:shd w:val="clear" w:color="auto" w:fill="auto"/>
            <w:noWrap/>
            <w:vAlign w:val="bottom"/>
            <w:hideMark/>
          </w:tcPr>
          <w:p w:rsidR="00D60232" w:rsidRPr="00E42D3C" w:rsidRDefault="00D60232" w:rsidP="004A756C">
            <w:pPr>
              <w:jc w:val="center"/>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0.038</w:t>
            </w:r>
          </w:p>
        </w:tc>
        <w:tc>
          <w:tcPr>
            <w:tcW w:w="2184" w:type="dxa"/>
            <w:tcBorders>
              <w:top w:val="nil"/>
              <w:left w:val="nil"/>
              <w:bottom w:val="nil"/>
              <w:right w:val="nil"/>
            </w:tcBorders>
            <w:shd w:val="clear" w:color="auto" w:fill="auto"/>
            <w:noWrap/>
            <w:vAlign w:val="bottom"/>
            <w:hideMark/>
          </w:tcPr>
          <w:p w:rsidR="00D60232" w:rsidRPr="00E42D3C" w:rsidRDefault="00D60232" w:rsidP="004A756C">
            <w:pPr>
              <w:jc w:val="center"/>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w:t>
            </w:r>
          </w:p>
        </w:tc>
      </w:tr>
      <w:tr w:rsidR="00D60232" w:rsidRPr="00E42D3C" w:rsidTr="004A756C">
        <w:trPr>
          <w:trHeight w:val="523"/>
        </w:trPr>
        <w:tc>
          <w:tcPr>
            <w:tcW w:w="1682" w:type="dxa"/>
            <w:tcBorders>
              <w:top w:val="nil"/>
              <w:left w:val="nil"/>
              <w:bottom w:val="nil"/>
              <w:right w:val="nil"/>
            </w:tcBorders>
            <w:shd w:val="clear" w:color="auto" w:fill="auto"/>
            <w:noWrap/>
            <w:vAlign w:val="bottom"/>
            <w:hideMark/>
          </w:tcPr>
          <w:p w:rsidR="00D60232" w:rsidRPr="00E42D3C" w:rsidRDefault="00D60232" w:rsidP="004A756C">
            <w:pPr>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Model 4 (CFA)</w:t>
            </w:r>
          </w:p>
        </w:tc>
        <w:tc>
          <w:tcPr>
            <w:tcW w:w="865"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7.293</w:t>
            </w:r>
          </w:p>
        </w:tc>
        <w:tc>
          <w:tcPr>
            <w:tcW w:w="2488" w:type="dxa"/>
            <w:tcBorders>
              <w:top w:val="nil"/>
              <w:left w:val="nil"/>
              <w:bottom w:val="nil"/>
              <w:right w:val="nil"/>
            </w:tcBorders>
            <w:shd w:val="clear" w:color="auto" w:fill="auto"/>
            <w:noWrap/>
            <w:vAlign w:val="bottom"/>
            <w:hideMark/>
          </w:tcPr>
          <w:p w:rsidR="00D60232" w:rsidRPr="00E42D3C" w:rsidRDefault="00D60232" w:rsidP="004A756C">
            <w:pPr>
              <w:jc w:val="center"/>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1.323</w:t>
            </w:r>
          </w:p>
        </w:tc>
        <w:tc>
          <w:tcPr>
            <w:tcW w:w="1803" w:type="dxa"/>
            <w:tcBorders>
              <w:top w:val="nil"/>
              <w:left w:val="nil"/>
              <w:bottom w:val="nil"/>
              <w:right w:val="nil"/>
            </w:tcBorders>
            <w:shd w:val="clear" w:color="auto" w:fill="auto"/>
            <w:noWrap/>
            <w:vAlign w:val="bottom"/>
            <w:hideMark/>
          </w:tcPr>
          <w:p w:rsidR="00D60232" w:rsidRPr="00E42D3C" w:rsidRDefault="00D60232" w:rsidP="004A756C">
            <w:pPr>
              <w:jc w:val="center"/>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2.092</w:t>
            </w:r>
          </w:p>
        </w:tc>
        <w:tc>
          <w:tcPr>
            <w:tcW w:w="2595" w:type="dxa"/>
            <w:tcBorders>
              <w:top w:val="nil"/>
              <w:left w:val="nil"/>
              <w:bottom w:val="nil"/>
              <w:right w:val="nil"/>
            </w:tcBorders>
            <w:shd w:val="clear" w:color="auto" w:fill="auto"/>
            <w:noWrap/>
            <w:vAlign w:val="bottom"/>
            <w:hideMark/>
          </w:tcPr>
          <w:p w:rsidR="00D60232" w:rsidRPr="00E42D3C" w:rsidRDefault="00D60232" w:rsidP="004A756C">
            <w:pPr>
              <w:jc w:val="center"/>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-1.796</w:t>
            </w:r>
          </w:p>
        </w:tc>
        <w:tc>
          <w:tcPr>
            <w:tcW w:w="2275" w:type="dxa"/>
            <w:tcBorders>
              <w:top w:val="nil"/>
              <w:left w:val="nil"/>
              <w:bottom w:val="nil"/>
              <w:right w:val="nil"/>
            </w:tcBorders>
            <w:shd w:val="clear" w:color="auto" w:fill="auto"/>
            <w:noWrap/>
            <w:vAlign w:val="bottom"/>
            <w:hideMark/>
          </w:tcPr>
          <w:p w:rsidR="00D60232" w:rsidRPr="00E42D3C" w:rsidRDefault="00D60232" w:rsidP="004A756C">
            <w:pPr>
              <w:jc w:val="center"/>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0.179</w:t>
            </w:r>
          </w:p>
        </w:tc>
        <w:tc>
          <w:tcPr>
            <w:tcW w:w="2184" w:type="dxa"/>
            <w:tcBorders>
              <w:top w:val="nil"/>
              <w:left w:val="nil"/>
              <w:bottom w:val="nil"/>
              <w:right w:val="nil"/>
            </w:tcBorders>
            <w:shd w:val="clear" w:color="auto" w:fill="auto"/>
            <w:noWrap/>
            <w:vAlign w:val="bottom"/>
            <w:hideMark/>
          </w:tcPr>
          <w:p w:rsidR="00D60232" w:rsidRPr="00E42D3C" w:rsidRDefault="00D60232" w:rsidP="004A756C">
            <w:pPr>
              <w:jc w:val="center"/>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-0.143</w:t>
            </w:r>
          </w:p>
        </w:tc>
      </w:tr>
      <w:tr w:rsidR="00D60232" w:rsidRPr="00E42D3C" w:rsidTr="004A756C">
        <w:trPr>
          <w:trHeight w:val="523"/>
        </w:trPr>
        <w:tc>
          <w:tcPr>
            <w:tcW w:w="1682" w:type="dxa"/>
            <w:tcBorders>
              <w:top w:val="nil"/>
              <w:left w:val="nil"/>
              <w:bottom w:val="nil"/>
              <w:right w:val="nil"/>
            </w:tcBorders>
            <w:shd w:val="clear" w:color="auto" w:fill="auto"/>
            <w:noWrap/>
            <w:vAlign w:val="bottom"/>
            <w:hideMark/>
          </w:tcPr>
          <w:p w:rsidR="00D60232" w:rsidRPr="00E42D3C" w:rsidRDefault="00D60232" w:rsidP="004A756C">
            <w:pPr>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Model 5 (ENR)</w:t>
            </w:r>
          </w:p>
        </w:tc>
        <w:tc>
          <w:tcPr>
            <w:tcW w:w="865"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16.641</w:t>
            </w:r>
          </w:p>
        </w:tc>
        <w:tc>
          <w:tcPr>
            <w:tcW w:w="2488" w:type="dxa"/>
            <w:tcBorders>
              <w:top w:val="nil"/>
              <w:left w:val="nil"/>
              <w:bottom w:val="nil"/>
              <w:right w:val="nil"/>
            </w:tcBorders>
            <w:shd w:val="clear" w:color="auto" w:fill="auto"/>
            <w:noWrap/>
            <w:vAlign w:val="bottom"/>
            <w:hideMark/>
          </w:tcPr>
          <w:p w:rsidR="00D60232" w:rsidRPr="00E42D3C" w:rsidRDefault="00D60232" w:rsidP="004A756C">
            <w:pPr>
              <w:jc w:val="center"/>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1.329</w:t>
            </w:r>
          </w:p>
        </w:tc>
        <w:tc>
          <w:tcPr>
            <w:tcW w:w="1803" w:type="dxa"/>
            <w:tcBorders>
              <w:top w:val="nil"/>
              <w:left w:val="nil"/>
              <w:bottom w:val="nil"/>
              <w:right w:val="nil"/>
            </w:tcBorders>
            <w:shd w:val="clear" w:color="auto" w:fill="auto"/>
            <w:noWrap/>
            <w:vAlign w:val="bottom"/>
            <w:hideMark/>
          </w:tcPr>
          <w:p w:rsidR="00D60232" w:rsidRPr="00E42D3C" w:rsidRDefault="00D60232" w:rsidP="004A756C">
            <w:pPr>
              <w:jc w:val="center"/>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3.867</w:t>
            </w:r>
          </w:p>
        </w:tc>
        <w:tc>
          <w:tcPr>
            <w:tcW w:w="2595" w:type="dxa"/>
            <w:tcBorders>
              <w:top w:val="nil"/>
              <w:left w:val="nil"/>
              <w:bottom w:val="nil"/>
              <w:right w:val="nil"/>
            </w:tcBorders>
            <w:shd w:val="clear" w:color="auto" w:fill="auto"/>
            <w:noWrap/>
            <w:vAlign w:val="bottom"/>
            <w:hideMark/>
          </w:tcPr>
          <w:p w:rsidR="00D60232" w:rsidRPr="00E42D3C" w:rsidRDefault="00D60232" w:rsidP="004A756C">
            <w:pPr>
              <w:jc w:val="center"/>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-0.931</w:t>
            </w:r>
          </w:p>
        </w:tc>
        <w:tc>
          <w:tcPr>
            <w:tcW w:w="2275" w:type="dxa"/>
            <w:tcBorders>
              <w:top w:val="nil"/>
              <w:left w:val="nil"/>
              <w:bottom w:val="nil"/>
              <w:right w:val="nil"/>
            </w:tcBorders>
            <w:shd w:val="clear" w:color="auto" w:fill="auto"/>
            <w:noWrap/>
            <w:vAlign w:val="bottom"/>
            <w:hideMark/>
          </w:tcPr>
          <w:p w:rsidR="00D60232" w:rsidRPr="00E42D3C" w:rsidRDefault="00D60232" w:rsidP="004A756C">
            <w:pPr>
              <w:jc w:val="center"/>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w:t>
            </w:r>
          </w:p>
        </w:tc>
        <w:tc>
          <w:tcPr>
            <w:tcW w:w="2184" w:type="dxa"/>
            <w:tcBorders>
              <w:top w:val="nil"/>
              <w:left w:val="nil"/>
              <w:bottom w:val="nil"/>
              <w:right w:val="nil"/>
            </w:tcBorders>
            <w:shd w:val="clear" w:color="auto" w:fill="auto"/>
            <w:noWrap/>
            <w:vAlign w:val="bottom"/>
            <w:hideMark/>
          </w:tcPr>
          <w:p w:rsidR="00D60232" w:rsidRPr="00E42D3C" w:rsidRDefault="00D60232" w:rsidP="004A756C">
            <w:pPr>
              <w:jc w:val="center"/>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w:t>
            </w:r>
          </w:p>
        </w:tc>
      </w:tr>
      <w:tr w:rsidR="00D60232" w:rsidRPr="00E42D3C" w:rsidTr="004A756C">
        <w:trPr>
          <w:trHeight w:val="545"/>
        </w:trPr>
        <w:tc>
          <w:tcPr>
            <w:tcW w:w="1682" w:type="dxa"/>
            <w:tcBorders>
              <w:top w:val="nil"/>
              <w:left w:val="nil"/>
              <w:bottom w:val="single" w:sz="12" w:space="0" w:color="auto"/>
              <w:right w:val="nil"/>
            </w:tcBorders>
            <w:shd w:val="clear" w:color="auto" w:fill="auto"/>
            <w:noWrap/>
            <w:vAlign w:val="bottom"/>
            <w:hideMark/>
          </w:tcPr>
          <w:p w:rsidR="00D60232" w:rsidRPr="00E42D3C" w:rsidRDefault="00D60232" w:rsidP="004A756C">
            <w:pPr>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Model 6 (OLS)</w:t>
            </w:r>
          </w:p>
        </w:tc>
        <w:tc>
          <w:tcPr>
            <w:tcW w:w="865" w:type="dxa"/>
            <w:tcBorders>
              <w:top w:val="nil"/>
              <w:left w:val="nil"/>
              <w:bottom w:val="single" w:sz="12" w:space="0" w:color="auto"/>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7.010</w:t>
            </w:r>
          </w:p>
        </w:tc>
        <w:tc>
          <w:tcPr>
            <w:tcW w:w="2488" w:type="dxa"/>
            <w:tcBorders>
              <w:top w:val="nil"/>
              <w:left w:val="nil"/>
              <w:bottom w:val="single" w:sz="12" w:space="0" w:color="auto"/>
              <w:right w:val="nil"/>
            </w:tcBorders>
            <w:shd w:val="clear" w:color="auto" w:fill="auto"/>
            <w:noWrap/>
            <w:vAlign w:val="bottom"/>
            <w:hideMark/>
          </w:tcPr>
          <w:p w:rsidR="00D60232" w:rsidRPr="00E42D3C" w:rsidRDefault="00D60232" w:rsidP="004A756C">
            <w:pPr>
              <w:jc w:val="center"/>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0.230</w:t>
            </w:r>
          </w:p>
        </w:tc>
        <w:tc>
          <w:tcPr>
            <w:tcW w:w="1803" w:type="dxa"/>
            <w:tcBorders>
              <w:top w:val="nil"/>
              <w:left w:val="nil"/>
              <w:bottom w:val="single" w:sz="12" w:space="0" w:color="auto"/>
              <w:right w:val="nil"/>
            </w:tcBorders>
            <w:shd w:val="clear" w:color="auto" w:fill="auto"/>
            <w:noWrap/>
            <w:vAlign w:val="bottom"/>
            <w:hideMark/>
          </w:tcPr>
          <w:p w:rsidR="00D60232" w:rsidRPr="00E42D3C" w:rsidRDefault="00D60232" w:rsidP="004A756C">
            <w:pPr>
              <w:jc w:val="center"/>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0.355</w:t>
            </w:r>
          </w:p>
        </w:tc>
        <w:tc>
          <w:tcPr>
            <w:tcW w:w="2595" w:type="dxa"/>
            <w:tcBorders>
              <w:top w:val="nil"/>
              <w:left w:val="nil"/>
              <w:bottom w:val="single" w:sz="12" w:space="0" w:color="auto"/>
              <w:right w:val="nil"/>
            </w:tcBorders>
            <w:shd w:val="clear" w:color="auto" w:fill="auto"/>
            <w:noWrap/>
            <w:vAlign w:val="bottom"/>
            <w:hideMark/>
          </w:tcPr>
          <w:p w:rsidR="00D60232" w:rsidRPr="00E42D3C" w:rsidRDefault="00D60232" w:rsidP="004A756C">
            <w:pPr>
              <w:jc w:val="center"/>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-0.280</w:t>
            </w:r>
          </w:p>
        </w:tc>
        <w:tc>
          <w:tcPr>
            <w:tcW w:w="2275" w:type="dxa"/>
            <w:tcBorders>
              <w:top w:val="nil"/>
              <w:left w:val="nil"/>
              <w:bottom w:val="single" w:sz="12" w:space="0" w:color="auto"/>
              <w:right w:val="nil"/>
            </w:tcBorders>
            <w:shd w:val="clear" w:color="auto" w:fill="auto"/>
            <w:noWrap/>
            <w:vAlign w:val="bottom"/>
            <w:hideMark/>
          </w:tcPr>
          <w:p w:rsidR="00D60232" w:rsidRPr="00E42D3C" w:rsidRDefault="00D60232" w:rsidP="004A756C">
            <w:pPr>
              <w:jc w:val="center"/>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0.034</w:t>
            </w:r>
          </w:p>
        </w:tc>
        <w:tc>
          <w:tcPr>
            <w:tcW w:w="2184" w:type="dxa"/>
            <w:tcBorders>
              <w:top w:val="nil"/>
              <w:left w:val="nil"/>
              <w:bottom w:val="single" w:sz="12" w:space="0" w:color="auto"/>
              <w:right w:val="nil"/>
            </w:tcBorders>
            <w:shd w:val="clear" w:color="auto" w:fill="auto"/>
            <w:noWrap/>
            <w:vAlign w:val="bottom"/>
            <w:hideMark/>
          </w:tcPr>
          <w:p w:rsidR="00D60232" w:rsidRPr="00E42D3C" w:rsidRDefault="00D60232" w:rsidP="004A756C">
            <w:pPr>
              <w:jc w:val="center"/>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-0.018</w:t>
            </w:r>
          </w:p>
        </w:tc>
      </w:tr>
    </w:tbl>
    <w:p w:rsidR="00D60232" w:rsidRDefault="00D60232" w:rsidP="00D60232">
      <w:r>
        <w:rPr>
          <w:b/>
        </w:rPr>
        <w:t xml:space="preserve">Supplementary Table 7. </w:t>
      </w:r>
      <w:r>
        <w:t xml:space="preserve">Coefficients and Intercepts from Models 1-6 for BDI-II score at 3-4 month outcome. </w:t>
      </w:r>
    </w:p>
    <w:p w:rsidR="00D60232" w:rsidRDefault="00D60232" w:rsidP="00D60232">
      <w:pPr>
        <w:sectPr w:rsidR="00D60232" w:rsidSect="004A756C">
          <w:pgSz w:w="16838" w:h="11906" w:orient="landscape"/>
          <w:pgMar w:top="1440" w:right="1440" w:bottom="1440" w:left="1440" w:header="709" w:footer="709" w:gutter="0"/>
          <w:cols w:space="708"/>
          <w:docGrid w:linePitch="360"/>
        </w:sectPr>
      </w:pPr>
    </w:p>
    <w:p w:rsidR="00D60232" w:rsidRDefault="00D60232" w:rsidP="00D60232">
      <w:r>
        <w:rPr>
          <w:b/>
        </w:rPr>
        <w:lastRenderedPageBreak/>
        <w:t xml:space="preserve">Supplementary Table 8. </w:t>
      </w:r>
      <w:r>
        <w:t xml:space="preserve">Coefficient weights and intercepts from individual item models for BDI-II score at 3-4 months. </w:t>
      </w:r>
    </w:p>
    <w:p w:rsidR="00D60232" w:rsidRPr="00E42D3C" w:rsidRDefault="00D60232" w:rsidP="00D60232">
      <w:pPr>
        <w:rPr>
          <w:rFonts w:ascii="Times New Roman" w:hAnsi="Times New Roman"/>
          <w:sz w:val="16"/>
          <w:szCs w:val="16"/>
        </w:rPr>
      </w:pPr>
    </w:p>
    <w:tbl>
      <w:tblPr>
        <w:tblW w:w="5341" w:type="dxa"/>
        <w:tblLook w:val="04A0" w:firstRow="1" w:lastRow="0" w:firstColumn="1" w:lastColumn="0" w:noHBand="0" w:noVBand="1"/>
      </w:tblPr>
      <w:tblGrid>
        <w:gridCol w:w="2080"/>
        <w:gridCol w:w="1644"/>
        <w:gridCol w:w="1617"/>
      </w:tblGrid>
      <w:tr w:rsidR="00D60232" w:rsidRPr="00E42D3C" w:rsidTr="004A756C">
        <w:trPr>
          <w:trHeight w:val="288"/>
        </w:trPr>
        <w:tc>
          <w:tcPr>
            <w:tcW w:w="2080" w:type="dxa"/>
            <w:tcBorders>
              <w:top w:val="single" w:sz="12" w:space="0" w:color="auto"/>
              <w:left w:val="nil"/>
              <w:bottom w:val="single" w:sz="12" w:space="0" w:color="auto"/>
              <w:right w:val="nil"/>
            </w:tcBorders>
            <w:shd w:val="clear" w:color="auto" w:fill="auto"/>
            <w:noWrap/>
            <w:vAlign w:val="bottom"/>
            <w:hideMark/>
          </w:tcPr>
          <w:p w:rsidR="00D60232" w:rsidRPr="00E42D3C" w:rsidRDefault="00D60232" w:rsidP="004A756C">
            <w:pPr>
              <w:rPr>
                <w:rFonts w:ascii="Times New Roman" w:hAnsi="Times New Roman"/>
                <w:b/>
                <w:bCs/>
                <w:color w:val="000000"/>
                <w:sz w:val="16"/>
                <w:szCs w:val="16"/>
                <w:lang w:val="en-GB" w:eastAsia="en-GB"/>
              </w:rPr>
            </w:pPr>
            <w:r w:rsidRPr="00E42D3C">
              <w:rPr>
                <w:rFonts w:ascii="Times New Roman" w:hAnsi="Times New Roman"/>
                <w:b/>
                <w:bCs/>
                <w:color w:val="000000"/>
                <w:sz w:val="16"/>
                <w:szCs w:val="16"/>
                <w:lang w:val="en-GB" w:eastAsia="en-GB"/>
              </w:rPr>
              <w:t>Item</w:t>
            </w:r>
          </w:p>
        </w:tc>
        <w:tc>
          <w:tcPr>
            <w:tcW w:w="3261" w:type="dxa"/>
            <w:gridSpan w:val="2"/>
            <w:tcBorders>
              <w:top w:val="single" w:sz="12" w:space="0" w:color="auto"/>
              <w:left w:val="nil"/>
              <w:bottom w:val="single" w:sz="12" w:space="0" w:color="auto"/>
              <w:right w:val="nil"/>
            </w:tcBorders>
            <w:shd w:val="clear" w:color="auto" w:fill="auto"/>
            <w:noWrap/>
            <w:vAlign w:val="bottom"/>
            <w:hideMark/>
          </w:tcPr>
          <w:p w:rsidR="00D60232" w:rsidRPr="00E42D3C" w:rsidRDefault="00D60232" w:rsidP="004A756C">
            <w:pPr>
              <w:jc w:val="center"/>
              <w:rPr>
                <w:rFonts w:ascii="Times New Roman" w:hAnsi="Times New Roman"/>
                <w:b/>
                <w:bCs/>
                <w:color w:val="000000"/>
                <w:sz w:val="16"/>
                <w:szCs w:val="16"/>
                <w:lang w:val="en-GB" w:eastAsia="en-GB"/>
              </w:rPr>
            </w:pPr>
            <w:r w:rsidRPr="00E42D3C">
              <w:rPr>
                <w:rFonts w:ascii="Times New Roman" w:hAnsi="Times New Roman"/>
                <w:b/>
                <w:bCs/>
                <w:color w:val="000000"/>
                <w:sz w:val="16"/>
                <w:szCs w:val="16"/>
                <w:lang w:val="en-GB" w:eastAsia="en-GB"/>
              </w:rPr>
              <w:t>Model</w:t>
            </w:r>
          </w:p>
        </w:tc>
      </w:tr>
      <w:tr w:rsidR="00D60232" w:rsidRPr="00E42D3C" w:rsidTr="004A756C">
        <w:trPr>
          <w:trHeight w:val="300"/>
        </w:trPr>
        <w:tc>
          <w:tcPr>
            <w:tcW w:w="2080" w:type="dxa"/>
            <w:tcBorders>
              <w:top w:val="single" w:sz="12" w:space="0" w:color="auto"/>
              <w:left w:val="nil"/>
              <w:bottom w:val="nil"/>
              <w:right w:val="nil"/>
            </w:tcBorders>
            <w:shd w:val="clear" w:color="auto" w:fill="auto"/>
            <w:noWrap/>
            <w:vAlign w:val="bottom"/>
            <w:hideMark/>
          </w:tcPr>
          <w:p w:rsidR="00D60232" w:rsidRPr="00E42D3C" w:rsidRDefault="00D60232" w:rsidP="004A756C">
            <w:pPr>
              <w:jc w:val="center"/>
              <w:rPr>
                <w:rFonts w:ascii="Times New Roman" w:hAnsi="Times New Roman"/>
                <w:b/>
                <w:bCs/>
                <w:color w:val="000000"/>
                <w:sz w:val="16"/>
                <w:szCs w:val="16"/>
                <w:lang w:val="en-GB" w:eastAsia="en-GB"/>
              </w:rPr>
            </w:pPr>
          </w:p>
        </w:tc>
        <w:tc>
          <w:tcPr>
            <w:tcW w:w="1644" w:type="dxa"/>
            <w:tcBorders>
              <w:top w:val="single" w:sz="12" w:space="0" w:color="auto"/>
              <w:left w:val="nil"/>
              <w:bottom w:val="nil"/>
              <w:right w:val="nil"/>
            </w:tcBorders>
            <w:shd w:val="clear" w:color="auto" w:fill="auto"/>
            <w:noWrap/>
            <w:vAlign w:val="bottom"/>
            <w:hideMark/>
          </w:tcPr>
          <w:p w:rsidR="00D60232" w:rsidRPr="00E42D3C" w:rsidRDefault="00D60232" w:rsidP="004A756C">
            <w:pPr>
              <w:rPr>
                <w:rFonts w:ascii="Times New Roman" w:hAnsi="Times New Roman"/>
                <w:b/>
                <w:bCs/>
                <w:color w:val="000000"/>
                <w:sz w:val="16"/>
                <w:szCs w:val="16"/>
                <w:lang w:val="en-GB" w:eastAsia="en-GB"/>
              </w:rPr>
            </w:pPr>
            <w:r w:rsidRPr="00E42D3C">
              <w:rPr>
                <w:rFonts w:ascii="Times New Roman" w:hAnsi="Times New Roman"/>
                <w:b/>
                <w:bCs/>
                <w:color w:val="000000"/>
                <w:sz w:val="16"/>
                <w:szCs w:val="16"/>
                <w:lang w:val="en-GB" w:eastAsia="en-GB"/>
              </w:rPr>
              <w:t>Model 7 (ENR)</w:t>
            </w:r>
          </w:p>
        </w:tc>
        <w:tc>
          <w:tcPr>
            <w:tcW w:w="1613" w:type="dxa"/>
            <w:tcBorders>
              <w:top w:val="single" w:sz="12" w:space="0" w:color="auto"/>
              <w:left w:val="nil"/>
              <w:bottom w:val="nil"/>
              <w:right w:val="nil"/>
            </w:tcBorders>
            <w:shd w:val="clear" w:color="auto" w:fill="auto"/>
            <w:noWrap/>
            <w:vAlign w:val="bottom"/>
            <w:hideMark/>
          </w:tcPr>
          <w:p w:rsidR="00D60232" w:rsidRPr="00E42D3C" w:rsidRDefault="00D60232" w:rsidP="004A756C">
            <w:pPr>
              <w:rPr>
                <w:rFonts w:ascii="Times New Roman" w:hAnsi="Times New Roman"/>
                <w:b/>
                <w:bCs/>
                <w:color w:val="000000"/>
                <w:sz w:val="16"/>
                <w:szCs w:val="16"/>
                <w:lang w:val="en-GB" w:eastAsia="en-GB"/>
              </w:rPr>
            </w:pPr>
            <w:r w:rsidRPr="00E42D3C">
              <w:rPr>
                <w:rFonts w:ascii="Times New Roman" w:hAnsi="Times New Roman"/>
                <w:b/>
                <w:bCs/>
                <w:color w:val="000000"/>
                <w:sz w:val="16"/>
                <w:szCs w:val="16"/>
                <w:lang w:val="en-GB" w:eastAsia="en-GB"/>
              </w:rPr>
              <w:t>Model 8 (OLS)</w:t>
            </w:r>
          </w:p>
        </w:tc>
      </w:tr>
      <w:tr w:rsidR="00D60232" w:rsidRPr="00E42D3C" w:rsidTr="004A756C">
        <w:trPr>
          <w:trHeight w:val="312"/>
        </w:trPr>
        <w:tc>
          <w:tcPr>
            <w:tcW w:w="2080" w:type="dxa"/>
            <w:tcBorders>
              <w:top w:val="nil"/>
              <w:left w:val="nil"/>
              <w:bottom w:val="nil"/>
              <w:right w:val="nil"/>
            </w:tcBorders>
            <w:shd w:val="clear" w:color="auto" w:fill="auto"/>
            <w:noWrap/>
            <w:vAlign w:val="bottom"/>
            <w:hideMark/>
          </w:tcPr>
          <w:p w:rsidR="00D60232" w:rsidRPr="00E42D3C" w:rsidRDefault="00D60232" w:rsidP="004A756C">
            <w:pPr>
              <w:rPr>
                <w:rFonts w:ascii="Times New Roman" w:hAnsi="Times New Roman"/>
                <w:b/>
                <w:bCs/>
                <w:color w:val="000000"/>
                <w:sz w:val="16"/>
                <w:szCs w:val="16"/>
                <w:lang w:val="en-GB" w:eastAsia="en-GB"/>
              </w:rPr>
            </w:pPr>
            <w:r w:rsidRPr="00E42D3C">
              <w:rPr>
                <w:rFonts w:ascii="Times New Roman" w:hAnsi="Times New Roman"/>
                <w:b/>
                <w:bCs/>
                <w:color w:val="000000"/>
                <w:sz w:val="16"/>
                <w:szCs w:val="16"/>
                <w:lang w:val="en-GB" w:eastAsia="en-GB"/>
              </w:rPr>
              <w:t>Intercept</w:t>
            </w:r>
          </w:p>
        </w:tc>
        <w:tc>
          <w:tcPr>
            <w:tcW w:w="1644"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16.641</w:t>
            </w:r>
          </w:p>
        </w:tc>
        <w:tc>
          <w:tcPr>
            <w:tcW w:w="1613"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6.714</w:t>
            </w:r>
          </w:p>
        </w:tc>
      </w:tr>
      <w:tr w:rsidR="00D60232" w:rsidRPr="00E42D3C" w:rsidTr="004A756C">
        <w:trPr>
          <w:trHeight w:val="300"/>
        </w:trPr>
        <w:tc>
          <w:tcPr>
            <w:tcW w:w="2080" w:type="dxa"/>
            <w:tcBorders>
              <w:top w:val="nil"/>
              <w:left w:val="nil"/>
              <w:bottom w:val="nil"/>
              <w:right w:val="nil"/>
            </w:tcBorders>
            <w:shd w:val="clear" w:color="auto" w:fill="auto"/>
            <w:noWrap/>
            <w:vAlign w:val="bottom"/>
            <w:hideMark/>
          </w:tcPr>
          <w:p w:rsidR="00D60232" w:rsidRPr="00E42D3C" w:rsidRDefault="00D60232" w:rsidP="004A756C">
            <w:pPr>
              <w:rPr>
                <w:rFonts w:ascii="Times New Roman" w:hAnsi="Times New Roman"/>
                <w:b/>
                <w:bCs/>
                <w:color w:val="000000"/>
                <w:sz w:val="16"/>
                <w:szCs w:val="16"/>
                <w:lang w:val="en-GB" w:eastAsia="en-GB"/>
              </w:rPr>
            </w:pPr>
            <w:r w:rsidRPr="00E42D3C">
              <w:rPr>
                <w:rFonts w:ascii="Times New Roman" w:hAnsi="Times New Roman"/>
                <w:b/>
                <w:bCs/>
                <w:color w:val="000000"/>
                <w:sz w:val="16"/>
                <w:szCs w:val="16"/>
                <w:lang w:val="en-GB" w:eastAsia="en-GB"/>
              </w:rPr>
              <w:t>Anxiety (cisr)</w:t>
            </w:r>
          </w:p>
        </w:tc>
        <w:tc>
          <w:tcPr>
            <w:tcW w:w="1644"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w:t>
            </w:r>
          </w:p>
        </w:tc>
        <w:tc>
          <w:tcPr>
            <w:tcW w:w="1613"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0.015</w:t>
            </w:r>
          </w:p>
        </w:tc>
      </w:tr>
      <w:tr w:rsidR="00D60232" w:rsidRPr="00E42D3C" w:rsidTr="004A756C">
        <w:trPr>
          <w:trHeight w:val="288"/>
        </w:trPr>
        <w:tc>
          <w:tcPr>
            <w:tcW w:w="2080" w:type="dxa"/>
            <w:tcBorders>
              <w:top w:val="nil"/>
              <w:left w:val="nil"/>
              <w:bottom w:val="nil"/>
              <w:right w:val="nil"/>
            </w:tcBorders>
            <w:shd w:val="clear" w:color="auto" w:fill="auto"/>
            <w:noWrap/>
            <w:vAlign w:val="bottom"/>
            <w:hideMark/>
          </w:tcPr>
          <w:p w:rsidR="00D60232" w:rsidRPr="00E42D3C" w:rsidRDefault="00D60232" w:rsidP="004A756C">
            <w:pPr>
              <w:rPr>
                <w:rFonts w:ascii="Times New Roman" w:hAnsi="Times New Roman"/>
                <w:b/>
                <w:bCs/>
                <w:color w:val="000000"/>
                <w:sz w:val="16"/>
                <w:szCs w:val="16"/>
                <w:lang w:val="en-GB" w:eastAsia="en-GB"/>
              </w:rPr>
            </w:pPr>
            <w:r w:rsidRPr="00E42D3C">
              <w:rPr>
                <w:rFonts w:ascii="Times New Roman" w:hAnsi="Times New Roman"/>
                <w:b/>
                <w:bCs/>
                <w:color w:val="000000"/>
                <w:sz w:val="16"/>
                <w:szCs w:val="16"/>
                <w:lang w:val="en-GB" w:eastAsia="en-GB"/>
              </w:rPr>
              <w:t>Compulsions (cisr)</w:t>
            </w:r>
          </w:p>
        </w:tc>
        <w:tc>
          <w:tcPr>
            <w:tcW w:w="1644"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0.228</w:t>
            </w:r>
          </w:p>
        </w:tc>
        <w:tc>
          <w:tcPr>
            <w:tcW w:w="1613"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0.203</w:t>
            </w:r>
          </w:p>
        </w:tc>
      </w:tr>
      <w:tr w:rsidR="00D60232" w:rsidRPr="00E42D3C" w:rsidTr="004A756C">
        <w:trPr>
          <w:trHeight w:val="288"/>
        </w:trPr>
        <w:tc>
          <w:tcPr>
            <w:tcW w:w="2080" w:type="dxa"/>
            <w:tcBorders>
              <w:top w:val="nil"/>
              <w:left w:val="nil"/>
              <w:bottom w:val="nil"/>
              <w:right w:val="nil"/>
            </w:tcBorders>
            <w:shd w:val="clear" w:color="auto" w:fill="auto"/>
            <w:noWrap/>
            <w:vAlign w:val="bottom"/>
            <w:hideMark/>
          </w:tcPr>
          <w:p w:rsidR="00D60232" w:rsidRPr="00E42D3C" w:rsidRDefault="00D60232" w:rsidP="004A756C">
            <w:pPr>
              <w:rPr>
                <w:rFonts w:ascii="Times New Roman" w:hAnsi="Times New Roman"/>
                <w:b/>
                <w:bCs/>
                <w:color w:val="000000"/>
                <w:sz w:val="16"/>
                <w:szCs w:val="16"/>
                <w:lang w:val="en-GB" w:eastAsia="en-GB"/>
              </w:rPr>
            </w:pPr>
            <w:r w:rsidRPr="00E42D3C">
              <w:rPr>
                <w:rFonts w:ascii="Times New Roman" w:hAnsi="Times New Roman"/>
                <w:b/>
                <w:bCs/>
                <w:color w:val="000000"/>
                <w:sz w:val="16"/>
                <w:szCs w:val="16"/>
                <w:lang w:val="en-GB" w:eastAsia="en-GB"/>
              </w:rPr>
              <w:t>Health anxiety (cisr)</w:t>
            </w:r>
          </w:p>
        </w:tc>
        <w:tc>
          <w:tcPr>
            <w:tcW w:w="1644"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0.768</w:t>
            </w:r>
          </w:p>
        </w:tc>
        <w:tc>
          <w:tcPr>
            <w:tcW w:w="1613"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0.747</w:t>
            </w:r>
          </w:p>
        </w:tc>
      </w:tr>
      <w:tr w:rsidR="00D60232" w:rsidRPr="00E42D3C" w:rsidTr="004A756C">
        <w:trPr>
          <w:trHeight w:val="288"/>
        </w:trPr>
        <w:tc>
          <w:tcPr>
            <w:tcW w:w="2080" w:type="dxa"/>
            <w:tcBorders>
              <w:top w:val="nil"/>
              <w:left w:val="nil"/>
              <w:bottom w:val="nil"/>
              <w:right w:val="nil"/>
            </w:tcBorders>
            <w:shd w:val="clear" w:color="auto" w:fill="auto"/>
            <w:noWrap/>
            <w:vAlign w:val="bottom"/>
            <w:hideMark/>
          </w:tcPr>
          <w:p w:rsidR="00D60232" w:rsidRPr="00E42D3C" w:rsidRDefault="00D60232" w:rsidP="004A756C">
            <w:pPr>
              <w:rPr>
                <w:rFonts w:ascii="Times New Roman" w:hAnsi="Times New Roman"/>
                <w:b/>
                <w:bCs/>
                <w:color w:val="000000"/>
                <w:sz w:val="16"/>
                <w:szCs w:val="16"/>
                <w:lang w:val="en-GB" w:eastAsia="en-GB"/>
              </w:rPr>
            </w:pPr>
            <w:r w:rsidRPr="00E42D3C">
              <w:rPr>
                <w:rFonts w:ascii="Times New Roman" w:hAnsi="Times New Roman"/>
                <w:b/>
                <w:bCs/>
                <w:color w:val="000000"/>
                <w:sz w:val="16"/>
                <w:szCs w:val="16"/>
                <w:lang w:val="en-GB" w:eastAsia="en-GB"/>
              </w:rPr>
              <w:t>Obsessions (cisr)</w:t>
            </w:r>
          </w:p>
        </w:tc>
        <w:tc>
          <w:tcPr>
            <w:tcW w:w="1644"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-0.077</w:t>
            </w:r>
          </w:p>
        </w:tc>
        <w:tc>
          <w:tcPr>
            <w:tcW w:w="1613"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-0.169</w:t>
            </w:r>
          </w:p>
        </w:tc>
      </w:tr>
      <w:tr w:rsidR="00D60232" w:rsidRPr="00E42D3C" w:rsidTr="004A756C">
        <w:trPr>
          <w:trHeight w:val="288"/>
        </w:trPr>
        <w:tc>
          <w:tcPr>
            <w:tcW w:w="2080" w:type="dxa"/>
            <w:tcBorders>
              <w:top w:val="nil"/>
              <w:left w:val="nil"/>
              <w:bottom w:val="nil"/>
              <w:right w:val="nil"/>
            </w:tcBorders>
            <w:shd w:val="clear" w:color="auto" w:fill="auto"/>
            <w:noWrap/>
            <w:vAlign w:val="bottom"/>
            <w:hideMark/>
          </w:tcPr>
          <w:p w:rsidR="00D60232" w:rsidRPr="00E42D3C" w:rsidRDefault="00D60232" w:rsidP="004A756C">
            <w:pPr>
              <w:rPr>
                <w:rFonts w:ascii="Times New Roman" w:hAnsi="Times New Roman"/>
                <w:b/>
                <w:bCs/>
                <w:color w:val="000000"/>
                <w:sz w:val="16"/>
                <w:szCs w:val="16"/>
                <w:lang w:val="en-GB" w:eastAsia="en-GB"/>
              </w:rPr>
            </w:pPr>
            <w:r w:rsidRPr="00E42D3C">
              <w:rPr>
                <w:rFonts w:ascii="Times New Roman" w:hAnsi="Times New Roman"/>
                <w:b/>
                <w:bCs/>
                <w:color w:val="000000"/>
                <w:sz w:val="16"/>
                <w:szCs w:val="16"/>
                <w:lang w:val="en-GB" w:eastAsia="en-GB"/>
              </w:rPr>
              <w:t>Panic (cisr)</w:t>
            </w:r>
          </w:p>
        </w:tc>
        <w:tc>
          <w:tcPr>
            <w:tcW w:w="1644"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0.330</w:t>
            </w:r>
          </w:p>
        </w:tc>
        <w:tc>
          <w:tcPr>
            <w:tcW w:w="1613"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0.273</w:t>
            </w:r>
          </w:p>
        </w:tc>
      </w:tr>
      <w:tr w:rsidR="00D60232" w:rsidRPr="00E42D3C" w:rsidTr="004A756C">
        <w:trPr>
          <w:trHeight w:val="288"/>
        </w:trPr>
        <w:tc>
          <w:tcPr>
            <w:tcW w:w="2080" w:type="dxa"/>
            <w:tcBorders>
              <w:top w:val="nil"/>
              <w:left w:val="nil"/>
              <w:bottom w:val="nil"/>
              <w:right w:val="nil"/>
            </w:tcBorders>
            <w:shd w:val="clear" w:color="auto" w:fill="auto"/>
            <w:noWrap/>
            <w:vAlign w:val="bottom"/>
            <w:hideMark/>
          </w:tcPr>
          <w:p w:rsidR="00D60232" w:rsidRPr="00E42D3C" w:rsidRDefault="00D60232" w:rsidP="004A756C">
            <w:pPr>
              <w:rPr>
                <w:rFonts w:ascii="Times New Roman" w:hAnsi="Times New Roman"/>
                <w:b/>
                <w:bCs/>
                <w:color w:val="000000"/>
                <w:sz w:val="16"/>
                <w:szCs w:val="16"/>
                <w:lang w:val="en-GB" w:eastAsia="en-GB"/>
              </w:rPr>
            </w:pPr>
            <w:r w:rsidRPr="00E42D3C">
              <w:rPr>
                <w:rFonts w:ascii="Times New Roman" w:hAnsi="Times New Roman"/>
                <w:b/>
                <w:bCs/>
                <w:color w:val="000000"/>
                <w:sz w:val="16"/>
                <w:szCs w:val="16"/>
                <w:lang w:val="en-GB" w:eastAsia="en-GB"/>
              </w:rPr>
              <w:t>Phobia (cisr)</w:t>
            </w:r>
          </w:p>
        </w:tc>
        <w:tc>
          <w:tcPr>
            <w:tcW w:w="1644"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0.604</w:t>
            </w:r>
          </w:p>
        </w:tc>
        <w:tc>
          <w:tcPr>
            <w:tcW w:w="1613"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0.559</w:t>
            </w:r>
          </w:p>
        </w:tc>
      </w:tr>
      <w:tr w:rsidR="00D60232" w:rsidRPr="00E42D3C" w:rsidTr="004A756C">
        <w:trPr>
          <w:trHeight w:val="288"/>
        </w:trPr>
        <w:tc>
          <w:tcPr>
            <w:tcW w:w="2080" w:type="dxa"/>
            <w:tcBorders>
              <w:top w:val="nil"/>
              <w:left w:val="nil"/>
              <w:bottom w:val="nil"/>
              <w:right w:val="nil"/>
            </w:tcBorders>
            <w:shd w:val="clear" w:color="auto" w:fill="auto"/>
            <w:noWrap/>
            <w:vAlign w:val="bottom"/>
            <w:hideMark/>
          </w:tcPr>
          <w:p w:rsidR="00D60232" w:rsidRPr="00E42D3C" w:rsidRDefault="00D60232" w:rsidP="004A756C">
            <w:pPr>
              <w:rPr>
                <w:rFonts w:ascii="Times New Roman" w:hAnsi="Times New Roman"/>
                <w:b/>
                <w:bCs/>
                <w:color w:val="000000"/>
                <w:sz w:val="16"/>
                <w:szCs w:val="16"/>
                <w:lang w:val="en-GB" w:eastAsia="en-GB"/>
              </w:rPr>
            </w:pPr>
            <w:r w:rsidRPr="00E42D3C">
              <w:rPr>
                <w:rFonts w:ascii="Times New Roman" w:hAnsi="Times New Roman"/>
                <w:b/>
                <w:bCs/>
                <w:color w:val="000000"/>
                <w:sz w:val="16"/>
                <w:szCs w:val="16"/>
                <w:lang w:val="en-GB" w:eastAsia="en-GB"/>
              </w:rPr>
              <w:t>Somatic (cisr)</w:t>
            </w:r>
          </w:p>
        </w:tc>
        <w:tc>
          <w:tcPr>
            <w:tcW w:w="1644"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0.582</w:t>
            </w:r>
          </w:p>
        </w:tc>
        <w:tc>
          <w:tcPr>
            <w:tcW w:w="1613"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0.501</w:t>
            </w:r>
          </w:p>
        </w:tc>
      </w:tr>
      <w:tr w:rsidR="00D60232" w:rsidRPr="00E42D3C" w:rsidTr="004A756C">
        <w:trPr>
          <w:trHeight w:val="288"/>
        </w:trPr>
        <w:tc>
          <w:tcPr>
            <w:tcW w:w="2080" w:type="dxa"/>
            <w:tcBorders>
              <w:top w:val="nil"/>
              <w:left w:val="nil"/>
              <w:bottom w:val="nil"/>
              <w:right w:val="nil"/>
            </w:tcBorders>
            <w:shd w:val="clear" w:color="auto" w:fill="auto"/>
            <w:noWrap/>
            <w:vAlign w:val="bottom"/>
            <w:hideMark/>
          </w:tcPr>
          <w:p w:rsidR="00D60232" w:rsidRPr="00E42D3C" w:rsidRDefault="00D60232" w:rsidP="004A756C">
            <w:pPr>
              <w:rPr>
                <w:rFonts w:ascii="Times New Roman" w:hAnsi="Times New Roman"/>
                <w:b/>
                <w:bCs/>
                <w:color w:val="000000"/>
                <w:sz w:val="16"/>
                <w:szCs w:val="16"/>
                <w:lang w:val="en-GB" w:eastAsia="en-GB"/>
              </w:rPr>
            </w:pPr>
            <w:r w:rsidRPr="00E42D3C">
              <w:rPr>
                <w:rFonts w:ascii="Times New Roman" w:hAnsi="Times New Roman"/>
                <w:b/>
                <w:bCs/>
                <w:color w:val="000000"/>
                <w:sz w:val="16"/>
                <w:szCs w:val="16"/>
                <w:lang w:val="en-GB" w:eastAsia="en-GB"/>
              </w:rPr>
              <w:t>Worry (cisr)</w:t>
            </w:r>
          </w:p>
        </w:tc>
        <w:tc>
          <w:tcPr>
            <w:tcW w:w="1644"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w:t>
            </w:r>
          </w:p>
        </w:tc>
        <w:tc>
          <w:tcPr>
            <w:tcW w:w="1613"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-0.061</w:t>
            </w:r>
          </w:p>
        </w:tc>
      </w:tr>
      <w:tr w:rsidR="00D60232" w:rsidRPr="00E42D3C" w:rsidTr="004A756C">
        <w:trPr>
          <w:trHeight w:val="288"/>
        </w:trPr>
        <w:tc>
          <w:tcPr>
            <w:tcW w:w="2080" w:type="dxa"/>
            <w:tcBorders>
              <w:top w:val="nil"/>
              <w:left w:val="nil"/>
              <w:bottom w:val="nil"/>
              <w:right w:val="nil"/>
            </w:tcBorders>
            <w:shd w:val="clear" w:color="auto" w:fill="auto"/>
            <w:noWrap/>
            <w:vAlign w:val="bottom"/>
            <w:hideMark/>
          </w:tcPr>
          <w:p w:rsidR="00D60232" w:rsidRPr="00E42D3C" w:rsidRDefault="00D60232" w:rsidP="004A756C">
            <w:pPr>
              <w:rPr>
                <w:rFonts w:ascii="Times New Roman" w:hAnsi="Times New Roman"/>
                <w:b/>
                <w:bCs/>
                <w:color w:val="000000"/>
                <w:sz w:val="16"/>
                <w:szCs w:val="16"/>
                <w:lang w:val="en-GB" w:eastAsia="en-GB"/>
              </w:rPr>
            </w:pPr>
            <w:r w:rsidRPr="00E42D3C">
              <w:rPr>
                <w:rFonts w:ascii="Times New Roman" w:hAnsi="Times New Roman"/>
                <w:b/>
                <w:bCs/>
                <w:color w:val="000000"/>
                <w:sz w:val="16"/>
                <w:szCs w:val="16"/>
                <w:lang w:val="en-GB" w:eastAsia="en-GB"/>
              </w:rPr>
              <w:t>Sadness (BDI)</w:t>
            </w:r>
          </w:p>
        </w:tc>
        <w:tc>
          <w:tcPr>
            <w:tcW w:w="1644"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-0.033</w:t>
            </w:r>
          </w:p>
        </w:tc>
        <w:tc>
          <w:tcPr>
            <w:tcW w:w="1613"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-0.585</w:t>
            </w:r>
          </w:p>
        </w:tc>
      </w:tr>
      <w:tr w:rsidR="00D60232" w:rsidRPr="00E42D3C" w:rsidTr="004A756C">
        <w:trPr>
          <w:trHeight w:val="288"/>
        </w:trPr>
        <w:tc>
          <w:tcPr>
            <w:tcW w:w="2080" w:type="dxa"/>
            <w:tcBorders>
              <w:top w:val="nil"/>
              <w:left w:val="nil"/>
              <w:bottom w:val="nil"/>
              <w:right w:val="nil"/>
            </w:tcBorders>
            <w:shd w:val="clear" w:color="auto" w:fill="auto"/>
            <w:noWrap/>
            <w:vAlign w:val="bottom"/>
            <w:hideMark/>
          </w:tcPr>
          <w:p w:rsidR="00D60232" w:rsidRPr="00E42D3C" w:rsidRDefault="00D60232" w:rsidP="004A756C">
            <w:pPr>
              <w:rPr>
                <w:rFonts w:ascii="Times New Roman" w:hAnsi="Times New Roman"/>
                <w:b/>
                <w:bCs/>
                <w:color w:val="000000"/>
                <w:sz w:val="16"/>
                <w:szCs w:val="16"/>
                <w:lang w:val="en-GB" w:eastAsia="en-GB"/>
              </w:rPr>
            </w:pPr>
            <w:r w:rsidRPr="00E42D3C">
              <w:rPr>
                <w:rFonts w:ascii="Times New Roman" w:hAnsi="Times New Roman"/>
                <w:b/>
                <w:bCs/>
                <w:color w:val="000000"/>
                <w:sz w:val="16"/>
                <w:szCs w:val="16"/>
                <w:lang w:val="en-GB" w:eastAsia="en-GB"/>
              </w:rPr>
              <w:t>Pessimism (BDI)</w:t>
            </w:r>
          </w:p>
        </w:tc>
        <w:tc>
          <w:tcPr>
            <w:tcW w:w="1644"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0.439</w:t>
            </w:r>
          </w:p>
        </w:tc>
        <w:tc>
          <w:tcPr>
            <w:tcW w:w="1613"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0.539</w:t>
            </w:r>
          </w:p>
        </w:tc>
      </w:tr>
      <w:tr w:rsidR="00D60232" w:rsidRPr="00E42D3C" w:rsidTr="004A756C">
        <w:trPr>
          <w:trHeight w:val="288"/>
        </w:trPr>
        <w:tc>
          <w:tcPr>
            <w:tcW w:w="2080" w:type="dxa"/>
            <w:tcBorders>
              <w:top w:val="nil"/>
              <w:left w:val="nil"/>
              <w:bottom w:val="nil"/>
              <w:right w:val="nil"/>
            </w:tcBorders>
            <w:shd w:val="clear" w:color="auto" w:fill="auto"/>
            <w:noWrap/>
            <w:vAlign w:val="bottom"/>
            <w:hideMark/>
          </w:tcPr>
          <w:p w:rsidR="00D60232" w:rsidRPr="00E42D3C" w:rsidRDefault="00D60232" w:rsidP="004A756C">
            <w:pPr>
              <w:rPr>
                <w:rFonts w:ascii="Times New Roman" w:hAnsi="Times New Roman"/>
                <w:b/>
                <w:bCs/>
                <w:color w:val="000000"/>
                <w:sz w:val="16"/>
                <w:szCs w:val="16"/>
                <w:lang w:val="en-GB" w:eastAsia="en-GB"/>
              </w:rPr>
            </w:pPr>
            <w:r w:rsidRPr="00E42D3C">
              <w:rPr>
                <w:rFonts w:ascii="Times New Roman" w:hAnsi="Times New Roman"/>
                <w:b/>
                <w:bCs/>
                <w:color w:val="000000"/>
                <w:sz w:val="16"/>
                <w:szCs w:val="16"/>
                <w:lang w:val="en-GB" w:eastAsia="en-GB"/>
              </w:rPr>
              <w:t>Failure (BDI)</w:t>
            </w:r>
          </w:p>
        </w:tc>
        <w:tc>
          <w:tcPr>
            <w:tcW w:w="1644"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0.412</w:t>
            </w:r>
          </w:p>
        </w:tc>
        <w:tc>
          <w:tcPr>
            <w:tcW w:w="1613"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0.479</w:t>
            </w:r>
          </w:p>
        </w:tc>
      </w:tr>
      <w:tr w:rsidR="00D60232" w:rsidRPr="00E42D3C" w:rsidTr="004A756C">
        <w:trPr>
          <w:trHeight w:val="288"/>
        </w:trPr>
        <w:tc>
          <w:tcPr>
            <w:tcW w:w="2080" w:type="dxa"/>
            <w:tcBorders>
              <w:top w:val="nil"/>
              <w:left w:val="nil"/>
              <w:bottom w:val="nil"/>
              <w:right w:val="nil"/>
            </w:tcBorders>
            <w:shd w:val="clear" w:color="auto" w:fill="auto"/>
            <w:noWrap/>
            <w:vAlign w:val="bottom"/>
            <w:hideMark/>
          </w:tcPr>
          <w:p w:rsidR="00D60232" w:rsidRPr="00E42D3C" w:rsidRDefault="00D60232" w:rsidP="004A756C">
            <w:pPr>
              <w:rPr>
                <w:rFonts w:ascii="Times New Roman" w:hAnsi="Times New Roman"/>
                <w:b/>
                <w:bCs/>
                <w:color w:val="000000"/>
                <w:sz w:val="16"/>
                <w:szCs w:val="16"/>
                <w:lang w:val="en-GB" w:eastAsia="en-GB"/>
              </w:rPr>
            </w:pPr>
            <w:r w:rsidRPr="00E42D3C">
              <w:rPr>
                <w:rFonts w:ascii="Times New Roman" w:hAnsi="Times New Roman"/>
                <w:b/>
                <w:bCs/>
                <w:color w:val="000000"/>
                <w:sz w:val="16"/>
                <w:szCs w:val="16"/>
                <w:lang w:val="en-GB" w:eastAsia="en-GB"/>
              </w:rPr>
              <w:t>Loss of pleasure (BDI)</w:t>
            </w:r>
          </w:p>
        </w:tc>
        <w:tc>
          <w:tcPr>
            <w:tcW w:w="1644"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0.539</w:t>
            </w:r>
          </w:p>
        </w:tc>
        <w:tc>
          <w:tcPr>
            <w:tcW w:w="1613"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0.856</w:t>
            </w:r>
          </w:p>
        </w:tc>
      </w:tr>
      <w:tr w:rsidR="00D60232" w:rsidRPr="00E42D3C" w:rsidTr="004A756C">
        <w:trPr>
          <w:trHeight w:val="288"/>
        </w:trPr>
        <w:tc>
          <w:tcPr>
            <w:tcW w:w="2080" w:type="dxa"/>
            <w:tcBorders>
              <w:top w:val="nil"/>
              <w:left w:val="nil"/>
              <w:bottom w:val="nil"/>
              <w:right w:val="nil"/>
            </w:tcBorders>
            <w:shd w:val="clear" w:color="auto" w:fill="auto"/>
            <w:noWrap/>
            <w:vAlign w:val="bottom"/>
            <w:hideMark/>
          </w:tcPr>
          <w:p w:rsidR="00D60232" w:rsidRPr="00E42D3C" w:rsidRDefault="00D60232" w:rsidP="004A756C">
            <w:pPr>
              <w:rPr>
                <w:rFonts w:ascii="Times New Roman" w:hAnsi="Times New Roman"/>
                <w:b/>
                <w:bCs/>
                <w:color w:val="000000"/>
                <w:sz w:val="16"/>
                <w:szCs w:val="16"/>
                <w:lang w:val="en-GB" w:eastAsia="en-GB"/>
              </w:rPr>
            </w:pPr>
            <w:r w:rsidRPr="00E42D3C">
              <w:rPr>
                <w:rFonts w:ascii="Times New Roman" w:hAnsi="Times New Roman"/>
                <w:b/>
                <w:bCs/>
                <w:color w:val="000000"/>
                <w:sz w:val="16"/>
                <w:szCs w:val="16"/>
                <w:lang w:val="en-GB" w:eastAsia="en-GB"/>
              </w:rPr>
              <w:t>Guilt (BDI)</w:t>
            </w:r>
          </w:p>
        </w:tc>
        <w:tc>
          <w:tcPr>
            <w:tcW w:w="1644"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0.555</w:t>
            </w:r>
          </w:p>
        </w:tc>
        <w:tc>
          <w:tcPr>
            <w:tcW w:w="1613"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0.823</w:t>
            </w:r>
          </w:p>
        </w:tc>
      </w:tr>
      <w:tr w:rsidR="00D60232" w:rsidRPr="00E42D3C" w:rsidTr="004A756C">
        <w:trPr>
          <w:trHeight w:val="288"/>
        </w:trPr>
        <w:tc>
          <w:tcPr>
            <w:tcW w:w="2080" w:type="dxa"/>
            <w:tcBorders>
              <w:top w:val="nil"/>
              <w:left w:val="nil"/>
              <w:bottom w:val="nil"/>
              <w:right w:val="nil"/>
            </w:tcBorders>
            <w:shd w:val="clear" w:color="auto" w:fill="auto"/>
            <w:noWrap/>
            <w:vAlign w:val="bottom"/>
            <w:hideMark/>
          </w:tcPr>
          <w:p w:rsidR="00D60232" w:rsidRPr="00E42D3C" w:rsidRDefault="00D60232" w:rsidP="004A756C">
            <w:pPr>
              <w:rPr>
                <w:rFonts w:ascii="Times New Roman" w:hAnsi="Times New Roman"/>
                <w:b/>
                <w:bCs/>
                <w:color w:val="000000"/>
                <w:sz w:val="16"/>
                <w:szCs w:val="16"/>
                <w:lang w:val="en-GB" w:eastAsia="en-GB"/>
              </w:rPr>
            </w:pPr>
            <w:r w:rsidRPr="00E42D3C">
              <w:rPr>
                <w:rFonts w:ascii="Times New Roman" w:hAnsi="Times New Roman"/>
                <w:b/>
                <w:bCs/>
                <w:color w:val="000000"/>
                <w:sz w:val="16"/>
                <w:szCs w:val="16"/>
                <w:lang w:val="en-GB" w:eastAsia="en-GB"/>
              </w:rPr>
              <w:t>Punishment (BDI)</w:t>
            </w:r>
          </w:p>
        </w:tc>
        <w:tc>
          <w:tcPr>
            <w:tcW w:w="1644"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0.108</w:t>
            </w:r>
          </w:p>
        </w:tc>
        <w:tc>
          <w:tcPr>
            <w:tcW w:w="1613"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0.071</w:t>
            </w:r>
          </w:p>
        </w:tc>
      </w:tr>
      <w:tr w:rsidR="00D60232" w:rsidRPr="00E42D3C" w:rsidTr="004A756C">
        <w:trPr>
          <w:trHeight w:val="288"/>
        </w:trPr>
        <w:tc>
          <w:tcPr>
            <w:tcW w:w="2080" w:type="dxa"/>
            <w:tcBorders>
              <w:top w:val="nil"/>
              <w:left w:val="nil"/>
              <w:bottom w:val="nil"/>
              <w:right w:val="nil"/>
            </w:tcBorders>
            <w:shd w:val="clear" w:color="auto" w:fill="auto"/>
            <w:noWrap/>
            <w:vAlign w:val="bottom"/>
            <w:hideMark/>
          </w:tcPr>
          <w:p w:rsidR="00D60232" w:rsidRPr="00E42D3C" w:rsidRDefault="00D60232" w:rsidP="004A756C">
            <w:pPr>
              <w:rPr>
                <w:rFonts w:ascii="Times New Roman" w:hAnsi="Times New Roman"/>
                <w:b/>
                <w:bCs/>
                <w:color w:val="000000"/>
                <w:sz w:val="16"/>
                <w:szCs w:val="16"/>
                <w:lang w:val="en-GB" w:eastAsia="en-GB"/>
              </w:rPr>
            </w:pPr>
            <w:r w:rsidRPr="00E42D3C">
              <w:rPr>
                <w:rFonts w:ascii="Times New Roman" w:hAnsi="Times New Roman"/>
                <w:b/>
                <w:bCs/>
                <w:color w:val="000000"/>
                <w:sz w:val="16"/>
                <w:szCs w:val="16"/>
                <w:lang w:val="en-GB" w:eastAsia="en-GB"/>
              </w:rPr>
              <w:t>Self dislike (BDI)</w:t>
            </w:r>
          </w:p>
        </w:tc>
        <w:tc>
          <w:tcPr>
            <w:tcW w:w="1644"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0.437</w:t>
            </w:r>
          </w:p>
        </w:tc>
        <w:tc>
          <w:tcPr>
            <w:tcW w:w="1613"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0.569</w:t>
            </w:r>
          </w:p>
        </w:tc>
      </w:tr>
      <w:tr w:rsidR="00D60232" w:rsidRPr="00E42D3C" w:rsidTr="004A756C">
        <w:trPr>
          <w:trHeight w:val="288"/>
        </w:trPr>
        <w:tc>
          <w:tcPr>
            <w:tcW w:w="2080" w:type="dxa"/>
            <w:tcBorders>
              <w:top w:val="nil"/>
              <w:left w:val="nil"/>
              <w:bottom w:val="nil"/>
              <w:right w:val="nil"/>
            </w:tcBorders>
            <w:shd w:val="clear" w:color="auto" w:fill="auto"/>
            <w:noWrap/>
            <w:vAlign w:val="bottom"/>
            <w:hideMark/>
          </w:tcPr>
          <w:p w:rsidR="00D60232" w:rsidRPr="00E42D3C" w:rsidRDefault="00D60232" w:rsidP="004A756C">
            <w:pPr>
              <w:rPr>
                <w:rFonts w:ascii="Times New Roman" w:hAnsi="Times New Roman"/>
                <w:b/>
                <w:bCs/>
                <w:color w:val="000000"/>
                <w:sz w:val="16"/>
                <w:szCs w:val="16"/>
                <w:lang w:val="en-GB" w:eastAsia="en-GB"/>
              </w:rPr>
            </w:pPr>
            <w:r w:rsidRPr="00E42D3C">
              <w:rPr>
                <w:rFonts w:ascii="Times New Roman" w:hAnsi="Times New Roman"/>
                <w:b/>
                <w:bCs/>
                <w:color w:val="000000"/>
                <w:sz w:val="16"/>
                <w:szCs w:val="16"/>
                <w:lang w:val="en-GB" w:eastAsia="en-GB"/>
              </w:rPr>
              <w:t>Self criti</w:t>
            </w:r>
            <w:r>
              <w:rPr>
                <w:rFonts w:ascii="Times New Roman" w:hAnsi="Times New Roman"/>
                <w:b/>
                <w:bCs/>
                <w:color w:val="000000"/>
                <w:sz w:val="16"/>
                <w:szCs w:val="16"/>
                <w:lang w:val="en-GB" w:eastAsia="en-GB"/>
              </w:rPr>
              <w:t>ci</w:t>
            </w:r>
            <w:r w:rsidRPr="00E42D3C">
              <w:rPr>
                <w:rFonts w:ascii="Times New Roman" w:hAnsi="Times New Roman"/>
                <w:b/>
                <w:bCs/>
                <w:color w:val="000000"/>
                <w:sz w:val="16"/>
                <w:szCs w:val="16"/>
                <w:lang w:val="en-GB" w:eastAsia="en-GB"/>
              </w:rPr>
              <w:t>sm (BDI)</w:t>
            </w:r>
          </w:p>
        </w:tc>
        <w:tc>
          <w:tcPr>
            <w:tcW w:w="1644"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0.086</w:t>
            </w:r>
          </w:p>
        </w:tc>
        <w:tc>
          <w:tcPr>
            <w:tcW w:w="1613"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0.018</w:t>
            </w:r>
          </w:p>
        </w:tc>
      </w:tr>
      <w:tr w:rsidR="00D60232" w:rsidRPr="00E42D3C" w:rsidTr="004A756C">
        <w:trPr>
          <w:trHeight w:val="288"/>
        </w:trPr>
        <w:tc>
          <w:tcPr>
            <w:tcW w:w="2080" w:type="dxa"/>
            <w:tcBorders>
              <w:top w:val="nil"/>
              <w:left w:val="nil"/>
              <w:bottom w:val="nil"/>
              <w:right w:val="nil"/>
            </w:tcBorders>
            <w:shd w:val="clear" w:color="auto" w:fill="auto"/>
            <w:noWrap/>
            <w:vAlign w:val="bottom"/>
            <w:hideMark/>
          </w:tcPr>
          <w:p w:rsidR="00D60232" w:rsidRPr="00E42D3C" w:rsidRDefault="00D60232" w:rsidP="004A756C">
            <w:pPr>
              <w:rPr>
                <w:rFonts w:ascii="Times New Roman" w:hAnsi="Times New Roman"/>
                <w:b/>
                <w:bCs/>
                <w:color w:val="000000"/>
                <w:sz w:val="16"/>
                <w:szCs w:val="16"/>
                <w:lang w:val="en-GB" w:eastAsia="en-GB"/>
              </w:rPr>
            </w:pPr>
            <w:r w:rsidRPr="00E42D3C">
              <w:rPr>
                <w:rFonts w:ascii="Times New Roman" w:hAnsi="Times New Roman"/>
                <w:b/>
                <w:bCs/>
                <w:color w:val="000000"/>
                <w:sz w:val="16"/>
                <w:szCs w:val="16"/>
                <w:lang w:val="en-GB" w:eastAsia="en-GB"/>
              </w:rPr>
              <w:t>Suicidal thoughts (BDI)</w:t>
            </w:r>
          </w:p>
        </w:tc>
        <w:tc>
          <w:tcPr>
            <w:tcW w:w="1644"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0.944</w:t>
            </w:r>
          </w:p>
        </w:tc>
        <w:tc>
          <w:tcPr>
            <w:tcW w:w="1613"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1.933</w:t>
            </w:r>
          </w:p>
        </w:tc>
      </w:tr>
      <w:tr w:rsidR="00D60232" w:rsidRPr="00E42D3C" w:rsidTr="004A756C">
        <w:trPr>
          <w:trHeight w:val="288"/>
        </w:trPr>
        <w:tc>
          <w:tcPr>
            <w:tcW w:w="2080" w:type="dxa"/>
            <w:tcBorders>
              <w:top w:val="nil"/>
              <w:left w:val="nil"/>
              <w:bottom w:val="nil"/>
              <w:right w:val="nil"/>
            </w:tcBorders>
            <w:shd w:val="clear" w:color="auto" w:fill="auto"/>
            <w:noWrap/>
            <w:vAlign w:val="bottom"/>
            <w:hideMark/>
          </w:tcPr>
          <w:p w:rsidR="00D60232" w:rsidRPr="00E42D3C" w:rsidRDefault="00D60232" w:rsidP="004A756C">
            <w:pPr>
              <w:rPr>
                <w:rFonts w:ascii="Times New Roman" w:hAnsi="Times New Roman"/>
                <w:b/>
                <w:bCs/>
                <w:color w:val="000000"/>
                <w:sz w:val="16"/>
                <w:szCs w:val="16"/>
                <w:lang w:val="en-GB" w:eastAsia="en-GB"/>
              </w:rPr>
            </w:pPr>
            <w:r w:rsidRPr="00E42D3C">
              <w:rPr>
                <w:rFonts w:ascii="Times New Roman" w:hAnsi="Times New Roman"/>
                <w:b/>
                <w:bCs/>
                <w:color w:val="000000"/>
                <w:sz w:val="16"/>
                <w:szCs w:val="16"/>
                <w:lang w:val="en-GB" w:eastAsia="en-GB"/>
              </w:rPr>
              <w:t>Crying (BDI)</w:t>
            </w:r>
          </w:p>
        </w:tc>
        <w:tc>
          <w:tcPr>
            <w:tcW w:w="1644"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0.383</w:t>
            </w:r>
          </w:p>
        </w:tc>
        <w:tc>
          <w:tcPr>
            <w:tcW w:w="1613"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0.481</w:t>
            </w:r>
          </w:p>
        </w:tc>
      </w:tr>
      <w:tr w:rsidR="00D60232" w:rsidRPr="00E42D3C" w:rsidTr="004A756C">
        <w:trPr>
          <w:trHeight w:val="288"/>
        </w:trPr>
        <w:tc>
          <w:tcPr>
            <w:tcW w:w="2080" w:type="dxa"/>
            <w:tcBorders>
              <w:top w:val="nil"/>
              <w:left w:val="nil"/>
              <w:bottom w:val="nil"/>
              <w:right w:val="nil"/>
            </w:tcBorders>
            <w:shd w:val="clear" w:color="auto" w:fill="auto"/>
            <w:noWrap/>
            <w:vAlign w:val="bottom"/>
            <w:hideMark/>
          </w:tcPr>
          <w:p w:rsidR="00D60232" w:rsidRPr="00E42D3C" w:rsidRDefault="00D60232" w:rsidP="004A756C">
            <w:pPr>
              <w:rPr>
                <w:rFonts w:ascii="Times New Roman" w:hAnsi="Times New Roman"/>
                <w:b/>
                <w:bCs/>
                <w:color w:val="000000"/>
                <w:sz w:val="16"/>
                <w:szCs w:val="16"/>
                <w:lang w:val="en-GB" w:eastAsia="en-GB"/>
              </w:rPr>
            </w:pPr>
            <w:r w:rsidRPr="00E42D3C">
              <w:rPr>
                <w:rFonts w:ascii="Times New Roman" w:hAnsi="Times New Roman"/>
                <w:b/>
                <w:bCs/>
                <w:color w:val="000000"/>
                <w:sz w:val="16"/>
                <w:szCs w:val="16"/>
                <w:lang w:val="en-GB" w:eastAsia="en-GB"/>
              </w:rPr>
              <w:t>Agitation (BDI)</w:t>
            </w:r>
          </w:p>
        </w:tc>
        <w:tc>
          <w:tcPr>
            <w:tcW w:w="1644"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0.273</w:t>
            </w:r>
          </w:p>
        </w:tc>
        <w:tc>
          <w:tcPr>
            <w:tcW w:w="1613"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0.582</w:t>
            </w:r>
          </w:p>
        </w:tc>
      </w:tr>
      <w:tr w:rsidR="00D60232" w:rsidRPr="00E42D3C" w:rsidTr="004A756C">
        <w:trPr>
          <w:trHeight w:val="288"/>
        </w:trPr>
        <w:tc>
          <w:tcPr>
            <w:tcW w:w="2080" w:type="dxa"/>
            <w:tcBorders>
              <w:top w:val="nil"/>
              <w:left w:val="nil"/>
              <w:bottom w:val="nil"/>
              <w:right w:val="nil"/>
            </w:tcBorders>
            <w:shd w:val="clear" w:color="auto" w:fill="auto"/>
            <w:noWrap/>
            <w:vAlign w:val="bottom"/>
            <w:hideMark/>
          </w:tcPr>
          <w:p w:rsidR="00D60232" w:rsidRPr="00E42D3C" w:rsidRDefault="00D60232" w:rsidP="004A756C">
            <w:pPr>
              <w:rPr>
                <w:rFonts w:ascii="Times New Roman" w:hAnsi="Times New Roman"/>
                <w:b/>
                <w:bCs/>
                <w:color w:val="000000"/>
                <w:sz w:val="16"/>
                <w:szCs w:val="16"/>
                <w:lang w:val="en-GB" w:eastAsia="en-GB"/>
              </w:rPr>
            </w:pPr>
            <w:r w:rsidRPr="00E42D3C">
              <w:rPr>
                <w:rFonts w:ascii="Times New Roman" w:hAnsi="Times New Roman"/>
                <w:b/>
                <w:bCs/>
                <w:color w:val="000000"/>
                <w:sz w:val="16"/>
                <w:szCs w:val="16"/>
                <w:lang w:val="en-GB" w:eastAsia="en-GB"/>
              </w:rPr>
              <w:t>Loss of Interest (BDI)</w:t>
            </w:r>
          </w:p>
        </w:tc>
        <w:tc>
          <w:tcPr>
            <w:tcW w:w="1644"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0.208</w:t>
            </w:r>
          </w:p>
        </w:tc>
        <w:tc>
          <w:tcPr>
            <w:tcW w:w="1613"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0.189</w:t>
            </w:r>
          </w:p>
        </w:tc>
      </w:tr>
      <w:tr w:rsidR="00D60232" w:rsidRPr="00E42D3C" w:rsidTr="004A756C">
        <w:trPr>
          <w:trHeight w:val="288"/>
        </w:trPr>
        <w:tc>
          <w:tcPr>
            <w:tcW w:w="2080" w:type="dxa"/>
            <w:tcBorders>
              <w:top w:val="nil"/>
              <w:left w:val="nil"/>
              <w:bottom w:val="nil"/>
              <w:right w:val="nil"/>
            </w:tcBorders>
            <w:shd w:val="clear" w:color="auto" w:fill="auto"/>
            <w:noWrap/>
            <w:vAlign w:val="bottom"/>
            <w:hideMark/>
          </w:tcPr>
          <w:p w:rsidR="00D60232" w:rsidRPr="00E42D3C" w:rsidRDefault="00D60232" w:rsidP="004A756C">
            <w:pPr>
              <w:rPr>
                <w:rFonts w:ascii="Times New Roman" w:hAnsi="Times New Roman"/>
                <w:b/>
                <w:bCs/>
                <w:color w:val="000000"/>
                <w:sz w:val="16"/>
                <w:szCs w:val="16"/>
                <w:lang w:val="en-GB" w:eastAsia="en-GB"/>
              </w:rPr>
            </w:pPr>
            <w:r w:rsidRPr="00E42D3C">
              <w:rPr>
                <w:rFonts w:ascii="Times New Roman" w:hAnsi="Times New Roman"/>
                <w:b/>
                <w:bCs/>
                <w:color w:val="000000"/>
                <w:sz w:val="16"/>
                <w:szCs w:val="16"/>
                <w:lang w:val="en-GB" w:eastAsia="en-GB"/>
              </w:rPr>
              <w:t>Indecisiveness (BDI)</w:t>
            </w:r>
          </w:p>
        </w:tc>
        <w:tc>
          <w:tcPr>
            <w:tcW w:w="1644"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0.336</w:t>
            </w:r>
          </w:p>
        </w:tc>
        <w:tc>
          <w:tcPr>
            <w:tcW w:w="1613"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0.395</w:t>
            </w:r>
          </w:p>
        </w:tc>
      </w:tr>
      <w:tr w:rsidR="00D60232" w:rsidRPr="00E42D3C" w:rsidTr="004A756C">
        <w:trPr>
          <w:trHeight w:val="288"/>
        </w:trPr>
        <w:tc>
          <w:tcPr>
            <w:tcW w:w="2080" w:type="dxa"/>
            <w:tcBorders>
              <w:top w:val="nil"/>
              <w:left w:val="nil"/>
              <w:bottom w:val="nil"/>
              <w:right w:val="nil"/>
            </w:tcBorders>
            <w:shd w:val="clear" w:color="auto" w:fill="auto"/>
            <w:noWrap/>
            <w:vAlign w:val="bottom"/>
            <w:hideMark/>
          </w:tcPr>
          <w:p w:rsidR="00D60232" w:rsidRPr="00E42D3C" w:rsidRDefault="00D60232" w:rsidP="004A756C">
            <w:pPr>
              <w:rPr>
                <w:rFonts w:ascii="Times New Roman" w:hAnsi="Times New Roman"/>
                <w:b/>
                <w:bCs/>
                <w:color w:val="000000"/>
                <w:sz w:val="16"/>
                <w:szCs w:val="16"/>
                <w:lang w:val="en-GB" w:eastAsia="en-GB"/>
              </w:rPr>
            </w:pPr>
            <w:r w:rsidRPr="00E42D3C">
              <w:rPr>
                <w:rFonts w:ascii="Times New Roman" w:hAnsi="Times New Roman"/>
                <w:b/>
                <w:bCs/>
                <w:color w:val="000000"/>
                <w:sz w:val="16"/>
                <w:szCs w:val="16"/>
                <w:lang w:val="en-GB" w:eastAsia="en-GB"/>
              </w:rPr>
              <w:t>Worthlessness (BDI)</w:t>
            </w:r>
          </w:p>
        </w:tc>
        <w:tc>
          <w:tcPr>
            <w:tcW w:w="1644"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0.265</w:t>
            </w:r>
          </w:p>
        </w:tc>
        <w:tc>
          <w:tcPr>
            <w:tcW w:w="1613"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0.230</w:t>
            </w:r>
          </w:p>
        </w:tc>
      </w:tr>
      <w:tr w:rsidR="00D60232" w:rsidRPr="00E42D3C" w:rsidTr="004A756C">
        <w:trPr>
          <w:trHeight w:val="288"/>
        </w:trPr>
        <w:tc>
          <w:tcPr>
            <w:tcW w:w="2080" w:type="dxa"/>
            <w:tcBorders>
              <w:top w:val="nil"/>
              <w:left w:val="nil"/>
              <w:bottom w:val="nil"/>
              <w:right w:val="nil"/>
            </w:tcBorders>
            <w:shd w:val="clear" w:color="auto" w:fill="auto"/>
            <w:noWrap/>
            <w:vAlign w:val="bottom"/>
            <w:hideMark/>
          </w:tcPr>
          <w:p w:rsidR="00D60232" w:rsidRPr="00E42D3C" w:rsidRDefault="00D60232" w:rsidP="004A756C">
            <w:pPr>
              <w:rPr>
                <w:rFonts w:ascii="Times New Roman" w:hAnsi="Times New Roman"/>
                <w:b/>
                <w:bCs/>
                <w:color w:val="000000"/>
                <w:sz w:val="16"/>
                <w:szCs w:val="16"/>
                <w:lang w:val="en-GB" w:eastAsia="en-GB"/>
              </w:rPr>
            </w:pPr>
            <w:r w:rsidRPr="00E42D3C">
              <w:rPr>
                <w:rFonts w:ascii="Times New Roman" w:hAnsi="Times New Roman"/>
                <w:b/>
                <w:bCs/>
                <w:color w:val="000000"/>
                <w:sz w:val="16"/>
                <w:szCs w:val="16"/>
                <w:lang w:val="en-GB" w:eastAsia="en-GB"/>
              </w:rPr>
              <w:t>Loss of energy (BDI)</w:t>
            </w:r>
          </w:p>
        </w:tc>
        <w:tc>
          <w:tcPr>
            <w:tcW w:w="1644"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0.788</w:t>
            </w:r>
          </w:p>
        </w:tc>
        <w:tc>
          <w:tcPr>
            <w:tcW w:w="1613"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1.293</w:t>
            </w:r>
          </w:p>
        </w:tc>
      </w:tr>
      <w:tr w:rsidR="00D60232" w:rsidRPr="00E42D3C" w:rsidTr="004A756C">
        <w:trPr>
          <w:trHeight w:val="288"/>
        </w:trPr>
        <w:tc>
          <w:tcPr>
            <w:tcW w:w="2080" w:type="dxa"/>
            <w:tcBorders>
              <w:top w:val="nil"/>
              <w:left w:val="nil"/>
              <w:bottom w:val="nil"/>
              <w:right w:val="nil"/>
            </w:tcBorders>
            <w:shd w:val="clear" w:color="auto" w:fill="auto"/>
            <w:noWrap/>
            <w:vAlign w:val="bottom"/>
            <w:hideMark/>
          </w:tcPr>
          <w:p w:rsidR="00D60232" w:rsidRPr="00E42D3C" w:rsidRDefault="00D60232" w:rsidP="004A756C">
            <w:pPr>
              <w:rPr>
                <w:rFonts w:ascii="Times New Roman" w:hAnsi="Times New Roman"/>
                <w:b/>
                <w:bCs/>
                <w:color w:val="000000"/>
                <w:sz w:val="16"/>
                <w:szCs w:val="16"/>
                <w:lang w:val="en-GB" w:eastAsia="en-GB"/>
              </w:rPr>
            </w:pPr>
            <w:r w:rsidRPr="00E42D3C">
              <w:rPr>
                <w:rFonts w:ascii="Times New Roman" w:hAnsi="Times New Roman"/>
                <w:b/>
                <w:bCs/>
                <w:color w:val="000000"/>
                <w:sz w:val="16"/>
                <w:szCs w:val="16"/>
                <w:lang w:val="en-GB" w:eastAsia="en-GB"/>
              </w:rPr>
              <w:t>Sleep (BDI)</w:t>
            </w:r>
          </w:p>
        </w:tc>
        <w:tc>
          <w:tcPr>
            <w:tcW w:w="1644"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w:t>
            </w:r>
          </w:p>
        </w:tc>
        <w:tc>
          <w:tcPr>
            <w:tcW w:w="1613"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-0.096</w:t>
            </w:r>
          </w:p>
        </w:tc>
      </w:tr>
      <w:tr w:rsidR="00D60232" w:rsidRPr="00E42D3C" w:rsidTr="004A756C">
        <w:trPr>
          <w:trHeight w:val="288"/>
        </w:trPr>
        <w:tc>
          <w:tcPr>
            <w:tcW w:w="2080" w:type="dxa"/>
            <w:tcBorders>
              <w:top w:val="nil"/>
              <w:left w:val="nil"/>
              <w:bottom w:val="nil"/>
              <w:right w:val="nil"/>
            </w:tcBorders>
            <w:shd w:val="clear" w:color="auto" w:fill="auto"/>
            <w:noWrap/>
            <w:vAlign w:val="bottom"/>
            <w:hideMark/>
          </w:tcPr>
          <w:p w:rsidR="00D60232" w:rsidRPr="00E42D3C" w:rsidRDefault="00D60232" w:rsidP="004A756C">
            <w:pPr>
              <w:rPr>
                <w:rFonts w:ascii="Times New Roman" w:hAnsi="Times New Roman"/>
                <w:b/>
                <w:bCs/>
                <w:color w:val="000000"/>
                <w:sz w:val="16"/>
                <w:szCs w:val="16"/>
                <w:lang w:val="en-GB" w:eastAsia="en-GB"/>
              </w:rPr>
            </w:pPr>
            <w:r w:rsidRPr="00E42D3C">
              <w:rPr>
                <w:rFonts w:ascii="Times New Roman" w:hAnsi="Times New Roman"/>
                <w:b/>
                <w:bCs/>
                <w:color w:val="000000"/>
                <w:sz w:val="16"/>
                <w:szCs w:val="16"/>
                <w:lang w:val="en-GB" w:eastAsia="en-GB"/>
              </w:rPr>
              <w:t>Irritability (BDI)</w:t>
            </w:r>
          </w:p>
        </w:tc>
        <w:tc>
          <w:tcPr>
            <w:tcW w:w="1644"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-0.278</w:t>
            </w:r>
          </w:p>
        </w:tc>
        <w:tc>
          <w:tcPr>
            <w:tcW w:w="1613"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-0.810</w:t>
            </w:r>
          </w:p>
        </w:tc>
      </w:tr>
      <w:tr w:rsidR="00D60232" w:rsidRPr="00E42D3C" w:rsidTr="004A756C">
        <w:trPr>
          <w:trHeight w:val="288"/>
        </w:trPr>
        <w:tc>
          <w:tcPr>
            <w:tcW w:w="2080" w:type="dxa"/>
            <w:tcBorders>
              <w:top w:val="nil"/>
              <w:left w:val="nil"/>
              <w:bottom w:val="nil"/>
              <w:right w:val="nil"/>
            </w:tcBorders>
            <w:shd w:val="clear" w:color="auto" w:fill="auto"/>
            <w:noWrap/>
            <w:vAlign w:val="bottom"/>
            <w:hideMark/>
          </w:tcPr>
          <w:p w:rsidR="00D60232" w:rsidRPr="00E42D3C" w:rsidRDefault="00D60232" w:rsidP="004A756C">
            <w:pPr>
              <w:rPr>
                <w:rFonts w:ascii="Times New Roman" w:hAnsi="Times New Roman"/>
                <w:b/>
                <w:bCs/>
                <w:color w:val="000000"/>
                <w:sz w:val="16"/>
                <w:szCs w:val="16"/>
                <w:lang w:val="en-GB" w:eastAsia="en-GB"/>
              </w:rPr>
            </w:pPr>
            <w:r w:rsidRPr="00E42D3C">
              <w:rPr>
                <w:rFonts w:ascii="Times New Roman" w:hAnsi="Times New Roman"/>
                <w:b/>
                <w:bCs/>
                <w:color w:val="000000"/>
                <w:sz w:val="16"/>
                <w:szCs w:val="16"/>
                <w:lang w:val="en-GB" w:eastAsia="en-GB"/>
              </w:rPr>
              <w:t>Appetite (BDI)</w:t>
            </w:r>
          </w:p>
        </w:tc>
        <w:tc>
          <w:tcPr>
            <w:tcW w:w="1644"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0.069</w:t>
            </w:r>
          </w:p>
        </w:tc>
        <w:tc>
          <w:tcPr>
            <w:tcW w:w="1613"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0.075</w:t>
            </w:r>
          </w:p>
        </w:tc>
      </w:tr>
      <w:tr w:rsidR="00D60232" w:rsidRPr="00E42D3C" w:rsidTr="004A756C">
        <w:trPr>
          <w:trHeight w:val="288"/>
        </w:trPr>
        <w:tc>
          <w:tcPr>
            <w:tcW w:w="2080" w:type="dxa"/>
            <w:tcBorders>
              <w:top w:val="nil"/>
              <w:left w:val="nil"/>
              <w:bottom w:val="nil"/>
              <w:right w:val="nil"/>
            </w:tcBorders>
            <w:shd w:val="clear" w:color="auto" w:fill="auto"/>
            <w:noWrap/>
            <w:vAlign w:val="bottom"/>
            <w:hideMark/>
          </w:tcPr>
          <w:p w:rsidR="00D60232" w:rsidRPr="00E42D3C" w:rsidRDefault="00D60232" w:rsidP="004A756C">
            <w:pPr>
              <w:rPr>
                <w:rFonts w:ascii="Times New Roman" w:hAnsi="Times New Roman"/>
                <w:b/>
                <w:bCs/>
                <w:color w:val="000000"/>
                <w:sz w:val="16"/>
                <w:szCs w:val="16"/>
                <w:lang w:val="en-GB" w:eastAsia="en-GB"/>
              </w:rPr>
            </w:pPr>
            <w:r w:rsidRPr="00E42D3C">
              <w:rPr>
                <w:rFonts w:ascii="Times New Roman" w:hAnsi="Times New Roman"/>
                <w:b/>
                <w:bCs/>
                <w:color w:val="000000"/>
                <w:sz w:val="16"/>
                <w:szCs w:val="16"/>
                <w:lang w:val="en-GB" w:eastAsia="en-GB"/>
              </w:rPr>
              <w:t>Concentration (BDI)</w:t>
            </w:r>
          </w:p>
        </w:tc>
        <w:tc>
          <w:tcPr>
            <w:tcW w:w="1644"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0.316</w:t>
            </w:r>
          </w:p>
        </w:tc>
        <w:tc>
          <w:tcPr>
            <w:tcW w:w="1613"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0.486</w:t>
            </w:r>
          </w:p>
        </w:tc>
      </w:tr>
      <w:tr w:rsidR="00D60232" w:rsidRPr="00E42D3C" w:rsidTr="004A756C">
        <w:trPr>
          <w:trHeight w:val="288"/>
        </w:trPr>
        <w:tc>
          <w:tcPr>
            <w:tcW w:w="2080" w:type="dxa"/>
            <w:tcBorders>
              <w:top w:val="nil"/>
              <w:left w:val="nil"/>
              <w:bottom w:val="nil"/>
              <w:right w:val="nil"/>
            </w:tcBorders>
            <w:shd w:val="clear" w:color="auto" w:fill="auto"/>
            <w:noWrap/>
            <w:vAlign w:val="bottom"/>
            <w:hideMark/>
          </w:tcPr>
          <w:p w:rsidR="00D60232" w:rsidRPr="00E42D3C" w:rsidRDefault="00D60232" w:rsidP="004A756C">
            <w:pPr>
              <w:rPr>
                <w:rFonts w:ascii="Times New Roman" w:hAnsi="Times New Roman"/>
                <w:b/>
                <w:bCs/>
                <w:color w:val="000000"/>
                <w:sz w:val="16"/>
                <w:szCs w:val="16"/>
                <w:lang w:val="en-GB" w:eastAsia="en-GB"/>
              </w:rPr>
            </w:pPr>
            <w:r w:rsidRPr="00E42D3C">
              <w:rPr>
                <w:rFonts w:ascii="Times New Roman" w:hAnsi="Times New Roman"/>
                <w:b/>
                <w:bCs/>
                <w:color w:val="000000"/>
                <w:sz w:val="16"/>
                <w:szCs w:val="16"/>
                <w:lang w:val="en-GB" w:eastAsia="en-GB"/>
              </w:rPr>
              <w:t>Fatigue (BDI)</w:t>
            </w:r>
          </w:p>
        </w:tc>
        <w:tc>
          <w:tcPr>
            <w:tcW w:w="1644"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0.407</w:t>
            </w:r>
          </w:p>
        </w:tc>
        <w:tc>
          <w:tcPr>
            <w:tcW w:w="1613"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0.569</w:t>
            </w:r>
          </w:p>
        </w:tc>
      </w:tr>
      <w:tr w:rsidR="00D60232" w:rsidRPr="00E42D3C" w:rsidTr="004A756C">
        <w:trPr>
          <w:trHeight w:val="288"/>
        </w:trPr>
        <w:tc>
          <w:tcPr>
            <w:tcW w:w="2080" w:type="dxa"/>
            <w:tcBorders>
              <w:top w:val="nil"/>
              <w:left w:val="nil"/>
              <w:bottom w:val="nil"/>
              <w:right w:val="nil"/>
            </w:tcBorders>
            <w:shd w:val="clear" w:color="auto" w:fill="auto"/>
            <w:noWrap/>
            <w:vAlign w:val="bottom"/>
            <w:hideMark/>
          </w:tcPr>
          <w:p w:rsidR="00D60232" w:rsidRPr="00E42D3C" w:rsidRDefault="00D60232" w:rsidP="004A756C">
            <w:pPr>
              <w:rPr>
                <w:rFonts w:ascii="Times New Roman" w:hAnsi="Times New Roman"/>
                <w:b/>
                <w:bCs/>
                <w:color w:val="000000"/>
                <w:sz w:val="16"/>
                <w:szCs w:val="16"/>
                <w:lang w:val="en-GB" w:eastAsia="en-GB"/>
              </w:rPr>
            </w:pPr>
            <w:r w:rsidRPr="00E42D3C">
              <w:rPr>
                <w:rFonts w:ascii="Times New Roman" w:hAnsi="Times New Roman"/>
                <w:b/>
                <w:bCs/>
                <w:color w:val="000000"/>
                <w:sz w:val="16"/>
                <w:szCs w:val="16"/>
                <w:lang w:val="en-GB" w:eastAsia="en-GB"/>
              </w:rPr>
              <w:t>Libido (BDI)</w:t>
            </w:r>
          </w:p>
        </w:tc>
        <w:tc>
          <w:tcPr>
            <w:tcW w:w="1644"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0.222</w:t>
            </w:r>
          </w:p>
        </w:tc>
        <w:tc>
          <w:tcPr>
            <w:tcW w:w="1613"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0.236</w:t>
            </w:r>
          </w:p>
        </w:tc>
      </w:tr>
      <w:tr w:rsidR="00D60232" w:rsidRPr="00E42D3C" w:rsidTr="004A756C">
        <w:trPr>
          <w:trHeight w:val="288"/>
        </w:trPr>
        <w:tc>
          <w:tcPr>
            <w:tcW w:w="2080" w:type="dxa"/>
            <w:tcBorders>
              <w:top w:val="nil"/>
              <w:left w:val="nil"/>
              <w:bottom w:val="nil"/>
              <w:right w:val="nil"/>
            </w:tcBorders>
            <w:shd w:val="clear" w:color="auto" w:fill="auto"/>
            <w:noWrap/>
            <w:vAlign w:val="bottom"/>
            <w:hideMark/>
          </w:tcPr>
          <w:p w:rsidR="00D60232" w:rsidRPr="00E42D3C" w:rsidRDefault="00D60232" w:rsidP="004A756C">
            <w:pPr>
              <w:rPr>
                <w:rFonts w:ascii="Times New Roman" w:hAnsi="Times New Roman"/>
                <w:b/>
                <w:bCs/>
                <w:color w:val="000000"/>
                <w:sz w:val="16"/>
                <w:szCs w:val="16"/>
                <w:lang w:val="en-GB" w:eastAsia="en-GB"/>
              </w:rPr>
            </w:pPr>
            <w:r w:rsidRPr="00E42D3C">
              <w:rPr>
                <w:rFonts w:ascii="Times New Roman" w:hAnsi="Times New Roman"/>
                <w:b/>
                <w:bCs/>
                <w:color w:val="000000"/>
                <w:sz w:val="16"/>
                <w:szCs w:val="16"/>
                <w:lang w:val="en-GB" w:eastAsia="en-GB"/>
              </w:rPr>
              <w:t>Social Support</w:t>
            </w:r>
          </w:p>
        </w:tc>
        <w:tc>
          <w:tcPr>
            <w:tcW w:w="1644"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-0.805</w:t>
            </w:r>
          </w:p>
        </w:tc>
        <w:tc>
          <w:tcPr>
            <w:tcW w:w="1613" w:type="dxa"/>
            <w:tcBorders>
              <w:top w:val="nil"/>
              <w:left w:val="nil"/>
              <w:bottom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-0.256</w:t>
            </w:r>
          </w:p>
        </w:tc>
      </w:tr>
      <w:tr w:rsidR="00D60232" w:rsidRPr="00E42D3C" w:rsidTr="004A756C">
        <w:trPr>
          <w:trHeight w:val="288"/>
        </w:trPr>
        <w:tc>
          <w:tcPr>
            <w:tcW w:w="2080" w:type="dxa"/>
            <w:tcBorders>
              <w:top w:val="nil"/>
              <w:left w:val="nil"/>
              <w:right w:val="nil"/>
            </w:tcBorders>
            <w:shd w:val="clear" w:color="auto" w:fill="auto"/>
            <w:noWrap/>
            <w:vAlign w:val="bottom"/>
            <w:hideMark/>
          </w:tcPr>
          <w:p w:rsidR="00D60232" w:rsidRPr="00E42D3C" w:rsidRDefault="00D60232" w:rsidP="004A756C">
            <w:pPr>
              <w:rPr>
                <w:rFonts w:ascii="Times New Roman" w:hAnsi="Times New Roman"/>
                <w:b/>
                <w:bCs/>
                <w:color w:val="000000"/>
                <w:sz w:val="16"/>
                <w:szCs w:val="16"/>
                <w:lang w:val="en-GB" w:eastAsia="en-GB"/>
              </w:rPr>
            </w:pPr>
            <w:r w:rsidRPr="00E42D3C">
              <w:rPr>
                <w:rFonts w:ascii="Times New Roman" w:hAnsi="Times New Roman"/>
                <w:b/>
                <w:bCs/>
                <w:color w:val="000000"/>
                <w:sz w:val="16"/>
                <w:szCs w:val="16"/>
                <w:lang w:val="en-GB" w:eastAsia="en-GB"/>
              </w:rPr>
              <w:t>Recent life events</w:t>
            </w:r>
          </w:p>
        </w:tc>
        <w:tc>
          <w:tcPr>
            <w:tcW w:w="1644" w:type="dxa"/>
            <w:tcBorders>
              <w:top w:val="nil"/>
              <w:left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0.019</w:t>
            </w:r>
          </w:p>
        </w:tc>
        <w:tc>
          <w:tcPr>
            <w:tcW w:w="1613" w:type="dxa"/>
            <w:tcBorders>
              <w:top w:val="nil"/>
              <w:left w:val="nil"/>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0.052</w:t>
            </w:r>
          </w:p>
        </w:tc>
      </w:tr>
      <w:tr w:rsidR="00D60232" w:rsidRPr="00E42D3C" w:rsidTr="004A756C">
        <w:trPr>
          <w:trHeight w:val="288"/>
        </w:trPr>
        <w:tc>
          <w:tcPr>
            <w:tcW w:w="2080" w:type="dxa"/>
            <w:tcBorders>
              <w:top w:val="nil"/>
              <w:left w:val="nil"/>
              <w:bottom w:val="single" w:sz="12" w:space="0" w:color="auto"/>
              <w:right w:val="nil"/>
            </w:tcBorders>
            <w:shd w:val="clear" w:color="auto" w:fill="auto"/>
            <w:noWrap/>
            <w:vAlign w:val="bottom"/>
            <w:hideMark/>
          </w:tcPr>
          <w:p w:rsidR="00D60232" w:rsidRPr="00E42D3C" w:rsidRDefault="00D60232" w:rsidP="004A756C">
            <w:pPr>
              <w:rPr>
                <w:rFonts w:ascii="Times New Roman" w:hAnsi="Times New Roman"/>
                <w:b/>
                <w:bCs/>
                <w:color w:val="000000"/>
                <w:sz w:val="16"/>
                <w:szCs w:val="16"/>
                <w:lang w:val="en-GB" w:eastAsia="en-GB"/>
              </w:rPr>
            </w:pPr>
            <w:r w:rsidRPr="00E42D3C">
              <w:rPr>
                <w:rFonts w:ascii="Times New Roman" w:hAnsi="Times New Roman"/>
                <w:b/>
                <w:bCs/>
                <w:color w:val="000000"/>
                <w:sz w:val="16"/>
                <w:szCs w:val="16"/>
                <w:lang w:val="en-GB" w:eastAsia="en-GB"/>
              </w:rPr>
              <w:t>Alcohol use (AUDIT)</w:t>
            </w:r>
          </w:p>
        </w:tc>
        <w:tc>
          <w:tcPr>
            <w:tcW w:w="1644" w:type="dxa"/>
            <w:tcBorders>
              <w:top w:val="nil"/>
              <w:left w:val="nil"/>
              <w:bottom w:val="single" w:sz="12" w:space="0" w:color="auto"/>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w:t>
            </w:r>
          </w:p>
        </w:tc>
        <w:tc>
          <w:tcPr>
            <w:tcW w:w="1613" w:type="dxa"/>
            <w:tcBorders>
              <w:top w:val="nil"/>
              <w:left w:val="nil"/>
              <w:bottom w:val="single" w:sz="12" w:space="0" w:color="auto"/>
              <w:right w:val="nil"/>
            </w:tcBorders>
            <w:shd w:val="clear" w:color="auto" w:fill="auto"/>
            <w:noWrap/>
            <w:vAlign w:val="bottom"/>
            <w:hideMark/>
          </w:tcPr>
          <w:p w:rsidR="00D60232" w:rsidRPr="00E42D3C" w:rsidRDefault="00D60232" w:rsidP="004A756C">
            <w:pPr>
              <w:jc w:val="right"/>
              <w:rPr>
                <w:rFonts w:ascii="Times New Roman" w:hAnsi="Times New Roman"/>
                <w:color w:val="000000"/>
                <w:sz w:val="16"/>
                <w:szCs w:val="16"/>
                <w:lang w:val="en-GB" w:eastAsia="en-GB"/>
              </w:rPr>
            </w:pPr>
            <w:r w:rsidRPr="00E42D3C">
              <w:rPr>
                <w:rFonts w:ascii="Times New Roman" w:hAnsi="Times New Roman"/>
                <w:color w:val="000000"/>
                <w:sz w:val="16"/>
                <w:szCs w:val="16"/>
                <w:lang w:val="en-GB" w:eastAsia="en-GB"/>
              </w:rPr>
              <w:t>0.002</w:t>
            </w:r>
          </w:p>
        </w:tc>
      </w:tr>
    </w:tbl>
    <w:p w:rsidR="00D60232" w:rsidRPr="00E42D3C" w:rsidRDefault="00D60232" w:rsidP="00D60232"/>
    <w:p w:rsidR="00D60232" w:rsidRDefault="00D60232" w:rsidP="00D60232"/>
    <w:p w:rsidR="00D60232" w:rsidRDefault="00D60232" w:rsidP="00D60232">
      <w:pPr>
        <w:spacing w:after="160" w:line="259" w:lineRule="auto"/>
      </w:pPr>
      <w:r>
        <w:br w:type="page"/>
      </w:r>
    </w:p>
    <w:p w:rsidR="00D60232" w:rsidRPr="0012641E" w:rsidRDefault="00D60232" w:rsidP="00D60232">
      <w:r>
        <w:rPr>
          <w:b/>
        </w:rPr>
        <w:lastRenderedPageBreak/>
        <w:t xml:space="preserve">Supplementary Figure 1. </w:t>
      </w:r>
      <w:r w:rsidRPr="00836647">
        <w:t>Flow diagram of study selection</w:t>
      </w:r>
      <w:r>
        <w:t xml:space="preserve">. </w:t>
      </w:r>
    </w:p>
    <w:p w:rsidR="00D60232" w:rsidRDefault="00471DE0" w:rsidP="00D60232">
      <w:pPr>
        <w:spacing w:after="160" w:line="259" w:lineRule="auto"/>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32.4pt;width:488.55pt;height:518.65pt;z-index:-251658752;mso-wrap-edited:f;mso-width-percent:0;mso-height-percent:0;mso-position-horizontal:absolute;mso-position-horizontal-relative:text;mso-position-vertical:absolute;mso-position-vertical-relative:text;mso-width-percent:0;mso-height-percent:0">
            <v:imagedata r:id="rId5" o:title=""/>
          </v:shape>
          <o:OLEObject Type="Embed" ProgID="Word.Document.12" ShapeID="_x0000_s1026" DrawAspect="Content" ObjectID="_1675337051" r:id="rId6">
            <o:FieldCodes>\s</o:FieldCodes>
          </o:OLEObject>
        </w:object>
      </w:r>
      <w:r w:rsidR="00D60232">
        <w:br w:type="page"/>
      </w:r>
    </w:p>
    <w:p w:rsidR="00D60232" w:rsidRDefault="00D60232" w:rsidP="00D60232">
      <w:pPr>
        <w:spacing w:after="160" w:line="259" w:lineRule="auto"/>
      </w:pPr>
      <w:r>
        <w:rPr>
          <w:b/>
        </w:rPr>
        <w:lastRenderedPageBreak/>
        <w:t xml:space="preserve">Supplementary Figure 2. </w:t>
      </w:r>
      <w:r>
        <w:t>Correlation of predictions by the six models in the Test set data.</w:t>
      </w:r>
    </w:p>
    <w:p w:rsidR="00D60232" w:rsidRDefault="00D60232" w:rsidP="00D60232">
      <w:pPr>
        <w:spacing w:after="160" w:line="259" w:lineRule="auto"/>
        <w:rPr>
          <w:rFonts w:cstheme="minorHAnsi"/>
        </w:rPr>
      </w:pPr>
      <w:r>
        <w:rPr>
          <w:rFonts w:ascii="Times New Roman" w:hAnsi="Times New Roman"/>
          <w:noProof/>
          <w:color w:val="000000"/>
          <w:w w:val="0"/>
          <w:sz w:val="0"/>
          <w:szCs w:val="0"/>
          <w:u w:color="000000"/>
          <w:bdr w:val="none" w:sz="0" w:space="0" w:color="000000"/>
          <w:shd w:val="clear" w:color="000000" w:fill="000000"/>
          <w:lang w:val="en-GB" w:eastAsia="en-GB"/>
        </w:rPr>
        <w:drawing>
          <wp:inline distT="0" distB="0" distL="0" distR="0" wp14:anchorId="2C51A0A8" wp14:editId="528D1CC1">
            <wp:extent cx="5478780" cy="4975860"/>
            <wp:effectExtent l="0" t="0" r="7620" b="0"/>
            <wp:docPr id="1" name="Picture 2" descr="Figure of model corre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of model correla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8780" cy="4975860"/>
                    </a:xfrm>
                    <a:prstGeom prst="rect">
                      <a:avLst/>
                    </a:prstGeom>
                    <a:noFill/>
                    <a:ln>
                      <a:noFill/>
                    </a:ln>
                  </pic:spPr>
                </pic:pic>
              </a:graphicData>
            </a:graphic>
          </wp:inline>
        </w:drawing>
      </w:r>
      <w:r w:rsidRPr="00E90B41" w:rsidDel="00E90B41">
        <w:rPr>
          <w:rFonts w:cstheme="minorHAnsi"/>
        </w:rPr>
        <w:t xml:space="preserve"> </w:t>
      </w:r>
    </w:p>
    <w:p w:rsidR="00D60232" w:rsidRDefault="00D60232" w:rsidP="00D60232">
      <w:pPr>
        <w:spacing w:after="160" w:line="259" w:lineRule="auto"/>
        <w:rPr>
          <w:b/>
        </w:rPr>
      </w:pPr>
    </w:p>
    <w:p w:rsidR="00D60232" w:rsidRDefault="00D60232" w:rsidP="00D60232">
      <w:pPr>
        <w:spacing w:after="160" w:line="259" w:lineRule="auto"/>
        <w:rPr>
          <w:b/>
        </w:rPr>
      </w:pPr>
      <w:r>
        <w:rPr>
          <w:b/>
        </w:rPr>
        <w:br w:type="page"/>
      </w:r>
    </w:p>
    <w:p w:rsidR="00D60232" w:rsidRDefault="00D60232" w:rsidP="00D60232">
      <w:pPr>
        <w:spacing w:after="160" w:line="259" w:lineRule="auto"/>
      </w:pPr>
      <w:r>
        <w:rPr>
          <w:b/>
        </w:rPr>
        <w:lastRenderedPageBreak/>
        <w:t xml:space="preserve">Supplementary Figure 3. </w:t>
      </w:r>
      <w:r>
        <w:t xml:space="preserve">Proportions of participants in remission at 3-4 months post-baseline in the test set (n=918) based on predicted 3-4 month BDI-II scores by each of the eight models. </w:t>
      </w:r>
    </w:p>
    <w:p w:rsidR="00D60232" w:rsidRPr="00C6216B" w:rsidRDefault="00D60232" w:rsidP="00D60232">
      <w:pPr>
        <w:spacing w:after="160" w:line="259" w:lineRule="auto"/>
        <w:rPr>
          <w:rFonts w:cstheme="minorHAnsi"/>
        </w:rPr>
      </w:pPr>
      <w:r>
        <w:rPr>
          <w:b/>
        </w:rPr>
        <w:t xml:space="preserve"> </w:t>
      </w:r>
      <w:r>
        <w:rPr>
          <w:noProof/>
          <w:lang w:val="en-GB" w:eastAsia="en-GB"/>
        </w:rPr>
        <w:drawing>
          <wp:inline distT="0" distB="0" distL="0" distR="0" wp14:anchorId="0A94FC25" wp14:editId="1099DDBA">
            <wp:extent cx="4860290" cy="4272915"/>
            <wp:effectExtent l="0" t="0" r="0" b="0"/>
            <wp:docPr id="10" name="Picture 10" descr="predicted vs observed remission rate 11_12_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redicted vs observed remission rate 11_12_2020.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860290" cy="4272915"/>
                    </a:xfrm>
                    <a:prstGeom prst="rect">
                      <a:avLst/>
                    </a:prstGeom>
                    <a:noFill/>
                    <a:ln>
                      <a:noFill/>
                    </a:ln>
                  </pic:spPr>
                </pic:pic>
              </a:graphicData>
            </a:graphic>
          </wp:inline>
        </w:drawing>
      </w:r>
    </w:p>
    <w:p w:rsidR="00D7733F" w:rsidRDefault="00D7733F"/>
    <w:sectPr w:rsidR="00D7733F" w:rsidSect="004A756C">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7243"/>
    <w:multiLevelType w:val="hybridMultilevel"/>
    <w:tmpl w:val="99108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26D02"/>
    <w:multiLevelType w:val="hybridMultilevel"/>
    <w:tmpl w:val="63AE7168"/>
    <w:lvl w:ilvl="0" w:tplc="56708D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A4403C"/>
    <w:multiLevelType w:val="hybridMultilevel"/>
    <w:tmpl w:val="1E38C438"/>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23523"/>
    <w:multiLevelType w:val="hybridMultilevel"/>
    <w:tmpl w:val="6ECAB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667169"/>
    <w:multiLevelType w:val="hybridMultilevel"/>
    <w:tmpl w:val="2C807072"/>
    <w:lvl w:ilvl="0" w:tplc="6B1688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66366B"/>
    <w:multiLevelType w:val="hybridMultilevel"/>
    <w:tmpl w:val="C846E0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0F59BE"/>
    <w:multiLevelType w:val="hybridMultilevel"/>
    <w:tmpl w:val="51EE7D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C47760"/>
    <w:multiLevelType w:val="hybridMultilevel"/>
    <w:tmpl w:val="5C0E1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8D6E39"/>
    <w:multiLevelType w:val="hybridMultilevel"/>
    <w:tmpl w:val="73144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963DA7"/>
    <w:multiLevelType w:val="hybridMultilevel"/>
    <w:tmpl w:val="F1B2D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4F4F1A"/>
    <w:multiLevelType w:val="hybridMultilevel"/>
    <w:tmpl w:val="9FD6636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19821C5"/>
    <w:multiLevelType w:val="hybridMultilevel"/>
    <w:tmpl w:val="87CE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EC6E60"/>
    <w:multiLevelType w:val="hybridMultilevel"/>
    <w:tmpl w:val="5298E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40617B"/>
    <w:multiLevelType w:val="hybridMultilevel"/>
    <w:tmpl w:val="9904ABFC"/>
    <w:lvl w:ilvl="0" w:tplc="1952B6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977224"/>
    <w:multiLevelType w:val="hybridMultilevel"/>
    <w:tmpl w:val="774863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1"/>
  </w:num>
  <w:num w:numId="5">
    <w:abstractNumId w:val="14"/>
  </w:num>
  <w:num w:numId="6">
    <w:abstractNumId w:val="9"/>
  </w:num>
  <w:num w:numId="7">
    <w:abstractNumId w:val="4"/>
  </w:num>
  <w:num w:numId="8">
    <w:abstractNumId w:val="3"/>
  </w:num>
  <w:num w:numId="9">
    <w:abstractNumId w:val="6"/>
  </w:num>
  <w:num w:numId="10">
    <w:abstractNumId w:val="11"/>
  </w:num>
  <w:num w:numId="11">
    <w:abstractNumId w:val="10"/>
  </w:num>
  <w:num w:numId="12">
    <w:abstractNumId w:val="12"/>
  </w:num>
  <w:num w:numId="13">
    <w:abstractNumId w:val="2"/>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32"/>
    <w:rsid w:val="00471DE0"/>
    <w:rsid w:val="004A756C"/>
    <w:rsid w:val="005426D7"/>
    <w:rsid w:val="005E3118"/>
    <w:rsid w:val="0079456C"/>
    <w:rsid w:val="00D60232"/>
    <w:rsid w:val="00D77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7B3374F-2624-48F1-8195-1559833F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232"/>
    <w:pPr>
      <w:spacing w:after="0" w:line="240" w:lineRule="auto"/>
    </w:pPr>
    <w:rPr>
      <w:rFonts w:cs="Times New Roman"/>
      <w:szCs w:val="24"/>
      <w:lang w:val="en-US"/>
    </w:rPr>
  </w:style>
  <w:style w:type="paragraph" w:styleId="Heading1">
    <w:name w:val="heading 1"/>
    <w:basedOn w:val="Normal"/>
    <w:next w:val="Normal"/>
    <w:link w:val="Heading1Char"/>
    <w:uiPriority w:val="9"/>
    <w:qFormat/>
    <w:rsid w:val="00D60232"/>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uiPriority w:val="9"/>
    <w:unhideWhenUsed/>
    <w:qFormat/>
    <w:rsid w:val="00D60232"/>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Normal"/>
    <w:next w:val="Normal"/>
    <w:link w:val="Heading3Char"/>
    <w:uiPriority w:val="9"/>
    <w:unhideWhenUsed/>
    <w:qFormat/>
    <w:rsid w:val="00D60232"/>
    <w:pPr>
      <w:keepNext/>
      <w:keepLines/>
      <w:spacing w:before="40" w:line="259" w:lineRule="auto"/>
      <w:outlineLvl w:val="2"/>
    </w:pPr>
    <w:rPr>
      <w:rFonts w:asciiTheme="majorHAnsi" w:eastAsiaTheme="majorEastAsia" w:hAnsiTheme="majorHAnsi" w:cstheme="majorBidi"/>
      <w:color w:val="1F4D78" w:themeColor="accent1" w:themeShade="7F"/>
      <w:lang w:val="en-GB"/>
    </w:rPr>
  </w:style>
  <w:style w:type="paragraph" w:styleId="Heading4">
    <w:name w:val="heading 4"/>
    <w:basedOn w:val="Normal"/>
    <w:next w:val="Normal"/>
    <w:link w:val="Heading4Char"/>
    <w:unhideWhenUsed/>
    <w:qFormat/>
    <w:rsid w:val="00D60232"/>
    <w:pPr>
      <w:keepNext/>
      <w:keepLines/>
      <w:spacing w:before="40" w:line="259" w:lineRule="auto"/>
      <w:outlineLvl w:val="3"/>
    </w:pPr>
    <w:rPr>
      <w:rFonts w:asciiTheme="majorHAnsi" w:eastAsiaTheme="majorEastAsia" w:hAnsiTheme="majorHAnsi" w:cstheme="majorBidi"/>
      <w:i/>
      <w:iCs/>
      <w:color w:val="2E74B5" w:themeColor="accent1" w:themeShade="BF"/>
      <w:szCs w:val="22"/>
      <w:lang w:val="en-GB"/>
    </w:rPr>
  </w:style>
  <w:style w:type="paragraph" w:styleId="Heading5">
    <w:name w:val="heading 5"/>
    <w:basedOn w:val="Normal"/>
    <w:next w:val="Normal"/>
    <w:link w:val="Heading5Char"/>
    <w:unhideWhenUsed/>
    <w:qFormat/>
    <w:rsid w:val="00D60232"/>
    <w:pPr>
      <w:keepNext/>
      <w:keepLines/>
      <w:spacing w:before="40" w:line="259" w:lineRule="auto"/>
      <w:outlineLvl w:val="4"/>
    </w:pPr>
    <w:rPr>
      <w:rFonts w:asciiTheme="majorHAnsi" w:eastAsiaTheme="majorEastAsia" w:hAnsiTheme="majorHAnsi" w:cstheme="majorBidi"/>
      <w:color w:val="2E74B5" w:themeColor="accent1" w:themeShade="BF"/>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23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6023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60232"/>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rsid w:val="00D6023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D60232"/>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unhideWhenUsed/>
    <w:rsid w:val="00D60232"/>
    <w:rPr>
      <w:sz w:val="16"/>
      <w:szCs w:val="16"/>
    </w:rPr>
  </w:style>
  <w:style w:type="paragraph" w:styleId="CommentText">
    <w:name w:val="annotation text"/>
    <w:basedOn w:val="Normal"/>
    <w:link w:val="CommentTextChar"/>
    <w:uiPriority w:val="99"/>
    <w:unhideWhenUsed/>
    <w:rsid w:val="00D60232"/>
    <w:pPr>
      <w:spacing w:after="160"/>
    </w:pPr>
    <w:rPr>
      <w:rFonts w:eastAsiaTheme="minorHAnsi" w:cstheme="minorBidi"/>
      <w:sz w:val="20"/>
      <w:szCs w:val="20"/>
      <w:lang w:val="en-GB"/>
    </w:rPr>
  </w:style>
  <w:style w:type="character" w:customStyle="1" w:styleId="CommentTextChar">
    <w:name w:val="Comment Text Char"/>
    <w:basedOn w:val="DefaultParagraphFont"/>
    <w:link w:val="CommentText"/>
    <w:uiPriority w:val="99"/>
    <w:rsid w:val="00D60232"/>
    <w:rPr>
      <w:rFonts w:eastAsiaTheme="minorHAnsi"/>
      <w:sz w:val="20"/>
      <w:szCs w:val="20"/>
    </w:rPr>
  </w:style>
  <w:style w:type="paragraph" w:styleId="ListParagraph">
    <w:name w:val="List Paragraph"/>
    <w:basedOn w:val="Normal"/>
    <w:uiPriority w:val="34"/>
    <w:qFormat/>
    <w:rsid w:val="00D60232"/>
    <w:pPr>
      <w:spacing w:after="160" w:line="259" w:lineRule="auto"/>
      <w:ind w:left="720"/>
      <w:contextualSpacing/>
    </w:pPr>
    <w:rPr>
      <w:rFonts w:eastAsiaTheme="minorHAnsi" w:cstheme="minorBidi"/>
      <w:szCs w:val="22"/>
      <w:lang w:val="en-GB"/>
    </w:rPr>
  </w:style>
  <w:style w:type="character" w:styleId="Hyperlink">
    <w:name w:val="Hyperlink"/>
    <w:basedOn w:val="DefaultParagraphFont"/>
    <w:uiPriority w:val="99"/>
    <w:unhideWhenUsed/>
    <w:rsid w:val="00D60232"/>
    <w:rPr>
      <w:color w:val="0563C1" w:themeColor="hyperlink"/>
      <w:u w:val="single"/>
    </w:rPr>
  </w:style>
  <w:style w:type="paragraph" w:styleId="Title">
    <w:name w:val="Title"/>
    <w:basedOn w:val="Normal"/>
    <w:next w:val="Normal"/>
    <w:link w:val="TitleChar"/>
    <w:uiPriority w:val="10"/>
    <w:qFormat/>
    <w:rsid w:val="00D60232"/>
    <w:pPr>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D60232"/>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D60232"/>
    <w:rPr>
      <w:i/>
      <w:iCs/>
    </w:rPr>
  </w:style>
  <w:style w:type="paragraph" w:styleId="BalloonText">
    <w:name w:val="Balloon Text"/>
    <w:basedOn w:val="Normal"/>
    <w:link w:val="BalloonTextChar"/>
    <w:uiPriority w:val="99"/>
    <w:semiHidden/>
    <w:unhideWhenUsed/>
    <w:rsid w:val="00D60232"/>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semiHidden/>
    <w:rsid w:val="00D60232"/>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D60232"/>
    <w:rPr>
      <w:b/>
      <w:bCs/>
    </w:rPr>
  </w:style>
  <w:style w:type="character" w:customStyle="1" w:styleId="CommentSubjectChar">
    <w:name w:val="Comment Subject Char"/>
    <w:basedOn w:val="CommentTextChar"/>
    <w:link w:val="CommentSubject"/>
    <w:uiPriority w:val="99"/>
    <w:semiHidden/>
    <w:rsid w:val="00D60232"/>
    <w:rPr>
      <w:rFonts w:eastAsiaTheme="minorHAnsi"/>
      <w:b/>
      <w:bCs/>
      <w:sz w:val="20"/>
      <w:szCs w:val="20"/>
    </w:rPr>
  </w:style>
  <w:style w:type="paragraph" w:styleId="NormalWeb">
    <w:name w:val="Normal (Web)"/>
    <w:basedOn w:val="Normal"/>
    <w:uiPriority w:val="99"/>
    <w:unhideWhenUsed/>
    <w:rsid w:val="00D60232"/>
    <w:pPr>
      <w:spacing w:before="100" w:beforeAutospacing="1" w:after="100" w:afterAutospacing="1"/>
    </w:pPr>
  </w:style>
  <w:style w:type="character" w:customStyle="1" w:styleId="UnresolvedMention1">
    <w:name w:val="Unresolved Mention1"/>
    <w:basedOn w:val="DefaultParagraphFont"/>
    <w:uiPriority w:val="99"/>
    <w:semiHidden/>
    <w:unhideWhenUsed/>
    <w:rsid w:val="00D60232"/>
    <w:rPr>
      <w:color w:val="605E5C"/>
      <w:shd w:val="clear" w:color="auto" w:fill="E1DFDD"/>
    </w:rPr>
  </w:style>
  <w:style w:type="paragraph" w:styleId="Revision">
    <w:name w:val="Revision"/>
    <w:hidden/>
    <w:uiPriority w:val="99"/>
    <w:semiHidden/>
    <w:rsid w:val="00D60232"/>
    <w:pPr>
      <w:spacing w:after="0" w:line="240" w:lineRule="auto"/>
    </w:pPr>
    <w:rPr>
      <w:rFonts w:eastAsiaTheme="minorHAnsi"/>
    </w:rPr>
  </w:style>
  <w:style w:type="paragraph" w:styleId="Header">
    <w:name w:val="header"/>
    <w:basedOn w:val="Normal"/>
    <w:link w:val="HeaderChar"/>
    <w:uiPriority w:val="99"/>
    <w:unhideWhenUsed/>
    <w:rsid w:val="00D60232"/>
    <w:pPr>
      <w:tabs>
        <w:tab w:val="center" w:pos="4513"/>
        <w:tab w:val="right" w:pos="9026"/>
      </w:tabs>
    </w:pPr>
  </w:style>
  <w:style w:type="character" w:customStyle="1" w:styleId="HeaderChar">
    <w:name w:val="Header Char"/>
    <w:basedOn w:val="DefaultParagraphFont"/>
    <w:link w:val="Header"/>
    <w:uiPriority w:val="99"/>
    <w:rsid w:val="00D60232"/>
    <w:rPr>
      <w:rFonts w:cs="Times New Roman"/>
      <w:szCs w:val="24"/>
      <w:lang w:val="en-US"/>
    </w:rPr>
  </w:style>
  <w:style w:type="paragraph" w:styleId="Footer">
    <w:name w:val="footer"/>
    <w:basedOn w:val="Normal"/>
    <w:link w:val="FooterChar"/>
    <w:uiPriority w:val="99"/>
    <w:unhideWhenUsed/>
    <w:rsid w:val="00D60232"/>
    <w:pPr>
      <w:tabs>
        <w:tab w:val="center" w:pos="4513"/>
        <w:tab w:val="right" w:pos="9026"/>
      </w:tabs>
    </w:pPr>
  </w:style>
  <w:style w:type="character" w:customStyle="1" w:styleId="FooterChar">
    <w:name w:val="Footer Char"/>
    <w:basedOn w:val="DefaultParagraphFont"/>
    <w:link w:val="Footer"/>
    <w:uiPriority w:val="99"/>
    <w:rsid w:val="00D60232"/>
    <w:rPr>
      <w:rFonts w:cs="Times New Roman"/>
      <w:szCs w:val="24"/>
      <w:lang w:val="en-US"/>
    </w:rPr>
  </w:style>
  <w:style w:type="table" w:styleId="TableGrid">
    <w:name w:val="Table Grid"/>
    <w:basedOn w:val="TableNormal"/>
    <w:uiPriority w:val="59"/>
    <w:rsid w:val="00D6023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60232"/>
    <w:rPr>
      <w:color w:val="954F72" w:themeColor="followedHyperlink"/>
      <w:u w:val="single"/>
    </w:rPr>
  </w:style>
  <w:style w:type="paragraph" w:styleId="PlainText">
    <w:name w:val="Plain Text"/>
    <w:basedOn w:val="Normal"/>
    <w:link w:val="PlainTextChar"/>
    <w:uiPriority w:val="99"/>
    <w:unhideWhenUsed/>
    <w:rsid w:val="00D60232"/>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rsid w:val="00D60232"/>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i_khf7j18c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10784</Words>
  <Characters>61474</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2021-02-19T11:59:00Z</dcterms:created>
  <dcterms:modified xsi:type="dcterms:W3CDTF">2021-02-20T14:36:00Z</dcterms:modified>
</cp:coreProperties>
</file>