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4D" w:rsidRPr="00BF0C4D" w:rsidRDefault="00BF0C4D" w:rsidP="00BF0C4D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F0C4D">
        <w:rPr>
          <w:rFonts w:asciiTheme="majorBidi" w:hAnsiTheme="majorBidi" w:cstheme="majorBidi"/>
          <w:b/>
          <w:bCs/>
          <w:sz w:val="24"/>
          <w:szCs w:val="24"/>
        </w:rPr>
        <w:t>Supplemental Material - Figures</w:t>
      </w:r>
    </w:p>
    <w:p w:rsidR="00BF0C4D" w:rsidRDefault="00BF0C4D" w:rsidP="006D77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</w:p>
    <w:p w:rsidR="006D77BA" w:rsidRDefault="006D77BA" w:rsidP="006D77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00000A"/>
          <w:sz w:val="24"/>
          <w:szCs w:val="24"/>
        </w:rPr>
        <w:drawing>
          <wp:inline distT="0" distB="0" distL="0" distR="0">
            <wp:extent cx="5952715" cy="35716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715" cy="3571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400" w:rsidRDefault="006D77BA" w:rsidP="000025F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EF25FC">
        <w:rPr>
          <w:rFonts w:ascii="Times New Roman" w:hAnsi="Times New Roman" w:cs="Times New Roman"/>
          <w:b/>
          <w:bCs/>
          <w:sz w:val="24"/>
          <w:szCs w:val="24"/>
        </w:rPr>
        <w:t xml:space="preserve">Fig. </w:t>
      </w:r>
      <w:r w:rsidR="00FD358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D4B5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F25F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F25FC">
        <w:rPr>
          <w:rFonts w:ascii="Times New Roman" w:hAnsi="Times New Roman" w:cs="Times New Roman"/>
          <w:sz w:val="24"/>
          <w:szCs w:val="24"/>
        </w:rPr>
        <w:t xml:space="preserve"> </w:t>
      </w:r>
      <w:r w:rsidR="009333CA" w:rsidRPr="001F7D0A">
        <w:rPr>
          <w:rFonts w:ascii="Times New Roman" w:hAnsi="Times New Roman" w:cs="Times New Roman"/>
          <w:iCs/>
          <w:color w:val="00000A"/>
          <w:sz w:val="24"/>
          <w:szCs w:val="24"/>
        </w:rPr>
        <w:t>Mean averaged to</w:t>
      </w:r>
      <w:r w:rsidR="000025F2">
        <w:rPr>
          <w:rFonts w:ascii="Times New Roman" w:hAnsi="Times New Roman" w:cs="Times New Roman"/>
          <w:iCs/>
          <w:color w:val="00000A"/>
          <w:sz w:val="24"/>
          <w:szCs w:val="24"/>
        </w:rPr>
        <w:t>tal dwell time by AOI and Group for (a) anger-neutral; (b) fear-neutral; and (c) sad-neutral matrices.</w:t>
      </w:r>
      <w:r w:rsidR="009333CA" w:rsidRPr="001F7D0A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Higher values indicate higher mean average dwell time in milliseconds. Error bars denote standard error of the mean. </w:t>
      </w:r>
    </w:p>
    <w:p w:rsidR="000E5400" w:rsidRDefault="000E5400">
      <w:pPr>
        <w:spacing w:after="160" w:line="259" w:lineRule="auto"/>
        <w:rPr>
          <w:rFonts w:ascii="Times New Roman" w:hAnsi="Times New Roman" w:cs="Times New Roman"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Cs/>
          <w:color w:val="00000A"/>
          <w:sz w:val="24"/>
          <w:szCs w:val="24"/>
        </w:rPr>
        <w:br w:type="page"/>
      </w:r>
    </w:p>
    <w:p w:rsidR="000E5400" w:rsidRDefault="000E5400" w:rsidP="000E540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00000A"/>
          <w:sz w:val="24"/>
          <w:szCs w:val="24"/>
        </w:rPr>
        <w:lastRenderedPageBreak/>
        <w:drawing>
          <wp:inline distT="0" distB="0" distL="0" distR="0" wp14:anchorId="2FD696B1" wp14:editId="565FDE37">
            <wp:extent cx="5766631" cy="36753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1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631" cy="367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4A8" w:rsidRPr="000025F2" w:rsidRDefault="000E5400" w:rsidP="00442AF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EF25FC">
        <w:rPr>
          <w:rFonts w:ascii="Times New Roman" w:hAnsi="Times New Roman" w:cs="Times New Roman"/>
          <w:b/>
          <w:bCs/>
          <w:sz w:val="24"/>
          <w:szCs w:val="24"/>
        </w:rPr>
        <w:t xml:space="preserve">Fig. </w:t>
      </w:r>
      <w:r w:rsidR="00FD358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D4B5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F25F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F2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A"/>
          <w:sz w:val="24"/>
          <w:szCs w:val="24"/>
        </w:rPr>
        <w:t>A</w:t>
      </w:r>
      <w:r w:rsidRPr="001F7D0A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veraged </w:t>
      </w:r>
      <w:r>
        <w:rPr>
          <w:rFonts w:ascii="Times New Roman" w:hAnsi="Times New Roman" w:cs="Times New Roman"/>
          <w:iCs/>
          <w:color w:val="00000A"/>
          <w:sz w:val="24"/>
          <w:szCs w:val="24"/>
        </w:rPr>
        <w:t>first fixation dwell time by AOI and Group for (a) anger-neutral; (b) fear-neutral; and (c) sad-neutral matrices.</w:t>
      </w:r>
      <w:r w:rsidRPr="001F7D0A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Higher values indicate higher average dwell time in milliseconds. Error bars denote standard error of the mean. </w:t>
      </w:r>
      <w:bookmarkStart w:id="0" w:name="_GoBack"/>
      <w:bookmarkEnd w:id="0"/>
    </w:p>
    <w:p w:rsidR="00BE612E" w:rsidRPr="000025F2" w:rsidRDefault="00BE612E" w:rsidP="000025F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color w:val="00000A"/>
          <w:sz w:val="24"/>
          <w:szCs w:val="24"/>
        </w:rPr>
      </w:pPr>
    </w:p>
    <w:sectPr w:rsidR="00BE612E" w:rsidRPr="00002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BA"/>
    <w:rsid w:val="000025F2"/>
    <w:rsid w:val="000E5400"/>
    <w:rsid w:val="001704A8"/>
    <w:rsid w:val="002321EE"/>
    <w:rsid w:val="002D7CF9"/>
    <w:rsid w:val="003C3690"/>
    <w:rsid w:val="00404BE6"/>
    <w:rsid w:val="00430487"/>
    <w:rsid w:val="00442AF8"/>
    <w:rsid w:val="004F247D"/>
    <w:rsid w:val="0057655C"/>
    <w:rsid w:val="006D77BA"/>
    <w:rsid w:val="009333CA"/>
    <w:rsid w:val="009C6CA6"/>
    <w:rsid w:val="009D7430"/>
    <w:rsid w:val="00B2213C"/>
    <w:rsid w:val="00B3425B"/>
    <w:rsid w:val="00BE612E"/>
    <w:rsid w:val="00BF0C4D"/>
    <w:rsid w:val="00CD4B55"/>
    <w:rsid w:val="00F25BCC"/>
    <w:rsid w:val="00F77BEE"/>
    <w:rsid w:val="00FD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9A3FE"/>
  <w15:chartTrackingRefBased/>
  <w15:docId w15:val="{A4562A48-3653-4CD1-AC7A-F2D83666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7BA"/>
    <w:pPr>
      <w:spacing w:after="200" w:line="276" w:lineRule="auto"/>
    </w:pPr>
    <w:rPr>
      <w:rFonts w:ascii="Calibri" w:eastAsia="Calibri" w:hAnsi="Calibri" w:cs="Arial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Lazarov, Amit (NYSPI)</dc:creator>
  <cp:keywords/>
  <dc:description/>
  <cp:lastModifiedBy>Amit</cp:lastModifiedBy>
  <cp:revision>14</cp:revision>
  <dcterms:created xsi:type="dcterms:W3CDTF">2020-08-24T10:01:00Z</dcterms:created>
  <dcterms:modified xsi:type="dcterms:W3CDTF">2020-12-22T09:32:00Z</dcterms:modified>
</cp:coreProperties>
</file>