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05EBF" w14:textId="59B4C563" w:rsidR="00996893" w:rsidRPr="00593C23" w:rsidRDefault="00DB24A4" w:rsidP="007F053F">
      <w:pPr>
        <w:spacing w:line="480" w:lineRule="auto"/>
        <w:contextualSpacing/>
        <w:jc w:val="center"/>
        <w:rPr>
          <w:rFonts w:cs="Arial"/>
          <w:b/>
          <w:sz w:val="24"/>
          <w:szCs w:val="24"/>
        </w:rPr>
      </w:pPr>
      <w:r w:rsidRPr="00593C23">
        <w:rPr>
          <w:rFonts w:cs="Arial"/>
          <w:b/>
          <w:sz w:val="24"/>
          <w:szCs w:val="24"/>
        </w:rPr>
        <w:t>Supplemental Material</w:t>
      </w:r>
    </w:p>
    <w:p w14:paraId="183D03B6" w14:textId="77777777" w:rsidR="00DB24A4" w:rsidRPr="00593C23" w:rsidRDefault="00DB24A4" w:rsidP="00DB24A4">
      <w:pPr>
        <w:spacing w:line="480" w:lineRule="auto"/>
        <w:contextualSpacing/>
        <w:jc w:val="center"/>
        <w:rPr>
          <w:rFonts w:cs="Arial"/>
          <w:b/>
          <w:sz w:val="24"/>
          <w:szCs w:val="24"/>
        </w:rPr>
      </w:pPr>
      <w:r w:rsidRPr="00593C23">
        <w:rPr>
          <w:rFonts w:cs="Arial"/>
          <w:b/>
          <w:sz w:val="24"/>
          <w:szCs w:val="24"/>
        </w:rPr>
        <w:t>Methods</w:t>
      </w:r>
    </w:p>
    <w:p w14:paraId="77C4286B" w14:textId="77777777" w:rsidR="00DB24A4" w:rsidRPr="00593C23" w:rsidRDefault="00DB24A4" w:rsidP="00DB24A4">
      <w:pPr>
        <w:spacing w:line="480" w:lineRule="auto"/>
        <w:contextualSpacing/>
        <w:rPr>
          <w:rFonts w:cs="Arial"/>
          <w:b/>
          <w:sz w:val="24"/>
          <w:szCs w:val="24"/>
        </w:rPr>
      </w:pPr>
      <w:r w:rsidRPr="00593C23">
        <w:rPr>
          <w:rFonts w:cs="Arial"/>
          <w:b/>
          <w:sz w:val="24"/>
          <w:szCs w:val="24"/>
        </w:rPr>
        <w:t>Participants</w:t>
      </w:r>
    </w:p>
    <w:p w14:paraId="64A5761F" w14:textId="033FF495" w:rsidR="00FD053C" w:rsidRPr="00593C23" w:rsidRDefault="00DB24A4" w:rsidP="002E0DEB">
      <w:pPr>
        <w:spacing w:line="480" w:lineRule="auto"/>
        <w:contextualSpacing/>
        <w:rPr>
          <w:rFonts w:cs="Times New Roman"/>
          <w:sz w:val="24"/>
          <w:szCs w:val="24"/>
        </w:rPr>
      </w:pPr>
      <w:r w:rsidRPr="00593C23">
        <w:rPr>
          <w:rFonts w:cs="Arial"/>
          <w:sz w:val="24"/>
          <w:szCs w:val="24"/>
        </w:rPr>
        <w:tab/>
      </w:r>
      <w:r w:rsidR="004E331B" w:rsidRPr="00593C23">
        <w:rPr>
          <w:rFonts w:asciiTheme="minorHAnsi" w:hAnsiTheme="minorHAnsi"/>
          <w:sz w:val="24"/>
          <w:szCs w:val="24"/>
        </w:rPr>
        <w:t xml:space="preserve"> </w:t>
      </w:r>
      <w:r w:rsidR="00FD053C" w:rsidRPr="00593C23">
        <w:rPr>
          <w:rFonts w:cs="AdvpalSR"/>
          <w:color w:val="231F20"/>
          <w:sz w:val="24"/>
          <w:szCs w:val="24"/>
        </w:rPr>
        <w:t>Comorbid diagnoses were</w:t>
      </w:r>
      <w:r w:rsidR="00EB093A" w:rsidRPr="00593C23">
        <w:rPr>
          <w:rFonts w:cs="AdvpalSR"/>
          <w:color w:val="231F20"/>
          <w:sz w:val="24"/>
          <w:szCs w:val="24"/>
        </w:rPr>
        <w:t xml:space="preserve"> generalized anxiety disorder (26.7%, n=24), social anxiety disorder (26.7%, n=24), major depressive disorder (26.7%, n=24), panic disorder (21.1%, n=19), persistent depressive disorder (15.6%, n=14), specific phobia (14.4%, n=13), posttraumatic stress disorder (13.3%, n=12), eating disorder (5.6%, n=5), alcohol abuse (2.2%, n=2), obsessive compulsive disorder (2.2%, n=2), </w:t>
      </w:r>
      <w:r w:rsidR="00913DAB">
        <w:rPr>
          <w:rFonts w:cs="AdvpalSR"/>
          <w:color w:val="231F20"/>
          <w:sz w:val="24"/>
          <w:szCs w:val="24"/>
        </w:rPr>
        <w:t xml:space="preserve">and </w:t>
      </w:r>
      <w:r w:rsidR="00EB093A" w:rsidRPr="00593C23">
        <w:rPr>
          <w:rFonts w:cs="AdvpalSR"/>
          <w:color w:val="231F20"/>
          <w:sz w:val="24"/>
          <w:szCs w:val="24"/>
        </w:rPr>
        <w:t>acute adjustment disorder (1.1%, n=1).</w:t>
      </w:r>
      <w:r w:rsidR="00FD053C" w:rsidRPr="00593C23">
        <w:rPr>
          <w:rFonts w:cs="AdvpalSR"/>
          <w:color w:val="231F20"/>
          <w:sz w:val="24"/>
          <w:szCs w:val="24"/>
        </w:rPr>
        <w:t xml:space="preserve">   </w:t>
      </w:r>
      <w:r w:rsidR="00FD053C" w:rsidRPr="00593C23">
        <w:rPr>
          <w:rFonts w:cs="Arial"/>
          <w:sz w:val="24"/>
          <w:szCs w:val="24"/>
        </w:rPr>
        <w:t xml:space="preserve">  </w:t>
      </w:r>
    </w:p>
    <w:p w14:paraId="0A41319A" w14:textId="0734630A" w:rsidR="00DA3DAA" w:rsidRPr="00593C23" w:rsidRDefault="00DB24A4" w:rsidP="000B2A5B">
      <w:pPr>
        <w:spacing w:line="480" w:lineRule="auto"/>
        <w:ind w:firstLine="720"/>
        <w:contextualSpacing/>
        <w:rPr>
          <w:rFonts w:cs="AdvpalSR"/>
          <w:color w:val="231F20"/>
          <w:sz w:val="24"/>
          <w:szCs w:val="24"/>
        </w:rPr>
      </w:pPr>
      <w:r w:rsidRPr="00593C23">
        <w:rPr>
          <w:rFonts w:asciiTheme="minorHAnsi" w:hAnsiTheme="minorHAnsi" w:cs="Arial"/>
          <w:sz w:val="24"/>
          <w:szCs w:val="24"/>
        </w:rPr>
        <w:t xml:space="preserve">All </w:t>
      </w:r>
      <w:r w:rsidRPr="00593C23">
        <w:rPr>
          <w:rFonts w:asciiTheme="minorHAnsi" w:hAnsiTheme="minorHAnsi" w:cs="Times New Roman"/>
          <w:sz w:val="24"/>
          <w:szCs w:val="24"/>
        </w:rPr>
        <w:t>participants were between 18 and 65 years of age, free of major medical or neurologic illness as confirmed by a Board</w:t>
      </w:r>
      <w:r w:rsidR="00B4230D" w:rsidRPr="00593C23">
        <w:rPr>
          <w:rFonts w:asciiTheme="minorHAnsi" w:hAnsiTheme="minorHAnsi" w:cs="Times New Roman"/>
          <w:sz w:val="24"/>
          <w:szCs w:val="24"/>
        </w:rPr>
        <w:t>-</w:t>
      </w:r>
      <w:r w:rsidRPr="00593C23">
        <w:rPr>
          <w:rFonts w:asciiTheme="minorHAnsi" w:hAnsiTheme="minorHAnsi" w:cs="Times New Roman"/>
          <w:sz w:val="24"/>
          <w:szCs w:val="24"/>
        </w:rPr>
        <w:t>Certified physician.  E</w:t>
      </w:r>
      <w:r w:rsidRPr="00593C23">
        <w:rPr>
          <w:rFonts w:asciiTheme="minorHAnsi" w:hAnsiTheme="minorHAnsi" w:cs="Arial"/>
          <w:sz w:val="24"/>
          <w:szCs w:val="24"/>
        </w:rPr>
        <w:t xml:space="preserve">xclusion criteria for all participants </w:t>
      </w:r>
      <w:r w:rsidRPr="00593C23">
        <w:rPr>
          <w:rFonts w:asciiTheme="minorHAnsi" w:hAnsiTheme="minorHAnsi"/>
          <w:sz w:val="24"/>
          <w:szCs w:val="24"/>
        </w:rPr>
        <w:t xml:space="preserve">were as follows: </w:t>
      </w:r>
      <w:r w:rsidR="00913DAB">
        <w:rPr>
          <w:rFonts w:asciiTheme="minorHAnsi" w:hAnsiTheme="minorHAnsi"/>
          <w:sz w:val="24"/>
          <w:szCs w:val="24"/>
        </w:rPr>
        <w:t xml:space="preserve"> </w:t>
      </w:r>
      <w:r w:rsidRPr="00593C23">
        <w:rPr>
          <w:rFonts w:asciiTheme="minorHAnsi" w:hAnsiTheme="minorHAnsi"/>
          <w:sz w:val="24"/>
          <w:szCs w:val="24"/>
        </w:rPr>
        <w:t>inability to provide consent; current or history of psychotic symptoms, bipolar disorder, traumatic brain injury, mental retardation, pervasive developmental disorder, or dementia; active suici</w:t>
      </w:r>
      <w:r w:rsidR="00913DAB">
        <w:rPr>
          <w:rFonts w:asciiTheme="minorHAnsi" w:hAnsiTheme="minorHAnsi"/>
          <w:sz w:val="24"/>
          <w:szCs w:val="24"/>
        </w:rPr>
        <w:t>dal</w:t>
      </w:r>
      <w:r w:rsidRPr="00593C23">
        <w:rPr>
          <w:rFonts w:asciiTheme="minorHAnsi" w:hAnsiTheme="minorHAnsi"/>
          <w:sz w:val="24"/>
          <w:szCs w:val="24"/>
        </w:rPr>
        <w:t xml:space="preserve"> ideation</w:t>
      </w:r>
      <w:r w:rsidR="00913DAB">
        <w:rPr>
          <w:rFonts w:asciiTheme="minorHAnsi" w:hAnsiTheme="minorHAnsi"/>
          <w:sz w:val="24"/>
          <w:szCs w:val="24"/>
        </w:rPr>
        <w:t xml:space="preserve"> (within 6 months of study entry)</w:t>
      </w:r>
      <w:r w:rsidRPr="00593C23">
        <w:rPr>
          <w:rFonts w:asciiTheme="minorHAnsi" w:hAnsiTheme="minorHAnsi"/>
          <w:sz w:val="24"/>
          <w:szCs w:val="24"/>
        </w:rPr>
        <w:t>; current alcohol or substance dependence (within 6 months of study</w:t>
      </w:r>
      <w:r w:rsidR="00913DAB">
        <w:rPr>
          <w:rFonts w:asciiTheme="minorHAnsi" w:hAnsiTheme="minorHAnsi"/>
          <w:sz w:val="24"/>
          <w:szCs w:val="24"/>
        </w:rPr>
        <w:t xml:space="preserve"> entry</w:t>
      </w:r>
      <w:r w:rsidRPr="00593C23">
        <w:rPr>
          <w:sz w:val="24"/>
          <w:szCs w:val="24"/>
        </w:rPr>
        <w:t xml:space="preserve">); treatment (e.g., pharmacotherapy, psychotherapy) at the time of study entry and during the study; </w:t>
      </w:r>
      <w:r w:rsidRPr="00593C23">
        <w:rPr>
          <w:noProof/>
          <w:sz w:val="24"/>
          <w:szCs w:val="24"/>
        </w:rPr>
        <w:t xml:space="preserve">previous trial of Cognitive Behavioral Therapy; and </w:t>
      </w:r>
      <w:r w:rsidRPr="00593C23">
        <w:rPr>
          <w:sz w:val="24"/>
          <w:szCs w:val="24"/>
        </w:rPr>
        <w:t xml:space="preserve">contraindications to </w:t>
      </w:r>
      <w:r w:rsidRPr="00593C23">
        <w:rPr>
          <w:noProof/>
          <w:sz w:val="24"/>
          <w:szCs w:val="24"/>
        </w:rPr>
        <w:t xml:space="preserve">magnetic resonance imaging (e.g., pregnancy, non-removable ferrous objects, claustophobia).  </w:t>
      </w:r>
      <w:r w:rsidR="000B2A5B" w:rsidRPr="00593C23">
        <w:rPr>
          <w:rFonts w:cs="Arial"/>
          <w:sz w:val="24"/>
          <w:szCs w:val="24"/>
        </w:rPr>
        <w:t xml:space="preserve">Healthy participants could not have current or lifetime history of an Axis I disorder.  </w:t>
      </w:r>
      <w:r w:rsidRPr="00593C23">
        <w:rPr>
          <w:rFonts w:cs="Times New Roman"/>
          <w:sz w:val="24"/>
          <w:szCs w:val="24"/>
        </w:rPr>
        <w:t>None of the p</w:t>
      </w:r>
      <w:r w:rsidRPr="00593C23">
        <w:rPr>
          <w:rFonts w:cs="AdvpalSR"/>
          <w:color w:val="231F20"/>
          <w:sz w:val="24"/>
          <w:szCs w:val="24"/>
        </w:rPr>
        <w:t xml:space="preserve">articipants tested positive on a urine toxicology screen before scans.  </w:t>
      </w:r>
    </w:p>
    <w:p w14:paraId="0FC41BA3" w14:textId="27E5A197" w:rsidR="004E4395" w:rsidRPr="00593C23" w:rsidRDefault="00B97D0B" w:rsidP="002E0DEB">
      <w:pPr>
        <w:spacing w:line="480" w:lineRule="auto"/>
        <w:ind w:firstLine="720"/>
        <w:contextualSpacing/>
        <w:rPr>
          <w:rFonts w:asciiTheme="minorHAnsi" w:hAnsiTheme="minorHAnsi" w:cstheme="minorHAnsi"/>
          <w:sz w:val="24"/>
          <w:szCs w:val="24"/>
        </w:rPr>
      </w:pPr>
      <w:r w:rsidRPr="00593C23">
        <w:rPr>
          <w:rFonts w:cs="AdvpalSR"/>
          <w:color w:val="231F20"/>
          <w:sz w:val="24"/>
          <w:szCs w:val="24"/>
        </w:rPr>
        <w:t xml:space="preserve">Participants were recruited from the Mood and Anxiety Clinic at </w:t>
      </w:r>
      <w:r w:rsidR="00483358">
        <w:rPr>
          <w:rFonts w:cs="AdvpalSR"/>
          <w:color w:val="231F20"/>
          <w:sz w:val="24"/>
          <w:szCs w:val="24"/>
        </w:rPr>
        <w:t>the University of Illinois at Chicago</w:t>
      </w:r>
      <w:r w:rsidRPr="00593C23">
        <w:rPr>
          <w:rFonts w:cs="AdvpalSR"/>
          <w:color w:val="231F20"/>
          <w:sz w:val="24"/>
          <w:szCs w:val="24"/>
        </w:rPr>
        <w:t xml:space="preserve"> via referrals and in the community through flyers and internet advertisements. Interested participants completed a phone screen followed by a psychiatric evaluation during </w:t>
      </w:r>
      <w:r w:rsidRPr="00593C23">
        <w:rPr>
          <w:rFonts w:cs="AdvpalSR"/>
          <w:color w:val="231F20"/>
          <w:sz w:val="24"/>
          <w:szCs w:val="24"/>
        </w:rPr>
        <w:lastRenderedPageBreak/>
        <w:t xml:space="preserve">which time they reviewed the consent </w:t>
      </w:r>
      <w:r w:rsidRPr="00593C23">
        <w:rPr>
          <w:rFonts w:asciiTheme="minorHAnsi" w:hAnsiTheme="minorHAnsi" w:cstheme="minorHAnsi"/>
          <w:color w:val="231F20"/>
          <w:sz w:val="24"/>
          <w:szCs w:val="24"/>
        </w:rPr>
        <w:t xml:space="preserve">form as approved by the local </w:t>
      </w:r>
      <w:r w:rsidRPr="00593C23">
        <w:rPr>
          <w:rFonts w:asciiTheme="minorHAnsi" w:hAnsiTheme="minorHAnsi" w:cstheme="minorHAnsi"/>
          <w:sz w:val="24"/>
          <w:szCs w:val="24"/>
        </w:rPr>
        <w:t>Institutional Review Board at the University of Illinois at Chicago.</w:t>
      </w:r>
      <w:r w:rsidR="00D90876" w:rsidRPr="00593C23">
        <w:rPr>
          <w:rFonts w:asciiTheme="minorHAnsi" w:hAnsiTheme="minorHAnsi" w:cstheme="minorHAnsi"/>
          <w:sz w:val="24"/>
          <w:szCs w:val="24"/>
        </w:rPr>
        <w:t xml:space="preserve">  </w:t>
      </w:r>
      <w:r w:rsidR="004E331B" w:rsidRPr="00593C23">
        <w:rPr>
          <w:rFonts w:asciiTheme="minorHAnsi" w:hAnsiTheme="minorHAnsi" w:cstheme="minorHAnsi"/>
          <w:sz w:val="24"/>
          <w:szCs w:val="24"/>
        </w:rPr>
        <w:t>After attaining consent, all participants completed the Structured Clinical Interview (i.e., SCID-5)</w:t>
      </w:r>
      <w:r w:rsidR="00D00AA7" w:rsidRPr="00593C23">
        <w:rPr>
          <w:rFonts w:asciiTheme="minorHAnsi" w:hAnsiTheme="minorHAnsi" w:cstheme="minorHAnsi"/>
          <w:sz w:val="24"/>
          <w:szCs w:val="24"/>
        </w:rPr>
        <w:t xml:space="preserve"> by a non-treating trained staff clinician</w:t>
      </w:r>
      <w:r w:rsidR="004E331B" w:rsidRPr="00593C23">
        <w:rPr>
          <w:rFonts w:asciiTheme="minorHAnsi" w:hAnsiTheme="minorHAnsi" w:cstheme="minorHAnsi"/>
          <w:sz w:val="24"/>
          <w:szCs w:val="24"/>
        </w:rPr>
        <w:t xml:space="preserve">. </w:t>
      </w:r>
      <w:r w:rsidR="00DB24A4" w:rsidRPr="00593C23">
        <w:rPr>
          <w:rFonts w:asciiTheme="minorHAnsi" w:hAnsiTheme="minorHAnsi" w:cstheme="minorHAnsi"/>
          <w:sz w:val="24"/>
          <w:szCs w:val="24"/>
        </w:rPr>
        <w:t>Eligibi</w:t>
      </w:r>
      <w:r w:rsidR="00BD2F15" w:rsidRPr="00593C23">
        <w:rPr>
          <w:rFonts w:asciiTheme="minorHAnsi" w:hAnsiTheme="minorHAnsi" w:cstheme="minorHAnsi"/>
          <w:sz w:val="24"/>
          <w:szCs w:val="24"/>
        </w:rPr>
        <w:t>lity for treatment was based on</w:t>
      </w:r>
      <w:r w:rsidR="00DB24A4" w:rsidRPr="00593C23">
        <w:rPr>
          <w:rFonts w:asciiTheme="minorHAnsi" w:hAnsiTheme="minorHAnsi" w:cstheme="minorHAnsi"/>
          <w:sz w:val="24"/>
          <w:szCs w:val="24"/>
        </w:rPr>
        <w:t xml:space="preserve"> the Structured Clinical Interview</w:t>
      </w:r>
      <w:r w:rsidR="00501EA7" w:rsidRPr="00593C23">
        <w:rPr>
          <w:rFonts w:asciiTheme="minorHAnsi" w:hAnsiTheme="minorHAnsi" w:cstheme="minorHAnsi"/>
          <w:sz w:val="24"/>
          <w:szCs w:val="24"/>
          <w:vertAlign w:val="superscript"/>
        </w:rPr>
        <w:t xml:space="preserve"> </w:t>
      </w:r>
      <w:r w:rsidR="002C66BD" w:rsidRPr="00593C23">
        <w:rPr>
          <w:rFonts w:asciiTheme="minorHAnsi" w:hAnsiTheme="minorHAnsi" w:cstheme="minorHAnsi"/>
          <w:sz w:val="24"/>
          <w:szCs w:val="24"/>
        </w:rPr>
        <w:fldChar w:fldCharType="begin"/>
      </w:r>
      <w:r w:rsidR="002C66BD" w:rsidRPr="00593C23">
        <w:rPr>
          <w:rFonts w:asciiTheme="minorHAnsi" w:hAnsiTheme="minorHAnsi" w:cstheme="minorHAnsi"/>
          <w:sz w:val="24"/>
          <w:szCs w:val="24"/>
        </w:rPr>
        <w:instrText xml:space="preserve"> ADDIN ZOTERO_ITEM CSL_CITATION {"citationID":"ZxoRbYlb","properties":{"formattedCitation":"(American Psychiatric Association 2015)","plainCitation":"(American Psychiatric Association 2015)","noteIndex":0},"citationItems":[{"id":110,"uris":["http://zotero.org/users/local/YUiw2YqN/items/4IGQ4Z5V"],"uri":["http://zotero.org/users/local/YUiw2YqN/items/4IGQ4Z5V"],"itemData":{"id":110,"type":"book","title":"Structured clinical interview for DSM-5 (SCID-5)","publisher":"Washington, DC: American Psychiatric Association","author":[{"family":"American Psychiatric Association","given":""}],"issued":{"date-parts":[["2015"]]}}}],"schema":"https://github.com/citation-style-language/schema/raw/master/csl-citation.json"} </w:instrText>
      </w:r>
      <w:r w:rsidR="002C66BD" w:rsidRPr="00593C23">
        <w:rPr>
          <w:rFonts w:asciiTheme="minorHAnsi" w:hAnsiTheme="minorHAnsi" w:cstheme="minorHAnsi"/>
          <w:sz w:val="24"/>
          <w:szCs w:val="24"/>
        </w:rPr>
        <w:fldChar w:fldCharType="separate"/>
      </w:r>
      <w:r w:rsidR="002C66BD" w:rsidRPr="00593C23">
        <w:rPr>
          <w:rFonts w:asciiTheme="minorHAnsi" w:hAnsiTheme="minorHAnsi" w:cstheme="minorHAnsi"/>
          <w:noProof/>
          <w:sz w:val="24"/>
          <w:szCs w:val="24"/>
        </w:rPr>
        <w:t>(First et al., 2015)</w:t>
      </w:r>
      <w:r w:rsidR="002C66BD" w:rsidRPr="00593C23">
        <w:rPr>
          <w:rFonts w:asciiTheme="minorHAnsi" w:hAnsiTheme="minorHAnsi" w:cstheme="minorHAnsi"/>
          <w:sz w:val="24"/>
          <w:szCs w:val="24"/>
        </w:rPr>
        <w:fldChar w:fldCharType="end"/>
      </w:r>
      <w:r w:rsidR="002C66BD" w:rsidRPr="00593C23">
        <w:rPr>
          <w:rFonts w:asciiTheme="minorHAnsi" w:hAnsiTheme="minorHAnsi" w:cstheme="minorHAnsi"/>
          <w:sz w:val="24"/>
          <w:szCs w:val="24"/>
        </w:rPr>
        <w:t xml:space="preserve"> </w:t>
      </w:r>
      <w:r w:rsidR="00DB24A4" w:rsidRPr="00593C23">
        <w:rPr>
          <w:rFonts w:asciiTheme="minorHAnsi" w:hAnsiTheme="minorHAnsi" w:cstheme="minorHAnsi"/>
          <w:sz w:val="24"/>
          <w:szCs w:val="24"/>
        </w:rPr>
        <w:t>relevant clinical assessments</w:t>
      </w:r>
      <w:r w:rsidR="00D00AA7" w:rsidRPr="00593C23">
        <w:rPr>
          <w:rFonts w:asciiTheme="minorHAnsi" w:hAnsiTheme="minorHAnsi" w:cstheme="minorHAnsi"/>
          <w:sz w:val="24"/>
          <w:szCs w:val="24"/>
        </w:rPr>
        <w:t xml:space="preserve"> by a non-treating trained staff clinician</w:t>
      </w:r>
      <w:r w:rsidR="00DB24A4" w:rsidRPr="00593C23">
        <w:rPr>
          <w:rFonts w:asciiTheme="minorHAnsi" w:hAnsiTheme="minorHAnsi" w:cstheme="minorHAnsi"/>
          <w:sz w:val="24"/>
          <w:szCs w:val="24"/>
        </w:rPr>
        <w:t xml:space="preserve">, and Best-Estimate/Consensus Panel of study staff members (e.g., clinical psychologist, psychiatrist, clinical assessor).  </w:t>
      </w:r>
      <w:r w:rsidR="000B2A5B" w:rsidRPr="00593C23">
        <w:rPr>
          <w:rFonts w:asciiTheme="minorHAnsi" w:hAnsiTheme="minorHAnsi" w:cstheme="minorHAnsi"/>
          <w:sz w:val="24"/>
          <w:szCs w:val="24"/>
        </w:rPr>
        <w:t xml:space="preserve">A non-treating trained staff clinician assessed symptom severity before and immediately after CBT was completed.  </w:t>
      </w:r>
    </w:p>
    <w:p w14:paraId="437E7BD7" w14:textId="77777777" w:rsidR="003A78F4" w:rsidRPr="00593C23" w:rsidRDefault="003A78F4" w:rsidP="003A78F4">
      <w:pPr>
        <w:autoSpaceDE w:val="0"/>
        <w:autoSpaceDN w:val="0"/>
        <w:adjustRightInd w:val="0"/>
        <w:spacing w:line="480" w:lineRule="auto"/>
        <w:contextualSpacing/>
        <w:rPr>
          <w:rFonts w:cs="AdvpalSR"/>
          <w:b/>
          <w:bCs/>
          <w:color w:val="231F20"/>
          <w:sz w:val="24"/>
          <w:szCs w:val="24"/>
        </w:rPr>
      </w:pPr>
      <w:r w:rsidRPr="00593C23">
        <w:rPr>
          <w:rFonts w:cs="AdvpalSR"/>
          <w:b/>
          <w:bCs/>
          <w:color w:val="231F20"/>
          <w:sz w:val="24"/>
          <w:szCs w:val="24"/>
        </w:rPr>
        <w:t>Open trial CBT vs. randomized-to-CBT trial</w:t>
      </w:r>
    </w:p>
    <w:p w14:paraId="6661B182" w14:textId="77777777" w:rsidR="003A78F4" w:rsidRPr="00593C23" w:rsidRDefault="003A78F4" w:rsidP="003A78F4">
      <w:pPr>
        <w:spacing w:line="480" w:lineRule="auto"/>
        <w:ind w:firstLine="708"/>
        <w:contextualSpacing/>
        <w:rPr>
          <w:sz w:val="24"/>
          <w:szCs w:val="24"/>
        </w:rPr>
      </w:pPr>
      <w:r w:rsidRPr="00593C23">
        <w:rPr>
          <w:sz w:val="24"/>
          <w:szCs w:val="24"/>
        </w:rPr>
        <w:t xml:space="preserve">Data was collected across two studies.  One comprised an open trial of 12 weeks of cognitive behavioral therapy (CBT) with patients diagnosed with social anxiety disorder (n=32), major depressive disorder (n=13), generalized anxiety disorder (n=9), or panic disorder (n=2).  The other involved a clinical trial where patients were randomized to 12 weeks of CBT or medication.  </w:t>
      </w:r>
      <w:r w:rsidRPr="00593C23">
        <w:rPr>
          <w:color w:val="222222"/>
          <w:sz w:val="24"/>
          <w:szCs w:val="24"/>
          <w:lang w:val="en"/>
        </w:rPr>
        <w:t xml:space="preserve">In the clinical trial study, analysis was </w:t>
      </w:r>
      <w:r w:rsidRPr="00593C23">
        <w:rPr>
          <w:sz w:val="24"/>
          <w:szCs w:val="24"/>
        </w:rPr>
        <w:t xml:space="preserve">limited to patients who completed the CBT arm, which consisted of patients diagnosed with generalized anxiety disorder (n=16), social anxiety disorder (n=6), major depressive disorder (n=5), panic disorder (n=3), posttraumatic stress disorder (n=3), or persistent depressive disorder (n=1).  </w:t>
      </w:r>
    </w:p>
    <w:p w14:paraId="31E43215" w14:textId="61DA24D7" w:rsidR="00AA31E9" w:rsidRPr="00593C23" w:rsidRDefault="00B44BD1" w:rsidP="003A78F4">
      <w:pPr>
        <w:autoSpaceDE w:val="0"/>
        <w:autoSpaceDN w:val="0"/>
        <w:adjustRightInd w:val="0"/>
        <w:spacing w:line="480" w:lineRule="auto"/>
        <w:ind w:firstLine="708"/>
        <w:contextualSpacing/>
        <w:rPr>
          <w:bCs/>
          <w:sz w:val="24"/>
          <w:szCs w:val="24"/>
        </w:rPr>
      </w:pPr>
      <w:r w:rsidRPr="00593C23">
        <w:rPr>
          <w:bCs/>
          <w:sz w:val="24"/>
          <w:szCs w:val="24"/>
        </w:rPr>
        <w:t>Independent t-tests revealed p</w:t>
      </w:r>
      <w:r w:rsidR="003A78F4" w:rsidRPr="00593C23">
        <w:rPr>
          <w:bCs/>
          <w:sz w:val="24"/>
          <w:szCs w:val="24"/>
        </w:rPr>
        <w:t xml:space="preserve">atients from the open trial study were more socially anxious (LSAS: 72.36 ± 22.11) than randomized-to-CBT patients (LSAS: 59.03 ± 25.08) </w:t>
      </w:r>
      <w:r w:rsidR="003A78F4" w:rsidRPr="00593C23">
        <w:rPr>
          <w:sz w:val="24"/>
          <w:szCs w:val="24"/>
        </w:rPr>
        <w:t>[</w:t>
      </w:r>
      <w:r w:rsidR="003A78F4" w:rsidRPr="00593C23">
        <w:rPr>
          <w:i/>
          <w:sz w:val="24"/>
          <w:szCs w:val="24"/>
          <w:lang w:val="en"/>
        </w:rPr>
        <w:t>t</w:t>
      </w:r>
      <w:r w:rsidR="003A78F4" w:rsidRPr="00593C23">
        <w:rPr>
          <w:sz w:val="24"/>
          <w:szCs w:val="24"/>
          <w:lang w:val="en"/>
        </w:rPr>
        <w:t xml:space="preserve">(88)=2.63, </w:t>
      </w:r>
      <w:r w:rsidR="003A78F4" w:rsidRPr="00593C23">
        <w:rPr>
          <w:iCs/>
          <w:sz w:val="24"/>
          <w:szCs w:val="24"/>
          <w:lang w:val="en"/>
        </w:rPr>
        <w:t>p</w:t>
      </w:r>
      <w:r w:rsidR="003A78F4" w:rsidRPr="00593C23">
        <w:rPr>
          <w:sz w:val="24"/>
          <w:szCs w:val="24"/>
          <w:lang w:val="en"/>
        </w:rPr>
        <w:t>=0.010]</w:t>
      </w:r>
      <w:r w:rsidR="003A78F4" w:rsidRPr="00593C23">
        <w:rPr>
          <w:sz w:val="24"/>
          <w:szCs w:val="24"/>
        </w:rPr>
        <w:t xml:space="preserve"> but endorsed less symptom severity (DASS: </w:t>
      </w:r>
      <w:r w:rsidR="003A78F4" w:rsidRPr="00593C23">
        <w:rPr>
          <w:bCs/>
          <w:sz w:val="24"/>
          <w:szCs w:val="24"/>
        </w:rPr>
        <w:t xml:space="preserve">26.16 ± 11.63) than the randomized sample </w:t>
      </w:r>
      <w:r w:rsidR="003A78F4" w:rsidRPr="00593C23">
        <w:rPr>
          <w:sz w:val="24"/>
          <w:szCs w:val="24"/>
        </w:rPr>
        <w:t xml:space="preserve">(DASS: </w:t>
      </w:r>
      <w:r w:rsidR="003A78F4" w:rsidRPr="00593C23">
        <w:rPr>
          <w:bCs/>
          <w:sz w:val="24"/>
          <w:szCs w:val="24"/>
        </w:rPr>
        <w:t xml:space="preserve">30.91 ± 6.37) </w:t>
      </w:r>
      <w:r w:rsidR="003A78F4" w:rsidRPr="00593C23">
        <w:rPr>
          <w:sz w:val="24"/>
          <w:szCs w:val="24"/>
        </w:rPr>
        <w:t>[</w:t>
      </w:r>
      <w:r w:rsidR="003A78F4" w:rsidRPr="00593C23">
        <w:rPr>
          <w:i/>
          <w:sz w:val="24"/>
          <w:szCs w:val="24"/>
          <w:lang w:val="en"/>
        </w:rPr>
        <w:t>t</w:t>
      </w:r>
      <w:r w:rsidR="003A78F4" w:rsidRPr="00593C23">
        <w:rPr>
          <w:sz w:val="24"/>
          <w:szCs w:val="24"/>
          <w:lang w:val="en"/>
        </w:rPr>
        <w:t xml:space="preserve">(88)=2.187, </w:t>
      </w:r>
      <w:r w:rsidR="003A78F4" w:rsidRPr="00593C23">
        <w:rPr>
          <w:iCs/>
          <w:sz w:val="24"/>
          <w:szCs w:val="24"/>
          <w:lang w:val="en"/>
        </w:rPr>
        <w:t>p</w:t>
      </w:r>
      <w:r w:rsidR="003A78F4" w:rsidRPr="00593C23">
        <w:rPr>
          <w:sz w:val="24"/>
          <w:szCs w:val="24"/>
          <w:lang w:val="en"/>
        </w:rPr>
        <w:t xml:space="preserve">=0.031].  </w:t>
      </w:r>
      <w:r w:rsidR="006040DE" w:rsidRPr="00593C23">
        <w:rPr>
          <w:sz w:val="24"/>
          <w:szCs w:val="24"/>
          <w:lang w:val="en"/>
        </w:rPr>
        <w:t>Yet, p</w:t>
      </w:r>
      <w:r w:rsidR="003A78F4" w:rsidRPr="00593C23">
        <w:rPr>
          <w:sz w:val="24"/>
          <w:szCs w:val="24"/>
          <w:lang w:val="en"/>
        </w:rPr>
        <w:t>atients from the open trial study were equivalent in</w:t>
      </w:r>
      <w:r w:rsidR="00596EDF">
        <w:rPr>
          <w:sz w:val="24"/>
          <w:szCs w:val="24"/>
          <w:lang w:val="en"/>
        </w:rPr>
        <w:t xml:space="preserve"> general</w:t>
      </w:r>
      <w:r w:rsidR="003A78F4" w:rsidRPr="00593C23">
        <w:rPr>
          <w:sz w:val="24"/>
          <w:szCs w:val="24"/>
          <w:lang w:val="en"/>
        </w:rPr>
        <w:t xml:space="preserve"> anxiety level </w:t>
      </w:r>
      <w:r w:rsidR="003A78F4" w:rsidRPr="00593C23">
        <w:rPr>
          <w:bCs/>
          <w:sz w:val="24"/>
          <w:szCs w:val="24"/>
        </w:rPr>
        <w:t xml:space="preserve">(HAMA: 15.25 ± 8.45) compared to </w:t>
      </w:r>
      <w:r w:rsidR="003A78F4" w:rsidRPr="00593C23">
        <w:rPr>
          <w:bCs/>
          <w:sz w:val="24"/>
          <w:szCs w:val="24"/>
        </w:rPr>
        <w:lastRenderedPageBreak/>
        <w:t xml:space="preserve">randomized-to-CBT patients (HAMA: 16.82 ± 5.00) </w:t>
      </w:r>
      <w:r w:rsidR="003A78F4" w:rsidRPr="00593C23">
        <w:rPr>
          <w:sz w:val="24"/>
          <w:szCs w:val="24"/>
        </w:rPr>
        <w:t>[</w:t>
      </w:r>
      <w:r w:rsidR="003A78F4" w:rsidRPr="00593C23">
        <w:rPr>
          <w:i/>
          <w:sz w:val="24"/>
          <w:szCs w:val="24"/>
          <w:lang w:val="en"/>
        </w:rPr>
        <w:t>t</w:t>
      </w:r>
      <w:r w:rsidR="003A78F4" w:rsidRPr="00593C23">
        <w:rPr>
          <w:sz w:val="24"/>
          <w:szCs w:val="24"/>
          <w:lang w:val="en"/>
        </w:rPr>
        <w:t xml:space="preserve">(88)=0.98, </w:t>
      </w:r>
      <w:r w:rsidR="003A78F4" w:rsidRPr="00593C23">
        <w:rPr>
          <w:iCs/>
          <w:sz w:val="24"/>
          <w:szCs w:val="24"/>
          <w:lang w:val="en"/>
        </w:rPr>
        <w:t>p</w:t>
      </w:r>
      <w:r w:rsidR="003A78F4" w:rsidRPr="00593C23">
        <w:rPr>
          <w:sz w:val="24"/>
          <w:szCs w:val="24"/>
          <w:lang w:val="en"/>
        </w:rPr>
        <w:t xml:space="preserve">=0.33] similar in depression level </w:t>
      </w:r>
      <w:r w:rsidR="003A78F4" w:rsidRPr="00593C23">
        <w:rPr>
          <w:bCs/>
          <w:sz w:val="24"/>
          <w:szCs w:val="24"/>
        </w:rPr>
        <w:t xml:space="preserve">(HAMD: 10.09 ± 6.11) compared to randomized-to-CBT patients (HAMD: 12.18 ± 3.73) </w:t>
      </w:r>
      <w:r w:rsidR="003A78F4" w:rsidRPr="00593C23">
        <w:rPr>
          <w:sz w:val="24"/>
          <w:szCs w:val="24"/>
        </w:rPr>
        <w:t>[</w:t>
      </w:r>
      <w:r w:rsidR="003A78F4" w:rsidRPr="00593C23">
        <w:rPr>
          <w:i/>
          <w:sz w:val="24"/>
          <w:szCs w:val="24"/>
          <w:lang w:val="en"/>
        </w:rPr>
        <w:t>t</w:t>
      </w:r>
      <w:r w:rsidR="003A78F4" w:rsidRPr="00593C23">
        <w:rPr>
          <w:sz w:val="24"/>
          <w:szCs w:val="24"/>
          <w:lang w:val="en"/>
        </w:rPr>
        <w:t xml:space="preserve">(88)=1.79, </w:t>
      </w:r>
      <w:r w:rsidR="003A78F4" w:rsidRPr="00593C23">
        <w:rPr>
          <w:iCs/>
          <w:sz w:val="24"/>
          <w:szCs w:val="24"/>
          <w:lang w:val="en"/>
        </w:rPr>
        <w:t>p</w:t>
      </w:r>
      <w:r w:rsidR="003A78F4" w:rsidRPr="00593C23">
        <w:rPr>
          <w:sz w:val="24"/>
          <w:szCs w:val="24"/>
          <w:lang w:val="en"/>
        </w:rPr>
        <w:t>=0.08]</w:t>
      </w:r>
      <w:r w:rsidR="003A78F4" w:rsidRPr="00593C23">
        <w:rPr>
          <w:bCs/>
          <w:sz w:val="24"/>
          <w:szCs w:val="24"/>
        </w:rPr>
        <w:t xml:space="preserve">, and equivalent in worry level (PSWQ: 63.43 ± 8.68) compared to randomized-to-CBT patients (PSWQ: 65.56 ± 7.72) </w:t>
      </w:r>
      <w:r w:rsidR="003A78F4" w:rsidRPr="00593C23">
        <w:rPr>
          <w:sz w:val="24"/>
          <w:szCs w:val="24"/>
        </w:rPr>
        <w:t>[</w:t>
      </w:r>
      <w:r w:rsidR="003A78F4" w:rsidRPr="00593C23">
        <w:rPr>
          <w:i/>
          <w:sz w:val="24"/>
          <w:szCs w:val="24"/>
          <w:lang w:val="en"/>
        </w:rPr>
        <w:t>t</w:t>
      </w:r>
      <w:r w:rsidR="003A78F4" w:rsidRPr="00593C23">
        <w:rPr>
          <w:sz w:val="24"/>
          <w:szCs w:val="24"/>
          <w:lang w:val="en"/>
        </w:rPr>
        <w:t xml:space="preserve">(88)=1.17, </w:t>
      </w:r>
      <w:r w:rsidR="003A78F4" w:rsidRPr="00593C23">
        <w:rPr>
          <w:iCs/>
          <w:sz w:val="24"/>
          <w:szCs w:val="24"/>
          <w:lang w:val="en"/>
        </w:rPr>
        <w:t>p</w:t>
      </w:r>
      <w:r w:rsidR="003A78F4" w:rsidRPr="00593C23">
        <w:rPr>
          <w:sz w:val="24"/>
          <w:szCs w:val="24"/>
          <w:lang w:val="en"/>
        </w:rPr>
        <w:t>=0.24]</w:t>
      </w:r>
      <w:r w:rsidR="003A78F4" w:rsidRPr="00593C23">
        <w:rPr>
          <w:bCs/>
          <w:sz w:val="24"/>
          <w:szCs w:val="24"/>
        </w:rPr>
        <w:t xml:space="preserve">.  </w:t>
      </w:r>
    </w:p>
    <w:p w14:paraId="5CB5BF73" w14:textId="58B6F608" w:rsidR="003A78F4" w:rsidRPr="00593C23" w:rsidRDefault="003A78F4" w:rsidP="002E0DEB">
      <w:pPr>
        <w:autoSpaceDE w:val="0"/>
        <w:autoSpaceDN w:val="0"/>
        <w:adjustRightInd w:val="0"/>
        <w:spacing w:line="480" w:lineRule="auto"/>
        <w:ind w:firstLine="708"/>
        <w:contextualSpacing/>
        <w:rPr>
          <w:bCs/>
          <w:sz w:val="24"/>
          <w:szCs w:val="24"/>
        </w:rPr>
      </w:pPr>
      <w:r w:rsidRPr="00593C23">
        <w:rPr>
          <w:sz w:val="24"/>
          <w:szCs w:val="24"/>
          <w:lang w:val="en"/>
        </w:rPr>
        <w:t xml:space="preserve">Regarding demographic characteristics, open trial study patients were similar in age </w:t>
      </w:r>
      <w:r w:rsidRPr="00593C23">
        <w:rPr>
          <w:bCs/>
          <w:sz w:val="24"/>
          <w:szCs w:val="24"/>
        </w:rPr>
        <w:t xml:space="preserve">(25.18 ± 6.37) compared to randomized-to-CBT patients (27.17 ± 8.00) </w:t>
      </w:r>
      <w:r w:rsidRPr="00593C23">
        <w:rPr>
          <w:sz w:val="24"/>
          <w:szCs w:val="24"/>
        </w:rPr>
        <w:t>[</w:t>
      </w:r>
      <w:r w:rsidRPr="00593C23">
        <w:rPr>
          <w:i/>
          <w:sz w:val="24"/>
          <w:szCs w:val="24"/>
          <w:lang w:val="en"/>
        </w:rPr>
        <w:t>t</w:t>
      </w:r>
      <w:r w:rsidRPr="00593C23">
        <w:rPr>
          <w:sz w:val="24"/>
          <w:szCs w:val="24"/>
          <w:lang w:val="en"/>
        </w:rPr>
        <w:t xml:space="preserve">(88)=1.31, </w:t>
      </w:r>
      <w:r w:rsidRPr="00593C23">
        <w:rPr>
          <w:iCs/>
          <w:sz w:val="24"/>
          <w:szCs w:val="24"/>
          <w:lang w:val="en"/>
        </w:rPr>
        <w:t>p</w:t>
      </w:r>
      <w:r w:rsidRPr="00593C23">
        <w:rPr>
          <w:sz w:val="24"/>
          <w:szCs w:val="24"/>
          <w:lang w:val="en"/>
        </w:rPr>
        <w:t>=0.19]</w:t>
      </w:r>
      <w:r w:rsidRPr="00593C23">
        <w:rPr>
          <w:bCs/>
          <w:sz w:val="24"/>
          <w:szCs w:val="24"/>
        </w:rPr>
        <w:t xml:space="preserve"> and gender frequency in </w:t>
      </w:r>
      <w:r w:rsidR="00CF0CF6" w:rsidRPr="00593C23">
        <w:rPr>
          <w:bCs/>
          <w:sz w:val="24"/>
          <w:szCs w:val="24"/>
        </w:rPr>
        <w:t xml:space="preserve">the </w:t>
      </w:r>
      <w:r w:rsidRPr="00593C23">
        <w:rPr>
          <w:sz w:val="24"/>
          <w:szCs w:val="24"/>
          <w:lang w:val="en"/>
        </w:rPr>
        <w:t xml:space="preserve">open trial study [female (n=41, 73.2%); male (n=15, 26.8%)] was comparable to </w:t>
      </w:r>
      <w:r w:rsidR="00CF0CF6" w:rsidRPr="00593C23">
        <w:rPr>
          <w:bCs/>
          <w:sz w:val="24"/>
          <w:szCs w:val="24"/>
        </w:rPr>
        <w:t>the randomized sample</w:t>
      </w:r>
      <w:r w:rsidRPr="00593C23">
        <w:rPr>
          <w:bCs/>
          <w:sz w:val="24"/>
          <w:szCs w:val="24"/>
        </w:rPr>
        <w:t xml:space="preserve"> </w:t>
      </w:r>
      <w:r w:rsidRPr="00593C23">
        <w:rPr>
          <w:sz w:val="24"/>
          <w:szCs w:val="24"/>
          <w:lang w:val="en"/>
        </w:rPr>
        <w:t>[female (n=25, 73.5%); male (n=9, 26.5%)] [</w:t>
      </w:r>
      <w:r w:rsidRPr="00593C23">
        <w:rPr>
          <w:sz w:val="24"/>
          <w:szCs w:val="24"/>
        </w:rPr>
        <w:sym w:font="Symbol" w:char="F063"/>
      </w:r>
      <w:r w:rsidRPr="00593C23">
        <w:rPr>
          <w:sz w:val="24"/>
          <w:szCs w:val="24"/>
          <w:vertAlign w:val="superscript"/>
        </w:rPr>
        <w:t>2</w:t>
      </w:r>
      <w:r w:rsidRPr="00593C23">
        <w:rPr>
          <w:sz w:val="24"/>
          <w:szCs w:val="24"/>
          <w:lang w:val="en"/>
        </w:rPr>
        <w:t>(1)=0.001, p=0.97].</w:t>
      </w:r>
      <w:r w:rsidRPr="00593C23">
        <w:rPr>
          <w:bCs/>
          <w:sz w:val="24"/>
          <w:szCs w:val="24"/>
        </w:rPr>
        <w:t xml:space="preserve">  </w:t>
      </w:r>
      <w:r w:rsidRPr="00593C23">
        <w:rPr>
          <w:sz w:val="24"/>
          <w:szCs w:val="24"/>
          <w:lang w:val="en"/>
        </w:rPr>
        <w:t xml:space="preserve">However, open trial study patients reported having less education in years </w:t>
      </w:r>
      <w:r w:rsidRPr="00593C23">
        <w:rPr>
          <w:bCs/>
          <w:sz w:val="24"/>
          <w:szCs w:val="24"/>
        </w:rPr>
        <w:t xml:space="preserve">(15.11 ± 2.04) relative to randomized-to-CBT patients (16.79 ± 3.34) </w:t>
      </w:r>
      <w:r w:rsidRPr="00593C23">
        <w:rPr>
          <w:sz w:val="24"/>
          <w:szCs w:val="24"/>
        </w:rPr>
        <w:t>[</w:t>
      </w:r>
      <w:r w:rsidRPr="00593C23">
        <w:rPr>
          <w:i/>
          <w:sz w:val="24"/>
          <w:szCs w:val="24"/>
          <w:lang w:val="en"/>
        </w:rPr>
        <w:t>t</w:t>
      </w:r>
      <w:r w:rsidRPr="00593C23">
        <w:rPr>
          <w:sz w:val="24"/>
          <w:szCs w:val="24"/>
          <w:lang w:val="en"/>
        </w:rPr>
        <w:t xml:space="preserve">(88)=2.97, </w:t>
      </w:r>
      <w:r w:rsidRPr="00593C23">
        <w:rPr>
          <w:iCs/>
          <w:sz w:val="24"/>
          <w:szCs w:val="24"/>
          <w:lang w:val="en"/>
        </w:rPr>
        <w:t>p</w:t>
      </w:r>
      <w:r w:rsidRPr="00593C23">
        <w:rPr>
          <w:sz w:val="24"/>
          <w:szCs w:val="24"/>
          <w:lang w:val="en"/>
        </w:rPr>
        <w:t>=0.011]</w:t>
      </w:r>
      <w:r w:rsidRPr="00593C23">
        <w:rPr>
          <w:bCs/>
          <w:sz w:val="24"/>
          <w:szCs w:val="24"/>
        </w:rPr>
        <w:t xml:space="preserve">.  </w:t>
      </w:r>
      <w:r w:rsidR="004E4456" w:rsidRPr="00593C23">
        <w:rPr>
          <w:bCs/>
          <w:sz w:val="24"/>
          <w:szCs w:val="24"/>
        </w:rPr>
        <w:t>S</w:t>
      </w:r>
      <w:r w:rsidRPr="00593C23">
        <w:rPr>
          <w:bCs/>
          <w:sz w:val="24"/>
          <w:szCs w:val="24"/>
        </w:rPr>
        <w:t xml:space="preserve">tudies were comparable as to ethnicity </w:t>
      </w:r>
      <w:r w:rsidRPr="00593C23">
        <w:rPr>
          <w:sz w:val="24"/>
          <w:szCs w:val="24"/>
          <w:lang w:val="en"/>
        </w:rPr>
        <w:t>[</w:t>
      </w:r>
      <w:r w:rsidRPr="00593C23">
        <w:rPr>
          <w:sz w:val="24"/>
          <w:szCs w:val="24"/>
        </w:rPr>
        <w:sym w:font="Symbol" w:char="F063"/>
      </w:r>
      <w:r w:rsidRPr="00593C23">
        <w:rPr>
          <w:sz w:val="24"/>
          <w:szCs w:val="24"/>
          <w:vertAlign w:val="superscript"/>
        </w:rPr>
        <w:t>2</w:t>
      </w:r>
      <w:r w:rsidRPr="00593C23">
        <w:rPr>
          <w:sz w:val="24"/>
          <w:szCs w:val="24"/>
          <w:lang w:val="en"/>
        </w:rPr>
        <w:t>(1)=1.83, p=0.17]</w:t>
      </w:r>
      <w:r w:rsidR="00CF0CF6" w:rsidRPr="00593C23">
        <w:rPr>
          <w:sz w:val="24"/>
          <w:szCs w:val="24"/>
          <w:lang w:val="en"/>
        </w:rPr>
        <w:t xml:space="preserve"> but </w:t>
      </w:r>
      <w:r w:rsidRPr="00593C23">
        <w:rPr>
          <w:sz w:val="24"/>
          <w:szCs w:val="24"/>
          <w:lang w:val="en"/>
        </w:rPr>
        <w:t>differed in race [</w:t>
      </w:r>
      <w:r w:rsidRPr="00593C23">
        <w:rPr>
          <w:sz w:val="24"/>
          <w:szCs w:val="24"/>
        </w:rPr>
        <w:sym w:font="Symbol" w:char="F063"/>
      </w:r>
      <w:r w:rsidRPr="00593C23">
        <w:rPr>
          <w:sz w:val="24"/>
          <w:szCs w:val="24"/>
          <w:vertAlign w:val="superscript"/>
        </w:rPr>
        <w:t>2</w:t>
      </w:r>
      <w:r w:rsidRPr="00593C23">
        <w:rPr>
          <w:sz w:val="24"/>
          <w:szCs w:val="24"/>
          <w:lang w:val="en"/>
        </w:rPr>
        <w:t xml:space="preserve">(4)=9.81, p=0.04].  </w:t>
      </w:r>
    </w:p>
    <w:p w14:paraId="24DE8A49" w14:textId="471E2B89" w:rsidR="00DB24A4" w:rsidRPr="00593C23" w:rsidRDefault="00DB24A4" w:rsidP="00DB24A4">
      <w:pPr>
        <w:autoSpaceDE w:val="0"/>
        <w:autoSpaceDN w:val="0"/>
        <w:adjustRightInd w:val="0"/>
        <w:spacing w:line="480" w:lineRule="auto"/>
        <w:contextualSpacing/>
        <w:rPr>
          <w:b/>
          <w:sz w:val="24"/>
          <w:szCs w:val="24"/>
        </w:rPr>
      </w:pPr>
      <w:r w:rsidRPr="00593C23">
        <w:rPr>
          <w:b/>
          <w:sz w:val="24"/>
          <w:szCs w:val="24"/>
        </w:rPr>
        <w:t>fMRI Task</w:t>
      </w:r>
    </w:p>
    <w:p w14:paraId="448BA386" w14:textId="0739152D" w:rsidR="009C30CC" w:rsidRPr="00593C23" w:rsidRDefault="009C30CC" w:rsidP="00DB24A4">
      <w:pPr>
        <w:spacing w:line="480" w:lineRule="auto"/>
        <w:ind w:firstLine="720"/>
        <w:contextualSpacing/>
        <w:rPr>
          <w:rFonts w:cs="Times New Roman"/>
          <w:sz w:val="24"/>
          <w:szCs w:val="24"/>
        </w:rPr>
      </w:pPr>
      <w:r w:rsidRPr="00593C23">
        <w:rPr>
          <w:sz w:val="24"/>
          <w:szCs w:val="24"/>
        </w:rPr>
        <w:t xml:space="preserve">The </w:t>
      </w:r>
      <w:r w:rsidR="00062F25" w:rsidRPr="00593C23">
        <w:rPr>
          <w:sz w:val="24"/>
          <w:szCs w:val="24"/>
        </w:rPr>
        <w:t>e</w:t>
      </w:r>
      <w:r w:rsidR="0028790A" w:rsidRPr="00593C23">
        <w:rPr>
          <w:sz w:val="24"/>
          <w:szCs w:val="24"/>
        </w:rPr>
        <w:t>motion</w:t>
      </w:r>
      <w:r w:rsidRPr="00593C23">
        <w:rPr>
          <w:sz w:val="24"/>
          <w:szCs w:val="24"/>
        </w:rPr>
        <w:t xml:space="preserve"> </w:t>
      </w:r>
      <w:r w:rsidR="00062F25" w:rsidRPr="00593C23">
        <w:rPr>
          <w:sz w:val="24"/>
          <w:szCs w:val="24"/>
        </w:rPr>
        <w:t>f</w:t>
      </w:r>
      <w:r w:rsidRPr="00593C23">
        <w:rPr>
          <w:sz w:val="24"/>
          <w:szCs w:val="24"/>
        </w:rPr>
        <w:t xml:space="preserve">ace </w:t>
      </w:r>
      <w:r w:rsidR="00062F25" w:rsidRPr="00593C23">
        <w:rPr>
          <w:sz w:val="24"/>
          <w:szCs w:val="24"/>
        </w:rPr>
        <w:t>m</w:t>
      </w:r>
      <w:r w:rsidRPr="00593C23">
        <w:rPr>
          <w:sz w:val="24"/>
          <w:szCs w:val="24"/>
        </w:rPr>
        <w:t xml:space="preserve">atching </w:t>
      </w:r>
      <w:r w:rsidR="00062F25" w:rsidRPr="00593C23">
        <w:rPr>
          <w:sz w:val="24"/>
          <w:szCs w:val="24"/>
        </w:rPr>
        <w:t>t</w:t>
      </w:r>
      <w:r w:rsidRPr="00593C23">
        <w:rPr>
          <w:sz w:val="24"/>
          <w:szCs w:val="24"/>
        </w:rPr>
        <w:t xml:space="preserve">ask comprised photographs from a validated set of face stimuli </w:t>
      </w:r>
      <w:r w:rsidRPr="00593C23">
        <w:rPr>
          <w:sz w:val="24"/>
          <w:szCs w:val="24"/>
        </w:rPr>
        <w:fldChar w:fldCharType="begin"/>
      </w:r>
      <w:r w:rsidRPr="00593C23">
        <w:rPr>
          <w:sz w:val="24"/>
          <w:szCs w:val="24"/>
        </w:rPr>
        <w:instrText xml:space="preserve"> ADDIN ZOTERO_ITEM CSL_CITATION {"citationID":"QoLXrcan","properties":{"formattedCitation":"(Gur {\\i{}et al.} 2002)","plainCitation":"(Gur et al. 2002)","noteIndex":0},"citationItems":[{"id":73,"uris":["http://zotero.org/users/local/YUiw2YqN/items/ZQASDZLX"],"uri":["http://zotero.org/users/local/YUiw2YqN/items/ZQASDZLX"],"itemData":{"id":73,"type":"article-journal","title":"A method for obtaining 3-dimensional facial expressions and its standardization for use in neurocognitive studies","container-title":"Journal of Neuroscience Methods","page":"137-143","volume":"115","issue":"2","source":"DOI.org (Crossref)","abstract":"Facial expressions of emotion are increasingly being used in neuroscience as probes for functional imaging and as stimuli for studying hemispheric specialization for face and emotion processing. Available facial stimuli are 2-dimensional and therefore, their orientation is fixed and poorly suited for examining asymmetries, they are often obtained under poorly specified conditions, usually posed, lack ethnic diversity, and are of restricted age range. We describe a method for accurately acquiring and reconstructing the geometry of the human face and for display of this reconstruction in a 3-dimensional format. We applied the method in a sample of 70 actors and 69 actresses expressing happiness, sadness, anger, fear and disgust, as well as neutral expressions. Each emotion was expressed under three levels of intensity and under both posed and evoked conditions. Resulting images are of high technical quality and are accurately identified by raters. The stimuli can be downloaded in digital form as ‘movies’ where angle and orientation can be manipulated for inclusion in functional imaging probes or in tests that can be administered as measures of individual differences in facial emotion processing. The database of emotional expressions can also be used as a standard for comparison with clinical populations. # 2002 Published by Elsevier Science B.V.","DOI":"10.1016/S0165-0270(02)00006-7","ISSN":"01650270","journalAbbreviation":"Journal of Neuroscience Methods","language":"en","author":[{"family":"Gur","given":"Ruben C."},{"family":"Sara","given":"Radim"},{"family":"Hagendoorn","given":"Michiel"},{"family":"Marom","given":"Oren"},{"family":"Hughett","given":"Paul"},{"family":"Macy","given":"Larry"},{"family":"Turner","given":"Travis"},{"family":"Bajcsy","given":"Ruzena"},{"family":"Posner","given":"Aaron"},{"family":"Gur","given":"Raquel E."}],"issued":{"date-parts":[["2002",4]]}}}],"schema":"https://github.com/citation-style-language/schema/raw/master/csl-citation.json"} </w:instrText>
      </w:r>
      <w:r w:rsidRPr="00593C23">
        <w:rPr>
          <w:sz w:val="24"/>
          <w:szCs w:val="24"/>
        </w:rPr>
        <w:fldChar w:fldCharType="separate"/>
      </w:r>
      <w:r w:rsidRPr="00593C23">
        <w:rPr>
          <w:sz w:val="24"/>
          <w:szCs w:val="24"/>
        </w:rPr>
        <w:t xml:space="preserve">(Gur </w:t>
      </w:r>
      <w:r w:rsidRPr="00593C23">
        <w:rPr>
          <w:i/>
          <w:iCs/>
          <w:sz w:val="24"/>
          <w:szCs w:val="24"/>
        </w:rPr>
        <w:t>et al.</w:t>
      </w:r>
      <w:r w:rsidRPr="00593C23">
        <w:rPr>
          <w:sz w:val="24"/>
          <w:szCs w:val="24"/>
        </w:rPr>
        <w:t xml:space="preserve"> 2002)</w:t>
      </w:r>
      <w:r w:rsidRPr="00593C23">
        <w:rPr>
          <w:sz w:val="24"/>
          <w:szCs w:val="24"/>
        </w:rPr>
        <w:fldChar w:fldCharType="end"/>
      </w:r>
      <w:r w:rsidRPr="00593C23">
        <w:rPr>
          <w:sz w:val="24"/>
          <w:szCs w:val="24"/>
        </w:rPr>
        <w:t xml:space="preserve"> presented in a block-design</w:t>
      </w:r>
      <w:r w:rsidR="00D00AA7" w:rsidRPr="00593C23">
        <w:rPr>
          <w:sz w:val="24"/>
          <w:szCs w:val="24"/>
        </w:rPr>
        <w:t>.  Faces</w:t>
      </w:r>
      <w:r w:rsidRPr="00593C23">
        <w:rPr>
          <w:sz w:val="24"/>
          <w:szCs w:val="24"/>
        </w:rPr>
        <w:t xml:space="preserve"> consisted of </w:t>
      </w:r>
      <w:r w:rsidRPr="00593C23">
        <w:rPr>
          <w:sz w:val="24"/>
          <w:szCs w:val="24"/>
          <w:lang w:val="en"/>
        </w:rPr>
        <w:t>3 angry, 3 fearful, and 3 happy blocks of trials</w:t>
      </w:r>
      <w:r w:rsidR="00DB4FE9" w:rsidRPr="00593C23">
        <w:rPr>
          <w:rStyle w:val="FootnoteReference"/>
          <w:sz w:val="24"/>
          <w:szCs w:val="24"/>
        </w:rPr>
        <w:footnoteReference w:id="1"/>
      </w:r>
      <w:r w:rsidRPr="00593C23">
        <w:rPr>
          <w:sz w:val="24"/>
          <w:szCs w:val="24"/>
          <w:lang w:val="en"/>
        </w:rPr>
        <w:t xml:space="preserve">, interspersed with shape-matching blocks </w:t>
      </w:r>
      <w:r w:rsidRPr="00593C23">
        <w:rPr>
          <w:sz w:val="24"/>
          <w:szCs w:val="24"/>
        </w:rPr>
        <w:t>(triangles, circles, squares) as a sensorimotor control condition</w:t>
      </w:r>
      <w:r w:rsidRPr="00593C23">
        <w:rPr>
          <w:sz w:val="24"/>
          <w:szCs w:val="24"/>
          <w:lang w:val="en"/>
        </w:rPr>
        <w:t xml:space="preserve">. </w:t>
      </w:r>
      <w:r w:rsidR="00984041" w:rsidRPr="00593C23">
        <w:rPr>
          <w:sz w:val="24"/>
          <w:szCs w:val="24"/>
        </w:rPr>
        <w:t xml:space="preserve">Right-handed button press was used to match facial expressions and shapes.  </w:t>
      </w:r>
      <w:r w:rsidRPr="00593C23">
        <w:rPr>
          <w:sz w:val="24"/>
          <w:szCs w:val="24"/>
          <w:lang w:val="en"/>
        </w:rPr>
        <w:t>Each block lasted 20 second</w:t>
      </w:r>
      <w:r w:rsidR="00F54AB3" w:rsidRPr="00593C23">
        <w:rPr>
          <w:sz w:val="24"/>
          <w:szCs w:val="24"/>
          <w:lang w:val="en"/>
        </w:rPr>
        <w:t>s</w:t>
      </w:r>
      <w:r w:rsidRPr="00593C23">
        <w:rPr>
          <w:sz w:val="24"/>
          <w:szCs w:val="24"/>
          <w:lang w:val="en"/>
        </w:rPr>
        <w:t xml:space="preserve"> and consisted of 4 back-to-back 5-second trials.</w:t>
      </w:r>
    </w:p>
    <w:p w14:paraId="2ABFABFD" w14:textId="77777777" w:rsidR="00DB24A4" w:rsidRPr="00593C23" w:rsidRDefault="00DB24A4" w:rsidP="00DB24A4">
      <w:pPr>
        <w:spacing w:line="480" w:lineRule="auto"/>
        <w:contextualSpacing/>
        <w:rPr>
          <w:b/>
          <w:sz w:val="24"/>
          <w:szCs w:val="24"/>
        </w:rPr>
      </w:pPr>
      <w:r w:rsidRPr="00593C23">
        <w:rPr>
          <w:b/>
          <w:sz w:val="24"/>
          <w:szCs w:val="24"/>
        </w:rPr>
        <w:t>fMRI Data Acquisition and Preprocessing</w:t>
      </w:r>
    </w:p>
    <w:p w14:paraId="636CB9D6" w14:textId="77777777" w:rsidR="00614434" w:rsidRPr="00593C23" w:rsidRDefault="00614434" w:rsidP="00614434">
      <w:pPr>
        <w:autoSpaceDE w:val="0"/>
        <w:autoSpaceDN w:val="0"/>
        <w:adjustRightInd w:val="0"/>
        <w:spacing w:line="480" w:lineRule="auto"/>
        <w:ind w:firstLine="720"/>
        <w:contextualSpacing/>
        <w:rPr>
          <w:sz w:val="24"/>
          <w:szCs w:val="24"/>
        </w:rPr>
      </w:pPr>
      <w:r w:rsidRPr="00593C23">
        <w:rPr>
          <w:noProof/>
          <w:sz w:val="24"/>
          <w:szCs w:val="24"/>
        </w:rPr>
        <w:lastRenderedPageBreak/>
        <w:t>Functional imaging was performed with blood-oxygen-level-dependent</w:t>
      </w:r>
      <w:r w:rsidRPr="00593C23">
        <w:rPr>
          <w:noProof/>
          <w:sz w:val="24"/>
          <w:szCs w:val="24"/>
          <w:vertAlign w:val="superscript"/>
        </w:rPr>
        <w:t xml:space="preserve"> </w:t>
      </w:r>
      <w:r w:rsidRPr="00593C23">
        <w:rPr>
          <w:noProof/>
          <w:sz w:val="24"/>
          <w:szCs w:val="24"/>
        </w:rPr>
        <w:t xml:space="preserve">(BOLD) sensitive whole-brain fMRI on a 3.0 Tesla GE Signa System (General Electric; Milwaukee, WI) </w:t>
      </w:r>
      <w:r w:rsidRPr="00593C23">
        <w:rPr>
          <w:sz w:val="24"/>
          <w:szCs w:val="24"/>
        </w:rPr>
        <w:t>with an 8-channel head coil. Functional data were acquired using gradient-echo echo planar imaging sequence with the following parameters: TR = 2s, TE = minFull [~25 ms], flip angle = 90º, FOV = 22 x 22 cm</w:t>
      </w:r>
      <w:r w:rsidRPr="00593C23">
        <w:rPr>
          <w:sz w:val="24"/>
          <w:szCs w:val="24"/>
          <w:vertAlign w:val="superscript"/>
        </w:rPr>
        <w:t>2</w:t>
      </w:r>
      <w:r w:rsidRPr="00593C23">
        <w:rPr>
          <w:sz w:val="24"/>
          <w:szCs w:val="24"/>
        </w:rPr>
        <w:t xml:space="preserve">, acquisition matrix 64 x 64, 3-mm slice thickness, 44 axial slices, 180 volumes per run. For anatomical localization, a high-resolution, T1-weighted volumetric anatomical scan was acquired.  </w:t>
      </w:r>
    </w:p>
    <w:p w14:paraId="1FEF09B1" w14:textId="77777777" w:rsidR="00614434" w:rsidRPr="00593C23" w:rsidRDefault="00614434" w:rsidP="00614434">
      <w:pPr>
        <w:autoSpaceDE w:val="0"/>
        <w:autoSpaceDN w:val="0"/>
        <w:adjustRightInd w:val="0"/>
        <w:spacing w:line="480" w:lineRule="auto"/>
        <w:ind w:firstLine="720"/>
        <w:contextualSpacing/>
        <w:rPr>
          <w:sz w:val="24"/>
          <w:szCs w:val="24"/>
        </w:rPr>
      </w:pPr>
      <w:r w:rsidRPr="00593C23">
        <w:rPr>
          <w:sz w:val="24"/>
          <w:szCs w:val="24"/>
        </w:rPr>
        <w:t>Data from all participants were examined for movement during the scan and participants with excessive motion (movement greater than 3 mm in any direction or</w:t>
      </w:r>
      <w:r w:rsidRPr="00593C23">
        <w:rPr>
          <w:color w:val="000000"/>
          <w:sz w:val="24"/>
          <w:szCs w:val="24"/>
        </w:rPr>
        <w:t xml:space="preserve"> 3 degrees of displacement</w:t>
      </w:r>
      <w:r w:rsidRPr="00593C23">
        <w:rPr>
          <w:sz w:val="24"/>
          <w:szCs w:val="24"/>
        </w:rPr>
        <w:t xml:space="preserve"> across each functional run) were excluded and the first 4 volumes from each run were discarded to allow for </w:t>
      </w:r>
      <w:r w:rsidRPr="00593C23">
        <w:rPr>
          <w:iCs/>
          <w:sz w:val="24"/>
          <w:szCs w:val="24"/>
        </w:rPr>
        <w:t>T</w:t>
      </w:r>
      <w:r w:rsidRPr="00593C23">
        <w:rPr>
          <w:sz w:val="24"/>
          <w:szCs w:val="24"/>
        </w:rPr>
        <w:t>1 equilibration effects.</w:t>
      </w:r>
      <w:r w:rsidRPr="00593C23">
        <w:rPr>
          <w:color w:val="000000"/>
          <w:sz w:val="24"/>
          <w:szCs w:val="24"/>
        </w:rPr>
        <w:t xml:space="preserve">  Conventional preprocessing steps were used in </w:t>
      </w:r>
      <w:r w:rsidRPr="00593C23">
        <w:rPr>
          <w:sz w:val="24"/>
          <w:szCs w:val="24"/>
        </w:rPr>
        <w:t>Statistical Parametric Mapping (SPM12)</w:t>
      </w:r>
      <w:r w:rsidRPr="00593C23">
        <w:rPr>
          <w:color w:val="000000"/>
          <w:sz w:val="24"/>
          <w:szCs w:val="24"/>
        </w:rPr>
        <w:t xml:space="preserve"> software package (Wellcome Trust Centre for Neuroimaging, London </w:t>
      </w:r>
      <w:hyperlink r:id="rId8" w:history="1">
        <w:r w:rsidRPr="00593C23">
          <w:rPr>
            <w:rStyle w:val="Hyperlink"/>
            <w:sz w:val="24"/>
            <w:szCs w:val="24"/>
          </w:rPr>
          <w:t>www.fil.ion.ucl.ac.uk/spm</w:t>
        </w:r>
      </w:hyperlink>
      <w:r w:rsidRPr="00593C23">
        <w:rPr>
          <w:color w:val="000000"/>
          <w:sz w:val="24"/>
          <w:szCs w:val="24"/>
        </w:rPr>
        <w:t xml:space="preserve">).  Briefly, images were temporally corrected to account for differences in slice time collection, spatially realigned to the first image of the first run, normalized to a Montreal Neurological Institute (MNI) template, and smoothed with an 8 mm isotropic Gaussian kernel.  </w:t>
      </w:r>
    </w:p>
    <w:p w14:paraId="3053928F" w14:textId="6B790806" w:rsidR="00614434" w:rsidRPr="00593C23" w:rsidRDefault="006023AF" w:rsidP="00614434">
      <w:pPr>
        <w:autoSpaceDE w:val="0"/>
        <w:autoSpaceDN w:val="0"/>
        <w:adjustRightInd w:val="0"/>
        <w:spacing w:line="480" w:lineRule="auto"/>
        <w:ind w:firstLine="720"/>
        <w:contextualSpacing/>
        <w:rPr>
          <w:sz w:val="24"/>
          <w:szCs w:val="24"/>
        </w:rPr>
      </w:pPr>
      <w:r w:rsidRPr="00593C23">
        <w:rPr>
          <w:sz w:val="24"/>
          <w:szCs w:val="24"/>
        </w:rPr>
        <w:t>A</w:t>
      </w:r>
      <w:r w:rsidR="004818FF" w:rsidRPr="00593C23">
        <w:rPr>
          <w:sz w:val="24"/>
          <w:szCs w:val="24"/>
        </w:rPr>
        <w:t xml:space="preserve"> </w:t>
      </w:r>
      <w:r w:rsidR="00614434" w:rsidRPr="00593C23">
        <w:rPr>
          <w:sz w:val="24"/>
          <w:szCs w:val="24"/>
        </w:rPr>
        <w:t>box-car model was used to analyze the fol</w:t>
      </w:r>
      <w:r w:rsidR="00501EA7" w:rsidRPr="00593C23">
        <w:rPr>
          <w:sz w:val="24"/>
          <w:szCs w:val="24"/>
        </w:rPr>
        <w:t>lowing contrasts of interest:  angry</w:t>
      </w:r>
      <w:r w:rsidR="006D1E08" w:rsidRPr="00593C23">
        <w:rPr>
          <w:sz w:val="24"/>
          <w:szCs w:val="24"/>
        </w:rPr>
        <w:t xml:space="preserve"> </w:t>
      </w:r>
      <w:r w:rsidR="00501EA7" w:rsidRPr="00593C23">
        <w:rPr>
          <w:sz w:val="24"/>
          <w:szCs w:val="24"/>
        </w:rPr>
        <w:t>(&gt;shapes), fearful</w:t>
      </w:r>
      <w:r w:rsidR="006D1E08" w:rsidRPr="00593C23">
        <w:rPr>
          <w:sz w:val="24"/>
          <w:szCs w:val="24"/>
        </w:rPr>
        <w:t xml:space="preserve"> </w:t>
      </w:r>
      <w:r w:rsidR="00501EA7" w:rsidRPr="00593C23">
        <w:rPr>
          <w:sz w:val="24"/>
          <w:szCs w:val="24"/>
        </w:rPr>
        <w:t>(&gt;shapes), and happy</w:t>
      </w:r>
      <w:r w:rsidR="006D1E08" w:rsidRPr="00593C23">
        <w:rPr>
          <w:sz w:val="24"/>
          <w:szCs w:val="24"/>
        </w:rPr>
        <w:t xml:space="preserve"> </w:t>
      </w:r>
      <w:r w:rsidR="00501EA7" w:rsidRPr="00593C23">
        <w:rPr>
          <w:sz w:val="24"/>
          <w:szCs w:val="24"/>
        </w:rPr>
        <w:t>(&gt;s</w:t>
      </w:r>
      <w:r w:rsidR="00614434" w:rsidRPr="00593C23">
        <w:rPr>
          <w:sz w:val="24"/>
          <w:szCs w:val="24"/>
        </w:rPr>
        <w:t xml:space="preserve">hapes).  </w:t>
      </w:r>
    </w:p>
    <w:p w14:paraId="4250A5DC" w14:textId="5651B6A0" w:rsidR="005A082E" w:rsidRPr="00593C23" w:rsidRDefault="005A082E" w:rsidP="004818FF">
      <w:pPr>
        <w:spacing w:line="480" w:lineRule="auto"/>
        <w:contextualSpacing/>
        <w:rPr>
          <w:rFonts w:cs="Times New Roman"/>
          <w:b/>
          <w:sz w:val="24"/>
          <w:szCs w:val="24"/>
        </w:rPr>
      </w:pPr>
      <w:r w:rsidRPr="00593C23">
        <w:rPr>
          <w:rFonts w:cs="Times New Roman"/>
          <w:b/>
          <w:sz w:val="24"/>
          <w:szCs w:val="24"/>
        </w:rPr>
        <w:t xml:space="preserve">Decision Tree Analysis </w:t>
      </w:r>
    </w:p>
    <w:p w14:paraId="1D35C58B" w14:textId="53D78157" w:rsidR="004818FF" w:rsidRPr="00593C23" w:rsidRDefault="00D85006" w:rsidP="00B37A53">
      <w:pPr>
        <w:autoSpaceDE w:val="0"/>
        <w:autoSpaceDN w:val="0"/>
        <w:adjustRightInd w:val="0"/>
        <w:spacing w:line="480" w:lineRule="auto"/>
        <w:ind w:firstLine="720"/>
        <w:contextualSpacing/>
        <w:rPr>
          <w:rFonts w:cs="AdvOT596495f2"/>
          <w:sz w:val="24"/>
          <w:szCs w:val="24"/>
        </w:rPr>
      </w:pPr>
      <w:r w:rsidRPr="00593C23">
        <w:rPr>
          <w:rFonts w:cs="AdvOT596495f2"/>
          <w:sz w:val="24"/>
          <w:szCs w:val="24"/>
        </w:rPr>
        <w:t>The</w:t>
      </w:r>
      <w:r w:rsidR="00C72750" w:rsidRPr="00593C23">
        <w:rPr>
          <w:rFonts w:cs="AdvOT596495f2"/>
          <w:sz w:val="24"/>
          <w:szCs w:val="24"/>
        </w:rPr>
        <w:t xml:space="preserve"> exhaustive Pearson chi-squared automatic interaction detection (CHAID) algorithm determines how variables best combine to predict a binary outcome based on ‘if-then’ logic by partitioning each variable into mutually exclusive subsets based on the homogeneity of data.  </w:t>
      </w:r>
      <w:r w:rsidR="00C72750" w:rsidRPr="00593C23">
        <w:rPr>
          <w:rFonts w:cs="AdvOT596495f2"/>
          <w:sz w:val="24"/>
          <w:szCs w:val="24"/>
        </w:rPr>
        <w:lastRenderedPageBreak/>
        <w:t>Accordingly, it generates all possible cross tabulations for each predictor and starts with a binary split (</w:t>
      </w:r>
      <w:r w:rsidR="00FB3A4F" w:rsidRPr="00593C23">
        <w:rPr>
          <w:rFonts w:cs="AdvOT596495f2"/>
          <w:sz w:val="24"/>
          <w:szCs w:val="24"/>
        </w:rPr>
        <w:t>i.e.</w:t>
      </w:r>
      <w:r w:rsidR="00C72750" w:rsidRPr="00593C23">
        <w:rPr>
          <w:rFonts w:cs="AdvOT596495f2"/>
          <w:sz w:val="24"/>
          <w:szCs w:val="24"/>
        </w:rPr>
        <w:t>, root node) into two or more homogeneous sets until no further splits can be made (</w:t>
      </w:r>
      <w:r w:rsidR="00C72750" w:rsidRPr="00593C23">
        <w:rPr>
          <w:color w:val="333333"/>
          <w:sz w:val="24"/>
          <w:szCs w:val="24"/>
        </w:rPr>
        <w:t>Kass, 1980)</w:t>
      </w:r>
      <w:r w:rsidR="00C72750" w:rsidRPr="00593C23">
        <w:rPr>
          <w:rFonts w:cs="AdvOT596495f2"/>
          <w:sz w:val="24"/>
          <w:szCs w:val="24"/>
        </w:rPr>
        <w:t>.</w:t>
      </w:r>
      <w:r w:rsidR="005C321D" w:rsidRPr="00593C23">
        <w:rPr>
          <w:rFonts w:cs="AdvOT596495f2"/>
          <w:sz w:val="24"/>
          <w:szCs w:val="24"/>
        </w:rPr>
        <w:t xml:space="preserve">  S</w:t>
      </w:r>
      <w:r w:rsidR="008B2983" w:rsidRPr="00593C23">
        <w:rPr>
          <w:rFonts w:cs="AdvOT596495f2"/>
          <w:sz w:val="24"/>
          <w:szCs w:val="24"/>
        </w:rPr>
        <w:t>ubsequent splits from root node</w:t>
      </w:r>
      <w:r w:rsidR="005C321D" w:rsidRPr="00593C23">
        <w:rPr>
          <w:rFonts w:cs="AdvOT596495f2"/>
          <w:sz w:val="24"/>
          <w:szCs w:val="24"/>
        </w:rPr>
        <w:t xml:space="preserve"> may be parent nodes if they precede other splits (i.e., child</w:t>
      </w:r>
      <w:r w:rsidR="00696009" w:rsidRPr="00593C23">
        <w:rPr>
          <w:rFonts w:cs="AdvOT596495f2"/>
          <w:sz w:val="24"/>
          <w:szCs w:val="24"/>
        </w:rPr>
        <w:t xml:space="preserve">/terminal </w:t>
      </w:r>
      <w:r w:rsidR="005C321D" w:rsidRPr="00593C23">
        <w:rPr>
          <w:rFonts w:cs="AdvOT596495f2"/>
          <w:sz w:val="24"/>
          <w:szCs w:val="24"/>
        </w:rPr>
        <w:t xml:space="preserve">nodes) or </w:t>
      </w:r>
      <w:r w:rsidRPr="00593C23">
        <w:rPr>
          <w:rFonts w:cs="AdvOT596495f2"/>
          <w:sz w:val="24"/>
          <w:szCs w:val="24"/>
        </w:rPr>
        <w:t>be</w:t>
      </w:r>
      <w:r w:rsidR="005C321D" w:rsidRPr="00593C23">
        <w:rPr>
          <w:rFonts w:cs="AdvOT596495f2"/>
          <w:sz w:val="24"/>
          <w:szCs w:val="24"/>
        </w:rPr>
        <w:t xml:space="preserve"> child node</w:t>
      </w:r>
      <w:r w:rsidRPr="00593C23">
        <w:rPr>
          <w:rFonts w:cs="AdvOT596495f2"/>
          <w:sz w:val="24"/>
          <w:szCs w:val="24"/>
        </w:rPr>
        <w:t>s</w:t>
      </w:r>
      <w:r w:rsidR="00C31EFC" w:rsidRPr="00593C23">
        <w:rPr>
          <w:rFonts w:cs="AdvOT596495f2"/>
          <w:sz w:val="24"/>
          <w:szCs w:val="24"/>
        </w:rPr>
        <w:t xml:space="preserve"> themselves</w:t>
      </w:r>
      <w:r w:rsidR="005C321D" w:rsidRPr="00593C23">
        <w:rPr>
          <w:rFonts w:cs="AdvOT596495f2"/>
          <w:sz w:val="24"/>
          <w:szCs w:val="24"/>
        </w:rPr>
        <w:t xml:space="preserve"> if no other splits are made.  Consistent with </w:t>
      </w:r>
      <w:r w:rsidR="00960DDC" w:rsidRPr="00593C23">
        <w:rPr>
          <w:rFonts w:cs="AdvOT596495f2"/>
          <w:sz w:val="24"/>
          <w:szCs w:val="24"/>
        </w:rPr>
        <w:t>a prior MRI study</w:t>
      </w:r>
      <w:r w:rsidR="00A72BE9" w:rsidRPr="00593C23">
        <w:rPr>
          <w:rFonts w:cs="AdvOT596495f2"/>
          <w:sz w:val="24"/>
          <w:szCs w:val="24"/>
        </w:rPr>
        <w:t xml:space="preserve"> </w:t>
      </w:r>
      <w:r w:rsidR="00A72BE9" w:rsidRPr="00593C23">
        <w:rPr>
          <w:rFonts w:cs="AdvOT596495f2"/>
          <w:sz w:val="24"/>
          <w:szCs w:val="24"/>
        </w:rPr>
        <w:fldChar w:fldCharType="begin"/>
      </w:r>
      <w:r w:rsidR="00A72BE9" w:rsidRPr="00593C23">
        <w:rPr>
          <w:rFonts w:cs="AdvOT596495f2"/>
          <w:sz w:val="24"/>
          <w:szCs w:val="24"/>
        </w:rPr>
        <w:instrText xml:space="preserve"> ADDIN ZOTERO_ITEM CSL_CITATION {"citationID":"qqroV6iz","properties":{"formattedCitation":"(Wu {\\i{}et al.} 2017)","plainCitation":"(Wu et al. 2017)","noteIndex":0},"citationItems":[{"id":26,"uris":["http://zotero.org/users/local/YUiw2YqN/items/UD3SQPE4"],"uri":["http://zotero.org/users/local/YUiw2YqN/items/UD3SQPE4"],"itemData":{"id":26,"type":"article-journal","title":"Factors predicting response to the first epidural blood patch in spontaneous intracranial hypotension","container-title":"Brain","page":"344-352","volume":"140","issue":"2","source":"DOI.org (Crossref)","DOI":"10.1093/brain/aww328","ISSN":"0006-8950, 1460-2156","journalAbbreviation":"Brain","language":"en","author":[{"family":"Wu","given":"Jr-Wei"},{"family":"Hseu","given":"Shu-Shya"},{"family":"Fuh","given":"Jong-Ling"},{"family":"Lirng","given":"Jiing-Feng"},{"family":"Wang","given":"Yen-Feng"},{"family":"Chen","given":"Wei-Ta"},{"family":"Chen","given":"Shih-Pin"},{"family":"Wang","given":"Shuu-Jiun"}],"issued":{"date-parts":[["2017",2]]}}}],"schema":"https://github.com/citation-style-language/schema/raw/master/csl-citation.json"} </w:instrText>
      </w:r>
      <w:r w:rsidR="00A72BE9" w:rsidRPr="00593C23">
        <w:rPr>
          <w:rFonts w:cs="AdvOT596495f2"/>
          <w:sz w:val="24"/>
          <w:szCs w:val="24"/>
        </w:rPr>
        <w:fldChar w:fldCharType="separate"/>
      </w:r>
      <w:r w:rsidR="00A72BE9" w:rsidRPr="00593C23">
        <w:rPr>
          <w:sz w:val="24"/>
          <w:szCs w:val="24"/>
        </w:rPr>
        <w:t xml:space="preserve">(Wu </w:t>
      </w:r>
      <w:r w:rsidR="00A72BE9" w:rsidRPr="00593C23">
        <w:rPr>
          <w:i/>
          <w:iCs/>
          <w:sz w:val="24"/>
          <w:szCs w:val="24"/>
        </w:rPr>
        <w:t>et al.</w:t>
      </w:r>
      <w:r w:rsidR="00A72BE9" w:rsidRPr="00593C23">
        <w:rPr>
          <w:sz w:val="24"/>
          <w:szCs w:val="24"/>
        </w:rPr>
        <w:t xml:space="preserve"> 2017)</w:t>
      </w:r>
      <w:r w:rsidR="00A72BE9" w:rsidRPr="00593C23">
        <w:rPr>
          <w:rFonts w:cs="AdvOT596495f2"/>
          <w:sz w:val="24"/>
          <w:szCs w:val="24"/>
        </w:rPr>
        <w:fldChar w:fldCharType="end"/>
      </w:r>
      <w:r w:rsidR="00A72BE9" w:rsidRPr="00593C23">
        <w:rPr>
          <w:rFonts w:cs="AdvOT596495f2"/>
          <w:sz w:val="24"/>
          <w:szCs w:val="24"/>
        </w:rPr>
        <w:t xml:space="preserve">, the </w:t>
      </w:r>
      <w:r w:rsidR="00EE725F" w:rsidRPr="00593C23">
        <w:rPr>
          <w:rFonts w:cs="AdvOT596495f2"/>
          <w:sz w:val="24"/>
          <w:szCs w:val="24"/>
        </w:rPr>
        <w:t xml:space="preserve">CHAID </w:t>
      </w:r>
      <w:r w:rsidR="00A72BE9" w:rsidRPr="00593C23">
        <w:rPr>
          <w:rFonts w:cs="AdvOT596495f2"/>
          <w:sz w:val="24"/>
          <w:szCs w:val="24"/>
        </w:rPr>
        <w:t xml:space="preserve">algorithm was performed </w:t>
      </w:r>
      <w:r w:rsidR="007A5901" w:rsidRPr="00593C23">
        <w:rPr>
          <w:rFonts w:cs="AdvOT596495f2"/>
          <w:sz w:val="24"/>
          <w:szCs w:val="24"/>
        </w:rPr>
        <w:t xml:space="preserve">with </w:t>
      </w:r>
      <w:r w:rsidR="007A5901" w:rsidRPr="00593C23">
        <w:rPr>
          <w:rFonts w:cs="AdvOT596495f2"/>
          <w:sz w:val="24"/>
          <w:szCs w:val="24"/>
          <w:u w:val="single"/>
        </w:rPr>
        <w:t>&gt;</w:t>
      </w:r>
      <w:r w:rsidR="007A5901" w:rsidRPr="00593C23">
        <w:rPr>
          <w:rFonts w:cs="AdvOT596495f2"/>
          <w:sz w:val="24"/>
          <w:szCs w:val="24"/>
        </w:rPr>
        <w:t xml:space="preserve">25 cases per parent node and </w:t>
      </w:r>
      <w:r w:rsidR="007A5901" w:rsidRPr="00593C23">
        <w:rPr>
          <w:rFonts w:cs="AdvOT596495f2"/>
          <w:sz w:val="24"/>
          <w:szCs w:val="24"/>
          <w:u w:val="single"/>
        </w:rPr>
        <w:t>&gt;</w:t>
      </w:r>
      <w:r w:rsidR="007A5901" w:rsidRPr="00593C23">
        <w:rPr>
          <w:rFonts w:cs="AdvOT596495f2"/>
          <w:sz w:val="24"/>
          <w:szCs w:val="24"/>
        </w:rPr>
        <w:t xml:space="preserve">20 cases per child node.  </w:t>
      </w:r>
    </w:p>
    <w:p w14:paraId="3A3C8376" w14:textId="12AAF1FD" w:rsidR="000D7A37" w:rsidRPr="00593C23" w:rsidRDefault="000D7A37" w:rsidP="00C109D3">
      <w:pPr>
        <w:autoSpaceDE w:val="0"/>
        <w:autoSpaceDN w:val="0"/>
        <w:adjustRightInd w:val="0"/>
        <w:spacing w:line="480" w:lineRule="auto"/>
        <w:contextualSpacing/>
        <w:jc w:val="center"/>
        <w:rPr>
          <w:b/>
          <w:sz w:val="24"/>
          <w:szCs w:val="24"/>
        </w:rPr>
      </w:pPr>
      <w:r w:rsidRPr="00593C23">
        <w:rPr>
          <w:b/>
          <w:sz w:val="24"/>
          <w:szCs w:val="24"/>
        </w:rPr>
        <w:t>Results</w:t>
      </w:r>
    </w:p>
    <w:p w14:paraId="0456EF5B" w14:textId="77777777" w:rsidR="00FE3923" w:rsidRPr="00593C23" w:rsidRDefault="00FE3923" w:rsidP="00FE3923">
      <w:pPr>
        <w:autoSpaceDE w:val="0"/>
        <w:autoSpaceDN w:val="0"/>
        <w:adjustRightInd w:val="0"/>
        <w:spacing w:line="480" w:lineRule="auto"/>
        <w:contextualSpacing/>
        <w:rPr>
          <w:rFonts w:cs="AdvpalSR"/>
          <w:b/>
          <w:bCs/>
          <w:color w:val="231F20"/>
          <w:sz w:val="24"/>
          <w:szCs w:val="24"/>
        </w:rPr>
      </w:pPr>
      <w:r w:rsidRPr="00593C23">
        <w:rPr>
          <w:rFonts w:cs="AdvpalSR"/>
          <w:b/>
          <w:bCs/>
          <w:color w:val="231F20"/>
          <w:sz w:val="24"/>
          <w:szCs w:val="24"/>
        </w:rPr>
        <w:t>Open trial CBT vs. randomized-to-CBT trial</w:t>
      </w:r>
    </w:p>
    <w:p w14:paraId="49A78CC8" w14:textId="238CF7A0" w:rsidR="00915C86" w:rsidRPr="00593C23" w:rsidRDefault="00915C86" w:rsidP="00915C86">
      <w:pPr>
        <w:autoSpaceDE w:val="0"/>
        <w:autoSpaceDN w:val="0"/>
        <w:adjustRightInd w:val="0"/>
        <w:spacing w:line="480" w:lineRule="auto"/>
        <w:ind w:firstLine="720"/>
        <w:contextualSpacing/>
        <w:rPr>
          <w:rFonts w:cs="AdvOT596495f2"/>
          <w:bCs/>
          <w:sz w:val="24"/>
          <w:szCs w:val="24"/>
        </w:rPr>
      </w:pPr>
      <w:r w:rsidRPr="00593C23">
        <w:rPr>
          <w:rFonts w:cs="AdvOT596495f2"/>
          <w:bCs/>
          <w:sz w:val="24"/>
          <w:szCs w:val="24"/>
        </w:rPr>
        <w:t xml:space="preserve">A </w:t>
      </w:r>
      <w:r w:rsidR="00702D60" w:rsidRPr="00593C23">
        <w:rPr>
          <w:rFonts w:cs="AdvOT596495f2"/>
          <w:bCs/>
          <w:sz w:val="24"/>
          <w:szCs w:val="24"/>
        </w:rPr>
        <w:t xml:space="preserve">mixed </w:t>
      </w:r>
      <w:r w:rsidRPr="00593C23">
        <w:rPr>
          <w:rFonts w:cs="AdvOT596495f2"/>
          <w:bCs/>
          <w:sz w:val="24"/>
          <w:szCs w:val="24"/>
        </w:rPr>
        <w:t>2 study sample (open trial, randomized</w:t>
      </w:r>
      <w:r w:rsidR="00D44D7D" w:rsidRPr="00593C23">
        <w:rPr>
          <w:rFonts w:cs="AdvOT596495f2"/>
          <w:bCs/>
          <w:sz w:val="24"/>
          <w:szCs w:val="24"/>
        </w:rPr>
        <w:t>-to-CBT trial</w:t>
      </w:r>
      <w:r w:rsidRPr="00593C23">
        <w:rPr>
          <w:rFonts w:cs="AdvOT596495f2"/>
          <w:bCs/>
          <w:sz w:val="24"/>
          <w:szCs w:val="24"/>
        </w:rPr>
        <w:t>) by 3 primary outcome measure (HAMA, HAMD, DASS) by 2 time (Pre-CBT, Post-CBT) repeated measures M</w:t>
      </w:r>
      <w:r w:rsidR="00B35D66" w:rsidRPr="00593C23">
        <w:rPr>
          <w:rFonts w:cs="AdvOT596495f2"/>
          <w:bCs/>
          <w:sz w:val="24"/>
          <w:szCs w:val="24"/>
        </w:rPr>
        <w:t>ultivariate Analysis of Variance</w:t>
      </w:r>
      <w:r w:rsidR="003313FA" w:rsidRPr="00593C23">
        <w:rPr>
          <w:rFonts w:cs="AdvOT596495f2"/>
          <w:bCs/>
          <w:sz w:val="24"/>
          <w:szCs w:val="24"/>
        </w:rPr>
        <w:t xml:space="preserve"> (MANOVA)</w:t>
      </w:r>
      <w:r w:rsidRPr="00593C23">
        <w:rPr>
          <w:rFonts w:cs="AdvOT596495f2"/>
          <w:bCs/>
          <w:sz w:val="24"/>
          <w:szCs w:val="24"/>
        </w:rPr>
        <w:t xml:space="preserve"> revealed a main effect of time [F(1, 88)=276.76, p&lt;0.001]</w:t>
      </w:r>
      <w:r w:rsidR="00D44D7D" w:rsidRPr="00593C23">
        <w:rPr>
          <w:rFonts w:cs="AdvOT596495f2"/>
          <w:bCs/>
          <w:sz w:val="24"/>
          <w:szCs w:val="24"/>
        </w:rPr>
        <w:t xml:space="preserve"> and</w:t>
      </w:r>
      <w:r w:rsidRPr="00593C23">
        <w:rPr>
          <w:rFonts w:cs="AdvOT596495f2"/>
          <w:bCs/>
          <w:sz w:val="24"/>
          <w:szCs w:val="24"/>
        </w:rPr>
        <w:t xml:space="preserve"> measure [F(2, 176)=226.42, p&lt;0.001]</w:t>
      </w:r>
      <w:r w:rsidR="00D44D7D" w:rsidRPr="00593C23">
        <w:rPr>
          <w:rFonts w:cs="AdvOT596495f2"/>
          <w:bCs/>
          <w:sz w:val="24"/>
          <w:szCs w:val="24"/>
        </w:rPr>
        <w:t>.  There was no main effect for</w:t>
      </w:r>
      <w:r w:rsidRPr="00593C23">
        <w:rPr>
          <w:rFonts w:cs="AdvOT596495f2"/>
          <w:bCs/>
          <w:sz w:val="24"/>
          <w:szCs w:val="24"/>
        </w:rPr>
        <w:t xml:space="preserve"> study sample [F(1, 88)=1.36, p=0.247] though there was a time x measure x study sample interaction [F(2, 176)=7.47, p=0.002]</w:t>
      </w:r>
      <w:r w:rsidR="00EE7F06" w:rsidRPr="00593C23">
        <w:rPr>
          <w:rFonts w:cs="AdvOT596495f2"/>
          <w:bCs/>
          <w:sz w:val="24"/>
          <w:szCs w:val="24"/>
        </w:rPr>
        <w:t xml:space="preserve"> and </w:t>
      </w:r>
      <w:r w:rsidRPr="00593C23">
        <w:rPr>
          <w:rFonts w:cs="AdvOT596495f2"/>
          <w:bCs/>
          <w:sz w:val="24"/>
          <w:szCs w:val="24"/>
        </w:rPr>
        <w:t xml:space="preserve">time x study sample interaction [F(1, 88)=4.53, p=0.036]. There was also a measure x time interaction [F(2, 176)=87.15, p&lt;0.001] but no measure x study sample interaction [F(2, 176)=0.05, p=0.912].  </w:t>
      </w:r>
    </w:p>
    <w:p w14:paraId="3BD0BE15" w14:textId="16C9F801" w:rsidR="00915C86" w:rsidRPr="00593C23" w:rsidRDefault="00915C86" w:rsidP="00915C86">
      <w:pPr>
        <w:autoSpaceDE w:val="0"/>
        <w:autoSpaceDN w:val="0"/>
        <w:adjustRightInd w:val="0"/>
        <w:spacing w:line="480" w:lineRule="auto"/>
        <w:ind w:firstLine="720"/>
        <w:contextualSpacing/>
        <w:rPr>
          <w:rFonts w:cs="AdvOT596495f2"/>
          <w:bCs/>
          <w:sz w:val="24"/>
          <w:szCs w:val="24"/>
        </w:rPr>
      </w:pPr>
      <w:r w:rsidRPr="00593C23">
        <w:rPr>
          <w:rFonts w:cs="AdvOT596495f2"/>
          <w:bCs/>
          <w:sz w:val="24"/>
          <w:szCs w:val="24"/>
        </w:rPr>
        <w:t>To evaluate the main effect of time, measure</w:t>
      </w:r>
      <w:r w:rsidR="00B162BD" w:rsidRPr="00593C23">
        <w:rPr>
          <w:rFonts w:cs="AdvOT596495f2"/>
          <w:bCs/>
          <w:sz w:val="24"/>
          <w:szCs w:val="24"/>
        </w:rPr>
        <w:t>s</w:t>
      </w:r>
      <w:r w:rsidRPr="00593C23">
        <w:rPr>
          <w:rFonts w:cs="AdvOT596495f2"/>
          <w:bCs/>
          <w:sz w:val="24"/>
          <w:szCs w:val="24"/>
        </w:rPr>
        <w:t xml:space="preserve"> and study sample were collapsed.  </w:t>
      </w:r>
      <w:r w:rsidR="00947A58" w:rsidRPr="00593C23">
        <w:rPr>
          <w:rFonts w:cs="AdvOT596495f2"/>
          <w:bCs/>
          <w:sz w:val="24"/>
          <w:szCs w:val="24"/>
        </w:rPr>
        <w:t>A p</w:t>
      </w:r>
      <w:r w:rsidRPr="00593C23">
        <w:rPr>
          <w:rFonts w:cs="AdvOT596495f2"/>
          <w:bCs/>
          <w:sz w:val="24"/>
          <w:szCs w:val="24"/>
        </w:rPr>
        <w:t xml:space="preserve">aired t-test showed symptom severity across measures were higher before CBT (18.22 </w:t>
      </w:r>
      <w:r w:rsidRPr="00593C23">
        <w:rPr>
          <w:bCs/>
          <w:sz w:val="24"/>
          <w:szCs w:val="24"/>
        </w:rPr>
        <w:t>±</w:t>
      </w:r>
      <w:r w:rsidRPr="00593C23">
        <w:rPr>
          <w:rFonts w:cs="AdvOT596495f2"/>
          <w:bCs/>
          <w:sz w:val="24"/>
          <w:szCs w:val="24"/>
        </w:rPr>
        <w:t xml:space="preserve"> 6.67) than after completing CBT (6.87 </w:t>
      </w:r>
      <w:r w:rsidRPr="00593C23">
        <w:rPr>
          <w:bCs/>
          <w:sz w:val="24"/>
          <w:szCs w:val="24"/>
        </w:rPr>
        <w:t>±</w:t>
      </w:r>
      <w:r w:rsidRPr="00593C23">
        <w:rPr>
          <w:rFonts w:cs="AdvOT596495f2"/>
          <w:bCs/>
          <w:sz w:val="24"/>
          <w:szCs w:val="24"/>
        </w:rPr>
        <w:t xml:space="preserve"> 5.53) [t(89)=16.30, p&lt;0.001].  </w:t>
      </w:r>
      <w:r w:rsidR="00E2258C">
        <w:rPr>
          <w:rFonts w:cs="AdvOT596495f2"/>
          <w:bCs/>
          <w:sz w:val="24"/>
          <w:szCs w:val="24"/>
        </w:rPr>
        <w:t xml:space="preserve">To </w:t>
      </w:r>
      <w:r w:rsidR="00DC4386">
        <w:rPr>
          <w:rFonts w:cs="AdvOT596495f2"/>
          <w:bCs/>
          <w:sz w:val="24"/>
          <w:szCs w:val="24"/>
        </w:rPr>
        <w:t xml:space="preserve">evaluate </w:t>
      </w:r>
      <w:r w:rsidRPr="00593C23">
        <w:rPr>
          <w:rFonts w:cs="AdvOT596495f2"/>
          <w:bCs/>
          <w:sz w:val="24"/>
          <w:szCs w:val="24"/>
        </w:rPr>
        <w:t xml:space="preserve">the main effect of measure, we collapsed across time and study sample.  Paired t-tests showed all patients exhibited more anxiety indexed with HAMA (10.77 </w:t>
      </w:r>
      <w:r w:rsidRPr="00593C23">
        <w:rPr>
          <w:bCs/>
          <w:sz w:val="24"/>
          <w:szCs w:val="24"/>
        </w:rPr>
        <w:t>±</w:t>
      </w:r>
      <w:r w:rsidRPr="00593C23">
        <w:rPr>
          <w:rFonts w:cs="AdvOT596495f2"/>
          <w:bCs/>
          <w:sz w:val="24"/>
          <w:szCs w:val="24"/>
        </w:rPr>
        <w:t xml:space="preserve"> 5.28) than depression assessed with HAMD (10.05 </w:t>
      </w:r>
      <w:r w:rsidRPr="00593C23">
        <w:rPr>
          <w:bCs/>
          <w:sz w:val="24"/>
          <w:szCs w:val="24"/>
        </w:rPr>
        <w:t>±</w:t>
      </w:r>
      <w:r w:rsidRPr="00593C23">
        <w:rPr>
          <w:rFonts w:cs="AdvOT596495f2"/>
          <w:bCs/>
          <w:sz w:val="24"/>
          <w:szCs w:val="24"/>
        </w:rPr>
        <w:t xml:space="preserve"> 4.86) [t(89)=5.11, p&lt;0.001].  </w:t>
      </w:r>
      <w:r w:rsidR="00D02A14" w:rsidRPr="00593C23">
        <w:rPr>
          <w:rFonts w:cs="AdvOT596495f2"/>
          <w:bCs/>
          <w:sz w:val="24"/>
          <w:szCs w:val="24"/>
        </w:rPr>
        <w:t>However, s</w:t>
      </w:r>
      <w:r w:rsidRPr="00593C23">
        <w:rPr>
          <w:rFonts w:cs="AdvOT596495f2"/>
          <w:bCs/>
          <w:sz w:val="24"/>
          <w:szCs w:val="24"/>
        </w:rPr>
        <w:t xml:space="preserve">elf-reported symptom severity via DASS </w:t>
      </w:r>
      <w:r w:rsidRPr="00593C23">
        <w:rPr>
          <w:rFonts w:cs="AdvOT596495f2"/>
          <w:bCs/>
          <w:sz w:val="24"/>
          <w:szCs w:val="24"/>
        </w:rPr>
        <w:lastRenderedPageBreak/>
        <w:t xml:space="preserve">was higher (19.30 </w:t>
      </w:r>
      <w:r w:rsidRPr="00593C23">
        <w:rPr>
          <w:bCs/>
          <w:sz w:val="24"/>
          <w:szCs w:val="24"/>
        </w:rPr>
        <w:t>±</w:t>
      </w:r>
      <w:r w:rsidRPr="00593C23">
        <w:rPr>
          <w:rFonts w:cs="AdvOT596495f2"/>
          <w:bCs/>
          <w:sz w:val="24"/>
          <w:szCs w:val="24"/>
        </w:rPr>
        <w:t xml:space="preserve"> 7.94) than HAMA [t(89)=13.82, p&lt;0.001] and HAMD [t(89)=14.89, p&lt;0.001] across patients.  </w:t>
      </w:r>
    </w:p>
    <w:p w14:paraId="10BF082D" w14:textId="78D258C5" w:rsidR="00E455B4" w:rsidRPr="00593C23" w:rsidRDefault="00915C86" w:rsidP="002E0DEB">
      <w:pPr>
        <w:autoSpaceDE w:val="0"/>
        <w:autoSpaceDN w:val="0"/>
        <w:adjustRightInd w:val="0"/>
        <w:spacing w:line="480" w:lineRule="auto"/>
        <w:ind w:firstLine="720"/>
        <w:contextualSpacing/>
        <w:rPr>
          <w:rFonts w:cs="AdvOT596495f2"/>
          <w:bCs/>
          <w:sz w:val="24"/>
          <w:szCs w:val="24"/>
        </w:rPr>
      </w:pPr>
      <w:r w:rsidRPr="00593C23">
        <w:rPr>
          <w:rFonts w:cs="AdvOT596495f2"/>
          <w:bCs/>
          <w:sz w:val="24"/>
          <w:szCs w:val="24"/>
        </w:rPr>
        <w:t xml:space="preserve">To examine the highest-order interaction, we performed independent t-tests with study sample as the between-subjects group for each measure before and after CBT.  </w:t>
      </w:r>
      <w:r w:rsidR="000415DC" w:rsidRPr="00593C23">
        <w:rPr>
          <w:rFonts w:cs="AdvOT596495f2"/>
          <w:bCs/>
          <w:sz w:val="24"/>
          <w:szCs w:val="24"/>
        </w:rPr>
        <w:t xml:space="preserve">As reported </w:t>
      </w:r>
      <w:r w:rsidR="009429CA" w:rsidRPr="00593C23">
        <w:rPr>
          <w:rFonts w:cs="AdvOT596495f2"/>
          <w:bCs/>
          <w:sz w:val="24"/>
          <w:szCs w:val="24"/>
        </w:rPr>
        <w:t>above</w:t>
      </w:r>
      <w:r w:rsidR="000415DC" w:rsidRPr="00593C23">
        <w:rPr>
          <w:rFonts w:cs="AdvOT596495f2"/>
          <w:bCs/>
          <w:sz w:val="24"/>
          <w:szCs w:val="24"/>
        </w:rPr>
        <w:t xml:space="preserve">, </w:t>
      </w:r>
      <w:r w:rsidR="00112FCA" w:rsidRPr="00593C23">
        <w:rPr>
          <w:bCs/>
          <w:sz w:val="24"/>
          <w:szCs w:val="24"/>
        </w:rPr>
        <w:t xml:space="preserve">patients from the open trial study </w:t>
      </w:r>
      <w:r w:rsidR="00A30EEB">
        <w:rPr>
          <w:bCs/>
          <w:sz w:val="24"/>
          <w:szCs w:val="24"/>
        </w:rPr>
        <w:t xml:space="preserve">at baseline </w:t>
      </w:r>
      <w:r w:rsidR="00112FCA" w:rsidRPr="00593C23">
        <w:rPr>
          <w:bCs/>
          <w:sz w:val="24"/>
          <w:szCs w:val="24"/>
        </w:rPr>
        <w:t xml:space="preserve">were more socially anxious than the randomized-to-CBT patients </w:t>
      </w:r>
      <w:r w:rsidR="00112FCA" w:rsidRPr="00593C23">
        <w:rPr>
          <w:sz w:val="24"/>
          <w:szCs w:val="24"/>
        </w:rPr>
        <w:t xml:space="preserve">but </w:t>
      </w:r>
      <w:r w:rsidR="008F5CBF" w:rsidRPr="00593C23">
        <w:rPr>
          <w:sz w:val="24"/>
          <w:szCs w:val="24"/>
        </w:rPr>
        <w:t xml:space="preserve">self-reported </w:t>
      </w:r>
      <w:r w:rsidR="00112FCA" w:rsidRPr="00593C23">
        <w:rPr>
          <w:sz w:val="24"/>
          <w:szCs w:val="24"/>
        </w:rPr>
        <w:t xml:space="preserve">less symptom severity </w:t>
      </w:r>
      <w:r w:rsidR="00112FCA" w:rsidRPr="00593C23">
        <w:rPr>
          <w:bCs/>
          <w:sz w:val="24"/>
          <w:szCs w:val="24"/>
        </w:rPr>
        <w:t>than the randomized sample</w:t>
      </w:r>
      <w:r w:rsidR="008F5CBF" w:rsidRPr="00593C23">
        <w:rPr>
          <w:bCs/>
          <w:sz w:val="24"/>
          <w:szCs w:val="24"/>
        </w:rPr>
        <w:t>.</w:t>
      </w:r>
      <w:r w:rsidR="009429CA" w:rsidRPr="00593C23">
        <w:rPr>
          <w:bCs/>
          <w:sz w:val="24"/>
          <w:szCs w:val="24"/>
        </w:rPr>
        <w:t xml:space="preserve">  </w:t>
      </w:r>
      <w:r w:rsidR="0019639D" w:rsidRPr="00593C23">
        <w:rPr>
          <w:bCs/>
          <w:sz w:val="24"/>
          <w:szCs w:val="24"/>
        </w:rPr>
        <w:t>Also, p</w:t>
      </w:r>
      <w:r w:rsidR="009429CA" w:rsidRPr="00593C23">
        <w:rPr>
          <w:bCs/>
          <w:sz w:val="24"/>
          <w:szCs w:val="24"/>
        </w:rPr>
        <w:t>atients in both sample</w:t>
      </w:r>
      <w:r w:rsidR="0019639D" w:rsidRPr="00593C23">
        <w:rPr>
          <w:bCs/>
          <w:sz w:val="24"/>
          <w:szCs w:val="24"/>
        </w:rPr>
        <w:t>s</w:t>
      </w:r>
      <w:r w:rsidR="009429CA" w:rsidRPr="00593C23">
        <w:rPr>
          <w:bCs/>
          <w:sz w:val="24"/>
          <w:szCs w:val="24"/>
        </w:rPr>
        <w:t xml:space="preserve"> had analogous levels of </w:t>
      </w:r>
      <w:r w:rsidR="0019639D" w:rsidRPr="00593C23">
        <w:rPr>
          <w:bCs/>
          <w:sz w:val="24"/>
          <w:szCs w:val="24"/>
        </w:rPr>
        <w:t xml:space="preserve">general </w:t>
      </w:r>
      <w:r w:rsidR="0019639D" w:rsidRPr="00593C23">
        <w:rPr>
          <w:sz w:val="24"/>
          <w:szCs w:val="24"/>
          <w:lang w:val="en"/>
        </w:rPr>
        <w:t xml:space="preserve">anxiety, depression, and worry.  </w:t>
      </w:r>
      <w:r w:rsidRPr="00593C23">
        <w:rPr>
          <w:sz w:val="24"/>
          <w:szCs w:val="24"/>
          <w:lang w:val="en"/>
        </w:rPr>
        <w:t xml:space="preserve">After completing CBT, </w:t>
      </w:r>
      <w:r w:rsidR="00C25FE2" w:rsidRPr="00593C23">
        <w:rPr>
          <w:bCs/>
          <w:sz w:val="24"/>
          <w:szCs w:val="24"/>
        </w:rPr>
        <w:t xml:space="preserve">independent t-tests revealed patients from the open trial study were </w:t>
      </w:r>
      <w:r w:rsidR="00DA21E7" w:rsidRPr="00593C23">
        <w:rPr>
          <w:bCs/>
          <w:sz w:val="24"/>
          <w:szCs w:val="24"/>
        </w:rPr>
        <w:t xml:space="preserve">similar in </w:t>
      </w:r>
      <w:r w:rsidR="00A30EEB">
        <w:rPr>
          <w:bCs/>
          <w:sz w:val="24"/>
          <w:szCs w:val="24"/>
        </w:rPr>
        <w:t xml:space="preserve">general </w:t>
      </w:r>
      <w:r w:rsidR="00DA21E7" w:rsidRPr="00593C23">
        <w:rPr>
          <w:bCs/>
          <w:sz w:val="24"/>
          <w:szCs w:val="24"/>
        </w:rPr>
        <w:t xml:space="preserve">anxiety level </w:t>
      </w:r>
      <w:r w:rsidR="00C25FE2" w:rsidRPr="00593C23">
        <w:rPr>
          <w:bCs/>
          <w:sz w:val="24"/>
          <w:szCs w:val="24"/>
        </w:rPr>
        <w:t>(</w:t>
      </w:r>
      <w:r w:rsidR="00DA21E7" w:rsidRPr="00593C23">
        <w:rPr>
          <w:bCs/>
          <w:sz w:val="24"/>
          <w:szCs w:val="24"/>
        </w:rPr>
        <w:t>HAMA</w:t>
      </w:r>
      <w:r w:rsidR="00C25FE2" w:rsidRPr="00593C23">
        <w:rPr>
          <w:bCs/>
          <w:sz w:val="24"/>
          <w:szCs w:val="24"/>
        </w:rPr>
        <w:t xml:space="preserve">: </w:t>
      </w:r>
      <w:r w:rsidR="00DA21E7" w:rsidRPr="00593C23">
        <w:rPr>
          <w:bCs/>
          <w:sz w:val="24"/>
          <w:szCs w:val="24"/>
        </w:rPr>
        <w:t>5.43</w:t>
      </w:r>
      <w:r w:rsidR="00C25FE2" w:rsidRPr="00593C23">
        <w:rPr>
          <w:bCs/>
          <w:sz w:val="24"/>
          <w:szCs w:val="24"/>
        </w:rPr>
        <w:t xml:space="preserve"> ± </w:t>
      </w:r>
      <w:r w:rsidR="00941F26" w:rsidRPr="00593C23">
        <w:rPr>
          <w:bCs/>
          <w:sz w:val="24"/>
          <w:szCs w:val="24"/>
        </w:rPr>
        <w:t>5.31</w:t>
      </w:r>
      <w:r w:rsidR="00C25FE2" w:rsidRPr="00593C23">
        <w:rPr>
          <w:bCs/>
          <w:sz w:val="24"/>
          <w:szCs w:val="24"/>
        </w:rPr>
        <w:t xml:space="preserve">) </w:t>
      </w:r>
      <w:r w:rsidR="0048166E" w:rsidRPr="00593C23">
        <w:rPr>
          <w:bCs/>
          <w:sz w:val="24"/>
          <w:szCs w:val="24"/>
        </w:rPr>
        <w:t xml:space="preserve">compared to the randomized-to-CBT patients (HAMA: </w:t>
      </w:r>
      <w:r w:rsidR="003D42B5" w:rsidRPr="00593C23">
        <w:rPr>
          <w:bCs/>
          <w:sz w:val="24"/>
          <w:szCs w:val="24"/>
        </w:rPr>
        <w:t>6.12</w:t>
      </w:r>
      <w:r w:rsidR="0048166E" w:rsidRPr="00593C23">
        <w:rPr>
          <w:bCs/>
          <w:sz w:val="24"/>
          <w:szCs w:val="24"/>
        </w:rPr>
        <w:t xml:space="preserve"> ± </w:t>
      </w:r>
      <w:r w:rsidR="003D42B5" w:rsidRPr="00593C23">
        <w:rPr>
          <w:bCs/>
          <w:sz w:val="24"/>
          <w:szCs w:val="24"/>
        </w:rPr>
        <w:t>4.77</w:t>
      </w:r>
      <w:r w:rsidR="0048166E" w:rsidRPr="00593C23">
        <w:rPr>
          <w:bCs/>
          <w:sz w:val="24"/>
          <w:szCs w:val="24"/>
        </w:rPr>
        <w:t xml:space="preserve">) </w:t>
      </w:r>
      <w:r w:rsidR="0048166E" w:rsidRPr="00593C23">
        <w:rPr>
          <w:sz w:val="24"/>
          <w:szCs w:val="24"/>
        </w:rPr>
        <w:t>[</w:t>
      </w:r>
      <w:r w:rsidR="0048166E" w:rsidRPr="00593C23">
        <w:rPr>
          <w:i/>
          <w:sz w:val="24"/>
          <w:szCs w:val="24"/>
          <w:lang w:val="en"/>
        </w:rPr>
        <w:t>t</w:t>
      </w:r>
      <w:r w:rsidR="0048166E" w:rsidRPr="00593C23">
        <w:rPr>
          <w:sz w:val="24"/>
          <w:szCs w:val="24"/>
          <w:lang w:val="en"/>
        </w:rPr>
        <w:t>(88)=</w:t>
      </w:r>
      <w:r w:rsidR="00E34E3B" w:rsidRPr="00593C23">
        <w:rPr>
          <w:sz w:val="24"/>
          <w:szCs w:val="24"/>
          <w:lang w:val="en"/>
        </w:rPr>
        <w:t>0.62</w:t>
      </w:r>
      <w:r w:rsidR="0048166E" w:rsidRPr="00593C23">
        <w:rPr>
          <w:sz w:val="24"/>
          <w:szCs w:val="24"/>
          <w:lang w:val="en"/>
        </w:rPr>
        <w:t xml:space="preserve">, </w:t>
      </w:r>
      <w:r w:rsidR="0048166E" w:rsidRPr="00593C23">
        <w:rPr>
          <w:iCs/>
          <w:sz w:val="24"/>
          <w:szCs w:val="24"/>
          <w:lang w:val="en"/>
        </w:rPr>
        <w:t>p</w:t>
      </w:r>
      <w:r w:rsidR="0048166E" w:rsidRPr="00593C23">
        <w:rPr>
          <w:sz w:val="24"/>
          <w:szCs w:val="24"/>
          <w:lang w:val="en"/>
        </w:rPr>
        <w:t>=0.</w:t>
      </w:r>
      <w:r w:rsidR="00E34E3B" w:rsidRPr="00593C23">
        <w:rPr>
          <w:sz w:val="24"/>
          <w:szCs w:val="24"/>
          <w:lang w:val="en"/>
        </w:rPr>
        <w:t>54</w:t>
      </w:r>
      <w:r w:rsidR="0048166E" w:rsidRPr="00593C23">
        <w:rPr>
          <w:sz w:val="24"/>
          <w:szCs w:val="24"/>
          <w:lang w:val="en"/>
        </w:rPr>
        <w:t>]</w:t>
      </w:r>
      <w:r w:rsidR="00337989" w:rsidRPr="00593C23">
        <w:rPr>
          <w:sz w:val="24"/>
          <w:szCs w:val="24"/>
          <w:lang w:val="en"/>
        </w:rPr>
        <w:t xml:space="preserve">, similar </w:t>
      </w:r>
      <w:r w:rsidR="00D42B87" w:rsidRPr="00593C23">
        <w:rPr>
          <w:sz w:val="24"/>
          <w:szCs w:val="24"/>
          <w:lang w:val="en"/>
        </w:rPr>
        <w:t xml:space="preserve">in depression level </w:t>
      </w:r>
      <w:r w:rsidR="00D42B87" w:rsidRPr="00593C23">
        <w:rPr>
          <w:bCs/>
          <w:sz w:val="24"/>
          <w:szCs w:val="24"/>
        </w:rPr>
        <w:t>(HAMD: 3.91 ± 4.39) relative to randomized-to-CBT patients (HAMD: 4.82 ± 3.94)</w:t>
      </w:r>
      <w:r w:rsidR="005F2BF2" w:rsidRPr="00593C23">
        <w:rPr>
          <w:bCs/>
          <w:sz w:val="24"/>
          <w:szCs w:val="24"/>
        </w:rPr>
        <w:t xml:space="preserve"> </w:t>
      </w:r>
      <w:r w:rsidR="005F2BF2" w:rsidRPr="00593C23">
        <w:rPr>
          <w:sz w:val="24"/>
          <w:szCs w:val="24"/>
        </w:rPr>
        <w:t>[</w:t>
      </w:r>
      <w:r w:rsidR="005F2BF2" w:rsidRPr="00593C23">
        <w:rPr>
          <w:i/>
          <w:sz w:val="24"/>
          <w:szCs w:val="24"/>
          <w:lang w:val="en"/>
        </w:rPr>
        <w:t>t</w:t>
      </w:r>
      <w:r w:rsidR="005F2BF2" w:rsidRPr="00593C23">
        <w:rPr>
          <w:sz w:val="24"/>
          <w:szCs w:val="24"/>
          <w:lang w:val="en"/>
        </w:rPr>
        <w:t xml:space="preserve">(88)=0.99, </w:t>
      </w:r>
      <w:r w:rsidR="005F2BF2" w:rsidRPr="00593C23">
        <w:rPr>
          <w:iCs/>
          <w:sz w:val="24"/>
          <w:szCs w:val="24"/>
          <w:lang w:val="en"/>
        </w:rPr>
        <w:t>p</w:t>
      </w:r>
      <w:r w:rsidR="005F2BF2" w:rsidRPr="00593C23">
        <w:rPr>
          <w:sz w:val="24"/>
          <w:szCs w:val="24"/>
          <w:lang w:val="en"/>
        </w:rPr>
        <w:t>=0.32],</w:t>
      </w:r>
      <w:r w:rsidR="005F2BF2" w:rsidRPr="00593C23">
        <w:rPr>
          <w:bCs/>
          <w:sz w:val="24"/>
          <w:szCs w:val="24"/>
        </w:rPr>
        <w:t xml:space="preserve"> </w:t>
      </w:r>
      <w:r w:rsidR="0027740A" w:rsidRPr="00593C23">
        <w:rPr>
          <w:bCs/>
          <w:sz w:val="24"/>
          <w:szCs w:val="24"/>
        </w:rPr>
        <w:t xml:space="preserve">and similar in self-reported symptom </w:t>
      </w:r>
      <w:r w:rsidR="00D41FC1" w:rsidRPr="00593C23">
        <w:rPr>
          <w:bCs/>
          <w:sz w:val="24"/>
          <w:szCs w:val="24"/>
        </w:rPr>
        <w:t>severity (DASS: 11.</w:t>
      </w:r>
      <w:r w:rsidR="004D5520" w:rsidRPr="00593C23">
        <w:rPr>
          <w:bCs/>
          <w:sz w:val="24"/>
          <w:szCs w:val="24"/>
        </w:rPr>
        <w:t>48</w:t>
      </w:r>
      <w:r w:rsidR="00D41FC1" w:rsidRPr="00593C23">
        <w:rPr>
          <w:bCs/>
          <w:sz w:val="24"/>
          <w:szCs w:val="24"/>
        </w:rPr>
        <w:t xml:space="preserve"> ± </w:t>
      </w:r>
      <w:r w:rsidR="004D5520" w:rsidRPr="00593C23">
        <w:rPr>
          <w:bCs/>
          <w:sz w:val="24"/>
          <w:szCs w:val="24"/>
        </w:rPr>
        <w:t>9.36</w:t>
      </w:r>
      <w:r w:rsidR="00D41FC1" w:rsidRPr="00593C23">
        <w:rPr>
          <w:bCs/>
          <w:sz w:val="24"/>
          <w:szCs w:val="24"/>
        </w:rPr>
        <w:t>)</w:t>
      </w:r>
      <w:r w:rsidR="004D5520" w:rsidRPr="00593C23">
        <w:rPr>
          <w:bCs/>
          <w:sz w:val="24"/>
          <w:szCs w:val="24"/>
        </w:rPr>
        <w:t xml:space="preserve"> compared to randomized-to-CBT patients (DASS: 9.29 ± 8.71) </w:t>
      </w:r>
      <w:r w:rsidR="00D42B87" w:rsidRPr="00593C23">
        <w:rPr>
          <w:sz w:val="24"/>
          <w:szCs w:val="24"/>
        </w:rPr>
        <w:t>[</w:t>
      </w:r>
      <w:r w:rsidR="00D42B87" w:rsidRPr="00593C23">
        <w:rPr>
          <w:i/>
          <w:sz w:val="24"/>
          <w:szCs w:val="24"/>
          <w:lang w:val="en"/>
        </w:rPr>
        <w:t>t</w:t>
      </w:r>
      <w:r w:rsidR="00D42B87" w:rsidRPr="00593C23">
        <w:rPr>
          <w:sz w:val="24"/>
          <w:szCs w:val="24"/>
          <w:lang w:val="en"/>
        </w:rPr>
        <w:t>(88)=</w:t>
      </w:r>
      <w:r w:rsidR="00CA5F46" w:rsidRPr="00593C23">
        <w:rPr>
          <w:sz w:val="24"/>
          <w:szCs w:val="24"/>
          <w:lang w:val="en"/>
        </w:rPr>
        <w:t>1.10</w:t>
      </w:r>
      <w:r w:rsidR="00D42B87" w:rsidRPr="00593C23">
        <w:rPr>
          <w:sz w:val="24"/>
          <w:szCs w:val="24"/>
          <w:lang w:val="en"/>
        </w:rPr>
        <w:t xml:space="preserve">, </w:t>
      </w:r>
      <w:r w:rsidR="00D42B87" w:rsidRPr="00593C23">
        <w:rPr>
          <w:iCs/>
          <w:sz w:val="24"/>
          <w:szCs w:val="24"/>
          <w:lang w:val="en"/>
        </w:rPr>
        <w:t>p</w:t>
      </w:r>
      <w:r w:rsidR="00D42B87" w:rsidRPr="00593C23">
        <w:rPr>
          <w:sz w:val="24"/>
          <w:szCs w:val="24"/>
          <w:lang w:val="en"/>
        </w:rPr>
        <w:t>=0.</w:t>
      </w:r>
      <w:r w:rsidR="00CA5F46" w:rsidRPr="00593C23">
        <w:rPr>
          <w:sz w:val="24"/>
          <w:szCs w:val="24"/>
          <w:lang w:val="en"/>
        </w:rPr>
        <w:t>27</w:t>
      </w:r>
      <w:r w:rsidR="00D42B87" w:rsidRPr="00593C23">
        <w:rPr>
          <w:sz w:val="24"/>
          <w:szCs w:val="24"/>
          <w:lang w:val="en"/>
        </w:rPr>
        <w:t>]</w:t>
      </w:r>
      <w:r w:rsidR="00CA5F46" w:rsidRPr="00593C23">
        <w:rPr>
          <w:sz w:val="24"/>
          <w:szCs w:val="24"/>
          <w:lang w:val="en"/>
        </w:rPr>
        <w:t>.</w:t>
      </w:r>
    </w:p>
    <w:p w14:paraId="22785AD9" w14:textId="4FEDD181" w:rsidR="00915C86" w:rsidRPr="00593C23" w:rsidRDefault="00915C86" w:rsidP="00915C86">
      <w:pPr>
        <w:autoSpaceDE w:val="0"/>
        <w:autoSpaceDN w:val="0"/>
        <w:adjustRightInd w:val="0"/>
        <w:spacing w:line="480" w:lineRule="auto"/>
        <w:ind w:firstLine="720"/>
        <w:contextualSpacing/>
        <w:rPr>
          <w:rFonts w:cs="AdvOT596495f2"/>
          <w:bCs/>
          <w:sz w:val="24"/>
          <w:szCs w:val="24"/>
        </w:rPr>
      </w:pPr>
      <w:r w:rsidRPr="00593C23">
        <w:rPr>
          <w:sz w:val="24"/>
          <w:szCs w:val="24"/>
          <w:lang w:val="en"/>
        </w:rPr>
        <w:t>Paired t-tests results within each study sample was analogous to the main effect of time finding across primary measures.  Specifically, in the open</w:t>
      </w:r>
      <w:r w:rsidR="00A30EEB">
        <w:rPr>
          <w:sz w:val="24"/>
          <w:szCs w:val="24"/>
          <w:lang w:val="en"/>
        </w:rPr>
        <w:t xml:space="preserve"> </w:t>
      </w:r>
      <w:r w:rsidRPr="00593C23">
        <w:rPr>
          <w:sz w:val="24"/>
          <w:szCs w:val="24"/>
          <w:lang w:val="en"/>
        </w:rPr>
        <w:t>trial study</w:t>
      </w:r>
      <w:r w:rsidR="00FF349C" w:rsidRPr="00593C23">
        <w:rPr>
          <w:sz w:val="24"/>
          <w:szCs w:val="24"/>
          <w:lang w:val="en"/>
        </w:rPr>
        <w:t>,</w:t>
      </w:r>
      <w:r w:rsidRPr="00593C23">
        <w:rPr>
          <w:sz w:val="24"/>
          <w:szCs w:val="24"/>
          <w:lang w:val="en"/>
        </w:rPr>
        <w:t xml:space="preserve"> anxiety at baseline (</w:t>
      </w:r>
      <w:r w:rsidRPr="00593C23">
        <w:rPr>
          <w:rFonts w:cs="AdvOT596495f2"/>
          <w:bCs/>
          <w:sz w:val="24"/>
          <w:szCs w:val="24"/>
        </w:rPr>
        <w:t xml:space="preserve">15.25 </w:t>
      </w:r>
      <w:r w:rsidRPr="00593C23">
        <w:rPr>
          <w:bCs/>
          <w:sz w:val="24"/>
          <w:szCs w:val="24"/>
        </w:rPr>
        <w:t>±</w:t>
      </w:r>
      <w:r w:rsidRPr="00593C23">
        <w:rPr>
          <w:rFonts w:cs="AdvOT596495f2"/>
          <w:bCs/>
          <w:sz w:val="24"/>
          <w:szCs w:val="24"/>
        </w:rPr>
        <w:t xml:space="preserve"> 8.45) </w:t>
      </w:r>
      <w:r w:rsidR="007D1AB7">
        <w:rPr>
          <w:rFonts w:cs="AdvOT596495f2"/>
          <w:bCs/>
          <w:sz w:val="24"/>
          <w:szCs w:val="24"/>
        </w:rPr>
        <w:t>decreased</w:t>
      </w:r>
      <w:r w:rsidRPr="00593C23">
        <w:rPr>
          <w:rFonts w:cs="AdvOT596495f2"/>
          <w:bCs/>
          <w:sz w:val="24"/>
          <w:szCs w:val="24"/>
        </w:rPr>
        <w:t xml:space="preserve"> after CBT </w:t>
      </w:r>
      <w:r w:rsidRPr="00593C23">
        <w:rPr>
          <w:sz w:val="24"/>
          <w:szCs w:val="24"/>
          <w:lang w:val="en"/>
        </w:rPr>
        <w:t>(</w:t>
      </w:r>
      <w:r w:rsidRPr="00593C23">
        <w:rPr>
          <w:rFonts w:cs="AdvOT596495f2"/>
          <w:bCs/>
          <w:sz w:val="24"/>
          <w:szCs w:val="24"/>
        </w:rPr>
        <w:t xml:space="preserve">5.43 </w:t>
      </w:r>
      <w:r w:rsidRPr="00593C23">
        <w:rPr>
          <w:bCs/>
          <w:sz w:val="24"/>
          <w:szCs w:val="24"/>
        </w:rPr>
        <w:t>±</w:t>
      </w:r>
      <w:r w:rsidRPr="00593C23">
        <w:rPr>
          <w:rFonts w:cs="AdvOT596495f2"/>
          <w:bCs/>
          <w:sz w:val="24"/>
          <w:szCs w:val="24"/>
        </w:rPr>
        <w:t xml:space="preserve"> 5.30) [HAMA; t(55)=10.01, p&lt;0.001], depression level at baseline </w:t>
      </w:r>
      <w:r w:rsidRPr="00593C23">
        <w:rPr>
          <w:sz w:val="24"/>
          <w:szCs w:val="24"/>
          <w:lang w:val="en"/>
        </w:rPr>
        <w:t>(</w:t>
      </w:r>
      <w:r w:rsidRPr="00593C23">
        <w:rPr>
          <w:rFonts w:cs="AdvOT596495f2"/>
          <w:bCs/>
          <w:sz w:val="24"/>
          <w:szCs w:val="24"/>
        </w:rPr>
        <w:t xml:space="preserve">10.09 </w:t>
      </w:r>
      <w:r w:rsidRPr="00593C23">
        <w:rPr>
          <w:bCs/>
          <w:sz w:val="24"/>
          <w:szCs w:val="24"/>
        </w:rPr>
        <w:t>±</w:t>
      </w:r>
      <w:r w:rsidRPr="00593C23">
        <w:rPr>
          <w:rFonts w:cs="AdvOT596495f2"/>
          <w:bCs/>
          <w:sz w:val="24"/>
          <w:szCs w:val="24"/>
        </w:rPr>
        <w:t xml:space="preserve"> 6.11) decreased after CBT </w:t>
      </w:r>
      <w:r w:rsidRPr="00593C23">
        <w:rPr>
          <w:sz w:val="24"/>
          <w:szCs w:val="24"/>
          <w:lang w:val="en"/>
        </w:rPr>
        <w:t>(</w:t>
      </w:r>
      <w:r w:rsidRPr="00593C23">
        <w:rPr>
          <w:rFonts w:cs="AdvOT596495f2"/>
          <w:bCs/>
          <w:sz w:val="24"/>
          <w:szCs w:val="24"/>
        </w:rPr>
        <w:t xml:space="preserve">3.91 </w:t>
      </w:r>
      <w:r w:rsidRPr="00593C23">
        <w:rPr>
          <w:bCs/>
          <w:sz w:val="24"/>
          <w:szCs w:val="24"/>
        </w:rPr>
        <w:t>±</w:t>
      </w:r>
      <w:r w:rsidRPr="00593C23">
        <w:rPr>
          <w:rFonts w:cs="AdvOT596495f2"/>
          <w:bCs/>
          <w:sz w:val="24"/>
          <w:szCs w:val="24"/>
        </w:rPr>
        <w:t xml:space="preserve"> 4.39) [HAMD; t(55)=7.73, p&lt;0.001], and self-reported symptom severity at baseline </w:t>
      </w:r>
      <w:r w:rsidRPr="00593C23">
        <w:rPr>
          <w:sz w:val="24"/>
          <w:szCs w:val="24"/>
          <w:lang w:val="en"/>
        </w:rPr>
        <w:t>(</w:t>
      </w:r>
      <w:r w:rsidRPr="00593C23">
        <w:rPr>
          <w:rFonts w:cs="AdvOT596495f2"/>
          <w:bCs/>
          <w:sz w:val="24"/>
          <w:szCs w:val="24"/>
        </w:rPr>
        <w:t xml:space="preserve">26.16 </w:t>
      </w:r>
      <w:r w:rsidRPr="00593C23">
        <w:rPr>
          <w:bCs/>
          <w:sz w:val="24"/>
          <w:szCs w:val="24"/>
        </w:rPr>
        <w:t>±</w:t>
      </w:r>
      <w:r w:rsidRPr="00593C23">
        <w:rPr>
          <w:rFonts w:cs="AdvOT596495f2"/>
          <w:bCs/>
          <w:sz w:val="24"/>
          <w:szCs w:val="24"/>
        </w:rPr>
        <w:t xml:space="preserve"> 11.64) decreased after CBT </w:t>
      </w:r>
      <w:r w:rsidRPr="00593C23">
        <w:rPr>
          <w:sz w:val="24"/>
          <w:szCs w:val="24"/>
          <w:lang w:val="en"/>
        </w:rPr>
        <w:t>(</w:t>
      </w:r>
      <w:r w:rsidRPr="00593C23">
        <w:rPr>
          <w:rFonts w:cs="AdvOT596495f2"/>
          <w:bCs/>
          <w:sz w:val="24"/>
          <w:szCs w:val="24"/>
        </w:rPr>
        <w:t xml:space="preserve">11.48 </w:t>
      </w:r>
      <w:r w:rsidRPr="00593C23">
        <w:rPr>
          <w:bCs/>
          <w:sz w:val="24"/>
          <w:szCs w:val="24"/>
        </w:rPr>
        <w:t>±</w:t>
      </w:r>
      <w:r w:rsidRPr="00593C23">
        <w:rPr>
          <w:rFonts w:cs="AdvOT596495f2"/>
          <w:bCs/>
          <w:sz w:val="24"/>
          <w:szCs w:val="24"/>
        </w:rPr>
        <w:t xml:space="preserve"> 9.36) [DASS; t(55)=9.41, p&lt;0.001].  Comparable results were observed in the randomized-to-CBT sample as </w:t>
      </w:r>
      <w:r w:rsidRPr="00593C23">
        <w:rPr>
          <w:sz w:val="24"/>
          <w:szCs w:val="24"/>
          <w:lang w:val="en"/>
        </w:rPr>
        <w:t>anxiety at baseline (</w:t>
      </w:r>
      <w:r w:rsidRPr="00593C23">
        <w:rPr>
          <w:rFonts w:cs="AdvOT596495f2"/>
          <w:bCs/>
          <w:sz w:val="24"/>
          <w:szCs w:val="24"/>
        </w:rPr>
        <w:t xml:space="preserve">16.82 </w:t>
      </w:r>
      <w:r w:rsidRPr="00593C23">
        <w:rPr>
          <w:bCs/>
          <w:sz w:val="24"/>
          <w:szCs w:val="24"/>
        </w:rPr>
        <w:t>±</w:t>
      </w:r>
      <w:r w:rsidRPr="00593C23">
        <w:rPr>
          <w:rFonts w:cs="AdvOT596495f2"/>
          <w:bCs/>
          <w:sz w:val="24"/>
          <w:szCs w:val="24"/>
        </w:rPr>
        <w:t xml:space="preserve"> 5.00) </w:t>
      </w:r>
      <w:r w:rsidR="007D1AB7">
        <w:rPr>
          <w:rFonts w:cs="AdvOT596495f2"/>
          <w:bCs/>
          <w:sz w:val="24"/>
          <w:szCs w:val="24"/>
        </w:rPr>
        <w:t>decreased</w:t>
      </w:r>
      <w:r w:rsidRPr="00593C23">
        <w:rPr>
          <w:rFonts w:cs="AdvOT596495f2"/>
          <w:bCs/>
          <w:sz w:val="24"/>
          <w:szCs w:val="24"/>
        </w:rPr>
        <w:t xml:space="preserve"> after CBT </w:t>
      </w:r>
      <w:r w:rsidRPr="00593C23">
        <w:rPr>
          <w:sz w:val="24"/>
          <w:szCs w:val="24"/>
          <w:lang w:val="en"/>
        </w:rPr>
        <w:t>(</w:t>
      </w:r>
      <w:r w:rsidRPr="00593C23">
        <w:rPr>
          <w:rFonts w:cs="AdvOT596495f2"/>
          <w:bCs/>
          <w:sz w:val="24"/>
          <w:szCs w:val="24"/>
        </w:rPr>
        <w:t xml:space="preserve">6.12 </w:t>
      </w:r>
      <w:r w:rsidRPr="00593C23">
        <w:rPr>
          <w:bCs/>
          <w:sz w:val="24"/>
          <w:szCs w:val="24"/>
        </w:rPr>
        <w:t>±</w:t>
      </w:r>
      <w:r w:rsidRPr="00593C23">
        <w:rPr>
          <w:rFonts w:cs="AdvOT596495f2"/>
          <w:bCs/>
          <w:sz w:val="24"/>
          <w:szCs w:val="24"/>
        </w:rPr>
        <w:t xml:space="preserve"> 4.77) [HAMA; t(33)=9.93, p&lt;0.001], depression level at baseline </w:t>
      </w:r>
      <w:r w:rsidRPr="00593C23">
        <w:rPr>
          <w:sz w:val="24"/>
          <w:szCs w:val="24"/>
          <w:lang w:val="en"/>
        </w:rPr>
        <w:t>(</w:t>
      </w:r>
      <w:r w:rsidRPr="00593C23">
        <w:rPr>
          <w:rFonts w:cs="AdvOT596495f2"/>
          <w:bCs/>
          <w:sz w:val="24"/>
          <w:szCs w:val="24"/>
        </w:rPr>
        <w:t xml:space="preserve">12.18 </w:t>
      </w:r>
      <w:r w:rsidRPr="00593C23">
        <w:rPr>
          <w:bCs/>
          <w:sz w:val="24"/>
          <w:szCs w:val="24"/>
        </w:rPr>
        <w:t>±</w:t>
      </w:r>
      <w:r w:rsidRPr="00593C23">
        <w:rPr>
          <w:rFonts w:cs="AdvOT596495f2"/>
          <w:bCs/>
          <w:sz w:val="24"/>
          <w:szCs w:val="24"/>
        </w:rPr>
        <w:t xml:space="preserve"> 3.73) decreased after CBT </w:t>
      </w:r>
      <w:r w:rsidRPr="00593C23">
        <w:rPr>
          <w:sz w:val="24"/>
          <w:szCs w:val="24"/>
          <w:lang w:val="en"/>
        </w:rPr>
        <w:t>(</w:t>
      </w:r>
      <w:r w:rsidRPr="00593C23">
        <w:rPr>
          <w:rFonts w:cs="AdvOT596495f2"/>
          <w:bCs/>
          <w:sz w:val="24"/>
          <w:szCs w:val="24"/>
        </w:rPr>
        <w:t xml:space="preserve">4.82 </w:t>
      </w:r>
      <w:r w:rsidRPr="00593C23">
        <w:rPr>
          <w:bCs/>
          <w:sz w:val="24"/>
          <w:szCs w:val="24"/>
        </w:rPr>
        <w:t>±</w:t>
      </w:r>
      <w:r w:rsidRPr="00593C23">
        <w:rPr>
          <w:rFonts w:cs="AdvOT596495f2"/>
          <w:bCs/>
          <w:sz w:val="24"/>
          <w:szCs w:val="24"/>
        </w:rPr>
        <w:t xml:space="preserve"> </w:t>
      </w:r>
      <w:r w:rsidRPr="00593C23">
        <w:rPr>
          <w:rFonts w:cs="AdvOT596495f2"/>
          <w:bCs/>
          <w:sz w:val="24"/>
          <w:szCs w:val="24"/>
        </w:rPr>
        <w:lastRenderedPageBreak/>
        <w:t xml:space="preserve">3.94) [HAMD; t(33)=8.26, p&lt;0.001], and self-reported symptom severity at baseline </w:t>
      </w:r>
      <w:r w:rsidRPr="00593C23">
        <w:rPr>
          <w:sz w:val="24"/>
          <w:szCs w:val="24"/>
          <w:lang w:val="en"/>
        </w:rPr>
        <w:t>(</w:t>
      </w:r>
      <w:r w:rsidRPr="00593C23">
        <w:rPr>
          <w:rFonts w:cs="AdvOT596495f2"/>
          <w:bCs/>
          <w:sz w:val="24"/>
          <w:szCs w:val="24"/>
        </w:rPr>
        <w:t xml:space="preserve">30.91 </w:t>
      </w:r>
      <w:r w:rsidRPr="00593C23">
        <w:rPr>
          <w:bCs/>
          <w:sz w:val="24"/>
          <w:szCs w:val="24"/>
        </w:rPr>
        <w:t>±</w:t>
      </w:r>
      <w:r w:rsidRPr="00593C23">
        <w:rPr>
          <w:rFonts w:cs="AdvOT596495f2"/>
          <w:bCs/>
          <w:sz w:val="24"/>
          <w:szCs w:val="24"/>
        </w:rPr>
        <w:t xml:space="preserve"> 6.37) decreased after CBT </w:t>
      </w:r>
      <w:r w:rsidRPr="00593C23">
        <w:rPr>
          <w:sz w:val="24"/>
          <w:szCs w:val="24"/>
          <w:lang w:val="en"/>
        </w:rPr>
        <w:t>(</w:t>
      </w:r>
      <w:r w:rsidRPr="00593C23">
        <w:rPr>
          <w:rFonts w:cs="AdvOT596495f2"/>
          <w:bCs/>
          <w:sz w:val="24"/>
          <w:szCs w:val="24"/>
        </w:rPr>
        <w:t xml:space="preserve">9.29 </w:t>
      </w:r>
      <w:r w:rsidRPr="00593C23">
        <w:rPr>
          <w:bCs/>
          <w:sz w:val="24"/>
          <w:szCs w:val="24"/>
        </w:rPr>
        <w:t>±</w:t>
      </w:r>
      <w:r w:rsidRPr="00593C23">
        <w:rPr>
          <w:rFonts w:cs="AdvOT596495f2"/>
          <w:bCs/>
          <w:sz w:val="24"/>
          <w:szCs w:val="24"/>
        </w:rPr>
        <w:t xml:space="preserve"> 8.72) [DASS; t(33)=14.71, p&lt;0.001].   </w:t>
      </w:r>
    </w:p>
    <w:p w14:paraId="7E420641" w14:textId="77777777" w:rsidR="00915C86" w:rsidRPr="00593C23" w:rsidRDefault="00915C86" w:rsidP="00915C86">
      <w:pPr>
        <w:autoSpaceDE w:val="0"/>
        <w:autoSpaceDN w:val="0"/>
        <w:adjustRightInd w:val="0"/>
        <w:spacing w:line="480" w:lineRule="auto"/>
        <w:ind w:firstLine="720"/>
        <w:contextualSpacing/>
        <w:rPr>
          <w:rFonts w:cs="AdvOT596495f2"/>
          <w:bCs/>
          <w:sz w:val="24"/>
          <w:szCs w:val="24"/>
        </w:rPr>
      </w:pPr>
      <w:r w:rsidRPr="00593C23">
        <w:rPr>
          <w:rFonts w:cs="AdvOT596495f2"/>
          <w:bCs/>
          <w:sz w:val="24"/>
          <w:szCs w:val="24"/>
        </w:rPr>
        <w:t xml:space="preserve">When the same MANOVA was performed for secondary measures, there was a main effect of time [F(1, 88)=154.68, p&lt;0.001] and a non-significant trend towards a main effect of measure [F(1, 88)=3.92, p=0.05].  There was no main effect of study sample [F(1, 88)=1.39, p=0.24] and no measure x time x study sample interaction [F(1, 88)=3.34, p=0.07]. However, there was a measure x study sample interaction [F(1, 88)=8.65, p=0.004] and measure x time interaction [F(1, 88)=45.81, p&lt;0.001].  </w:t>
      </w:r>
    </w:p>
    <w:p w14:paraId="771DB4A1" w14:textId="70CA31E0" w:rsidR="00915C86" w:rsidRPr="00593C23" w:rsidRDefault="00915C86" w:rsidP="002E0DEB">
      <w:pPr>
        <w:autoSpaceDE w:val="0"/>
        <w:autoSpaceDN w:val="0"/>
        <w:adjustRightInd w:val="0"/>
        <w:spacing w:line="480" w:lineRule="auto"/>
        <w:ind w:firstLine="720"/>
        <w:contextualSpacing/>
        <w:rPr>
          <w:b/>
          <w:sz w:val="24"/>
          <w:szCs w:val="24"/>
        </w:rPr>
      </w:pPr>
      <w:r w:rsidRPr="00593C23">
        <w:rPr>
          <w:rFonts w:cs="AdvOT596495f2"/>
          <w:bCs/>
          <w:sz w:val="24"/>
          <w:szCs w:val="24"/>
        </w:rPr>
        <w:t xml:space="preserve">To evaluate the main effect of time, we collapsed across measure and study sample.  Paired-tests results revealed a composite social anxiety and worry score was higher at baseline </w:t>
      </w:r>
      <w:r w:rsidRPr="00593C23">
        <w:rPr>
          <w:sz w:val="24"/>
          <w:szCs w:val="24"/>
          <w:lang w:val="en"/>
        </w:rPr>
        <w:t>(</w:t>
      </w:r>
      <w:r w:rsidRPr="00593C23">
        <w:rPr>
          <w:rFonts w:cs="AdvOT596495f2"/>
          <w:bCs/>
          <w:sz w:val="24"/>
          <w:szCs w:val="24"/>
        </w:rPr>
        <w:t xml:space="preserve">65.78 </w:t>
      </w:r>
      <w:r w:rsidRPr="00593C23">
        <w:rPr>
          <w:bCs/>
          <w:sz w:val="24"/>
          <w:szCs w:val="24"/>
        </w:rPr>
        <w:t>±</w:t>
      </w:r>
      <w:r w:rsidRPr="00593C23">
        <w:rPr>
          <w:rFonts w:cs="AdvOT596495f2"/>
          <w:bCs/>
          <w:sz w:val="24"/>
          <w:szCs w:val="24"/>
        </w:rPr>
        <w:t xml:space="preserve"> 13.89) than post-CBT </w:t>
      </w:r>
      <w:r w:rsidRPr="00593C23">
        <w:rPr>
          <w:sz w:val="24"/>
          <w:szCs w:val="24"/>
          <w:lang w:val="en"/>
        </w:rPr>
        <w:t>(</w:t>
      </w:r>
      <w:r w:rsidRPr="00593C23">
        <w:rPr>
          <w:rFonts w:cs="AdvOT596495f2"/>
          <w:bCs/>
          <w:sz w:val="24"/>
          <w:szCs w:val="24"/>
        </w:rPr>
        <w:t xml:space="preserve">47.32 </w:t>
      </w:r>
      <w:r w:rsidRPr="00593C23">
        <w:rPr>
          <w:bCs/>
          <w:sz w:val="24"/>
          <w:szCs w:val="24"/>
        </w:rPr>
        <w:t>±</w:t>
      </w:r>
      <w:r w:rsidRPr="00593C23">
        <w:rPr>
          <w:rFonts w:cs="AdvOT596495f2"/>
          <w:bCs/>
          <w:sz w:val="24"/>
          <w:szCs w:val="24"/>
        </w:rPr>
        <w:t xml:space="preserve"> 18.26) [t(89)=13.10, p&lt;0.001]. To examine the measure x study sample interaction, we collapsed across time.  Paired</w:t>
      </w:r>
      <w:r w:rsidR="00B074D1">
        <w:rPr>
          <w:rFonts w:cs="AdvOT596495f2"/>
          <w:bCs/>
          <w:sz w:val="24"/>
          <w:szCs w:val="24"/>
        </w:rPr>
        <w:t xml:space="preserve"> t</w:t>
      </w:r>
      <w:r w:rsidRPr="00593C23">
        <w:rPr>
          <w:rFonts w:cs="AdvOT596495f2"/>
          <w:bCs/>
          <w:sz w:val="24"/>
          <w:szCs w:val="24"/>
        </w:rPr>
        <w:t xml:space="preserve">-tests in the open trial sample showed no difference between social anxiety (LSAS; </w:t>
      </w:r>
      <w:r w:rsidRPr="00593C23">
        <w:rPr>
          <w:sz w:val="24"/>
          <w:szCs w:val="24"/>
          <w:lang w:val="en"/>
        </w:rPr>
        <w:t>50.00</w:t>
      </w:r>
      <w:r w:rsidRPr="00593C23">
        <w:rPr>
          <w:rFonts w:cs="AdvOT596495f2"/>
          <w:bCs/>
          <w:sz w:val="24"/>
          <w:szCs w:val="24"/>
        </w:rPr>
        <w:t xml:space="preserve"> </w:t>
      </w:r>
      <w:r w:rsidRPr="00593C23">
        <w:rPr>
          <w:bCs/>
          <w:sz w:val="24"/>
          <w:szCs w:val="24"/>
        </w:rPr>
        <w:t>±</w:t>
      </w:r>
      <w:r w:rsidRPr="00593C23">
        <w:rPr>
          <w:rFonts w:cs="AdvOT596495f2"/>
          <w:bCs/>
          <w:sz w:val="24"/>
          <w:szCs w:val="24"/>
        </w:rPr>
        <w:t xml:space="preserve"> 22.22) and worry (PSWQ; </w:t>
      </w:r>
      <w:r w:rsidRPr="00593C23">
        <w:rPr>
          <w:sz w:val="24"/>
          <w:szCs w:val="24"/>
          <w:lang w:val="en"/>
        </w:rPr>
        <w:t>56.95</w:t>
      </w:r>
      <w:r w:rsidRPr="00593C23">
        <w:rPr>
          <w:rFonts w:cs="AdvOT596495f2"/>
          <w:bCs/>
          <w:sz w:val="24"/>
          <w:szCs w:val="24"/>
        </w:rPr>
        <w:t xml:space="preserve"> </w:t>
      </w:r>
      <w:r w:rsidRPr="00593C23">
        <w:rPr>
          <w:bCs/>
          <w:sz w:val="24"/>
          <w:szCs w:val="24"/>
        </w:rPr>
        <w:t>±</w:t>
      </w:r>
      <w:r w:rsidRPr="00593C23">
        <w:rPr>
          <w:rFonts w:cs="AdvOT596495f2"/>
          <w:bCs/>
          <w:sz w:val="24"/>
          <w:szCs w:val="24"/>
        </w:rPr>
        <w:t xml:space="preserve"> 9.30) [t(55)=0.78, p=0.43].  Conversely, in the randomized-to-CBT sample, social anxiety </w:t>
      </w:r>
      <w:r w:rsidR="000C3B65" w:rsidRPr="00593C23">
        <w:rPr>
          <w:rFonts w:cs="AdvOT596495f2"/>
          <w:bCs/>
          <w:sz w:val="24"/>
          <w:szCs w:val="24"/>
        </w:rPr>
        <w:t>level</w:t>
      </w:r>
      <w:r w:rsidRPr="00593C23">
        <w:rPr>
          <w:rFonts w:cs="AdvOT596495f2"/>
          <w:bCs/>
          <w:sz w:val="24"/>
          <w:szCs w:val="24"/>
        </w:rPr>
        <w:t xml:space="preserve"> </w:t>
      </w:r>
      <w:r w:rsidRPr="00593C23">
        <w:rPr>
          <w:sz w:val="24"/>
          <w:szCs w:val="24"/>
          <w:lang w:val="en"/>
        </w:rPr>
        <w:t xml:space="preserve">(LSAS; </w:t>
      </w:r>
      <w:r w:rsidRPr="00593C23">
        <w:rPr>
          <w:rFonts w:cs="AdvOT596495f2"/>
          <w:bCs/>
          <w:sz w:val="24"/>
          <w:szCs w:val="24"/>
        </w:rPr>
        <w:t xml:space="preserve">48.95 </w:t>
      </w:r>
      <w:r w:rsidRPr="00593C23">
        <w:rPr>
          <w:bCs/>
          <w:sz w:val="24"/>
          <w:szCs w:val="24"/>
        </w:rPr>
        <w:t>±</w:t>
      </w:r>
      <w:r w:rsidRPr="00593C23">
        <w:rPr>
          <w:rFonts w:cs="AdvOT596495f2"/>
          <w:bCs/>
          <w:sz w:val="24"/>
          <w:szCs w:val="24"/>
        </w:rPr>
        <w:t xml:space="preserve"> 24.68) was less than worry (PSWQ, 59.44 </w:t>
      </w:r>
      <w:r w:rsidRPr="00593C23">
        <w:rPr>
          <w:bCs/>
          <w:sz w:val="24"/>
          <w:szCs w:val="24"/>
        </w:rPr>
        <w:t>±</w:t>
      </w:r>
      <w:r w:rsidRPr="00593C23">
        <w:rPr>
          <w:rFonts w:cs="AdvOT596495f2"/>
          <w:bCs/>
          <w:sz w:val="24"/>
          <w:szCs w:val="24"/>
        </w:rPr>
        <w:t xml:space="preserve"> 9.82) [t(33)=3.08, p=0.004]. To evaluate the measure x time interaction, we collapsed across study sample.  Across patients, paired t-tests showed social anxiety level was higher at baseline </w:t>
      </w:r>
      <w:r w:rsidRPr="00593C23">
        <w:rPr>
          <w:sz w:val="24"/>
          <w:szCs w:val="24"/>
          <w:lang w:val="en"/>
        </w:rPr>
        <w:t xml:space="preserve">(LSAS; </w:t>
      </w:r>
      <w:r w:rsidRPr="00593C23">
        <w:rPr>
          <w:rFonts w:cs="AdvOT596495f2"/>
          <w:bCs/>
          <w:sz w:val="24"/>
          <w:szCs w:val="24"/>
        </w:rPr>
        <w:t xml:space="preserve">67.32 </w:t>
      </w:r>
      <w:r w:rsidRPr="00593C23">
        <w:rPr>
          <w:bCs/>
          <w:sz w:val="24"/>
          <w:szCs w:val="24"/>
        </w:rPr>
        <w:t>±</w:t>
      </w:r>
      <w:r w:rsidRPr="00593C23">
        <w:rPr>
          <w:rFonts w:cs="AdvOT596495f2"/>
          <w:bCs/>
          <w:sz w:val="24"/>
          <w:szCs w:val="24"/>
        </w:rPr>
        <w:t xml:space="preserve"> 24.04) than post-CBT </w:t>
      </w:r>
      <w:r w:rsidRPr="00593C23">
        <w:rPr>
          <w:sz w:val="24"/>
          <w:szCs w:val="24"/>
          <w:lang w:val="en"/>
        </w:rPr>
        <w:t xml:space="preserve">(LSAS; </w:t>
      </w:r>
      <w:r w:rsidRPr="00593C23">
        <w:rPr>
          <w:rFonts w:cs="AdvOT596495f2"/>
          <w:bCs/>
          <w:sz w:val="24"/>
          <w:szCs w:val="24"/>
        </w:rPr>
        <w:t xml:space="preserve">43.09 </w:t>
      </w:r>
      <w:r w:rsidRPr="00593C23">
        <w:rPr>
          <w:bCs/>
          <w:sz w:val="24"/>
          <w:szCs w:val="24"/>
        </w:rPr>
        <w:t>±</w:t>
      </w:r>
      <w:r w:rsidRPr="00593C23">
        <w:rPr>
          <w:rFonts w:cs="AdvOT596495f2"/>
          <w:bCs/>
          <w:sz w:val="24"/>
          <w:szCs w:val="24"/>
        </w:rPr>
        <w:t xml:space="preserve"> 26.69) [t(89)=12.12, p&lt;0.001].  Additionally, worry level was higher at baseline </w:t>
      </w:r>
      <w:r w:rsidRPr="00593C23">
        <w:rPr>
          <w:sz w:val="24"/>
          <w:szCs w:val="24"/>
          <w:lang w:val="en"/>
        </w:rPr>
        <w:t xml:space="preserve">(PSWQ; </w:t>
      </w:r>
      <w:r w:rsidRPr="00593C23">
        <w:rPr>
          <w:rFonts w:cs="AdvOT596495f2"/>
          <w:bCs/>
          <w:sz w:val="24"/>
          <w:szCs w:val="24"/>
        </w:rPr>
        <w:t xml:space="preserve">64.23 </w:t>
      </w:r>
      <w:r w:rsidRPr="00593C23">
        <w:rPr>
          <w:bCs/>
          <w:sz w:val="24"/>
          <w:szCs w:val="24"/>
        </w:rPr>
        <w:t>±</w:t>
      </w:r>
      <w:r w:rsidRPr="00593C23">
        <w:rPr>
          <w:rFonts w:cs="AdvOT596495f2"/>
          <w:bCs/>
          <w:sz w:val="24"/>
          <w:szCs w:val="24"/>
        </w:rPr>
        <w:t xml:space="preserve"> 8.35) than post-CBT </w:t>
      </w:r>
      <w:r w:rsidRPr="00593C23">
        <w:rPr>
          <w:sz w:val="24"/>
          <w:szCs w:val="24"/>
          <w:lang w:val="en"/>
        </w:rPr>
        <w:t xml:space="preserve">(PSWQ; </w:t>
      </w:r>
      <w:r w:rsidRPr="00593C23">
        <w:rPr>
          <w:rFonts w:cs="AdvOT596495f2"/>
          <w:bCs/>
          <w:sz w:val="24"/>
          <w:szCs w:val="24"/>
        </w:rPr>
        <w:t xml:space="preserve">51.56 </w:t>
      </w:r>
      <w:r w:rsidRPr="00593C23">
        <w:rPr>
          <w:bCs/>
          <w:sz w:val="24"/>
          <w:szCs w:val="24"/>
        </w:rPr>
        <w:t>±</w:t>
      </w:r>
      <w:r w:rsidRPr="00593C23">
        <w:rPr>
          <w:rFonts w:cs="AdvOT596495f2"/>
          <w:bCs/>
          <w:sz w:val="24"/>
          <w:szCs w:val="24"/>
        </w:rPr>
        <w:t xml:space="preserve"> 12.87) [t(89)=11.57, p&lt;0.001].                                   </w:t>
      </w:r>
      <w:r w:rsidRPr="00593C23">
        <w:rPr>
          <w:sz w:val="24"/>
          <w:szCs w:val="24"/>
          <w:lang w:val="en"/>
        </w:rPr>
        <w:t xml:space="preserve">     </w:t>
      </w:r>
      <w:r w:rsidRPr="00593C23">
        <w:rPr>
          <w:rFonts w:cs="AdvOT596495f2"/>
          <w:bCs/>
          <w:sz w:val="24"/>
          <w:szCs w:val="24"/>
        </w:rPr>
        <w:t xml:space="preserve">             </w:t>
      </w:r>
      <w:r w:rsidRPr="00593C23">
        <w:rPr>
          <w:sz w:val="24"/>
          <w:szCs w:val="24"/>
          <w:lang w:val="en"/>
        </w:rPr>
        <w:t xml:space="preserve">   </w:t>
      </w:r>
      <w:r w:rsidRPr="00593C23">
        <w:rPr>
          <w:rFonts w:cs="AdvOT596495f2"/>
          <w:bCs/>
          <w:sz w:val="24"/>
          <w:szCs w:val="24"/>
        </w:rPr>
        <w:t xml:space="preserve">             </w:t>
      </w:r>
    </w:p>
    <w:p w14:paraId="3B625FA6" w14:textId="77777777" w:rsidR="001A610F" w:rsidRPr="00593C23" w:rsidRDefault="001A610F" w:rsidP="00C109D3">
      <w:pPr>
        <w:autoSpaceDE w:val="0"/>
        <w:autoSpaceDN w:val="0"/>
        <w:adjustRightInd w:val="0"/>
        <w:spacing w:line="480" w:lineRule="auto"/>
        <w:contextualSpacing/>
        <w:rPr>
          <w:b/>
          <w:sz w:val="24"/>
          <w:szCs w:val="24"/>
        </w:rPr>
      </w:pPr>
      <w:r w:rsidRPr="00593C23">
        <w:rPr>
          <w:b/>
          <w:sz w:val="24"/>
          <w:szCs w:val="24"/>
        </w:rPr>
        <w:t xml:space="preserve">Task performance </w:t>
      </w:r>
    </w:p>
    <w:p w14:paraId="1205C173" w14:textId="7ACCD2FC" w:rsidR="00DF3D1B" w:rsidRPr="00593C23" w:rsidRDefault="00206FD2" w:rsidP="00DF3D1B">
      <w:pPr>
        <w:spacing w:line="480" w:lineRule="auto"/>
        <w:ind w:firstLine="720"/>
        <w:contextualSpacing/>
        <w:rPr>
          <w:sz w:val="24"/>
          <w:szCs w:val="24"/>
        </w:rPr>
      </w:pPr>
      <w:r w:rsidRPr="00593C23">
        <w:rPr>
          <w:sz w:val="24"/>
          <w:szCs w:val="24"/>
        </w:rPr>
        <w:t xml:space="preserve">Accuracy for the </w:t>
      </w:r>
      <w:r w:rsidR="00662D57" w:rsidRPr="00593C23">
        <w:rPr>
          <w:sz w:val="24"/>
          <w:szCs w:val="24"/>
        </w:rPr>
        <w:t>3 (Group: responder, non-responder, healthy c</w:t>
      </w:r>
      <w:r w:rsidR="00B37A53" w:rsidRPr="00593C23">
        <w:rPr>
          <w:sz w:val="24"/>
          <w:szCs w:val="24"/>
        </w:rPr>
        <w:t>ontrol) x 4 (Stimulus Type: angry, fearful, happy, s</w:t>
      </w:r>
      <w:r w:rsidR="00DF3D1B" w:rsidRPr="00593C23">
        <w:rPr>
          <w:sz w:val="24"/>
          <w:szCs w:val="24"/>
        </w:rPr>
        <w:t xml:space="preserve">hapes) x 2 (Time: Week 0 and Week 12) mixed repeated measures </w:t>
      </w:r>
      <w:r w:rsidR="00DF3D1B" w:rsidRPr="00593C23">
        <w:rPr>
          <w:sz w:val="24"/>
          <w:szCs w:val="24"/>
        </w:rPr>
        <w:lastRenderedPageBreak/>
        <w:t>ANOVA revealed a main effect of stimulus type (</w:t>
      </w:r>
      <w:r w:rsidR="00DF3D1B" w:rsidRPr="00593C23">
        <w:rPr>
          <w:i/>
          <w:sz w:val="24"/>
          <w:szCs w:val="24"/>
        </w:rPr>
        <w:t>F</w:t>
      </w:r>
      <w:r w:rsidR="00DF3D1B" w:rsidRPr="00593C23">
        <w:rPr>
          <w:sz w:val="24"/>
          <w:szCs w:val="24"/>
        </w:rPr>
        <w:t>(3,396)=96.94, p&lt;0.001) but no main effects of group, time, or interactions (lowest p=0.522). To evaluate the main effect of stimulus type, accuracy was collapsed across group and time.  Follow-up paired t-tests showed participants had greater accuracy to happy faces (96.3% ± 0.08%) compared to fearful faces (93.3% ± 0.09%), angry faces (84.9% ± 0.11%), and shapes (91.6% ± 0.06%) (all p’s&lt;0.001). Accuracy was higher for fear faces relative to angry faces (p&lt;0.001) and shapes (p&lt;0.003). Accuracy was also higher for happy faces compared to angry faces (p&lt;0.001).</w:t>
      </w:r>
    </w:p>
    <w:p w14:paraId="30A5DBFC" w14:textId="22BC6255" w:rsidR="00DF3D1B" w:rsidRPr="00593C23" w:rsidRDefault="00DF3D1B" w:rsidP="00DF3D1B">
      <w:pPr>
        <w:autoSpaceDE w:val="0"/>
        <w:autoSpaceDN w:val="0"/>
        <w:adjustRightInd w:val="0"/>
        <w:spacing w:line="480" w:lineRule="auto"/>
        <w:ind w:firstLine="720"/>
        <w:contextualSpacing/>
        <w:rPr>
          <w:sz w:val="24"/>
          <w:szCs w:val="24"/>
        </w:rPr>
      </w:pPr>
      <w:r w:rsidRPr="00593C23">
        <w:rPr>
          <w:sz w:val="24"/>
          <w:szCs w:val="24"/>
        </w:rPr>
        <w:t>When the same analysis was performed for RT for accurate trials in milliseconds (ms), there were main effects for stimulus type (</w:t>
      </w:r>
      <w:r w:rsidRPr="00593C23">
        <w:rPr>
          <w:i/>
          <w:sz w:val="24"/>
          <w:szCs w:val="24"/>
        </w:rPr>
        <w:t>F</w:t>
      </w:r>
      <w:r w:rsidRPr="00593C23">
        <w:rPr>
          <w:sz w:val="24"/>
          <w:szCs w:val="24"/>
        </w:rPr>
        <w:t xml:space="preserve">(3,396)=277.02, p&lt;0.001) and </w:t>
      </w:r>
      <w:r w:rsidR="00CB5FCA">
        <w:rPr>
          <w:sz w:val="24"/>
          <w:szCs w:val="24"/>
        </w:rPr>
        <w:t>t</w:t>
      </w:r>
      <w:r w:rsidRPr="00593C23">
        <w:rPr>
          <w:sz w:val="24"/>
          <w:szCs w:val="24"/>
        </w:rPr>
        <w:t>ime (</w:t>
      </w:r>
      <w:r w:rsidRPr="00593C23">
        <w:rPr>
          <w:i/>
          <w:sz w:val="24"/>
          <w:szCs w:val="24"/>
        </w:rPr>
        <w:t>F</w:t>
      </w:r>
      <w:r w:rsidRPr="00593C23">
        <w:rPr>
          <w:sz w:val="24"/>
          <w:szCs w:val="24"/>
        </w:rPr>
        <w:t>(1,396)=23.37, p&lt;0.001) moderated by a stimulus type x time interaction (</w:t>
      </w:r>
      <w:r w:rsidRPr="00593C23">
        <w:rPr>
          <w:i/>
          <w:sz w:val="24"/>
          <w:szCs w:val="24"/>
        </w:rPr>
        <w:t>F</w:t>
      </w:r>
      <w:r w:rsidRPr="00593C23">
        <w:rPr>
          <w:sz w:val="24"/>
          <w:szCs w:val="24"/>
        </w:rPr>
        <w:t xml:space="preserve">(3,396)=7.10, p&lt;0.001).  There was no main effect for group or other interactions (lowest p=0.41). </w:t>
      </w:r>
    </w:p>
    <w:p w14:paraId="65F51A1A" w14:textId="7534E5F5" w:rsidR="00DF3D1B" w:rsidRPr="00593C23" w:rsidRDefault="00DF3D1B" w:rsidP="00DF3D1B">
      <w:pPr>
        <w:autoSpaceDE w:val="0"/>
        <w:autoSpaceDN w:val="0"/>
        <w:adjustRightInd w:val="0"/>
        <w:spacing w:line="480" w:lineRule="auto"/>
        <w:ind w:firstLine="720"/>
        <w:contextualSpacing/>
        <w:rPr>
          <w:sz w:val="24"/>
          <w:szCs w:val="24"/>
        </w:rPr>
      </w:pPr>
      <w:r w:rsidRPr="00593C23">
        <w:rPr>
          <w:sz w:val="24"/>
          <w:szCs w:val="24"/>
        </w:rPr>
        <w:t>To examine the main effect of time, we collapsed across stimulus type and group. The paired t-test revealed RT was slower at baseline (1317.52 ± 283.83</w:t>
      </w:r>
      <w:r w:rsidR="00762C4E" w:rsidRPr="00593C23">
        <w:rPr>
          <w:sz w:val="24"/>
          <w:szCs w:val="24"/>
        </w:rPr>
        <w:t xml:space="preserve"> ms</w:t>
      </w:r>
      <w:r w:rsidRPr="00593C23">
        <w:rPr>
          <w:sz w:val="24"/>
          <w:szCs w:val="24"/>
        </w:rPr>
        <w:t>) than after 12 weeks (1205.93 ± 272.94</w:t>
      </w:r>
      <w:r w:rsidR="00762C4E" w:rsidRPr="00593C23">
        <w:rPr>
          <w:sz w:val="24"/>
          <w:szCs w:val="24"/>
        </w:rPr>
        <w:t xml:space="preserve"> ms</w:t>
      </w:r>
      <w:r w:rsidRPr="00593C23">
        <w:rPr>
          <w:sz w:val="24"/>
          <w:szCs w:val="24"/>
        </w:rPr>
        <w:t>) (p&lt;0.001).  To evaluate the main effect of stimulus type, we collapsed time and group.  Paired t-tests showed RT for shapes (903.62 ± 171.63</w:t>
      </w:r>
      <w:r w:rsidR="00762C4E" w:rsidRPr="00593C23">
        <w:rPr>
          <w:sz w:val="24"/>
          <w:szCs w:val="24"/>
        </w:rPr>
        <w:t xml:space="preserve"> ms</w:t>
      </w:r>
      <w:r w:rsidRPr="00593C23">
        <w:rPr>
          <w:sz w:val="24"/>
          <w:szCs w:val="24"/>
        </w:rPr>
        <w:t>) was faster than for angry faces (1418.51 ± 357.43</w:t>
      </w:r>
      <w:r w:rsidR="00762C4E" w:rsidRPr="00593C23">
        <w:rPr>
          <w:sz w:val="24"/>
          <w:szCs w:val="24"/>
        </w:rPr>
        <w:t xml:space="preserve"> ms</w:t>
      </w:r>
      <w:r w:rsidRPr="00593C23">
        <w:rPr>
          <w:sz w:val="24"/>
          <w:szCs w:val="24"/>
        </w:rPr>
        <w:t>), fearful faces (1474.12 ± 326.59</w:t>
      </w:r>
      <w:r w:rsidR="00762C4E" w:rsidRPr="00593C23">
        <w:rPr>
          <w:sz w:val="24"/>
          <w:szCs w:val="24"/>
        </w:rPr>
        <w:t xml:space="preserve"> ms</w:t>
      </w:r>
      <w:r w:rsidRPr="00593C23">
        <w:rPr>
          <w:sz w:val="24"/>
          <w:szCs w:val="24"/>
        </w:rPr>
        <w:t>), and happy faces (1330.35 ± 281.72</w:t>
      </w:r>
      <w:r w:rsidR="00762C4E" w:rsidRPr="00593C23">
        <w:rPr>
          <w:sz w:val="24"/>
          <w:szCs w:val="24"/>
        </w:rPr>
        <w:t xml:space="preserve"> ms</w:t>
      </w:r>
      <w:r w:rsidRPr="00593C23">
        <w:rPr>
          <w:sz w:val="24"/>
          <w:szCs w:val="24"/>
        </w:rPr>
        <w:t xml:space="preserve">) (all p’s&lt;0.001).  Also, RT was faster for happy faces compared to fearful faces (p&lt;0.001) and angry faces (p=0.002) and RT was faster for angry faces than fearful faces (p=0.042). </w:t>
      </w:r>
    </w:p>
    <w:p w14:paraId="7585FF73" w14:textId="220AA582" w:rsidR="00DF3D1B" w:rsidRPr="00593C23" w:rsidRDefault="00DF3D1B" w:rsidP="003A58F9">
      <w:pPr>
        <w:autoSpaceDE w:val="0"/>
        <w:autoSpaceDN w:val="0"/>
        <w:adjustRightInd w:val="0"/>
        <w:spacing w:line="480" w:lineRule="auto"/>
        <w:ind w:firstLine="720"/>
        <w:contextualSpacing/>
        <w:rPr>
          <w:sz w:val="24"/>
          <w:szCs w:val="24"/>
        </w:rPr>
      </w:pPr>
      <w:r w:rsidRPr="00593C23">
        <w:rPr>
          <w:sz w:val="24"/>
          <w:szCs w:val="24"/>
        </w:rPr>
        <w:t>To examine the stimulus type x time interaction, follow-up paired t-tests were performed</w:t>
      </w:r>
      <w:r w:rsidR="00762C4E" w:rsidRPr="00593C23">
        <w:rPr>
          <w:sz w:val="24"/>
          <w:szCs w:val="24"/>
        </w:rPr>
        <w:t xml:space="preserve"> for stimuli t</w:t>
      </w:r>
      <w:r w:rsidRPr="00593C23">
        <w:rPr>
          <w:sz w:val="24"/>
          <w:szCs w:val="24"/>
        </w:rPr>
        <w:t>ype before and after 12 weeks.  Across participants, matching angry faces</w:t>
      </w:r>
      <w:r w:rsidR="00762C4E" w:rsidRPr="00593C23">
        <w:rPr>
          <w:sz w:val="24"/>
          <w:szCs w:val="24"/>
        </w:rPr>
        <w:t xml:space="preserve"> at baseline</w:t>
      </w:r>
      <w:r w:rsidRPr="00593C23">
        <w:rPr>
          <w:sz w:val="24"/>
          <w:szCs w:val="24"/>
        </w:rPr>
        <w:t xml:space="preserve"> (1473.79 ± 411.31</w:t>
      </w:r>
      <w:r w:rsidR="00762C4E" w:rsidRPr="00593C23">
        <w:rPr>
          <w:sz w:val="24"/>
          <w:szCs w:val="24"/>
        </w:rPr>
        <w:t xml:space="preserve"> ms</w:t>
      </w:r>
      <w:r w:rsidRPr="00593C23">
        <w:rPr>
          <w:sz w:val="24"/>
          <w:szCs w:val="24"/>
        </w:rPr>
        <w:t>), fearful faces (1527.55 ± 422.14</w:t>
      </w:r>
      <w:r w:rsidR="00762C4E" w:rsidRPr="00593C23">
        <w:rPr>
          <w:sz w:val="24"/>
          <w:szCs w:val="24"/>
        </w:rPr>
        <w:t xml:space="preserve"> ms</w:t>
      </w:r>
      <w:r w:rsidRPr="00593C23">
        <w:rPr>
          <w:sz w:val="24"/>
          <w:szCs w:val="24"/>
        </w:rPr>
        <w:t xml:space="preserve">), and happy faces </w:t>
      </w:r>
      <w:r w:rsidRPr="00593C23">
        <w:rPr>
          <w:sz w:val="24"/>
          <w:szCs w:val="24"/>
        </w:rPr>
        <w:lastRenderedPageBreak/>
        <w:t>(1358.87 ± 309.91</w:t>
      </w:r>
      <w:r w:rsidR="00762C4E" w:rsidRPr="00593C23">
        <w:rPr>
          <w:sz w:val="24"/>
          <w:szCs w:val="24"/>
        </w:rPr>
        <w:t xml:space="preserve"> ms</w:t>
      </w:r>
      <w:r w:rsidRPr="00593C23">
        <w:rPr>
          <w:sz w:val="24"/>
          <w:szCs w:val="24"/>
        </w:rPr>
        <w:t>) was slower than after 12 weeks (angry: 1314.96 ± 411.19</w:t>
      </w:r>
      <w:r w:rsidR="00762C4E" w:rsidRPr="00593C23">
        <w:rPr>
          <w:sz w:val="24"/>
          <w:szCs w:val="24"/>
        </w:rPr>
        <w:t xml:space="preserve"> ms</w:t>
      </w:r>
      <w:r w:rsidRPr="00593C23">
        <w:rPr>
          <w:sz w:val="24"/>
          <w:szCs w:val="24"/>
        </w:rPr>
        <w:t>; fearful: 1377.10 ± 363.29</w:t>
      </w:r>
      <w:r w:rsidR="00762C4E" w:rsidRPr="00593C23">
        <w:rPr>
          <w:sz w:val="24"/>
          <w:szCs w:val="24"/>
        </w:rPr>
        <w:t xml:space="preserve"> ms</w:t>
      </w:r>
      <w:r w:rsidRPr="00593C23">
        <w:rPr>
          <w:sz w:val="24"/>
          <w:szCs w:val="24"/>
        </w:rPr>
        <w:t>; happy 1243.45 ± 335.44</w:t>
      </w:r>
      <w:r w:rsidR="00762C4E" w:rsidRPr="00593C23">
        <w:rPr>
          <w:sz w:val="24"/>
          <w:szCs w:val="24"/>
        </w:rPr>
        <w:t xml:space="preserve"> ms</w:t>
      </w:r>
      <w:r w:rsidRPr="00593C23">
        <w:rPr>
          <w:sz w:val="24"/>
          <w:szCs w:val="24"/>
        </w:rPr>
        <w:t>) (all p’s&lt;0.001). Yet, RT for shapes was similar before (909.85 ± 205.72</w:t>
      </w:r>
      <w:r w:rsidR="00762C4E" w:rsidRPr="00593C23">
        <w:rPr>
          <w:sz w:val="24"/>
          <w:szCs w:val="24"/>
        </w:rPr>
        <w:t xml:space="preserve"> ms</w:t>
      </w:r>
      <w:r w:rsidRPr="00593C23">
        <w:rPr>
          <w:sz w:val="24"/>
          <w:szCs w:val="24"/>
        </w:rPr>
        <w:t>) and after 12 weeks (888.19 ± 188.87</w:t>
      </w:r>
      <w:r w:rsidR="00762C4E" w:rsidRPr="00593C23">
        <w:rPr>
          <w:sz w:val="24"/>
          <w:szCs w:val="24"/>
        </w:rPr>
        <w:t xml:space="preserve"> ms</w:t>
      </w:r>
      <w:r w:rsidRPr="00593C23">
        <w:rPr>
          <w:sz w:val="24"/>
          <w:szCs w:val="24"/>
        </w:rPr>
        <w:t xml:space="preserve">) (p=0.23).  </w:t>
      </w:r>
    </w:p>
    <w:p w14:paraId="6FF575BF" w14:textId="77777777" w:rsidR="00593C23" w:rsidRPr="00593C23" w:rsidRDefault="00593C23" w:rsidP="00593C23">
      <w:pPr>
        <w:autoSpaceDE w:val="0"/>
        <w:autoSpaceDN w:val="0"/>
        <w:adjustRightInd w:val="0"/>
        <w:spacing w:line="480" w:lineRule="auto"/>
        <w:contextualSpacing/>
        <w:rPr>
          <w:b/>
          <w:sz w:val="24"/>
          <w:szCs w:val="24"/>
        </w:rPr>
      </w:pPr>
      <w:r w:rsidRPr="00593C23">
        <w:rPr>
          <w:rFonts w:cs="AdvOT596495f2"/>
          <w:b/>
          <w:sz w:val="24"/>
          <w:szCs w:val="24"/>
        </w:rPr>
        <w:t>Classified t</w:t>
      </w:r>
      <w:r w:rsidRPr="00593C23">
        <w:rPr>
          <w:b/>
          <w:sz w:val="24"/>
          <w:szCs w:val="24"/>
        </w:rPr>
        <w:t xml:space="preserve">reatment-outcome </w:t>
      </w:r>
      <w:r w:rsidRPr="00593C23">
        <w:rPr>
          <w:rFonts w:cs="AdvOT596495f2"/>
          <w:b/>
          <w:sz w:val="24"/>
          <w:szCs w:val="24"/>
        </w:rPr>
        <w:t>subgroups following treatment</w:t>
      </w:r>
    </w:p>
    <w:p w14:paraId="36B318A6" w14:textId="39B0504E" w:rsidR="00593C23" w:rsidRPr="00593C23" w:rsidRDefault="00593C23" w:rsidP="00593C23">
      <w:pPr>
        <w:autoSpaceDE w:val="0"/>
        <w:autoSpaceDN w:val="0"/>
        <w:adjustRightInd w:val="0"/>
        <w:spacing w:line="480" w:lineRule="auto"/>
        <w:ind w:firstLine="720"/>
        <w:contextualSpacing/>
        <w:rPr>
          <w:sz w:val="24"/>
          <w:szCs w:val="24"/>
        </w:rPr>
      </w:pPr>
      <w:r w:rsidRPr="00593C23">
        <w:rPr>
          <w:sz w:val="24"/>
          <w:szCs w:val="24"/>
        </w:rPr>
        <w:t xml:space="preserve">For comprehensiveness we evaluated laterality even though right </w:t>
      </w:r>
      <w:r w:rsidR="002D1CE0">
        <w:rPr>
          <w:sz w:val="24"/>
          <w:szCs w:val="24"/>
        </w:rPr>
        <w:t>superior occipital gyrus (</w:t>
      </w:r>
      <w:r w:rsidRPr="00593C23">
        <w:rPr>
          <w:sz w:val="24"/>
          <w:szCs w:val="24"/>
        </w:rPr>
        <w:t>SOG</w:t>
      </w:r>
      <w:r w:rsidR="002D1CE0">
        <w:rPr>
          <w:sz w:val="24"/>
          <w:szCs w:val="24"/>
        </w:rPr>
        <w:t>)</w:t>
      </w:r>
      <w:r w:rsidRPr="00593C23">
        <w:rPr>
          <w:sz w:val="24"/>
          <w:szCs w:val="24"/>
        </w:rPr>
        <w:t xml:space="preserve"> was the classifier.  A 3 (Group:  LO subgroup, HO subgroup, healthy controls) x 2 (Hemisphere: left, right) x 2 (Time: Week 0, Week 12) mixed ANOVA showed a main effect of group </w:t>
      </w:r>
      <w:r w:rsidRPr="00593C23">
        <w:rPr>
          <w:sz w:val="24"/>
          <w:szCs w:val="24"/>
          <w:lang w:val="en"/>
        </w:rPr>
        <w:t>[</w:t>
      </w:r>
      <w:r w:rsidRPr="00593C23">
        <w:rPr>
          <w:i/>
          <w:sz w:val="24"/>
          <w:szCs w:val="24"/>
          <w:lang w:val="en"/>
        </w:rPr>
        <w:t>F</w:t>
      </w:r>
      <w:r w:rsidRPr="00593C23">
        <w:rPr>
          <w:sz w:val="24"/>
          <w:szCs w:val="24"/>
          <w:lang w:val="en"/>
        </w:rPr>
        <w:t xml:space="preserve">(2, 132)=23.35, </w:t>
      </w:r>
      <w:r w:rsidRPr="00593C23">
        <w:rPr>
          <w:iCs/>
          <w:sz w:val="24"/>
          <w:szCs w:val="24"/>
          <w:lang w:val="en"/>
        </w:rPr>
        <w:t>p</w:t>
      </w:r>
      <w:r w:rsidRPr="00593C23">
        <w:rPr>
          <w:sz w:val="24"/>
          <w:szCs w:val="24"/>
          <w:lang w:val="en"/>
        </w:rPr>
        <w:t>=0.001] and hemisphere [</w:t>
      </w:r>
      <w:r w:rsidRPr="00593C23">
        <w:rPr>
          <w:i/>
          <w:sz w:val="24"/>
          <w:szCs w:val="24"/>
          <w:lang w:val="en"/>
        </w:rPr>
        <w:t>F</w:t>
      </w:r>
      <w:r w:rsidRPr="00593C23">
        <w:rPr>
          <w:sz w:val="24"/>
          <w:szCs w:val="24"/>
          <w:lang w:val="en"/>
        </w:rPr>
        <w:t xml:space="preserve">(1, 132)=8.24, </w:t>
      </w:r>
      <w:r w:rsidRPr="00593C23">
        <w:rPr>
          <w:iCs/>
          <w:sz w:val="24"/>
          <w:szCs w:val="24"/>
          <w:lang w:val="en"/>
        </w:rPr>
        <w:t>p</w:t>
      </w:r>
      <w:r w:rsidRPr="00593C23">
        <w:rPr>
          <w:sz w:val="24"/>
          <w:szCs w:val="24"/>
          <w:lang w:val="en"/>
        </w:rPr>
        <w:t>=0.005] but no main effect of time [</w:t>
      </w:r>
      <w:r w:rsidRPr="00593C23">
        <w:rPr>
          <w:i/>
          <w:sz w:val="24"/>
          <w:szCs w:val="24"/>
          <w:lang w:val="en"/>
        </w:rPr>
        <w:t>F</w:t>
      </w:r>
      <w:r w:rsidRPr="00593C23">
        <w:rPr>
          <w:sz w:val="24"/>
          <w:szCs w:val="24"/>
          <w:lang w:val="en"/>
        </w:rPr>
        <w:t xml:space="preserve">(1, 132)=0.04, </w:t>
      </w:r>
      <w:r w:rsidRPr="00593C23">
        <w:rPr>
          <w:iCs/>
          <w:sz w:val="24"/>
          <w:szCs w:val="24"/>
          <w:lang w:val="en"/>
        </w:rPr>
        <w:t>p</w:t>
      </w:r>
      <w:r w:rsidRPr="00593C23">
        <w:rPr>
          <w:sz w:val="24"/>
          <w:szCs w:val="24"/>
          <w:lang w:val="en"/>
        </w:rPr>
        <w:t>=0.84].  There was a group x time interaction [</w:t>
      </w:r>
      <w:r w:rsidRPr="00593C23">
        <w:rPr>
          <w:i/>
          <w:sz w:val="24"/>
          <w:szCs w:val="24"/>
          <w:lang w:val="en"/>
        </w:rPr>
        <w:t>F</w:t>
      </w:r>
      <w:r w:rsidRPr="00593C23">
        <w:rPr>
          <w:sz w:val="24"/>
          <w:szCs w:val="24"/>
          <w:lang w:val="en"/>
        </w:rPr>
        <w:t xml:space="preserve">(2, 132)=11.77, </w:t>
      </w:r>
      <w:r w:rsidRPr="00593C23">
        <w:rPr>
          <w:iCs/>
          <w:sz w:val="24"/>
          <w:szCs w:val="24"/>
          <w:lang w:val="en"/>
        </w:rPr>
        <w:t>p</w:t>
      </w:r>
      <w:r w:rsidRPr="00593C23">
        <w:rPr>
          <w:sz w:val="24"/>
          <w:szCs w:val="24"/>
          <w:lang w:val="en"/>
        </w:rPr>
        <w:t>=0.001] and group x hemisphere interaction [</w:t>
      </w:r>
      <w:r w:rsidRPr="00593C23">
        <w:rPr>
          <w:i/>
          <w:sz w:val="24"/>
          <w:szCs w:val="24"/>
          <w:lang w:val="en"/>
        </w:rPr>
        <w:t>F</w:t>
      </w:r>
      <w:r w:rsidRPr="00593C23">
        <w:rPr>
          <w:sz w:val="24"/>
          <w:szCs w:val="24"/>
          <w:lang w:val="en"/>
        </w:rPr>
        <w:t xml:space="preserve">(2, 132)=4.58, </w:t>
      </w:r>
      <w:r w:rsidRPr="00593C23">
        <w:rPr>
          <w:iCs/>
          <w:sz w:val="24"/>
          <w:szCs w:val="24"/>
          <w:lang w:val="en"/>
        </w:rPr>
        <w:t>p</w:t>
      </w:r>
      <w:r w:rsidRPr="00593C23">
        <w:rPr>
          <w:sz w:val="24"/>
          <w:szCs w:val="24"/>
          <w:lang w:val="en"/>
        </w:rPr>
        <w:t xml:space="preserve">=0.012] but no other interactions (lowest p=0.11). </w:t>
      </w:r>
    </w:p>
    <w:p w14:paraId="0FC56050" w14:textId="125EEA8B" w:rsidR="00593C23" w:rsidRPr="00593C23" w:rsidRDefault="00593C23" w:rsidP="00593C23">
      <w:pPr>
        <w:autoSpaceDE w:val="0"/>
        <w:autoSpaceDN w:val="0"/>
        <w:adjustRightInd w:val="0"/>
        <w:spacing w:line="480" w:lineRule="auto"/>
        <w:ind w:firstLine="720"/>
        <w:contextualSpacing/>
        <w:rPr>
          <w:sz w:val="24"/>
          <w:szCs w:val="24"/>
          <w:lang w:val="en"/>
        </w:rPr>
      </w:pPr>
      <w:r w:rsidRPr="00593C23">
        <w:rPr>
          <w:sz w:val="24"/>
          <w:szCs w:val="24"/>
          <w:lang w:val="en"/>
        </w:rPr>
        <w:t xml:space="preserve">For the main effect of group, </w:t>
      </w:r>
      <w:r w:rsidRPr="00593C23">
        <w:rPr>
          <w:sz w:val="24"/>
          <w:szCs w:val="24"/>
        </w:rPr>
        <w:t xml:space="preserve">hemispheres were collapsed; and </w:t>
      </w:r>
      <w:r w:rsidRPr="00593C23">
        <w:rPr>
          <w:sz w:val="24"/>
          <w:szCs w:val="24"/>
          <w:lang w:val="en"/>
        </w:rPr>
        <w:t>a one-way ANOVA revealed group effects over time (</w:t>
      </w:r>
      <w:r w:rsidR="00D50043">
        <w:rPr>
          <w:sz w:val="24"/>
          <w:szCs w:val="24"/>
          <w:lang w:val="en"/>
        </w:rPr>
        <w:t xml:space="preserve">all </w:t>
      </w:r>
      <w:r w:rsidRPr="00593C23">
        <w:rPr>
          <w:sz w:val="24"/>
          <w:szCs w:val="24"/>
          <w:lang w:val="en"/>
        </w:rPr>
        <w:t>p</w:t>
      </w:r>
      <w:r w:rsidR="00D50043">
        <w:rPr>
          <w:sz w:val="24"/>
          <w:szCs w:val="24"/>
          <w:lang w:val="en"/>
        </w:rPr>
        <w:t>’s</w:t>
      </w:r>
      <w:r w:rsidRPr="00593C23">
        <w:rPr>
          <w:sz w:val="24"/>
          <w:szCs w:val="24"/>
          <w:lang w:val="en"/>
        </w:rPr>
        <w:t>&lt;0.05).</w:t>
      </w:r>
      <w:r w:rsidR="00CD547A">
        <w:rPr>
          <w:sz w:val="24"/>
          <w:szCs w:val="24"/>
          <w:lang w:val="en"/>
        </w:rPr>
        <w:t xml:space="preserve">  </w:t>
      </w:r>
      <w:r w:rsidRPr="00593C23">
        <w:rPr>
          <w:sz w:val="24"/>
          <w:szCs w:val="24"/>
          <w:lang w:val="en"/>
        </w:rPr>
        <w:t xml:space="preserve">Post-hoc Bonferroni corrected results showed the LO subgroup exhibited less activation at baseline than both the HO subgroup (p=0.001) and control group (p=0.001).  The HO subgroup also demonstrated more activation at baseline than the LO (p=0.001) and control (p=0.002) groups.  Following CBT, both subgroups had similar SOG activity as controls (lowest p=0.28).  Between patient subgroups, the LO subgroup continued to show relatively less activation than the HO subgroup even after completing CBT (p=0.035).   </w:t>
      </w:r>
    </w:p>
    <w:p w14:paraId="220CA5E5" w14:textId="77777777" w:rsidR="00593C23" w:rsidRPr="00593C23" w:rsidRDefault="00593C23" w:rsidP="00593C23">
      <w:pPr>
        <w:autoSpaceDE w:val="0"/>
        <w:autoSpaceDN w:val="0"/>
        <w:adjustRightInd w:val="0"/>
        <w:spacing w:line="480" w:lineRule="auto"/>
        <w:ind w:firstLine="720"/>
        <w:contextualSpacing/>
        <w:rPr>
          <w:sz w:val="24"/>
          <w:szCs w:val="24"/>
          <w:lang w:val="en"/>
        </w:rPr>
      </w:pPr>
      <w:r w:rsidRPr="00593C23">
        <w:rPr>
          <w:sz w:val="24"/>
          <w:szCs w:val="24"/>
          <w:lang w:val="en"/>
        </w:rPr>
        <w:t>For the main effect of hemisphere, time and group were collapsed.  Paired t-tests revealed more activation in right SOG compared to left SOG (</w:t>
      </w:r>
      <w:r w:rsidRPr="00593C23">
        <w:rPr>
          <w:i/>
          <w:sz w:val="24"/>
          <w:szCs w:val="24"/>
          <w:lang w:val="en"/>
        </w:rPr>
        <w:t>F</w:t>
      </w:r>
      <w:r w:rsidRPr="00593C23">
        <w:rPr>
          <w:sz w:val="24"/>
          <w:szCs w:val="24"/>
          <w:lang w:val="en"/>
        </w:rPr>
        <w:t xml:space="preserve">(2, 134)=3.24, </w:t>
      </w:r>
      <w:r w:rsidRPr="00593C23">
        <w:rPr>
          <w:iCs/>
          <w:sz w:val="24"/>
          <w:szCs w:val="24"/>
          <w:lang w:val="en"/>
        </w:rPr>
        <w:t>p</w:t>
      </w:r>
      <w:r w:rsidRPr="00593C23">
        <w:rPr>
          <w:sz w:val="24"/>
          <w:szCs w:val="24"/>
          <w:lang w:val="en"/>
        </w:rPr>
        <w:t xml:space="preserve">=0.001).  </w:t>
      </w:r>
    </w:p>
    <w:p w14:paraId="5A450AF2" w14:textId="7BD2769C" w:rsidR="00593C23" w:rsidRPr="00593C23" w:rsidRDefault="00593C23" w:rsidP="00593C23">
      <w:pPr>
        <w:autoSpaceDE w:val="0"/>
        <w:autoSpaceDN w:val="0"/>
        <w:adjustRightInd w:val="0"/>
        <w:spacing w:line="480" w:lineRule="auto"/>
        <w:ind w:firstLine="720"/>
        <w:contextualSpacing/>
        <w:rPr>
          <w:sz w:val="24"/>
          <w:szCs w:val="24"/>
          <w:lang w:val="en"/>
        </w:rPr>
      </w:pPr>
      <w:r w:rsidRPr="00593C23">
        <w:rPr>
          <w:sz w:val="24"/>
          <w:szCs w:val="24"/>
          <w:lang w:val="en"/>
        </w:rPr>
        <w:t>For the group x hemisphere interaction, time was collapsed.  A one-way ANOVA showed group effects for left (</w:t>
      </w:r>
      <w:r w:rsidRPr="00593C23">
        <w:rPr>
          <w:iCs/>
          <w:sz w:val="24"/>
          <w:szCs w:val="24"/>
          <w:lang w:val="en"/>
        </w:rPr>
        <w:t>p</w:t>
      </w:r>
      <w:r w:rsidRPr="00593C23">
        <w:rPr>
          <w:sz w:val="24"/>
          <w:szCs w:val="24"/>
          <w:lang w:val="en"/>
        </w:rPr>
        <w:t>=0.001) and right hemispheres (</w:t>
      </w:r>
      <w:r w:rsidRPr="00593C23">
        <w:rPr>
          <w:iCs/>
          <w:sz w:val="24"/>
          <w:szCs w:val="24"/>
          <w:lang w:val="en"/>
        </w:rPr>
        <w:t>p</w:t>
      </w:r>
      <w:r w:rsidRPr="00593C23">
        <w:rPr>
          <w:sz w:val="24"/>
          <w:szCs w:val="24"/>
          <w:lang w:val="en"/>
        </w:rPr>
        <w:t xml:space="preserve">=0.001).  Post-hoc Bonferroni </w:t>
      </w:r>
      <w:r w:rsidRPr="00593C23">
        <w:rPr>
          <w:sz w:val="24"/>
          <w:szCs w:val="24"/>
          <w:lang w:val="en"/>
        </w:rPr>
        <w:lastRenderedPageBreak/>
        <w:t xml:space="preserve">corrected results revealed the LO subgroup exhibited less left SOG activation at baseline than the HO subgroup (p=0.001) and controls (p=0.001).  However, the HO subgroup and controls showed analogous activation (p=0.36).  For right hemisphere, the LO subgroup demonstrated less right </w:t>
      </w:r>
      <w:r w:rsidR="008D0C3C">
        <w:rPr>
          <w:sz w:val="24"/>
          <w:szCs w:val="24"/>
          <w:lang w:val="en"/>
        </w:rPr>
        <w:t xml:space="preserve">SOG </w:t>
      </w:r>
      <w:r w:rsidRPr="00593C23">
        <w:rPr>
          <w:sz w:val="24"/>
          <w:szCs w:val="24"/>
          <w:lang w:val="en"/>
        </w:rPr>
        <w:t xml:space="preserve">activation at baseline than the HO subgroup (p=0.001) and controls (p=0.001).  Additionally, the HO subgroup exhibited more </w:t>
      </w:r>
      <w:r>
        <w:rPr>
          <w:sz w:val="24"/>
          <w:szCs w:val="24"/>
          <w:lang w:val="en"/>
        </w:rPr>
        <w:t xml:space="preserve">activity in </w:t>
      </w:r>
      <w:r w:rsidRPr="00593C23">
        <w:rPr>
          <w:sz w:val="24"/>
          <w:szCs w:val="24"/>
          <w:lang w:val="en"/>
        </w:rPr>
        <w:t>right SOG than controls (p=0.001).</w:t>
      </w:r>
    </w:p>
    <w:p w14:paraId="25C1CE11" w14:textId="40A767E4" w:rsidR="00593C23" w:rsidRPr="00593C23" w:rsidRDefault="00593C23" w:rsidP="00593C23">
      <w:pPr>
        <w:autoSpaceDE w:val="0"/>
        <w:autoSpaceDN w:val="0"/>
        <w:adjustRightInd w:val="0"/>
        <w:spacing w:line="480" w:lineRule="auto"/>
        <w:ind w:firstLine="720"/>
        <w:contextualSpacing/>
        <w:rPr>
          <w:sz w:val="24"/>
          <w:szCs w:val="24"/>
          <w:lang w:val="en"/>
        </w:rPr>
      </w:pPr>
      <w:r w:rsidRPr="00593C23">
        <w:rPr>
          <w:sz w:val="24"/>
          <w:szCs w:val="24"/>
          <w:lang w:val="en"/>
        </w:rPr>
        <w:t xml:space="preserve">For group x time interaction, hemispheres were collapsed; paired t-tests revealed the LO subgroup exhibited an increase in bilateral </w:t>
      </w:r>
      <w:r w:rsidRPr="00593C23">
        <w:rPr>
          <w:sz w:val="24"/>
          <w:szCs w:val="24"/>
        </w:rPr>
        <w:t xml:space="preserve">SOG activity following CBT </w:t>
      </w:r>
      <w:r w:rsidRPr="00593C23">
        <w:rPr>
          <w:sz w:val="24"/>
          <w:szCs w:val="24"/>
          <w:lang w:val="en"/>
        </w:rPr>
        <w:t>[</w:t>
      </w:r>
      <w:r w:rsidRPr="00593C23">
        <w:rPr>
          <w:i/>
          <w:sz w:val="24"/>
          <w:szCs w:val="24"/>
          <w:lang w:val="en"/>
        </w:rPr>
        <w:t>t</w:t>
      </w:r>
      <w:r w:rsidRPr="00593C23">
        <w:rPr>
          <w:sz w:val="24"/>
          <w:szCs w:val="24"/>
          <w:lang w:val="en"/>
        </w:rPr>
        <w:t xml:space="preserve">(35)=3.60, </w:t>
      </w:r>
      <w:r w:rsidRPr="00593C23">
        <w:rPr>
          <w:iCs/>
          <w:sz w:val="24"/>
          <w:szCs w:val="24"/>
          <w:lang w:val="en"/>
        </w:rPr>
        <w:t>p</w:t>
      </w:r>
      <w:r w:rsidRPr="00593C23">
        <w:rPr>
          <w:sz w:val="24"/>
          <w:szCs w:val="24"/>
          <w:lang w:val="en"/>
        </w:rPr>
        <w:t xml:space="preserve">=0.001] whereas the in the HO subgroup, bilateral SOG </w:t>
      </w:r>
      <w:r w:rsidRPr="00593C23">
        <w:rPr>
          <w:sz w:val="24"/>
          <w:szCs w:val="24"/>
        </w:rPr>
        <w:t xml:space="preserve">activity decreased following CBT </w:t>
      </w:r>
      <w:r w:rsidRPr="00593C23">
        <w:rPr>
          <w:sz w:val="24"/>
          <w:szCs w:val="24"/>
          <w:lang w:val="en"/>
        </w:rPr>
        <w:t>[</w:t>
      </w:r>
      <w:r w:rsidRPr="00593C23">
        <w:rPr>
          <w:i/>
          <w:sz w:val="24"/>
          <w:szCs w:val="24"/>
          <w:lang w:val="en"/>
        </w:rPr>
        <w:t>t</w:t>
      </w:r>
      <w:r w:rsidRPr="00593C23">
        <w:rPr>
          <w:sz w:val="24"/>
          <w:szCs w:val="24"/>
          <w:lang w:val="en"/>
        </w:rPr>
        <w:t xml:space="preserve">(53)=3.93, </w:t>
      </w:r>
      <w:r w:rsidRPr="00593C23">
        <w:rPr>
          <w:iCs/>
          <w:sz w:val="24"/>
          <w:szCs w:val="24"/>
          <w:lang w:val="en"/>
        </w:rPr>
        <w:t>p</w:t>
      </w:r>
      <w:r w:rsidRPr="00593C23">
        <w:rPr>
          <w:sz w:val="24"/>
          <w:szCs w:val="24"/>
          <w:lang w:val="en"/>
        </w:rPr>
        <w:t xml:space="preserve">=0.001]. </w:t>
      </w:r>
    </w:p>
    <w:p w14:paraId="0D7C2DCB" w14:textId="77777777" w:rsidR="00593C23" w:rsidRPr="00593C23" w:rsidRDefault="00593C23" w:rsidP="003A58F9">
      <w:pPr>
        <w:autoSpaceDE w:val="0"/>
        <w:autoSpaceDN w:val="0"/>
        <w:adjustRightInd w:val="0"/>
        <w:spacing w:line="480" w:lineRule="auto"/>
        <w:ind w:firstLine="720"/>
        <w:contextualSpacing/>
        <w:rPr>
          <w:sz w:val="24"/>
          <w:szCs w:val="24"/>
        </w:rPr>
      </w:pPr>
    </w:p>
    <w:p w14:paraId="73E8E3F4" w14:textId="448CCEAC" w:rsidR="004818FF" w:rsidRPr="00593C23" w:rsidRDefault="004818FF" w:rsidP="00CC140F">
      <w:pPr>
        <w:spacing w:after="0" w:line="240" w:lineRule="auto"/>
        <w:rPr>
          <w:rFonts w:ascii="AdvOT46dcae81" w:hAnsi="AdvOT46dcae81" w:cs="AdvOT46dcae81"/>
          <w:sz w:val="24"/>
          <w:szCs w:val="24"/>
        </w:rPr>
      </w:pPr>
      <w:r w:rsidRPr="00593C23">
        <w:rPr>
          <w:rFonts w:asciiTheme="majorHAnsi" w:hAnsiTheme="majorHAnsi"/>
          <w:sz w:val="24"/>
          <w:szCs w:val="24"/>
        </w:rPr>
        <w:br w:type="page"/>
      </w:r>
    </w:p>
    <w:p w14:paraId="3EE32B15" w14:textId="4B575CC5" w:rsidR="004818FF" w:rsidRPr="00593C23" w:rsidRDefault="004818FF" w:rsidP="004F3851">
      <w:pPr>
        <w:rPr>
          <w:sz w:val="24"/>
          <w:szCs w:val="24"/>
        </w:rPr>
      </w:pPr>
      <w:r w:rsidRPr="00593C23">
        <w:rPr>
          <w:b/>
          <w:bCs/>
          <w:sz w:val="24"/>
          <w:szCs w:val="24"/>
        </w:rPr>
        <w:lastRenderedPageBreak/>
        <w:t>SFigure 1.</w:t>
      </w:r>
      <w:r w:rsidRPr="00593C23">
        <w:rPr>
          <w:sz w:val="24"/>
          <w:szCs w:val="24"/>
        </w:rPr>
        <w:t xml:space="preserve">  </w:t>
      </w:r>
      <w:r w:rsidR="00BB0B89" w:rsidRPr="00593C23">
        <w:rPr>
          <w:b/>
          <w:sz w:val="24"/>
          <w:szCs w:val="24"/>
        </w:rPr>
        <w:t xml:space="preserve">Illustration </w:t>
      </w:r>
      <w:r w:rsidRPr="00593C23">
        <w:rPr>
          <w:b/>
          <w:sz w:val="24"/>
          <w:szCs w:val="24"/>
        </w:rPr>
        <w:t xml:space="preserve">of </w:t>
      </w:r>
      <w:r w:rsidRPr="00593C23">
        <w:rPr>
          <w:b/>
          <w:i/>
          <w:sz w:val="24"/>
          <w:szCs w:val="24"/>
        </w:rPr>
        <w:t>a priori</w:t>
      </w:r>
      <w:r w:rsidRPr="00593C23">
        <w:rPr>
          <w:b/>
          <w:sz w:val="24"/>
          <w:szCs w:val="24"/>
        </w:rPr>
        <w:t xml:space="preserve"> Regions of Interest</w:t>
      </w:r>
    </w:p>
    <w:tbl>
      <w:tblPr>
        <w:tblStyle w:val="TableGrid"/>
        <w:tblW w:w="0" w:type="auto"/>
        <w:tblLook w:val="04A0" w:firstRow="1" w:lastRow="0" w:firstColumn="1" w:lastColumn="0" w:noHBand="0" w:noVBand="1"/>
      </w:tblPr>
      <w:tblGrid>
        <w:gridCol w:w="9350"/>
      </w:tblGrid>
      <w:tr w:rsidR="004818FF" w:rsidRPr="00593C23" w14:paraId="327A6802" w14:textId="77777777" w:rsidTr="002A044A">
        <w:tc>
          <w:tcPr>
            <w:tcW w:w="9350" w:type="dxa"/>
          </w:tcPr>
          <w:p w14:paraId="68CD992E" w14:textId="77777777" w:rsidR="004818FF" w:rsidRPr="00593C23" w:rsidRDefault="004818FF" w:rsidP="002A044A">
            <w:pPr>
              <w:rPr>
                <w:rFonts w:asciiTheme="minorHAnsi" w:hAnsiTheme="minorHAnsi"/>
                <w:sz w:val="24"/>
                <w:szCs w:val="24"/>
              </w:rPr>
            </w:pPr>
            <w:r w:rsidRPr="00593C23">
              <w:rPr>
                <w:rFonts w:asciiTheme="minorHAnsi" w:hAnsiTheme="minorHAnsi"/>
                <w:sz w:val="24"/>
                <w:szCs w:val="24"/>
              </w:rPr>
              <w:t>A.</w:t>
            </w:r>
            <w:r w:rsidRPr="00593C23">
              <w:rPr>
                <w:rFonts w:asciiTheme="minorHAnsi" w:hAnsiTheme="minorHAnsi"/>
                <w:noProof/>
                <w:sz w:val="24"/>
                <w:szCs w:val="24"/>
              </w:rPr>
              <w:t xml:space="preserve"> </w:t>
            </w:r>
            <w:r w:rsidRPr="00593C23">
              <w:rPr>
                <w:rFonts w:asciiTheme="minorHAnsi" w:hAnsiTheme="minorHAnsi"/>
                <w:noProof/>
                <w:sz w:val="24"/>
                <w:szCs w:val="24"/>
              </w:rPr>
              <w:drawing>
                <wp:inline distT="0" distB="0" distL="0" distR="0" wp14:anchorId="39DD13DF" wp14:editId="71501512">
                  <wp:extent cx="5466179" cy="1828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6179" cy="1828800"/>
                          </a:xfrm>
                          <a:prstGeom prst="rect">
                            <a:avLst/>
                          </a:prstGeom>
                          <a:noFill/>
                        </pic:spPr>
                      </pic:pic>
                    </a:graphicData>
                  </a:graphic>
                </wp:inline>
              </w:drawing>
            </w:r>
          </w:p>
        </w:tc>
      </w:tr>
      <w:tr w:rsidR="004818FF" w:rsidRPr="00593C23" w14:paraId="77D92BBB" w14:textId="77777777" w:rsidTr="002A044A">
        <w:tc>
          <w:tcPr>
            <w:tcW w:w="9350" w:type="dxa"/>
          </w:tcPr>
          <w:p w14:paraId="1CF4D697" w14:textId="77777777" w:rsidR="004818FF" w:rsidRPr="00593C23" w:rsidRDefault="004818FF" w:rsidP="002A044A">
            <w:pPr>
              <w:rPr>
                <w:rFonts w:asciiTheme="minorHAnsi" w:hAnsiTheme="minorHAnsi"/>
                <w:sz w:val="24"/>
                <w:szCs w:val="24"/>
              </w:rPr>
            </w:pPr>
            <w:r w:rsidRPr="00593C23">
              <w:rPr>
                <w:rFonts w:asciiTheme="minorHAnsi" w:hAnsiTheme="minorHAnsi"/>
                <w:sz w:val="24"/>
                <w:szCs w:val="24"/>
              </w:rPr>
              <w:t>B.</w:t>
            </w:r>
            <w:r w:rsidRPr="00593C23">
              <w:rPr>
                <w:rFonts w:asciiTheme="minorHAnsi" w:hAnsiTheme="minorHAnsi"/>
                <w:noProof/>
                <w:sz w:val="24"/>
                <w:szCs w:val="24"/>
              </w:rPr>
              <w:drawing>
                <wp:inline distT="0" distB="0" distL="0" distR="0" wp14:anchorId="2845432F" wp14:editId="042F2E6E">
                  <wp:extent cx="5298757"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8757" cy="1828800"/>
                          </a:xfrm>
                          <a:prstGeom prst="rect">
                            <a:avLst/>
                          </a:prstGeom>
                          <a:noFill/>
                        </pic:spPr>
                      </pic:pic>
                    </a:graphicData>
                  </a:graphic>
                </wp:inline>
              </w:drawing>
            </w:r>
          </w:p>
        </w:tc>
      </w:tr>
      <w:tr w:rsidR="004818FF" w:rsidRPr="00593C23" w14:paraId="0F75EBA0" w14:textId="77777777" w:rsidTr="002A044A">
        <w:tc>
          <w:tcPr>
            <w:tcW w:w="9350" w:type="dxa"/>
          </w:tcPr>
          <w:p w14:paraId="616F8CB5" w14:textId="77777777" w:rsidR="004818FF" w:rsidRPr="00593C23" w:rsidRDefault="004818FF" w:rsidP="002A044A">
            <w:pPr>
              <w:rPr>
                <w:rFonts w:asciiTheme="minorHAnsi" w:hAnsiTheme="minorHAnsi"/>
                <w:sz w:val="24"/>
                <w:szCs w:val="24"/>
              </w:rPr>
            </w:pPr>
            <w:r w:rsidRPr="00593C23">
              <w:rPr>
                <w:rFonts w:asciiTheme="minorHAnsi" w:hAnsiTheme="minorHAnsi"/>
                <w:sz w:val="24"/>
                <w:szCs w:val="24"/>
              </w:rPr>
              <w:t>C.</w:t>
            </w:r>
            <w:r w:rsidRPr="00593C23">
              <w:rPr>
                <w:rFonts w:asciiTheme="minorHAnsi" w:hAnsiTheme="minorHAnsi"/>
                <w:noProof/>
                <w:sz w:val="24"/>
                <w:szCs w:val="24"/>
              </w:rPr>
              <w:drawing>
                <wp:inline distT="0" distB="0" distL="0" distR="0" wp14:anchorId="2114E8F6" wp14:editId="3A39E548">
                  <wp:extent cx="503623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6230" cy="1828800"/>
                          </a:xfrm>
                          <a:prstGeom prst="rect">
                            <a:avLst/>
                          </a:prstGeom>
                          <a:noFill/>
                        </pic:spPr>
                      </pic:pic>
                    </a:graphicData>
                  </a:graphic>
                </wp:inline>
              </w:drawing>
            </w:r>
          </w:p>
        </w:tc>
      </w:tr>
    </w:tbl>
    <w:p w14:paraId="73554EFB" w14:textId="77777777" w:rsidR="004818FF" w:rsidRPr="00593C23" w:rsidRDefault="004818FF" w:rsidP="004F3851">
      <w:pPr>
        <w:rPr>
          <w:sz w:val="24"/>
          <w:szCs w:val="24"/>
        </w:rPr>
      </w:pPr>
    </w:p>
    <w:p w14:paraId="56F86452" w14:textId="1D076A41" w:rsidR="00F50513" w:rsidRPr="00593C23" w:rsidRDefault="004818FF" w:rsidP="004F3851">
      <w:pPr>
        <w:rPr>
          <w:sz w:val="24"/>
          <w:szCs w:val="24"/>
        </w:rPr>
      </w:pPr>
      <w:r w:rsidRPr="00593C23">
        <w:rPr>
          <w:b/>
          <w:bCs/>
          <w:sz w:val="24"/>
          <w:szCs w:val="24"/>
        </w:rPr>
        <w:t>A)</w:t>
      </w:r>
      <w:r w:rsidRPr="00593C23">
        <w:rPr>
          <w:sz w:val="24"/>
          <w:szCs w:val="24"/>
        </w:rPr>
        <w:t xml:space="preserve"> Frontal ROIs. Red – Inferior frontal gyrus, opercular portion. Green – Inferior frontal gyrus, orbital portion. Dark Blue – Inferior frontal gyrus, triangular portion. Yellow – Frontal medial orbital gyrus. Light Blue – Middle frontal gyrus (i.e. dorsolateral prefrontal cortex). Gold – Medial superior frontal gyrus. </w:t>
      </w:r>
      <w:r w:rsidRPr="00593C23">
        <w:rPr>
          <w:b/>
          <w:bCs/>
          <w:sz w:val="24"/>
          <w:szCs w:val="24"/>
        </w:rPr>
        <w:t>B)</w:t>
      </w:r>
      <w:r w:rsidRPr="00593C23">
        <w:rPr>
          <w:sz w:val="24"/>
          <w:szCs w:val="24"/>
        </w:rPr>
        <w:t xml:space="preserve"> Temporal and occipital ROIs. Red – Occipital cortex, inferior portion. Green – Occipital cortex, middle portion. Dark blue – Occipital cortex, superior portion. Light blue – Middle temporal gyrus. Gold – Superior temporal gyrus. Yellow – Inferior temporal </w:t>
      </w:r>
      <w:r w:rsidRPr="00593C23">
        <w:rPr>
          <w:sz w:val="24"/>
          <w:szCs w:val="24"/>
        </w:rPr>
        <w:lastRenderedPageBreak/>
        <w:t xml:space="preserve">gyrus. </w:t>
      </w:r>
      <w:r w:rsidRPr="00593C23">
        <w:rPr>
          <w:b/>
          <w:bCs/>
          <w:sz w:val="24"/>
          <w:szCs w:val="24"/>
        </w:rPr>
        <w:t>C)</w:t>
      </w:r>
      <w:r w:rsidRPr="00593C23">
        <w:rPr>
          <w:sz w:val="24"/>
          <w:szCs w:val="24"/>
        </w:rPr>
        <w:t xml:space="preserve"> Subcortical ROIs. Red – Amygdala. Green – Anterior cingulum. Dark blue – Hippocampus. Yellow – Insula.</w:t>
      </w:r>
    </w:p>
    <w:sectPr w:rsidR="00F50513" w:rsidRPr="00593C23" w:rsidSect="00FB1CB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5E442" w14:textId="77777777" w:rsidR="00511B0F" w:rsidRDefault="00511B0F" w:rsidP="00542F23">
      <w:pPr>
        <w:spacing w:after="0" w:line="240" w:lineRule="auto"/>
      </w:pPr>
      <w:r>
        <w:separator/>
      </w:r>
    </w:p>
  </w:endnote>
  <w:endnote w:type="continuationSeparator" w:id="0">
    <w:p w14:paraId="284C9066" w14:textId="77777777" w:rsidR="00511B0F" w:rsidRDefault="00511B0F" w:rsidP="0054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vpalSR">
    <w:panose1 w:val="00000000000000000000"/>
    <w:charset w:val="00"/>
    <w:family w:val="auto"/>
    <w:notTrueType/>
    <w:pitch w:val="default"/>
    <w:sig w:usb0="00000003" w:usb1="00000000" w:usb2="00000000" w:usb3="00000000" w:csb0="00000001" w:csb1="00000000"/>
  </w:font>
  <w:font w:name="AdvOT596495f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vOT46dcae81">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8AF31" w14:textId="77777777" w:rsidR="00511B0F" w:rsidRDefault="00511B0F" w:rsidP="00542F23">
      <w:pPr>
        <w:spacing w:after="0" w:line="240" w:lineRule="auto"/>
      </w:pPr>
      <w:r>
        <w:separator/>
      </w:r>
    </w:p>
  </w:footnote>
  <w:footnote w:type="continuationSeparator" w:id="0">
    <w:p w14:paraId="14FFE3EA" w14:textId="77777777" w:rsidR="00511B0F" w:rsidRDefault="00511B0F" w:rsidP="00542F23">
      <w:pPr>
        <w:spacing w:after="0" w:line="240" w:lineRule="auto"/>
      </w:pPr>
      <w:r>
        <w:continuationSeparator/>
      </w:r>
    </w:p>
  </w:footnote>
  <w:footnote w:id="1">
    <w:p w14:paraId="4BD9C932" w14:textId="77777777" w:rsidR="00DB4FE9" w:rsidRPr="003C1A9F" w:rsidRDefault="00DB4FE9" w:rsidP="00DB4FE9">
      <w:pPr>
        <w:pStyle w:val="FootnoteText"/>
        <w:rPr>
          <w:rFonts w:ascii="Calibri" w:hAnsi="Calibri"/>
        </w:rPr>
      </w:pPr>
      <w:r w:rsidRPr="00E62D55">
        <w:rPr>
          <w:rStyle w:val="FootnoteReference"/>
        </w:rPr>
        <w:footnoteRef/>
      </w:r>
      <w:r w:rsidRPr="003C1A9F">
        <w:rPr>
          <w:rFonts w:ascii="Calibri" w:hAnsi="Calibri"/>
        </w:rPr>
        <w:t xml:space="preserve">A sub-sample of patients (n=72) and healthy controls (n=38) also completed a </w:t>
      </w:r>
      <w:r>
        <w:rPr>
          <w:rFonts w:ascii="Calibri" w:hAnsi="Calibri"/>
        </w:rPr>
        <w:t xml:space="preserve">modified </w:t>
      </w:r>
      <w:r w:rsidRPr="003C1A9F">
        <w:rPr>
          <w:rFonts w:ascii="Calibri" w:hAnsi="Calibri"/>
        </w:rPr>
        <w:t xml:space="preserve">version of the task that </w:t>
      </w:r>
      <w:r>
        <w:rPr>
          <w:rFonts w:ascii="Calibri" w:hAnsi="Calibri"/>
        </w:rPr>
        <w:t xml:space="preserve">included sad faces. However, </w:t>
      </w:r>
      <w:r w:rsidRPr="003C1A9F">
        <w:rPr>
          <w:rFonts w:ascii="Calibri" w:hAnsi="Calibri"/>
        </w:rPr>
        <w:t>restricting analysis to participants who completed the version with angry, fearful, happy, and sad face</w:t>
      </w:r>
      <w:r>
        <w:rPr>
          <w:rFonts w:ascii="Calibri" w:hAnsi="Calibri"/>
        </w:rPr>
        <w:t>s would reduce the sample size.  Therefore,</w:t>
      </w:r>
      <w:r w:rsidRPr="003C1A9F">
        <w:rPr>
          <w:rFonts w:ascii="Calibri" w:hAnsi="Calibri"/>
        </w:rPr>
        <w:t xml:space="preserve"> we elected to perform analysis on the larger sample </w:t>
      </w:r>
      <w:r>
        <w:rPr>
          <w:rFonts w:ascii="Calibri" w:hAnsi="Calibri"/>
        </w:rPr>
        <w:t>who</w:t>
      </w:r>
      <w:r w:rsidRPr="003C1A9F">
        <w:rPr>
          <w:rFonts w:ascii="Calibri" w:hAnsi="Calibri"/>
        </w:rPr>
        <w:t xml:space="preserve"> completed the original task.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727A" w14:textId="34446B58" w:rsidR="0019560E" w:rsidRPr="00FA14A7" w:rsidRDefault="0019560E">
    <w:pPr>
      <w:pStyle w:val="Header"/>
      <w:jc w:val="right"/>
      <w:rPr>
        <w:rFonts w:asciiTheme="minorHAnsi" w:hAnsiTheme="minorHAnsi" w:cs="Times New Roman"/>
      </w:rPr>
    </w:pPr>
    <w:r w:rsidRPr="00FA14A7">
      <w:rPr>
        <w:rFonts w:asciiTheme="minorHAnsi" w:hAnsiTheme="minorHAnsi" w:cs="Times New Roman"/>
      </w:rPr>
      <w:fldChar w:fldCharType="begin"/>
    </w:r>
    <w:r w:rsidRPr="00FA14A7">
      <w:rPr>
        <w:rFonts w:asciiTheme="minorHAnsi" w:hAnsiTheme="minorHAnsi" w:cs="Times New Roman"/>
      </w:rPr>
      <w:instrText xml:space="preserve"> PAGE   \* MERGEFORMAT </w:instrText>
    </w:r>
    <w:r w:rsidRPr="00FA14A7">
      <w:rPr>
        <w:rFonts w:asciiTheme="minorHAnsi" w:hAnsiTheme="minorHAnsi" w:cs="Times New Roman"/>
      </w:rPr>
      <w:fldChar w:fldCharType="separate"/>
    </w:r>
    <w:r w:rsidR="00BB1563">
      <w:rPr>
        <w:rFonts w:asciiTheme="minorHAnsi" w:hAnsiTheme="minorHAnsi" w:cs="Times New Roman"/>
        <w:noProof/>
      </w:rPr>
      <w:t>7</w:t>
    </w:r>
    <w:r w:rsidRPr="00FA14A7">
      <w:rPr>
        <w:rFonts w:asciiTheme="minorHAnsi" w:hAnsiTheme="minorHAnsi" w:cs="Times New Roman"/>
      </w:rPr>
      <w:fldChar w:fldCharType="end"/>
    </w:r>
  </w:p>
  <w:p w14:paraId="7F9C7201" w14:textId="77777777" w:rsidR="0019560E" w:rsidRPr="00D035C5" w:rsidRDefault="0019560E">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E5951"/>
    <w:multiLevelType w:val="hybridMultilevel"/>
    <w:tmpl w:val="C6321878"/>
    <w:lvl w:ilvl="0" w:tplc="1CE4D2A6">
      <w:start w:val="1"/>
      <w:numFmt w:val="upperLetter"/>
      <w:lvlText w:val="(%1)"/>
      <w:lvlJc w:val="left"/>
      <w:pPr>
        <w:ind w:left="750" w:hanging="39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89F73D4"/>
    <w:multiLevelType w:val="hybridMultilevel"/>
    <w:tmpl w:val="54F48CFA"/>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 w15:restartNumberingAfterBreak="0">
    <w:nsid w:val="3E4478FE"/>
    <w:multiLevelType w:val="hybridMultilevel"/>
    <w:tmpl w:val="D9B0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proofState w:spelling="clean" w:grammar="clean"/>
  <w:defaultTabStop w:val="720"/>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yNjQyMTYztzQ3NjFX0lEKTi0uzszPAykwrAUAaf5nfSwAAAA="/>
  </w:docVars>
  <w:rsids>
    <w:rsidRoot w:val="00F57A1D"/>
    <w:rsid w:val="00000192"/>
    <w:rsid w:val="000008E3"/>
    <w:rsid w:val="000009B8"/>
    <w:rsid w:val="00000BEF"/>
    <w:rsid w:val="00000DB9"/>
    <w:rsid w:val="000010D7"/>
    <w:rsid w:val="000012BE"/>
    <w:rsid w:val="000014B3"/>
    <w:rsid w:val="00001731"/>
    <w:rsid w:val="00001784"/>
    <w:rsid w:val="000019C0"/>
    <w:rsid w:val="00002161"/>
    <w:rsid w:val="0000241A"/>
    <w:rsid w:val="00002F09"/>
    <w:rsid w:val="00002F8E"/>
    <w:rsid w:val="000031D9"/>
    <w:rsid w:val="000049A7"/>
    <w:rsid w:val="00004C2D"/>
    <w:rsid w:val="00005A06"/>
    <w:rsid w:val="00006124"/>
    <w:rsid w:val="000066A3"/>
    <w:rsid w:val="000067B4"/>
    <w:rsid w:val="00006903"/>
    <w:rsid w:val="00007576"/>
    <w:rsid w:val="00007A8B"/>
    <w:rsid w:val="00007B05"/>
    <w:rsid w:val="00007BD2"/>
    <w:rsid w:val="00007CA8"/>
    <w:rsid w:val="00010222"/>
    <w:rsid w:val="000104C2"/>
    <w:rsid w:val="00010559"/>
    <w:rsid w:val="0001109B"/>
    <w:rsid w:val="000116AC"/>
    <w:rsid w:val="000119E8"/>
    <w:rsid w:val="00011E50"/>
    <w:rsid w:val="00011FE3"/>
    <w:rsid w:val="00012CDB"/>
    <w:rsid w:val="0001309F"/>
    <w:rsid w:val="00013318"/>
    <w:rsid w:val="0001338A"/>
    <w:rsid w:val="00013878"/>
    <w:rsid w:val="00013AAD"/>
    <w:rsid w:val="00013B43"/>
    <w:rsid w:val="00013D8A"/>
    <w:rsid w:val="00013DA2"/>
    <w:rsid w:val="0001422D"/>
    <w:rsid w:val="00014690"/>
    <w:rsid w:val="00015548"/>
    <w:rsid w:val="0001597D"/>
    <w:rsid w:val="00015A27"/>
    <w:rsid w:val="00015B2F"/>
    <w:rsid w:val="00015D9A"/>
    <w:rsid w:val="000173EA"/>
    <w:rsid w:val="000178B0"/>
    <w:rsid w:val="000179BF"/>
    <w:rsid w:val="00017D97"/>
    <w:rsid w:val="00017F58"/>
    <w:rsid w:val="00020469"/>
    <w:rsid w:val="000204DF"/>
    <w:rsid w:val="0002063B"/>
    <w:rsid w:val="0002079C"/>
    <w:rsid w:val="00020B77"/>
    <w:rsid w:val="0002198B"/>
    <w:rsid w:val="00021E72"/>
    <w:rsid w:val="00022AC4"/>
    <w:rsid w:val="0002362A"/>
    <w:rsid w:val="000237D9"/>
    <w:rsid w:val="0002380B"/>
    <w:rsid w:val="000239CB"/>
    <w:rsid w:val="00024814"/>
    <w:rsid w:val="000248D1"/>
    <w:rsid w:val="00024C66"/>
    <w:rsid w:val="00025798"/>
    <w:rsid w:val="0002584B"/>
    <w:rsid w:val="000260BA"/>
    <w:rsid w:val="00026880"/>
    <w:rsid w:val="00026C9F"/>
    <w:rsid w:val="00026F5D"/>
    <w:rsid w:val="0002739C"/>
    <w:rsid w:val="000274F6"/>
    <w:rsid w:val="000278AF"/>
    <w:rsid w:val="00027A4E"/>
    <w:rsid w:val="00027C32"/>
    <w:rsid w:val="00027E51"/>
    <w:rsid w:val="00030591"/>
    <w:rsid w:val="000305C0"/>
    <w:rsid w:val="00031148"/>
    <w:rsid w:val="00031469"/>
    <w:rsid w:val="000315FA"/>
    <w:rsid w:val="0003221C"/>
    <w:rsid w:val="00032B61"/>
    <w:rsid w:val="00032F0A"/>
    <w:rsid w:val="000333C8"/>
    <w:rsid w:val="00033B8A"/>
    <w:rsid w:val="00033B96"/>
    <w:rsid w:val="0003463D"/>
    <w:rsid w:val="00034D1F"/>
    <w:rsid w:val="00034FB0"/>
    <w:rsid w:val="000352F2"/>
    <w:rsid w:val="00035437"/>
    <w:rsid w:val="00035561"/>
    <w:rsid w:val="000356AD"/>
    <w:rsid w:val="000360C3"/>
    <w:rsid w:val="000364EC"/>
    <w:rsid w:val="0003658F"/>
    <w:rsid w:val="0003683D"/>
    <w:rsid w:val="000372E5"/>
    <w:rsid w:val="00037844"/>
    <w:rsid w:val="00037F67"/>
    <w:rsid w:val="00040A7A"/>
    <w:rsid w:val="00040BDC"/>
    <w:rsid w:val="00041184"/>
    <w:rsid w:val="000411FE"/>
    <w:rsid w:val="000415DC"/>
    <w:rsid w:val="00041997"/>
    <w:rsid w:val="00042444"/>
    <w:rsid w:val="000427FD"/>
    <w:rsid w:val="00042E4E"/>
    <w:rsid w:val="0004376A"/>
    <w:rsid w:val="00043788"/>
    <w:rsid w:val="000437EC"/>
    <w:rsid w:val="000439C9"/>
    <w:rsid w:val="00043C40"/>
    <w:rsid w:val="00043CC2"/>
    <w:rsid w:val="00044113"/>
    <w:rsid w:val="000444A4"/>
    <w:rsid w:val="0004484E"/>
    <w:rsid w:val="00044CBA"/>
    <w:rsid w:val="000450B7"/>
    <w:rsid w:val="000458B2"/>
    <w:rsid w:val="000460A0"/>
    <w:rsid w:val="000464AC"/>
    <w:rsid w:val="00046B4C"/>
    <w:rsid w:val="00046F33"/>
    <w:rsid w:val="00046FBF"/>
    <w:rsid w:val="000472D7"/>
    <w:rsid w:val="00047959"/>
    <w:rsid w:val="00047CD5"/>
    <w:rsid w:val="000500DD"/>
    <w:rsid w:val="0005073A"/>
    <w:rsid w:val="00050851"/>
    <w:rsid w:val="000508E5"/>
    <w:rsid w:val="00050B7F"/>
    <w:rsid w:val="00050E4C"/>
    <w:rsid w:val="00051381"/>
    <w:rsid w:val="00051504"/>
    <w:rsid w:val="00051603"/>
    <w:rsid w:val="000518CC"/>
    <w:rsid w:val="000527F2"/>
    <w:rsid w:val="0005370D"/>
    <w:rsid w:val="00053A62"/>
    <w:rsid w:val="00053AFB"/>
    <w:rsid w:val="00053AFC"/>
    <w:rsid w:val="00053B48"/>
    <w:rsid w:val="00053EF5"/>
    <w:rsid w:val="00054199"/>
    <w:rsid w:val="00054747"/>
    <w:rsid w:val="00054999"/>
    <w:rsid w:val="00054BA8"/>
    <w:rsid w:val="00054E1C"/>
    <w:rsid w:val="000559EF"/>
    <w:rsid w:val="00055B3A"/>
    <w:rsid w:val="00055C46"/>
    <w:rsid w:val="00056141"/>
    <w:rsid w:val="000563EC"/>
    <w:rsid w:val="00056C36"/>
    <w:rsid w:val="00056F69"/>
    <w:rsid w:val="00057070"/>
    <w:rsid w:val="0005719A"/>
    <w:rsid w:val="000571F0"/>
    <w:rsid w:val="0005750B"/>
    <w:rsid w:val="000576CC"/>
    <w:rsid w:val="000578C6"/>
    <w:rsid w:val="00057A70"/>
    <w:rsid w:val="00057CC4"/>
    <w:rsid w:val="00060EA8"/>
    <w:rsid w:val="000611D4"/>
    <w:rsid w:val="00061474"/>
    <w:rsid w:val="0006182D"/>
    <w:rsid w:val="00061A6E"/>
    <w:rsid w:val="00061CAF"/>
    <w:rsid w:val="00062F25"/>
    <w:rsid w:val="00063067"/>
    <w:rsid w:val="000645EE"/>
    <w:rsid w:val="0006490B"/>
    <w:rsid w:val="00066175"/>
    <w:rsid w:val="000669E1"/>
    <w:rsid w:val="00066E3D"/>
    <w:rsid w:val="000672DD"/>
    <w:rsid w:val="00067461"/>
    <w:rsid w:val="000700BB"/>
    <w:rsid w:val="0007016E"/>
    <w:rsid w:val="0007070B"/>
    <w:rsid w:val="000727FE"/>
    <w:rsid w:val="00072921"/>
    <w:rsid w:val="00072C8B"/>
    <w:rsid w:val="000732A4"/>
    <w:rsid w:val="00073369"/>
    <w:rsid w:val="00073D9B"/>
    <w:rsid w:val="00074038"/>
    <w:rsid w:val="000741B0"/>
    <w:rsid w:val="000742BB"/>
    <w:rsid w:val="0007567B"/>
    <w:rsid w:val="0007578F"/>
    <w:rsid w:val="00075DFE"/>
    <w:rsid w:val="0007672F"/>
    <w:rsid w:val="000768B1"/>
    <w:rsid w:val="00076D08"/>
    <w:rsid w:val="00076E80"/>
    <w:rsid w:val="000774DE"/>
    <w:rsid w:val="0007775B"/>
    <w:rsid w:val="00077BB7"/>
    <w:rsid w:val="0008048B"/>
    <w:rsid w:val="00080626"/>
    <w:rsid w:val="00081824"/>
    <w:rsid w:val="000818DD"/>
    <w:rsid w:val="000819F9"/>
    <w:rsid w:val="00081D0C"/>
    <w:rsid w:val="000826C0"/>
    <w:rsid w:val="000826E4"/>
    <w:rsid w:val="000826EB"/>
    <w:rsid w:val="000827C2"/>
    <w:rsid w:val="00082ACB"/>
    <w:rsid w:val="00082C10"/>
    <w:rsid w:val="00082D3A"/>
    <w:rsid w:val="00082FE5"/>
    <w:rsid w:val="000832CB"/>
    <w:rsid w:val="00083481"/>
    <w:rsid w:val="000834A5"/>
    <w:rsid w:val="0008414B"/>
    <w:rsid w:val="00084AEA"/>
    <w:rsid w:val="00084DD2"/>
    <w:rsid w:val="00084E3A"/>
    <w:rsid w:val="0008543E"/>
    <w:rsid w:val="00085809"/>
    <w:rsid w:val="00085BDC"/>
    <w:rsid w:val="00085FC2"/>
    <w:rsid w:val="00085FCF"/>
    <w:rsid w:val="0008604D"/>
    <w:rsid w:val="00086875"/>
    <w:rsid w:val="000869DA"/>
    <w:rsid w:val="00086A3F"/>
    <w:rsid w:val="00086D11"/>
    <w:rsid w:val="00090095"/>
    <w:rsid w:val="000902A1"/>
    <w:rsid w:val="0009081F"/>
    <w:rsid w:val="000908B7"/>
    <w:rsid w:val="00090A3D"/>
    <w:rsid w:val="00090E7B"/>
    <w:rsid w:val="0009101B"/>
    <w:rsid w:val="00091423"/>
    <w:rsid w:val="0009169A"/>
    <w:rsid w:val="00092170"/>
    <w:rsid w:val="000928FC"/>
    <w:rsid w:val="0009398C"/>
    <w:rsid w:val="00093E26"/>
    <w:rsid w:val="00094AEC"/>
    <w:rsid w:val="00094CC9"/>
    <w:rsid w:val="00095947"/>
    <w:rsid w:val="000959BC"/>
    <w:rsid w:val="00095A0A"/>
    <w:rsid w:val="00095D37"/>
    <w:rsid w:val="00096494"/>
    <w:rsid w:val="00096CB5"/>
    <w:rsid w:val="00096EEF"/>
    <w:rsid w:val="000974DE"/>
    <w:rsid w:val="00097691"/>
    <w:rsid w:val="00097A4D"/>
    <w:rsid w:val="00097B07"/>
    <w:rsid w:val="00097CD5"/>
    <w:rsid w:val="00097D28"/>
    <w:rsid w:val="000A1944"/>
    <w:rsid w:val="000A20AE"/>
    <w:rsid w:val="000A22FB"/>
    <w:rsid w:val="000A2755"/>
    <w:rsid w:val="000A305E"/>
    <w:rsid w:val="000A309F"/>
    <w:rsid w:val="000A3164"/>
    <w:rsid w:val="000A376A"/>
    <w:rsid w:val="000A3833"/>
    <w:rsid w:val="000A4DDE"/>
    <w:rsid w:val="000A4FDC"/>
    <w:rsid w:val="000A52CB"/>
    <w:rsid w:val="000A6052"/>
    <w:rsid w:val="000A647E"/>
    <w:rsid w:val="000A6B79"/>
    <w:rsid w:val="000A6C1E"/>
    <w:rsid w:val="000A74DE"/>
    <w:rsid w:val="000A7D89"/>
    <w:rsid w:val="000A7F0D"/>
    <w:rsid w:val="000A7FE2"/>
    <w:rsid w:val="000B046B"/>
    <w:rsid w:val="000B087B"/>
    <w:rsid w:val="000B096A"/>
    <w:rsid w:val="000B0E24"/>
    <w:rsid w:val="000B0F6B"/>
    <w:rsid w:val="000B1336"/>
    <w:rsid w:val="000B16D1"/>
    <w:rsid w:val="000B19B8"/>
    <w:rsid w:val="000B1CBF"/>
    <w:rsid w:val="000B1FEE"/>
    <w:rsid w:val="000B2535"/>
    <w:rsid w:val="000B269D"/>
    <w:rsid w:val="000B287F"/>
    <w:rsid w:val="000B2A5B"/>
    <w:rsid w:val="000B2D42"/>
    <w:rsid w:val="000B3030"/>
    <w:rsid w:val="000B373C"/>
    <w:rsid w:val="000B3A03"/>
    <w:rsid w:val="000B3C36"/>
    <w:rsid w:val="000B419C"/>
    <w:rsid w:val="000B469B"/>
    <w:rsid w:val="000B4C06"/>
    <w:rsid w:val="000B4F2E"/>
    <w:rsid w:val="000B52A7"/>
    <w:rsid w:val="000B52AE"/>
    <w:rsid w:val="000B559B"/>
    <w:rsid w:val="000B5821"/>
    <w:rsid w:val="000B5845"/>
    <w:rsid w:val="000B5927"/>
    <w:rsid w:val="000B5B66"/>
    <w:rsid w:val="000B5E80"/>
    <w:rsid w:val="000B609B"/>
    <w:rsid w:val="000B6764"/>
    <w:rsid w:val="000B6A56"/>
    <w:rsid w:val="000B7269"/>
    <w:rsid w:val="000B7A71"/>
    <w:rsid w:val="000B7E1C"/>
    <w:rsid w:val="000C0816"/>
    <w:rsid w:val="000C1373"/>
    <w:rsid w:val="000C181C"/>
    <w:rsid w:val="000C19A8"/>
    <w:rsid w:val="000C1BA5"/>
    <w:rsid w:val="000C25DF"/>
    <w:rsid w:val="000C35C2"/>
    <w:rsid w:val="000C3B65"/>
    <w:rsid w:val="000C4269"/>
    <w:rsid w:val="000C4E89"/>
    <w:rsid w:val="000C4EE6"/>
    <w:rsid w:val="000C54C2"/>
    <w:rsid w:val="000C55B2"/>
    <w:rsid w:val="000C56CA"/>
    <w:rsid w:val="000C593C"/>
    <w:rsid w:val="000C594A"/>
    <w:rsid w:val="000C5C73"/>
    <w:rsid w:val="000C5E68"/>
    <w:rsid w:val="000C6D02"/>
    <w:rsid w:val="000C7642"/>
    <w:rsid w:val="000C7CAA"/>
    <w:rsid w:val="000D00FD"/>
    <w:rsid w:val="000D081C"/>
    <w:rsid w:val="000D0DCF"/>
    <w:rsid w:val="000D0EC4"/>
    <w:rsid w:val="000D1B36"/>
    <w:rsid w:val="000D1E65"/>
    <w:rsid w:val="000D1FF2"/>
    <w:rsid w:val="000D2061"/>
    <w:rsid w:val="000D2196"/>
    <w:rsid w:val="000D2311"/>
    <w:rsid w:val="000D2656"/>
    <w:rsid w:val="000D2B96"/>
    <w:rsid w:val="000D2C31"/>
    <w:rsid w:val="000D2FCA"/>
    <w:rsid w:val="000D321D"/>
    <w:rsid w:val="000D33C0"/>
    <w:rsid w:val="000D4E2B"/>
    <w:rsid w:val="000D56E9"/>
    <w:rsid w:val="000D5784"/>
    <w:rsid w:val="000D5953"/>
    <w:rsid w:val="000D5D77"/>
    <w:rsid w:val="000D6BC8"/>
    <w:rsid w:val="000D70B4"/>
    <w:rsid w:val="000D7497"/>
    <w:rsid w:val="000D78CB"/>
    <w:rsid w:val="000D7A37"/>
    <w:rsid w:val="000D7B50"/>
    <w:rsid w:val="000E0272"/>
    <w:rsid w:val="000E0460"/>
    <w:rsid w:val="000E0E08"/>
    <w:rsid w:val="000E1108"/>
    <w:rsid w:val="000E142D"/>
    <w:rsid w:val="000E187D"/>
    <w:rsid w:val="000E2062"/>
    <w:rsid w:val="000E20C1"/>
    <w:rsid w:val="000E21D2"/>
    <w:rsid w:val="000E21E5"/>
    <w:rsid w:val="000E2B38"/>
    <w:rsid w:val="000E2C75"/>
    <w:rsid w:val="000E2D39"/>
    <w:rsid w:val="000E2DBB"/>
    <w:rsid w:val="000E33A5"/>
    <w:rsid w:val="000E3438"/>
    <w:rsid w:val="000E351C"/>
    <w:rsid w:val="000E37D2"/>
    <w:rsid w:val="000E3815"/>
    <w:rsid w:val="000E51CD"/>
    <w:rsid w:val="000E51E4"/>
    <w:rsid w:val="000E567D"/>
    <w:rsid w:val="000E5853"/>
    <w:rsid w:val="000E5866"/>
    <w:rsid w:val="000E5A21"/>
    <w:rsid w:val="000E5BB1"/>
    <w:rsid w:val="000E5DF8"/>
    <w:rsid w:val="000E78B2"/>
    <w:rsid w:val="000E79A0"/>
    <w:rsid w:val="000F0CF8"/>
    <w:rsid w:val="000F149E"/>
    <w:rsid w:val="000F1651"/>
    <w:rsid w:val="000F176D"/>
    <w:rsid w:val="000F216F"/>
    <w:rsid w:val="000F244B"/>
    <w:rsid w:val="000F27B4"/>
    <w:rsid w:val="000F285B"/>
    <w:rsid w:val="000F2CA9"/>
    <w:rsid w:val="000F2DCF"/>
    <w:rsid w:val="000F48C3"/>
    <w:rsid w:val="000F4AD5"/>
    <w:rsid w:val="000F509C"/>
    <w:rsid w:val="000F534B"/>
    <w:rsid w:val="000F573B"/>
    <w:rsid w:val="000F58F9"/>
    <w:rsid w:val="000F5A9B"/>
    <w:rsid w:val="000F5C11"/>
    <w:rsid w:val="000F639E"/>
    <w:rsid w:val="000F686F"/>
    <w:rsid w:val="000F6F63"/>
    <w:rsid w:val="000F714B"/>
    <w:rsid w:val="000F7326"/>
    <w:rsid w:val="000F7813"/>
    <w:rsid w:val="000F7C44"/>
    <w:rsid w:val="001003A5"/>
    <w:rsid w:val="00100FF6"/>
    <w:rsid w:val="001014A6"/>
    <w:rsid w:val="00101D13"/>
    <w:rsid w:val="00102136"/>
    <w:rsid w:val="00102C50"/>
    <w:rsid w:val="0010311C"/>
    <w:rsid w:val="00103336"/>
    <w:rsid w:val="00103B77"/>
    <w:rsid w:val="00104344"/>
    <w:rsid w:val="001047FE"/>
    <w:rsid w:val="001054C1"/>
    <w:rsid w:val="0010592E"/>
    <w:rsid w:val="00105A43"/>
    <w:rsid w:val="00106257"/>
    <w:rsid w:val="00106336"/>
    <w:rsid w:val="001077CA"/>
    <w:rsid w:val="0010789A"/>
    <w:rsid w:val="00107C7C"/>
    <w:rsid w:val="00107E71"/>
    <w:rsid w:val="001100B5"/>
    <w:rsid w:val="001100BA"/>
    <w:rsid w:val="00110453"/>
    <w:rsid w:val="00110455"/>
    <w:rsid w:val="0011132D"/>
    <w:rsid w:val="001115C2"/>
    <w:rsid w:val="00111A2F"/>
    <w:rsid w:val="00111F7D"/>
    <w:rsid w:val="00112829"/>
    <w:rsid w:val="00112DB9"/>
    <w:rsid w:val="00112EEC"/>
    <w:rsid w:val="00112FCA"/>
    <w:rsid w:val="00113446"/>
    <w:rsid w:val="001134DF"/>
    <w:rsid w:val="00113DBE"/>
    <w:rsid w:val="0011424E"/>
    <w:rsid w:val="0011431B"/>
    <w:rsid w:val="00114822"/>
    <w:rsid w:val="00115012"/>
    <w:rsid w:val="001154DD"/>
    <w:rsid w:val="0011565C"/>
    <w:rsid w:val="00115980"/>
    <w:rsid w:val="00115AC3"/>
    <w:rsid w:val="00115C18"/>
    <w:rsid w:val="00116458"/>
    <w:rsid w:val="00116478"/>
    <w:rsid w:val="00116510"/>
    <w:rsid w:val="0011673C"/>
    <w:rsid w:val="00116CDF"/>
    <w:rsid w:val="001174A8"/>
    <w:rsid w:val="00117E5C"/>
    <w:rsid w:val="001200F1"/>
    <w:rsid w:val="001207C6"/>
    <w:rsid w:val="00120AB2"/>
    <w:rsid w:val="00121178"/>
    <w:rsid w:val="00121179"/>
    <w:rsid w:val="0012132A"/>
    <w:rsid w:val="00121862"/>
    <w:rsid w:val="0012188E"/>
    <w:rsid w:val="001219AA"/>
    <w:rsid w:val="00121BFD"/>
    <w:rsid w:val="001220E9"/>
    <w:rsid w:val="00122356"/>
    <w:rsid w:val="00123188"/>
    <w:rsid w:val="00123616"/>
    <w:rsid w:val="001236A8"/>
    <w:rsid w:val="00123A51"/>
    <w:rsid w:val="00123C30"/>
    <w:rsid w:val="00123CF0"/>
    <w:rsid w:val="00123D6B"/>
    <w:rsid w:val="00123E3C"/>
    <w:rsid w:val="00124059"/>
    <w:rsid w:val="00124C35"/>
    <w:rsid w:val="00124E49"/>
    <w:rsid w:val="00125227"/>
    <w:rsid w:val="00125325"/>
    <w:rsid w:val="001259FC"/>
    <w:rsid w:val="00125C23"/>
    <w:rsid w:val="00125D77"/>
    <w:rsid w:val="00125E2C"/>
    <w:rsid w:val="00125F7D"/>
    <w:rsid w:val="0012602B"/>
    <w:rsid w:val="0012645B"/>
    <w:rsid w:val="001265E9"/>
    <w:rsid w:val="00126B6C"/>
    <w:rsid w:val="00126C7C"/>
    <w:rsid w:val="00126CD3"/>
    <w:rsid w:val="00126DA4"/>
    <w:rsid w:val="00126E60"/>
    <w:rsid w:val="00126F30"/>
    <w:rsid w:val="001272AD"/>
    <w:rsid w:val="001272C5"/>
    <w:rsid w:val="001275A6"/>
    <w:rsid w:val="001305A6"/>
    <w:rsid w:val="001307B4"/>
    <w:rsid w:val="00130B94"/>
    <w:rsid w:val="00130C61"/>
    <w:rsid w:val="00130E86"/>
    <w:rsid w:val="00131266"/>
    <w:rsid w:val="00131976"/>
    <w:rsid w:val="00131ACC"/>
    <w:rsid w:val="00132940"/>
    <w:rsid w:val="00132C78"/>
    <w:rsid w:val="00132D5B"/>
    <w:rsid w:val="00132F04"/>
    <w:rsid w:val="00132F99"/>
    <w:rsid w:val="001333C3"/>
    <w:rsid w:val="00133612"/>
    <w:rsid w:val="001336F2"/>
    <w:rsid w:val="00133F0E"/>
    <w:rsid w:val="0013419A"/>
    <w:rsid w:val="0013427F"/>
    <w:rsid w:val="0013463C"/>
    <w:rsid w:val="001352CD"/>
    <w:rsid w:val="00135A8A"/>
    <w:rsid w:val="00136139"/>
    <w:rsid w:val="0013619E"/>
    <w:rsid w:val="001364B7"/>
    <w:rsid w:val="001373D4"/>
    <w:rsid w:val="00137787"/>
    <w:rsid w:val="00137AE4"/>
    <w:rsid w:val="00141230"/>
    <w:rsid w:val="00142121"/>
    <w:rsid w:val="00142289"/>
    <w:rsid w:val="001423AC"/>
    <w:rsid w:val="0014244E"/>
    <w:rsid w:val="00142612"/>
    <w:rsid w:val="00143726"/>
    <w:rsid w:val="00143C32"/>
    <w:rsid w:val="001444CA"/>
    <w:rsid w:val="001445BD"/>
    <w:rsid w:val="00144B10"/>
    <w:rsid w:val="00144E50"/>
    <w:rsid w:val="00144F13"/>
    <w:rsid w:val="00145478"/>
    <w:rsid w:val="001458FF"/>
    <w:rsid w:val="00145EE0"/>
    <w:rsid w:val="00145F7E"/>
    <w:rsid w:val="00147E46"/>
    <w:rsid w:val="00150901"/>
    <w:rsid w:val="00151CD6"/>
    <w:rsid w:val="00151D7B"/>
    <w:rsid w:val="00151E48"/>
    <w:rsid w:val="00152305"/>
    <w:rsid w:val="00152422"/>
    <w:rsid w:val="00152A42"/>
    <w:rsid w:val="00152FBE"/>
    <w:rsid w:val="0015341D"/>
    <w:rsid w:val="0015374D"/>
    <w:rsid w:val="001537D4"/>
    <w:rsid w:val="00153C69"/>
    <w:rsid w:val="00154427"/>
    <w:rsid w:val="00154550"/>
    <w:rsid w:val="001545C6"/>
    <w:rsid w:val="001546CE"/>
    <w:rsid w:val="001548DE"/>
    <w:rsid w:val="001548E3"/>
    <w:rsid w:val="00154A07"/>
    <w:rsid w:val="00155345"/>
    <w:rsid w:val="00155549"/>
    <w:rsid w:val="001558DA"/>
    <w:rsid w:val="00155FD0"/>
    <w:rsid w:val="00156071"/>
    <w:rsid w:val="0015622E"/>
    <w:rsid w:val="00156454"/>
    <w:rsid w:val="001564A9"/>
    <w:rsid w:val="001564C2"/>
    <w:rsid w:val="00156510"/>
    <w:rsid w:val="00156A9B"/>
    <w:rsid w:val="001572EF"/>
    <w:rsid w:val="0015734B"/>
    <w:rsid w:val="001573B0"/>
    <w:rsid w:val="00157411"/>
    <w:rsid w:val="001578EE"/>
    <w:rsid w:val="00157DEF"/>
    <w:rsid w:val="00157E7D"/>
    <w:rsid w:val="0016014F"/>
    <w:rsid w:val="001601C1"/>
    <w:rsid w:val="00160411"/>
    <w:rsid w:val="00160BF5"/>
    <w:rsid w:val="00161517"/>
    <w:rsid w:val="00161815"/>
    <w:rsid w:val="00161888"/>
    <w:rsid w:val="00162995"/>
    <w:rsid w:val="00162CEA"/>
    <w:rsid w:val="00163A3E"/>
    <w:rsid w:val="001641A7"/>
    <w:rsid w:val="00164F8B"/>
    <w:rsid w:val="00164FEF"/>
    <w:rsid w:val="001651AF"/>
    <w:rsid w:val="001651DF"/>
    <w:rsid w:val="00165560"/>
    <w:rsid w:val="001661D2"/>
    <w:rsid w:val="00166A4C"/>
    <w:rsid w:val="00166C1C"/>
    <w:rsid w:val="00166EB2"/>
    <w:rsid w:val="001672B9"/>
    <w:rsid w:val="001675FA"/>
    <w:rsid w:val="001676A0"/>
    <w:rsid w:val="001700BC"/>
    <w:rsid w:val="0017018A"/>
    <w:rsid w:val="001704C2"/>
    <w:rsid w:val="00170540"/>
    <w:rsid w:val="001705F7"/>
    <w:rsid w:val="00170A63"/>
    <w:rsid w:val="00170EE5"/>
    <w:rsid w:val="00171184"/>
    <w:rsid w:val="001713AE"/>
    <w:rsid w:val="00171A29"/>
    <w:rsid w:val="0017229B"/>
    <w:rsid w:val="001724A1"/>
    <w:rsid w:val="0017270B"/>
    <w:rsid w:val="001728A0"/>
    <w:rsid w:val="00172DA5"/>
    <w:rsid w:val="001735A5"/>
    <w:rsid w:val="0017362A"/>
    <w:rsid w:val="00173D9B"/>
    <w:rsid w:val="0017423D"/>
    <w:rsid w:val="001749A1"/>
    <w:rsid w:val="00174CF3"/>
    <w:rsid w:val="001751F6"/>
    <w:rsid w:val="001753F8"/>
    <w:rsid w:val="00175A7A"/>
    <w:rsid w:val="0017631F"/>
    <w:rsid w:val="001763E1"/>
    <w:rsid w:val="00176438"/>
    <w:rsid w:val="00176C29"/>
    <w:rsid w:val="00176CED"/>
    <w:rsid w:val="00176EE3"/>
    <w:rsid w:val="0017770A"/>
    <w:rsid w:val="0017792E"/>
    <w:rsid w:val="00177DFC"/>
    <w:rsid w:val="00180009"/>
    <w:rsid w:val="0018081E"/>
    <w:rsid w:val="0018087A"/>
    <w:rsid w:val="00180BCD"/>
    <w:rsid w:val="001813F2"/>
    <w:rsid w:val="0018153E"/>
    <w:rsid w:val="0018154F"/>
    <w:rsid w:val="00181595"/>
    <w:rsid w:val="0018170D"/>
    <w:rsid w:val="001819DC"/>
    <w:rsid w:val="00181B72"/>
    <w:rsid w:val="00181D7A"/>
    <w:rsid w:val="00182891"/>
    <w:rsid w:val="001832A8"/>
    <w:rsid w:val="0018348F"/>
    <w:rsid w:val="001834C5"/>
    <w:rsid w:val="00183DB9"/>
    <w:rsid w:val="00184F73"/>
    <w:rsid w:val="001853CA"/>
    <w:rsid w:val="0018564A"/>
    <w:rsid w:val="00185D51"/>
    <w:rsid w:val="00185EA7"/>
    <w:rsid w:val="001863DF"/>
    <w:rsid w:val="0018673E"/>
    <w:rsid w:val="00186C46"/>
    <w:rsid w:val="00187D0D"/>
    <w:rsid w:val="00190368"/>
    <w:rsid w:val="00190A58"/>
    <w:rsid w:val="00190BB2"/>
    <w:rsid w:val="00190D07"/>
    <w:rsid w:val="00190E41"/>
    <w:rsid w:val="00191320"/>
    <w:rsid w:val="00191539"/>
    <w:rsid w:val="00191670"/>
    <w:rsid w:val="00191942"/>
    <w:rsid w:val="0019195E"/>
    <w:rsid w:val="0019212A"/>
    <w:rsid w:val="001925D0"/>
    <w:rsid w:val="0019262B"/>
    <w:rsid w:val="00193003"/>
    <w:rsid w:val="001933E1"/>
    <w:rsid w:val="00194D44"/>
    <w:rsid w:val="00194E87"/>
    <w:rsid w:val="0019537B"/>
    <w:rsid w:val="001953D9"/>
    <w:rsid w:val="0019557E"/>
    <w:rsid w:val="0019560E"/>
    <w:rsid w:val="00195D9F"/>
    <w:rsid w:val="0019610A"/>
    <w:rsid w:val="00196117"/>
    <w:rsid w:val="0019639D"/>
    <w:rsid w:val="0019699E"/>
    <w:rsid w:val="00196D38"/>
    <w:rsid w:val="00196E7B"/>
    <w:rsid w:val="0019772B"/>
    <w:rsid w:val="00197BD9"/>
    <w:rsid w:val="00197E0C"/>
    <w:rsid w:val="001A017A"/>
    <w:rsid w:val="001A067A"/>
    <w:rsid w:val="001A1097"/>
    <w:rsid w:val="001A114D"/>
    <w:rsid w:val="001A1F01"/>
    <w:rsid w:val="001A20B6"/>
    <w:rsid w:val="001A217C"/>
    <w:rsid w:val="001A239C"/>
    <w:rsid w:val="001A2D29"/>
    <w:rsid w:val="001A2DB1"/>
    <w:rsid w:val="001A2E06"/>
    <w:rsid w:val="001A3B5B"/>
    <w:rsid w:val="001A3D64"/>
    <w:rsid w:val="001A42A6"/>
    <w:rsid w:val="001A42E8"/>
    <w:rsid w:val="001A54C2"/>
    <w:rsid w:val="001A5613"/>
    <w:rsid w:val="001A5F9E"/>
    <w:rsid w:val="001A5FB9"/>
    <w:rsid w:val="001A610F"/>
    <w:rsid w:val="001A627A"/>
    <w:rsid w:val="001A665D"/>
    <w:rsid w:val="001A6768"/>
    <w:rsid w:val="001A690D"/>
    <w:rsid w:val="001A6C50"/>
    <w:rsid w:val="001A736E"/>
    <w:rsid w:val="001A78C1"/>
    <w:rsid w:val="001A7D94"/>
    <w:rsid w:val="001B028C"/>
    <w:rsid w:val="001B0760"/>
    <w:rsid w:val="001B1185"/>
    <w:rsid w:val="001B1322"/>
    <w:rsid w:val="001B1889"/>
    <w:rsid w:val="001B21CB"/>
    <w:rsid w:val="001B2502"/>
    <w:rsid w:val="001B2B76"/>
    <w:rsid w:val="001B2F72"/>
    <w:rsid w:val="001B359C"/>
    <w:rsid w:val="001B3606"/>
    <w:rsid w:val="001B36F0"/>
    <w:rsid w:val="001B380E"/>
    <w:rsid w:val="001B3F96"/>
    <w:rsid w:val="001B45E3"/>
    <w:rsid w:val="001B4774"/>
    <w:rsid w:val="001B4946"/>
    <w:rsid w:val="001B4FC0"/>
    <w:rsid w:val="001B5349"/>
    <w:rsid w:val="001B5598"/>
    <w:rsid w:val="001B607A"/>
    <w:rsid w:val="001B624E"/>
    <w:rsid w:val="001B6449"/>
    <w:rsid w:val="001B69F1"/>
    <w:rsid w:val="001B6A97"/>
    <w:rsid w:val="001B70FC"/>
    <w:rsid w:val="001B72CF"/>
    <w:rsid w:val="001B7B78"/>
    <w:rsid w:val="001B7E91"/>
    <w:rsid w:val="001C009A"/>
    <w:rsid w:val="001C0163"/>
    <w:rsid w:val="001C028F"/>
    <w:rsid w:val="001C053B"/>
    <w:rsid w:val="001C0A3F"/>
    <w:rsid w:val="001C0AC7"/>
    <w:rsid w:val="001C0CCD"/>
    <w:rsid w:val="001C0DFB"/>
    <w:rsid w:val="001C10AC"/>
    <w:rsid w:val="001C14E2"/>
    <w:rsid w:val="001C175E"/>
    <w:rsid w:val="001C18D2"/>
    <w:rsid w:val="001C1915"/>
    <w:rsid w:val="001C25A5"/>
    <w:rsid w:val="001C2702"/>
    <w:rsid w:val="001C430D"/>
    <w:rsid w:val="001C4857"/>
    <w:rsid w:val="001C488C"/>
    <w:rsid w:val="001C4D14"/>
    <w:rsid w:val="001C51E2"/>
    <w:rsid w:val="001C5566"/>
    <w:rsid w:val="001C570F"/>
    <w:rsid w:val="001C58E3"/>
    <w:rsid w:val="001C5E5D"/>
    <w:rsid w:val="001C60CE"/>
    <w:rsid w:val="001C61D9"/>
    <w:rsid w:val="001C6237"/>
    <w:rsid w:val="001C62B0"/>
    <w:rsid w:val="001C67C4"/>
    <w:rsid w:val="001C6DEE"/>
    <w:rsid w:val="001C776C"/>
    <w:rsid w:val="001C7D53"/>
    <w:rsid w:val="001D032B"/>
    <w:rsid w:val="001D05E3"/>
    <w:rsid w:val="001D0A5B"/>
    <w:rsid w:val="001D18F4"/>
    <w:rsid w:val="001D1C81"/>
    <w:rsid w:val="001D1D4A"/>
    <w:rsid w:val="001D2138"/>
    <w:rsid w:val="001D2A9C"/>
    <w:rsid w:val="001D30F2"/>
    <w:rsid w:val="001D31F0"/>
    <w:rsid w:val="001D3209"/>
    <w:rsid w:val="001D3472"/>
    <w:rsid w:val="001D394D"/>
    <w:rsid w:val="001D4C3E"/>
    <w:rsid w:val="001D5069"/>
    <w:rsid w:val="001D514E"/>
    <w:rsid w:val="001D5CC4"/>
    <w:rsid w:val="001D692E"/>
    <w:rsid w:val="001D69A0"/>
    <w:rsid w:val="001D6F3E"/>
    <w:rsid w:val="001D74A5"/>
    <w:rsid w:val="001D76EA"/>
    <w:rsid w:val="001E002D"/>
    <w:rsid w:val="001E0546"/>
    <w:rsid w:val="001E0F7B"/>
    <w:rsid w:val="001E107F"/>
    <w:rsid w:val="001E13CE"/>
    <w:rsid w:val="001E16A2"/>
    <w:rsid w:val="001E1C0A"/>
    <w:rsid w:val="001E1DC2"/>
    <w:rsid w:val="001E21FB"/>
    <w:rsid w:val="001E2392"/>
    <w:rsid w:val="001E23EA"/>
    <w:rsid w:val="001E253C"/>
    <w:rsid w:val="001E2659"/>
    <w:rsid w:val="001E2A27"/>
    <w:rsid w:val="001E3046"/>
    <w:rsid w:val="001E330E"/>
    <w:rsid w:val="001E3AFD"/>
    <w:rsid w:val="001E3F9A"/>
    <w:rsid w:val="001E4274"/>
    <w:rsid w:val="001E4337"/>
    <w:rsid w:val="001E4410"/>
    <w:rsid w:val="001E4441"/>
    <w:rsid w:val="001E4477"/>
    <w:rsid w:val="001E44CC"/>
    <w:rsid w:val="001E4DBB"/>
    <w:rsid w:val="001E59F5"/>
    <w:rsid w:val="001E6E72"/>
    <w:rsid w:val="001E6F30"/>
    <w:rsid w:val="001E705D"/>
    <w:rsid w:val="001F01BA"/>
    <w:rsid w:val="001F073A"/>
    <w:rsid w:val="001F08D0"/>
    <w:rsid w:val="001F091C"/>
    <w:rsid w:val="001F0FBD"/>
    <w:rsid w:val="001F10D7"/>
    <w:rsid w:val="001F118A"/>
    <w:rsid w:val="001F18B0"/>
    <w:rsid w:val="001F2247"/>
    <w:rsid w:val="001F250E"/>
    <w:rsid w:val="001F2E82"/>
    <w:rsid w:val="001F43DC"/>
    <w:rsid w:val="001F4ABB"/>
    <w:rsid w:val="001F4CAF"/>
    <w:rsid w:val="001F5643"/>
    <w:rsid w:val="001F69DD"/>
    <w:rsid w:val="001F6E76"/>
    <w:rsid w:val="001F749E"/>
    <w:rsid w:val="001F7581"/>
    <w:rsid w:val="001F78C5"/>
    <w:rsid w:val="00200235"/>
    <w:rsid w:val="002007F5"/>
    <w:rsid w:val="00200CF1"/>
    <w:rsid w:val="00200D0B"/>
    <w:rsid w:val="00201088"/>
    <w:rsid w:val="002012A8"/>
    <w:rsid w:val="00201804"/>
    <w:rsid w:val="00201DE5"/>
    <w:rsid w:val="002025D9"/>
    <w:rsid w:val="0020260D"/>
    <w:rsid w:val="0020279C"/>
    <w:rsid w:val="00202E88"/>
    <w:rsid w:val="00202EEF"/>
    <w:rsid w:val="0020305F"/>
    <w:rsid w:val="0020352E"/>
    <w:rsid w:val="002037B6"/>
    <w:rsid w:val="00203835"/>
    <w:rsid w:val="00203AA7"/>
    <w:rsid w:val="00203E31"/>
    <w:rsid w:val="00203ED8"/>
    <w:rsid w:val="002045A9"/>
    <w:rsid w:val="0020488F"/>
    <w:rsid w:val="0020491F"/>
    <w:rsid w:val="00204A83"/>
    <w:rsid w:val="00204ED3"/>
    <w:rsid w:val="002051D7"/>
    <w:rsid w:val="002051E6"/>
    <w:rsid w:val="00205988"/>
    <w:rsid w:val="002059A0"/>
    <w:rsid w:val="00205EDB"/>
    <w:rsid w:val="00206362"/>
    <w:rsid w:val="0020654B"/>
    <w:rsid w:val="00206A9C"/>
    <w:rsid w:val="00206B09"/>
    <w:rsid w:val="00206CC2"/>
    <w:rsid w:val="00206E47"/>
    <w:rsid w:val="00206FD2"/>
    <w:rsid w:val="0020749C"/>
    <w:rsid w:val="00207A67"/>
    <w:rsid w:val="00207B1A"/>
    <w:rsid w:val="00207C3B"/>
    <w:rsid w:val="00210D01"/>
    <w:rsid w:val="002123DB"/>
    <w:rsid w:val="00212676"/>
    <w:rsid w:val="00212682"/>
    <w:rsid w:val="00212933"/>
    <w:rsid w:val="00213402"/>
    <w:rsid w:val="00213671"/>
    <w:rsid w:val="002138DA"/>
    <w:rsid w:val="00213A40"/>
    <w:rsid w:val="00213CA1"/>
    <w:rsid w:val="0021408F"/>
    <w:rsid w:val="00214737"/>
    <w:rsid w:val="00214856"/>
    <w:rsid w:val="002151DF"/>
    <w:rsid w:val="00215645"/>
    <w:rsid w:val="00215B69"/>
    <w:rsid w:val="00215EA7"/>
    <w:rsid w:val="00216287"/>
    <w:rsid w:val="00216296"/>
    <w:rsid w:val="002165BD"/>
    <w:rsid w:val="002168D5"/>
    <w:rsid w:val="00216B8E"/>
    <w:rsid w:val="0021703D"/>
    <w:rsid w:val="00217F26"/>
    <w:rsid w:val="00220151"/>
    <w:rsid w:val="00220296"/>
    <w:rsid w:val="002207A9"/>
    <w:rsid w:val="00220C56"/>
    <w:rsid w:val="00221213"/>
    <w:rsid w:val="0022167D"/>
    <w:rsid w:val="00221AA6"/>
    <w:rsid w:val="002229E0"/>
    <w:rsid w:val="00222A13"/>
    <w:rsid w:val="00222BCB"/>
    <w:rsid w:val="00222C4A"/>
    <w:rsid w:val="002239DF"/>
    <w:rsid w:val="00223EF4"/>
    <w:rsid w:val="0022420B"/>
    <w:rsid w:val="00224762"/>
    <w:rsid w:val="0022499B"/>
    <w:rsid w:val="00224C66"/>
    <w:rsid w:val="00224ED3"/>
    <w:rsid w:val="00224FCC"/>
    <w:rsid w:val="00225BDA"/>
    <w:rsid w:val="00225F77"/>
    <w:rsid w:val="00226205"/>
    <w:rsid w:val="00226675"/>
    <w:rsid w:val="00226699"/>
    <w:rsid w:val="00226C8C"/>
    <w:rsid w:val="002270B5"/>
    <w:rsid w:val="002277BD"/>
    <w:rsid w:val="00227948"/>
    <w:rsid w:val="00227A00"/>
    <w:rsid w:val="0023005B"/>
    <w:rsid w:val="00230179"/>
    <w:rsid w:val="00230733"/>
    <w:rsid w:val="00230DEA"/>
    <w:rsid w:val="00230F81"/>
    <w:rsid w:val="00231EF6"/>
    <w:rsid w:val="0023211E"/>
    <w:rsid w:val="0023299B"/>
    <w:rsid w:val="00232B92"/>
    <w:rsid w:val="00232C84"/>
    <w:rsid w:val="00232D3D"/>
    <w:rsid w:val="00232FBF"/>
    <w:rsid w:val="002338B4"/>
    <w:rsid w:val="00233A9A"/>
    <w:rsid w:val="00233B95"/>
    <w:rsid w:val="0023439C"/>
    <w:rsid w:val="002348D9"/>
    <w:rsid w:val="00234B57"/>
    <w:rsid w:val="002359E6"/>
    <w:rsid w:val="002361F1"/>
    <w:rsid w:val="00236445"/>
    <w:rsid w:val="00236B78"/>
    <w:rsid w:val="00236D2D"/>
    <w:rsid w:val="00236F6E"/>
    <w:rsid w:val="0023775C"/>
    <w:rsid w:val="00237A40"/>
    <w:rsid w:val="00237AD0"/>
    <w:rsid w:val="00237EC1"/>
    <w:rsid w:val="0024023A"/>
    <w:rsid w:val="0024049C"/>
    <w:rsid w:val="002411B0"/>
    <w:rsid w:val="00241205"/>
    <w:rsid w:val="00241739"/>
    <w:rsid w:val="0024259A"/>
    <w:rsid w:val="00243155"/>
    <w:rsid w:val="002433BB"/>
    <w:rsid w:val="00243890"/>
    <w:rsid w:val="00244175"/>
    <w:rsid w:val="00244300"/>
    <w:rsid w:val="002443FF"/>
    <w:rsid w:val="00244E3D"/>
    <w:rsid w:val="00244F96"/>
    <w:rsid w:val="0024501C"/>
    <w:rsid w:val="002454A3"/>
    <w:rsid w:val="00245559"/>
    <w:rsid w:val="002455B2"/>
    <w:rsid w:val="002456AC"/>
    <w:rsid w:val="00246293"/>
    <w:rsid w:val="00246346"/>
    <w:rsid w:val="00246AB5"/>
    <w:rsid w:val="00246DC5"/>
    <w:rsid w:val="00247242"/>
    <w:rsid w:val="0024726E"/>
    <w:rsid w:val="0024785A"/>
    <w:rsid w:val="0024797F"/>
    <w:rsid w:val="002479A3"/>
    <w:rsid w:val="00247E28"/>
    <w:rsid w:val="00250093"/>
    <w:rsid w:val="002500DD"/>
    <w:rsid w:val="00250182"/>
    <w:rsid w:val="00250393"/>
    <w:rsid w:val="002505E2"/>
    <w:rsid w:val="00251BE6"/>
    <w:rsid w:val="002521DE"/>
    <w:rsid w:val="0025248D"/>
    <w:rsid w:val="00252536"/>
    <w:rsid w:val="0025260F"/>
    <w:rsid w:val="00252C97"/>
    <w:rsid w:val="002531D2"/>
    <w:rsid w:val="002536FC"/>
    <w:rsid w:val="002538EC"/>
    <w:rsid w:val="00253B20"/>
    <w:rsid w:val="00253D9E"/>
    <w:rsid w:val="002542AF"/>
    <w:rsid w:val="002543F9"/>
    <w:rsid w:val="00254827"/>
    <w:rsid w:val="00254C0B"/>
    <w:rsid w:val="00256085"/>
    <w:rsid w:val="002564BC"/>
    <w:rsid w:val="002568A7"/>
    <w:rsid w:val="002569B8"/>
    <w:rsid w:val="0025711E"/>
    <w:rsid w:val="002575BA"/>
    <w:rsid w:val="002604CA"/>
    <w:rsid w:val="00260F40"/>
    <w:rsid w:val="00261198"/>
    <w:rsid w:val="00261671"/>
    <w:rsid w:val="00261A30"/>
    <w:rsid w:val="00262999"/>
    <w:rsid w:val="0026385E"/>
    <w:rsid w:val="002638EA"/>
    <w:rsid w:val="0026464C"/>
    <w:rsid w:val="00264DF2"/>
    <w:rsid w:val="002651B8"/>
    <w:rsid w:val="00265CB0"/>
    <w:rsid w:val="00265EF2"/>
    <w:rsid w:val="00266877"/>
    <w:rsid w:val="00266AA2"/>
    <w:rsid w:val="00266C3E"/>
    <w:rsid w:val="00266FA3"/>
    <w:rsid w:val="002671BA"/>
    <w:rsid w:val="00267D7C"/>
    <w:rsid w:val="0027024C"/>
    <w:rsid w:val="00270269"/>
    <w:rsid w:val="00271250"/>
    <w:rsid w:val="00271379"/>
    <w:rsid w:val="00271708"/>
    <w:rsid w:val="00271A5E"/>
    <w:rsid w:val="0027231D"/>
    <w:rsid w:val="0027236C"/>
    <w:rsid w:val="00272BBB"/>
    <w:rsid w:val="00272C43"/>
    <w:rsid w:val="00273106"/>
    <w:rsid w:val="00273194"/>
    <w:rsid w:val="002733F5"/>
    <w:rsid w:val="00273804"/>
    <w:rsid w:val="00274129"/>
    <w:rsid w:val="00274B89"/>
    <w:rsid w:val="002755B8"/>
    <w:rsid w:val="00275FBB"/>
    <w:rsid w:val="002766B3"/>
    <w:rsid w:val="00277259"/>
    <w:rsid w:val="00277362"/>
    <w:rsid w:val="0027740A"/>
    <w:rsid w:val="002779BC"/>
    <w:rsid w:val="002809B5"/>
    <w:rsid w:val="002809CF"/>
    <w:rsid w:val="00280B5A"/>
    <w:rsid w:val="00281B13"/>
    <w:rsid w:val="00282179"/>
    <w:rsid w:val="002823A5"/>
    <w:rsid w:val="0028252E"/>
    <w:rsid w:val="00282CC4"/>
    <w:rsid w:val="00283286"/>
    <w:rsid w:val="002833F4"/>
    <w:rsid w:val="0028380F"/>
    <w:rsid w:val="002838C0"/>
    <w:rsid w:val="00283937"/>
    <w:rsid w:val="002840B8"/>
    <w:rsid w:val="00284120"/>
    <w:rsid w:val="002842D2"/>
    <w:rsid w:val="00284624"/>
    <w:rsid w:val="00284BD8"/>
    <w:rsid w:val="00284DA5"/>
    <w:rsid w:val="00284F00"/>
    <w:rsid w:val="0028596E"/>
    <w:rsid w:val="00285B92"/>
    <w:rsid w:val="00285D98"/>
    <w:rsid w:val="00286540"/>
    <w:rsid w:val="00286D36"/>
    <w:rsid w:val="00286F7C"/>
    <w:rsid w:val="002870C5"/>
    <w:rsid w:val="00287565"/>
    <w:rsid w:val="0028790A"/>
    <w:rsid w:val="00287BB0"/>
    <w:rsid w:val="002901FB"/>
    <w:rsid w:val="002903D1"/>
    <w:rsid w:val="0029078D"/>
    <w:rsid w:val="002907DB"/>
    <w:rsid w:val="00290C67"/>
    <w:rsid w:val="00291154"/>
    <w:rsid w:val="0029115E"/>
    <w:rsid w:val="00291491"/>
    <w:rsid w:val="002916B5"/>
    <w:rsid w:val="0029170C"/>
    <w:rsid w:val="00292648"/>
    <w:rsid w:val="00292B9A"/>
    <w:rsid w:val="00292D01"/>
    <w:rsid w:val="00292D71"/>
    <w:rsid w:val="002932C2"/>
    <w:rsid w:val="002932CE"/>
    <w:rsid w:val="00294464"/>
    <w:rsid w:val="00294905"/>
    <w:rsid w:val="00294A52"/>
    <w:rsid w:val="00295544"/>
    <w:rsid w:val="00295676"/>
    <w:rsid w:val="002956C1"/>
    <w:rsid w:val="002957AC"/>
    <w:rsid w:val="00295D4F"/>
    <w:rsid w:val="00295F1D"/>
    <w:rsid w:val="00295F67"/>
    <w:rsid w:val="00296681"/>
    <w:rsid w:val="002969C4"/>
    <w:rsid w:val="00296AF2"/>
    <w:rsid w:val="00296C24"/>
    <w:rsid w:val="00296CAA"/>
    <w:rsid w:val="00296CC6"/>
    <w:rsid w:val="002978E2"/>
    <w:rsid w:val="00297AD4"/>
    <w:rsid w:val="00297B45"/>
    <w:rsid w:val="00297EA6"/>
    <w:rsid w:val="002A0121"/>
    <w:rsid w:val="002A027C"/>
    <w:rsid w:val="002A03C0"/>
    <w:rsid w:val="002A0509"/>
    <w:rsid w:val="002A0567"/>
    <w:rsid w:val="002A07E6"/>
    <w:rsid w:val="002A08EF"/>
    <w:rsid w:val="002A0CCF"/>
    <w:rsid w:val="002A101A"/>
    <w:rsid w:val="002A10C3"/>
    <w:rsid w:val="002A1725"/>
    <w:rsid w:val="002A182D"/>
    <w:rsid w:val="002A1E7E"/>
    <w:rsid w:val="002A2AFA"/>
    <w:rsid w:val="002A2B34"/>
    <w:rsid w:val="002A326F"/>
    <w:rsid w:val="002A34D3"/>
    <w:rsid w:val="002A3612"/>
    <w:rsid w:val="002A37EE"/>
    <w:rsid w:val="002A3E71"/>
    <w:rsid w:val="002A44BC"/>
    <w:rsid w:val="002A49BA"/>
    <w:rsid w:val="002A5073"/>
    <w:rsid w:val="002A56A4"/>
    <w:rsid w:val="002A59C7"/>
    <w:rsid w:val="002A608C"/>
    <w:rsid w:val="002A615B"/>
    <w:rsid w:val="002A6802"/>
    <w:rsid w:val="002A7EF1"/>
    <w:rsid w:val="002B0E93"/>
    <w:rsid w:val="002B1262"/>
    <w:rsid w:val="002B18E8"/>
    <w:rsid w:val="002B1D44"/>
    <w:rsid w:val="002B22FC"/>
    <w:rsid w:val="002B2481"/>
    <w:rsid w:val="002B32BE"/>
    <w:rsid w:val="002B3DA4"/>
    <w:rsid w:val="002B40BA"/>
    <w:rsid w:val="002B4939"/>
    <w:rsid w:val="002B4E10"/>
    <w:rsid w:val="002B509A"/>
    <w:rsid w:val="002B52FD"/>
    <w:rsid w:val="002B5413"/>
    <w:rsid w:val="002B557F"/>
    <w:rsid w:val="002B5AEC"/>
    <w:rsid w:val="002B654E"/>
    <w:rsid w:val="002B6933"/>
    <w:rsid w:val="002B6C8E"/>
    <w:rsid w:val="002B751F"/>
    <w:rsid w:val="002B7BD4"/>
    <w:rsid w:val="002B7D18"/>
    <w:rsid w:val="002C0387"/>
    <w:rsid w:val="002C162E"/>
    <w:rsid w:val="002C168A"/>
    <w:rsid w:val="002C250B"/>
    <w:rsid w:val="002C25B6"/>
    <w:rsid w:val="002C27F9"/>
    <w:rsid w:val="002C2BFC"/>
    <w:rsid w:val="002C2FF3"/>
    <w:rsid w:val="002C3251"/>
    <w:rsid w:val="002C3608"/>
    <w:rsid w:val="002C38D7"/>
    <w:rsid w:val="002C39A5"/>
    <w:rsid w:val="002C3E02"/>
    <w:rsid w:val="002C3E42"/>
    <w:rsid w:val="002C408C"/>
    <w:rsid w:val="002C4169"/>
    <w:rsid w:val="002C4729"/>
    <w:rsid w:val="002C549C"/>
    <w:rsid w:val="002C57B1"/>
    <w:rsid w:val="002C5AE1"/>
    <w:rsid w:val="002C5DEA"/>
    <w:rsid w:val="002C66BD"/>
    <w:rsid w:val="002C6765"/>
    <w:rsid w:val="002C6E38"/>
    <w:rsid w:val="002C7D7B"/>
    <w:rsid w:val="002D045E"/>
    <w:rsid w:val="002D0740"/>
    <w:rsid w:val="002D0A6F"/>
    <w:rsid w:val="002D0DE1"/>
    <w:rsid w:val="002D1364"/>
    <w:rsid w:val="002D1421"/>
    <w:rsid w:val="002D17E5"/>
    <w:rsid w:val="002D189D"/>
    <w:rsid w:val="002D19A9"/>
    <w:rsid w:val="002D19E0"/>
    <w:rsid w:val="002D1AEB"/>
    <w:rsid w:val="002D1CB2"/>
    <w:rsid w:val="002D1CE0"/>
    <w:rsid w:val="002D2006"/>
    <w:rsid w:val="002D2BA5"/>
    <w:rsid w:val="002D2BB2"/>
    <w:rsid w:val="002D2BC7"/>
    <w:rsid w:val="002D37E8"/>
    <w:rsid w:val="002D3BF7"/>
    <w:rsid w:val="002D3D78"/>
    <w:rsid w:val="002D3EAE"/>
    <w:rsid w:val="002D455C"/>
    <w:rsid w:val="002D45C9"/>
    <w:rsid w:val="002D466E"/>
    <w:rsid w:val="002D55A0"/>
    <w:rsid w:val="002D59BC"/>
    <w:rsid w:val="002D5ADB"/>
    <w:rsid w:val="002D5B08"/>
    <w:rsid w:val="002D616B"/>
    <w:rsid w:val="002D65A6"/>
    <w:rsid w:val="002D699D"/>
    <w:rsid w:val="002D7AB1"/>
    <w:rsid w:val="002E0010"/>
    <w:rsid w:val="002E00E4"/>
    <w:rsid w:val="002E0A22"/>
    <w:rsid w:val="002E0B4D"/>
    <w:rsid w:val="002E0C75"/>
    <w:rsid w:val="002E0DEB"/>
    <w:rsid w:val="002E0E2E"/>
    <w:rsid w:val="002E1319"/>
    <w:rsid w:val="002E1699"/>
    <w:rsid w:val="002E1C4D"/>
    <w:rsid w:val="002E1F6D"/>
    <w:rsid w:val="002E2673"/>
    <w:rsid w:val="002E29B4"/>
    <w:rsid w:val="002E2A60"/>
    <w:rsid w:val="002E2C6E"/>
    <w:rsid w:val="002E3072"/>
    <w:rsid w:val="002E310D"/>
    <w:rsid w:val="002E377B"/>
    <w:rsid w:val="002E3914"/>
    <w:rsid w:val="002E3A18"/>
    <w:rsid w:val="002E4DF4"/>
    <w:rsid w:val="002E4E07"/>
    <w:rsid w:val="002E4ED3"/>
    <w:rsid w:val="002E5521"/>
    <w:rsid w:val="002E564F"/>
    <w:rsid w:val="002E5EC4"/>
    <w:rsid w:val="002E61F1"/>
    <w:rsid w:val="002E65EB"/>
    <w:rsid w:val="002E675D"/>
    <w:rsid w:val="002E67B3"/>
    <w:rsid w:val="002E699E"/>
    <w:rsid w:val="002E6B50"/>
    <w:rsid w:val="002E7140"/>
    <w:rsid w:val="002E7198"/>
    <w:rsid w:val="002E7CAD"/>
    <w:rsid w:val="002E7F3F"/>
    <w:rsid w:val="002F0747"/>
    <w:rsid w:val="002F0768"/>
    <w:rsid w:val="002F14B7"/>
    <w:rsid w:val="002F185A"/>
    <w:rsid w:val="002F18A2"/>
    <w:rsid w:val="002F1935"/>
    <w:rsid w:val="002F1D1D"/>
    <w:rsid w:val="002F2704"/>
    <w:rsid w:val="002F2809"/>
    <w:rsid w:val="002F285D"/>
    <w:rsid w:val="002F2AB3"/>
    <w:rsid w:val="002F2DBA"/>
    <w:rsid w:val="002F2DF9"/>
    <w:rsid w:val="002F319A"/>
    <w:rsid w:val="002F36D5"/>
    <w:rsid w:val="002F37AD"/>
    <w:rsid w:val="002F38AC"/>
    <w:rsid w:val="002F3C58"/>
    <w:rsid w:val="002F3D75"/>
    <w:rsid w:val="002F4538"/>
    <w:rsid w:val="002F48EF"/>
    <w:rsid w:val="002F4B88"/>
    <w:rsid w:val="002F4E08"/>
    <w:rsid w:val="002F55B8"/>
    <w:rsid w:val="002F5CE6"/>
    <w:rsid w:val="002F62F9"/>
    <w:rsid w:val="002F637D"/>
    <w:rsid w:val="002F6394"/>
    <w:rsid w:val="002F67C2"/>
    <w:rsid w:val="002F67E6"/>
    <w:rsid w:val="00300C7E"/>
    <w:rsid w:val="00300E00"/>
    <w:rsid w:val="00300FA5"/>
    <w:rsid w:val="003016FF"/>
    <w:rsid w:val="0030187D"/>
    <w:rsid w:val="003018B2"/>
    <w:rsid w:val="00301CE0"/>
    <w:rsid w:val="00301DFA"/>
    <w:rsid w:val="00301E51"/>
    <w:rsid w:val="0030209E"/>
    <w:rsid w:val="0030218A"/>
    <w:rsid w:val="00302CC0"/>
    <w:rsid w:val="00302D48"/>
    <w:rsid w:val="00302EAB"/>
    <w:rsid w:val="00302EB5"/>
    <w:rsid w:val="00302FFC"/>
    <w:rsid w:val="003037EE"/>
    <w:rsid w:val="0030392C"/>
    <w:rsid w:val="00303B59"/>
    <w:rsid w:val="00303BAE"/>
    <w:rsid w:val="00303F59"/>
    <w:rsid w:val="0030400C"/>
    <w:rsid w:val="00304147"/>
    <w:rsid w:val="003042BF"/>
    <w:rsid w:val="003042F6"/>
    <w:rsid w:val="0030488C"/>
    <w:rsid w:val="00304B52"/>
    <w:rsid w:val="00304FE9"/>
    <w:rsid w:val="003050FF"/>
    <w:rsid w:val="003054EB"/>
    <w:rsid w:val="00305ACE"/>
    <w:rsid w:val="00305B04"/>
    <w:rsid w:val="00305C38"/>
    <w:rsid w:val="0030666D"/>
    <w:rsid w:val="003066ED"/>
    <w:rsid w:val="00306A85"/>
    <w:rsid w:val="00307144"/>
    <w:rsid w:val="003079F0"/>
    <w:rsid w:val="00307E10"/>
    <w:rsid w:val="00307E94"/>
    <w:rsid w:val="003106E0"/>
    <w:rsid w:val="00310DD9"/>
    <w:rsid w:val="003111CA"/>
    <w:rsid w:val="00311CF1"/>
    <w:rsid w:val="00311F69"/>
    <w:rsid w:val="003123DB"/>
    <w:rsid w:val="003129E7"/>
    <w:rsid w:val="00312DF6"/>
    <w:rsid w:val="00313130"/>
    <w:rsid w:val="003133D3"/>
    <w:rsid w:val="00313DD1"/>
    <w:rsid w:val="00313E22"/>
    <w:rsid w:val="00314AE4"/>
    <w:rsid w:val="00314D72"/>
    <w:rsid w:val="00314E92"/>
    <w:rsid w:val="00314FC1"/>
    <w:rsid w:val="003153C2"/>
    <w:rsid w:val="0031578A"/>
    <w:rsid w:val="00316521"/>
    <w:rsid w:val="00316838"/>
    <w:rsid w:val="00316B1F"/>
    <w:rsid w:val="00316E8D"/>
    <w:rsid w:val="00317956"/>
    <w:rsid w:val="00317D4E"/>
    <w:rsid w:val="00317E65"/>
    <w:rsid w:val="00320062"/>
    <w:rsid w:val="003202D9"/>
    <w:rsid w:val="003202DE"/>
    <w:rsid w:val="00320389"/>
    <w:rsid w:val="003203FF"/>
    <w:rsid w:val="00320670"/>
    <w:rsid w:val="0032080F"/>
    <w:rsid w:val="00320E24"/>
    <w:rsid w:val="00321384"/>
    <w:rsid w:val="003216DE"/>
    <w:rsid w:val="0032185D"/>
    <w:rsid w:val="00321D71"/>
    <w:rsid w:val="00321E20"/>
    <w:rsid w:val="003225FE"/>
    <w:rsid w:val="00322A16"/>
    <w:rsid w:val="003234B2"/>
    <w:rsid w:val="003234B9"/>
    <w:rsid w:val="00323D7A"/>
    <w:rsid w:val="00323F31"/>
    <w:rsid w:val="00324632"/>
    <w:rsid w:val="003258FB"/>
    <w:rsid w:val="00325964"/>
    <w:rsid w:val="003259C1"/>
    <w:rsid w:val="00325C4A"/>
    <w:rsid w:val="00325D1C"/>
    <w:rsid w:val="00325ED7"/>
    <w:rsid w:val="00326A2C"/>
    <w:rsid w:val="00326AE4"/>
    <w:rsid w:val="00326AFA"/>
    <w:rsid w:val="00326D56"/>
    <w:rsid w:val="00326E38"/>
    <w:rsid w:val="00327015"/>
    <w:rsid w:val="003272A6"/>
    <w:rsid w:val="003276B3"/>
    <w:rsid w:val="00327738"/>
    <w:rsid w:val="00327A2A"/>
    <w:rsid w:val="00327A8E"/>
    <w:rsid w:val="00327C03"/>
    <w:rsid w:val="00327C98"/>
    <w:rsid w:val="003304EA"/>
    <w:rsid w:val="00330A4D"/>
    <w:rsid w:val="00330A96"/>
    <w:rsid w:val="00330F32"/>
    <w:rsid w:val="00331235"/>
    <w:rsid w:val="003313FA"/>
    <w:rsid w:val="00331522"/>
    <w:rsid w:val="0033171D"/>
    <w:rsid w:val="00331800"/>
    <w:rsid w:val="0033185D"/>
    <w:rsid w:val="0033308B"/>
    <w:rsid w:val="0033323A"/>
    <w:rsid w:val="0033377F"/>
    <w:rsid w:val="00333A05"/>
    <w:rsid w:val="00333B81"/>
    <w:rsid w:val="00333C6C"/>
    <w:rsid w:val="00333C98"/>
    <w:rsid w:val="00333EF9"/>
    <w:rsid w:val="00334487"/>
    <w:rsid w:val="00335257"/>
    <w:rsid w:val="003353EF"/>
    <w:rsid w:val="003354B2"/>
    <w:rsid w:val="00335757"/>
    <w:rsid w:val="00335D55"/>
    <w:rsid w:val="00335EAA"/>
    <w:rsid w:val="003361B6"/>
    <w:rsid w:val="003361D4"/>
    <w:rsid w:val="003362F4"/>
    <w:rsid w:val="00336354"/>
    <w:rsid w:val="003369C6"/>
    <w:rsid w:val="00336FD4"/>
    <w:rsid w:val="0033733E"/>
    <w:rsid w:val="00337723"/>
    <w:rsid w:val="00337986"/>
    <w:rsid w:val="00337989"/>
    <w:rsid w:val="00340412"/>
    <w:rsid w:val="00340C37"/>
    <w:rsid w:val="00341CC5"/>
    <w:rsid w:val="00341DCD"/>
    <w:rsid w:val="003424D2"/>
    <w:rsid w:val="00342617"/>
    <w:rsid w:val="00342866"/>
    <w:rsid w:val="00342AA1"/>
    <w:rsid w:val="00342BBA"/>
    <w:rsid w:val="00342DA2"/>
    <w:rsid w:val="00342E85"/>
    <w:rsid w:val="003433A1"/>
    <w:rsid w:val="00343A96"/>
    <w:rsid w:val="00343B2D"/>
    <w:rsid w:val="003445B5"/>
    <w:rsid w:val="003446CA"/>
    <w:rsid w:val="00344927"/>
    <w:rsid w:val="00344C26"/>
    <w:rsid w:val="00345714"/>
    <w:rsid w:val="00345DE6"/>
    <w:rsid w:val="0034615A"/>
    <w:rsid w:val="003465FD"/>
    <w:rsid w:val="00346B8A"/>
    <w:rsid w:val="00346D0A"/>
    <w:rsid w:val="0034776A"/>
    <w:rsid w:val="00347D29"/>
    <w:rsid w:val="00350C44"/>
    <w:rsid w:val="00350C54"/>
    <w:rsid w:val="00350F8C"/>
    <w:rsid w:val="0035106B"/>
    <w:rsid w:val="003510B0"/>
    <w:rsid w:val="003519E2"/>
    <w:rsid w:val="00352164"/>
    <w:rsid w:val="003525E8"/>
    <w:rsid w:val="00352875"/>
    <w:rsid w:val="00352C8F"/>
    <w:rsid w:val="00352D78"/>
    <w:rsid w:val="00353545"/>
    <w:rsid w:val="00353DF0"/>
    <w:rsid w:val="00354F5C"/>
    <w:rsid w:val="00355E02"/>
    <w:rsid w:val="00356B8B"/>
    <w:rsid w:val="0035703D"/>
    <w:rsid w:val="003573B6"/>
    <w:rsid w:val="00357EB5"/>
    <w:rsid w:val="00361379"/>
    <w:rsid w:val="00361F29"/>
    <w:rsid w:val="003621AA"/>
    <w:rsid w:val="00362D39"/>
    <w:rsid w:val="0036324F"/>
    <w:rsid w:val="00363391"/>
    <w:rsid w:val="0036355F"/>
    <w:rsid w:val="00363F43"/>
    <w:rsid w:val="003641C5"/>
    <w:rsid w:val="00364BA5"/>
    <w:rsid w:val="00364D96"/>
    <w:rsid w:val="003656E3"/>
    <w:rsid w:val="00365C70"/>
    <w:rsid w:val="00365D8C"/>
    <w:rsid w:val="00366872"/>
    <w:rsid w:val="00366880"/>
    <w:rsid w:val="00366953"/>
    <w:rsid w:val="00366A34"/>
    <w:rsid w:val="00366A46"/>
    <w:rsid w:val="0036749B"/>
    <w:rsid w:val="0036762C"/>
    <w:rsid w:val="00367728"/>
    <w:rsid w:val="00367923"/>
    <w:rsid w:val="0037051F"/>
    <w:rsid w:val="00370564"/>
    <w:rsid w:val="00370AE5"/>
    <w:rsid w:val="00370B7C"/>
    <w:rsid w:val="00370D1D"/>
    <w:rsid w:val="00371E05"/>
    <w:rsid w:val="00371EF1"/>
    <w:rsid w:val="00371F6C"/>
    <w:rsid w:val="00371FE1"/>
    <w:rsid w:val="00372A3D"/>
    <w:rsid w:val="00372A4F"/>
    <w:rsid w:val="00373EF1"/>
    <w:rsid w:val="0037580F"/>
    <w:rsid w:val="00375872"/>
    <w:rsid w:val="00375907"/>
    <w:rsid w:val="00375F24"/>
    <w:rsid w:val="00376A29"/>
    <w:rsid w:val="00376F7D"/>
    <w:rsid w:val="00377A2A"/>
    <w:rsid w:val="00377A7D"/>
    <w:rsid w:val="00377EA3"/>
    <w:rsid w:val="00380579"/>
    <w:rsid w:val="0038101E"/>
    <w:rsid w:val="003810FE"/>
    <w:rsid w:val="0038120C"/>
    <w:rsid w:val="00381362"/>
    <w:rsid w:val="00381508"/>
    <w:rsid w:val="003815A7"/>
    <w:rsid w:val="003815B3"/>
    <w:rsid w:val="00381755"/>
    <w:rsid w:val="00381D41"/>
    <w:rsid w:val="00382568"/>
    <w:rsid w:val="00382588"/>
    <w:rsid w:val="00382733"/>
    <w:rsid w:val="00382BDA"/>
    <w:rsid w:val="00383276"/>
    <w:rsid w:val="00383707"/>
    <w:rsid w:val="00383713"/>
    <w:rsid w:val="00383A24"/>
    <w:rsid w:val="00383EC8"/>
    <w:rsid w:val="0038428B"/>
    <w:rsid w:val="00384727"/>
    <w:rsid w:val="00384B71"/>
    <w:rsid w:val="00385185"/>
    <w:rsid w:val="00385345"/>
    <w:rsid w:val="00385590"/>
    <w:rsid w:val="0038568A"/>
    <w:rsid w:val="0038685E"/>
    <w:rsid w:val="00386C50"/>
    <w:rsid w:val="00386ED6"/>
    <w:rsid w:val="003872DF"/>
    <w:rsid w:val="00387C7E"/>
    <w:rsid w:val="0039017E"/>
    <w:rsid w:val="0039040B"/>
    <w:rsid w:val="0039041F"/>
    <w:rsid w:val="00390FB0"/>
    <w:rsid w:val="003911A2"/>
    <w:rsid w:val="00391487"/>
    <w:rsid w:val="0039167E"/>
    <w:rsid w:val="0039177B"/>
    <w:rsid w:val="00391D31"/>
    <w:rsid w:val="00391FD0"/>
    <w:rsid w:val="0039202B"/>
    <w:rsid w:val="0039208A"/>
    <w:rsid w:val="003923AB"/>
    <w:rsid w:val="0039288A"/>
    <w:rsid w:val="00392955"/>
    <w:rsid w:val="00392FE0"/>
    <w:rsid w:val="00393D7E"/>
    <w:rsid w:val="00393F48"/>
    <w:rsid w:val="00394112"/>
    <w:rsid w:val="003946D4"/>
    <w:rsid w:val="003948C7"/>
    <w:rsid w:val="00394D99"/>
    <w:rsid w:val="00394EA3"/>
    <w:rsid w:val="0039540E"/>
    <w:rsid w:val="00395913"/>
    <w:rsid w:val="00395A7A"/>
    <w:rsid w:val="00395BA6"/>
    <w:rsid w:val="0039684C"/>
    <w:rsid w:val="00396B22"/>
    <w:rsid w:val="00396DB4"/>
    <w:rsid w:val="0039715E"/>
    <w:rsid w:val="003971AB"/>
    <w:rsid w:val="00397229"/>
    <w:rsid w:val="0039762B"/>
    <w:rsid w:val="003A00E1"/>
    <w:rsid w:val="003A0F00"/>
    <w:rsid w:val="003A1290"/>
    <w:rsid w:val="003A222A"/>
    <w:rsid w:val="003A2296"/>
    <w:rsid w:val="003A25C2"/>
    <w:rsid w:val="003A2724"/>
    <w:rsid w:val="003A3E41"/>
    <w:rsid w:val="003A40DC"/>
    <w:rsid w:val="003A58F9"/>
    <w:rsid w:val="003A64DA"/>
    <w:rsid w:val="003A64FD"/>
    <w:rsid w:val="003A6D3A"/>
    <w:rsid w:val="003A7241"/>
    <w:rsid w:val="003A74C8"/>
    <w:rsid w:val="003A78F4"/>
    <w:rsid w:val="003A7F6B"/>
    <w:rsid w:val="003B07A3"/>
    <w:rsid w:val="003B0932"/>
    <w:rsid w:val="003B0983"/>
    <w:rsid w:val="003B0B49"/>
    <w:rsid w:val="003B0B55"/>
    <w:rsid w:val="003B12D9"/>
    <w:rsid w:val="003B19FB"/>
    <w:rsid w:val="003B1E76"/>
    <w:rsid w:val="003B1EBC"/>
    <w:rsid w:val="003B2229"/>
    <w:rsid w:val="003B22E6"/>
    <w:rsid w:val="003B2705"/>
    <w:rsid w:val="003B2C51"/>
    <w:rsid w:val="003B2CA9"/>
    <w:rsid w:val="003B3E2B"/>
    <w:rsid w:val="003B40C7"/>
    <w:rsid w:val="003B43E3"/>
    <w:rsid w:val="003B4533"/>
    <w:rsid w:val="003B4554"/>
    <w:rsid w:val="003B4C4A"/>
    <w:rsid w:val="003B4DFE"/>
    <w:rsid w:val="003B4E68"/>
    <w:rsid w:val="003B56B5"/>
    <w:rsid w:val="003B5A92"/>
    <w:rsid w:val="003B5E09"/>
    <w:rsid w:val="003B62F8"/>
    <w:rsid w:val="003B6762"/>
    <w:rsid w:val="003B702B"/>
    <w:rsid w:val="003B70FA"/>
    <w:rsid w:val="003B7591"/>
    <w:rsid w:val="003B7603"/>
    <w:rsid w:val="003B76A4"/>
    <w:rsid w:val="003B7F7E"/>
    <w:rsid w:val="003C0417"/>
    <w:rsid w:val="003C06EE"/>
    <w:rsid w:val="003C0B50"/>
    <w:rsid w:val="003C0D13"/>
    <w:rsid w:val="003C0D94"/>
    <w:rsid w:val="003C16B4"/>
    <w:rsid w:val="003C1FA5"/>
    <w:rsid w:val="003C215D"/>
    <w:rsid w:val="003C28A4"/>
    <w:rsid w:val="003C29BF"/>
    <w:rsid w:val="003C2B2E"/>
    <w:rsid w:val="003C3008"/>
    <w:rsid w:val="003C33EE"/>
    <w:rsid w:val="003C37D1"/>
    <w:rsid w:val="003C39D5"/>
    <w:rsid w:val="003C48F7"/>
    <w:rsid w:val="003C4A4C"/>
    <w:rsid w:val="003C4BBD"/>
    <w:rsid w:val="003C4D0A"/>
    <w:rsid w:val="003C4EA7"/>
    <w:rsid w:val="003C5158"/>
    <w:rsid w:val="003C596D"/>
    <w:rsid w:val="003C598A"/>
    <w:rsid w:val="003C5A29"/>
    <w:rsid w:val="003C5C42"/>
    <w:rsid w:val="003C65FF"/>
    <w:rsid w:val="003C6689"/>
    <w:rsid w:val="003C6B85"/>
    <w:rsid w:val="003C6D01"/>
    <w:rsid w:val="003C718B"/>
    <w:rsid w:val="003C723B"/>
    <w:rsid w:val="003C744A"/>
    <w:rsid w:val="003C7838"/>
    <w:rsid w:val="003D0294"/>
    <w:rsid w:val="003D06DF"/>
    <w:rsid w:val="003D09A4"/>
    <w:rsid w:val="003D0B50"/>
    <w:rsid w:val="003D0FD1"/>
    <w:rsid w:val="003D14F4"/>
    <w:rsid w:val="003D15C9"/>
    <w:rsid w:val="003D17BC"/>
    <w:rsid w:val="003D19DC"/>
    <w:rsid w:val="003D1F37"/>
    <w:rsid w:val="003D1F78"/>
    <w:rsid w:val="003D1FBD"/>
    <w:rsid w:val="003D1FE8"/>
    <w:rsid w:val="003D234E"/>
    <w:rsid w:val="003D281C"/>
    <w:rsid w:val="003D2C69"/>
    <w:rsid w:val="003D2F16"/>
    <w:rsid w:val="003D39E5"/>
    <w:rsid w:val="003D3AAF"/>
    <w:rsid w:val="003D3EC4"/>
    <w:rsid w:val="003D42B5"/>
    <w:rsid w:val="003D4473"/>
    <w:rsid w:val="003D4A20"/>
    <w:rsid w:val="003D4A61"/>
    <w:rsid w:val="003D542E"/>
    <w:rsid w:val="003D560A"/>
    <w:rsid w:val="003D5BDF"/>
    <w:rsid w:val="003D615A"/>
    <w:rsid w:val="003D6729"/>
    <w:rsid w:val="003D6855"/>
    <w:rsid w:val="003D6A48"/>
    <w:rsid w:val="003D749A"/>
    <w:rsid w:val="003D7976"/>
    <w:rsid w:val="003D7A5B"/>
    <w:rsid w:val="003E0964"/>
    <w:rsid w:val="003E15D5"/>
    <w:rsid w:val="003E1A6F"/>
    <w:rsid w:val="003E206A"/>
    <w:rsid w:val="003E2331"/>
    <w:rsid w:val="003E2BCF"/>
    <w:rsid w:val="003E2D17"/>
    <w:rsid w:val="003E3196"/>
    <w:rsid w:val="003E3924"/>
    <w:rsid w:val="003E4C7C"/>
    <w:rsid w:val="003E5085"/>
    <w:rsid w:val="003E52D8"/>
    <w:rsid w:val="003E5CFE"/>
    <w:rsid w:val="003E5DA4"/>
    <w:rsid w:val="003E5F14"/>
    <w:rsid w:val="003E5F62"/>
    <w:rsid w:val="003E643E"/>
    <w:rsid w:val="003E69B2"/>
    <w:rsid w:val="003E6ADA"/>
    <w:rsid w:val="003E6CAC"/>
    <w:rsid w:val="003E6D92"/>
    <w:rsid w:val="003E7176"/>
    <w:rsid w:val="003E7287"/>
    <w:rsid w:val="003F0E60"/>
    <w:rsid w:val="003F1775"/>
    <w:rsid w:val="003F1869"/>
    <w:rsid w:val="003F1A11"/>
    <w:rsid w:val="003F1A95"/>
    <w:rsid w:val="003F1F3A"/>
    <w:rsid w:val="003F22D0"/>
    <w:rsid w:val="003F27EB"/>
    <w:rsid w:val="003F2C77"/>
    <w:rsid w:val="003F2CC2"/>
    <w:rsid w:val="003F2D86"/>
    <w:rsid w:val="003F3A33"/>
    <w:rsid w:val="003F4519"/>
    <w:rsid w:val="003F4557"/>
    <w:rsid w:val="003F4857"/>
    <w:rsid w:val="003F4B05"/>
    <w:rsid w:val="003F4CEC"/>
    <w:rsid w:val="003F4EE8"/>
    <w:rsid w:val="003F51C6"/>
    <w:rsid w:val="003F55F3"/>
    <w:rsid w:val="003F581A"/>
    <w:rsid w:val="003F5C54"/>
    <w:rsid w:val="003F6479"/>
    <w:rsid w:val="003F6874"/>
    <w:rsid w:val="003F6A9D"/>
    <w:rsid w:val="003F6AD5"/>
    <w:rsid w:val="003F6E71"/>
    <w:rsid w:val="003F72F9"/>
    <w:rsid w:val="003F7344"/>
    <w:rsid w:val="003F7377"/>
    <w:rsid w:val="003F7A97"/>
    <w:rsid w:val="00400196"/>
    <w:rsid w:val="004003DF"/>
    <w:rsid w:val="004007F2"/>
    <w:rsid w:val="00400DA1"/>
    <w:rsid w:val="00400EB7"/>
    <w:rsid w:val="0040118F"/>
    <w:rsid w:val="004013AB"/>
    <w:rsid w:val="00401C25"/>
    <w:rsid w:val="00401D73"/>
    <w:rsid w:val="00402B69"/>
    <w:rsid w:val="00402CEA"/>
    <w:rsid w:val="00402E90"/>
    <w:rsid w:val="004030CB"/>
    <w:rsid w:val="00403308"/>
    <w:rsid w:val="00403820"/>
    <w:rsid w:val="004039DA"/>
    <w:rsid w:val="00403ADF"/>
    <w:rsid w:val="00403C8E"/>
    <w:rsid w:val="004049DE"/>
    <w:rsid w:val="00405936"/>
    <w:rsid w:val="00405A98"/>
    <w:rsid w:val="004060CF"/>
    <w:rsid w:val="004065B2"/>
    <w:rsid w:val="004068D0"/>
    <w:rsid w:val="00407129"/>
    <w:rsid w:val="004076E7"/>
    <w:rsid w:val="00407ACE"/>
    <w:rsid w:val="00407C92"/>
    <w:rsid w:val="00407F0F"/>
    <w:rsid w:val="00407F45"/>
    <w:rsid w:val="0041019A"/>
    <w:rsid w:val="004106EE"/>
    <w:rsid w:val="004107C4"/>
    <w:rsid w:val="00410C62"/>
    <w:rsid w:val="00410E69"/>
    <w:rsid w:val="004113A7"/>
    <w:rsid w:val="004114C8"/>
    <w:rsid w:val="004115C6"/>
    <w:rsid w:val="00412210"/>
    <w:rsid w:val="00412429"/>
    <w:rsid w:val="0041259B"/>
    <w:rsid w:val="00412E30"/>
    <w:rsid w:val="0041325D"/>
    <w:rsid w:val="004132B6"/>
    <w:rsid w:val="00413421"/>
    <w:rsid w:val="00413805"/>
    <w:rsid w:val="004139A1"/>
    <w:rsid w:val="004140F1"/>
    <w:rsid w:val="004142CF"/>
    <w:rsid w:val="00414342"/>
    <w:rsid w:val="004147A1"/>
    <w:rsid w:val="00415E62"/>
    <w:rsid w:val="00415FAD"/>
    <w:rsid w:val="0041632A"/>
    <w:rsid w:val="00416A83"/>
    <w:rsid w:val="00416CB6"/>
    <w:rsid w:val="00416D1D"/>
    <w:rsid w:val="00416E0B"/>
    <w:rsid w:val="00417312"/>
    <w:rsid w:val="00417824"/>
    <w:rsid w:val="004178BA"/>
    <w:rsid w:val="0042001F"/>
    <w:rsid w:val="00420174"/>
    <w:rsid w:val="004202CC"/>
    <w:rsid w:val="00420698"/>
    <w:rsid w:val="00420C68"/>
    <w:rsid w:val="00420F25"/>
    <w:rsid w:val="00421112"/>
    <w:rsid w:val="0042135C"/>
    <w:rsid w:val="0042185A"/>
    <w:rsid w:val="00422476"/>
    <w:rsid w:val="00422565"/>
    <w:rsid w:val="00422886"/>
    <w:rsid w:val="00422C50"/>
    <w:rsid w:val="00422CE5"/>
    <w:rsid w:val="0042332A"/>
    <w:rsid w:val="004235EB"/>
    <w:rsid w:val="0042414E"/>
    <w:rsid w:val="004244B4"/>
    <w:rsid w:val="00424C7F"/>
    <w:rsid w:val="0042547D"/>
    <w:rsid w:val="00425785"/>
    <w:rsid w:val="00425BF4"/>
    <w:rsid w:val="00425DC3"/>
    <w:rsid w:val="00425E43"/>
    <w:rsid w:val="0042660F"/>
    <w:rsid w:val="00426612"/>
    <w:rsid w:val="004266BD"/>
    <w:rsid w:val="00426B6F"/>
    <w:rsid w:val="00426C88"/>
    <w:rsid w:val="00426ED4"/>
    <w:rsid w:val="0042734E"/>
    <w:rsid w:val="00427927"/>
    <w:rsid w:val="00427AD4"/>
    <w:rsid w:val="00427C51"/>
    <w:rsid w:val="00427E98"/>
    <w:rsid w:val="004303B8"/>
    <w:rsid w:val="00430569"/>
    <w:rsid w:val="00430600"/>
    <w:rsid w:val="0043075C"/>
    <w:rsid w:val="00430ACF"/>
    <w:rsid w:val="00430C1D"/>
    <w:rsid w:val="004313F6"/>
    <w:rsid w:val="004315A9"/>
    <w:rsid w:val="004319A0"/>
    <w:rsid w:val="00431C25"/>
    <w:rsid w:val="00432350"/>
    <w:rsid w:val="00432B21"/>
    <w:rsid w:val="00432CCE"/>
    <w:rsid w:val="00432DB1"/>
    <w:rsid w:val="00433184"/>
    <w:rsid w:val="0043418B"/>
    <w:rsid w:val="00434492"/>
    <w:rsid w:val="0043515C"/>
    <w:rsid w:val="004353D5"/>
    <w:rsid w:val="00435526"/>
    <w:rsid w:val="00435703"/>
    <w:rsid w:val="00435A75"/>
    <w:rsid w:val="00435B71"/>
    <w:rsid w:val="00435C0C"/>
    <w:rsid w:val="00435C4B"/>
    <w:rsid w:val="00435C8D"/>
    <w:rsid w:val="00436229"/>
    <w:rsid w:val="0043651A"/>
    <w:rsid w:val="00436574"/>
    <w:rsid w:val="004366AA"/>
    <w:rsid w:val="004369CE"/>
    <w:rsid w:val="00436D17"/>
    <w:rsid w:val="004379FD"/>
    <w:rsid w:val="00437DB6"/>
    <w:rsid w:val="00437DD8"/>
    <w:rsid w:val="00440724"/>
    <w:rsid w:val="00440AD7"/>
    <w:rsid w:val="00440EBC"/>
    <w:rsid w:val="004414DC"/>
    <w:rsid w:val="00441664"/>
    <w:rsid w:val="00441A31"/>
    <w:rsid w:val="00441B5A"/>
    <w:rsid w:val="00441BED"/>
    <w:rsid w:val="00441C85"/>
    <w:rsid w:val="00442B60"/>
    <w:rsid w:val="00443498"/>
    <w:rsid w:val="00443E41"/>
    <w:rsid w:val="00443E52"/>
    <w:rsid w:val="00443F47"/>
    <w:rsid w:val="004442A8"/>
    <w:rsid w:val="0044466F"/>
    <w:rsid w:val="0044468A"/>
    <w:rsid w:val="004447FB"/>
    <w:rsid w:val="00444AA6"/>
    <w:rsid w:val="00444B02"/>
    <w:rsid w:val="00444BB1"/>
    <w:rsid w:val="004452DA"/>
    <w:rsid w:val="00445A09"/>
    <w:rsid w:val="00445E12"/>
    <w:rsid w:val="0044603B"/>
    <w:rsid w:val="004460E1"/>
    <w:rsid w:val="004461A6"/>
    <w:rsid w:val="0044652A"/>
    <w:rsid w:val="0044667B"/>
    <w:rsid w:val="00446714"/>
    <w:rsid w:val="00446729"/>
    <w:rsid w:val="00446ABD"/>
    <w:rsid w:val="00446B2C"/>
    <w:rsid w:val="00446B77"/>
    <w:rsid w:val="00446CB6"/>
    <w:rsid w:val="00446DCA"/>
    <w:rsid w:val="004472ED"/>
    <w:rsid w:val="00447627"/>
    <w:rsid w:val="00447811"/>
    <w:rsid w:val="00447FDB"/>
    <w:rsid w:val="004502AB"/>
    <w:rsid w:val="00450385"/>
    <w:rsid w:val="0045044E"/>
    <w:rsid w:val="004508F2"/>
    <w:rsid w:val="0045092D"/>
    <w:rsid w:val="00450A6C"/>
    <w:rsid w:val="00450B68"/>
    <w:rsid w:val="00451462"/>
    <w:rsid w:val="0045155C"/>
    <w:rsid w:val="004515A4"/>
    <w:rsid w:val="004518F0"/>
    <w:rsid w:val="004525A8"/>
    <w:rsid w:val="00452945"/>
    <w:rsid w:val="00452CF9"/>
    <w:rsid w:val="00452DD9"/>
    <w:rsid w:val="00452F9E"/>
    <w:rsid w:val="004530D4"/>
    <w:rsid w:val="00453332"/>
    <w:rsid w:val="00453B33"/>
    <w:rsid w:val="00454047"/>
    <w:rsid w:val="00454520"/>
    <w:rsid w:val="004547D6"/>
    <w:rsid w:val="00454B71"/>
    <w:rsid w:val="00454CE0"/>
    <w:rsid w:val="004551C2"/>
    <w:rsid w:val="00455328"/>
    <w:rsid w:val="00455D28"/>
    <w:rsid w:val="00456071"/>
    <w:rsid w:val="00456244"/>
    <w:rsid w:val="00456B4F"/>
    <w:rsid w:val="00456DD1"/>
    <w:rsid w:val="00456F9A"/>
    <w:rsid w:val="00457524"/>
    <w:rsid w:val="004578FA"/>
    <w:rsid w:val="0046061A"/>
    <w:rsid w:val="004606F4"/>
    <w:rsid w:val="004619EF"/>
    <w:rsid w:val="00461C6B"/>
    <w:rsid w:val="0046267B"/>
    <w:rsid w:val="00462883"/>
    <w:rsid w:val="0046298B"/>
    <w:rsid w:val="004629E8"/>
    <w:rsid w:val="00462DC2"/>
    <w:rsid w:val="00463162"/>
    <w:rsid w:val="0046396C"/>
    <w:rsid w:val="00463EB7"/>
    <w:rsid w:val="0046435B"/>
    <w:rsid w:val="00464B3E"/>
    <w:rsid w:val="00464C85"/>
    <w:rsid w:val="00464F26"/>
    <w:rsid w:val="00464F5D"/>
    <w:rsid w:val="0046508F"/>
    <w:rsid w:val="00465174"/>
    <w:rsid w:val="0046562D"/>
    <w:rsid w:val="00465C26"/>
    <w:rsid w:val="00466072"/>
    <w:rsid w:val="00466382"/>
    <w:rsid w:val="00466E90"/>
    <w:rsid w:val="00466F29"/>
    <w:rsid w:val="00467744"/>
    <w:rsid w:val="0046781F"/>
    <w:rsid w:val="00467C12"/>
    <w:rsid w:val="00467DBC"/>
    <w:rsid w:val="00467E2A"/>
    <w:rsid w:val="0047017C"/>
    <w:rsid w:val="0047047A"/>
    <w:rsid w:val="004705F8"/>
    <w:rsid w:val="0047076A"/>
    <w:rsid w:val="004717B1"/>
    <w:rsid w:val="0047198D"/>
    <w:rsid w:val="004719F6"/>
    <w:rsid w:val="00471B04"/>
    <w:rsid w:val="00471FD4"/>
    <w:rsid w:val="0047223C"/>
    <w:rsid w:val="004722DB"/>
    <w:rsid w:val="0047234B"/>
    <w:rsid w:val="00472809"/>
    <w:rsid w:val="00472837"/>
    <w:rsid w:val="00472D18"/>
    <w:rsid w:val="00473097"/>
    <w:rsid w:val="00473121"/>
    <w:rsid w:val="0047318A"/>
    <w:rsid w:val="004731DB"/>
    <w:rsid w:val="00473449"/>
    <w:rsid w:val="00473C8D"/>
    <w:rsid w:val="00474236"/>
    <w:rsid w:val="0047483A"/>
    <w:rsid w:val="00474B3C"/>
    <w:rsid w:val="00474BF6"/>
    <w:rsid w:val="00474DDC"/>
    <w:rsid w:val="00474F31"/>
    <w:rsid w:val="00475406"/>
    <w:rsid w:val="0047590B"/>
    <w:rsid w:val="00475BA8"/>
    <w:rsid w:val="00475BB2"/>
    <w:rsid w:val="00476270"/>
    <w:rsid w:val="00476418"/>
    <w:rsid w:val="0047673F"/>
    <w:rsid w:val="00477027"/>
    <w:rsid w:val="004776EB"/>
    <w:rsid w:val="00477C2F"/>
    <w:rsid w:val="00477FF8"/>
    <w:rsid w:val="004800D1"/>
    <w:rsid w:val="00480D6A"/>
    <w:rsid w:val="00480DAB"/>
    <w:rsid w:val="00481183"/>
    <w:rsid w:val="004811BE"/>
    <w:rsid w:val="0048137D"/>
    <w:rsid w:val="0048166E"/>
    <w:rsid w:val="004818FF"/>
    <w:rsid w:val="00481A8E"/>
    <w:rsid w:val="00481BC7"/>
    <w:rsid w:val="00481D6E"/>
    <w:rsid w:val="00481E7D"/>
    <w:rsid w:val="00481F52"/>
    <w:rsid w:val="00482B2B"/>
    <w:rsid w:val="004830B9"/>
    <w:rsid w:val="00483358"/>
    <w:rsid w:val="004838EF"/>
    <w:rsid w:val="00483D7A"/>
    <w:rsid w:val="00483F00"/>
    <w:rsid w:val="0048411A"/>
    <w:rsid w:val="00484B70"/>
    <w:rsid w:val="00484C72"/>
    <w:rsid w:val="00484D63"/>
    <w:rsid w:val="004851FE"/>
    <w:rsid w:val="0048596B"/>
    <w:rsid w:val="00485A3F"/>
    <w:rsid w:val="00486497"/>
    <w:rsid w:val="004864D9"/>
    <w:rsid w:val="004867E9"/>
    <w:rsid w:val="00487142"/>
    <w:rsid w:val="00487CB5"/>
    <w:rsid w:val="00487D64"/>
    <w:rsid w:val="00487F77"/>
    <w:rsid w:val="00490216"/>
    <w:rsid w:val="00490AD0"/>
    <w:rsid w:val="004914EF"/>
    <w:rsid w:val="0049193A"/>
    <w:rsid w:val="00491C62"/>
    <w:rsid w:val="00491FD8"/>
    <w:rsid w:val="00492680"/>
    <w:rsid w:val="004928E9"/>
    <w:rsid w:val="004936DF"/>
    <w:rsid w:val="0049417B"/>
    <w:rsid w:val="00494CE8"/>
    <w:rsid w:val="004952A5"/>
    <w:rsid w:val="004954EF"/>
    <w:rsid w:val="00495977"/>
    <w:rsid w:val="00495A49"/>
    <w:rsid w:val="004960B6"/>
    <w:rsid w:val="004960EB"/>
    <w:rsid w:val="00496166"/>
    <w:rsid w:val="00496773"/>
    <w:rsid w:val="00496987"/>
    <w:rsid w:val="00496BCB"/>
    <w:rsid w:val="00496D1A"/>
    <w:rsid w:val="00496F28"/>
    <w:rsid w:val="004976D7"/>
    <w:rsid w:val="0049798C"/>
    <w:rsid w:val="004A0836"/>
    <w:rsid w:val="004A0E16"/>
    <w:rsid w:val="004A0E9B"/>
    <w:rsid w:val="004A16FD"/>
    <w:rsid w:val="004A1DA1"/>
    <w:rsid w:val="004A1F43"/>
    <w:rsid w:val="004A2364"/>
    <w:rsid w:val="004A2612"/>
    <w:rsid w:val="004A2A41"/>
    <w:rsid w:val="004A31C8"/>
    <w:rsid w:val="004A353C"/>
    <w:rsid w:val="004A37C5"/>
    <w:rsid w:val="004A390E"/>
    <w:rsid w:val="004A3AF4"/>
    <w:rsid w:val="004A438A"/>
    <w:rsid w:val="004A455B"/>
    <w:rsid w:val="004A477F"/>
    <w:rsid w:val="004A4AD6"/>
    <w:rsid w:val="004A4D34"/>
    <w:rsid w:val="004A5115"/>
    <w:rsid w:val="004A686D"/>
    <w:rsid w:val="004A710C"/>
    <w:rsid w:val="004A7581"/>
    <w:rsid w:val="004A7A46"/>
    <w:rsid w:val="004B02B2"/>
    <w:rsid w:val="004B0314"/>
    <w:rsid w:val="004B067B"/>
    <w:rsid w:val="004B06A8"/>
    <w:rsid w:val="004B1495"/>
    <w:rsid w:val="004B192E"/>
    <w:rsid w:val="004B1AF7"/>
    <w:rsid w:val="004B1EDE"/>
    <w:rsid w:val="004B22BF"/>
    <w:rsid w:val="004B2CB4"/>
    <w:rsid w:val="004B2E06"/>
    <w:rsid w:val="004B2E60"/>
    <w:rsid w:val="004B3B28"/>
    <w:rsid w:val="004B43D0"/>
    <w:rsid w:val="004B46D7"/>
    <w:rsid w:val="004B5138"/>
    <w:rsid w:val="004B59B6"/>
    <w:rsid w:val="004B5C56"/>
    <w:rsid w:val="004B5CF3"/>
    <w:rsid w:val="004B6050"/>
    <w:rsid w:val="004B67C9"/>
    <w:rsid w:val="004B6847"/>
    <w:rsid w:val="004B704F"/>
    <w:rsid w:val="004B7BFE"/>
    <w:rsid w:val="004B7EB4"/>
    <w:rsid w:val="004C00D6"/>
    <w:rsid w:val="004C0310"/>
    <w:rsid w:val="004C081B"/>
    <w:rsid w:val="004C08EB"/>
    <w:rsid w:val="004C0A14"/>
    <w:rsid w:val="004C0AC9"/>
    <w:rsid w:val="004C0B2E"/>
    <w:rsid w:val="004C13AA"/>
    <w:rsid w:val="004C1BF3"/>
    <w:rsid w:val="004C1D3B"/>
    <w:rsid w:val="004C271D"/>
    <w:rsid w:val="004C2A24"/>
    <w:rsid w:val="004C2E20"/>
    <w:rsid w:val="004C33E0"/>
    <w:rsid w:val="004C363E"/>
    <w:rsid w:val="004C3D1A"/>
    <w:rsid w:val="004C4259"/>
    <w:rsid w:val="004C449E"/>
    <w:rsid w:val="004C4633"/>
    <w:rsid w:val="004C4AF2"/>
    <w:rsid w:val="004C5043"/>
    <w:rsid w:val="004C5052"/>
    <w:rsid w:val="004C5306"/>
    <w:rsid w:val="004C5DE4"/>
    <w:rsid w:val="004C610A"/>
    <w:rsid w:val="004C680F"/>
    <w:rsid w:val="004C692C"/>
    <w:rsid w:val="004C694E"/>
    <w:rsid w:val="004C6D2C"/>
    <w:rsid w:val="004C6E80"/>
    <w:rsid w:val="004C71FA"/>
    <w:rsid w:val="004C74CB"/>
    <w:rsid w:val="004C7686"/>
    <w:rsid w:val="004C7A0B"/>
    <w:rsid w:val="004C7AC5"/>
    <w:rsid w:val="004D04DD"/>
    <w:rsid w:val="004D0700"/>
    <w:rsid w:val="004D0A87"/>
    <w:rsid w:val="004D0DD7"/>
    <w:rsid w:val="004D1633"/>
    <w:rsid w:val="004D187A"/>
    <w:rsid w:val="004D1E66"/>
    <w:rsid w:val="004D2517"/>
    <w:rsid w:val="004D25C4"/>
    <w:rsid w:val="004D28C7"/>
    <w:rsid w:val="004D295D"/>
    <w:rsid w:val="004D2AA2"/>
    <w:rsid w:val="004D3459"/>
    <w:rsid w:val="004D39BA"/>
    <w:rsid w:val="004D39C4"/>
    <w:rsid w:val="004D3C3A"/>
    <w:rsid w:val="004D3E24"/>
    <w:rsid w:val="004D4070"/>
    <w:rsid w:val="004D4F55"/>
    <w:rsid w:val="004D5520"/>
    <w:rsid w:val="004D60C9"/>
    <w:rsid w:val="004D61EB"/>
    <w:rsid w:val="004D6279"/>
    <w:rsid w:val="004D6357"/>
    <w:rsid w:val="004D6391"/>
    <w:rsid w:val="004D679F"/>
    <w:rsid w:val="004D67A7"/>
    <w:rsid w:val="004D67F2"/>
    <w:rsid w:val="004D6A61"/>
    <w:rsid w:val="004D6BE7"/>
    <w:rsid w:val="004D70BF"/>
    <w:rsid w:val="004D740A"/>
    <w:rsid w:val="004D7A32"/>
    <w:rsid w:val="004D7BC7"/>
    <w:rsid w:val="004D7EC2"/>
    <w:rsid w:val="004E0211"/>
    <w:rsid w:val="004E065F"/>
    <w:rsid w:val="004E09AB"/>
    <w:rsid w:val="004E0C11"/>
    <w:rsid w:val="004E0FC7"/>
    <w:rsid w:val="004E1099"/>
    <w:rsid w:val="004E11BD"/>
    <w:rsid w:val="004E16CA"/>
    <w:rsid w:val="004E1E95"/>
    <w:rsid w:val="004E282C"/>
    <w:rsid w:val="004E296C"/>
    <w:rsid w:val="004E2F7A"/>
    <w:rsid w:val="004E2FBA"/>
    <w:rsid w:val="004E30F1"/>
    <w:rsid w:val="004E331B"/>
    <w:rsid w:val="004E340A"/>
    <w:rsid w:val="004E3D99"/>
    <w:rsid w:val="004E3F47"/>
    <w:rsid w:val="004E4395"/>
    <w:rsid w:val="004E4456"/>
    <w:rsid w:val="004E451C"/>
    <w:rsid w:val="004E4D6C"/>
    <w:rsid w:val="004E4EB4"/>
    <w:rsid w:val="004E5428"/>
    <w:rsid w:val="004E5645"/>
    <w:rsid w:val="004E5902"/>
    <w:rsid w:val="004E59A0"/>
    <w:rsid w:val="004E5B2F"/>
    <w:rsid w:val="004E5E28"/>
    <w:rsid w:val="004E6526"/>
    <w:rsid w:val="004E6964"/>
    <w:rsid w:val="004E6C88"/>
    <w:rsid w:val="004E70AE"/>
    <w:rsid w:val="004E766C"/>
    <w:rsid w:val="004E7900"/>
    <w:rsid w:val="004E7B14"/>
    <w:rsid w:val="004E7E05"/>
    <w:rsid w:val="004F0145"/>
    <w:rsid w:val="004F029B"/>
    <w:rsid w:val="004F02C3"/>
    <w:rsid w:val="004F0443"/>
    <w:rsid w:val="004F0F90"/>
    <w:rsid w:val="004F12B3"/>
    <w:rsid w:val="004F1C84"/>
    <w:rsid w:val="004F1CAA"/>
    <w:rsid w:val="004F1ED9"/>
    <w:rsid w:val="004F1F86"/>
    <w:rsid w:val="004F2F5D"/>
    <w:rsid w:val="004F301B"/>
    <w:rsid w:val="004F3851"/>
    <w:rsid w:val="004F3B11"/>
    <w:rsid w:val="004F3CED"/>
    <w:rsid w:val="004F3D23"/>
    <w:rsid w:val="004F41F5"/>
    <w:rsid w:val="004F4335"/>
    <w:rsid w:val="004F43EE"/>
    <w:rsid w:val="004F45FC"/>
    <w:rsid w:val="004F4684"/>
    <w:rsid w:val="004F469D"/>
    <w:rsid w:val="004F499B"/>
    <w:rsid w:val="004F4BA9"/>
    <w:rsid w:val="004F4D92"/>
    <w:rsid w:val="004F4E94"/>
    <w:rsid w:val="004F4FCB"/>
    <w:rsid w:val="004F4FF9"/>
    <w:rsid w:val="004F5AB7"/>
    <w:rsid w:val="004F5F88"/>
    <w:rsid w:val="004F5FD3"/>
    <w:rsid w:val="004F6180"/>
    <w:rsid w:val="004F6330"/>
    <w:rsid w:val="004F69D1"/>
    <w:rsid w:val="004F6B08"/>
    <w:rsid w:val="004F6F20"/>
    <w:rsid w:val="004F7532"/>
    <w:rsid w:val="004F784E"/>
    <w:rsid w:val="004F78CE"/>
    <w:rsid w:val="004F7F67"/>
    <w:rsid w:val="005000AB"/>
    <w:rsid w:val="005000ED"/>
    <w:rsid w:val="005001B4"/>
    <w:rsid w:val="00500567"/>
    <w:rsid w:val="0050064D"/>
    <w:rsid w:val="00500AAF"/>
    <w:rsid w:val="00500D84"/>
    <w:rsid w:val="0050103F"/>
    <w:rsid w:val="00501698"/>
    <w:rsid w:val="005019FE"/>
    <w:rsid w:val="00501AEF"/>
    <w:rsid w:val="00501E76"/>
    <w:rsid w:val="00501EA7"/>
    <w:rsid w:val="0050209D"/>
    <w:rsid w:val="0050214B"/>
    <w:rsid w:val="00502840"/>
    <w:rsid w:val="0050284C"/>
    <w:rsid w:val="00502B4F"/>
    <w:rsid w:val="00503579"/>
    <w:rsid w:val="00503C5D"/>
    <w:rsid w:val="00503EEE"/>
    <w:rsid w:val="00503FAA"/>
    <w:rsid w:val="00504275"/>
    <w:rsid w:val="005044E1"/>
    <w:rsid w:val="005048B4"/>
    <w:rsid w:val="00504AC6"/>
    <w:rsid w:val="005054F5"/>
    <w:rsid w:val="00505696"/>
    <w:rsid w:val="00505A0C"/>
    <w:rsid w:val="00505CA0"/>
    <w:rsid w:val="00505F68"/>
    <w:rsid w:val="005063C1"/>
    <w:rsid w:val="00506E6F"/>
    <w:rsid w:val="00506FF0"/>
    <w:rsid w:val="00507379"/>
    <w:rsid w:val="00507E39"/>
    <w:rsid w:val="00507E6D"/>
    <w:rsid w:val="00507F31"/>
    <w:rsid w:val="00510024"/>
    <w:rsid w:val="00510D0D"/>
    <w:rsid w:val="00510E6E"/>
    <w:rsid w:val="005118C1"/>
    <w:rsid w:val="00511B0F"/>
    <w:rsid w:val="00511FF4"/>
    <w:rsid w:val="00512035"/>
    <w:rsid w:val="00513213"/>
    <w:rsid w:val="00513308"/>
    <w:rsid w:val="005135FB"/>
    <w:rsid w:val="00514349"/>
    <w:rsid w:val="005146F9"/>
    <w:rsid w:val="00514B18"/>
    <w:rsid w:val="00514BD0"/>
    <w:rsid w:val="0051508E"/>
    <w:rsid w:val="005155DC"/>
    <w:rsid w:val="00515AFA"/>
    <w:rsid w:val="00515CC6"/>
    <w:rsid w:val="00515E64"/>
    <w:rsid w:val="00516120"/>
    <w:rsid w:val="00516401"/>
    <w:rsid w:val="00516952"/>
    <w:rsid w:val="00516D67"/>
    <w:rsid w:val="00516DD5"/>
    <w:rsid w:val="00517034"/>
    <w:rsid w:val="00517784"/>
    <w:rsid w:val="00517BB1"/>
    <w:rsid w:val="00517FD8"/>
    <w:rsid w:val="00520655"/>
    <w:rsid w:val="005209E9"/>
    <w:rsid w:val="00520A99"/>
    <w:rsid w:val="00520C88"/>
    <w:rsid w:val="0052138A"/>
    <w:rsid w:val="00521752"/>
    <w:rsid w:val="00521F3E"/>
    <w:rsid w:val="0052206E"/>
    <w:rsid w:val="0052251A"/>
    <w:rsid w:val="00522716"/>
    <w:rsid w:val="005236EF"/>
    <w:rsid w:val="00523D4A"/>
    <w:rsid w:val="00523FCC"/>
    <w:rsid w:val="00523FE0"/>
    <w:rsid w:val="00524800"/>
    <w:rsid w:val="00524C76"/>
    <w:rsid w:val="00525439"/>
    <w:rsid w:val="00525C73"/>
    <w:rsid w:val="00526475"/>
    <w:rsid w:val="0052650A"/>
    <w:rsid w:val="00526F1A"/>
    <w:rsid w:val="005274E4"/>
    <w:rsid w:val="005300C8"/>
    <w:rsid w:val="00530D03"/>
    <w:rsid w:val="00531073"/>
    <w:rsid w:val="005310EC"/>
    <w:rsid w:val="00531784"/>
    <w:rsid w:val="00531A85"/>
    <w:rsid w:val="005322CA"/>
    <w:rsid w:val="005327BE"/>
    <w:rsid w:val="0053382B"/>
    <w:rsid w:val="00533843"/>
    <w:rsid w:val="00533C21"/>
    <w:rsid w:val="00534516"/>
    <w:rsid w:val="0053497A"/>
    <w:rsid w:val="005349A4"/>
    <w:rsid w:val="00534A39"/>
    <w:rsid w:val="0053507F"/>
    <w:rsid w:val="0053522F"/>
    <w:rsid w:val="00535399"/>
    <w:rsid w:val="005354EA"/>
    <w:rsid w:val="00535793"/>
    <w:rsid w:val="00535B9E"/>
    <w:rsid w:val="00536991"/>
    <w:rsid w:val="00536C6C"/>
    <w:rsid w:val="005378E5"/>
    <w:rsid w:val="00537AE8"/>
    <w:rsid w:val="00537B38"/>
    <w:rsid w:val="00537D2E"/>
    <w:rsid w:val="00537FB0"/>
    <w:rsid w:val="0054057F"/>
    <w:rsid w:val="00540815"/>
    <w:rsid w:val="00540884"/>
    <w:rsid w:val="00540B61"/>
    <w:rsid w:val="0054160A"/>
    <w:rsid w:val="005418F9"/>
    <w:rsid w:val="005422EF"/>
    <w:rsid w:val="00542580"/>
    <w:rsid w:val="00542AE4"/>
    <w:rsid w:val="00542F23"/>
    <w:rsid w:val="00543E76"/>
    <w:rsid w:val="0054465F"/>
    <w:rsid w:val="00544F2B"/>
    <w:rsid w:val="0054520D"/>
    <w:rsid w:val="005456C7"/>
    <w:rsid w:val="005458D8"/>
    <w:rsid w:val="005459AE"/>
    <w:rsid w:val="00545CF4"/>
    <w:rsid w:val="00546008"/>
    <w:rsid w:val="00546577"/>
    <w:rsid w:val="00546812"/>
    <w:rsid w:val="00547628"/>
    <w:rsid w:val="005478D2"/>
    <w:rsid w:val="00547B7D"/>
    <w:rsid w:val="00547C77"/>
    <w:rsid w:val="00547ED2"/>
    <w:rsid w:val="00550001"/>
    <w:rsid w:val="00550042"/>
    <w:rsid w:val="005508E3"/>
    <w:rsid w:val="00551049"/>
    <w:rsid w:val="00551286"/>
    <w:rsid w:val="00551298"/>
    <w:rsid w:val="005512A0"/>
    <w:rsid w:val="00551A36"/>
    <w:rsid w:val="00551E88"/>
    <w:rsid w:val="00554201"/>
    <w:rsid w:val="00554522"/>
    <w:rsid w:val="00554AF8"/>
    <w:rsid w:val="00554E73"/>
    <w:rsid w:val="00554FDE"/>
    <w:rsid w:val="005554E3"/>
    <w:rsid w:val="00555612"/>
    <w:rsid w:val="005557F8"/>
    <w:rsid w:val="00555864"/>
    <w:rsid w:val="00555A16"/>
    <w:rsid w:val="00555AAF"/>
    <w:rsid w:val="00555B8B"/>
    <w:rsid w:val="00555D37"/>
    <w:rsid w:val="00556A04"/>
    <w:rsid w:val="00556ADE"/>
    <w:rsid w:val="00556FE1"/>
    <w:rsid w:val="00557178"/>
    <w:rsid w:val="005574D0"/>
    <w:rsid w:val="005576EB"/>
    <w:rsid w:val="00557EEE"/>
    <w:rsid w:val="0056019D"/>
    <w:rsid w:val="00560F20"/>
    <w:rsid w:val="00561118"/>
    <w:rsid w:val="0056126A"/>
    <w:rsid w:val="00561EE3"/>
    <w:rsid w:val="005633BE"/>
    <w:rsid w:val="00563EC0"/>
    <w:rsid w:val="00563FED"/>
    <w:rsid w:val="0056461A"/>
    <w:rsid w:val="00564F48"/>
    <w:rsid w:val="005651F1"/>
    <w:rsid w:val="005656E6"/>
    <w:rsid w:val="00565903"/>
    <w:rsid w:val="00565A80"/>
    <w:rsid w:val="005664C9"/>
    <w:rsid w:val="00567244"/>
    <w:rsid w:val="00567481"/>
    <w:rsid w:val="00567E90"/>
    <w:rsid w:val="005702B5"/>
    <w:rsid w:val="00570868"/>
    <w:rsid w:val="0057088E"/>
    <w:rsid w:val="005709BB"/>
    <w:rsid w:val="00570E72"/>
    <w:rsid w:val="00570F94"/>
    <w:rsid w:val="0057160C"/>
    <w:rsid w:val="005718A5"/>
    <w:rsid w:val="00571CDA"/>
    <w:rsid w:val="00572201"/>
    <w:rsid w:val="00572385"/>
    <w:rsid w:val="00572BA2"/>
    <w:rsid w:val="00572C4F"/>
    <w:rsid w:val="00572E99"/>
    <w:rsid w:val="0057343A"/>
    <w:rsid w:val="00573AD0"/>
    <w:rsid w:val="00573C47"/>
    <w:rsid w:val="00573CCC"/>
    <w:rsid w:val="00573D6C"/>
    <w:rsid w:val="00573FFD"/>
    <w:rsid w:val="0057419E"/>
    <w:rsid w:val="005741E5"/>
    <w:rsid w:val="00574607"/>
    <w:rsid w:val="00575045"/>
    <w:rsid w:val="005759DA"/>
    <w:rsid w:val="00575BF9"/>
    <w:rsid w:val="00575E7A"/>
    <w:rsid w:val="00575F34"/>
    <w:rsid w:val="0057652E"/>
    <w:rsid w:val="00576C09"/>
    <w:rsid w:val="00576D00"/>
    <w:rsid w:val="00577087"/>
    <w:rsid w:val="0057712A"/>
    <w:rsid w:val="005771A5"/>
    <w:rsid w:val="0057789A"/>
    <w:rsid w:val="0058027E"/>
    <w:rsid w:val="005808BD"/>
    <w:rsid w:val="00580D67"/>
    <w:rsid w:val="00580FEB"/>
    <w:rsid w:val="00581B3D"/>
    <w:rsid w:val="00582577"/>
    <w:rsid w:val="00582756"/>
    <w:rsid w:val="00582939"/>
    <w:rsid w:val="00582B86"/>
    <w:rsid w:val="00582E4E"/>
    <w:rsid w:val="00583406"/>
    <w:rsid w:val="0058363E"/>
    <w:rsid w:val="00583B21"/>
    <w:rsid w:val="005843B6"/>
    <w:rsid w:val="005843FD"/>
    <w:rsid w:val="00584926"/>
    <w:rsid w:val="00584C12"/>
    <w:rsid w:val="00584D33"/>
    <w:rsid w:val="00584EFC"/>
    <w:rsid w:val="00585588"/>
    <w:rsid w:val="00585C13"/>
    <w:rsid w:val="00585D59"/>
    <w:rsid w:val="005860B8"/>
    <w:rsid w:val="0058626A"/>
    <w:rsid w:val="005865A2"/>
    <w:rsid w:val="00586996"/>
    <w:rsid w:val="00587441"/>
    <w:rsid w:val="0058756E"/>
    <w:rsid w:val="0058773F"/>
    <w:rsid w:val="005877C7"/>
    <w:rsid w:val="005878E3"/>
    <w:rsid w:val="0058790B"/>
    <w:rsid w:val="005901C4"/>
    <w:rsid w:val="005907C5"/>
    <w:rsid w:val="00590BAE"/>
    <w:rsid w:val="00590D3D"/>
    <w:rsid w:val="00590FC3"/>
    <w:rsid w:val="005911F4"/>
    <w:rsid w:val="00591465"/>
    <w:rsid w:val="00591907"/>
    <w:rsid w:val="00591A83"/>
    <w:rsid w:val="00591FDB"/>
    <w:rsid w:val="005920EF"/>
    <w:rsid w:val="005922DF"/>
    <w:rsid w:val="00592C73"/>
    <w:rsid w:val="00592DE3"/>
    <w:rsid w:val="005932BA"/>
    <w:rsid w:val="00593605"/>
    <w:rsid w:val="00593762"/>
    <w:rsid w:val="005937AB"/>
    <w:rsid w:val="00593C23"/>
    <w:rsid w:val="00593E32"/>
    <w:rsid w:val="00593E55"/>
    <w:rsid w:val="00593E8D"/>
    <w:rsid w:val="00593FBE"/>
    <w:rsid w:val="0059432C"/>
    <w:rsid w:val="00594CBF"/>
    <w:rsid w:val="00594F7E"/>
    <w:rsid w:val="005957D0"/>
    <w:rsid w:val="005960F2"/>
    <w:rsid w:val="005964BC"/>
    <w:rsid w:val="00596A4F"/>
    <w:rsid w:val="00596AB8"/>
    <w:rsid w:val="00596EDF"/>
    <w:rsid w:val="0059775C"/>
    <w:rsid w:val="005A00FF"/>
    <w:rsid w:val="005A082E"/>
    <w:rsid w:val="005A0B3A"/>
    <w:rsid w:val="005A0E5E"/>
    <w:rsid w:val="005A0F0D"/>
    <w:rsid w:val="005A10F0"/>
    <w:rsid w:val="005A11DD"/>
    <w:rsid w:val="005A13D8"/>
    <w:rsid w:val="005A1894"/>
    <w:rsid w:val="005A1980"/>
    <w:rsid w:val="005A1B85"/>
    <w:rsid w:val="005A1D38"/>
    <w:rsid w:val="005A1DDC"/>
    <w:rsid w:val="005A1FAC"/>
    <w:rsid w:val="005A2690"/>
    <w:rsid w:val="005A2822"/>
    <w:rsid w:val="005A354B"/>
    <w:rsid w:val="005A3AA8"/>
    <w:rsid w:val="005A3B0D"/>
    <w:rsid w:val="005A43D1"/>
    <w:rsid w:val="005A4AF4"/>
    <w:rsid w:val="005A53E3"/>
    <w:rsid w:val="005A571D"/>
    <w:rsid w:val="005A5A2A"/>
    <w:rsid w:val="005A5A39"/>
    <w:rsid w:val="005A5A8C"/>
    <w:rsid w:val="005A5F76"/>
    <w:rsid w:val="005A6024"/>
    <w:rsid w:val="005A6052"/>
    <w:rsid w:val="005A6ACB"/>
    <w:rsid w:val="005A7163"/>
    <w:rsid w:val="005A7539"/>
    <w:rsid w:val="005A7662"/>
    <w:rsid w:val="005A79CF"/>
    <w:rsid w:val="005B01D9"/>
    <w:rsid w:val="005B05C6"/>
    <w:rsid w:val="005B0828"/>
    <w:rsid w:val="005B1428"/>
    <w:rsid w:val="005B1538"/>
    <w:rsid w:val="005B16BD"/>
    <w:rsid w:val="005B16E4"/>
    <w:rsid w:val="005B1860"/>
    <w:rsid w:val="005B20A6"/>
    <w:rsid w:val="005B243C"/>
    <w:rsid w:val="005B29BF"/>
    <w:rsid w:val="005B306C"/>
    <w:rsid w:val="005B317F"/>
    <w:rsid w:val="005B355F"/>
    <w:rsid w:val="005B3D57"/>
    <w:rsid w:val="005B43FC"/>
    <w:rsid w:val="005B46B9"/>
    <w:rsid w:val="005B4AAF"/>
    <w:rsid w:val="005B4F35"/>
    <w:rsid w:val="005B4F60"/>
    <w:rsid w:val="005B56E0"/>
    <w:rsid w:val="005B5E4D"/>
    <w:rsid w:val="005B5EF4"/>
    <w:rsid w:val="005B5F3D"/>
    <w:rsid w:val="005B606E"/>
    <w:rsid w:val="005B6916"/>
    <w:rsid w:val="005B7471"/>
    <w:rsid w:val="005B7747"/>
    <w:rsid w:val="005B7CC7"/>
    <w:rsid w:val="005B7D92"/>
    <w:rsid w:val="005B7E20"/>
    <w:rsid w:val="005C010A"/>
    <w:rsid w:val="005C02E8"/>
    <w:rsid w:val="005C03B6"/>
    <w:rsid w:val="005C0954"/>
    <w:rsid w:val="005C1308"/>
    <w:rsid w:val="005C1C51"/>
    <w:rsid w:val="005C1D90"/>
    <w:rsid w:val="005C1EEA"/>
    <w:rsid w:val="005C2B04"/>
    <w:rsid w:val="005C321D"/>
    <w:rsid w:val="005C415F"/>
    <w:rsid w:val="005C4280"/>
    <w:rsid w:val="005C4785"/>
    <w:rsid w:val="005C5269"/>
    <w:rsid w:val="005C6115"/>
    <w:rsid w:val="005C6146"/>
    <w:rsid w:val="005C6293"/>
    <w:rsid w:val="005C6ECC"/>
    <w:rsid w:val="005C7E9F"/>
    <w:rsid w:val="005D00CD"/>
    <w:rsid w:val="005D01A0"/>
    <w:rsid w:val="005D060A"/>
    <w:rsid w:val="005D06F9"/>
    <w:rsid w:val="005D07EB"/>
    <w:rsid w:val="005D0830"/>
    <w:rsid w:val="005D089A"/>
    <w:rsid w:val="005D10AE"/>
    <w:rsid w:val="005D12CD"/>
    <w:rsid w:val="005D2029"/>
    <w:rsid w:val="005D2A98"/>
    <w:rsid w:val="005D2CCA"/>
    <w:rsid w:val="005D2F51"/>
    <w:rsid w:val="005D32A8"/>
    <w:rsid w:val="005D351E"/>
    <w:rsid w:val="005D3579"/>
    <w:rsid w:val="005D35D8"/>
    <w:rsid w:val="005D3854"/>
    <w:rsid w:val="005D3B16"/>
    <w:rsid w:val="005D463C"/>
    <w:rsid w:val="005D4D35"/>
    <w:rsid w:val="005D5077"/>
    <w:rsid w:val="005D528F"/>
    <w:rsid w:val="005D57C1"/>
    <w:rsid w:val="005D5B98"/>
    <w:rsid w:val="005D5E2D"/>
    <w:rsid w:val="005D6106"/>
    <w:rsid w:val="005D6147"/>
    <w:rsid w:val="005D67F8"/>
    <w:rsid w:val="005D6815"/>
    <w:rsid w:val="005D6FD4"/>
    <w:rsid w:val="005D737D"/>
    <w:rsid w:val="005D761B"/>
    <w:rsid w:val="005D7849"/>
    <w:rsid w:val="005D7CD1"/>
    <w:rsid w:val="005E0037"/>
    <w:rsid w:val="005E0FC8"/>
    <w:rsid w:val="005E1814"/>
    <w:rsid w:val="005E1892"/>
    <w:rsid w:val="005E1B34"/>
    <w:rsid w:val="005E1FF9"/>
    <w:rsid w:val="005E26EC"/>
    <w:rsid w:val="005E2BFC"/>
    <w:rsid w:val="005E300D"/>
    <w:rsid w:val="005E34D6"/>
    <w:rsid w:val="005E3E65"/>
    <w:rsid w:val="005E3E8B"/>
    <w:rsid w:val="005E3ECC"/>
    <w:rsid w:val="005E4670"/>
    <w:rsid w:val="005E4726"/>
    <w:rsid w:val="005E5430"/>
    <w:rsid w:val="005E76EC"/>
    <w:rsid w:val="005E7A0E"/>
    <w:rsid w:val="005E7C52"/>
    <w:rsid w:val="005E7FEE"/>
    <w:rsid w:val="005F0018"/>
    <w:rsid w:val="005F0065"/>
    <w:rsid w:val="005F0578"/>
    <w:rsid w:val="005F079A"/>
    <w:rsid w:val="005F091A"/>
    <w:rsid w:val="005F09AB"/>
    <w:rsid w:val="005F0FD2"/>
    <w:rsid w:val="005F13BD"/>
    <w:rsid w:val="005F1600"/>
    <w:rsid w:val="005F2916"/>
    <w:rsid w:val="005F296E"/>
    <w:rsid w:val="005F2BF2"/>
    <w:rsid w:val="005F33AC"/>
    <w:rsid w:val="005F3C63"/>
    <w:rsid w:val="005F3F53"/>
    <w:rsid w:val="005F4399"/>
    <w:rsid w:val="005F498F"/>
    <w:rsid w:val="005F4A96"/>
    <w:rsid w:val="005F4C5D"/>
    <w:rsid w:val="005F4D61"/>
    <w:rsid w:val="005F550B"/>
    <w:rsid w:val="005F5539"/>
    <w:rsid w:val="005F5F04"/>
    <w:rsid w:val="005F60E4"/>
    <w:rsid w:val="005F6171"/>
    <w:rsid w:val="005F6291"/>
    <w:rsid w:val="005F634D"/>
    <w:rsid w:val="005F6B82"/>
    <w:rsid w:val="005F6E37"/>
    <w:rsid w:val="005F703A"/>
    <w:rsid w:val="005F7E3D"/>
    <w:rsid w:val="00600148"/>
    <w:rsid w:val="0060048B"/>
    <w:rsid w:val="00600582"/>
    <w:rsid w:val="006007C1"/>
    <w:rsid w:val="006008A0"/>
    <w:rsid w:val="00600BEC"/>
    <w:rsid w:val="00600F33"/>
    <w:rsid w:val="0060156B"/>
    <w:rsid w:val="00601D4A"/>
    <w:rsid w:val="00602190"/>
    <w:rsid w:val="006021CD"/>
    <w:rsid w:val="00602211"/>
    <w:rsid w:val="0060231B"/>
    <w:rsid w:val="006023AF"/>
    <w:rsid w:val="0060243C"/>
    <w:rsid w:val="006024FB"/>
    <w:rsid w:val="00602AF2"/>
    <w:rsid w:val="00602D02"/>
    <w:rsid w:val="00602DEB"/>
    <w:rsid w:val="006030FE"/>
    <w:rsid w:val="00603A0A"/>
    <w:rsid w:val="00603A6C"/>
    <w:rsid w:val="00603BB6"/>
    <w:rsid w:val="00603DC3"/>
    <w:rsid w:val="006040DE"/>
    <w:rsid w:val="0060463B"/>
    <w:rsid w:val="00604868"/>
    <w:rsid w:val="0060527C"/>
    <w:rsid w:val="006055A5"/>
    <w:rsid w:val="00605B9F"/>
    <w:rsid w:val="00605D5B"/>
    <w:rsid w:val="00606285"/>
    <w:rsid w:val="0060647C"/>
    <w:rsid w:val="006065A5"/>
    <w:rsid w:val="0060696A"/>
    <w:rsid w:val="00607497"/>
    <w:rsid w:val="00607B17"/>
    <w:rsid w:val="0061047A"/>
    <w:rsid w:val="006106BB"/>
    <w:rsid w:val="00610723"/>
    <w:rsid w:val="00610D62"/>
    <w:rsid w:val="00610F8A"/>
    <w:rsid w:val="00611196"/>
    <w:rsid w:val="00611388"/>
    <w:rsid w:val="006117B5"/>
    <w:rsid w:val="0061186B"/>
    <w:rsid w:val="00611AAD"/>
    <w:rsid w:val="00611D37"/>
    <w:rsid w:val="00612164"/>
    <w:rsid w:val="0061234F"/>
    <w:rsid w:val="0061235F"/>
    <w:rsid w:val="0061254C"/>
    <w:rsid w:val="00612C7C"/>
    <w:rsid w:val="00612CB4"/>
    <w:rsid w:val="00612CBD"/>
    <w:rsid w:val="006130C7"/>
    <w:rsid w:val="00613333"/>
    <w:rsid w:val="00613C62"/>
    <w:rsid w:val="00614434"/>
    <w:rsid w:val="00614CBD"/>
    <w:rsid w:val="0061503C"/>
    <w:rsid w:val="00615475"/>
    <w:rsid w:val="00615561"/>
    <w:rsid w:val="006156B4"/>
    <w:rsid w:val="006161F8"/>
    <w:rsid w:val="00616C17"/>
    <w:rsid w:val="006176CF"/>
    <w:rsid w:val="0061775E"/>
    <w:rsid w:val="00617DA2"/>
    <w:rsid w:val="00620311"/>
    <w:rsid w:val="0062038B"/>
    <w:rsid w:val="00620A91"/>
    <w:rsid w:val="00620F0C"/>
    <w:rsid w:val="00621069"/>
    <w:rsid w:val="0062116D"/>
    <w:rsid w:val="00621E20"/>
    <w:rsid w:val="0062208A"/>
    <w:rsid w:val="0062249B"/>
    <w:rsid w:val="00622DC8"/>
    <w:rsid w:val="00622F7D"/>
    <w:rsid w:val="00623168"/>
    <w:rsid w:val="006233B9"/>
    <w:rsid w:val="0062381F"/>
    <w:rsid w:val="00623DD0"/>
    <w:rsid w:val="00624246"/>
    <w:rsid w:val="00624A1F"/>
    <w:rsid w:val="00624CA6"/>
    <w:rsid w:val="00625612"/>
    <w:rsid w:val="006265C1"/>
    <w:rsid w:val="00626C33"/>
    <w:rsid w:val="00626F8A"/>
    <w:rsid w:val="00627476"/>
    <w:rsid w:val="00627533"/>
    <w:rsid w:val="006279D2"/>
    <w:rsid w:val="00627DEF"/>
    <w:rsid w:val="00627E1F"/>
    <w:rsid w:val="00627E51"/>
    <w:rsid w:val="0063005D"/>
    <w:rsid w:val="00630095"/>
    <w:rsid w:val="006302DE"/>
    <w:rsid w:val="00630A94"/>
    <w:rsid w:val="00630B0F"/>
    <w:rsid w:val="00631368"/>
    <w:rsid w:val="0063174A"/>
    <w:rsid w:val="006317C3"/>
    <w:rsid w:val="00631A2D"/>
    <w:rsid w:val="006328E7"/>
    <w:rsid w:val="00632B3C"/>
    <w:rsid w:val="00632EC5"/>
    <w:rsid w:val="006333D8"/>
    <w:rsid w:val="00633649"/>
    <w:rsid w:val="00633A48"/>
    <w:rsid w:val="006340A1"/>
    <w:rsid w:val="0063461E"/>
    <w:rsid w:val="006346AF"/>
    <w:rsid w:val="0063481B"/>
    <w:rsid w:val="00634BA2"/>
    <w:rsid w:val="006350C1"/>
    <w:rsid w:val="0063511F"/>
    <w:rsid w:val="00636184"/>
    <w:rsid w:val="00636192"/>
    <w:rsid w:val="0063621C"/>
    <w:rsid w:val="006366CD"/>
    <w:rsid w:val="00636816"/>
    <w:rsid w:val="006368ED"/>
    <w:rsid w:val="00636D06"/>
    <w:rsid w:val="00636EB8"/>
    <w:rsid w:val="0063704E"/>
    <w:rsid w:val="0063725F"/>
    <w:rsid w:val="00637481"/>
    <w:rsid w:val="006378B4"/>
    <w:rsid w:val="006379AF"/>
    <w:rsid w:val="006401BB"/>
    <w:rsid w:val="006404C5"/>
    <w:rsid w:val="00640824"/>
    <w:rsid w:val="00640D67"/>
    <w:rsid w:val="00640DD0"/>
    <w:rsid w:val="00641414"/>
    <w:rsid w:val="006416F9"/>
    <w:rsid w:val="006418A9"/>
    <w:rsid w:val="00642670"/>
    <w:rsid w:val="0064299F"/>
    <w:rsid w:val="00642E76"/>
    <w:rsid w:val="00643033"/>
    <w:rsid w:val="00643235"/>
    <w:rsid w:val="006433A3"/>
    <w:rsid w:val="00643477"/>
    <w:rsid w:val="006436FF"/>
    <w:rsid w:val="00643940"/>
    <w:rsid w:val="00643D00"/>
    <w:rsid w:val="006442F9"/>
    <w:rsid w:val="00644494"/>
    <w:rsid w:val="00644968"/>
    <w:rsid w:val="006449EF"/>
    <w:rsid w:val="00644B62"/>
    <w:rsid w:val="006453AE"/>
    <w:rsid w:val="006468BA"/>
    <w:rsid w:val="00646B06"/>
    <w:rsid w:val="00646B29"/>
    <w:rsid w:val="006470A6"/>
    <w:rsid w:val="00647256"/>
    <w:rsid w:val="006472D8"/>
    <w:rsid w:val="00647DFE"/>
    <w:rsid w:val="00647FAC"/>
    <w:rsid w:val="006500C3"/>
    <w:rsid w:val="006503E0"/>
    <w:rsid w:val="006504B2"/>
    <w:rsid w:val="006506D9"/>
    <w:rsid w:val="00650953"/>
    <w:rsid w:val="00650BE3"/>
    <w:rsid w:val="0065144F"/>
    <w:rsid w:val="00651B2B"/>
    <w:rsid w:val="00651D94"/>
    <w:rsid w:val="00651DAA"/>
    <w:rsid w:val="00652110"/>
    <w:rsid w:val="00652A26"/>
    <w:rsid w:val="00652DF6"/>
    <w:rsid w:val="0065393F"/>
    <w:rsid w:val="00653A19"/>
    <w:rsid w:val="00654042"/>
    <w:rsid w:val="006544D5"/>
    <w:rsid w:val="0065460A"/>
    <w:rsid w:val="00654A7A"/>
    <w:rsid w:val="006551E5"/>
    <w:rsid w:val="00655FB4"/>
    <w:rsid w:val="006562E4"/>
    <w:rsid w:val="0065644A"/>
    <w:rsid w:val="006566C6"/>
    <w:rsid w:val="00656C71"/>
    <w:rsid w:val="006571D1"/>
    <w:rsid w:val="006574DF"/>
    <w:rsid w:val="0065780D"/>
    <w:rsid w:val="006604D8"/>
    <w:rsid w:val="00660B43"/>
    <w:rsid w:val="006613B1"/>
    <w:rsid w:val="006616E1"/>
    <w:rsid w:val="006619FE"/>
    <w:rsid w:val="00661EC4"/>
    <w:rsid w:val="00661F46"/>
    <w:rsid w:val="006623B1"/>
    <w:rsid w:val="00662670"/>
    <w:rsid w:val="00662D57"/>
    <w:rsid w:val="00663037"/>
    <w:rsid w:val="0066356E"/>
    <w:rsid w:val="00663CB3"/>
    <w:rsid w:val="00663E98"/>
    <w:rsid w:val="00663FD3"/>
    <w:rsid w:val="0066420D"/>
    <w:rsid w:val="00664654"/>
    <w:rsid w:val="00664CE6"/>
    <w:rsid w:val="00664D60"/>
    <w:rsid w:val="00665174"/>
    <w:rsid w:val="006652A5"/>
    <w:rsid w:val="00665344"/>
    <w:rsid w:val="00665779"/>
    <w:rsid w:val="006675F2"/>
    <w:rsid w:val="006676CE"/>
    <w:rsid w:val="006677E8"/>
    <w:rsid w:val="0066783F"/>
    <w:rsid w:val="00667D0B"/>
    <w:rsid w:val="0067005A"/>
    <w:rsid w:val="006700A5"/>
    <w:rsid w:val="00670343"/>
    <w:rsid w:val="00670A2C"/>
    <w:rsid w:val="00670D36"/>
    <w:rsid w:val="006718D2"/>
    <w:rsid w:val="00671CF4"/>
    <w:rsid w:val="006732C2"/>
    <w:rsid w:val="006736D3"/>
    <w:rsid w:val="00674005"/>
    <w:rsid w:val="006741AB"/>
    <w:rsid w:val="006743BA"/>
    <w:rsid w:val="00674EA6"/>
    <w:rsid w:val="00674F9E"/>
    <w:rsid w:val="0067523F"/>
    <w:rsid w:val="006753A2"/>
    <w:rsid w:val="006756DB"/>
    <w:rsid w:val="0067624B"/>
    <w:rsid w:val="0067644B"/>
    <w:rsid w:val="00676586"/>
    <w:rsid w:val="006765B9"/>
    <w:rsid w:val="00676626"/>
    <w:rsid w:val="00676A8B"/>
    <w:rsid w:val="00676B15"/>
    <w:rsid w:val="00676B93"/>
    <w:rsid w:val="006771B6"/>
    <w:rsid w:val="0067726C"/>
    <w:rsid w:val="00677371"/>
    <w:rsid w:val="00677D2A"/>
    <w:rsid w:val="00680036"/>
    <w:rsid w:val="0068070F"/>
    <w:rsid w:val="0068093D"/>
    <w:rsid w:val="00680BB5"/>
    <w:rsid w:val="006811F7"/>
    <w:rsid w:val="00681994"/>
    <w:rsid w:val="00681BE2"/>
    <w:rsid w:val="00681EB6"/>
    <w:rsid w:val="00682267"/>
    <w:rsid w:val="0068265A"/>
    <w:rsid w:val="00682F2F"/>
    <w:rsid w:val="006833D3"/>
    <w:rsid w:val="006837CE"/>
    <w:rsid w:val="00683FC0"/>
    <w:rsid w:val="006843F0"/>
    <w:rsid w:val="00684FB6"/>
    <w:rsid w:val="00685857"/>
    <w:rsid w:val="00685ED5"/>
    <w:rsid w:val="00685FCB"/>
    <w:rsid w:val="006863E6"/>
    <w:rsid w:val="00686765"/>
    <w:rsid w:val="0068682E"/>
    <w:rsid w:val="00686939"/>
    <w:rsid w:val="006869B2"/>
    <w:rsid w:val="006869E5"/>
    <w:rsid w:val="006869FE"/>
    <w:rsid w:val="00687334"/>
    <w:rsid w:val="006874DA"/>
    <w:rsid w:val="00687992"/>
    <w:rsid w:val="006879AF"/>
    <w:rsid w:val="00687A49"/>
    <w:rsid w:val="00690102"/>
    <w:rsid w:val="00690113"/>
    <w:rsid w:val="00690127"/>
    <w:rsid w:val="006906AC"/>
    <w:rsid w:val="006907FA"/>
    <w:rsid w:val="00690887"/>
    <w:rsid w:val="0069113B"/>
    <w:rsid w:val="0069134B"/>
    <w:rsid w:val="006913A6"/>
    <w:rsid w:val="00691913"/>
    <w:rsid w:val="00691A75"/>
    <w:rsid w:val="00691F4A"/>
    <w:rsid w:val="00691F7D"/>
    <w:rsid w:val="00692191"/>
    <w:rsid w:val="00692409"/>
    <w:rsid w:val="00692502"/>
    <w:rsid w:val="00692571"/>
    <w:rsid w:val="00692A0A"/>
    <w:rsid w:val="00693477"/>
    <w:rsid w:val="006935C8"/>
    <w:rsid w:val="00693ABC"/>
    <w:rsid w:val="00693B94"/>
    <w:rsid w:val="00693EA9"/>
    <w:rsid w:val="0069470E"/>
    <w:rsid w:val="00694F47"/>
    <w:rsid w:val="006951BF"/>
    <w:rsid w:val="00695B07"/>
    <w:rsid w:val="00695D12"/>
    <w:rsid w:val="00696009"/>
    <w:rsid w:val="006960B4"/>
    <w:rsid w:val="00696C63"/>
    <w:rsid w:val="00697403"/>
    <w:rsid w:val="00697C5C"/>
    <w:rsid w:val="00697C8F"/>
    <w:rsid w:val="006A0186"/>
    <w:rsid w:val="006A05D0"/>
    <w:rsid w:val="006A06E4"/>
    <w:rsid w:val="006A0C5D"/>
    <w:rsid w:val="006A0C64"/>
    <w:rsid w:val="006A0EA0"/>
    <w:rsid w:val="006A1AA6"/>
    <w:rsid w:val="006A1AF7"/>
    <w:rsid w:val="006A2192"/>
    <w:rsid w:val="006A23F4"/>
    <w:rsid w:val="006A2921"/>
    <w:rsid w:val="006A29F5"/>
    <w:rsid w:val="006A2C38"/>
    <w:rsid w:val="006A2DD1"/>
    <w:rsid w:val="006A339D"/>
    <w:rsid w:val="006A36E8"/>
    <w:rsid w:val="006A3EAE"/>
    <w:rsid w:val="006A4171"/>
    <w:rsid w:val="006A41C2"/>
    <w:rsid w:val="006A4632"/>
    <w:rsid w:val="006A468E"/>
    <w:rsid w:val="006A53E2"/>
    <w:rsid w:val="006A5483"/>
    <w:rsid w:val="006A64C2"/>
    <w:rsid w:val="006A6CC6"/>
    <w:rsid w:val="006A6F03"/>
    <w:rsid w:val="006A7252"/>
    <w:rsid w:val="006A739B"/>
    <w:rsid w:val="006A7F2E"/>
    <w:rsid w:val="006B0127"/>
    <w:rsid w:val="006B03C1"/>
    <w:rsid w:val="006B05A3"/>
    <w:rsid w:val="006B0FF3"/>
    <w:rsid w:val="006B11DC"/>
    <w:rsid w:val="006B21DF"/>
    <w:rsid w:val="006B2554"/>
    <w:rsid w:val="006B2CEA"/>
    <w:rsid w:val="006B2D8E"/>
    <w:rsid w:val="006B39A9"/>
    <w:rsid w:val="006B3B82"/>
    <w:rsid w:val="006B3FA0"/>
    <w:rsid w:val="006B4BA8"/>
    <w:rsid w:val="006B4C6C"/>
    <w:rsid w:val="006B4CC2"/>
    <w:rsid w:val="006B4FB3"/>
    <w:rsid w:val="006B5107"/>
    <w:rsid w:val="006B539B"/>
    <w:rsid w:val="006B560A"/>
    <w:rsid w:val="006B58FE"/>
    <w:rsid w:val="006B5996"/>
    <w:rsid w:val="006B6233"/>
    <w:rsid w:val="006B687C"/>
    <w:rsid w:val="006B6AD6"/>
    <w:rsid w:val="006B6D74"/>
    <w:rsid w:val="006B6E5A"/>
    <w:rsid w:val="006B7447"/>
    <w:rsid w:val="006B7561"/>
    <w:rsid w:val="006B7F9F"/>
    <w:rsid w:val="006C00D4"/>
    <w:rsid w:val="006C0B23"/>
    <w:rsid w:val="006C17E3"/>
    <w:rsid w:val="006C1D74"/>
    <w:rsid w:val="006C1E48"/>
    <w:rsid w:val="006C2B48"/>
    <w:rsid w:val="006C2C57"/>
    <w:rsid w:val="006C2E4B"/>
    <w:rsid w:val="006C2E90"/>
    <w:rsid w:val="006C2EC3"/>
    <w:rsid w:val="006C323D"/>
    <w:rsid w:val="006C355A"/>
    <w:rsid w:val="006C406F"/>
    <w:rsid w:val="006C411B"/>
    <w:rsid w:val="006C45F8"/>
    <w:rsid w:val="006C4715"/>
    <w:rsid w:val="006C4E81"/>
    <w:rsid w:val="006C51E5"/>
    <w:rsid w:val="006C53FE"/>
    <w:rsid w:val="006C5D29"/>
    <w:rsid w:val="006C5D49"/>
    <w:rsid w:val="006C5D73"/>
    <w:rsid w:val="006C6458"/>
    <w:rsid w:val="006C6A1C"/>
    <w:rsid w:val="006C6BAB"/>
    <w:rsid w:val="006C6C18"/>
    <w:rsid w:val="006C6D78"/>
    <w:rsid w:val="006C7449"/>
    <w:rsid w:val="006C7DAA"/>
    <w:rsid w:val="006D00BD"/>
    <w:rsid w:val="006D04CC"/>
    <w:rsid w:val="006D057E"/>
    <w:rsid w:val="006D0C89"/>
    <w:rsid w:val="006D1664"/>
    <w:rsid w:val="006D1BA1"/>
    <w:rsid w:val="006D1C4D"/>
    <w:rsid w:val="006D1E08"/>
    <w:rsid w:val="006D2460"/>
    <w:rsid w:val="006D2474"/>
    <w:rsid w:val="006D2AA8"/>
    <w:rsid w:val="006D2D51"/>
    <w:rsid w:val="006D34F0"/>
    <w:rsid w:val="006D4294"/>
    <w:rsid w:val="006D42D5"/>
    <w:rsid w:val="006D4490"/>
    <w:rsid w:val="006D4F7B"/>
    <w:rsid w:val="006D512D"/>
    <w:rsid w:val="006D56C3"/>
    <w:rsid w:val="006D5A4A"/>
    <w:rsid w:val="006D5F93"/>
    <w:rsid w:val="006D6304"/>
    <w:rsid w:val="006D64AD"/>
    <w:rsid w:val="006D67D6"/>
    <w:rsid w:val="006D7687"/>
    <w:rsid w:val="006D7700"/>
    <w:rsid w:val="006D7D1A"/>
    <w:rsid w:val="006D7E4B"/>
    <w:rsid w:val="006D7F67"/>
    <w:rsid w:val="006E00BF"/>
    <w:rsid w:val="006E0370"/>
    <w:rsid w:val="006E03E8"/>
    <w:rsid w:val="006E080E"/>
    <w:rsid w:val="006E14EC"/>
    <w:rsid w:val="006E1B16"/>
    <w:rsid w:val="006E274A"/>
    <w:rsid w:val="006E287F"/>
    <w:rsid w:val="006E2B1A"/>
    <w:rsid w:val="006E2CAA"/>
    <w:rsid w:val="006E2DDD"/>
    <w:rsid w:val="006E332C"/>
    <w:rsid w:val="006E3352"/>
    <w:rsid w:val="006E33A5"/>
    <w:rsid w:val="006E3B5A"/>
    <w:rsid w:val="006E3E12"/>
    <w:rsid w:val="006E3F5B"/>
    <w:rsid w:val="006E437E"/>
    <w:rsid w:val="006E4701"/>
    <w:rsid w:val="006E4A28"/>
    <w:rsid w:val="006E4DEE"/>
    <w:rsid w:val="006E4E5B"/>
    <w:rsid w:val="006E5129"/>
    <w:rsid w:val="006E514A"/>
    <w:rsid w:val="006E5234"/>
    <w:rsid w:val="006E580F"/>
    <w:rsid w:val="006E599A"/>
    <w:rsid w:val="006E5C0E"/>
    <w:rsid w:val="006E67DA"/>
    <w:rsid w:val="006E6CB4"/>
    <w:rsid w:val="006E740E"/>
    <w:rsid w:val="006E7BD0"/>
    <w:rsid w:val="006F00CA"/>
    <w:rsid w:val="006F0124"/>
    <w:rsid w:val="006F01A1"/>
    <w:rsid w:val="006F0204"/>
    <w:rsid w:val="006F04D3"/>
    <w:rsid w:val="006F07EA"/>
    <w:rsid w:val="006F092B"/>
    <w:rsid w:val="006F0B6D"/>
    <w:rsid w:val="006F14C3"/>
    <w:rsid w:val="006F24A5"/>
    <w:rsid w:val="006F2697"/>
    <w:rsid w:val="006F2C7F"/>
    <w:rsid w:val="006F2ED0"/>
    <w:rsid w:val="006F301D"/>
    <w:rsid w:val="006F30B0"/>
    <w:rsid w:val="006F31D2"/>
    <w:rsid w:val="006F32F8"/>
    <w:rsid w:val="006F34DD"/>
    <w:rsid w:val="006F34E5"/>
    <w:rsid w:val="006F35AD"/>
    <w:rsid w:val="006F35E6"/>
    <w:rsid w:val="006F3687"/>
    <w:rsid w:val="006F378E"/>
    <w:rsid w:val="006F3A48"/>
    <w:rsid w:val="006F3F9A"/>
    <w:rsid w:val="006F45DF"/>
    <w:rsid w:val="006F472D"/>
    <w:rsid w:val="006F4D03"/>
    <w:rsid w:val="006F4F4F"/>
    <w:rsid w:val="006F51F2"/>
    <w:rsid w:val="006F5994"/>
    <w:rsid w:val="006F6046"/>
    <w:rsid w:val="006F6090"/>
    <w:rsid w:val="006F642C"/>
    <w:rsid w:val="006F64E7"/>
    <w:rsid w:val="006F674A"/>
    <w:rsid w:val="006F6DEF"/>
    <w:rsid w:val="006F72F2"/>
    <w:rsid w:val="006F7417"/>
    <w:rsid w:val="006F7563"/>
    <w:rsid w:val="006F77BB"/>
    <w:rsid w:val="006F78EB"/>
    <w:rsid w:val="006F7A88"/>
    <w:rsid w:val="006F7AD4"/>
    <w:rsid w:val="006F7FD3"/>
    <w:rsid w:val="00700EC9"/>
    <w:rsid w:val="0070129A"/>
    <w:rsid w:val="007012B3"/>
    <w:rsid w:val="0070154E"/>
    <w:rsid w:val="00701700"/>
    <w:rsid w:val="00702145"/>
    <w:rsid w:val="00702554"/>
    <w:rsid w:val="00702C97"/>
    <w:rsid w:val="00702D60"/>
    <w:rsid w:val="00702D71"/>
    <w:rsid w:val="00702EC4"/>
    <w:rsid w:val="00703928"/>
    <w:rsid w:val="00703998"/>
    <w:rsid w:val="00703B51"/>
    <w:rsid w:val="00703BAD"/>
    <w:rsid w:val="00703E46"/>
    <w:rsid w:val="00703FCC"/>
    <w:rsid w:val="00704174"/>
    <w:rsid w:val="007043E3"/>
    <w:rsid w:val="00704FEE"/>
    <w:rsid w:val="00704FFE"/>
    <w:rsid w:val="007050DE"/>
    <w:rsid w:val="00705121"/>
    <w:rsid w:val="00705827"/>
    <w:rsid w:val="00705A6D"/>
    <w:rsid w:val="00705B9C"/>
    <w:rsid w:val="00705FEE"/>
    <w:rsid w:val="007075B5"/>
    <w:rsid w:val="00707E74"/>
    <w:rsid w:val="00710212"/>
    <w:rsid w:val="00710FF1"/>
    <w:rsid w:val="0071187D"/>
    <w:rsid w:val="00712107"/>
    <w:rsid w:val="0071226E"/>
    <w:rsid w:val="007123E6"/>
    <w:rsid w:val="00712855"/>
    <w:rsid w:val="00713147"/>
    <w:rsid w:val="007133F0"/>
    <w:rsid w:val="007138B5"/>
    <w:rsid w:val="00714306"/>
    <w:rsid w:val="007144D6"/>
    <w:rsid w:val="00714594"/>
    <w:rsid w:val="00714649"/>
    <w:rsid w:val="0071469A"/>
    <w:rsid w:val="00714B87"/>
    <w:rsid w:val="00715943"/>
    <w:rsid w:val="00715D61"/>
    <w:rsid w:val="00716AAC"/>
    <w:rsid w:val="00716BBB"/>
    <w:rsid w:val="007175C1"/>
    <w:rsid w:val="00717832"/>
    <w:rsid w:val="00717E6A"/>
    <w:rsid w:val="0072060E"/>
    <w:rsid w:val="007207D2"/>
    <w:rsid w:val="00720959"/>
    <w:rsid w:val="00720A91"/>
    <w:rsid w:val="00720EF1"/>
    <w:rsid w:val="00720F66"/>
    <w:rsid w:val="00720FF4"/>
    <w:rsid w:val="00721BD2"/>
    <w:rsid w:val="00721ECC"/>
    <w:rsid w:val="00721F25"/>
    <w:rsid w:val="007222C1"/>
    <w:rsid w:val="007223B0"/>
    <w:rsid w:val="007227B8"/>
    <w:rsid w:val="0072285C"/>
    <w:rsid w:val="007229A7"/>
    <w:rsid w:val="00722D9B"/>
    <w:rsid w:val="00722E2E"/>
    <w:rsid w:val="00722F28"/>
    <w:rsid w:val="007231B2"/>
    <w:rsid w:val="00723792"/>
    <w:rsid w:val="00723952"/>
    <w:rsid w:val="00723B47"/>
    <w:rsid w:val="00723D52"/>
    <w:rsid w:val="0072405D"/>
    <w:rsid w:val="00724088"/>
    <w:rsid w:val="0072417E"/>
    <w:rsid w:val="007244F8"/>
    <w:rsid w:val="0072452E"/>
    <w:rsid w:val="007246BE"/>
    <w:rsid w:val="00724C2F"/>
    <w:rsid w:val="00724F65"/>
    <w:rsid w:val="007250AD"/>
    <w:rsid w:val="007250D5"/>
    <w:rsid w:val="0072545F"/>
    <w:rsid w:val="00725ACF"/>
    <w:rsid w:val="00725FE9"/>
    <w:rsid w:val="0072657E"/>
    <w:rsid w:val="0072691B"/>
    <w:rsid w:val="00726969"/>
    <w:rsid w:val="00726DAE"/>
    <w:rsid w:val="007278C1"/>
    <w:rsid w:val="00730038"/>
    <w:rsid w:val="007300E9"/>
    <w:rsid w:val="00730786"/>
    <w:rsid w:val="00730F05"/>
    <w:rsid w:val="007317B6"/>
    <w:rsid w:val="00731A18"/>
    <w:rsid w:val="007324BB"/>
    <w:rsid w:val="00732A59"/>
    <w:rsid w:val="00732A6C"/>
    <w:rsid w:val="00732E55"/>
    <w:rsid w:val="007337E8"/>
    <w:rsid w:val="00733926"/>
    <w:rsid w:val="00733E0E"/>
    <w:rsid w:val="00734432"/>
    <w:rsid w:val="00734915"/>
    <w:rsid w:val="007351B2"/>
    <w:rsid w:val="00735235"/>
    <w:rsid w:val="0073595A"/>
    <w:rsid w:val="007367AF"/>
    <w:rsid w:val="00736844"/>
    <w:rsid w:val="00736CBE"/>
    <w:rsid w:val="007372EA"/>
    <w:rsid w:val="0074025A"/>
    <w:rsid w:val="007403E0"/>
    <w:rsid w:val="00740768"/>
    <w:rsid w:val="007408A0"/>
    <w:rsid w:val="007408C8"/>
    <w:rsid w:val="00740A6C"/>
    <w:rsid w:val="00740C59"/>
    <w:rsid w:val="00740E24"/>
    <w:rsid w:val="007414DB"/>
    <w:rsid w:val="0074160C"/>
    <w:rsid w:val="007417CC"/>
    <w:rsid w:val="00741876"/>
    <w:rsid w:val="007431F0"/>
    <w:rsid w:val="007432C1"/>
    <w:rsid w:val="00743406"/>
    <w:rsid w:val="00743516"/>
    <w:rsid w:val="00743B2F"/>
    <w:rsid w:val="00743B40"/>
    <w:rsid w:val="00744A50"/>
    <w:rsid w:val="00744F2D"/>
    <w:rsid w:val="00745876"/>
    <w:rsid w:val="00745AE7"/>
    <w:rsid w:val="00745B11"/>
    <w:rsid w:val="00746292"/>
    <w:rsid w:val="00746497"/>
    <w:rsid w:val="007468B1"/>
    <w:rsid w:val="00746947"/>
    <w:rsid w:val="0074697A"/>
    <w:rsid w:val="00746F02"/>
    <w:rsid w:val="00747135"/>
    <w:rsid w:val="007472A3"/>
    <w:rsid w:val="00747F8D"/>
    <w:rsid w:val="00750477"/>
    <w:rsid w:val="007504B0"/>
    <w:rsid w:val="007506D9"/>
    <w:rsid w:val="0075072A"/>
    <w:rsid w:val="00750CDA"/>
    <w:rsid w:val="00751851"/>
    <w:rsid w:val="007521DC"/>
    <w:rsid w:val="007529B2"/>
    <w:rsid w:val="00752D94"/>
    <w:rsid w:val="0075302E"/>
    <w:rsid w:val="0075313A"/>
    <w:rsid w:val="007533FB"/>
    <w:rsid w:val="007537DB"/>
    <w:rsid w:val="0075385D"/>
    <w:rsid w:val="00754049"/>
    <w:rsid w:val="00754066"/>
    <w:rsid w:val="007543E4"/>
    <w:rsid w:val="00754559"/>
    <w:rsid w:val="007545F0"/>
    <w:rsid w:val="007553DC"/>
    <w:rsid w:val="007555C5"/>
    <w:rsid w:val="00755779"/>
    <w:rsid w:val="0075591A"/>
    <w:rsid w:val="007559B3"/>
    <w:rsid w:val="007559F2"/>
    <w:rsid w:val="007560B2"/>
    <w:rsid w:val="00756824"/>
    <w:rsid w:val="00756D5E"/>
    <w:rsid w:val="0075704C"/>
    <w:rsid w:val="007570D6"/>
    <w:rsid w:val="007574AD"/>
    <w:rsid w:val="0075779E"/>
    <w:rsid w:val="007606E2"/>
    <w:rsid w:val="00760D5D"/>
    <w:rsid w:val="007611F2"/>
    <w:rsid w:val="00762B1B"/>
    <w:rsid w:val="00762C4E"/>
    <w:rsid w:val="00762D71"/>
    <w:rsid w:val="00763464"/>
    <w:rsid w:val="007638D2"/>
    <w:rsid w:val="007646B9"/>
    <w:rsid w:val="007647CC"/>
    <w:rsid w:val="00765491"/>
    <w:rsid w:val="0076568C"/>
    <w:rsid w:val="00765B50"/>
    <w:rsid w:val="00765ECE"/>
    <w:rsid w:val="00765ED1"/>
    <w:rsid w:val="007660B6"/>
    <w:rsid w:val="0076616E"/>
    <w:rsid w:val="00766475"/>
    <w:rsid w:val="0076664F"/>
    <w:rsid w:val="007666CA"/>
    <w:rsid w:val="00766AA8"/>
    <w:rsid w:val="00766CB7"/>
    <w:rsid w:val="00767164"/>
    <w:rsid w:val="0076779C"/>
    <w:rsid w:val="00767892"/>
    <w:rsid w:val="00767908"/>
    <w:rsid w:val="00767B2C"/>
    <w:rsid w:val="00770271"/>
    <w:rsid w:val="00770321"/>
    <w:rsid w:val="007703B6"/>
    <w:rsid w:val="007703CF"/>
    <w:rsid w:val="0077081E"/>
    <w:rsid w:val="007716E0"/>
    <w:rsid w:val="00771757"/>
    <w:rsid w:val="00771B47"/>
    <w:rsid w:val="00771E26"/>
    <w:rsid w:val="0077200D"/>
    <w:rsid w:val="0077228F"/>
    <w:rsid w:val="007727A6"/>
    <w:rsid w:val="007728BC"/>
    <w:rsid w:val="00772A57"/>
    <w:rsid w:val="00772AE4"/>
    <w:rsid w:val="00773046"/>
    <w:rsid w:val="007732DB"/>
    <w:rsid w:val="00773568"/>
    <w:rsid w:val="00773684"/>
    <w:rsid w:val="0077397E"/>
    <w:rsid w:val="00773981"/>
    <w:rsid w:val="00773EB2"/>
    <w:rsid w:val="0077422F"/>
    <w:rsid w:val="00774972"/>
    <w:rsid w:val="00774A6A"/>
    <w:rsid w:val="00774E17"/>
    <w:rsid w:val="007756E3"/>
    <w:rsid w:val="00775A19"/>
    <w:rsid w:val="007764EB"/>
    <w:rsid w:val="00776582"/>
    <w:rsid w:val="007765AD"/>
    <w:rsid w:val="00776840"/>
    <w:rsid w:val="00776A4B"/>
    <w:rsid w:val="00776E50"/>
    <w:rsid w:val="00776EA4"/>
    <w:rsid w:val="00776FCA"/>
    <w:rsid w:val="00777047"/>
    <w:rsid w:val="00777F65"/>
    <w:rsid w:val="007801A2"/>
    <w:rsid w:val="00780BC4"/>
    <w:rsid w:val="00780D8F"/>
    <w:rsid w:val="0078104D"/>
    <w:rsid w:val="00781254"/>
    <w:rsid w:val="00781A84"/>
    <w:rsid w:val="00781EEB"/>
    <w:rsid w:val="007827F7"/>
    <w:rsid w:val="007828FB"/>
    <w:rsid w:val="00782D47"/>
    <w:rsid w:val="00782DE1"/>
    <w:rsid w:val="0078365A"/>
    <w:rsid w:val="00783853"/>
    <w:rsid w:val="0078450C"/>
    <w:rsid w:val="00784783"/>
    <w:rsid w:val="007848A9"/>
    <w:rsid w:val="00784D48"/>
    <w:rsid w:val="00784EF0"/>
    <w:rsid w:val="007854A8"/>
    <w:rsid w:val="007858AE"/>
    <w:rsid w:val="007859C5"/>
    <w:rsid w:val="00785AE1"/>
    <w:rsid w:val="007861EF"/>
    <w:rsid w:val="00786276"/>
    <w:rsid w:val="00786B16"/>
    <w:rsid w:val="007871DC"/>
    <w:rsid w:val="0078761F"/>
    <w:rsid w:val="007878A3"/>
    <w:rsid w:val="007879F1"/>
    <w:rsid w:val="00787B6B"/>
    <w:rsid w:val="0079005E"/>
    <w:rsid w:val="0079077E"/>
    <w:rsid w:val="00790AE4"/>
    <w:rsid w:val="00790BAB"/>
    <w:rsid w:val="007919D1"/>
    <w:rsid w:val="00791AC6"/>
    <w:rsid w:val="00791CF3"/>
    <w:rsid w:val="0079221F"/>
    <w:rsid w:val="00792309"/>
    <w:rsid w:val="0079231A"/>
    <w:rsid w:val="00792961"/>
    <w:rsid w:val="00792E40"/>
    <w:rsid w:val="00792F0B"/>
    <w:rsid w:val="00792F9C"/>
    <w:rsid w:val="0079391E"/>
    <w:rsid w:val="00793CF5"/>
    <w:rsid w:val="00793E4B"/>
    <w:rsid w:val="00794789"/>
    <w:rsid w:val="0079503D"/>
    <w:rsid w:val="00795169"/>
    <w:rsid w:val="00795201"/>
    <w:rsid w:val="0079581A"/>
    <w:rsid w:val="00795A26"/>
    <w:rsid w:val="007961DA"/>
    <w:rsid w:val="00796391"/>
    <w:rsid w:val="007965C2"/>
    <w:rsid w:val="00796927"/>
    <w:rsid w:val="00797352"/>
    <w:rsid w:val="007977B3"/>
    <w:rsid w:val="00797C93"/>
    <w:rsid w:val="00797DB9"/>
    <w:rsid w:val="00797DE7"/>
    <w:rsid w:val="00797E2D"/>
    <w:rsid w:val="007A0131"/>
    <w:rsid w:val="007A0A4C"/>
    <w:rsid w:val="007A0CD5"/>
    <w:rsid w:val="007A11CC"/>
    <w:rsid w:val="007A12D9"/>
    <w:rsid w:val="007A18CF"/>
    <w:rsid w:val="007A1D61"/>
    <w:rsid w:val="007A1DB9"/>
    <w:rsid w:val="007A23DC"/>
    <w:rsid w:val="007A244E"/>
    <w:rsid w:val="007A24F0"/>
    <w:rsid w:val="007A2F63"/>
    <w:rsid w:val="007A4480"/>
    <w:rsid w:val="007A4A41"/>
    <w:rsid w:val="007A4AE9"/>
    <w:rsid w:val="007A5067"/>
    <w:rsid w:val="007A5078"/>
    <w:rsid w:val="007A5901"/>
    <w:rsid w:val="007A5DD3"/>
    <w:rsid w:val="007A6327"/>
    <w:rsid w:val="007A63CC"/>
    <w:rsid w:val="007A66D5"/>
    <w:rsid w:val="007A6E8E"/>
    <w:rsid w:val="007A7109"/>
    <w:rsid w:val="007A7755"/>
    <w:rsid w:val="007A7B26"/>
    <w:rsid w:val="007A7BDB"/>
    <w:rsid w:val="007A7D60"/>
    <w:rsid w:val="007B0265"/>
    <w:rsid w:val="007B098D"/>
    <w:rsid w:val="007B0BA8"/>
    <w:rsid w:val="007B13F0"/>
    <w:rsid w:val="007B1A50"/>
    <w:rsid w:val="007B20B6"/>
    <w:rsid w:val="007B2B50"/>
    <w:rsid w:val="007B2C8A"/>
    <w:rsid w:val="007B2E73"/>
    <w:rsid w:val="007B33C8"/>
    <w:rsid w:val="007B33E9"/>
    <w:rsid w:val="007B402F"/>
    <w:rsid w:val="007B4502"/>
    <w:rsid w:val="007B53D3"/>
    <w:rsid w:val="007B5B17"/>
    <w:rsid w:val="007B5DC1"/>
    <w:rsid w:val="007B602C"/>
    <w:rsid w:val="007B66F0"/>
    <w:rsid w:val="007B6D33"/>
    <w:rsid w:val="007B70BB"/>
    <w:rsid w:val="007B726D"/>
    <w:rsid w:val="007B738E"/>
    <w:rsid w:val="007B77A7"/>
    <w:rsid w:val="007B784B"/>
    <w:rsid w:val="007B7956"/>
    <w:rsid w:val="007C0085"/>
    <w:rsid w:val="007C0390"/>
    <w:rsid w:val="007C0587"/>
    <w:rsid w:val="007C1E92"/>
    <w:rsid w:val="007C20CE"/>
    <w:rsid w:val="007C22F2"/>
    <w:rsid w:val="007C2729"/>
    <w:rsid w:val="007C2F66"/>
    <w:rsid w:val="007C3042"/>
    <w:rsid w:val="007C32BC"/>
    <w:rsid w:val="007C36E6"/>
    <w:rsid w:val="007C44E8"/>
    <w:rsid w:val="007C4543"/>
    <w:rsid w:val="007C4DFA"/>
    <w:rsid w:val="007C5309"/>
    <w:rsid w:val="007C532D"/>
    <w:rsid w:val="007C5620"/>
    <w:rsid w:val="007C5912"/>
    <w:rsid w:val="007C6B77"/>
    <w:rsid w:val="007C76A7"/>
    <w:rsid w:val="007C77C0"/>
    <w:rsid w:val="007C7E74"/>
    <w:rsid w:val="007D017A"/>
    <w:rsid w:val="007D019C"/>
    <w:rsid w:val="007D0CC0"/>
    <w:rsid w:val="007D0CC2"/>
    <w:rsid w:val="007D1114"/>
    <w:rsid w:val="007D161E"/>
    <w:rsid w:val="007D17CC"/>
    <w:rsid w:val="007D187E"/>
    <w:rsid w:val="007D1AB7"/>
    <w:rsid w:val="007D21E4"/>
    <w:rsid w:val="007D2DEE"/>
    <w:rsid w:val="007D3193"/>
    <w:rsid w:val="007D3700"/>
    <w:rsid w:val="007D3F2E"/>
    <w:rsid w:val="007D41BC"/>
    <w:rsid w:val="007D452B"/>
    <w:rsid w:val="007D46F9"/>
    <w:rsid w:val="007D476B"/>
    <w:rsid w:val="007D479A"/>
    <w:rsid w:val="007D4893"/>
    <w:rsid w:val="007D4927"/>
    <w:rsid w:val="007D4E61"/>
    <w:rsid w:val="007D5023"/>
    <w:rsid w:val="007D5C70"/>
    <w:rsid w:val="007D5D64"/>
    <w:rsid w:val="007D625A"/>
    <w:rsid w:val="007D64DE"/>
    <w:rsid w:val="007D670D"/>
    <w:rsid w:val="007D6711"/>
    <w:rsid w:val="007D6855"/>
    <w:rsid w:val="007D6D5E"/>
    <w:rsid w:val="007D7162"/>
    <w:rsid w:val="007D7FE3"/>
    <w:rsid w:val="007E051F"/>
    <w:rsid w:val="007E0531"/>
    <w:rsid w:val="007E16E9"/>
    <w:rsid w:val="007E1B6C"/>
    <w:rsid w:val="007E2525"/>
    <w:rsid w:val="007E3164"/>
    <w:rsid w:val="007E32A3"/>
    <w:rsid w:val="007E33EB"/>
    <w:rsid w:val="007E3460"/>
    <w:rsid w:val="007E3FD7"/>
    <w:rsid w:val="007E4033"/>
    <w:rsid w:val="007E46B5"/>
    <w:rsid w:val="007E4E2A"/>
    <w:rsid w:val="007E504B"/>
    <w:rsid w:val="007E56E8"/>
    <w:rsid w:val="007E5EE1"/>
    <w:rsid w:val="007E64C9"/>
    <w:rsid w:val="007E690E"/>
    <w:rsid w:val="007E7021"/>
    <w:rsid w:val="007E7C0A"/>
    <w:rsid w:val="007F0266"/>
    <w:rsid w:val="007F053F"/>
    <w:rsid w:val="007F0D94"/>
    <w:rsid w:val="007F1562"/>
    <w:rsid w:val="007F1C5A"/>
    <w:rsid w:val="007F211E"/>
    <w:rsid w:val="007F2264"/>
    <w:rsid w:val="007F2415"/>
    <w:rsid w:val="007F284B"/>
    <w:rsid w:val="007F2A3F"/>
    <w:rsid w:val="007F2C2D"/>
    <w:rsid w:val="007F3596"/>
    <w:rsid w:val="007F378F"/>
    <w:rsid w:val="007F3913"/>
    <w:rsid w:val="007F3A18"/>
    <w:rsid w:val="007F3A44"/>
    <w:rsid w:val="007F3D30"/>
    <w:rsid w:val="007F40F5"/>
    <w:rsid w:val="007F4F28"/>
    <w:rsid w:val="007F4F3F"/>
    <w:rsid w:val="007F52F5"/>
    <w:rsid w:val="007F5823"/>
    <w:rsid w:val="007F5A83"/>
    <w:rsid w:val="007F66E9"/>
    <w:rsid w:val="007F68B1"/>
    <w:rsid w:val="007F6A53"/>
    <w:rsid w:val="007F6F3D"/>
    <w:rsid w:val="007F7171"/>
    <w:rsid w:val="007F71B8"/>
    <w:rsid w:val="007F71E7"/>
    <w:rsid w:val="007F736F"/>
    <w:rsid w:val="007F745A"/>
    <w:rsid w:val="007F75A0"/>
    <w:rsid w:val="00800327"/>
    <w:rsid w:val="00800716"/>
    <w:rsid w:val="00800A26"/>
    <w:rsid w:val="00802A35"/>
    <w:rsid w:val="00802B19"/>
    <w:rsid w:val="00803243"/>
    <w:rsid w:val="00803413"/>
    <w:rsid w:val="00803EF0"/>
    <w:rsid w:val="008042EA"/>
    <w:rsid w:val="00804D8E"/>
    <w:rsid w:val="0080523E"/>
    <w:rsid w:val="00805429"/>
    <w:rsid w:val="00805DCF"/>
    <w:rsid w:val="00805ECC"/>
    <w:rsid w:val="0080679A"/>
    <w:rsid w:val="00806968"/>
    <w:rsid w:val="00806DD0"/>
    <w:rsid w:val="0080704D"/>
    <w:rsid w:val="00807806"/>
    <w:rsid w:val="00807893"/>
    <w:rsid w:val="00807EDC"/>
    <w:rsid w:val="0081046F"/>
    <w:rsid w:val="00810B26"/>
    <w:rsid w:val="00810CA7"/>
    <w:rsid w:val="00811CE5"/>
    <w:rsid w:val="00811E23"/>
    <w:rsid w:val="008127B3"/>
    <w:rsid w:val="00812CD3"/>
    <w:rsid w:val="0081326B"/>
    <w:rsid w:val="0081346A"/>
    <w:rsid w:val="0081350F"/>
    <w:rsid w:val="00813849"/>
    <w:rsid w:val="00813E91"/>
    <w:rsid w:val="0081409F"/>
    <w:rsid w:val="00814573"/>
    <w:rsid w:val="00814D12"/>
    <w:rsid w:val="00815478"/>
    <w:rsid w:val="00815B34"/>
    <w:rsid w:val="008166E2"/>
    <w:rsid w:val="00816E31"/>
    <w:rsid w:val="0081708F"/>
    <w:rsid w:val="008170C5"/>
    <w:rsid w:val="00817142"/>
    <w:rsid w:val="00820138"/>
    <w:rsid w:val="00820258"/>
    <w:rsid w:val="00820D36"/>
    <w:rsid w:val="00822608"/>
    <w:rsid w:val="008226C7"/>
    <w:rsid w:val="008231D6"/>
    <w:rsid w:val="00823774"/>
    <w:rsid w:val="0082390A"/>
    <w:rsid w:val="00823ADB"/>
    <w:rsid w:val="00823D85"/>
    <w:rsid w:val="00824238"/>
    <w:rsid w:val="008243A4"/>
    <w:rsid w:val="00824841"/>
    <w:rsid w:val="008254AA"/>
    <w:rsid w:val="008259B7"/>
    <w:rsid w:val="00825ABE"/>
    <w:rsid w:val="00825ED6"/>
    <w:rsid w:val="008262A5"/>
    <w:rsid w:val="0082660B"/>
    <w:rsid w:val="0082688D"/>
    <w:rsid w:val="00826995"/>
    <w:rsid w:val="00826CA6"/>
    <w:rsid w:val="00826D0B"/>
    <w:rsid w:val="00826DCA"/>
    <w:rsid w:val="00826EF2"/>
    <w:rsid w:val="008272C0"/>
    <w:rsid w:val="0083057D"/>
    <w:rsid w:val="008306C9"/>
    <w:rsid w:val="00830B6F"/>
    <w:rsid w:val="00830C2A"/>
    <w:rsid w:val="00830EE2"/>
    <w:rsid w:val="00830F3C"/>
    <w:rsid w:val="0083121C"/>
    <w:rsid w:val="00831406"/>
    <w:rsid w:val="00831692"/>
    <w:rsid w:val="00831C53"/>
    <w:rsid w:val="00832137"/>
    <w:rsid w:val="00832330"/>
    <w:rsid w:val="00832750"/>
    <w:rsid w:val="00832BA8"/>
    <w:rsid w:val="008331AF"/>
    <w:rsid w:val="00834082"/>
    <w:rsid w:val="00834605"/>
    <w:rsid w:val="008349A4"/>
    <w:rsid w:val="0083511D"/>
    <w:rsid w:val="0083517B"/>
    <w:rsid w:val="00835614"/>
    <w:rsid w:val="00835A81"/>
    <w:rsid w:val="00836233"/>
    <w:rsid w:val="00836AD5"/>
    <w:rsid w:val="00836BF4"/>
    <w:rsid w:val="00836D79"/>
    <w:rsid w:val="00837ED8"/>
    <w:rsid w:val="00840A18"/>
    <w:rsid w:val="008416CA"/>
    <w:rsid w:val="00841C3E"/>
    <w:rsid w:val="00841E58"/>
    <w:rsid w:val="008422BC"/>
    <w:rsid w:val="00842812"/>
    <w:rsid w:val="00842B80"/>
    <w:rsid w:val="00842FC6"/>
    <w:rsid w:val="00843C1F"/>
    <w:rsid w:val="00843FAC"/>
    <w:rsid w:val="00844A03"/>
    <w:rsid w:val="00844EC3"/>
    <w:rsid w:val="008458A6"/>
    <w:rsid w:val="00846143"/>
    <w:rsid w:val="00847597"/>
    <w:rsid w:val="008476BB"/>
    <w:rsid w:val="0084785D"/>
    <w:rsid w:val="00847F80"/>
    <w:rsid w:val="008500E1"/>
    <w:rsid w:val="00850121"/>
    <w:rsid w:val="008501B8"/>
    <w:rsid w:val="008501E6"/>
    <w:rsid w:val="0085023D"/>
    <w:rsid w:val="00850512"/>
    <w:rsid w:val="00850526"/>
    <w:rsid w:val="008505EF"/>
    <w:rsid w:val="00850E0E"/>
    <w:rsid w:val="0085112A"/>
    <w:rsid w:val="00851235"/>
    <w:rsid w:val="00851423"/>
    <w:rsid w:val="00851C19"/>
    <w:rsid w:val="00851EFF"/>
    <w:rsid w:val="008529CF"/>
    <w:rsid w:val="00853189"/>
    <w:rsid w:val="008536E9"/>
    <w:rsid w:val="0085378C"/>
    <w:rsid w:val="008538A7"/>
    <w:rsid w:val="008539AF"/>
    <w:rsid w:val="00853C73"/>
    <w:rsid w:val="00853E9D"/>
    <w:rsid w:val="00853EAF"/>
    <w:rsid w:val="00854A2B"/>
    <w:rsid w:val="00854C6F"/>
    <w:rsid w:val="00854E28"/>
    <w:rsid w:val="00854F33"/>
    <w:rsid w:val="008552E6"/>
    <w:rsid w:val="008553CF"/>
    <w:rsid w:val="0085566F"/>
    <w:rsid w:val="00855AD7"/>
    <w:rsid w:val="00855AFE"/>
    <w:rsid w:val="00855EBB"/>
    <w:rsid w:val="00856846"/>
    <w:rsid w:val="008569D9"/>
    <w:rsid w:val="00856B99"/>
    <w:rsid w:val="0085710B"/>
    <w:rsid w:val="00857193"/>
    <w:rsid w:val="00857210"/>
    <w:rsid w:val="00857447"/>
    <w:rsid w:val="00857644"/>
    <w:rsid w:val="008576C4"/>
    <w:rsid w:val="00860619"/>
    <w:rsid w:val="00860875"/>
    <w:rsid w:val="008608F7"/>
    <w:rsid w:val="00860BA0"/>
    <w:rsid w:val="00861703"/>
    <w:rsid w:val="00861C0F"/>
    <w:rsid w:val="00862310"/>
    <w:rsid w:val="0086242D"/>
    <w:rsid w:val="00863E4C"/>
    <w:rsid w:val="0086419A"/>
    <w:rsid w:val="008644B8"/>
    <w:rsid w:val="008644DE"/>
    <w:rsid w:val="008644ED"/>
    <w:rsid w:val="008644EF"/>
    <w:rsid w:val="00865B0E"/>
    <w:rsid w:val="00865B62"/>
    <w:rsid w:val="00865C1E"/>
    <w:rsid w:val="00866310"/>
    <w:rsid w:val="0086660A"/>
    <w:rsid w:val="00866612"/>
    <w:rsid w:val="00867027"/>
    <w:rsid w:val="008671F0"/>
    <w:rsid w:val="00867994"/>
    <w:rsid w:val="008679F7"/>
    <w:rsid w:val="008701D8"/>
    <w:rsid w:val="00870592"/>
    <w:rsid w:val="00870697"/>
    <w:rsid w:val="00870CA1"/>
    <w:rsid w:val="00870EF1"/>
    <w:rsid w:val="00870FE9"/>
    <w:rsid w:val="008724A4"/>
    <w:rsid w:val="008740B7"/>
    <w:rsid w:val="00874CB3"/>
    <w:rsid w:val="00874F14"/>
    <w:rsid w:val="00875459"/>
    <w:rsid w:val="00875B68"/>
    <w:rsid w:val="00875C28"/>
    <w:rsid w:val="00875CE0"/>
    <w:rsid w:val="00875E40"/>
    <w:rsid w:val="008770E2"/>
    <w:rsid w:val="00877EEA"/>
    <w:rsid w:val="00880112"/>
    <w:rsid w:val="00880FF9"/>
    <w:rsid w:val="00881E9A"/>
    <w:rsid w:val="00881FA0"/>
    <w:rsid w:val="0088222A"/>
    <w:rsid w:val="00882643"/>
    <w:rsid w:val="0088303E"/>
    <w:rsid w:val="00883747"/>
    <w:rsid w:val="00883CE1"/>
    <w:rsid w:val="00884004"/>
    <w:rsid w:val="008840CE"/>
    <w:rsid w:val="008842E3"/>
    <w:rsid w:val="0088439C"/>
    <w:rsid w:val="008843B3"/>
    <w:rsid w:val="00884D9D"/>
    <w:rsid w:val="00884DD3"/>
    <w:rsid w:val="00885BA0"/>
    <w:rsid w:val="0088672C"/>
    <w:rsid w:val="0088689C"/>
    <w:rsid w:val="00886F47"/>
    <w:rsid w:val="00887151"/>
    <w:rsid w:val="008871C0"/>
    <w:rsid w:val="008873C4"/>
    <w:rsid w:val="00887541"/>
    <w:rsid w:val="008875B8"/>
    <w:rsid w:val="008877E1"/>
    <w:rsid w:val="00890B3B"/>
    <w:rsid w:val="00890B77"/>
    <w:rsid w:val="00891113"/>
    <w:rsid w:val="00891504"/>
    <w:rsid w:val="008919A8"/>
    <w:rsid w:val="008926C7"/>
    <w:rsid w:val="00892872"/>
    <w:rsid w:val="00892E97"/>
    <w:rsid w:val="0089329A"/>
    <w:rsid w:val="008932A2"/>
    <w:rsid w:val="008932B9"/>
    <w:rsid w:val="008936A9"/>
    <w:rsid w:val="00893A7E"/>
    <w:rsid w:val="00893F7C"/>
    <w:rsid w:val="0089405A"/>
    <w:rsid w:val="00894331"/>
    <w:rsid w:val="0089464F"/>
    <w:rsid w:val="008946C4"/>
    <w:rsid w:val="008949AE"/>
    <w:rsid w:val="0089571D"/>
    <w:rsid w:val="008959E0"/>
    <w:rsid w:val="00895DBF"/>
    <w:rsid w:val="00895F34"/>
    <w:rsid w:val="00896040"/>
    <w:rsid w:val="00896522"/>
    <w:rsid w:val="0089656B"/>
    <w:rsid w:val="00896664"/>
    <w:rsid w:val="00896666"/>
    <w:rsid w:val="00896B62"/>
    <w:rsid w:val="00896BC7"/>
    <w:rsid w:val="00896DAA"/>
    <w:rsid w:val="00896F16"/>
    <w:rsid w:val="00896F95"/>
    <w:rsid w:val="00897193"/>
    <w:rsid w:val="008971FF"/>
    <w:rsid w:val="00897216"/>
    <w:rsid w:val="008972BA"/>
    <w:rsid w:val="00897612"/>
    <w:rsid w:val="0089773A"/>
    <w:rsid w:val="00897861"/>
    <w:rsid w:val="00897BA3"/>
    <w:rsid w:val="00897C30"/>
    <w:rsid w:val="008A0151"/>
    <w:rsid w:val="008A01B3"/>
    <w:rsid w:val="008A0613"/>
    <w:rsid w:val="008A1041"/>
    <w:rsid w:val="008A1442"/>
    <w:rsid w:val="008A1D11"/>
    <w:rsid w:val="008A2313"/>
    <w:rsid w:val="008A2D68"/>
    <w:rsid w:val="008A342A"/>
    <w:rsid w:val="008A34A6"/>
    <w:rsid w:val="008A37D6"/>
    <w:rsid w:val="008A38F5"/>
    <w:rsid w:val="008A3BE1"/>
    <w:rsid w:val="008A3D00"/>
    <w:rsid w:val="008A4C83"/>
    <w:rsid w:val="008A52AF"/>
    <w:rsid w:val="008A5475"/>
    <w:rsid w:val="008A5C06"/>
    <w:rsid w:val="008A61FD"/>
    <w:rsid w:val="008A6908"/>
    <w:rsid w:val="008A7230"/>
    <w:rsid w:val="008B054B"/>
    <w:rsid w:val="008B0A77"/>
    <w:rsid w:val="008B0E15"/>
    <w:rsid w:val="008B1201"/>
    <w:rsid w:val="008B16CF"/>
    <w:rsid w:val="008B1C0A"/>
    <w:rsid w:val="008B249B"/>
    <w:rsid w:val="008B286D"/>
    <w:rsid w:val="008B2983"/>
    <w:rsid w:val="008B2CBA"/>
    <w:rsid w:val="008B2CDC"/>
    <w:rsid w:val="008B2D97"/>
    <w:rsid w:val="008B2F80"/>
    <w:rsid w:val="008B33AB"/>
    <w:rsid w:val="008B340F"/>
    <w:rsid w:val="008B3668"/>
    <w:rsid w:val="008B41F9"/>
    <w:rsid w:val="008B4231"/>
    <w:rsid w:val="008B5AB4"/>
    <w:rsid w:val="008B6012"/>
    <w:rsid w:val="008B6278"/>
    <w:rsid w:val="008B62AD"/>
    <w:rsid w:val="008B6C1F"/>
    <w:rsid w:val="008B73B8"/>
    <w:rsid w:val="008B75DA"/>
    <w:rsid w:val="008B78E7"/>
    <w:rsid w:val="008C0061"/>
    <w:rsid w:val="008C0099"/>
    <w:rsid w:val="008C07E3"/>
    <w:rsid w:val="008C0C4F"/>
    <w:rsid w:val="008C1000"/>
    <w:rsid w:val="008C16EE"/>
    <w:rsid w:val="008C1907"/>
    <w:rsid w:val="008C19B2"/>
    <w:rsid w:val="008C1F9A"/>
    <w:rsid w:val="008C22C0"/>
    <w:rsid w:val="008C25EF"/>
    <w:rsid w:val="008C2CD9"/>
    <w:rsid w:val="008C353C"/>
    <w:rsid w:val="008C3834"/>
    <w:rsid w:val="008C3AFC"/>
    <w:rsid w:val="008C3F37"/>
    <w:rsid w:val="008C40A8"/>
    <w:rsid w:val="008C410D"/>
    <w:rsid w:val="008C42F1"/>
    <w:rsid w:val="008C45AE"/>
    <w:rsid w:val="008C45EF"/>
    <w:rsid w:val="008C46BE"/>
    <w:rsid w:val="008C4B64"/>
    <w:rsid w:val="008C4F1A"/>
    <w:rsid w:val="008C4F7E"/>
    <w:rsid w:val="008C51D1"/>
    <w:rsid w:val="008C54EF"/>
    <w:rsid w:val="008C5999"/>
    <w:rsid w:val="008C5B1A"/>
    <w:rsid w:val="008C65BD"/>
    <w:rsid w:val="008C6D29"/>
    <w:rsid w:val="008C7018"/>
    <w:rsid w:val="008C7F1C"/>
    <w:rsid w:val="008D072C"/>
    <w:rsid w:val="008D0C3C"/>
    <w:rsid w:val="008D10A7"/>
    <w:rsid w:val="008D11C3"/>
    <w:rsid w:val="008D1200"/>
    <w:rsid w:val="008D125E"/>
    <w:rsid w:val="008D13C7"/>
    <w:rsid w:val="008D13D5"/>
    <w:rsid w:val="008D1A00"/>
    <w:rsid w:val="008D1D39"/>
    <w:rsid w:val="008D1E2E"/>
    <w:rsid w:val="008D20BC"/>
    <w:rsid w:val="008D21E8"/>
    <w:rsid w:val="008D2579"/>
    <w:rsid w:val="008D2CAF"/>
    <w:rsid w:val="008D30ED"/>
    <w:rsid w:val="008D325F"/>
    <w:rsid w:val="008D35C3"/>
    <w:rsid w:val="008D3A50"/>
    <w:rsid w:val="008D3EE5"/>
    <w:rsid w:val="008D48B8"/>
    <w:rsid w:val="008D4F3F"/>
    <w:rsid w:val="008D5039"/>
    <w:rsid w:val="008D54FA"/>
    <w:rsid w:val="008D5643"/>
    <w:rsid w:val="008D59CD"/>
    <w:rsid w:val="008D6C8E"/>
    <w:rsid w:val="008D6CB1"/>
    <w:rsid w:val="008D78D7"/>
    <w:rsid w:val="008D7D16"/>
    <w:rsid w:val="008E0CF3"/>
    <w:rsid w:val="008E0FE1"/>
    <w:rsid w:val="008E1217"/>
    <w:rsid w:val="008E1288"/>
    <w:rsid w:val="008E160A"/>
    <w:rsid w:val="008E178A"/>
    <w:rsid w:val="008E22AC"/>
    <w:rsid w:val="008E24EE"/>
    <w:rsid w:val="008E297E"/>
    <w:rsid w:val="008E2DB7"/>
    <w:rsid w:val="008E3114"/>
    <w:rsid w:val="008E35BC"/>
    <w:rsid w:val="008E3786"/>
    <w:rsid w:val="008E38C7"/>
    <w:rsid w:val="008E4D5F"/>
    <w:rsid w:val="008E4E11"/>
    <w:rsid w:val="008E520B"/>
    <w:rsid w:val="008E5461"/>
    <w:rsid w:val="008E553D"/>
    <w:rsid w:val="008E5C35"/>
    <w:rsid w:val="008E6146"/>
    <w:rsid w:val="008E6406"/>
    <w:rsid w:val="008E6D96"/>
    <w:rsid w:val="008E6F54"/>
    <w:rsid w:val="008E6FAC"/>
    <w:rsid w:val="008E7219"/>
    <w:rsid w:val="008E7235"/>
    <w:rsid w:val="008E7375"/>
    <w:rsid w:val="008F080B"/>
    <w:rsid w:val="008F1BE6"/>
    <w:rsid w:val="008F21C4"/>
    <w:rsid w:val="008F22A1"/>
    <w:rsid w:val="008F2683"/>
    <w:rsid w:val="008F2946"/>
    <w:rsid w:val="008F2A4F"/>
    <w:rsid w:val="008F32B0"/>
    <w:rsid w:val="008F3D5E"/>
    <w:rsid w:val="008F4468"/>
    <w:rsid w:val="008F4925"/>
    <w:rsid w:val="008F49C1"/>
    <w:rsid w:val="008F4F51"/>
    <w:rsid w:val="008F51B1"/>
    <w:rsid w:val="008F51D0"/>
    <w:rsid w:val="008F5C11"/>
    <w:rsid w:val="008F5CBF"/>
    <w:rsid w:val="008F6279"/>
    <w:rsid w:val="008F67D5"/>
    <w:rsid w:val="008F6809"/>
    <w:rsid w:val="008F7307"/>
    <w:rsid w:val="008F7559"/>
    <w:rsid w:val="008F76BB"/>
    <w:rsid w:val="008F7811"/>
    <w:rsid w:val="009005D4"/>
    <w:rsid w:val="00900891"/>
    <w:rsid w:val="009008CE"/>
    <w:rsid w:val="00900B58"/>
    <w:rsid w:val="009018FA"/>
    <w:rsid w:val="00901CCE"/>
    <w:rsid w:val="00901F42"/>
    <w:rsid w:val="009021D2"/>
    <w:rsid w:val="00902601"/>
    <w:rsid w:val="00902997"/>
    <w:rsid w:val="00902A6E"/>
    <w:rsid w:val="00902B50"/>
    <w:rsid w:val="00902D50"/>
    <w:rsid w:val="00902FA5"/>
    <w:rsid w:val="00902FF1"/>
    <w:rsid w:val="00903515"/>
    <w:rsid w:val="009036CA"/>
    <w:rsid w:val="00903CD4"/>
    <w:rsid w:val="009055A6"/>
    <w:rsid w:val="00905A60"/>
    <w:rsid w:val="00905A71"/>
    <w:rsid w:val="00905E6B"/>
    <w:rsid w:val="009060F2"/>
    <w:rsid w:val="009062A6"/>
    <w:rsid w:val="009068D4"/>
    <w:rsid w:val="0090697E"/>
    <w:rsid w:val="00906AD2"/>
    <w:rsid w:val="00906AD6"/>
    <w:rsid w:val="0090780D"/>
    <w:rsid w:val="009079A9"/>
    <w:rsid w:val="009079DC"/>
    <w:rsid w:val="00907BAA"/>
    <w:rsid w:val="00907CDF"/>
    <w:rsid w:val="009107B8"/>
    <w:rsid w:val="00910FC2"/>
    <w:rsid w:val="00911360"/>
    <w:rsid w:val="00911DB2"/>
    <w:rsid w:val="00912A81"/>
    <w:rsid w:val="00912BE4"/>
    <w:rsid w:val="00912BFE"/>
    <w:rsid w:val="00913CFE"/>
    <w:rsid w:val="00913D76"/>
    <w:rsid w:val="00913DAB"/>
    <w:rsid w:val="00914366"/>
    <w:rsid w:val="00914380"/>
    <w:rsid w:val="0091478B"/>
    <w:rsid w:val="00914968"/>
    <w:rsid w:val="00914BB2"/>
    <w:rsid w:val="00914BCE"/>
    <w:rsid w:val="00914C5A"/>
    <w:rsid w:val="009156FE"/>
    <w:rsid w:val="00915831"/>
    <w:rsid w:val="009158C5"/>
    <w:rsid w:val="00915C32"/>
    <w:rsid w:val="00915C86"/>
    <w:rsid w:val="00915E5D"/>
    <w:rsid w:val="00916476"/>
    <w:rsid w:val="00916865"/>
    <w:rsid w:val="00917112"/>
    <w:rsid w:val="009172A2"/>
    <w:rsid w:val="00917ADF"/>
    <w:rsid w:val="00917FD7"/>
    <w:rsid w:val="00920A91"/>
    <w:rsid w:val="009219D2"/>
    <w:rsid w:val="00921A97"/>
    <w:rsid w:val="00921D0C"/>
    <w:rsid w:val="00922842"/>
    <w:rsid w:val="00923751"/>
    <w:rsid w:val="00923D46"/>
    <w:rsid w:val="00923F99"/>
    <w:rsid w:val="00924161"/>
    <w:rsid w:val="0092440F"/>
    <w:rsid w:val="00924892"/>
    <w:rsid w:val="00925036"/>
    <w:rsid w:val="00925BB2"/>
    <w:rsid w:val="00925EA4"/>
    <w:rsid w:val="009261C5"/>
    <w:rsid w:val="009262B4"/>
    <w:rsid w:val="0092665E"/>
    <w:rsid w:val="00926CDA"/>
    <w:rsid w:val="00926FC0"/>
    <w:rsid w:val="00927371"/>
    <w:rsid w:val="00927533"/>
    <w:rsid w:val="00927582"/>
    <w:rsid w:val="009275EC"/>
    <w:rsid w:val="00927BF1"/>
    <w:rsid w:val="00927DCB"/>
    <w:rsid w:val="00930598"/>
    <w:rsid w:val="00930718"/>
    <w:rsid w:val="00930C9C"/>
    <w:rsid w:val="00930DAF"/>
    <w:rsid w:val="00931686"/>
    <w:rsid w:val="0093188F"/>
    <w:rsid w:val="00931E48"/>
    <w:rsid w:val="00931EE8"/>
    <w:rsid w:val="00932843"/>
    <w:rsid w:val="00932B5D"/>
    <w:rsid w:val="0093348E"/>
    <w:rsid w:val="00933A5E"/>
    <w:rsid w:val="009340C3"/>
    <w:rsid w:val="00934A73"/>
    <w:rsid w:val="0093502F"/>
    <w:rsid w:val="0093560A"/>
    <w:rsid w:val="009365AA"/>
    <w:rsid w:val="00936EEC"/>
    <w:rsid w:val="00936FF7"/>
    <w:rsid w:val="0093709B"/>
    <w:rsid w:val="0093722F"/>
    <w:rsid w:val="0093777E"/>
    <w:rsid w:val="00937D42"/>
    <w:rsid w:val="00937E78"/>
    <w:rsid w:val="00940D44"/>
    <w:rsid w:val="00940E85"/>
    <w:rsid w:val="00941F26"/>
    <w:rsid w:val="009421F6"/>
    <w:rsid w:val="0094243F"/>
    <w:rsid w:val="00942616"/>
    <w:rsid w:val="009429B0"/>
    <w:rsid w:val="009429CA"/>
    <w:rsid w:val="00942AC1"/>
    <w:rsid w:val="0094366A"/>
    <w:rsid w:val="00943BA3"/>
    <w:rsid w:val="00944713"/>
    <w:rsid w:val="009453BD"/>
    <w:rsid w:val="00945B5D"/>
    <w:rsid w:val="0094614F"/>
    <w:rsid w:val="009461CF"/>
    <w:rsid w:val="00946542"/>
    <w:rsid w:val="00946A76"/>
    <w:rsid w:val="00946B68"/>
    <w:rsid w:val="009472B2"/>
    <w:rsid w:val="00947317"/>
    <w:rsid w:val="009477F3"/>
    <w:rsid w:val="00947986"/>
    <w:rsid w:val="009479FD"/>
    <w:rsid w:val="00947A58"/>
    <w:rsid w:val="00947B0E"/>
    <w:rsid w:val="00950115"/>
    <w:rsid w:val="009502C1"/>
    <w:rsid w:val="00950390"/>
    <w:rsid w:val="009504CA"/>
    <w:rsid w:val="009505CC"/>
    <w:rsid w:val="00950927"/>
    <w:rsid w:val="00950A6B"/>
    <w:rsid w:val="009512A3"/>
    <w:rsid w:val="00951467"/>
    <w:rsid w:val="00951675"/>
    <w:rsid w:val="00951732"/>
    <w:rsid w:val="00951829"/>
    <w:rsid w:val="00951A6C"/>
    <w:rsid w:val="00952367"/>
    <w:rsid w:val="00952A5E"/>
    <w:rsid w:val="00952BA7"/>
    <w:rsid w:val="00952C3F"/>
    <w:rsid w:val="00952D42"/>
    <w:rsid w:val="009537AD"/>
    <w:rsid w:val="00954640"/>
    <w:rsid w:val="00954970"/>
    <w:rsid w:val="00954E7A"/>
    <w:rsid w:val="0095561A"/>
    <w:rsid w:val="0095577D"/>
    <w:rsid w:val="009566C5"/>
    <w:rsid w:val="009566E1"/>
    <w:rsid w:val="00956835"/>
    <w:rsid w:val="00956A9B"/>
    <w:rsid w:val="00956BCD"/>
    <w:rsid w:val="009571C1"/>
    <w:rsid w:val="00957288"/>
    <w:rsid w:val="00957537"/>
    <w:rsid w:val="009575EE"/>
    <w:rsid w:val="00957870"/>
    <w:rsid w:val="00957D28"/>
    <w:rsid w:val="009605E5"/>
    <w:rsid w:val="00960DDC"/>
    <w:rsid w:val="00961299"/>
    <w:rsid w:val="0096144B"/>
    <w:rsid w:val="0096266C"/>
    <w:rsid w:val="009630B3"/>
    <w:rsid w:val="0096313E"/>
    <w:rsid w:val="00963733"/>
    <w:rsid w:val="009637C5"/>
    <w:rsid w:val="00963A2B"/>
    <w:rsid w:val="00963C03"/>
    <w:rsid w:val="00963FE1"/>
    <w:rsid w:val="009645B5"/>
    <w:rsid w:val="0096476B"/>
    <w:rsid w:val="00964C55"/>
    <w:rsid w:val="00964CEA"/>
    <w:rsid w:val="00965259"/>
    <w:rsid w:val="009654B4"/>
    <w:rsid w:val="0096555C"/>
    <w:rsid w:val="009660B2"/>
    <w:rsid w:val="0096622F"/>
    <w:rsid w:val="00966457"/>
    <w:rsid w:val="009667C9"/>
    <w:rsid w:val="00966843"/>
    <w:rsid w:val="009668C0"/>
    <w:rsid w:val="00966A02"/>
    <w:rsid w:val="00966A81"/>
    <w:rsid w:val="00966C35"/>
    <w:rsid w:val="00967D54"/>
    <w:rsid w:val="00967DA9"/>
    <w:rsid w:val="00967EE5"/>
    <w:rsid w:val="009705FC"/>
    <w:rsid w:val="009706B3"/>
    <w:rsid w:val="00970853"/>
    <w:rsid w:val="009708AC"/>
    <w:rsid w:val="00971207"/>
    <w:rsid w:val="009713EC"/>
    <w:rsid w:val="00971514"/>
    <w:rsid w:val="009715D7"/>
    <w:rsid w:val="0097233E"/>
    <w:rsid w:val="00972519"/>
    <w:rsid w:val="009727A1"/>
    <w:rsid w:val="0097282D"/>
    <w:rsid w:val="0097294B"/>
    <w:rsid w:val="00972CA2"/>
    <w:rsid w:val="00972DE4"/>
    <w:rsid w:val="009732BD"/>
    <w:rsid w:val="00973478"/>
    <w:rsid w:val="0097351D"/>
    <w:rsid w:val="00973A1E"/>
    <w:rsid w:val="0097429B"/>
    <w:rsid w:val="0097453D"/>
    <w:rsid w:val="0097482F"/>
    <w:rsid w:val="00974D77"/>
    <w:rsid w:val="00974DBD"/>
    <w:rsid w:val="00975147"/>
    <w:rsid w:val="00975166"/>
    <w:rsid w:val="009751AD"/>
    <w:rsid w:val="009761AA"/>
    <w:rsid w:val="0097770E"/>
    <w:rsid w:val="009777E6"/>
    <w:rsid w:val="0097780E"/>
    <w:rsid w:val="009778F5"/>
    <w:rsid w:val="00977CD0"/>
    <w:rsid w:val="00977DF3"/>
    <w:rsid w:val="00977E6B"/>
    <w:rsid w:val="00980684"/>
    <w:rsid w:val="0098069E"/>
    <w:rsid w:val="00980B47"/>
    <w:rsid w:val="00980FCE"/>
    <w:rsid w:val="00981DA0"/>
    <w:rsid w:val="00981DB6"/>
    <w:rsid w:val="0098237D"/>
    <w:rsid w:val="00982661"/>
    <w:rsid w:val="00982667"/>
    <w:rsid w:val="0098298C"/>
    <w:rsid w:val="009830EF"/>
    <w:rsid w:val="00983507"/>
    <w:rsid w:val="00983D17"/>
    <w:rsid w:val="00984041"/>
    <w:rsid w:val="00984237"/>
    <w:rsid w:val="00984407"/>
    <w:rsid w:val="00984431"/>
    <w:rsid w:val="00984461"/>
    <w:rsid w:val="009846C9"/>
    <w:rsid w:val="009846FF"/>
    <w:rsid w:val="00984899"/>
    <w:rsid w:val="009850DA"/>
    <w:rsid w:val="0098517B"/>
    <w:rsid w:val="00985312"/>
    <w:rsid w:val="009854AD"/>
    <w:rsid w:val="00985527"/>
    <w:rsid w:val="00985FB7"/>
    <w:rsid w:val="00986A7A"/>
    <w:rsid w:val="00986C21"/>
    <w:rsid w:val="0098748C"/>
    <w:rsid w:val="00990444"/>
    <w:rsid w:val="00991496"/>
    <w:rsid w:val="0099225B"/>
    <w:rsid w:val="0099243A"/>
    <w:rsid w:val="009925D8"/>
    <w:rsid w:val="009934C2"/>
    <w:rsid w:val="009934FB"/>
    <w:rsid w:val="009938C6"/>
    <w:rsid w:val="00993B66"/>
    <w:rsid w:val="00993BCC"/>
    <w:rsid w:val="0099405C"/>
    <w:rsid w:val="009942AD"/>
    <w:rsid w:val="00994603"/>
    <w:rsid w:val="009948AE"/>
    <w:rsid w:val="009959A3"/>
    <w:rsid w:val="00995A1A"/>
    <w:rsid w:val="00995CF0"/>
    <w:rsid w:val="009966DF"/>
    <w:rsid w:val="009967A5"/>
    <w:rsid w:val="00996893"/>
    <w:rsid w:val="00996CD1"/>
    <w:rsid w:val="00996D27"/>
    <w:rsid w:val="00996E48"/>
    <w:rsid w:val="009971B2"/>
    <w:rsid w:val="00997373"/>
    <w:rsid w:val="00997722"/>
    <w:rsid w:val="009977C8"/>
    <w:rsid w:val="009979E1"/>
    <w:rsid w:val="009A007D"/>
    <w:rsid w:val="009A03B6"/>
    <w:rsid w:val="009A03E2"/>
    <w:rsid w:val="009A066B"/>
    <w:rsid w:val="009A0DC8"/>
    <w:rsid w:val="009A0F6C"/>
    <w:rsid w:val="009A14D8"/>
    <w:rsid w:val="009A1BB1"/>
    <w:rsid w:val="009A231E"/>
    <w:rsid w:val="009A35D6"/>
    <w:rsid w:val="009A3C5F"/>
    <w:rsid w:val="009A3CD6"/>
    <w:rsid w:val="009A46F6"/>
    <w:rsid w:val="009A4A06"/>
    <w:rsid w:val="009A4C14"/>
    <w:rsid w:val="009A50BC"/>
    <w:rsid w:val="009A537C"/>
    <w:rsid w:val="009A540E"/>
    <w:rsid w:val="009A5871"/>
    <w:rsid w:val="009A66B8"/>
    <w:rsid w:val="009A699C"/>
    <w:rsid w:val="009A69E9"/>
    <w:rsid w:val="009A6D54"/>
    <w:rsid w:val="009A6F1C"/>
    <w:rsid w:val="009A7095"/>
    <w:rsid w:val="009A72DB"/>
    <w:rsid w:val="009A7853"/>
    <w:rsid w:val="009A79B9"/>
    <w:rsid w:val="009A7FA8"/>
    <w:rsid w:val="009A7FC0"/>
    <w:rsid w:val="009B0174"/>
    <w:rsid w:val="009B07CA"/>
    <w:rsid w:val="009B0E12"/>
    <w:rsid w:val="009B10A8"/>
    <w:rsid w:val="009B1847"/>
    <w:rsid w:val="009B18F7"/>
    <w:rsid w:val="009B1B15"/>
    <w:rsid w:val="009B20A1"/>
    <w:rsid w:val="009B20B8"/>
    <w:rsid w:val="009B2356"/>
    <w:rsid w:val="009B24C9"/>
    <w:rsid w:val="009B24D7"/>
    <w:rsid w:val="009B2E8B"/>
    <w:rsid w:val="009B3622"/>
    <w:rsid w:val="009B37FA"/>
    <w:rsid w:val="009B387C"/>
    <w:rsid w:val="009B39A4"/>
    <w:rsid w:val="009B3D22"/>
    <w:rsid w:val="009B4286"/>
    <w:rsid w:val="009B45B8"/>
    <w:rsid w:val="009B48DE"/>
    <w:rsid w:val="009B4B07"/>
    <w:rsid w:val="009B4B8C"/>
    <w:rsid w:val="009B4F55"/>
    <w:rsid w:val="009B4FF4"/>
    <w:rsid w:val="009B5BBF"/>
    <w:rsid w:val="009B6A47"/>
    <w:rsid w:val="009B6F3D"/>
    <w:rsid w:val="009B6FBF"/>
    <w:rsid w:val="009B71C6"/>
    <w:rsid w:val="009B768E"/>
    <w:rsid w:val="009B7AA6"/>
    <w:rsid w:val="009B7B89"/>
    <w:rsid w:val="009B7CEE"/>
    <w:rsid w:val="009C0E1C"/>
    <w:rsid w:val="009C1198"/>
    <w:rsid w:val="009C18E0"/>
    <w:rsid w:val="009C1A2B"/>
    <w:rsid w:val="009C1BBB"/>
    <w:rsid w:val="009C1DFC"/>
    <w:rsid w:val="009C1FBB"/>
    <w:rsid w:val="009C252E"/>
    <w:rsid w:val="009C286D"/>
    <w:rsid w:val="009C28DF"/>
    <w:rsid w:val="009C30CC"/>
    <w:rsid w:val="009C3100"/>
    <w:rsid w:val="009C31A9"/>
    <w:rsid w:val="009C3292"/>
    <w:rsid w:val="009C434B"/>
    <w:rsid w:val="009C46B4"/>
    <w:rsid w:val="009C4F3C"/>
    <w:rsid w:val="009C5218"/>
    <w:rsid w:val="009C5D8D"/>
    <w:rsid w:val="009C605D"/>
    <w:rsid w:val="009C63E1"/>
    <w:rsid w:val="009C6B3E"/>
    <w:rsid w:val="009C6E46"/>
    <w:rsid w:val="009C6FBB"/>
    <w:rsid w:val="009C77E3"/>
    <w:rsid w:val="009C7B6D"/>
    <w:rsid w:val="009D0287"/>
    <w:rsid w:val="009D033F"/>
    <w:rsid w:val="009D0416"/>
    <w:rsid w:val="009D0443"/>
    <w:rsid w:val="009D0794"/>
    <w:rsid w:val="009D1B3E"/>
    <w:rsid w:val="009D254E"/>
    <w:rsid w:val="009D3117"/>
    <w:rsid w:val="009D35EF"/>
    <w:rsid w:val="009D37CD"/>
    <w:rsid w:val="009D3A6F"/>
    <w:rsid w:val="009D3DF5"/>
    <w:rsid w:val="009D4417"/>
    <w:rsid w:val="009D49DE"/>
    <w:rsid w:val="009D547C"/>
    <w:rsid w:val="009D579D"/>
    <w:rsid w:val="009D5B77"/>
    <w:rsid w:val="009D66D8"/>
    <w:rsid w:val="009D671D"/>
    <w:rsid w:val="009D6BC1"/>
    <w:rsid w:val="009D707E"/>
    <w:rsid w:val="009D70C2"/>
    <w:rsid w:val="009D7658"/>
    <w:rsid w:val="009D7C77"/>
    <w:rsid w:val="009E0085"/>
    <w:rsid w:val="009E03EA"/>
    <w:rsid w:val="009E1042"/>
    <w:rsid w:val="009E15E8"/>
    <w:rsid w:val="009E2072"/>
    <w:rsid w:val="009E2367"/>
    <w:rsid w:val="009E2CB2"/>
    <w:rsid w:val="009E32FC"/>
    <w:rsid w:val="009E39A6"/>
    <w:rsid w:val="009E3A3D"/>
    <w:rsid w:val="009E40DD"/>
    <w:rsid w:val="009E4760"/>
    <w:rsid w:val="009E4A8D"/>
    <w:rsid w:val="009E4DD0"/>
    <w:rsid w:val="009E54BD"/>
    <w:rsid w:val="009E5847"/>
    <w:rsid w:val="009E584F"/>
    <w:rsid w:val="009E593E"/>
    <w:rsid w:val="009E5E1B"/>
    <w:rsid w:val="009E6159"/>
    <w:rsid w:val="009E62A9"/>
    <w:rsid w:val="009E6BE0"/>
    <w:rsid w:val="009E6CE0"/>
    <w:rsid w:val="009E7A0C"/>
    <w:rsid w:val="009E7A7A"/>
    <w:rsid w:val="009E7EAC"/>
    <w:rsid w:val="009F00F1"/>
    <w:rsid w:val="009F024A"/>
    <w:rsid w:val="009F027C"/>
    <w:rsid w:val="009F07BF"/>
    <w:rsid w:val="009F0979"/>
    <w:rsid w:val="009F1260"/>
    <w:rsid w:val="009F156C"/>
    <w:rsid w:val="009F1731"/>
    <w:rsid w:val="009F1CB7"/>
    <w:rsid w:val="009F1DA0"/>
    <w:rsid w:val="009F2051"/>
    <w:rsid w:val="009F2300"/>
    <w:rsid w:val="009F268B"/>
    <w:rsid w:val="009F27D1"/>
    <w:rsid w:val="009F3208"/>
    <w:rsid w:val="009F33AA"/>
    <w:rsid w:val="009F34CB"/>
    <w:rsid w:val="009F36ED"/>
    <w:rsid w:val="009F37ED"/>
    <w:rsid w:val="009F3ABE"/>
    <w:rsid w:val="009F3B48"/>
    <w:rsid w:val="009F3CF5"/>
    <w:rsid w:val="009F3EEE"/>
    <w:rsid w:val="009F3F57"/>
    <w:rsid w:val="009F434D"/>
    <w:rsid w:val="009F4767"/>
    <w:rsid w:val="009F4C7F"/>
    <w:rsid w:val="009F4EC6"/>
    <w:rsid w:val="009F4F60"/>
    <w:rsid w:val="009F56D9"/>
    <w:rsid w:val="009F56FB"/>
    <w:rsid w:val="009F57FF"/>
    <w:rsid w:val="009F59CB"/>
    <w:rsid w:val="009F5AFC"/>
    <w:rsid w:val="009F60DA"/>
    <w:rsid w:val="009F626B"/>
    <w:rsid w:val="009F6320"/>
    <w:rsid w:val="009F6AC7"/>
    <w:rsid w:val="009F731F"/>
    <w:rsid w:val="00A001AC"/>
    <w:rsid w:val="00A006D8"/>
    <w:rsid w:val="00A00A59"/>
    <w:rsid w:val="00A00CEA"/>
    <w:rsid w:val="00A00F49"/>
    <w:rsid w:val="00A01367"/>
    <w:rsid w:val="00A0181A"/>
    <w:rsid w:val="00A02676"/>
    <w:rsid w:val="00A03672"/>
    <w:rsid w:val="00A038E3"/>
    <w:rsid w:val="00A03980"/>
    <w:rsid w:val="00A03ABD"/>
    <w:rsid w:val="00A03F56"/>
    <w:rsid w:val="00A04009"/>
    <w:rsid w:val="00A04D30"/>
    <w:rsid w:val="00A050F2"/>
    <w:rsid w:val="00A052C6"/>
    <w:rsid w:val="00A05E13"/>
    <w:rsid w:val="00A06936"/>
    <w:rsid w:val="00A07EAF"/>
    <w:rsid w:val="00A104A8"/>
    <w:rsid w:val="00A10C63"/>
    <w:rsid w:val="00A11464"/>
    <w:rsid w:val="00A11942"/>
    <w:rsid w:val="00A119D0"/>
    <w:rsid w:val="00A122CB"/>
    <w:rsid w:val="00A12317"/>
    <w:rsid w:val="00A126AD"/>
    <w:rsid w:val="00A12910"/>
    <w:rsid w:val="00A13190"/>
    <w:rsid w:val="00A1356F"/>
    <w:rsid w:val="00A1360F"/>
    <w:rsid w:val="00A1389E"/>
    <w:rsid w:val="00A13BB1"/>
    <w:rsid w:val="00A13EB3"/>
    <w:rsid w:val="00A13FD0"/>
    <w:rsid w:val="00A141E0"/>
    <w:rsid w:val="00A145B2"/>
    <w:rsid w:val="00A149CF"/>
    <w:rsid w:val="00A14E63"/>
    <w:rsid w:val="00A14F1C"/>
    <w:rsid w:val="00A14F2F"/>
    <w:rsid w:val="00A15A03"/>
    <w:rsid w:val="00A15A0F"/>
    <w:rsid w:val="00A165CA"/>
    <w:rsid w:val="00A16DAC"/>
    <w:rsid w:val="00A16EA2"/>
    <w:rsid w:val="00A171CF"/>
    <w:rsid w:val="00A17B20"/>
    <w:rsid w:val="00A202D0"/>
    <w:rsid w:val="00A20AE0"/>
    <w:rsid w:val="00A20D61"/>
    <w:rsid w:val="00A2169A"/>
    <w:rsid w:val="00A21A2E"/>
    <w:rsid w:val="00A2224F"/>
    <w:rsid w:val="00A22388"/>
    <w:rsid w:val="00A2276B"/>
    <w:rsid w:val="00A22FEE"/>
    <w:rsid w:val="00A2361B"/>
    <w:rsid w:val="00A239FB"/>
    <w:rsid w:val="00A241DA"/>
    <w:rsid w:val="00A24CE9"/>
    <w:rsid w:val="00A24D33"/>
    <w:rsid w:val="00A24E0C"/>
    <w:rsid w:val="00A2500C"/>
    <w:rsid w:val="00A2515F"/>
    <w:rsid w:val="00A253BA"/>
    <w:rsid w:val="00A25511"/>
    <w:rsid w:val="00A255FA"/>
    <w:rsid w:val="00A2645F"/>
    <w:rsid w:val="00A2655B"/>
    <w:rsid w:val="00A2659D"/>
    <w:rsid w:val="00A266EB"/>
    <w:rsid w:val="00A2690C"/>
    <w:rsid w:val="00A26AA7"/>
    <w:rsid w:val="00A26B83"/>
    <w:rsid w:val="00A26C0A"/>
    <w:rsid w:val="00A26C6F"/>
    <w:rsid w:val="00A26D52"/>
    <w:rsid w:val="00A26F49"/>
    <w:rsid w:val="00A2701A"/>
    <w:rsid w:val="00A273BD"/>
    <w:rsid w:val="00A27974"/>
    <w:rsid w:val="00A27A5E"/>
    <w:rsid w:val="00A27ABF"/>
    <w:rsid w:val="00A30386"/>
    <w:rsid w:val="00A303AB"/>
    <w:rsid w:val="00A304CB"/>
    <w:rsid w:val="00A30C37"/>
    <w:rsid w:val="00A30EEB"/>
    <w:rsid w:val="00A312E5"/>
    <w:rsid w:val="00A313A5"/>
    <w:rsid w:val="00A31605"/>
    <w:rsid w:val="00A31640"/>
    <w:rsid w:val="00A318E4"/>
    <w:rsid w:val="00A31A08"/>
    <w:rsid w:val="00A31C9E"/>
    <w:rsid w:val="00A321C7"/>
    <w:rsid w:val="00A32253"/>
    <w:rsid w:val="00A32DCF"/>
    <w:rsid w:val="00A3300D"/>
    <w:rsid w:val="00A33288"/>
    <w:rsid w:val="00A33C7E"/>
    <w:rsid w:val="00A33D13"/>
    <w:rsid w:val="00A341DD"/>
    <w:rsid w:val="00A355BD"/>
    <w:rsid w:val="00A36CC3"/>
    <w:rsid w:val="00A3757E"/>
    <w:rsid w:val="00A37799"/>
    <w:rsid w:val="00A37E3F"/>
    <w:rsid w:val="00A37E88"/>
    <w:rsid w:val="00A40722"/>
    <w:rsid w:val="00A40954"/>
    <w:rsid w:val="00A40B6E"/>
    <w:rsid w:val="00A40C62"/>
    <w:rsid w:val="00A40FB5"/>
    <w:rsid w:val="00A41418"/>
    <w:rsid w:val="00A427FE"/>
    <w:rsid w:val="00A42AFD"/>
    <w:rsid w:val="00A42C50"/>
    <w:rsid w:val="00A42E7E"/>
    <w:rsid w:val="00A430D5"/>
    <w:rsid w:val="00A434E3"/>
    <w:rsid w:val="00A44824"/>
    <w:rsid w:val="00A44A2C"/>
    <w:rsid w:val="00A45E3E"/>
    <w:rsid w:val="00A45E58"/>
    <w:rsid w:val="00A45F9E"/>
    <w:rsid w:val="00A464DA"/>
    <w:rsid w:val="00A46948"/>
    <w:rsid w:val="00A46B0E"/>
    <w:rsid w:val="00A46C1F"/>
    <w:rsid w:val="00A46DA2"/>
    <w:rsid w:val="00A473A3"/>
    <w:rsid w:val="00A5005B"/>
    <w:rsid w:val="00A50CD0"/>
    <w:rsid w:val="00A50D84"/>
    <w:rsid w:val="00A510FE"/>
    <w:rsid w:val="00A5115B"/>
    <w:rsid w:val="00A51612"/>
    <w:rsid w:val="00A51615"/>
    <w:rsid w:val="00A51784"/>
    <w:rsid w:val="00A51CF4"/>
    <w:rsid w:val="00A527BF"/>
    <w:rsid w:val="00A53555"/>
    <w:rsid w:val="00A53DB4"/>
    <w:rsid w:val="00A53E59"/>
    <w:rsid w:val="00A53E65"/>
    <w:rsid w:val="00A53EA4"/>
    <w:rsid w:val="00A548FE"/>
    <w:rsid w:val="00A5503F"/>
    <w:rsid w:val="00A55944"/>
    <w:rsid w:val="00A55AB3"/>
    <w:rsid w:val="00A55BF1"/>
    <w:rsid w:val="00A55FBC"/>
    <w:rsid w:val="00A560D4"/>
    <w:rsid w:val="00A565AD"/>
    <w:rsid w:val="00A56656"/>
    <w:rsid w:val="00A56884"/>
    <w:rsid w:val="00A5690E"/>
    <w:rsid w:val="00A56D7F"/>
    <w:rsid w:val="00A573DD"/>
    <w:rsid w:val="00A60231"/>
    <w:rsid w:val="00A60674"/>
    <w:rsid w:val="00A60742"/>
    <w:rsid w:val="00A60F65"/>
    <w:rsid w:val="00A612F1"/>
    <w:rsid w:val="00A6163C"/>
    <w:rsid w:val="00A61B91"/>
    <w:rsid w:val="00A61BEE"/>
    <w:rsid w:val="00A61DE2"/>
    <w:rsid w:val="00A61F3C"/>
    <w:rsid w:val="00A623ED"/>
    <w:rsid w:val="00A62D9D"/>
    <w:rsid w:val="00A6309D"/>
    <w:rsid w:val="00A639ED"/>
    <w:rsid w:val="00A63D5C"/>
    <w:rsid w:val="00A63F59"/>
    <w:rsid w:val="00A6417D"/>
    <w:rsid w:val="00A64454"/>
    <w:rsid w:val="00A651BD"/>
    <w:rsid w:val="00A65441"/>
    <w:rsid w:val="00A65778"/>
    <w:rsid w:val="00A6632B"/>
    <w:rsid w:val="00A66DC7"/>
    <w:rsid w:val="00A66DE9"/>
    <w:rsid w:val="00A66ED2"/>
    <w:rsid w:val="00A6717C"/>
    <w:rsid w:val="00A674B3"/>
    <w:rsid w:val="00A70191"/>
    <w:rsid w:val="00A7062B"/>
    <w:rsid w:val="00A706DB"/>
    <w:rsid w:val="00A70795"/>
    <w:rsid w:val="00A70A0C"/>
    <w:rsid w:val="00A711AE"/>
    <w:rsid w:val="00A711DD"/>
    <w:rsid w:val="00A71359"/>
    <w:rsid w:val="00A71598"/>
    <w:rsid w:val="00A719F2"/>
    <w:rsid w:val="00A71B43"/>
    <w:rsid w:val="00A7202D"/>
    <w:rsid w:val="00A722C4"/>
    <w:rsid w:val="00A72347"/>
    <w:rsid w:val="00A72BE9"/>
    <w:rsid w:val="00A7333C"/>
    <w:rsid w:val="00A734F0"/>
    <w:rsid w:val="00A7394E"/>
    <w:rsid w:val="00A73FA3"/>
    <w:rsid w:val="00A74D49"/>
    <w:rsid w:val="00A74D9E"/>
    <w:rsid w:val="00A74ED2"/>
    <w:rsid w:val="00A7533F"/>
    <w:rsid w:val="00A754B9"/>
    <w:rsid w:val="00A755D3"/>
    <w:rsid w:val="00A75858"/>
    <w:rsid w:val="00A758EA"/>
    <w:rsid w:val="00A75CC9"/>
    <w:rsid w:val="00A7612C"/>
    <w:rsid w:val="00A767C6"/>
    <w:rsid w:val="00A77016"/>
    <w:rsid w:val="00A7764E"/>
    <w:rsid w:val="00A779CB"/>
    <w:rsid w:val="00A77F24"/>
    <w:rsid w:val="00A803A3"/>
    <w:rsid w:val="00A80A67"/>
    <w:rsid w:val="00A818BD"/>
    <w:rsid w:val="00A81AAE"/>
    <w:rsid w:val="00A825B0"/>
    <w:rsid w:val="00A828D7"/>
    <w:rsid w:val="00A82B85"/>
    <w:rsid w:val="00A82BB9"/>
    <w:rsid w:val="00A82E30"/>
    <w:rsid w:val="00A8354D"/>
    <w:rsid w:val="00A83A84"/>
    <w:rsid w:val="00A83BA8"/>
    <w:rsid w:val="00A83EF1"/>
    <w:rsid w:val="00A841DA"/>
    <w:rsid w:val="00A84217"/>
    <w:rsid w:val="00A843A2"/>
    <w:rsid w:val="00A845E8"/>
    <w:rsid w:val="00A846DD"/>
    <w:rsid w:val="00A84DD8"/>
    <w:rsid w:val="00A853CD"/>
    <w:rsid w:val="00A85846"/>
    <w:rsid w:val="00A85862"/>
    <w:rsid w:val="00A860A1"/>
    <w:rsid w:val="00A8662E"/>
    <w:rsid w:val="00A8703E"/>
    <w:rsid w:val="00A87046"/>
    <w:rsid w:val="00A874BC"/>
    <w:rsid w:val="00A87601"/>
    <w:rsid w:val="00A87D01"/>
    <w:rsid w:val="00A9002C"/>
    <w:rsid w:val="00A903C4"/>
    <w:rsid w:val="00A9076B"/>
    <w:rsid w:val="00A90A71"/>
    <w:rsid w:val="00A918CA"/>
    <w:rsid w:val="00A918DE"/>
    <w:rsid w:val="00A92388"/>
    <w:rsid w:val="00A92B7A"/>
    <w:rsid w:val="00A935C0"/>
    <w:rsid w:val="00A937A0"/>
    <w:rsid w:val="00A93B7C"/>
    <w:rsid w:val="00A9474D"/>
    <w:rsid w:val="00A94B2F"/>
    <w:rsid w:val="00A94E1A"/>
    <w:rsid w:val="00A94F7B"/>
    <w:rsid w:val="00A9526F"/>
    <w:rsid w:val="00A958AC"/>
    <w:rsid w:val="00A96504"/>
    <w:rsid w:val="00A96735"/>
    <w:rsid w:val="00A97052"/>
    <w:rsid w:val="00A973DB"/>
    <w:rsid w:val="00A97482"/>
    <w:rsid w:val="00A976CE"/>
    <w:rsid w:val="00A97EC8"/>
    <w:rsid w:val="00AA00C9"/>
    <w:rsid w:val="00AA0384"/>
    <w:rsid w:val="00AA0457"/>
    <w:rsid w:val="00AA0639"/>
    <w:rsid w:val="00AA065E"/>
    <w:rsid w:val="00AA071C"/>
    <w:rsid w:val="00AA132B"/>
    <w:rsid w:val="00AA26CE"/>
    <w:rsid w:val="00AA2E58"/>
    <w:rsid w:val="00AA31E9"/>
    <w:rsid w:val="00AA332A"/>
    <w:rsid w:val="00AA419D"/>
    <w:rsid w:val="00AA44F5"/>
    <w:rsid w:val="00AA4501"/>
    <w:rsid w:val="00AA4724"/>
    <w:rsid w:val="00AA4BE4"/>
    <w:rsid w:val="00AA4E52"/>
    <w:rsid w:val="00AA514C"/>
    <w:rsid w:val="00AA5185"/>
    <w:rsid w:val="00AA5229"/>
    <w:rsid w:val="00AA583B"/>
    <w:rsid w:val="00AA59F2"/>
    <w:rsid w:val="00AA5DF9"/>
    <w:rsid w:val="00AA6C40"/>
    <w:rsid w:val="00AA6D8D"/>
    <w:rsid w:val="00AA7862"/>
    <w:rsid w:val="00AA7A5E"/>
    <w:rsid w:val="00AB051C"/>
    <w:rsid w:val="00AB053D"/>
    <w:rsid w:val="00AB07D6"/>
    <w:rsid w:val="00AB0830"/>
    <w:rsid w:val="00AB0945"/>
    <w:rsid w:val="00AB0EAF"/>
    <w:rsid w:val="00AB11FD"/>
    <w:rsid w:val="00AB1225"/>
    <w:rsid w:val="00AB12CC"/>
    <w:rsid w:val="00AB1544"/>
    <w:rsid w:val="00AB158B"/>
    <w:rsid w:val="00AB1974"/>
    <w:rsid w:val="00AB1A5B"/>
    <w:rsid w:val="00AB1B1A"/>
    <w:rsid w:val="00AB1BBE"/>
    <w:rsid w:val="00AB1BF3"/>
    <w:rsid w:val="00AB2847"/>
    <w:rsid w:val="00AB2C44"/>
    <w:rsid w:val="00AB33D5"/>
    <w:rsid w:val="00AB341F"/>
    <w:rsid w:val="00AB3A29"/>
    <w:rsid w:val="00AB4264"/>
    <w:rsid w:val="00AB4335"/>
    <w:rsid w:val="00AB47F1"/>
    <w:rsid w:val="00AB4DF9"/>
    <w:rsid w:val="00AB53FA"/>
    <w:rsid w:val="00AB554C"/>
    <w:rsid w:val="00AB593C"/>
    <w:rsid w:val="00AB60BC"/>
    <w:rsid w:val="00AB6667"/>
    <w:rsid w:val="00AB66FA"/>
    <w:rsid w:val="00AB6A3F"/>
    <w:rsid w:val="00AB764B"/>
    <w:rsid w:val="00AB7A98"/>
    <w:rsid w:val="00AC016A"/>
    <w:rsid w:val="00AC02CE"/>
    <w:rsid w:val="00AC038B"/>
    <w:rsid w:val="00AC0C0A"/>
    <w:rsid w:val="00AC0D19"/>
    <w:rsid w:val="00AC1359"/>
    <w:rsid w:val="00AC1762"/>
    <w:rsid w:val="00AC1BD9"/>
    <w:rsid w:val="00AC2110"/>
    <w:rsid w:val="00AC3443"/>
    <w:rsid w:val="00AC3590"/>
    <w:rsid w:val="00AC3B60"/>
    <w:rsid w:val="00AC3E89"/>
    <w:rsid w:val="00AC4201"/>
    <w:rsid w:val="00AC4B16"/>
    <w:rsid w:val="00AC51B2"/>
    <w:rsid w:val="00AC53DD"/>
    <w:rsid w:val="00AC56E3"/>
    <w:rsid w:val="00AC58F4"/>
    <w:rsid w:val="00AC5C71"/>
    <w:rsid w:val="00AC5FE0"/>
    <w:rsid w:val="00AC6436"/>
    <w:rsid w:val="00AC649C"/>
    <w:rsid w:val="00AC65D0"/>
    <w:rsid w:val="00AC68FA"/>
    <w:rsid w:val="00AC6F16"/>
    <w:rsid w:val="00AC7126"/>
    <w:rsid w:val="00AD044F"/>
    <w:rsid w:val="00AD0B30"/>
    <w:rsid w:val="00AD0BFB"/>
    <w:rsid w:val="00AD0F96"/>
    <w:rsid w:val="00AD120D"/>
    <w:rsid w:val="00AD15BC"/>
    <w:rsid w:val="00AD1604"/>
    <w:rsid w:val="00AD20E8"/>
    <w:rsid w:val="00AD221F"/>
    <w:rsid w:val="00AD2760"/>
    <w:rsid w:val="00AD2BA8"/>
    <w:rsid w:val="00AD2C42"/>
    <w:rsid w:val="00AD2F4A"/>
    <w:rsid w:val="00AD4598"/>
    <w:rsid w:val="00AD4B55"/>
    <w:rsid w:val="00AD50B3"/>
    <w:rsid w:val="00AD5200"/>
    <w:rsid w:val="00AD53A5"/>
    <w:rsid w:val="00AD5B0B"/>
    <w:rsid w:val="00AD63CD"/>
    <w:rsid w:val="00AD691A"/>
    <w:rsid w:val="00AD6AE8"/>
    <w:rsid w:val="00AD6EAD"/>
    <w:rsid w:val="00AD74C0"/>
    <w:rsid w:val="00AD76F2"/>
    <w:rsid w:val="00AD7708"/>
    <w:rsid w:val="00AD7DF9"/>
    <w:rsid w:val="00AE0058"/>
    <w:rsid w:val="00AE0ED7"/>
    <w:rsid w:val="00AE0EF2"/>
    <w:rsid w:val="00AE2108"/>
    <w:rsid w:val="00AE237C"/>
    <w:rsid w:val="00AE2A1D"/>
    <w:rsid w:val="00AE2B03"/>
    <w:rsid w:val="00AE2D5C"/>
    <w:rsid w:val="00AE2F71"/>
    <w:rsid w:val="00AE362E"/>
    <w:rsid w:val="00AE383A"/>
    <w:rsid w:val="00AE404D"/>
    <w:rsid w:val="00AE41A2"/>
    <w:rsid w:val="00AE4241"/>
    <w:rsid w:val="00AE4492"/>
    <w:rsid w:val="00AE4875"/>
    <w:rsid w:val="00AE48D8"/>
    <w:rsid w:val="00AE4BD5"/>
    <w:rsid w:val="00AE4EFA"/>
    <w:rsid w:val="00AE513E"/>
    <w:rsid w:val="00AE55AA"/>
    <w:rsid w:val="00AE58B6"/>
    <w:rsid w:val="00AE6294"/>
    <w:rsid w:val="00AE6BBF"/>
    <w:rsid w:val="00AE6C50"/>
    <w:rsid w:val="00AE7044"/>
    <w:rsid w:val="00AE71A1"/>
    <w:rsid w:val="00AE7F33"/>
    <w:rsid w:val="00AF02A7"/>
    <w:rsid w:val="00AF0333"/>
    <w:rsid w:val="00AF045E"/>
    <w:rsid w:val="00AF0F90"/>
    <w:rsid w:val="00AF1067"/>
    <w:rsid w:val="00AF1334"/>
    <w:rsid w:val="00AF1645"/>
    <w:rsid w:val="00AF18F7"/>
    <w:rsid w:val="00AF1F79"/>
    <w:rsid w:val="00AF2521"/>
    <w:rsid w:val="00AF2983"/>
    <w:rsid w:val="00AF29C4"/>
    <w:rsid w:val="00AF35C3"/>
    <w:rsid w:val="00AF3A02"/>
    <w:rsid w:val="00AF3BA2"/>
    <w:rsid w:val="00AF40A9"/>
    <w:rsid w:val="00AF41D7"/>
    <w:rsid w:val="00AF4297"/>
    <w:rsid w:val="00AF433E"/>
    <w:rsid w:val="00AF444C"/>
    <w:rsid w:val="00AF45AA"/>
    <w:rsid w:val="00AF4A57"/>
    <w:rsid w:val="00AF4FA0"/>
    <w:rsid w:val="00AF5129"/>
    <w:rsid w:val="00AF57F8"/>
    <w:rsid w:val="00AF61B3"/>
    <w:rsid w:val="00AF623C"/>
    <w:rsid w:val="00AF62A1"/>
    <w:rsid w:val="00AF63FB"/>
    <w:rsid w:val="00AF656A"/>
    <w:rsid w:val="00AF667B"/>
    <w:rsid w:val="00AF6BB2"/>
    <w:rsid w:val="00AF774C"/>
    <w:rsid w:val="00AF7990"/>
    <w:rsid w:val="00AF7CAF"/>
    <w:rsid w:val="00B000E6"/>
    <w:rsid w:val="00B00401"/>
    <w:rsid w:val="00B011D0"/>
    <w:rsid w:val="00B01A68"/>
    <w:rsid w:val="00B01B70"/>
    <w:rsid w:val="00B01E13"/>
    <w:rsid w:val="00B01E3C"/>
    <w:rsid w:val="00B01EDE"/>
    <w:rsid w:val="00B01F92"/>
    <w:rsid w:val="00B02366"/>
    <w:rsid w:val="00B0251D"/>
    <w:rsid w:val="00B029DA"/>
    <w:rsid w:val="00B02B34"/>
    <w:rsid w:val="00B02C2B"/>
    <w:rsid w:val="00B02C56"/>
    <w:rsid w:val="00B02D5D"/>
    <w:rsid w:val="00B02DC7"/>
    <w:rsid w:val="00B02E2C"/>
    <w:rsid w:val="00B031EA"/>
    <w:rsid w:val="00B03EFC"/>
    <w:rsid w:val="00B040B2"/>
    <w:rsid w:val="00B0426F"/>
    <w:rsid w:val="00B04475"/>
    <w:rsid w:val="00B050B0"/>
    <w:rsid w:val="00B0512E"/>
    <w:rsid w:val="00B05549"/>
    <w:rsid w:val="00B0583F"/>
    <w:rsid w:val="00B05B03"/>
    <w:rsid w:val="00B05CB3"/>
    <w:rsid w:val="00B0651A"/>
    <w:rsid w:val="00B065C7"/>
    <w:rsid w:val="00B06BCA"/>
    <w:rsid w:val="00B06C30"/>
    <w:rsid w:val="00B07262"/>
    <w:rsid w:val="00B074D1"/>
    <w:rsid w:val="00B07577"/>
    <w:rsid w:val="00B07BB7"/>
    <w:rsid w:val="00B07C94"/>
    <w:rsid w:val="00B105C8"/>
    <w:rsid w:val="00B10685"/>
    <w:rsid w:val="00B10CCC"/>
    <w:rsid w:val="00B10D67"/>
    <w:rsid w:val="00B10FAD"/>
    <w:rsid w:val="00B11D85"/>
    <w:rsid w:val="00B1218C"/>
    <w:rsid w:val="00B122DE"/>
    <w:rsid w:val="00B139FC"/>
    <w:rsid w:val="00B14428"/>
    <w:rsid w:val="00B15086"/>
    <w:rsid w:val="00B15276"/>
    <w:rsid w:val="00B152EA"/>
    <w:rsid w:val="00B15701"/>
    <w:rsid w:val="00B16111"/>
    <w:rsid w:val="00B162BD"/>
    <w:rsid w:val="00B164F2"/>
    <w:rsid w:val="00B16521"/>
    <w:rsid w:val="00B17136"/>
    <w:rsid w:val="00B176AA"/>
    <w:rsid w:val="00B17D28"/>
    <w:rsid w:val="00B17D40"/>
    <w:rsid w:val="00B20024"/>
    <w:rsid w:val="00B201DC"/>
    <w:rsid w:val="00B202F5"/>
    <w:rsid w:val="00B2059C"/>
    <w:rsid w:val="00B208FF"/>
    <w:rsid w:val="00B211BB"/>
    <w:rsid w:val="00B212A2"/>
    <w:rsid w:val="00B215D5"/>
    <w:rsid w:val="00B21F18"/>
    <w:rsid w:val="00B24021"/>
    <w:rsid w:val="00B24216"/>
    <w:rsid w:val="00B242A4"/>
    <w:rsid w:val="00B242E4"/>
    <w:rsid w:val="00B24E10"/>
    <w:rsid w:val="00B25161"/>
    <w:rsid w:val="00B25A32"/>
    <w:rsid w:val="00B25DE1"/>
    <w:rsid w:val="00B260EE"/>
    <w:rsid w:val="00B266C3"/>
    <w:rsid w:val="00B26B8A"/>
    <w:rsid w:val="00B26C48"/>
    <w:rsid w:val="00B279B2"/>
    <w:rsid w:val="00B27F9D"/>
    <w:rsid w:val="00B31682"/>
    <w:rsid w:val="00B3170B"/>
    <w:rsid w:val="00B31AE2"/>
    <w:rsid w:val="00B31B42"/>
    <w:rsid w:val="00B3242E"/>
    <w:rsid w:val="00B326FC"/>
    <w:rsid w:val="00B34405"/>
    <w:rsid w:val="00B344EA"/>
    <w:rsid w:val="00B34688"/>
    <w:rsid w:val="00B34C56"/>
    <w:rsid w:val="00B350F7"/>
    <w:rsid w:val="00B35D66"/>
    <w:rsid w:val="00B35FDA"/>
    <w:rsid w:val="00B3621C"/>
    <w:rsid w:val="00B36AC8"/>
    <w:rsid w:val="00B37042"/>
    <w:rsid w:val="00B37418"/>
    <w:rsid w:val="00B3750E"/>
    <w:rsid w:val="00B3758C"/>
    <w:rsid w:val="00B376AA"/>
    <w:rsid w:val="00B37848"/>
    <w:rsid w:val="00B37A53"/>
    <w:rsid w:val="00B37C2F"/>
    <w:rsid w:val="00B40112"/>
    <w:rsid w:val="00B40454"/>
    <w:rsid w:val="00B4046C"/>
    <w:rsid w:val="00B406F9"/>
    <w:rsid w:val="00B40B02"/>
    <w:rsid w:val="00B40E69"/>
    <w:rsid w:val="00B410CF"/>
    <w:rsid w:val="00B41418"/>
    <w:rsid w:val="00B41BA0"/>
    <w:rsid w:val="00B41DD8"/>
    <w:rsid w:val="00B4230D"/>
    <w:rsid w:val="00B425FC"/>
    <w:rsid w:val="00B42637"/>
    <w:rsid w:val="00B42692"/>
    <w:rsid w:val="00B43154"/>
    <w:rsid w:val="00B43952"/>
    <w:rsid w:val="00B43D4C"/>
    <w:rsid w:val="00B43F48"/>
    <w:rsid w:val="00B441D7"/>
    <w:rsid w:val="00B445C5"/>
    <w:rsid w:val="00B44B91"/>
    <w:rsid w:val="00B44BD1"/>
    <w:rsid w:val="00B4567F"/>
    <w:rsid w:val="00B45960"/>
    <w:rsid w:val="00B459B4"/>
    <w:rsid w:val="00B467F7"/>
    <w:rsid w:val="00B46930"/>
    <w:rsid w:val="00B46CB7"/>
    <w:rsid w:val="00B46CD9"/>
    <w:rsid w:val="00B46F70"/>
    <w:rsid w:val="00B47734"/>
    <w:rsid w:val="00B477EE"/>
    <w:rsid w:val="00B5014A"/>
    <w:rsid w:val="00B50865"/>
    <w:rsid w:val="00B5094E"/>
    <w:rsid w:val="00B509A1"/>
    <w:rsid w:val="00B50EEC"/>
    <w:rsid w:val="00B5105A"/>
    <w:rsid w:val="00B516CB"/>
    <w:rsid w:val="00B51974"/>
    <w:rsid w:val="00B51CA3"/>
    <w:rsid w:val="00B52325"/>
    <w:rsid w:val="00B5242C"/>
    <w:rsid w:val="00B533BE"/>
    <w:rsid w:val="00B546E7"/>
    <w:rsid w:val="00B5479F"/>
    <w:rsid w:val="00B5556E"/>
    <w:rsid w:val="00B55B5E"/>
    <w:rsid w:val="00B56130"/>
    <w:rsid w:val="00B5637F"/>
    <w:rsid w:val="00B5656A"/>
    <w:rsid w:val="00B565AB"/>
    <w:rsid w:val="00B568FF"/>
    <w:rsid w:val="00B57028"/>
    <w:rsid w:val="00B57255"/>
    <w:rsid w:val="00B57354"/>
    <w:rsid w:val="00B576C8"/>
    <w:rsid w:val="00B579B2"/>
    <w:rsid w:val="00B602EC"/>
    <w:rsid w:val="00B60331"/>
    <w:rsid w:val="00B60606"/>
    <w:rsid w:val="00B60D71"/>
    <w:rsid w:val="00B60E44"/>
    <w:rsid w:val="00B61F40"/>
    <w:rsid w:val="00B62418"/>
    <w:rsid w:val="00B62964"/>
    <w:rsid w:val="00B62972"/>
    <w:rsid w:val="00B637D4"/>
    <w:rsid w:val="00B63B8F"/>
    <w:rsid w:val="00B63E19"/>
    <w:rsid w:val="00B64B57"/>
    <w:rsid w:val="00B64B9C"/>
    <w:rsid w:val="00B64DEA"/>
    <w:rsid w:val="00B65B38"/>
    <w:rsid w:val="00B65CD5"/>
    <w:rsid w:val="00B65CDA"/>
    <w:rsid w:val="00B676A6"/>
    <w:rsid w:val="00B67EE9"/>
    <w:rsid w:val="00B705D4"/>
    <w:rsid w:val="00B706AC"/>
    <w:rsid w:val="00B70A38"/>
    <w:rsid w:val="00B70D38"/>
    <w:rsid w:val="00B710AF"/>
    <w:rsid w:val="00B71A4A"/>
    <w:rsid w:val="00B71A8D"/>
    <w:rsid w:val="00B71E46"/>
    <w:rsid w:val="00B71F34"/>
    <w:rsid w:val="00B723ED"/>
    <w:rsid w:val="00B7259A"/>
    <w:rsid w:val="00B726EA"/>
    <w:rsid w:val="00B727CB"/>
    <w:rsid w:val="00B728C0"/>
    <w:rsid w:val="00B72A58"/>
    <w:rsid w:val="00B7362E"/>
    <w:rsid w:val="00B73C43"/>
    <w:rsid w:val="00B73D12"/>
    <w:rsid w:val="00B741D2"/>
    <w:rsid w:val="00B745F1"/>
    <w:rsid w:val="00B74DD2"/>
    <w:rsid w:val="00B750FC"/>
    <w:rsid w:val="00B755D5"/>
    <w:rsid w:val="00B768CC"/>
    <w:rsid w:val="00B76FD5"/>
    <w:rsid w:val="00B770F7"/>
    <w:rsid w:val="00B775BA"/>
    <w:rsid w:val="00B77E2E"/>
    <w:rsid w:val="00B80580"/>
    <w:rsid w:val="00B806F6"/>
    <w:rsid w:val="00B80725"/>
    <w:rsid w:val="00B80FBA"/>
    <w:rsid w:val="00B81283"/>
    <w:rsid w:val="00B81CE8"/>
    <w:rsid w:val="00B8374E"/>
    <w:rsid w:val="00B8389E"/>
    <w:rsid w:val="00B83AEC"/>
    <w:rsid w:val="00B83B02"/>
    <w:rsid w:val="00B83BC7"/>
    <w:rsid w:val="00B83DE4"/>
    <w:rsid w:val="00B83E0B"/>
    <w:rsid w:val="00B8421C"/>
    <w:rsid w:val="00B84883"/>
    <w:rsid w:val="00B8488F"/>
    <w:rsid w:val="00B849F5"/>
    <w:rsid w:val="00B84B3E"/>
    <w:rsid w:val="00B84BF7"/>
    <w:rsid w:val="00B85317"/>
    <w:rsid w:val="00B860F7"/>
    <w:rsid w:val="00B8611A"/>
    <w:rsid w:val="00B8618F"/>
    <w:rsid w:val="00B865C1"/>
    <w:rsid w:val="00B867C0"/>
    <w:rsid w:val="00B86F71"/>
    <w:rsid w:val="00B87124"/>
    <w:rsid w:val="00B87509"/>
    <w:rsid w:val="00B876D1"/>
    <w:rsid w:val="00B87C6A"/>
    <w:rsid w:val="00B90151"/>
    <w:rsid w:val="00B90493"/>
    <w:rsid w:val="00B90921"/>
    <w:rsid w:val="00B90B4A"/>
    <w:rsid w:val="00B91254"/>
    <w:rsid w:val="00B91FDD"/>
    <w:rsid w:val="00B92474"/>
    <w:rsid w:val="00B925D1"/>
    <w:rsid w:val="00B92E08"/>
    <w:rsid w:val="00B93817"/>
    <w:rsid w:val="00B93B56"/>
    <w:rsid w:val="00B93F89"/>
    <w:rsid w:val="00B94077"/>
    <w:rsid w:val="00B940C9"/>
    <w:rsid w:val="00B944C0"/>
    <w:rsid w:val="00B94E97"/>
    <w:rsid w:val="00B94EDF"/>
    <w:rsid w:val="00B95052"/>
    <w:rsid w:val="00B95173"/>
    <w:rsid w:val="00B955A7"/>
    <w:rsid w:val="00B955B9"/>
    <w:rsid w:val="00B95644"/>
    <w:rsid w:val="00B95C86"/>
    <w:rsid w:val="00B96264"/>
    <w:rsid w:val="00B96754"/>
    <w:rsid w:val="00B96B2F"/>
    <w:rsid w:val="00B96B9B"/>
    <w:rsid w:val="00B96D44"/>
    <w:rsid w:val="00B973FF"/>
    <w:rsid w:val="00B9762F"/>
    <w:rsid w:val="00B97652"/>
    <w:rsid w:val="00B9787E"/>
    <w:rsid w:val="00B97BCC"/>
    <w:rsid w:val="00B97D0B"/>
    <w:rsid w:val="00BA0015"/>
    <w:rsid w:val="00BA0039"/>
    <w:rsid w:val="00BA03CE"/>
    <w:rsid w:val="00BA07FB"/>
    <w:rsid w:val="00BA111D"/>
    <w:rsid w:val="00BA1214"/>
    <w:rsid w:val="00BA130C"/>
    <w:rsid w:val="00BA19D8"/>
    <w:rsid w:val="00BA2147"/>
    <w:rsid w:val="00BA2381"/>
    <w:rsid w:val="00BA2591"/>
    <w:rsid w:val="00BA28D3"/>
    <w:rsid w:val="00BA2935"/>
    <w:rsid w:val="00BA2D1E"/>
    <w:rsid w:val="00BA2DDD"/>
    <w:rsid w:val="00BA2E78"/>
    <w:rsid w:val="00BA3AF6"/>
    <w:rsid w:val="00BA483A"/>
    <w:rsid w:val="00BA48B1"/>
    <w:rsid w:val="00BA48FD"/>
    <w:rsid w:val="00BA4E9C"/>
    <w:rsid w:val="00BA501B"/>
    <w:rsid w:val="00BA55DB"/>
    <w:rsid w:val="00BA5AE1"/>
    <w:rsid w:val="00BA636F"/>
    <w:rsid w:val="00BA65CB"/>
    <w:rsid w:val="00BA671E"/>
    <w:rsid w:val="00BA699A"/>
    <w:rsid w:val="00BA728F"/>
    <w:rsid w:val="00BA7350"/>
    <w:rsid w:val="00BA748F"/>
    <w:rsid w:val="00BA75E3"/>
    <w:rsid w:val="00BA761B"/>
    <w:rsid w:val="00BB0174"/>
    <w:rsid w:val="00BB0788"/>
    <w:rsid w:val="00BB0913"/>
    <w:rsid w:val="00BB0B89"/>
    <w:rsid w:val="00BB11DE"/>
    <w:rsid w:val="00BB1563"/>
    <w:rsid w:val="00BB15A3"/>
    <w:rsid w:val="00BB18FD"/>
    <w:rsid w:val="00BB19B6"/>
    <w:rsid w:val="00BB19E2"/>
    <w:rsid w:val="00BB1C78"/>
    <w:rsid w:val="00BB1E58"/>
    <w:rsid w:val="00BB20D2"/>
    <w:rsid w:val="00BB2ABE"/>
    <w:rsid w:val="00BB2CA1"/>
    <w:rsid w:val="00BB301F"/>
    <w:rsid w:val="00BB3237"/>
    <w:rsid w:val="00BB3614"/>
    <w:rsid w:val="00BB3BBE"/>
    <w:rsid w:val="00BB3DF8"/>
    <w:rsid w:val="00BB4466"/>
    <w:rsid w:val="00BB4BAE"/>
    <w:rsid w:val="00BB4D10"/>
    <w:rsid w:val="00BB4F91"/>
    <w:rsid w:val="00BB52C5"/>
    <w:rsid w:val="00BB5695"/>
    <w:rsid w:val="00BB6036"/>
    <w:rsid w:val="00BB6288"/>
    <w:rsid w:val="00BB649D"/>
    <w:rsid w:val="00BB6AEE"/>
    <w:rsid w:val="00BB6AEF"/>
    <w:rsid w:val="00BB7481"/>
    <w:rsid w:val="00BB769D"/>
    <w:rsid w:val="00BB793F"/>
    <w:rsid w:val="00BB7E04"/>
    <w:rsid w:val="00BB7F2D"/>
    <w:rsid w:val="00BC02EC"/>
    <w:rsid w:val="00BC0570"/>
    <w:rsid w:val="00BC1035"/>
    <w:rsid w:val="00BC1666"/>
    <w:rsid w:val="00BC1748"/>
    <w:rsid w:val="00BC2083"/>
    <w:rsid w:val="00BC220C"/>
    <w:rsid w:val="00BC26BD"/>
    <w:rsid w:val="00BC2BDB"/>
    <w:rsid w:val="00BC2E51"/>
    <w:rsid w:val="00BC2E9F"/>
    <w:rsid w:val="00BC4007"/>
    <w:rsid w:val="00BC4D35"/>
    <w:rsid w:val="00BC5158"/>
    <w:rsid w:val="00BC58DA"/>
    <w:rsid w:val="00BC5DDD"/>
    <w:rsid w:val="00BC5EB0"/>
    <w:rsid w:val="00BC6627"/>
    <w:rsid w:val="00BC6E2E"/>
    <w:rsid w:val="00BC78B8"/>
    <w:rsid w:val="00BC7A4E"/>
    <w:rsid w:val="00BC7FA0"/>
    <w:rsid w:val="00BD02EC"/>
    <w:rsid w:val="00BD0693"/>
    <w:rsid w:val="00BD0A9B"/>
    <w:rsid w:val="00BD0BE9"/>
    <w:rsid w:val="00BD1701"/>
    <w:rsid w:val="00BD21F8"/>
    <w:rsid w:val="00BD23D6"/>
    <w:rsid w:val="00BD289C"/>
    <w:rsid w:val="00BD29ED"/>
    <w:rsid w:val="00BD2F15"/>
    <w:rsid w:val="00BD35C3"/>
    <w:rsid w:val="00BD39B6"/>
    <w:rsid w:val="00BD4085"/>
    <w:rsid w:val="00BD41C7"/>
    <w:rsid w:val="00BD42DA"/>
    <w:rsid w:val="00BD43D2"/>
    <w:rsid w:val="00BD48CC"/>
    <w:rsid w:val="00BD495D"/>
    <w:rsid w:val="00BD4E42"/>
    <w:rsid w:val="00BD4F7F"/>
    <w:rsid w:val="00BD5386"/>
    <w:rsid w:val="00BD56AD"/>
    <w:rsid w:val="00BD597B"/>
    <w:rsid w:val="00BD5DA2"/>
    <w:rsid w:val="00BD5EA2"/>
    <w:rsid w:val="00BD5F5C"/>
    <w:rsid w:val="00BD6A2E"/>
    <w:rsid w:val="00BD6AC9"/>
    <w:rsid w:val="00BD762F"/>
    <w:rsid w:val="00BD77DB"/>
    <w:rsid w:val="00BD7B53"/>
    <w:rsid w:val="00BE0570"/>
    <w:rsid w:val="00BE0583"/>
    <w:rsid w:val="00BE0926"/>
    <w:rsid w:val="00BE0C7F"/>
    <w:rsid w:val="00BE0E2C"/>
    <w:rsid w:val="00BE0F4E"/>
    <w:rsid w:val="00BE105D"/>
    <w:rsid w:val="00BE143B"/>
    <w:rsid w:val="00BE1705"/>
    <w:rsid w:val="00BE19CE"/>
    <w:rsid w:val="00BE1BFE"/>
    <w:rsid w:val="00BE1D70"/>
    <w:rsid w:val="00BE20D1"/>
    <w:rsid w:val="00BE267E"/>
    <w:rsid w:val="00BE278F"/>
    <w:rsid w:val="00BE35C4"/>
    <w:rsid w:val="00BE399F"/>
    <w:rsid w:val="00BE3BCA"/>
    <w:rsid w:val="00BE3E90"/>
    <w:rsid w:val="00BE45B9"/>
    <w:rsid w:val="00BE48B7"/>
    <w:rsid w:val="00BE4BEB"/>
    <w:rsid w:val="00BE51D1"/>
    <w:rsid w:val="00BE549E"/>
    <w:rsid w:val="00BE5669"/>
    <w:rsid w:val="00BE58DE"/>
    <w:rsid w:val="00BE5965"/>
    <w:rsid w:val="00BE5DE4"/>
    <w:rsid w:val="00BE649B"/>
    <w:rsid w:val="00BE65AD"/>
    <w:rsid w:val="00BE6B72"/>
    <w:rsid w:val="00BE6F32"/>
    <w:rsid w:val="00BE7188"/>
    <w:rsid w:val="00BE71B7"/>
    <w:rsid w:val="00BE79C0"/>
    <w:rsid w:val="00BE7BC2"/>
    <w:rsid w:val="00BE7CA6"/>
    <w:rsid w:val="00BE7F9A"/>
    <w:rsid w:val="00BF088D"/>
    <w:rsid w:val="00BF09E3"/>
    <w:rsid w:val="00BF0CD9"/>
    <w:rsid w:val="00BF11F8"/>
    <w:rsid w:val="00BF12B2"/>
    <w:rsid w:val="00BF12D3"/>
    <w:rsid w:val="00BF1AE7"/>
    <w:rsid w:val="00BF1B4D"/>
    <w:rsid w:val="00BF214A"/>
    <w:rsid w:val="00BF2F58"/>
    <w:rsid w:val="00BF3186"/>
    <w:rsid w:val="00BF3373"/>
    <w:rsid w:val="00BF4015"/>
    <w:rsid w:val="00BF4D09"/>
    <w:rsid w:val="00BF53E0"/>
    <w:rsid w:val="00BF58AD"/>
    <w:rsid w:val="00BF59D0"/>
    <w:rsid w:val="00BF59D6"/>
    <w:rsid w:val="00BF5F70"/>
    <w:rsid w:val="00BF62EE"/>
    <w:rsid w:val="00BF649B"/>
    <w:rsid w:val="00BF66C6"/>
    <w:rsid w:val="00BF67B9"/>
    <w:rsid w:val="00BF6E86"/>
    <w:rsid w:val="00BF73BC"/>
    <w:rsid w:val="00BF73F4"/>
    <w:rsid w:val="00BF7C98"/>
    <w:rsid w:val="00BF7CBB"/>
    <w:rsid w:val="00BF7DA1"/>
    <w:rsid w:val="00C00189"/>
    <w:rsid w:val="00C00922"/>
    <w:rsid w:val="00C00E25"/>
    <w:rsid w:val="00C00F6A"/>
    <w:rsid w:val="00C00FFE"/>
    <w:rsid w:val="00C01B77"/>
    <w:rsid w:val="00C0223A"/>
    <w:rsid w:val="00C02276"/>
    <w:rsid w:val="00C02B77"/>
    <w:rsid w:val="00C02CEC"/>
    <w:rsid w:val="00C02DE6"/>
    <w:rsid w:val="00C03554"/>
    <w:rsid w:val="00C04092"/>
    <w:rsid w:val="00C04EA0"/>
    <w:rsid w:val="00C04FB9"/>
    <w:rsid w:val="00C05883"/>
    <w:rsid w:val="00C05995"/>
    <w:rsid w:val="00C05FD2"/>
    <w:rsid w:val="00C06077"/>
    <w:rsid w:val="00C06C0D"/>
    <w:rsid w:val="00C106E6"/>
    <w:rsid w:val="00C109D3"/>
    <w:rsid w:val="00C10CCD"/>
    <w:rsid w:val="00C111C2"/>
    <w:rsid w:val="00C1134A"/>
    <w:rsid w:val="00C11659"/>
    <w:rsid w:val="00C117B3"/>
    <w:rsid w:val="00C119D2"/>
    <w:rsid w:val="00C11EDC"/>
    <w:rsid w:val="00C11F7A"/>
    <w:rsid w:val="00C124FA"/>
    <w:rsid w:val="00C12512"/>
    <w:rsid w:val="00C12BAC"/>
    <w:rsid w:val="00C12CB2"/>
    <w:rsid w:val="00C130CD"/>
    <w:rsid w:val="00C13155"/>
    <w:rsid w:val="00C1364F"/>
    <w:rsid w:val="00C1377B"/>
    <w:rsid w:val="00C13C5A"/>
    <w:rsid w:val="00C151E7"/>
    <w:rsid w:val="00C153B6"/>
    <w:rsid w:val="00C159C8"/>
    <w:rsid w:val="00C1673C"/>
    <w:rsid w:val="00C16C5D"/>
    <w:rsid w:val="00C17EAA"/>
    <w:rsid w:val="00C2007B"/>
    <w:rsid w:val="00C20095"/>
    <w:rsid w:val="00C2071E"/>
    <w:rsid w:val="00C2080B"/>
    <w:rsid w:val="00C20C1D"/>
    <w:rsid w:val="00C20E1B"/>
    <w:rsid w:val="00C20FCB"/>
    <w:rsid w:val="00C21EE8"/>
    <w:rsid w:val="00C21F2D"/>
    <w:rsid w:val="00C22DBF"/>
    <w:rsid w:val="00C23787"/>
    <w:rsid w:val="00C23AB9"/>
    <w:rsid w:val="00C23AFF"/>
    <w:rsid w:val="00C23D2D"/>
    <w:rsid w:val="00C23E0A"/>
    <w:rsid w:val="00C2452F"/>
    <w:rsid w:val="00C24751"/>
    <w:rsid w:val="00C24971"/>
    <w:rsid w:val="00C24AAD"/>
    <w:rsid w:val="00C25016"/>
    <w:rsid w:val="00C254DA"/>
    <w:rsid w:val="00C25671"/>
    <w:rsid w:val="00C25A22"/>
    <w:rsid w:val="00C25FE2"/>
    <w:rsid w:val="00C26189"/>
    <w:rsid w:val="00C26291"/>
    <w:rsid w:val="00C26BB5"/>
    <w:rsid w:val="00C26F32"/>
    <w:rsid w:val="00C3019F"/>
    <w:rsid w:val="00C3033E"/>
    <w:rsid w:val="00C30555"/>
    <w:rsid w:val="00C305B4"/>
    <w:rsid w:val="00C312C4"/>
    <w:rsid w:val="00C316A8"/>
    <w:rsid w:val="00C31B5F"/>
    <w:rsid w:val="00C31CF5"/>
    <w:rsid w:val="00C31D22"/>
    <w:rsid w:val="00C31EFC"/>
    <w:rsid w:val="00C31FCA"/>
    <w:rsid w:val="00C3234B"/>
    <w:rsid w:val="00C32DF6"/>
    <w:rsid w:val="00C33186"/>
    <w:rsid w:val="00C3320C"/>
    <w:rsid w:val="00C336F1"/>
    <w:rsid w:val="00C3375E"/>
    <w:rsid w:val="00C339D3"/>
    <w:rsid w:val="00C33C5A"/>
    <w:rsid w:val="00C33E71"/>
    <w:rsid w:val="00C341FE"/>
    <w:rsid w:val="00C34698"/>
    <w:rsid w:val="00C34E60"/>
    <w:rsid w:val="00C34FF3"/>
    <w:rsid w:val="00C35173"/>
    <w:rsid w:val="00C35C6B"/>
    <w:rsid w:val="00C36518"/>
    <w:rsid w:val="00C36A71"/>
    <w:rsid w:val="00C36F6C"/>
    <w:rsid w:val="00C37158"/>
    <w:rsid w:val="00C3729C"/>
    <w:rsid w:val="00C37326"/>
    <w:rsid w:val="00C373C6"/>
    <w:rsid w:val="00C37742"/>
    <w:rsid w:val="00C40543"/>
    <w:rsid w:val="00C40853"/>
    <w:rsid w:val="00C40866"/>
    <w:rsid w:val="00C4095B"/>
    <w:rsid w:val="00C40EBD"/>
    <w:rsid w:val="00C40FD4"/>
    <w:rsid w:val="00C4115B"/>
    <w:rsid w:val="00C4151B"/>
    <w:rsid w:val="00C41ED2"/>
    <w:rsid w:val="00C42D04"/>
    <w:rsid w:val="00C44035"/>
    <w:rsid w:val="00C443D9"/>
    <w:rsid w:val="00C443F4"/>
    <w:rsid w:val="00C457AC"/>
    <w:rsid w:val="00C459DB"/>
    <w:rsid w:val="00C45ABF"/>
    <w:rsid w:val="00C45DA0"/>
    <w:rsid w:val="00C4609E"/>
    <w:rsid w:val="00C46554"/>
    <w:rsid w:val="00C465A7"/>
    <w:rsid w:val="00C46687"/>
    <w:rsid w:val="00C469B9"/>
    <w:rsid w:val="00C472C3"/>
    <w:rsid w:val="00C476E5"/>
    <w:rsid w:val="00C47A9A"/>
    <w:rsid w:val="00C47B09"/>
    <w:rsid w:val="00C50AB8"/>
    <w:rsid w:val="00C518A1"/>
    <w:rsid w:val="00C52148"/>
    <w:rsid w:val="00C5307B"/>
    <w:rsid w:val="00C53175"/>
    <w:rsid w:val="00C53337"/>
    <w:rsid w:val="00C534AB"/>
    <w:rsid w:val="00C53581"/>
    <w:rsid w:val="00C53937"/>
    <w:rsid w:val="00C53FE8"/>
    <w:rsid w:val="00C54079"/>
    <w:rsid w:val="00C543D3"/>
    <w:rsid w:val="00C54505"/>
    <w:rsid w:val="00C54702"/>
    <w:rsid w:val="00C547A0"/>
    <w:rsid w:val="00C5577A"/>
    <w:rsid w:val="00C55D47"/>
    <w:rsid w:val="00C561F3"/>
    <w:rsid w:val="00C56665"/>
    <w:rsid w:val="00C566FF"/>
    <w:rsid w:val="00C57974"/>
    <w:rsid w:val="00C57BDB"/>
    <w:rsid w:val="00C57C84"/>
    <w:rsid w:val="00C60450"/>
    <w:rsid w:val="00C60948"/>
    <w:rsid w:val="00C60B8E"/>
    <w:rsid w:val="00C60DE7"/>
    <w:rsid w:val="00C6147F"/>
    <w:rsid w:val="00C61845"/>
    <w:rsid w:val="00C62C34"/>
    <w:rsid w:val="00C62C7F"/>
    <w:rsid w:val="00C6323F"/>
    <w:rsid w:val="00C638B4"/>
    <w:rsid w:val="00C638D4"/>
    <w:rsid w:val="00C63977"/>
    <w:rsid w:val="00C63A10"/>
    <w:rsid w:val="00C63D3F"/>
    <w:rsid w:val="00C6436D"/>
    <w:rsid w:val="00C646DE"/>
    <w:rsid w:val="00C64A33"/>
    <w:rsid w:val="00C64D0D"/>
    <w:rsid w:val="00C6513E"/>
    <w:rsid w:val="00C655E7"/>
    <w:rsid w:val="00C65787"/>
    <w:rsid w:val="00C657EC"/>
    <w:rsid w:val="00C65A67"/>
    <w:rsid w:val="00C65BDB"/>
    <w:rsid w:val="00C65E8B"/>
    <w:rsid w:val="00C668A0"/>
    <w:rsid w:val="00C66CF9"/>
    <w:rsid w:val="00C66DD8"/>
    <w:rsid w:val="00C66E3E"/>
    <w:rsid w:val="00C66F40"/>
    <w:rsid w:val="00C66FE6"/>
    <w:rsid w:val="00C672F4"/>
    <w:rsid w:val="00C67942"/>
    <w:rsid w:val="00C67A2E"/>
    <w:rsid w:val="00C67F9E"/>
    <w:rsid w:val="00C70096"/>
    <w:rsid w:val="00C7040F"/>
    <w:rsid w:val="00C707D2"/>
    <w:rsid w:val="00C707E0"/>
    <w:rsid w:val="00C709E9"/>
    <w:rsid w:val="00C70E5C"/>
    <w:rsid w:val="00C7110E"/>
    <w:rsid w:val="00C715FA"/>
    <w:rsid w:val="00C7199F"/>
    <w:rsid w:val="00C72750"/>
    <w:rsid w:val="00C7299A"/>
    <w:rsid w:val="00C733EB"/>
    <w:rsid w:val="00C7343D"/>
    <w:rsid w:val="00C73A5A"/>
    <w:rsid w:val="00C743C9"/>
    <w:rsid w:val="00C74690"/>
    <w:rsid w:val="00C7566C"/>
    <w:rsid w:val="00C75B79"/>
    <w:rsid w:val="00C75C07"/>
    <w:rsid w:val="00C75CC5"/>
    <w:rsid w:val="00C76452"/>
    <w:rsid w:val="00C76879"/>
    <w:rsid w:val="00C76928"/>
    <w:rsid w:val="00C76ADB"/>
    <w:rsid w:val="00C77041"/>
    <w:rsid w:val="00C771D9"/>
    <w:rsid w:val="00C7782D"/>
    <w:rsid w:val="00C77BFB"/>
    <w:rsid w:val="00C77CBA"/>
    <w:rsid w:val="00C77D77"/>
    <w:rsid w:val="00C77E75"/>
    <w:rsid w:val="00C80C7D"/>
    <w:rsid w:val="00C81468"/>
    <w:rsid w:val="00C818B9"/>
    <w:rsid w:val="00C81E50"/>
    <w:rsid w:val="00C827AD"/>
    <w:rsid w:val="00C83357"/>
    <w:rsid w:val="00C83947"/>
    <w:rsid w:val="00C83CAC"/>
    <w:rsid w:val="00C841E1"/>
    <w:rsid w:val="00C84361"/>
    <w:rsid w:val="00C843A0"/>
    <w:rsid w:val="00C848B6"/>
    <w:rsid w:val="00C84A65"/>
    <w:rsid w:val="00C84B87"/>
    <w:rsid w:val="00C84FD8"/>
    <w:rsid w:val="00C84FFD"/>
    <w:rsid w:val="00C85BF3"/>
    <w:rsid w:val="00C85CC0"/>
    <w:rsid w:val="00C86108"/>
    <w:rsid w:val="00C86354"/>
    <w:rsid w:val="00C86364"/>
    <w:rsid w:val="00C863A2"/>
    <w:rsid w:val="00C86DB5"/>
    <w:rsid w:val="00C87698"/>
    <w:rsid w:val="00C8785F"/>
    <w:rsid w:val="00C8786C"/>
    <w:rsid w:val="00C87C3F"/>
    <w:rsid w:val="00C90CD0"/>
    <w:rsid w:val="00C915ED"/>
    <w:rsid w:val="00C9186A"/>
    <w:rsid w:val="00C921D8"/>
    <w:rsid w:val="00C9235A"/>
    <w:rsid w:val="00C92B4E"/>
    <w:rsid w:val="00C9358C"/>
    <w:rsid w:val="00C93AA9"/>
    <w:rsid w:val="00C93EB0"/>
    <w:rsid w:val="00C94548"/>
    <w:rsid w:val="00C9480D"/>
    <w:rsid w:val="00C94F36"/>
    <w:rsid w:val="00C9506D"/>
    <w:rsid w:val="00C962CE"/>
    <w:rsid w:val="00C962DE"/>
    <w:rsid w:val="00C962E0"/>
    <w:rsid w:val="00C9655A"/>
    <w:rsid w:val="00C9663F"/>
    <w:rsid w:val="00C96A48"/>
    <w:rsid w:val="00C96A8C"/>
    <w:rsid w:val="00C96DEF"/>
    <w:rsid w:val="00C977E3"/>
    <w:rsid w:val="00C97D35"/>
    <w:rsid w:val="00C97FFA"/>
    <w:rsid w:val="00CA0643"/>
    <w:rsid w:val="00CA0E82"/>
    <w:rsid w:val="00CA173F"/>
    <w:rsid w:val="00CA2A2C"/>
    <w:rsid w:val="00CA34ED"/>
    <w:rsid w:val="00CA3E50"/>
    <w:rsid w:val="00CA3FFD"/>
    <w:rsid w:val="00CA40A6"/>
    <w:rsid w:val="00CA44E9"/>
    <w:rsid w:val="00CA45AA"/>
    <w:rsid w:val="00CA45DA"/>
    <w:rsid w:val="00CA4A35"/>
    <w:rsid w:val="00CA511B"/>
    <w:rsid w:val="00CA55FE"/>
    <w:rsid w:val="00CA5622"/>
    <w:rsid w:val="00CA5DCA"/>
    <w:rsid w:val="00CA5EF0"/>
    <w:rsid w:val="00CA5F46"/>
    <w:rsid w:val="00CA60EF"/>
    <w:rsid w:val="00CA6790"/>
    <w:rsid w:val="00CA6945"/>
    <w:rsid w:val="00CA6EE3"/>
    <w:rsid w:val="00CA7566"/>
    <w:rsid w:val="00CA7634"/>
    <w:rsid w:val="00CA7AC9"/>
    <w:rsid w:val="00CA7D63"/>
    <w:rsid w:val="00CB04BD"/>
    <w:rsid w:val="00CB087C"/>
    <w:rsid w:val="00CB0982"/>
    <w:rsid w:val="00CB0C8F"/>
    <w:rsid w:val="00CB0CFF"/>
    <w:rsid w:val="00CB10FF"/>
    <w:rsid w:val="00CB16E0"/>
    <w:rsid w:val="00CB1CEC"/>
    <w:rsid w:val="00CB211D"/>
    <w:rsid w:val="00CB2215"/>
    <w:rsid w:val="00CB32B3"/>
    <w:rsid w:val="00CB3DDA"/>
    <w:rsid w:val="00CB467B"/>
    <w:rsid w:val="00CB4AF2"/>
    <w:rsid w:val="00CB4B63"/>
    <w:rsid w:val="00CB4DF1"/>
    <w:rsid w:val="00CB4F85"/>
    <w:rsid w:val="00CB54D8"/>
    <w:rsid w:val="00CB5B79"/>
    <w:rsid w:val="00CB5D89"/>
    <w:rsid w:val="00CB5FCA"/>
    <w:rsid w:val="00CB6E9D"/>
    <w:rsid w:val="00CB6EBD"/>
    <w:rsid w:val="00CB72F4"/>
    <w:rsid w:val="00CB7304"/>
    <w:rsid w:val="00CB79F4"/>
    <w:rsid w:val="00CB7F81"/>
    <w:rsid w:val="00CC0CF1"/>
    <w:rsid w:val="00CC0D45"/>
    <w:rsid w:val="00CC0D61"/>
    <w:rsid w:val="00CC0E03"/>
    <w:rsid w:val="00CC0F5D"/>
    <w:rsid w:val="00CC1037"/>
    <w:rsid w:val="00CC140F"/>
    <w:rsid w:val="00CC2201"/>
    <w:rsid w:val="00CC237A"/>
    <w:rsid w:val="00CC25CA"/>
    <w:rsid w:val="00CC2A15"/>
    <w:rsid w:val="00CC3412"/>
    <w:rsid w:val="00CC3CED"/>
    <w:rsid w:val="00CC3EE2"/>
    <w:rsid w:val="00CC49C1"/>
    <w:rsid w:val="00CC4ED1"/>
    <w:rsid w:val="00CC4F03"/>
    <w:rsid w:val="00CC53AC"/>
    <w:rsid w:val="00CC5461"/>
    <w:rsid w:val="00CC5728"/>
    <w:rsid w:val="00CC5846"/>
    <w:rsid w:val="00CC5872"/>
    <w:rsid w:val="00CC64C3"/>
    <w:rsid w:val="00CC6672"/>
    <w:rsid w:val="00CC6A79"/>
    <w:rsid w:val="00CD01B0"/>
    <w:rsid w:val="00CD0396"/>
    <w:rsid w:val="00CD04B9"/>
    <w:rsid w:val="00CD0AE6"/>
    <w:rsid w:val="00CD0FF0"/>
    <w:rsid w:val="00CD186F"/>
    <w:rsid w:val="00CD2118"/>
    <w:rsid w:val="00CD2464"/>
    <w:rsid w:val="00CD24D0"/>
    <w:rsid w:val="00CD2A2B"/>
    <w:rsid w:val="00CD32C0"/>
    <w:rsid w:val="00CD3CBC"/>
    <w:rsid w:val="00CD3E51"/>
    <w:rsid w:val="00CD3F8B"/>
    <w:rsid w:val="00CD4967"/>
    <w:rsid w:val="00CD49F0"/>
    <w:rsid w:val="00CD53D8"/>
    <w:rsid w:val="00CD545A"/>
    <w:rsid w:val="00CD547A"/>
    <w:rsid w:val="00CD55AE"/>
    <w:rsid w:val="00CD5B58"/>
    <w:rsid w:val="00CD5F99"/>
    <w:rsid w:val="00CD6581"/>
    <w:rsid w:val="00CD6780"/>
    <w:rsid w:val="00CD68DB"/>
    <w:rsid w:val="00CD70F3"/>
    <w:rsid w:val="00CD7359"/>
    <w:rsid w:val="00CD7660"/>
    <w:rsid w:val="00CD7734"/>
    <w:rsid w:val="00CD78B8"/>
    <w:rsid w:val="00CE0139"/>
    <w:rsid w:val="00CE07BA"/>
    <w:rsid w:val="00CE1482"/>
    <w:rsid w:val="00CE1B6D"/>
    <w:rsid w:val="00CE1D4A"/>
    <w:rsid w:val="00CE1F63"/>
    <w:rsid w:val="00CE26FD"/>
    <w:rsid w:val="00CE29AA"/>
    <w:rsid w:val="00CE30D2"/>
    <w:rsid w:val="00CE3793"/>
    <w:rsid w:val="00CE41FA"/>
    <w:rsid w:val="00CE42F6"/>
    <w:rsid w:val="00CE4926"/>
    <w:rsid w:val="00CE4D23"/>
    <w:rsid w:val="00CE4EA3"/>
    <w:rsid w:val="00CE4FF5"/>
    <w:rsid w:val="00CE510E"/>
    <w:rsid w:val="00CE62DC"/>
    <w:rsid w:val="00CE65BF"/>
    <w:rsid w:val="00CE6785"/>
    <w:rsid w:val="00CE72E6"/>
    <w:rsid w:val="00CE7996"/>
    <w:rsid w:val="00CE7FBB"/>
    <w:rsid w:val="00CF077F"/>
    <w:rsid w:val="00CF085C"/>
    <w:rsid w:val="00CF0880"/>
    <w:rsid w:val="00CF09A4"/>
    <w:rsid w:val="00CF0CE3"/>
    <w:rsid w:val="00CF0CF6"/>
    <w:rsid w:val="00CF10C3"/>
    <w:rsid w:val="00CF1397"/>
    <w:rsid w:val="00CF143C"/>
    <w:rsid w:val="00CF199D"/>
    <w:rsid w:val="00CF1ABA"/>
    <w:rsid w:val="00CF1D90"/>
    <w:rsid w:val="00CF2246"/>
    <w:rsid w:val="00CF230A"/>
    <w:rsid w:val="00CF2668"/>
    <w:rsid w:val="00CF2862"/>
    <w:rsid w:val="00CF28D4"/>
    <w:rsid w:val="00CF31C1"/>
    <w:rsid w:val="00CF3209"/>
    <w:rsid w:val="00CF340F"/>
    <w:rsid w:val="00CF3469"/>
    <w:rsid w:val="00CF4652"/>
    <w:rsid w:val="00CF4C41"/>
    <w:rsid w:val="00CF518E"/>
    <w:rsid w:val="00CF5435"/>
    <w:rsid w:val="00CF58CF"/>
    <w:rsid w:val="00CF5DA1"/>
    <w:rsid w:val="00CF67C8"/>
    <w:rsid w:val="00CF7925"/>
    <w:rsid w:val="00CF7B07"/>
    <w:rsid w:val="00CF7E4E"/>
    <w:rsid w:val="00D00160"/>
    <w:rsid w:val="00D002AA"/>
    <w:rsid w:val="00D0031E"/>
    <w:rsid w:val="00D00AA7"/>
    <w:rsid w:val="00D00FF1"/>
    <w:rsid w:val="00D011C1"/>
    <w:rsid w:val="00D012B6"/>
    <w:rsid w:val="00D01485"/>
    <w:rsid w:val="00D017A4"/>
    <w:rsid w:val="00D01E2C"/>
    <w:rsid w:val="00D025EC"/>
    <w:rsid w:val="00D02A14"/>
    <w:rsid w:val="00D030C2"/>
    <w:rsid w:val="00D035C5"/>
    <w:rsid w:val="00D04635"/>
    <w:rsid w:val="00D04952"/>
    <w:rsid w:val="00D04FD8"/>
    <w:rsid w:val="00D04FDA"/>
    <w:rsid w:val="00D05728"/>
    <w:rsid w:val="00D06660"/>
    <w:rsid w:val="00D06B22"/>
    <w:rsid w:val="00D06BAA"/>
    <w:rsid w:val="00D077EF"/>
    <w:rsid w:val="00D07FF2"/>
    <w:rsid w:val="00D10519"/>
    <w:rsid w:val="00D107BE"/>
    <w:rsid w:val="00D107D9"/>
    <w:rsid w:val="00D10AB5"/>
    <w:rsid w:val="00D10C32"/>
    <w:rsid w:val="00D10DED"/>
    <w:rsid w:val="00D11029"/>
    <w:rsid w:val="00D11106"/>
    <w:rsid w:val="00D113F8"/>
    <w:rsid w:val="00D11550"/>
    <w:rsid w:val="00D11FD3"/>
    <w:rsid w:val="00D1292D"/>
    <w:rsid w:val="00D12AEB"/>
    <w:rsid w:val="00D12FB7"/>
    <w:rsid w:val="00D13229"/>
    <w:rsid w:val="00D135D8"/>
    <w:rsid w:val="00D135DD"/>
    <w:rsid w:val="00D13977"/>
    <w:rsid w:val="00D13ECF"/>
    <w:rsid w:val="00D145D2"/>
    <w:rsid w:val="00D145DA"/>
    <w:rsid w:val="00D145E4"/>
    <w:rsid w:val="00D14E44"/>
    <w:rsid w:val="00D14E64"/>
    <w:rsid w:val="00D1633E"/>
    <w:rsid w:val="00D173E9"/>
    <w:rsid w:val="00D1770E"/>
    <w:rsid w:val="00D17B12"/>
    <w:rsid w:val="00D17B17"/>
    <w:rsid w:val="00D17C9A"/>
    <w:rsid w:val="00D17EE5"/>
    <w:rsid w:val="00D17F8E"/>
    <w:rsid w:val="00D20239"/>
    <w:rsid w:val="00D20450"/>
    <w:rsid w:val="00D20464"/>
    <w:rsid w:val="00D20762"/>
    <w:rsid w:val="00D2078E"/>
    <w:rsid w:val="00D207DD"/>
    <w:rsid w:val="00D20A12"/>
    <w:rsid w:val="00D20C3D"/>
    <w:rsid w:val="00D20F2D"/>
    <w:rsid w:val="00D20F81"/>
    <w:rsid w:val="00D21216"/>
    <w:rsid w:val="00D214DA"/>
    <w:rsid w:val="00D215FD"/>
    <w:rsid w:val="00D21A99"/>
    <w:rsid w:val="00D21CE3"/>
    <w:rsid w:val="00D22693"/>
    <w:rsid w:val="00D22B64"/>
    <w:rsid w:val="00D23C05"/>
    <w:rsid w:val="00D23F26"/>
    <w:rsid w:val="00D23F88"/>
    <w:rsid w:val="00D23FF1"/>
    <w:rsid w:val="00D242FE"/>
    <w:rsid w:val="00D2441D"/>
    <w:rsid w:val="00D244A3"/>
    <w:rsid w:val="00D252F5"/>
    <w:rsid w:val="00D25837"/>
    <w:rsid w:val="00D25A45"/>
    <w:rsid w:val="00D25EF6"/>
    <w:rsid w:val="00D26DD8"/>
    <w:rsid w:val="00D27125"/>
    <w:rsid w:val="00D27AAF"/>
    <w:rsid w:val="00D30B60"/>
    <w:rsid w:val="00D30D29"/>
    <w:rsid w:val="00D30E89"/>
    <w:rsid w:val="00D30F55"/>
    <w:rsid w:val="00D31C1E"/>
    <w:rsid w:val="00D325A7"/>
    <w:rsid w:val="00D32D5F"/>
    <w:rsid w:val="00D32E99"/>
    <w:rsid w:val="00D32EA4"/>
    <w:rsid w:val="00D3335D"/>
    <w:rsid w:val="00D3360A"/>
    <w:rsid w:val="00D33674"/>
    <w:rsid w:val="00D336D3"/>
    <w:rsid w:val="00D342BB"/>
    <w:rsid w:val="00D34AFE"/>
    <w:rsid w:val="00D34D18"/>
    <w:rsid w:val="00D352F3"/>
    <w:rsid w:val="00D35B31"/>
    <w:rsid w:val="00D36071"/>
    <w:rsid w:val="00D3708C"/>
    <w:rsid w:val="00D373E3"/>
    <w:rsid w:val="00D3769B"/>
    <w:rsid w:val="00D378D6"/>
    <w:rsid w:val="00D37B54"/>
    <w:rsid w:val="00D4006F"/>
    <w:rsid w:val="00D41B81"/>
    <w:rsid w:val="00D41BC5"/>
    <w:rsid w:val="00D41D5E"/>
    <w:rsid w:val="00D41FC1"/>
    <w:rsid w:val="00D421CC"/>
    <w:rsid w:val="00D42B87"/>
    <w:rsid w:val="00D43170"/>
    <w:rsid w:val="00D43956"/>
    <w:rsid w:val="00D43D0B"/>
    <w:rsid w:val="00D43EC8"/>
    <w:rsid w:val="00D43FFB"/>
    <w:rsid w:val="00D44029"/>
    <w:rsid w:val="00D441E3"/>
    <w:rsid w:val="00D44353"/>
    <w:rsid w:val="00D445DA"/>
    <w:rsid w:val="00D448FF"/>
    <w:rsid w:val="00D4498B"/>
    <w:rsid w:val="00D44A13"/>
    <w:rsid w:val="00D44D7D"/>
    <w:rsid w:val="00D450CC"/>
    <w:rsid w:val="00D45158"/>
    <w:rsid w:val="00D453FC"/>
    <w:rsid w:val="00D4552E"/>
    <w:rsid w:val="00D45640"/>
    <w:rsid w:val="00D45669"/>
    <w:rsid w:val="00D456F5"/>
    <w:rsid w:val="00D462D3"/>
    <w:rsid w:val="00D4631B"/>
    <w:rsid w:val="00D4645F"/>
    <w:rsid w:val="00D46623"/>
    <w:rsid w:val="00D46FC6"/>
    <w:rsid w:val="00D47640"/>
    <w:rsid w:val="00D47A27"/>
    <w:rsid w:val="00D50043"/>
    <w:rsid w:val="00D50AFE"/>
    <w:rsid w:val="00D50B33"/>
    <w:rsid w:val="00D50D60"/>
    <w:rsid w:val="00D5192D"/>
    <w:rsid w:val="00D51D5B"/>
    <w:rsid w:val="00D524D4"/>
    <w:rsid w:val="00D52552"/>
    <w:rsid w:val="00D52DBB"/>
    <w:rsid w:val="00D52F6F"/>
    <w:rsid w:val="00D53266"/>
    <w:rsid w:val="00D53511"/>
    <w:rsid w:val="00D539CC"/>
    <w:rsid w:val="00D559F4"/>
    <w:rsid w:val="00D56518"/>
    <w:rsid w:val="00D56551"/>
    <w:rsid w:val="00D56892"/>
    <w:rsid w:val="00D56E12"/>
    <w:rsid w:val="00D57158"/>
    <w:rsid w:val="00D571BC"/>
    <w:rsid w:val="00D57AF4"/>
    <w:rsid w:val="00D606E2"/>
    <w:rsid w:val="00D60DAD"/>
    <w:rsid w:val="00D61162"/>
    <w:rsid w:val="00D61844"/>
    <w:rsid w:val="00D61864"/>
    <w:rsid w:val="00D61D4A"/>
    <w:rsid w:val="00D61E8C"/>
    <w:rsid w:val="00D62006"/>
    <w:rsid w:val="00D628D7"/>
    <w:rsid w:val="00D62E72"/>
    <w:rsid w:val="00D62F76"/>
    <w:rsid w:val="00D63336"/>
    <w:rsid w:val="00D633DD"/>
    <w:rsid w:val="00D6387D"/>
    <w:rsid w:val="00D63D3A"/>
    <w:rsid w:val="00D644BF"/>
    <w:rsid w:val="00D6471B"/>
    <w:rsid w:val="00D647AA"/>
    <w:rsid w:val="00D64C91"/>
    <w:rsid w:val="00D653EF"/>
    <w:rsid w:val="00D654EA"/>
    <w:rsid w:val="00D6589D"/>
    <w:rsid w:val="00D65CD5"/>
    <w:rsid w:val="00D65E14"/>
    <w:rsid w:val="00D65E34"/>
    <w:rsid w:val="00D6600E"/>
    <w:rsid w:val="00D66069"/>
    <w:rsid w:val="00D6730A"/>
    <w:rsid w:val="00D70485"/>
    <w:rsid w:val="00D709E6"/>
    <w:rsid w:val="00D70DBF"/>
    <w:rsid w:val="00D712A9"/>
    <w:rsid w:val="00D71386"/>
    <w:rsid w:val="00D714F6"/>
    <w:rsid w:val="00D7156A"/>
    <w:rsid w:val="00D71CCE"/>
    <w:rsid w:val="00D72326"/>
    <w:rsid w:val="00D7256E"/>
    <w:rsid w:val="00D72AFB"/>
    <w:rsid w:val="00D72B73"/>
    <w:rsid w:val="00D72C92"/>
    <w:rsid w:val="00D72F06"/>
    <w:rsid w:val="00D73166"/>
    <w:rsid w:val="00D732CE"/>
    <w:rsid w:val="00D733CA"/>
    <w:rsid w:val="00D740A4"/>
    <w:rsid w:val="00D7489B"/>
    <w:rsid w:val="00D74FC3"/>
    <w:rsid w:val="00D76C89"/>
    <w:rsid w:val="00D779E3"/>
    <w:rsid w:val="00D77A7D"/>
    <w:rsid w:val="00D80160"/>
    <w:rsid w:val="00D80B81"/>
    <w:rsid w:val="00D80C67"/>
    <w:rsid w:val="00D80F4F"/>
    <w:rsid w:val="00D81B7C"/>
    <w:rsid w:val="00D8211C"/>
    <w:rsid w:val="00D82191"/>
    <w:rsid w:val="00D82250"/>
    <w:rsid w:val="00D8237E"/>
    <w:rsid w:val="00D82863"/>
    <w:rsid w:val="00D82ECD"/>
    <w:rsid w:val="00D8305D"/>
    <w:rsid w:val="00D831FB"/>
    <w:rsid w:val="00D83513"/>
    <w:rsid w:val="00D83CA2"/>
    <w:rsid w:val="00D84B1A"/>
    <w:rsid w:val="00D85006"/>
    <w:rsid w:val="00D8515A"/>
    <w:rsid w:val="00D8547A"/>
    <w:rsid w:val="00D85C14"/>
    <w:rsid w:val="00D85D02"/>
    <w:rsid w:val="00D85E74"/>
    <w:rsid w:val="00D86B44"/>
    <w:rsid w:val="00D86DEF"/>
    <w:rsid w:val="00D87805"/>
    <w:rsid w:val="00D878A8"/>
    <w:rsid w:val="00D87EF3"/>
    <w:rsid w:val="00D90415"/>
    <w:rsid w:val="00D90876"/>
    <w:rsid w:val="00D91221"/>
    <w:rsid w:val="00D926B7"/>
    <w:rsid w:val="00D9291D"/>
    <w:rsid w:val="00D92994"/>
    <w:rsid w:val="00D92A50"/>
    <w:rsid w:val="00D94150"/>
    <w:rsid w:val="00D944F1"/>
    <w:rsid w:val="00D9509E"/>
    <w:rsid w:val="00D95360"/>
    <w:rsid w:val="00D96041"/>
    <w:rsid w:val="00D960E9"/>
    <w:rsid w:val="00D96C87"/>
    <w:rsid w:val="00D974C1"/>
    <w:rsid w:val="00D975C6"/>
    <w:rsid w:val="00D97CCE"/>
    <w:rsid w:val="00D97DD4"/>
    <w:rsid w:val="00D97E48"/>
    <w:rsid w:val="00D97F37"/>
    <w:rsid w:val="00D97F3E"/>
    <w:rsid w:val="00DA00FF"/>
    <w:rsid w:val="00DA075F"/>
    <w:rsid w:val="00DA0973"/>
    <w:rsid w:val="00DA0A40"/>
    <w:rsid w:val="00DA0C43"/>
    <w:rsid w:val="00DA0EB9"/>
    <w:rsid w:val="00DA125D"/>
    <w:rsid w:val="00DA21E7"/>
    <w:rsid w:val="00DA221C"/>
    <w:rsid w:val="00DA26D0"/>
    <w:rsid w:val="00DA27E7"/>
    <w:rsid w:val="00DA35C9"/>
    <w:rsid w:val="00DA36C2"/>
    <w:rsid w:val="00DA3DAA"/>
    <w:rsid w:val="00DA4729"/>
    <w:rsid w:val="00DA4F7E"/>
    <w:rsid w:val="00DA5069"/>
    <w:rsid w:val="00DA52BA"/>
    <w:rsid w:val="00DA53CD"/>
    <w:rsid w:val="00DA58FE"/>
    <w:rsid w:val="00DA5A20"/>
    <w:rsid w:val="00DA5C11"/>
    <w:rsid w:val="00DA60DD"/>
    <w:rsid w:val="00DA6311"/>
    <w:rsid w:val="00DA6B38"/>
    <w:rsid w:val="00DA6E14"/>
    <w:rsid w:val="00DA6E49"/>
    <w:rsid w:val="00DA700A"/>
    <w:rsid w:val="00DA7CF3"/>
    <w:rsid w:val="00DA7D60"/>
    <w:rsid w:val="00DA7E75"/>
    <w:rsid w:val="00DB03EF"/>
    <w:rsid w:val="00DB05D1"/>
    <w:rsid w:val="00DB07BF"/>
    <w:rsid w:val="00DB0B49"/>
    <w:rsid w:val="00DB156D"/>
    <w:rsid w:val="00DB16E4"/>
    <w:rsid w:val="00DB21E7"/>
    <w:rsid w:val="00DB22C2"/>
    <w:rsid w:val="00DB22C3"/>
    <w:rsid w:val="00DB245D"/>
    <w:rsid w:val="00DB24A4"/>
    <w:rsid w:val="00DB2A72"/>
    <w:rsid w:val="00DB2ABF"/>
    <w:rsid w:val="00DB2C3B"/>
    <w:rsid w:val="00DB2E3A"/>
    <w:rsid w:val="00DB2FC3"/>
    <w:rsid w:val="00DB39CD"/>
    <w:rsid w:val="00DB4FE9"/>
    <w:rsid w:val="00DB50E1"/>
    <w:rsid w:val="00DB5427"/>
    <w:rsid w:val="00DB5467"/>
    <w:rsid w:val="00DB553A"/>
    <w:rsid w:val="00DB555D"/>
    <w:rsid w:val="00DB55BC"/>
    <w:rsid w:val="00DB5BED"/>
    <w:rsid w:val="00DB6134"/>
    <w:rsid w:val="00DB6C4F"/>
    <w:rsid w:val="00DB6E9F"/>
    <w:rsid w:val="00DB6FEE"/>
    <w:rsid w:val="00DB732F"/>
    <w:rsid w:val="00DB75AB"/>
    <w:rsid w:val="00DB7D9F"/>
    <w:rsid w:val="00DC00FE"/>
    <w:rsid w:val="00DC0826"/>
    <w:rsid w:val="00DC0B86"/>
    <w:rsid w:val="00DC1265"/>
    <w:rsid w:val="00DC18E0"/>
    <w:rsid w:val="00DC2061"/>
    <w:rsid w:val="00DC2241"/>
    <w:rsid w:val="00DC2887"/>
    <w:rsid w:val="00DC2C4D"/>
    <w:rsid w:val="00DC300F"/>
    <w:rsid w:val="00DC3791"/>
    <w:rsid w:val="00DC3918"/>
    <w:rsid w:val="00DC3EEC"/>
    <w:rsid w:val="00DC3F10"/>
    <w:rsid w:val="00DC4386"/>
    <w:rsid w:val="00DC4709"/>
    <w:rsid w:val="00DC481F"/>
    <w:rsid w:val="00DC5074"/>
    <w:rsid w:val="00DC50C7"/>
    <w:rsid w:val="00DC5191"/>
    <w:rsid w:val="00DC5299"/>
    <w:rsid w:val="00DC5784"/>
    <w:rsid w:val="00DC57E8"/>
    <w:rsid w:val="00DC62DD"/>
    <w:rsid w:val="00DC651C"/>
    <w:rsid w:val="00DC71EE"/>
    <w:rsid w:val="00DC73C5"/>
    <w:rsid w:val="00DC7892"/>
    <w:rsid w:val="00DC7F8A"/>
    <w:rsid w:val="00DD00C2"/>
    <w:rsid w:val="00DD02D3"/>
    <w:rsid w:val="00DD0865"/>
    <w:rsid w:val="00DD0A75"/>
    <w:rsid w:val="00DD0B6E"/>
    <w:rsid w:val="00DD17B5"/>
    <w:rsid w:val="00DD19E9"/>
    <w:rsid w:val="00DD1A80"/>
    <w:rsid w:val="00DD1CA5"/>
    <w:rsid w:val="00DD3372"/>
    <w:rsid w:val="00DD3980"/>
    <w:rsid w:val="00DD3F55"/>
    <w:rsid w:val="00DD408E"/>
    <w:rsid w:val="00DD4106"/>
    <w:rsid w:val="00DD463A"/>
    <w:rsid w:val="00DD4BFB"/>
    <w:rsid w:val="00DD4D5D"/>
    <w:rsid w:val="00DD513C"/>
    <w:rsid w:val="00DD514A"/>
    <w:rsid w:val="00DD5531"/>
    <w:rsid w:val="00DD5A4A"/>
    <w:rsid w:val="00DD5AB0"/>
    <w:rsid w:val="00DD5BD8"/>
    <w:rsid w:val="00DD5CD5"/>
    <w:rsid w:val="00DD5F58"/>
    <w:rsid w:val="00DD5F65"/>
    <w:rsid w:val="00DD6460"/>
    <w:rsid w:val="00DD6B2F"/>
    <w:rsid w:val="00DD6E11"/>
    <w:rsid w:val="00DD72F1"/>
    <w:rsid w:val="00DD741C"/>
    <w:rsid w:val="00DD7456"/>
    <w:rsid w:val="00DE0367"/>
    <w:rsid w:val="00DE172E"/>
    <w:rsid w:val="00DE26C2"/>
    <w:rsid w:val="00DE2EA8"/>
    <w:rsid w:val="00DE3177"/>
    <w:rsid w:val="00DE320F"/>
    <w:rsid w:val="00DE32D2"/>
    <w:rsid w:val="00DE3300"/>
    <w:rsid w:val="00DE3472"/>
    <w:rsid w:val="00DE365D"/>
    <w:rsid w:val="00DE3BA7"/>
    <w:rsid w:val="00DE3D4B"/>
    <w:rsid w:val="00DE40CC"/>
    <w:rsid w:val="00DE52DD"/>
    <w:rsid w:val="00DE568F"/>
    <w:rsid w:val="00DE5C00"/>
    <w:rsid w:val="00DE5C5A"/>
    <w:rsid w:val="00DE6480"/>
    <w:rsid w:val="00DE64CD"/>
    <w:rsid w:val="00DE659D"/>
    <w:rsid w:val="00DE684E"/>
    <w:rsid w:val="00DE68A3"/>
    <w:rsid w:val="00DE6B01"/>
    <w:rsid w:val="00DE6B47"/>
    <w:rsid w:val="00DE75BB"/>
    <w:rsid w:val="00DE7F80"/>
    <w:rsid w:val="00DF04B7"/>
    <w:rsid w:val="00DF0673"/>
    <w:rsid w:val="00DF074A"/>
    <w:rsid w:val="00DF0C00"/>
    <w:rsid w:val="00DF1794"/>
    <w:rsid w:val="00DF1AFE"/>
    <w:rsid w:val="00DF207E"/>
    <w:rsid w:val="00DF225E"/>
    <w:rsid w:val="00DF25C9"/>
    <w:rsid w:val="00DF2695"/>
    <w:rsid w:val="00DF2A73"/>
    <w:rsid w:val="00DF39E4"/>
    <w:rsid w:val="00DF3D1B"/>
    <w:rsid w:val="00DF416D"/>
    <w:rsid w:val="00DF4211"/>
    <w:rsid w:val="00DF4BFB"/>
    <w:rsid w:val="00DF4DD4"/>
    <w:rsid w:val="00DF544E"/>
    <w:rsid w:val="00DF56AA"/>
    <w:rsid w:val="00DF56C1"/>
    <w:rsid w:val="00DF56F7"/>
    <w:rsid w:val="00DF599B"/>
    <w:rsid w:val="00DF6833"/>
    <w:rsid w:val="00DF6CFE"/>
    <w:rsid w:val="00DF6D7A"/>
    <w:rsid w:val="00DF6DD9"/>
    <w:rsid w:val="00DF6FF8"/>
    <w:rsid w:val="00DF7055"/>
    <w:rsid w:val="00DF7089"/>
    <w:rsid w:val="00DF734C"/>
    <w:rsid w:val="00DF74AD"/>
    <w:rsid w:val="00DF76A1"/>
    <w:rsid w:val="00DF7752"/>
    <w:rsid w:val="00DF7A73"/>
    <w:rsid w:val="00E00BED"/>
    <w:rsid w:val="00E00E29"/>
    <w:rsid w:val="00E01251"/>
    <w:rsid w:val="00E024F3"/>
    <w:rsid w:val="00E02CAE"/>
    <w:rsid w:val="00E032E0"/>
    <w:rsid w:val="00E033A0"/>
    <w:rsid w:val="00E03685"/>
    <w:rsid w:val="00E0394F"/>
    <w:rsid w:val="00E03AEA"/>
    <w:rsid w:val="00E03EE3"/>
    <w:rsid w:val="00E03FB4"/>
    <w:rsid w:val="00E04000"/>
    <w:rsid w:val="00E04457"/>
    <w:rsid w:val="00E04BA7"/>
    <w:rsid w:val="00E05DBE"/>
    <w:rsid w:val="00E0620E"/>
    <w:rsid w:val="00E06236"/>
    <w:rsid w:val="00E06430"/>
    <w:rsid w:val="00E0689A"/>
    <w:rsid w:val="00E06B44"/>
    <w:rsid w:val="00E06C7D"/>
    <w:rsid w:val="00E06D79"/>
    <w:rsid w:val="00E0744C"/>
    <w:rsid w:val="00E074D1"/>
    <w:rsid w:val="00E07770"/>
    <w:rsid w:val="00E07800"/>
    <w:rsid w:val="00E07B35"/>
    <w:rsid w:val="00E10BC7"/>
    <w:rsid w:val="00E10BDD"/>
    <w:rsid w:val="00E110DD"/>
    <w:rsid w:val="00E111B5"/>
    <w:rsid w:val="00E1157C"/>
    <w:rsid w:val="00E11949"/>
    <w:rsid w:val="00E11983"/>
    <w:rsid w:val="00E124B0"/>
    <w:rsid w:val="00E127D2"/>
    <w:rsid w:val="00E1294F"/>
    <w:rsid w:val="00E12B58"/>
    <w:rsid w:val="00E132D2"/>
    <w:rsid w:val="00E1375E"/>
    <w:rsid w:val="00E13AF5"/>
    <w:rsid w:val="00E13DE8"/>
    <w:rsid w:val="00E14A83"/>
    <w:rsid w:val="00E14E07"/>
    <w:rsid w:val="00E14E6D"/>
    <w:rsid w:val="00E154E3"/>
    <w:rsid w:val="00E1562A"/>
    <w:rsid w:val="00E158F0"/>
    <w:rsid w:val="00E15925"/>
    <w:rsid w:val="00E160A4"/>
    <w:rsid w:val="00E162BE"/>
    <w:rsid w:val="00E163E6"/>
    <w:rsid w:val="00E165B4"/>
    <w:rsid w:val="00E17365"/>
    <w:rsid w:val="00E1786B"/>
    <w:rsid w:val="00E17BB8"/>
    <w:rsid w:val="00E20075"/>
    <w:rsid w:val="00E206B9"/>
    <w:rsid w:val="00E20737"/>
    <w:rsid w:val="00E20832"/>
    <w:rsid w:val="00E21D8D"/>
    <w:rsid w:val="00E2258C"/>
    <w:rsid w:val="00E22625"/>
    <w:rsid w:val="00E227A4"/>
    <w:rsid w:val="00E22BD5"/>
    <w:rsid w:val="00E22CDB"/>
    <w:rsid w:val="00E2425E"/>
    <w:rsid w:val="00E24361"/>
    <w:rsid w:val="00E244AD"/>
    <w:rsid w:val="00E24F71"/>
    <w:rsid w:val="00E25EED"/>
    <w:rsid w:val="00E26289"/>
    <w:rsid w:val="00E264D8"/>
    <w:rsid w:val="00E26826"/>
    <w:rsid w:val="00E26835"/>
    <w:rsid w:val="00E26CC6"/>
    <w:rsid w:val="00E26E51"/>
    <w:rsid w:val="00E270E5"/>
    <w:rsid w:val="00E27155"/>
    <w:rsid w:val="00E27698"/>
    <w:rsid w:val="00E27A16"/>
    <w:rsid w:val="00E27A5B"/>
    <w:rsid w:val="00E27B3D"/>
    <w:rsid w:val="00E30391"/>
    <w:rsid w:val="00E3058D"/>
    <w:rsid w:val="00E30654"/>
    <w:rsid w:val="00E30DAA"/>
    <w:rsid w:val="00E31621"/>
    <w:rsid w:val="00E319A1"/>
    <w:rsid w:val="00E31D2C"/>
    <w:rsid w:val="00E31F4D"/>
    <w:rsid w:val="00E32182"/>
    <w:rsid w:val="00E32641"/>
    <w:rsid w:val="00E32695"/>
    <w:rsid w:val="00E32D91"/>
    <w:rsid w:val="00E3358B"/>
    <w:rsid w:val="00E336AB"/>
    <w:rsid w:val="00E336DB"/>
    <w:rsid w:val="00E33B04"/>
    <w:rsid w:val="00E33C95"/>
    <w:rsid w:val="00E33D73"/>
    <w:rsid w:val="00E33E54"/>
    <w:rsid w:val="00E34A2E"/>
    <w:rsid w:val="00E34B30"/>
    <w:rsid w:val="00E34CF2"/>
    <w:rsid w:val="00E34E3B"/>
    <w:rsid w:val="00E3524F"/>
    <w:rsid w:val="00E35687"/>
    <w:rsid w:val="00E356F1"/>
    <w:rsid w:val="00E35DCF"/>
    <w:rsid w:val="00E36154"/>
    <w:rsid w:val="00E361F2"/>
    <w:rsid w:val="00E368FD"/>
    <w:rsid w:val="00E36A8F"/>
    <w:rsid w:val="00E36D41"/>
    <w:rsid w:val="00E378B3"/>
    <w:rsid w:val="00E4021C"/>
    <w:rsid w:val="00E402D8"/>
    <w:rsid w:val="00E40676"/>
    <w:rsid w:val="00E40711"/>
    <w:rsid w:val="00E417F1"/>
    <w:rsid w:val="00E423A8"/>
    <w:rsid w:val="00E423D6"/>
    <w:rsid w:val="00E42C25"/>
    <w:rsid w:val="00E43437"/>
    <w:rsid w:val="00E4380C"/>
    <w:rsid w:val="00E43DD7"/>
    <w:rsid w:val="00E44753"/>
    <w:rsid w:val="00E44838"/>
    <w:rsid w:val="00E453F1"/>
    <w:rsid w:val="00E455B4"/>
    <w:rsid w:val="00E455D7"/>
    <w:rsid w:val="00E45604"/>
    <w:rsid w:val="00E45B8A"/>
    <w:rsid w:val="00E45D08"/>
    <w:rsid w:val="00E462F9"/>
    <w:rsid w:val="00E46B4C"/>
    <w:rsid w:val="00E4771F"/>
    <w:rsid w:val="00E477BE"/>
    <w:rsid w:val="00E47BBE"/>
    <w:rsid w:val="00E47BD3"/>
    <w:rsid w:val="00E501F7"/>
    <w:rsid w:val="00E503D0"/>
    <w:rsid w:val="00E503D8"/>
    <w:rsid w:val="00E50784"/>
    <w:rsid w:val="00E50829"/>
    <w:rsid w:val="00E50E55"/>
    <w:rsid w:val="00E51207"/>
    <w:rsid w:val="00E512D3"/>
    <w:rsid w:val="00E51947"/>
    <w:rsid w:val="00E52664"/>
    <w:rsid w:val="00E52755"/>
    <w:rsid w:val="00E52CCF"/>
    <w:rsid w:val="00E52F6E"/>
    <w:rsid w:val="00E534F0"/>
    <w:rsid w:val="00E536A1"/>
    <w:rsid w:val="00E53D23"/>
    <w:rsid w:val="00E54479"/>
    <w:rsid w:val="00E544E5"/>
    <w:rsid w:val="00E54EC7"/>
    <w:rsid w:val="00E55DF9"/>
    <w:rsid w:val="00E55F70"/>
    <w:rsid w:val="00E560E9"/>
    <w:rsid w:val="00E56B2D"/>
    <w:rsid w:val="00E56DE1"/>
    <w:rsid w:val="00E56F7E"/>
    <w:rsid w:val="00E577FB"/>
    <w:rsid w:val="00E57D5A"/>
    <w:rsid w:val="00E57D86"/>
    <w:rsid w:val="00E606A3"/>
    <w:rsid w:val="00E606EC"/>
    <w:rsid w:val="00E6098D"/>
    <w:rsid w:val="00E60C31"/>
    <w:rsid w:val="00E60F6D"/>
    <w:rsid w:val="00E6130E"/>
    <w:rsid w:val="00E6171B"/>
    <w:rsid w:val="00E6340E"/>
    <w:rsid w:val="00E6357C"/>
    <w:rsid w:val="00E638FA"/>
    <w:rsid w:val="00E63BC2"/>
    <w:rsid w:val="00E64538"/>
    <w:rsid w:val="00E650D3"/>
    <w:rsid w:val="00E65201"/>
    <w:rsid w:val="00E653CF"/>
    <w:rsid w:val="00E6558C"/>
    <w:rsid w:val="00E655D8"/>
    <w:rsid w:val="00E65E01"/>
    <w:rsid w:val="00E66811"/>
    <w:rsid w:val="00E6698D"/>
    <w:rsid w:val="00E676D7"/>
    <w:rsid w:val="00E676E3"/>
    <w:rsid w:val="00E67D1E"/>
    <w:rsid w:val="00E67D7F"/>
    <w:rsid w:val="00E700B6"/>
    <w:rsid w:val="00E70630"/>
    <w:rsid w:val="00E70633"/>
    <w:rsid w:val="00E706F1"/>
    <w:rsid w:val="00E707EE"/>
    <w:rsid w:val="00E71512"/>
    <w:rsid w:val="00E71FD1"/>
    <w:rsid w:val="00E72582"/>
    <w:rsid w:val="00E72991"/>
    <w:rsid w:val="00E733FC"/>
    <w:rsid w:val="00E73681"/>
    <w:rsid w:val="00E73B07"/>
    <w:rsid w:val="00E73D78"/>
    <w:rsid w:val="00E74627"/>
    <w:rsid w:val="00E757AC"/>
    <w:rsid w:val="00E757FC"/>
    <w:rsid w:val="00E75E27"/>
    <w:rsid w:val="00E76369"/>
    <w:rsid w:val="00E76D46"/>
    <w:rsid w:val="00E77307"/>
    <w:rsid w:val="00E775FD"/>
    <w:rsid w:val="00E778AF"/>
    <w:rsid w:val="00E77A48"/>
    <w:rsid w:val="00E77B55"/>
    <w:rsid w:val="00E8173E"/>
    <w:rsid w:val="00E8176C"/>
    <w:rsid w:val="00E81CB3"/>
    <w:rsid w:val="00E821A3"/>
    <w:rsid w:val="00E8226E"/>
    <w:rsid w:val="00E8233E"/>
    <w:rsid w:val="00E826B6"/>
    <w:rsid w:val="00E82901"/>
    <w:rsid w:val="00E830F1"/>
    <w:rsid w:val="00E837EC"/>
    <w:rsid w:val="00E83862"/>
    <w:rsid w:val="00E83C28"/>
    <w:rsid w:val="00E83E0B"/>
    <w:rsid w:val="00E83FE5"/>
    <w:rsid w:val="00E843AD"/>
    <w:rsid w:val="00E84A59"/>
    <w:rsid w:val="00E84E0E"/>
    <w:rsid w:val="00E851A9"/>
    <w:rsid w:val="00E85A26"/>
    <w:rsid w:val="00E85DCA"/>
    <w:rsid w:val="00E86F3F"/>
    <w:rsid w:val="00E871B7"/>
    <w:rsid w:val="00E8720E"/>
    <w:rsid w:val="00E872DB"/>
    <w:rsid w:val="00E873C3"/>
    <w:rsid w:val="00E87D6C"/>
    <w:rsid w:val="00E87F7A"/>
    <w:rsid w:val="00E87FD6"/>
    <w:rsid w:val="00E906E9"/>
    <w:rsid w:val="00E9084D"/>
    <w:rsid w:val="00E9085E"/>
    <w:rsid w:val="00E90A47"/>
    <w:rsid w:val="00E90B10"/>
    <w:rsid w:val="00E914E5"/>
    <w:rsid w:val="00E917CD"/>
    <w:rsid w:val="00E91AD7"/>
    <w:rsid w:val="00E91B42"/>
    <w:rsid w:val="00E91E01"/>
    <w:rsid w:val="00E922FD"/>
    <w:rsid w:val="00E9257E"/>
    <w:rsid w:val="00E92B2B"/>
    <w:rsid w:val="00E93739"/>
    <w:rsid w:val="00E938F3"/>
    <w:rsid w:val="00E93AA2"/>
    <w:rsid w:val="00E93C59"/>
    <w:rsid w:val="00E94394"/>
    <w:rsid w:val="00E94759"/>
    <w:rsid w:val="00E94F7C"/>
    <w:rsid w:val="00E95D3F"/>
    <w:rsid w:val="00E96147"/>
    <w:rsid w:val="00E96182"/>
    <w:rsid w:val="00E96410"/>
    <w:rsid w:val="00E96DF6"/>
    <w:rsid w:val="00E97167"/>
    <w:rsid w:val="00E9797D"/>
    <w:rsid w:val="00EA0C89"/>
    <w:rsid w:val="00EA0EF7"/>
    <w:rsid w:val="00EA116D"/>
    <w:rsid w:val="00EA21FA"/>
    <w:rsid w:val="00EA2407"/>
    <w:rsid w:val="00EA295E"/>
    <w:rsid w:val="00EA3376"/>
    <w:rsid w:val="00EA3CBE"/>
    <w:rsid w:val="00EA3D50"/>
    <w:rsid w:val="00EA3EF4"/>
    <w:rsid w:val="00EA440E"/>
    <w:rsid w:val="00EA4735"/>
    <w:rsid w:val="00EA4867"/>
    <w:rsid w:val="00EA4A4C"/>
    <w:rsid w:val="00EA4D0B"/>
    <w:rsid w:val="00EA5655"/>
    <w:rsid w:val="00EA575E"/>
    <w:rsid w:val="00EA579F"/>
    <w:rsid w:val="00EA5E36"/>
    <w:rsid w:val="00EA61B8"/>
    <w:rsid w:val="00EA63B3"/>
    <w:rsid w:val="00EA6707"/>
    <w:rsid w:val="00EA6772"/>
    <w:rsid w:val="00EA692C"/>
    <w:rsid w:val="00EA6C15"/>
    <w:rsid w:val="00EA730C"/>
    <w:rsid w:val="00EA785A"/>
    <w:rsid w:val="00EA7E16"/>
    <w:rsid w:val="00EB00FF"/>
    <w:rsid w:val="00EB090F"/>
    <w:rsid w:val="00EB093A"/>
    <w:rsid w:val="00EB1122"/>
    <w:rsid w:val="00EB1371"/>
    <w:rsid w:val="00EB16EB"/>
    <w:rsid w:val="00EB1C7F"/>
    <w:rsid w:val="00EB1EFB"/>
    <w:rsid w:val="00EB2169"/>
    <w:rsid w:val="00EB22A6"/>
    <w:rsid w:val="00EB26AE"/>
    <w:rsid w:val="00EB2AF0"/>
    <w:rsid w:val="00EB2C2A"/>
    <w:rsid w:val="00EB3192"/>
    <w:rsid w:val="00EB3356"/>
    <w:rsid w:val="00EB35E2"/>
    <w:rsid w:val="00EB3932"/>
    <w:rsid w:val="00EB3C8B"/>
    <w:rsid w:val="00EB4126"/>
    <w:rsid w:val="00EB4331"/>
    <w:rsid w:val="00EB49F2"/>
    <w:rsid w:val="00EB4CB7"/>
    <w:rsid w:val="00EB4F7D"/>
    <w:rsid w:val="00EB5121"/>
    <w:rsid w:val="00EB545C"/>
    <w:rsid w:val="00EB5823"/>
    <w:rsid w:val="00EB5D0A"/>
    <w:rsid w:val="00EB5F80"/>
    <w:rsid w:val="00EB613C"/>
    <w:rsid w:val="00EB6153"/>
    <w:rsid w:val="00EB6489"/>
    <w:rsid w:val="00EB72BB"/>
    <w:rsid w:val="00EB7588"/>
    <w:rsid w:val="00EB7732"/>
    <w:rsid w:val="00EB7988"/>
    <w:rsid w:val="00EC0CAE"/>
    <w:rsid w:val="00EC0CDA"/>
    <w:rsid w:val="00EC0DDB"/>
    <w:rsid w:val="00EC1796"/>
    <w:rsid w:val="00EC1A9F"/>
    <w:rsid w:val="00EC1D85"/>
    <w:rsid w:val="00EC23AF"/>
    <w:rsid w:val="00EC2753"/>
    <w:rsid w:val="00EC357E"/>
    <w:rsid w:val="00EC36B9"/>
    <w:rsid w:val="00EC37D4"/>
    <w:rsid w:val="00EC3AA6"/>
    <w:rsid w:val="00EC3D9D"/>
    <w:rsid w:val="00EC3E9B"/>
    <w:rsid w:val="00EC3F03"/>
    <w:rsid w:val="00EC40E4"/>
    <w:rsid w:val="00EC52D3"/>
    <w:rsid w:val="00EC54C8"/>
    <w:rsid w:val="00EC56B6"/>
    <w:rsid w:val="00EC64F0"/>
    <w:rsid w:val="00EC66CE"/>
    <w:rsid w:val="00EC6D5B"/>
    <w:rsid w:val="00EC72BD"/>
    <w:rsid w:val="00EC7759"/>
    <w:rsid w:val="00EC77A6"/>
    <w:rsid w:val="00EC78E0"/>
    <w:rsid w:val="00EC7F5D"/>
    <w:rsid w:val="00ED0260"/>
    <w:rsid w:val="00ED074C"/>
    <w:rsid w:val="00ED0937"/>
    <w:rsid w:val="00ED11EC"/>
    <w:rsid w:val="00ED12B0"/>
    <w:rsid w:val="00ED1A4B"/>
    <w:rsid w:val="00ED1C6E"/>
    <w:rsid w:val="00ED27B7"/>
    <w:rsid w:val="00ED2DDD"/>
    <w:rsid w:val="00ED3E07"/>
    <w:rsid w:val="00ED4AED"/>
    <w:rsid w:val="00ED4B35"/>
    <w:rsid w:val="00ED4C4C"/>
    <w:rsid w:val="00ED54BF"/>
    <w:rsid w:val="00ED560B"/>
    <w:rsid w:val="00ED58DB"/>
    <w:rsid w:val="00ED5D3E"/>
    <w:rsid w:val="00ED6364"/>
    <w:rsid w:val="00ED6BD7"/>
    <w:rsid w:val="00ED6ED3"/>
    <w:rsid w:val="00ED7476"/>
    <w:rsid w:val="00ED770F"/>
    <w:rsid w:val="00ED7FBC"/>
    <w:rsid w:val="00EE0C40"/>
    <w:rsid w:val="00EE0EF8"/>
    <w:rsid w:val="00EE10D3"/>
    <w:rsid w:val="00EE17DC"/>
    <w:rsid w:val="00EE17EA"/>
    <w:rsid w:val="00EE17FA"/>
    <w:rsid w:val="00EE1BDB"/>
    <w:rsid w:val="00EE20CA"/>
    <w:rsid w:val="00EE2C04"/>
    <w:rsid w:val="00EE2D7F"/>
    <w:rsid w:val="00EE3234"/>
    <w:rsid w:val="00EE34DE"/>
    <w:rsid w:val="00EE3FDA"/>
    <w:rsid w:val="00EE4D5E"/>
    <w:rsid w:val="00EE4F89"/>
    <w:rsid w:val="00EE51B0"/>
    <w:rsid w:val="00EE566C"/>
    <w:rsid w:val="00EE5784"/>
    <w:rsid w:val="00EE68C7"/>
    <w:rsid w:val="00EE6DEF"/>
    <w:rsid w:val="00EE6FAD"/>
    <w:rsid w:val="00EE725F"/>
    <w:rsid w:val="00EE73CB"/>
    <w:rsid w:val="00EE7633"/>
    <w:rsid w:val="00EE7872"/>
    <w:rsid w:val="00EE79AD"/>
    <w:rsid w:val="00EE7AAF"/>
    <w:rsid w:val="00EE7EB1"/>
    <w:rsid w:val="00EE7F06"/>
    <w:rsid w:val="00EF03AD"/>
    <w:rsid w:val="00EF0DFE"/>
    <w:rsid w:val="00EF0E33"/>
    <w:rsid w:val="00EF1347"/>
    <w:rsid w:val="00EF17DA"/>
    <w:rsid w:val="00EF1868"/>
    <w:rsid w:val="00EF1BDC"/>
    <w:rsid w:val="00EF1CAA"/>
    <w:rsid w:val="00EF1D6E"/>
    <w:rsid w:val="00EF1D76"/>
    <w:rsid w:val="00EF2244"/>
    <w:rsid w:val="00EF273F"/>
    <w:rsid w:val="00EF3954"/>
    <w:rsid w:val="00EF3E2E"/>
    <w:rsid w:val="00EF3EC6"/>
    <w:rsid w:val="00EF4927"/>
    <w:rsid w:val="00EF4FF0"/>
    <w:rsid w:val="00EF5485"/>
    <w:rsid w:val="00EF5753"/>
    <w:rsid w:val="00EF5918"/>
    <w:rsid w:val="00EF6052"/>
    <w:rsid w:val="00EF6246"/>
    <w:rsid w:val="00EF64D3"/>
    <w:rsid w:val="00EF6803"/>
    <w:rsid w:val="00EF6CE2"/>
    <w:rsid w:val="00EF6FAE"/>
    <w:rsid w:val="00EF7196"/>
    <w:rsid w:val="00EF7228"/>
    <w:rsid w:val="00EF7292"/>
    <w:rsid w:val="00EF77A2"/>
    <w:rsid w:val="00EF77B0"/>
    <w:rsid w:val="00EF7DA1"/>
    <w:rsid w:val="00F00929"/>
    <w:rsid w:val="00F009C1"/>
    <w:rsid w:val="00F00BD7"/>
    <w:rsid w:val="00F00FFB"/>
    <w:rsid w:val="00F01056"/>
    <w:rsid w:val="00F010D2"/>
    <w:rsid w:val="00F01D12"/>
    <w:rsid w:val="00F025BC"/>
    <w:rsid w:val="00F0262D"/>
    <w:rsid w:val="00F026C8"/>
    <w:rsid w:val="00F02AEA"/>
    <w:rsid w:val="00F02E3F"/>
    <w:rsid w:val="00F02F63"/>
    <w:rsid w:val="00F031E1"/>
    <w:rsid w:val="00F03518"/>
    <w:rsid w:val="00F03B51"/>
    <w:rsid w:val="00F04B90"/>
    <w:rsid w:val="00F04BB7"/>
    <w:rsid w:val="00F04C8C"/>
    <w:rsid w:val="00F04F20"/>
    <w:rsid w:val="00F05191"/>
    <w:rsid w:val="00F05EBF"/>
    <w:rsid w:val="00F06E11"/>
    <w:rsid w:val="00F06F6B"/>
    <w:rsid w:val="00F07571"/>
    <w:rsid w:val="00F10696"/>
    <w:rsid w:val="00F10821"/>
    <w:rsid w:val="00F10924"/>
    <w:rsid w:val="00F10999"/>
    <w:rsid w:val="00F115FA"/>
    <w:rsid w:val="00F11C87"/>
    <w:rsid w:val="00F11F4C"/>
    <w:rsid w:val="00F1225F"/>
    <w:rsid w:val="00F123FE"/>
    <w:rsid w:val="00F12996"/>
    <w:rsid w:val="00F12E14"/>
    <w:rsid w:val="00F1322D"/>
    <w:rsid w:val="00F136D3"/>
    <w:rsid w:val="00F13A2E"/>
    <w:rsid w:val="00F13D79"/>
    <w:rsid w:val="00F1441D"/>
    <w:rsid w:val="00F14589"/>
    <w:rsid w:val="00F14E1C"/>
    <w:rsid w:val="00F1512D"/>
    <w:rsid w:val="00F15483"/>
    <w:rsid w:val="00F1573A"/>
    <w:rsid w:val="00F15845"/>
    <w:rsid w:val="00F15E26"/>
    <w:rsid w:val="00F160BA"/>
    <w:rsid w:val="00F16F99"/>
    <w:rsid w:val="00F172BD"/>
    <w:rsid w:val="00F1731B"/>
    <w:rsid w:val="00F1787B"/>
    <w:rsid w:val="00F17C90"/>
    <w:rsid w:val="00F17CDA"/>
    <w:rsid w:val="00F200EF"/>
    <w:rsid w:val="00F20A61"/>
    <w:rsid w:val="00F21216"/>
    <w:rsid w:val="00F21AA3"/>
    <w:rsid w:val="00F21DDE"/>
    <w:rsid w:val="00F223A2"/>
    <w:rsid w:val="00F22674"/>
    <w:rsid w:val="00F22FD5"/>
    <w:rsid w:val="00F23540"/>
    <w:rsid w:val="00F2380E"/>
    <w:rsid w:val="00F239A0"/>
    <w:rsid w:val="00F23A3B"/>
    <w:rsid w:val="00F241DF"/>
    <w:rsid w:val="00F244B9"/>
    <w:rsid w:val="00F244BC"/>
    <w:rsid w:val="00F24838"/>
    <w:rsid w:val="00F24A92"/>
    <w:rsid w:val="00F25AB1"/>
    <w:rsid w:val="00F25F9A"/>
    <w:rsid w:val="00F26189"/>
    <w:rsid w:val="00F2626F"/>
    <w:rsid w:val="00F262C1"/>
    <w:rsid w:val="00F26865"/>
    <w:rsid w:val="00F26D4C"/>
    <w:rsid w:val="00F26EBD"/>
    <w:rsid w:val="00F26F21"/>
    <w:rsid w:val="00F2706F"/>
    <w:rsid w:val="00F2718B"/>
    <w:rsid w:val="00F27342"/>
    <w:rsid w:val="00F274C4"/>
    <w:rsid w:val="00F277BF"/>
    <w:rsid w:val="00F279D7"/>
    <w:rsid w:val="00F300C8"/>
    <w:rsid w:val="00F307F1"/>
    <w:rsid w:val="00F3084D"/>
    <w:rsid w:val="00F30AA4"/>
    <w:rsid w:val="00F31302"/>
    <w:rsid w:val="00F314D8"/>
    <w:rsid w:val="00F31672"/>
    <w:rsid w:val="00F31FBD"/>
    <w:rsid w:val="00F32D6D"/>
    <w:rsid w:val="00F33008"/>
    <w:rsid w:val="00F3319B"/>
    <w:rsid w:val="00F3391A"/>
    <w:rsid w:val="00F33DBC"/>
    <w:rsid w:val="00F344A3"/>
    <w:rsid w:val="00F34919"/>
    <w:rsid w:val="00F34B02"/>
    <w:rsid w:val="00F34B49"/>
    <w:rsid w:val="00F34E95"/>
    <w:rsid w:val="00F35704"/>
    <w:rsid w:val="00F35873"/>
    <w:rsid w:val="00F361B1"/>
    <w:rsid w:val="00F36225"/>
    <w:rsid w:val="00F36826"/>
    <w:rsid w:val="00F368EC"/>
    <w:rsid w:val="00F36DED"/>
    <w:rsid w:val="00F36E0D"/>
    <w:rsid w:val="00F36F69"/>
    <w:rsid w:val="00F3708A"/>
    <w:rsid w:val="00F37261"/>
    <w:rsid w:val="00F375CC"/>
    <w:rsid w:val="00F377DC"/>
    <w:rsid w:val="00F40235"/>
    <w:rsid w:val="00F40E67"/>
    <w:rsid w:val="00F410F4"/>
    <w:rsid w:val="00F4124F"/>
    <w:rsid w:val="00F417F6"/>
    <w:rsid w:val="00F41DB0"/>
    <w:rsid w:val="00F426B0"/>
    <w:rsid w:val="00F4296F"/>
    <w:rsid w:val="00F42990"/>
    <w:rsid w:val="00F42AD6"/>
    <w:rsid w:val="00F42BA6"/>
    <w:rsid w:val="00F43F87"/>
    <w:rsid w:val="00F43FA8"/>
    <w:rsid w:val="00F440E1"/>
    <w:rsid w:val="00F44450"/>
    <w:rsid w:val="00F4459D"/>
    <w:rsid w:val="00F44EFA"/>
    <w:rsid w:val="00F45A1E"/>
    <w:rsid w:val="00F464F2"/>
    <w:rsid w:val="00F46BDE"/>
    <w:rsid w:val="00F46D8E"/>
    <w:rsid w:val="00F47121"/>
    <w:rsid w:val="00F50513"/>
    <w:rsid w:val="00F5063D"/>
    <w:rsid w:val="00F50A3F"/>
    <w:rsid w:val="00F5103E"/>
    <w:rsid w:val="00F51124"/>
    <w:rsid w:val="00F515AC"/>
    <w:rsid w:val="00F51952"/>
    <w:rsid w:val="00F52118"/>
    <w:rsid w:val="00F5266E"/>
    <w:rsid w:val="00F529D6"/>
    <w:rsid w:val="00F52A81"/>
    <w:rsid w:val="00F52D9B"/>
    <w:rsid w:val="00F52FF0"/>
    <w:rsid w:val="00F53444"/>
    <w:rsid w:val="00F53ACF"/>
    <w:rsid w:val="00F53BDC"/>
    <w:rsid w:val="00F5402D"/>
    <w:rsid w:val="00F543BB"/>
    <w:rsid w:val="00F54429"/>
    <w:rsid w:val="00F54684"/>
    <w:rsid w:val="00F546C4"/>
    <w:rsid w:val="00F54A29"/>
    <w:rsid w:val="00F54AB3"/>
    <w:rsid w:val="00F553AD"/>
    <w:rsid w:val="00F557A9"/>
    <w:rsid w:val="00F55A48"/>
    <w:rsid w:val="00F564E8"/>
    <w:rsid w:val="00F56569"/>
    <w:rsid w:val="00F579C3"/>
    <w:rsid w:val="00F57A1D"/>
    <w:rsid w:val="00F57D33"/>
    <w:rsid w:val="00F60BE8"/>
    <w:rsid w:val="00F60CBE"/>
    <w:rsid w:val="00F6116B"/>
    <w:rsid w:val="00F61555"/>
    <w:rsid w:val="00F62279"/>
    <w:rsid w:val="00F629EA"/>
    <w:rsid w:val="00F62D13"/>
    <w:rsid w:val="00F63143"/>
    <w:rsid w:val="00F63C15"/>
    <w:rsid w:val="00F64144"/>
    <w:rsid w:val="00F64AC2"/>
    <w:rsid w:val="00F64DAF"/>
    <w:rsid w:val="00F650AA"/>
    <w:rsid w:val="00F65459"/>
    <w:rsid w:val="00F65794"/>
    <w:rsid w:val="00F6597E"/>
    <w:rsid w:val="00F66010"/>
    <w:rsid w:val="00F66232"/>
    <w:rsid w:val="00F664F1"/>
    <w:rsid w:val="00F66CE7"/>
    <w:rsid w:val="00F66DBC"/>
    <w:rsid w:val="00F66EDF"/>
    <w:rsid w:val="00F671A6"/>
    <w:rsid w:val="00F6782A"/>
    <w:rsid w:val="00F67884"/>
    <w:rsid w:val="00F67999"/>
    <w:rsid w:val="00F67F91"/>
    <w:rsid w:val="00F70146"/>
    <w:rsid w:val="00F704A5"/>
    <w:rsid w:val="00F718D9"/>
    <w:rsid w:val="00F71E30"/>
    <w:rsid w:val="00F71EA7"/>
    <w:rsid w:val="00F71F72"/>
    <w:rsid w:val="00F72143"/>
    <w:rsid w:val="00F727D8"/>
    <w:rsid w:val="00F7303B"/>
    <w:rsid w:val="00F7317B"/>
    <w:rsid w:val="00F73237"/>
    <w:rsid w:val="00F741E2"/>
    <w:rsid w:val="00F74808"/>
    <w:rsid w:val="00F75089"/>
    <w:rsid w:val="00F755C0"/>
    <w:rsid w:val="00F758C7"/>
    <w:rsid w:val="00F76162"/>
    <w:rsid w:val="00F761A8"/>
    <w:rsid w:val="00F761BB"/>
    <w:rsid w:val="00F7659C"/>
    <w:rsid w:val="00F76BA1"/>
    <w:rsid w:val="00F77540"/>
    <w:rsid w:val="00F77876"/>
    <w:rsid w:val="00F77976"/>
    <w:rsid w:val="00F77AEA"/>
    <w:rsid w:val="00F805C7"/>
    <w:rsid w:val="00F813BB"/>
    <w:rsid w:val="00F8196C"/>
    <w:rsid w:val="00F81D49"/>
    <w:rsid w:val="00F81FCC"/>
    <w:rsid w:val="00F82A03"/>
    <w:rsid w:val="00F82E2E"/>
    <w:rsid w:val="00F837E4"/>
    <w:rsid w:val="00F83ACE"/>
    <w:rsid w:val="00F83DB5"/>
    <w:rsid w:val="00F84161"/>
    <w:rsid w:val="00F843AD"/>
    <w:rsid w:val="00F84796"/>
    <w:rsid w:val="00F84C0B"/>
    <w:rsid w:val="00F84C85"/>
    <w:rsid w:val="00F84F90"/>
    <w:rsid w:val="00F8529D"/>
    <w:rsid w:val="00F855A8"/>
    <w:rsid w:val="00F85AA8"/>
    <w:rsid w:val="00F85B84"/>
    <w:rsid w:val="00F85CEB"/>
    <w:rsid w:val="00F85E61"/>
    <w:rsid w:val="00F863D4"/>
    <w:rsid w:val="00F86573"/>
    <w:rsid w:val="00F869BE"/>
    <w:rsid w:val="00F86BF7"/>
    <w:rsid w:val="00F87096"/>
    <w:rsid w:val="00F870E0"/>
    <w:rsid w:val="00F8716E"/>
    <w:rsid w:val="00F871FE"/>
    <w:rsid w:val="00F8730E"/>
    <w:rsid w:val="00F87657"/>
    <w:rsid w:val="00F876A3"/>
    <w:rsid w:val="00F902E0"/>
    <w:rsid w:val="00F90A55"/>
    <w:rsid w:val="00F91401"/>
    <w:rsid w:val="00F91683"/>
    <w:rsid w:val="00F916DB"/>
    <w:rsid w:val="00F91B9E"/>
    <w:rsid w:val="00F92D1A"/>
    <w:rsid w:val="00F9371C"/>
    <w:rsid w:val="00F93A3A"/>
    <w:rsid w:val="00F93ADA"/>
    <w:rsid w:val="00F93C24"/>
    <w:rsid w:val="00F93E4B"/>
    <w:rsid w:val="00F93FCD"/>
    <w:rsid w:val="00F94020"/>
    <w:rsid w:val="00F942BB"/>
    <w:rsid w:val="00F95089"/>
    <w:rsid w:val="00F953DD"/>
    <w:rsid w:val="00F95622"/>
    <w:rsid w:val="00F95B31"/>
    <w:rsid w:val="00F95CE4"/>
    <w:rsid w:val="00F95D6E"/>
    <w:rsid w:val="00F95ED7"/>
    <w:rsid w:val="00F965DF"/>
    <w:rsid w:val="00F96BCE"/>
    <w:rsid w:val="00F96F24"/>
    <w:rsid w:val="00F977A8"/>
    <w:rsid w:val="00F97859"/>
    <w:rsid w:val="00F97B6E"/>
    <w:rsid w:val="00FA0811"/>
    <w:rsid w:val="00FA082B"/>
    <w:rsid w:val="00FA0BD7"/>
    <w:rsid w:val="00FA0CE8"/>
    <w:rsid w:val="00FA1186"/>
    <w:rsid w:val="00FA14A7"/>
    <w:rsid w:val="00FA15B3"/>
    <w:rsid w:val="00FA17B2"/>
    <w:rsid w:val="00FA1ABF"/>
    <w:rsid w:val="00FA1C20"/>
    <w:rsid w:val="00FA1EF2"/>
    <w:rsid w:val="00FA2048"/>
    <w:rsid w:val="00FA2899"/>
    <w:rsid w:val="00FA294F"/>
    <w:rsid w:val="00FA2C5A"/>
    <w:rsid w:val="00FA2F26"/>
    <w:rsid w:val="00FA31EF"/>
    <w:rsid w:val="00FA338D"/>
    <w:rsid w:val="00FA3DDE"/>
    <w:rsid w:val="00FA3E3E"/>
    <w:rsid w:val="00FA4200"/>
    <w:rsid w:val="00FA4435"/>
    <w:rsid w:val="00FA4801"/>
    <w:rsid w:val="00FA4C01"/>
    <w:rsid w:val="00FA4F48"/>
    <w:rsid w:val="00FA4F55"/>
    <w:rsid w:val="00FA542C"/>
    <w:rsid w:val="00FA5EFB"/>
    <w:rsid w:val="00FA60D6"/>
    <w:rsid w:val="00FA64EE"/>
    <w:rsid w:val="00FA65FC"/>
    <w:rsid w:val="00FA671B"/>
    <w:rsid w:val="00FA68DF"/>
    <w:rsid w:val="00FA6994"/>
    <w:rsid w:val="00FA6F27"/>
    <w:rsid w:val="00FA73A6"/>
    <w:rsid w:val="00FA760C"/>
    <w:rsid w:val="00FA7AC6"/>
    <w:rsid w:val="00FA7C7E"/>
    <w:rsid w:val="00FA7F73"/>
    <w:rsid w:val="00FB0436"/>
    <w:rsid w:val="00FB08B8"/>
    <w:rsid w:val="00FB0C99"/>
    <w:rsid w:val="00FB0C9E"/>
    <w:rsid w:val="00FB0D45"/>
    <w:rsid w:val="00FB0D90"/>
    <w:rsid w:val="00FB15CE"/>
    <w:rsid w:val="00FB1816"/>
    <w:rsid w:val="00FB1BDA"/>
    <w:rsid w:val="00FB1CB5"/>
    <w:rsid w:val="00FB1E8C"/>
    <w:rsid w:val="00FB1FAF"/>
    <w:rsid w:val="00FB24AC"/>
    <w:rsid w:val="00FB27D3"/>
    <w:rsid w:val="00FB3811"/>
    <w:rsid w:val="00FB3A4F"/>
    <w:rsid w:val="00FB3C2D"/>
    <w:rsid w:val="00FB50F5"/>
    <w:rsid w:val="00FB51EB"/>
    <w:rsid w:val="00FB59DD"/>
    <w:rsid w:val="00FB5E61"/>
    <w:rsid w:val="00FB697E"/>
    <w:rsid w:val="00FB7089"/>
    <w:rsid w:val="00FB7692"/>
    <w:rsid w:val="00FB783E"/>
    <w:rsid w:val="00FC0414"/>
    <w:rsid w:val="00FC06DD"/>
    <w:rsid w:val="00FC1485"/>
    <w:rsid w:val="00FC231A"/>
    <w:rsid w:val="00FC25FC"/>
    <w:rsid w:val="00FC27FF"/>
    <w:rsid w:val="00FC2EB2"/>
    <w:rsid w:val="00FC322A"/>
    <w:rsid w:val="00FC3752"/>
    <w:rsid w:val="00FC385B"/>
    <w:rsid w:val="00FC4561"/>
    <w:rsid w:val="00FC4596"/>
    <w:rsid w:val="00FC473E"/>
    <w:rsid w:val="00FC4948"/>
    <w:rsid w:val="00FC517B"/>
    <w:rsid w:val="00FC5477"/>
    <w:rsid w:val="00FC5749"/>
    <w:rsid w:val="00FC5B97"/>
    <w:rsid w:val="00FC63DB"/>
    <w:rsid w:val="00FC64B6"/>
    <w:rsid w:val="00FC724A"/>
    <w:rsid w:val="00FC72C0"/>
    <w:rsid w:val="00FC77C7"/>
    <w:rsid w:val="00FC7CB7"/>
    <w:rsid w:val="00FC7CBE"/>
    <w:rsid w:val="00FC7D3C"/>
    <w:rsid w:val="00FC7EB7"/>
    <w:rsid w:val="00FD008E"/>
    <w:rsid w:val="00FD053C"/>
    <w:rsid w:val="00FD0964"/>
    <w:rsid w:val="00FD0F69"/>
    <w:rsid w:val="00FD116C"/>
    <w:rsid w:val="00FD24C5"/>
    <w:rsid w:val="00FD2FC4"/>
    <w:rsid w:val="00FD303B"/>
    <w:rsid w:val="00FD3448"/>
    <w:rsid w:val="00FD3DAC"/>
    <w:rsid w:val="00FD3EFC"/>
    <w:rsid w:val="00FD4C39"/>
    <w:rsid w:val="00FD4C6E"/>
    <w:rsid w:val="00FD4E1F"/>
    <w:rsid w:val="00FD5005"/>
    <w:rsid w:val="00FD5177"/>
    <w:rsid w:val="00FD56BF"/>
    <w:rsid w:val="00FD5D76"/>
    <w:rsid w:val="00FD5F36"/>
    <w:rsid w:val="00FD668B"/>
    <w:rsid w:val="00FD67DE"/>
    <w:rsid w:val="00FD699F"/>
    <w:rsid w:val="00FD69AA"/>
    <w:rsid w:val="00FD6A11"/>
    <w:rsid w:val="00FD6A98"/>
    <w:rsid w:val="00FD6C7E"/>
    <w:rsid w:val="00FD6E94"/>
    <w:rsid w:val="00FD6EC4"/>
    <w:rsid w:val="00FD6F44"/>
    <w:rsid w:val="00FD77AF"/>
    <w:rsid w:val="00FD78C8"/>
    <w:rsid w:val="00FD795A"/>
    <w:rsid w:val="00FD7CFD"/>
    <w:rsid w:val="00FE010B"/>
    <w:rsid w:val="00FE024A"/>
    <w:rsid w:val="00FE093F"/>
    <w:rsid w:val="00FE1247"/>
    <w:rsid w:val="00FE22DF"/>
    <w:rsid w:val="00FE290D"/>
    <w:rsid w:val="00FE2A65"/>
    <w:rsid w:val="00FE2AA6"/>
    <w:rsid w:val="00FE2BD1"/>
    <w:rsid w:val="00FE3059"/>
    <w:rsid w:val="00FE313B"/>
    <w:rsid w:val="00FE335D"/>
    <w:rsid w:val="00FE3631"/>
    <w:rsid w:val="00FE3923"/>
    <w:rsid w:val="00FE3969"/>
    <w:rsid w:val="00FE43D8"/>
    <w:rsid w:val="00FE4505"/>
    <w:rsid w:val="00FE45D1"/>
    <w:rsid w:val="00FE4686"/>
    <w:rsid w:val="00FE5315"/>
    <w:rsid w:val="00FE5654"/>
    <w:rsid w:val="00FE5725"/>
    <w:rsid w:val="00FE5FB9"/>
    <w:rsid w:val="00FE647B"/>
    <w:rsid w:val="00FE6BAD"/>
    <w:rsid w:val="00FE7061"/>
    <w:rsid w:val="00FE707F"/>
    <w:rsid w:val="00FE7CD4"/>
    <w:rsid w:val="00FE7D90"/>
    <w:rsid w:val="00FE7FBF"/>
    <w:rsid w:val="00FF03AD"/>
    <w:rsid w:val="00FF0E35"/>
    <w:rsid w:val="00FF16DB"/>
    <w:rsid w:val="00FF25FF"/>
    <w:rsid w:val="00FF2A6F"/>
    <w:rsid w:val="00FF2C15"/>
    <w:rsid w:val="00FF30A4"/>
    <w:rsid w:val="00FF349C"/>
    <w:rsid w:val="00FF367B"/>
    <w:rsid w:val="00FF36DF"/>
    <w:rsid w:val="00FF3777"/>
    <w:rsid w:val="00FF385B"/>
    <w:rsid w:val="00FF3B4D"/>
    <w:rsid w:val="00FF4268"/>
    <w:rsid w:val="00FF43A9"/>
    <w:rsid w:val="00FF5035"/>
    <w:rsid w:val="00FF54D8"/>
    <w:rsid w:val="00FF5582"/>
    <w:rsid w:val="00FF5AC3"/>
    <w:rsid w:val="00FF6D68"/>
    <w:rsid w:val="00FF6D75"/>
    <w:rsid w:val="00FF715A"/>
    <w:rsid w:val="00FF74A8"/>
    <w:rsid w:val="00FF7631"/>
    <w:rsid w:val="00FF76CB"/>
    <w:rsid w:val="00FF7DD3"/>
    <w:rsid w:val="0729E7D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EE49182"/>
  <w15:docId w15:val="{B68A0E76-1E24-4BB2-A3ED-3960702C1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E2B"/>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57A1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57A1D"/>
    <w:rPr>
      <w:rFonts w:ascii="Tahoma" w:hAnsi="Tahoma" w:cs="Tahoma"/>
      <w:sz w:val="16"/>
      <w:szCs w:val="16"/>
    </w:rPr>
  </w:style>
  <w:style w:type="table" w:styleId="TableGrid">
    <w:name w:val="Table Grid"/>
    <w:basedOn w:val="TableNormal"/>
    <w:uiPriority w:val="39"/>
    <w:rsid w:val="006C1E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83CE1"/>
    <w:rPr>
      <w:color w:val="0000FF"/>
      <w:u w:val="single"/>
    </w:rPr>
  </w:style>
  <w:style w:type="paragraph" w:styleId="Header">
    <w:name w:val="header"/>
    <w:basedOn w:val="Normal"/>
    <w:link w:val="HeaderChar"/>
    <w:uiPriority w:val="99"/>
    <w:rsid w:val="00542F2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42F23"/>
  </w:style>
  <w:style w:type="paragraph" w:styleId="Footer">
    <w:name w:val="footer"/>
    <w:basedOn w:val="Normal"/>
    <w:link w:val="FooterChar"/>
    <w:uiPriority w:val="99"/>
    <w:rsid w:val="00542F2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42F23"/>
  </w:style>
  <w:style w:type="character" w:styleId="CommentReference">
    <w:name w:val="annotation reference"/>
    <w:uiPriority w:val="99"/>
    <w:semiHidden/>
    <w:rsid w:val="002D0A6F"/>
    <w:rPr>
      <w:sz w:val="16"/>
      <w:szCs w:val="16"/>
    </w:rPr>
  </w:style>
  <w:style w:type="paragraph" w:styleId="CommentText">
    <w:name w:val="annotation text"/>
    <w:basedOn w:val="Normal"/>
    <w:link w:val="CommentTextChar"/>
    <w:uiPriority w:val="99"/>
    <w:rsid w:val="002D0A6F"/>
    <w:pPr>
      <w:spacing w:line="240" w:lineRule="auto"/>
    </w:pPr>
    <w:rPr>
      <w:sz w:val="20"/>
      <w:szCs w:val="20"/>
    </w:rPr>
  </w:style>
  <w:style w:type="character" w:customStyle="1" w:styleId="CommentTextChar">
    <w:name w:val="Comment Text Char"/>
    <w:link w:val="CommentText"/>
    <w:uiPriority w:val="99"/>
    <w:locked/>
    <w:rsid w:val="002D0A6F"/>
    <w:rPr>
      <w:sz w:val="20"/>
      <w:szCs w:val="20"/>
    </w:rPr>
  </w:style>
  <w:style w:type="paragraph" w:styleId="CommentSubject">
    <w:name w:val="annotation subject"/>
    <w:basedOn w:val="CommentText"/>
    <w:next w:val="CommentText"/>
    <w:link w:val="CommentSubjectChar"/>
    <w:uiPriority w:val="99"/>
    <w:semiHidden/>
    <w:rsid w:val="002D0A6F"/>
    <w:rPr>
      <w:b/>
      <w:bCs/>
    </w:rPr>
  </w:style>
  <w:style w:type="character" w:customStyle="1" w:styleId="CommentSubjectChar">
    <w:name w:val="Comment Subject Char"/>
    <w:link w:val="CommentSubject"/>
    <w:uiPriority w:val="99"/>
    <w:semiHidden/>
    <w:locked/>
    <w:rsid w:val="002D0A6F"/>
    <w:rPr>
      <w:b/>
      <w:bCs/>
      <w:sz w:val="20"/>
      <w:szCs w:val="20"/>
    </w:rPr>
  </w:style>
  <w:style w:type="paragraph" w:styleId="PlainText">
    <w:name w:val="Plain Text"/>
    <w:basedOn w:val="Normal"/>
    <w:link w:val="PlainTextChar"/>
    <w:uiPriority w:val="99"/>
    <w:rsid w:val="004F0443"/>
    <w:pPr>
      <w:spacing w:after="0" w:line="240" w:lineRule="auto"/>
    </w:pPr>
    <w:rPr>
      <w:sz w:val="21"/>
      <w:szCs w:val="21"/>
    </w:rPr>
  </w:style>
  <w:style w:type="character" w:customStyle="1" w:styleId="PlainTextChar">
    <w:name w:val="Plain Text Char"/>
    <w:link w:val="PlainText"/>
    <w:uiPriority w:val="99"/>
    <w:locked/>
    <w:rsid w:val="004F0443"/>
    <w:rPr>
      <w:rFonts w:ascii="Calibri" w:hAnsi="Calibri" w:cs="Calibri"/>
      <w:sz w:val="21"/>
      <w:szCs w:val="21"/>
    </w:rPr>
  </w:style>
  <w:style w:type="paragraph" w:styleId="ListParagraph">
    <w:name w:val="List Paragraph"/>
    <w:basedOn w:val="Normal"/>
    <w:uiPriority w:val="99"/>
    <w:qFormat/>
    <w:rsid w:val="001E0546"/>
    <w:pPr>
      <w:ind w:left="720"/>
    </w:pPr>
  </w:style>
  <w:style w:type="paragraph" w:styleId="Revision">
    <w:name w:val="Revision"/>
    <w:hidden/>
    <w:uiPriority w:val="99"/>
    <w:semiHidden/>
    <w:rsid w:val="00567E90"/>
    <w:rPr>
      <w:rFonts w:cs="Calibri"/>
      <w:sz w:val="22"/>
      <w:szCs w:val="22"/>
    </w:rPr>
  </w:style>
  <w:style w:type="character" w:customStyle="1" w:styleId="apple-converted-space">
    <w:name w:val="apple-converted-space"/>
    <w:basedOn w:val="DefaultParagraphFont"/>
    <w:rsid w:val="00DD0A75"/>
  </w:style>
  <w:style w:type="character" w:customStyle="1" w:styleId="mb">
    <w:name w:val="mb"/>
    <w:basedOn w:val="DefaultParagraphFont"/>
    <w:rsid w:val="00DD0A75"/>
  </w:style>
  <w:style w:type="paragraph" w:styleId="Bibliography">
    <w:name w:val="Bibliography"/>
    <w:basedOn w:val="Normal"/>
    <w:next w:val="Normal"/>
    <w:uiPriority w:val="37"/>
    <w:unhideWhenUsed/>
    <w:rsid w:val="00C66CF9"/>
    <w:pPr>
      <w:tabs>
        <w:tab w:val="left" w:pos="504"/>
      </w:tabs>
      <w:spacing w:after="0" w:line="240" w:lineRule="auto"/>
      <w:ind w:left="504" w:hanging="504"/>
    </w:pPr>
  </w:style>
  <w:style w:type="character" w:customStyle="1" w:styleId="element-citation">
    <w:name w:val="element-citation"/>
    <w:basedOn w:val="DefaultParagraphFont"/>
    <w:rsid w:val="000B7E1C"/>
  </w:style>
  <w:style w:type="character" w:customStyle="1" w:styleId="ref-journal">
    <w:name w:val="ref-journal"/>
    <w:basedOn w:val="DefaultParagraphFont"/>
    <w:rsid w:val="000B7E1C"/>
  </w:style>
  <w:style w:type="character" w:customStyle="1" w:styleId="ref-vol">
    <w:name w:val="ref-vol"/>
    <w:basedOn w:val="DefaultParagraphFont"/>
    <w:rsid w:val="000B7E1C"/>
  </w:style>
  <w:style w:type="character" w:styleId="PlaceholderText">
    <w:name w:val="Placeholder Text"/>
    <w:basedOn w:val="DefaultParagraphFont"/>
    <w:uiPriority w:val="99"/>
    <w:semiHidden/>
    <w:rsid w:val="00C7566C"/>
    <w:rPr>
      <w:color w:val="808080"/>
    </w:rPr>
  </w:style>
  <w:style w:type="character" w:customStyle="1" w:styleId="normaltextrun">
    <w:name w:val="normaltextrun"/>
    <w:basedOn w:val="DefaultParagraphFont"/>
    <w:rsid w:val="007559B3"/>
  </w:style>
  <w:style w:type="character" w:customStyle="1" w:styleId="citationref">
    <w:name w:val="citationref"/>
    <w:basedOn w:val="DefaultParagraphFont"/>
    <w:rsid w:val="00B51CA3"/>
  </w:style>
  <w:style w:type="paragraph" w:styleId="NormalWeb">
    <w:name w:val="Normal (Web)"/>
    <w:basedOn w:val="Normal"/>
    <w:uiPriority w:val="99"/>
    <w:semiHidden/>
    <w:unhideWhenUsed/>
    <w:rsid w:val="002D616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B6764"/>
    <w:rPr>
      <w:rFonts w:asciiTheme="minorHAnsi" w:eastAsiaTheme="minorEastAsia" w:hAnsiTheme="minorHAnsi" w:cstheme="minorBidi"/>
      <w:sz w:val="24"/>
      <w:szCs w:val="24"/>
    </w:rPr>
  </w:style>
  <w:style w:type="character" w:styleId="Emphasis">
    <w:name w:val="Emphasis"/>
    <w:basedOn w:val="DefaultParagraphFont"/>
    <w:uiPriority w:val="20"/>
    <w:qFormat/>
    <w:locked/>
    <w:rsid w:val="00975166"/>
    <w:rPr>
      <w:b/>
      <w:bCs/>
      <w:i w:val="0"/>
      <w:iCs w:val="0"/>
    </w:rPr>
  </w:style>
  <w:style w:type="character" w:customStyle="1" w:styleId="st1">
    <w:name w:val="st1"/>
    <w:basedOn w:val="DefaultParagraphFont"/>
    <w:rsid w:val="00975166"/>
  </w:style>
  <w:style w:type="character" w:styleId="FollowedHyperlink">
    <w:name w:val="FollowedHyperlink"/>
    <w:basedOn w:val="DefaultParagraphFont"/>
    <w:uiPriority w:val="99"/>
    <w:semiHidden/>
    <w:unhideWhenUsed/>
    <w:rsid w:val="007765AD"/>
    <w:rPr>
      <w:color w:val="800080" w:themeColor="followedHyperlink"/>
      <w:u w:val="single"/>
    </w:rPr>
  </w:style>
  <w:style w:type="paragraph" w:styleId="HTMLPreformatted">
    <w:name w:val="HTML Preformatted"/>
    <w:basedOn w:val="Normal"/>
    <w:link w:val="HTMLPreformattedChar"/>
    <w:uiPriority w:val="99"/>
    <w:unhideWhenUsed/>
    <w:rsid w:val="00D20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20F2D"/>
    <w:rPr>
      <w:rFonts w:ascii="Courier New" w:eastAsia="Times New Roman" w:hAnsi="Courier New" w:cs="Courier New"/>
    </w:rPr>
  </w:style>
  <w:style w:type="character" w:customStyle="1" w:styleId="gnkrckgcgsb">
    <w:name w:val="gnkrckgcgsb"/>
    <w:basedOn w:val="DefaultParagraphFont"/>
    <w:rsid w:val="00D20F2D"/>
  </w:style>
  <w:style w:type="character" w:customStyle="1" w:styleId="rwrro">
    <w:name w:val="rwrro"/>
    <w:basedOn w:val="DefaultParagraphFont"/>
    <w:rsid w:val="000067B4"/>
  </w:style>
  <w:style w:type="paragraph" w:customStyle="1" w:styleId="EndNoteBibliography">
    <w:name w:val="EndNote Bibliography"/>
    <w:basedOn w:val="Normal"/>
    <w:link w:val="EndNoteBibliographyChar"/>
    <w:rsid w:val="004472ED"/>
    <w:pPr>
      <w:spacing w:after="160" w:line="240" w:lineRule="auto"/>
    </w:pPr>
    <w:rPr>
      <w:rFonts w:eastAsiaTheme="minorEastAsia"/>
      <w:noProof/>
      <w:lang w:eastAsia="zh-CN"/>
    </w:rPr>
  </w:style>
  <w:style w:type="character" w:customStyle="1" w:styleId="EndNoteBibliographyChar">
    <w:name w:val="EndNote Bibliography Char"/>
    <w:basedOn w:val="DefaultParagraphFont"/>
    <w:link w:val="EndNoteBibliography"/>
    <w:rsid w:val="004472ED"/>
    <w:rPr>
      <w:rFonts w:eastAsiaTheme="minorEastAsia" w:cs="Calibri"/>
      <w:noProof/>
      <w:sz w:val="22"/>
      <w:szCs w:val="22"/>
      <w:lang w:eastAsia="zh-CN"/>
    </w:rPr>
  </w:style>
  <w:style w:type="paragraph" w:customStyle="1" w:styleId="Default">
    <w:name w:val="Default"/>
    <w:rsid w:val="006E514A"/>
    <w:pPr>
      <w:autoSpaceDE w:val="0"/>
      <w:autoSpaceDN w:val="0"/>
      <w:adjustRightInd w:val="0"/>
    </w:pPr>
    <w:rPr>
      <w:rFonts w:ascii="Times New Roman" w:hAnsi="Times New Roman"/>
      <w:color w:val="000000"/>
      <w:sz w:val="24"/>
      <w:szCs w:val="24"/>
    </w:rPr>
  </w:style>
  <w:style w:type="paragraph" w:styleId="FootnoteText">
    <w:name w:val="footnote text"/>
    <w:basedOn w:val="Normal"/>
    <w:link w:val="FootnoteTextChar"/>
    <w:uiPriority w:val="99"/>
    <w:semiHidden/>
    <w:unhideWhenUsed/>
    <w:rsid w:val="00DB4FE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B4FE9"/>
    <w:rPr>
      <w:rFonts w:ascii="Times New Roman" w:eastAsia="Times New Roman" w:hAnsi="Times New Roman"/>
    </w:rPr>
  </w:style>
  <w:style w:type="character" w:styleId="FootnoteReference">
    <w:name w:val="footnote reference"/>
    <w:uiPriority w:val="99"/>
    <w:semiHidden/>
    <w:unhideWhenUsed/>
    <w:rsid w:val="00DB4F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91345">
      <w:bodyDiv w:val="1"/>
      <w:marLeft w:val="0"/>
      <w:marRight w:val="0"/>
      <w:marTop w:val="0"/>
      <w:marBottom w:val="0"/>
      <w:divBdr>
        <w:top w:val="none" w:sz="0" w:space="0" w:color="auto"/>
        <w:left w:val="none" w:sz="0" w:space="0" w:color="auto"/>
        <w:bottom w:val="none" w:sz="0" w:space="0" w:color="auto"/>
        <w:right w:val="none" w:sz="0" w:space="0" w:color="auto"/>
      </w:divBdr>
    </w:div>
    <w:div w:id="674922109">
      <w:marLeft w:val="0"/>
      <w:marRight w:val="0"/>
      <w:marTop w:val="0"/>
      <w:marBottom w:val="0"/>
      <w:divBdr>
        <w:top w:val="none" w:sz="0" w:space="0" w:color="auto"/>
        <w:left w:val="none" w:sz="0" w:space="0" w:color="auto"/>
        <w:bottom w:val="none" w:sz="0" w:space="0" w:color="auto"/>
        <w:right w:val="none" w:sz="0" w:space="0" w:color="auto"/>
      </w:divBdr>
      <w:divsChild>
        <w:div w:id="674922113">
          <w:marLeft w:val="0"/>
          <w:marRight w:val="0"/>
          <w:marTop w:val="0"/>
          <w:marBottom w:val="0"/>
          <w:divBdr>
            <w:top w:val="none" w:sz="0" w:space="0" w:color="auto"/>
            <w:left w:val="none" w:sz="0" w:space="0" w:color="auto"/>
            <w:bottom w:val="none" w:sz="0" w:space="0" w:color="auto"/>
            <w:right w:val="none" w:sz="0" w:space="0" w:color="auto"/>
          </w:divBdr>
        </w:div>
      </w:divsChild>
    </w:div>
    <w:div w:id="674922110">
      <w:marLeft w:val="0"/>
      <w:marRight w:val="0"/>
      <w:marTop w:val="0"/>
      <w:marBottom w:val="0"/>
      <w:divBdr>
        <w:top w:val="none" w:sz="0" w:space="0" w:color="auto"/>
        <w:left w:val="none" w:sz="0" w:space="0" w:color="auto"/>
        <w:bottom w:val="none" w:sz="0" w:space="0" w:color="auto"/>
        <w:right w:val="none" w:sz="0" w:space="0" w:color="auto"/>
      </w:divBdr>
      <w:divsChild>
        <w:div w:id="674922115">
          <w:marLeft w:val="0"/>
          <w:marRight w:val="0"/>
          <w:marTop w:val="0"/>
          <w:marBottom w:val="0"/>
          <w:divBdr>
            <w:top w:val="none" w:sz="0" w:space="0" w:color="auto"/>
            <w:left w:val="none" w:sz="0" w:space="0" w:color="auto"/>
            <w:bottom w:val="none" w:sz="0" w:space="0" w:color="auto"/>
            <w:right w:val="none" w:sz="0" w:space="0" w:color="auto"/>
          </w:divBdr>
        </w:div>
      </w:divsChild>
    </w:div>
    <w:div w:id="674922114">
      <w:marLeft w:val="0"/>
      <w:marRight w:val="0"/>
      <w:marTop w:val="0"/>
      <w:marBottom w:val="0"/>
      <w:divBdr>
        <w:top w:val="none" w:sz="0" w:space="0" w:color="auto"/>
        <w:left w:val="none" w:sz="0" w:space="0" w:color="auto"/>
        <w:bottom w:val="none" w:sz="0" w:space="0" w:color="auto"/>
        <w:right w:val="none" w:sz="0" w:space="0" w:color="auto"/>
      </w:divBdr>
      <w:divsChild>
        <w:div w:id="674922135">
          <w:marLeft w:val="0"/>
          <w:marRight w:val="0"/>
          <w:marTop w:val="0"/>
          <w:marBottom w:val="0"/>
          <w:divBdr>
            <w:top w:val="none" w:sz="0" w:space="0" w:color="auto"/>
            <w:left w:val="none" w:sz="0" w:space="0" w:color="auto"/>
            <w:bottom w:val="none" w:sz="0" w:space="0" w:color="auto"/>
            <w:right w:val="none" w:sz="0" w:space="0" w:color="auto"/>
          </w:divBdr>
        </w:div>
      </w:divsChild>
    </w:div>
    <w:div w:id="674922117">
      <w:marLeft w:val="0"/>
      <w:marRight w:val="0"/>
      <w:marTop w:val="0"/>
      <w:marBottom w:val="0"/>
      <w:divBdr>
        <w:top w:val="none" w:sz="0" w:space="0" w:color="auto"/>
        <w:left w:val="none" w:sz="0" w:space="0" w:color="auto"/>
        <w:bottom w:val="none" w:sz="0" w:space="0" w:color="auto"/>
        <w:right w:val="none" w:sz="0" w:space="0" w:color="auto"/>
      </w:divBdr>
      <w:divsChild>
        <w:div w:id="674922153">
          <w:marLeft w:val="0"/>
          <w:marRight w:val="0"/>
          <w:marTop w:val="0"/>
          <w:marBottom w:val="0"/>
          <w:divBdr>
            <w:top w:val="none" w:sz="0" w:space="0" w:color="auto"/>
            <w:left w:val="none" w:sz="0" w:space="0" w:color="auto"/>
            <w:bottom w:val="none" w:sz="0" w:space="0" w:color="auto"/>
            <w:right w:val="none" w:sz="0" w:space="0" w:color="auto"/>
          </w:divBdr>
        </w:div>
      </w:divsChild>
    </w:div>
    <w:div w:id="674922121">
      <w:marLeft w:val="0"/>
      <w:marRight w:val="0"/>
      <w:marTop w:val="0"/>
      <w:marBottom w:val="0"/>
      <w:divBdr>
        <w:top w:val="none" w:sz="0" w:space="0" w:color="auto"/>
        <w:left w:val="none" w:sz="0" w:space="0" w:color="auto"/>
        <w:bottom w:val="none" w:sz="0" w:space="0" w:color="auto"/>
        <w:right w:val="none" w:sz="0" w:space="0" w:color="auto"/>
      </w:divBdr>
      <w:divsChild>
        <w:div w:id="674922160">
          <w:marLeft w:val="0"/>
          <w:marRight w:val="0"/>
          <w:marTop w:val="0"/>
          <w:marBottom w:val="0"/>
          <w:divBdr>
            <w:top w:val="none" w:sz="0" w:space="0" w:color="auto"/>
            <w:left w:val="none" w:sz="0" w:space="0" w:color="auto"/>
            <w:bottom w:val="none" w:sz="0" w:space="0" w:color="auto"/>
            <w:right w:val="none" w:sz="0" w:space="0" w:color="auto"/>
          </w:divBdr>
        </w:div>
      </w:divsChild>
    </w:div>
    <w:div w:id="674922122">
      <w:marLeft w:val="0"/>
      <w:marRight w:val="0"/>
      <w:marTop w:val="0"/>
      <w:marBottom w:val="0"/>
      <w:divBdr>
        <w:top w:val="none" w:sz="0" w:space="0" w:color="auto"/>
        <w:left w:val="none" w:sz="0" w:space="0" w:color="auto"/>
        <w:bottom w:val="none" w:sz="0" w:space="0" w:color="auto"/>
        <w:right w:val="none" w:sz="0" w:space="0" w:color="auto"/>
      </w:divBdr>
      <w:divsChild>
        <w:div w:id="674922148">
          <w:marLeft w:val="0"/>
          <w:marRight w:val="0"/>
          <w:marTop w:val="0"/>
          <w:marBottom w:val="0"/>
          <w:divBdr>
            <w:top w:val="none" w:sz="0" w:space="0" w:color="auto"/>
            <w:left w:val="none" w:sz="0" w:space="0" w:color="auto"/>
            <w:bottom w:val="none" w:sz="0" w:space="0" w:color="auto"/>
            <w:right w:val="none" w:sz="0" w:space="0" w:color="auto"/>
          </w:divBdr>
        </w:div>
      </w:divsChild>
    </w:div>
    <w:div w:id="674922124">
      <w:marLeft w:val="0"/>
      <w:marRight w:val="0"/>
      <w:marTop w:val="0"/>
      <w:marBottom w:val="0"/>
      <w:divBdr>
        <w:top w:val="none" w:sz="0" w:space="0" w:color="auto"/>
        <w:left w:val="none" w:sz="0" w:space="0" w:color="auto"/>
        <w:bottom w:val="none" w:sz="0" w:space="0" w:color="auto"/>
        <w:right w:val="none" w:sz="0" w:space="0" w:color="auto"/>
      </w:divBdr>
    </w:div>
    <w:div w:id="674922125">
      <w:marLeft w:val="0"/>
      <w:marRight w:val="0"/>
      <w:marTop w:val="0"/>
      <w:marBottom w:val="0"/>
      <w:divBdr>
        <w:top w:val="none" w:sz="0" w:space="0" w:color="auto"/>
        <w:left w:val="none" w:sz="0" w:space="0" w:color="auto"/>
        <w:bottom w:val="none" w:sz="0" w:space="0" w:color="auto"/>
        <w:right w:val="none" w:sz="0" w:space="0" w:color="auto"/>
      </w:divBdr>
      <w:divsChild>
        <w:div w:id="674922147">
          <w:marLeft w:val="0"/>
          <w:marRight w:val="0"/>
          <w:marTop w:val="0"/>
          <w:marBottom w:val="0"/>
          <w:divBdr>
            <w:top w:val="none" w:sz="0" w:space="0" w:color="auto"/>
            <w:left w:val="none" w:sz="0" w:space="0" w:color="auto"/>
            <w:bottom w:val="none" w:sz="0" w:space="0" w:color="auto"/>
            <w:right w:val="none" w:sz="0" w:space="0" w:color="auto"/>
          </w:divBdr>
        </w:div>
      </w:divsChild>
    </w:div>
    <w:div w:id="674922126">
      <w:marLeft w:val="0"/>
      <w:marRight w:val="0"/>
      <w:marTop w:val="0"/>
      <w:marBottom w:val="0"/>
      <w:divBdr>
        <w:top w:val="none" w:sz="0" w:space="0" w:color="auto"/>
        <w:left w:val="none" w:sz="0" w:space="0" w:color="auto"/>
        <w:bottom w:val="none" w:sz="0" w:space="0" w:color="auto"/>
        <w:right w:val="none" w:sz="0" w:space="0" w:color="auto"/>
      </w:divBdr>
      <w:divsChild>
        <w:div w:id="674922118">
          <w:marLeft w:val="0"/>
          <w:marRight w:val="0"/>
          <w:marTop w:val="0"/>
          <w:marBottom w:val="0"/>
          <w:divBdr>
            <w:top w:val="none" w:sz="0" w:space="0" w:color="auto"/>
            <w:left w:val="none" w:sz="0" w:space="0" w:color="auto"/>
            <w:bottom w:val="none" w:sz="0" w:space="0" w:color="auto"/>
            <w:right w:val="none" w:sz="0" w:space="0" w:color="auto"/>
          </w:divBdr>
        </w:div>
      </w:divsChild>
    </w:div>
    <w:div w:id="674922128">
      <w:marLeft w:val="0"/>
      <w:marRight w:val="0"/>
      <w:marTop w:val="0"/>
      <w:marBottom w:val="0"/>
      <w:divBdr>
        <w:top w:val="none" w:sz="0" w:space="0" w:color="auto"/>
        <w:left w:val="none" w:sz="0" w:space="0" w:color="auto"/>
        <w:bottom w:val="none" w:sz="0" w:space="0" w:color="auto"/>
        <w:right w:val="none" w:sz="0" w:space="0" w:color="auto"/>
      </w:divBdr>
      <w:divsChild>
        <w:div w:id="674922120">
          <w:marLeft w:val="0"/>
          <w:marRight w:val="0"/>
          <w:marTop w:val="0"/>
          <w:marBottom w:val="0"/>
          <w:divBdr>
            <w:top w:val="none" w:sz="0" w:space="0" w:color="auto"/>
            <w:left w:val="none" w:sz="0" w:space="0" w:color="auto"/>
            <w:bottom w:val="none" w:sz="0" w:space="0" w:color="auto"/>
            <w:right w:val="none" w:sz="0" w:space="0" w:color="auto"/>
          </w:divBdr>
        </w:div>
      </w:divsChild>
    </w:div>
    <w:div w:id="674922129">
      <w:marLeft w:val="0"/>
      <w:marRight w:val="0"/>
      <w:marTop w:val="0"/>
      <w:marBottom w:val="0"/>
      <w:divBdr>
        <w:top w:val="none" w:sz="0" w:space="0" w:color="auto"/>
        <w:left w:val="none" w:sz="0" w:space="0" w:color="auto"/>
        <w:bottom w:val="none" w:sz="0" w:space="0" w:color="auto"/>
        <w:right w:val="none" w:sz="0" w:space="0" w:color="auto"/>
      </w:divBdr>
      <w:divsChild>
        <w:div w:id="674922127">
          <w:marLeft w:val="0"/>
          <w:marRight w:val="0"/>
          <w:marTop w:val="0"/>
          <w:marBottom w:val="0"/>
          <w:divBdr>
            <w:top w:val="none" w:sz="0" w:space="0" w:color="auto"/>
            <w:left w:val="none" w:sz="0" w:space="0" w:color="auto"/>
            <w:bottom w:val="none" w:sz="0" w:space="0" w:color="auto"/>
            <w:right w:val="none" w:sz="0" w:space="0" w:color="auto"/>
          </w:divBdr>
        </w:div>
      </w:divsChild>
    </w:div>
    <w:div w:id="674922130">
      <w:marLeft w:val="0"/>
      <w:marRight w:val="0"/>
      <w:marTop w:val="0"/>
      <w:marBottom w:val="0"/>
      <w:divBdr>
        <w:top w:val="none" w:sz="0" w:space="0" w:color="auto"/>
        <w:left w:val="none" w:sz="0" w:space="0" w:color="auto"/>
        <w:bottom w:val="none" w:sz="0" w:space="0" w:color="auto"/>
        <w:right w:val="none" w:sz="0" w:space="0" w:color="auto"/>
      </w:divBdr>
      <w:divsChild>
        <w:div w:id="674922112">
          <w:marLeft w:val="0"/>
          <w:marRight w:val="0"/>
          <w:marTop w:val="0"/>
          <w:marBottom w:val="0"/>
          <w:divBdr>
            <w:top w:val="none" w:sz="0" w:space="0" w:color="auto"/>
            <w:left w:val="none" w:sz="0" w:space="0" w:color="auto"/>
            <w:bottom w:val="none" w:sz="0" w:space="0" w:color="auto"/>
            <w:right w:val="none" w:sz="0" w:space="0" w:color="auto"/>
          </w:divBdr>
        </w:div>
      </w:divsChild>
    </w:div>
    <w:div w:id="674922134">
      <w:marLeft w:val="0"/>
      <w:marRight w:val="0"/>
      <w:marTop w:val="0"/>
      <w:marBottom w:val="0"/>
      <w:divBdr>
        <w:top w:val="none" w:sz="0" w:space="0" w:color="auto"/>
        <w:left w:val="none" w:sz="0" w:space="0" w:color="auto"/>
        <w:bottom w:val="none" w:sz="0" w:space="0" w:color="auto"/>
        <w:right w:val="none" w:sz="0" w:space="0" w:color="auto"/>
      </w:divBdr>
      <w:divsChild>
        <w:div w:id="674922137">
          <w:marLeft w:val="0"/>
          <w:marRight w:val="0"/>
          <w:marTop w:val="0"/>
          <w:marBottom w:val="0"/>
          <w:divBdr>
            <w:top w:val="none" w:sz="0" w:space="0" w:color="auto"/>
            <w:left w:val="none" w:sz="0" w:space="0" w:color="auto"/>
            <w:bottom w:val="none" w:sz="0" w:space="0" w:color="auto"/>
            <w:right w:val="none" w:sz="0" w:space="0" w:color="auto"/>
          </w:divBdr>
        </w:div>
      </w:divsChild>
    </w:div>
    <w:div w:id="674922136">
      <w:marLeft w:val="0"/>
      <w:marRight w:val="0"/>
      <w:marTop w:val="0"/>
      <w:marBottom w:val="0"/>
      <w:divBdr>
        <w:top w:val="none" w:sz="0" w:space="0" w:color="auto"/>
        <w:left w:val="none" w:sz="0" w:space="0" w:color="auto"/>
        <w:bottom w:val="none" w:sz="0" w:space="0" w:color="auto"/>
        <w:right w:val="none" w:sz="0" w:space="0" w:color="auto"/>
      </w:divBdr>
      <w:divsChild>
        <w:div w:id="674922108">
          <w:marLeft w:val="0"/>
          <w:marRight w:val="0"/>
          <w:marTop w:val="0"/>
          <w:marBottom w:val="0"/>
          <w:divBdr>
            <w:top w:val="none" w:sz="0" w:space="0" w:color="auto"/>
            <w:left w:val="none" w:sz="0" w:space="0" w:color="auto"/>
            <w:bottom w:val="none" w:sz="0" w:space="0" w:color="auto"/>
            <w:right w:val="none" w:sz="0" w:space="0" w:color="auto"/>
          </w:divBdr>
        </w:div>
      </w:divsChild>
    </w:div>
    <w:div w:id="674922138">
      <w:marLeft w:val="0"/>
      <w:marRight w:val="0"/>
      <w:marTop w:val="0"/>
      <w:marBottom w:val="0"/>
      <w:divBdr>
        <w:top w:val="none" w:sz="0" w:space="0" w:color="auto"/>
        <w:left w:val="none" w:sz="0" w:space="0" w:color="auto"/>
        <w:bottom w:val="none" w:sz="0" w:space="0" w:color="auto"/>
        <w:right w:val="none" w:sz="0" w:space="0" w:color="auto"/>
      </w:divBdr>
      <w:divsChild>
        <w:div w:id="674922150">
          <w:marLeft w:val="0"/>
          <w:marRight w:val="0"/>
          <w:marTop w:val="0"/>
          <w:marBottom w:val="0"/>
          <w:divBdr>
            <w:top w:val="none" w:sz="0" w:space="0" w:color="auto"/>
            <w:left w:val="none" w:sz="0" w:space="0" w:color="auto"/>
            <w:bottom w:val="none" w:sz="0" w:space="0" w:color="auto"/>
            <w:right w:val="none" w:sz="0" w:space="0" w:color="auto"/>
          </w:divBdr>
        </w:div>
      </w:divsChild>
    </w:div>
    <w:div w:id="674922140">
      <w:marLeft w:val="0"/>
      <w:marRight w:val="0"/>
      <w:marTop w:val="0"/>
      <w:marBottom w:val="0"/>
      <w:divBdr>
        <w:top w:val="none" w:sz="0" w:space="0" w:color="auto"/>
        <w:left w:val="none" w:sz="0" w:space="0" w:color="auto"/>
        <w:bottom w:val="none" w:sz="0" w:space="0" w:color="auto"/>
        <w:right w:val="none" w:sz="0" w:space="0" w:color="auto"/>
      </w:divBdr>
      <w:divsChild>
        <w:div w:id="674922143">
          <w:marLeft w:val="0"/>
          <w:marRight w:val="0"/>
          <w:marTop w:val="0"/>
          <w:marBottom w:val="0"/>
          <w:divBdr>
            <w:top w:val="none" w:sz="0" w:space="0" w:color="auto"/>
            <w:left w:val="none" w:sz="0" w:space="0" w:color="auto"/>
            <w:bottom w:val="none" w:sz="0" w:space="0" w:color="auto"/>
            <w:right w:val="none" w:sz="0" w:space="0" w:color="auto"/>
          </w:divBdr>
        </w:div>
      </w:divsChild>
    </w:div>
    <w:div w:id="674922141">
      <w:marLeft w:val="0"/>
      <w:marRight w:val="0"/>
      <w:marTop w:val="0"/>
      <w:marBottom w:val="0"/>
      <w:divBdr>
        <w:top w:val="none" w:sz="0" w:space="0" w:color="auto"/>
        <w:left w:val="none" w:sz="0" w:space="0" w:color="auto"/>
        <w:bottom w:val="none" w:sz="0" w:space="0" w:color="auto"/>
        <w:right w:val="none" w:sz="0" w:space="0" w:color="auto"/>
      </w:divBdr>
      <w:divsChild>
        <w:div w:id="674922123">
          <w:marLeft w:val="0"/>
          <w:marRight w:val="0"/>
          <w:marTop w:val="0"/>
          <w:marBottom w:val="0"/>
          <w:divBdr>
            <w:top w:val="none" w:sz="0" w:space="0" w:color="auto"/>
            <w:left w:val="none" w:sz="0" w:space="0" w:color="auto"/>
            <w:bottom w:val="none" w:sz="0" w:space="0" w:color="auto"/>
            <w:right w:val="none" w:sz="0" w:space="0" w:color="auto"/>
          </w:divBdr>
        </w:div>
      </w:divsChild>
    </w:div>
    <w:div w:id="674922142">
      <w:marLeft w:val="0"/>
      <w:marRight w:val="0"/>
      <w:marTop w:val="0"/>
      <w:marBottom w:val="0"/>
      <w:divBdr>
        <w:top w:val="none" w:sz="0" w:space="0" w:color="auto"/>
        <w:left w:val="none" w:sz="0" w:space="0" w:color="auto"/>
        <w:bottom w:val="none" w:sz="0" w:space="0" w:color="auto"/>
        <w:right w:val="none" w:sz="0" w:space="0" w:color="auto"/>
      </w:divBdr>
      <w:divsChild>
        <w:div w:id="674922116">
          <w:marLeft w:val="0"/>
          <w:marRight w:val="0"/>
          <w:marTop w:val="0"/>
          <w:marBottom w:val="0"/>
          <w:divBdr>
            <w:top w:val="none" w:sz="0" w:space="0" w:color="auto"/>
            <w:left w:val="none" w:sz="0" w:space="0" w:color="auto"/>
            <w:bottom w:val="none" w:sz="0" w:space="0" w:color="auto"/>
            <w:right w:val="none" w:sz="0" w:space="0" w:color="auto"/>
          </w:divBdr>
        </w:div>
      </w:divsChild>
    </w:div>
    <w:div w:id="674922144">
      <w:marLeft w:val="0"/>
      <w:marRight w:val="0"/>
      <w:marTop w:val="0"/>
      <w:marBottom w:val="0"/>
      <w:divBdr>
        <w:top w:val="none" w:sz="0" w:space="0" w:color="auto"/>
        <w:left w:val="none" w:sz="0" w:space="0" w:color="auto"/>
        <w:bottom w:val="none" w:sz="0" w:space="0" w:color="auto"/>
        <w:right w:val="none" w:sz="0" w:space="0" w:color="auto"/>
      </w:divBdr>
      <w:divsChild>
        <w:div w:id="674922119">
          <w:marLeft w:val="0"/>
          <w:marRight w:val="0"/>
          <w:marTop w:val="0"/>
          <w:marBottom w:val="0"/>
          <w:divBdr>
            <w:top w:val="none" w:sz="0" w:space="0" w:color="auto"/>
            <w:left w:val="none" w:sz="0" w:space="0" w:color="auto"/>
            <w:bottom w:val="none" w:sz="0" w:space="0" w:color="auto"/>
            <w:right w:val="none" w:sz="0" w:space="0" w:color="auto"/>
          </w:divBdr>
        </w:div>
      </w:divsChild>
    </w:div>
    <w:div w:id="674922145">
      <w:marLeft w:val="0"/>
      <w:marRight w:val="0"/>
      <w:marTop w:val="0"/>
      <w:marBottom w:val="0"/>
      <w:divBdr>
        <w:top w:val="none" w:sz="0" w:space="0" w:color="auto"/>
        <w:left w:val="none" w:sz="0" w:space="0" w:color="auto"/>
        <w:bottom w:val="none" w:sz="0" w:space="0" w:color="auto"/>
        <w:right w:val="none" w:sz="0" w:space="0" w:color="auto"/>
      </w:divBdr>
      <w:divsChild>
        <w:div w:id="674922139">
          <w:marLeft w:val="0"/>
          <w:marRight w:val="0"/>
          <w:marTop w:val="0"/>
          <w:marBottom w:val="0"/>
          <w:divBdr>
            <w:top w:val="none" w:sz="0" w:space="0" w:color="auto"/>
            <w:left w:val="none" w:sz="0" w:space="0" w:color="auto"/>
            <w:bottom w:val="none" w:sz="0" w:space="0" w:color="auto"/>
            <w:right w:val="none" w:sz="0" w:space="0" w:color="auto"/>
          </w:divBdr>
        </w:div>
      </w:divsChild>
    </w:div>
    <w:div w:id="674922146">
      <w:marLeft w:val="0"/>
      <w:marRight w:val="0"/>
      <w:marTop w:val="0"/>
      <w:marBottom w:val="0"/>
      <w:divBdr>
        <w:top w:val="none" w:sz="0" w:space="0" w:color="auto"/>
        <w:left w:val="none" w:sz="0" w:space="0" w:color="auto"/>
        <w:bottom w:val="none" w:sz="0" w:space="0" w:color="auto"/>
        <w:right w:val="none" w:sz="0" w:space="0" w:color="auto"/>
      </w:divBdr>
      <w:divsChild>
        <w:div w:id="674922133">
          <w:marLeft w:val="0"/>
          <w:marRight w:val="0"/>
          <w:marTop w:val="0"/>
          <w:marBottom w:val="0"/>
          <w:divBdr>
            <w:top w:val="none" w:sz="0" w:space="0" w:color="auto"/>
            <w:left w:val="none" w:sz="0" w:space="0" w:color="auto"/>
            <w:bottom w:val="none" w:sz="0" w:space="0" w:color="auto"/>
            <w:right w:val="none" w:sz="0" w:space="0" w:color="auto"/>
          </w:divBdr>
        </w:div>
      </w:divsChild>
    </w:div>
    <w:div w:id="674922152">
      <w:marLeft w:val="0"/>
      <w:marRight w:val="0"/>
      <w:marTop w:val="0"/>
      <w:marBottom w:val="0"/>
      <w:divBdr>
        <w:top w:val="none" w:sz="0" w:space="0" w:color="auto"/>
        <w:left w:val="none" w:sz="0" w:space="0" w:color="auto"/>
        <w:bottom w:val="none" w:sz="0" w:space="0" w:color="auto"/>
        <w:right w:val="none" w:sz="0" w:space="0" w:color="auto"/>
      </w:divBdr>
    </w:div>
    <w:div w:id="674922154">
      <w:marLeft w:val="0"/>
      <w:marRight w:val="0"/>
      <w:marTop w:val="0"/>
      <w:marBottom w:val="0"/>
      <w:divBdr>
        <w:top w:val="none" w:sz="0" w:space="0" w:color="auto"/>
        <w:left w:val="none" w:sz="0" w:space="0" w:color="auto"/>
        <w:bottom w:val="none" w:sz="0" w:space="0" w:color="auto"/>
        <w:right w:val="none" w:sz="0" w:space="0" w:color="auto"/>
      </w:divBdr>
    </w:div>
    <w:div w:id="674922155">
      <w:marLeft w:val="0"/>
      <w:marRight w:val="0"/>
      <w:marTop w:val="0"/>
      <w:marBottom w:val="0"/>
      <w:divBdr>
        <w:top w:val="none" w:sz="0" w:space="0" w:color="auto"/>
        <w:left w:val="none" w:sz="0" w:space="0" w:color="auto"/>
        <w:bottom w:val="none" w:sz="0" w:space="0" w:color="auto"/>
        <w:right w:val="none" w:sz="0" w:space="0" w:color="auto"/>
      </w:divBdr>
      <w:divsChild>
        <w:div w:id="674922111">
          <w:marLeft w:val="0"/>
          <w:marRight w:val="0"/>
          <w:marTop w:val="0"/>
          <w:marBottom w:val="0"/>
          <w:divBdr>
            <w:top w:val="none" w:sz="0" w:space="0" w:color="auto"/>
            <w:left w:val="none" w:sz="0" w:space="0" w:color="auto"/>
            <w:bottom w:val="none" w:sz="0" w:space="0" w:color="auto"/>
            <w:right w:val="none" w:sz="0" w:space="0" w:color="auto"/>
          </w:divBdr>
        </w:div>
      </w:divsChild>
    </w:div>
    <w:div w:id="674922156">
      <w:marLeft w:val="0"/>
      <w:marRight w:val="0"/>
      <w:marTop w:val="0"/>
      <w:marBottom w:val="0"/>
      <w:divBdr>
        <w:top w:val="none" w:sz="0" w:space="0" w:color="auto"/>
        <w:left w:val="none" w:sz="0" w:space="0" w:color="auto"/>
        <w:bottom w:val="none" w:sz="0" w:space="0" w:color="auto"/>
        <w:right w:val="none" w:sz="0" w:space="0" w:color="auto"/>
      </w:divBdr>
      <w:divsChild>
        <w:div w:id="674922131">
          <w:marLeft w:val="0"/>
          <w:marRight w:val="0"/>
          <w:marTop w:val="0"/>
          <w:marBottom w:val="0"/>
          <w:divBdr>
            <w:top w:val="none" w:sz="0" w:space="0" w:color="auto"/>
            <w:left w:val="none" w:sz="0" w:space="0" w:color="auto"/>
            <w:bottom w:val="none" w:sz="0" w:space="0" w:color="auto"/>
            <w:right w:val="none" w:sz="0" w:space="0" w:color="auto"/>
          </w:divBdr>
        </w:div>
      </w:divsChild>
    </w:div>
    <w:div w:id="674922157">
      <w:marLeft w:val="0"/>
      <w:marRight w:val="0"/>
      <w:marTop w:val="0"/>
      <w:marBottom w:val="0"/>
      <w:divBdr>
        <w:top w:val="none" w:sz="0" w:space="0" w:color="auto"/>
        <w:left w:val="none" w:sz="0" w:space="0" w:color="auto"/>
        <w:bottom w:val="none" w:sz="0" w:space="0" w:color="auto"/>
        <w:right w:val="none" w:sz="0" w:space="0" w:color="auto"/>
      </w:divBdr>
      <w:divsChild>
        <w:div w:id="674922149">
          <w:marLeft w:val="0"/>
          <w:marRight w:val="0"/>
          <w:marTop w:val="0"/>
          <w:marBottom w:val="0"/>
          <w:divBdr>
            <w:top w:val="none" w:sz="0" w:space="0" w:color="auto"/>
            <w:left w:val="none" w:sz="0" w:space="0" w:color="auto"/>
            <w:bottom w:val="none" w:sz="0" w:space="0" w:color="auto"/>
            <w:right w:val="none" w:sz="0" w:space="0" w:color="auto"/>
          </w:divBdr>
        </w:div>
      </w:divsChild>
    </w:div>
    <w:div w:id="674922158">
      <w:marLeft w:val="0"/>
      <w:marRight w:val="0"/>
      <w:marTop w:val="0"/>
      <w:marBottom w:val="0"/>
      <w:divBdr>
        <w:top w:val="none" w:sz="0" w:space="0" w:color="auto"/>
        <w:left w:val="none" w:sz="0" w:space="0" w:color="auto"/>
        <w:bottom w:val="none" w:sz="0" w:space="0" w:color="auto"/>
        <w:right w:val="none" w:sz="0" w:space="0" w:color="auto"/>
      </w:divBdr>
      <w:divsChild>
        <w:div w:id="674922151">
          <w:marLeft w:val="0"/>
          <w:marRight w:val="0"/>
          <w:marTop w:val="0"/>
          <w:marBottom w:val="0"/>
          <w:divBdr>
            <w:top w:val="none" w:sz="0" w:space="0" w:color="auto"/>
            <w:left w:val="none" w:sz="0" w:space="0" w:color="auto"/>
            <w:bottom w:val="none" w:sz="0" w:space="0" w:color="auto"/>
            <w:right w:val="none" w:sz="0" w:space="0" w:color="auto"/>
          </w:divBdr>
        </w:div>
      </w:divsChild>
    </w:div>
    <w:div w:id="674922159">
      <w:marLeft w:val="0"/>
      <w:marRight w:val="0"/>
      <w:marTop w:val="0"/>
      <w:marBottom w:val="0"/>
      <w:divBdr>
        <w:top w:val="none" w:sz="0" w:space="0" w:color="auto"/>
        <w:left w:val="none" w:sz="0" w:space="0" w:color="auto"/>
        <w:bottom w:val="none" w:sz="0" w:space="0" w:color="auto"/>
        <w:right w:val="none" w:sz="0" w:space="0" w:color="auto"/>
      </w:divBdr>
      <w:divsChild>
        <w:div w:id="674922132">
          <w:marLeft w:val="0"/>
          <w:marRight w:val="0"/>
          <w:marTop w:val="0"/>
          <w:marBottom w:val="0"/>
          <w:divBdr>
            <w:top w:val="none" w:sz="0" w:space="0" w:color="auto"/>
            <w:left w:val="none" w:sz="0" w:space="0" w:color="auto"/>
            <w:bottom w:val="none" w:sz="0" w:space="0" w:color="auto"/>
            <w:right w:val="none" w:sz="0" w:space="0" w:color="auto"/>
          </w:divBdr>
        </w:div>
      </w:divsChild>
    </w:div>
    <w:div w:id="674922162">
      <w:marLeft w:val="0"/>
      <w:marRight w:val="0"/>
      <w:marTop w:val="0"/>
      <w:marBottom w:val="0"/>
      <w:divBdr>
        <w:top w:val="none" w:sz="0" w:space="0" w:color="auto"/>
        <w:left w:val="none" w:sz="0" w:space="0" w:color="auto"/>
        <w:bottom w:val="none" w:sz="0" w:space="0" w:color="auto"/>
        <w:right w:val="none" w:sz="0" w:space="0" w:color="auto"/>
      </w:divBdr>
      <w:divsChild>
        <w:div w:id="674922161">
          <w:marLeft w:val="0"/>
          <w:marRight w:val="0"/>
          <w:marTop w:val="0"/>
          <w:marBottom w:val="0"/>
          <w:divBdr>
            <w:top w:val="none" w:sz="0" w:space="0" w:color="auto"/>
            <w:left w:val="none" w:sz="0" w:space="0" w:color="auto"/>
            <w:bottom w:val="none" w:sz="0" w:space="0" w:color="auto"/>
            <w:right w:val="none" w:sz="0" w:space="0" w:color="auto"/>
          </w:divBdr>
        </w:div>
      </w:divsChild>
    </w:div>
    <w:div w:id="674922163">
      <w:marLeft w:val="0"/>
      <w:marRight w:val="0"/>
      <w:marTop w:val="0"/>
      <w:marBottom w:val="0"/>
      <w:divBdr>
        <w:top w:val="none" w:sz="0" w:space="0" w:color="auto"/>
        <w:left w:val="none" w:sz="0" w:space="0" w:color="auto"/>
        <w:bottom w:val="none" w:sz="0" w:space="0" w:color="auto"/>
        <w:right w:val="none" w:sz="0" w:space="0" w:color="auto"/>
      </w:divBdr>
      <w:divsChild>
        <w:div w:id="674922164">
          <w:marLeft w:val="0"/>
          <w:marRight w:val="0"/>
          <w:marTop w:val="0"/>
          <w:marBottom w:val="0"/>
          <w:divBdr>
            <w:top w:val="none" w:sz="0" w:space="0" w:color="auto"/>
            <w:left w:val="none" w:sz="0" w:space="0" w:color="auto"/>
            <w:bottom w:val="none" w:sz="0" w:space="0" w:color="auto"/>
            <w:right w:val="none" w:sz="0" w:space="0" w:color="auto"/>
          </w:divBdr>
        </w:div>
      </w:divsChild>
    </w:div>
    <w:div w:id="1324045968">
      <w:bodyDiv w:val="1"/>
      <w:marLeft w:val="0"/>
      <w:marRight w:val="0"/>
      <w:marTop w:val="0"/>
      <w:marBottom w:val="0"/>
      <w:divBdr>
        <w:top w:val="none" w:sz="0" w:space="0" w:color="auto"/>
        <w:left w:val="none" w:sz="0" w:space="0" w:color="auto"/>
        <w:bottom w:val="none" w:sz="0" w:space="0" w:color="auto"/>
        <w:right w:val="none" w:sz="0" w:space="0" w:color="auto"/>
      </w:divBdr>
    </w:div>
    <w:div w:id="1595356110">
      <w:bodyDiv w:val="1"/>
      <w:marLeft w:val="0"/>
      <w:marRight w:val="0"/>
      <w:marTop w:val="0"/>
      <w:marBottom w:val="0"/>
      <w:divBdr>
        <w:top w:val="none" w:sz="0" w:space="0" w:color="auto"/>
        <w:left w:val="none" w:sz="0" w:space="0" w:color="auto"/>
        <w:bottom w:val="none" w:sz="0" w:space="0" w:color="auto"/>
        <w:right w:val="none" w:sz="0" w:space="0" w:color="auto"/>
      </w:divBdr>
    </w:div>
    <w:div w:id="1631740153">
      <w:bodyDiv w:val="1"/>
      <w:marLeft w:val="0"/>
      <w:marRight w:val="0"/>
      <w:marTop w:val="0"/>
      <w:marBottom w:val="0"/>
      <w:divBdr>
        <w:top w:val="none" w:sz="0" w:space="0" w:color="auto"/>
        <w:left w:val="none" w:sz="0" w:space="0" w:color="auto"/>
        <w:bottom w:val="none" w:sz="0" w:space="0" w:color="auto"/>
        <w:right w:val="none" w:sz="0" w:space="0" w:color="auto"/>
      </w:divBdr>
    </w:div>
    <w:div w:id="1976372265">
      <w:bodyDiv w:val="1"/>
      <w:marLeft w:val="0"/>
      <w:marRight w:val="0"/>
      <w:marTop w:val="0"/>
      <w:marBottom w:val="0"/>
      <w:divBdr>
        <w:top w:val="none" w:sz="0" w:space="0" w:color="auto"/>
        <w:left w:val="none" w:sz="0" w:space="0" w:color="auto"/>
        <w:bottom w:val="none" w:sz="0" w:space="0" w:color="auto"/>
        <w:right w:val="none" w:sz="0" w:space="0" w:color="auto"/>
      </w:divBdr>
    </w:div>
    <w:div w:id="2016615469">
      <w:bodyDiv w:val="1"/>
      <w:marLeft w:val="0"/>
      <w:marRight w:val="0"/>
      <w:marTop w:val="0"/>
      <w:marBottom w:val="0"/>
      <w:divBdr>
        <w:top w:val="none" w:sz="0" w:space="0" w:color="auto"/>
        <w:left w:val="none" w:sz="0" w:space="0" w:color="auto"/>
        <w:bottom w:val="none" w:sz="0" w:space="0" w:color="auto"/>
        <w:right w:val="none" w:sz="0" w:space="0" w:color="auto"/>
      </w:divBdr>
    </w:div>
    <w:div w:id="207743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ion.ucl.ac.uk/sp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E7695-CB32-43B8-ADD6-7434941D3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2551</Words>
  <Characters>19597</Characters>
  <Application>Microsoft Office Word</Application>
  <DocSecurity>0</DocSecurity>
  <Lines>163</Lines>
  <Paragraphs>44</Paragraphs>
  <ScaleCrop>false</ScaleCrop>
  <HeadingPairs>
    <vt:vector size="2" baseType="variant">
      <vt:variant>
        <vt:lpstr>Title</vt:lpstr>
      </vt:variant>
      <vt:variant>
        <vt:i4>1</vt:i4>
      </vt:variant>
    </vt:vector>
  </HeadingPairs>
  <TitlesOfParts>
    <vt:vector size="1" baseType="lpstr">
      <vt:lpstr>Running head: PERCEPTUAL LOAD IN SAD</vt:lpstr>
    </vt:vector>
  </TitlesOfParts>
  <Company>Microsoft</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PERCEPTUAL LOAD IN SAD</dc:title>
  <dc:creator>Wheaton, Michael</dc:creator>
  <cp:lastModifiedBy>Jagan Jimmy</cp:lastModifiedBy>
  <cp:revision>24</cp:revision>
  <cp:lastPrinted>2020-08-02T20:24:00Z</cp:lastPrinted>
  <dcterms:created xsi:type="dcterms:W3CDTF">2020-08-02T20:59:00Z</dcterms:created>
  <dcterms:modified xsi:type="dcterms:W3CDTF">2020-10-02T00:24:00Z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id="21G998Fo"/&gt;&lt;style id="http://www.zotero.org/styles/neuropsychopharmacology" hasBibliography="1" bibliographyStyleHasBeenSet="1"/&gt;&lt;prefs&gt;&lt;pref name="fieldType" value="Field"/&gt;&lt;pref name="storeRefe</vt:lpwstr>
  </property>
  <property fmtid="{D5CDD505-2E9C-101B-9397-08002B2CF9AE}" pid="3" name="ZOTERO_PREF_2">
    <vt:lpwstr>rences" value="true"/&gt;&lt;pref name="automaticJournalAbbreviations" value="true"/&gt;&lt;pref name="dontAskDelayCitationUpdates" value="true"/&gt;&lt;/prefs&gt;&lt;/data&gt;</vt:lpwstr>
  </property>
</Properties>
</file>