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51913" w:rsidRPr="0009717E" w:rsidRDefault="00851913" w:rsidP="000B79F2">
      <w:pPr>
        <w:spacing w:line="480" w:lineRule="auto"/>
        <w:rPr>
          <w:rFonts w:ascii="Helvetica Neue" w:hAnsi="Helvetica Neue"/>
        </w:rPr>
      </w:pPr>
      <w:r w:rsidRPr="0009717E">
        <w:rPr>
          <w:rFonts w:ascii="Helvetica Neue" w:hAnsi="Helvetica Neue"/>
          <w:b/>
        </w:rPr>
        <w:t>Supplemental Material</w:t>
      </w:r>
    </w:p>
    <w:p w:rsidR="00851913" w:rsidRPr="0009717E" w:rsidRDefault="00851913" w:rsidP="000B79F2">
      <w:pPr>
        <w:spacing w:line="480" w:lineRule="auto"/>
        <w:rPr>
          <w:rFonts w:ascii="Helvetica Neue" w:hAnsi="Helvetica Neue"/>
        </w:rPr>
      </w:pPr>
      <w:r w:rsidRPr="0009717E">
        <w:rPr>
          <w:rFonts w:ascii="Helvetica Neue" w:hAnsi="Helvetica Neue"/>
          <w:u w:val="single"/>
        </w:rPr>
        <w:t>Supplemental Methods</w:t>
      </w:r>
    </w:p>
    <w:p w:rsidR="00851913" w:rsidRPr="0005189A" w:rsidRDefault="00851913" w:rsidP="000B79F2">
      <w:pPr>
        <w:spacing w:line="480" w:lineRule="auto"/>
        <w:rPr>
          <w:rFonts w:ascii="Helvetica Neue" w:eastAsia="Helvetica Neue" w:hAnsi="Helvetica Neue" w:cs="Helvetica Neue"/>
          <w:lang w:val="sv-SE"/>
        </w:rPr>
      </w:pPr>
      <w:r w:rsidRPr="0009717E">
        <w:rPr>
          <w:rFonts w:ascii="Helvetica Neue" w:hAnsi="Helvetica Neue"/>
          <w:i/>
        </w:rPr>
        <w:t>Primary care registry data</w:t>
      </w:r>
      <w:r w:rsidRPr="0009717E">
        <w:rPr>
          <w:rFonts w:ascii="Helvetica Neue" w:hAnsi="Helvetica Neue"/>
        </w:rPr>
        <w:t xml:space="preserve">. Data availability for the Primary Care Register differs across region due to different timing in the digitization of records. </w:t>
      </w:r>
      <w:r w:rsidRPr="0005189A">
        <w:rPr>
          <w:rFonts w:ascii="Helvetica Neue" w:hAnsi="Helvetica Neue"/>
          <w:lang w:val="sv-SE"/>
        </w:rPr>
        <w:t xml:space="preserve">Dates of availability across regions were as follows: </w:t>
      </w:r>
      <w:r w:rsidRPr="0005189A">
        <w:rPr>
          <w:rFonts w:ascii="Helvetica Neue" w:eastAsia="Helvetica Neue" w:hAnsi="Helvetica Neue" w:cs="Helvetica Neue"/>
          <w:lang w:val="sv-SE"/>
        </w:rPr>
        <w:t>Blekinge (2009-2016), Dalarna (2005-2013), Värmland (2005-2015), Kalmar Län (2007-2016), Sörmland (1992-2017), Uppsala Län (2005-2015), Västernorrland (2008-2015)</w:t>
      </w:r>
      <w:r>
        <w:rPr>
          <w:rFonts w:ascii="Helvetica Neue" w:eastAsia="Helvetica Neue" w:hAnsi="Helvetica Neue" w:cs="Helvetica Neue"/>
          <w:lang w:val="sv-SE"/>
        </w:rPr>
        <w:t xml:space="preserve">, </w:t>
      </w:r>
      <w:r w:rsidRPr="0005189A">
        <w:rPr>
          <w:rFonts w:ascii="Helvetica Neue" w:eastAsia="Helvetica Neue" w:hAnsi="Helvetica Neue" w:cs="Helvetica Neue"/>
          <w:lang w:val="sv-SE"/>
        </w:rPr>
        <w:t xml:space="preserve">Norrbotten Län (2001-2014), Gävleborg (2010-2017), Gotland (2011-2018), Halland (2007-2014),  Jönköpings Län (2008-2014), Kronoberg (2006-2016), Skåne (1989-2018), Västerbotten (1992- 2018), Östergötland (1990-2014), Stockholms Län (2003-2016), and Västra Götaland (2000-2013). </w:t>
      </w:r>
    </w:p>
    <w:p w:rsidR="00851913" w:rsidRPr="0009717E" w:rsidRDefault="00851913" w:rsidP="000B79F2">
      <w:pPr>
        <w:spacing w:line="480" w:lineRule="auto"/>
        <w:rPr>
          <w:rFonts w:ascii="Helvetica Neue" w:eastAsia="Helvetica Neue" w:hAnsi="Helvetica Neue" w:cs="Helvetica Neue"/>
        </w:rPr>
      </w:pPr>
      <w:r w:rsidRPr="0009717E">
        <w:rPr>
          <w:rFonts w:ascii="Helvetica Neue" w:hAnsi="Helvetica Neue"/>
          <w:i/>
        </w:rPr>
        <w:t>Identification of oral contraceptive use.</w:t>
      </w:r>
      <w:r w:rsidRPr="0009717E">
        <w:rPr>
          <w:rFonts w:ascii="Helvetica Neue" w:hAnsi="Helvetica Neue"/>
        </w:rPr>
        <w:t xml:space="preserve"> ATC codes used to identify </w:t>
      </w:r>
      <w:r w:rsidRPr="0009717E">
        <w:rPr>
          <w:rFonts w:ascii="Helvetica Neue" w:eastAsia="Helvetica Neue" w:hAnsi="Helvetica Neue" w:cs="Helvetica Neue"/>
        </w:rPr>
        <w:t xml:space="preserve">progestogen only pills were as follows: G03AC01, G03AC02, G03AC03, and G03AC09. ATC codes used to identify combination pills were as follows: norethisterone (G03AA01, G03AA03, G03AA05, G03AB04), levonorgestrel (G03AA07, G03AB03), </w:t>
      </w:r>
      <w:proofErr w:type="spellStart"/>
      <w:r w:rsidRPr="0009717E">
        <w:rPr>
          <w:rFonts w:ascii="Helvetica Neue" w:eastAsia="Helvetica Neue" w:hAnsi="Helvetica Neue" w:cs="Helvetica Neue"/>
        </w:rPr>
        <w:t>norgestimate</w:t>
      </w:r>
      <w:proofErr w:type="spellEnd"/>
      <w:r w:rsidRPr="0009717E">
        <w:rPr>
          <w:rFonts w:ascii="Helvetica Neue" w:eastAsia="Helvetica Neue" w:hAnsi="Helvetica Neue" w:cs="Helvetica Neue"/>
        </w:rPr>
        <w:t xml:space="preserve"> (G03AA11), </w:t>
      </w:r>
      <w:proofErr w:type="spellStart"/>
      <w:r w:rsidRPr="0009717E">
        <w:rPr>
          <w:rFonts w:ascii="Helvetica Neue" w:eastAsia="Helvetica Neue" w:hAnsi="Helvetica Neue" w:cs="Helvetica Neue"/>
        </w:rPr>
        <w:t>desogestrel</w:t>
      </w:r>
      <w:proofErr w:type="spellEnd"/>
      <w:r w:rsidRPr="0009717E">
        <w:rPr>
          <w:rFonts w:ascii="Helvetica Neue" w:eastAsia="Helvetica Neue" w:hAnsi="Helvetica Neue" w:cs="Helvetica Neue"/>
        </w:rPr>
        <w:t xml:space="preserve"> (G03AA09, G03AB05), </w:t>
      </w:r>
      <w:proofErr w:type="spellStart"/>
      <w:r w:rsidRPr="0009717E">
        <w:rPr>
          <w:rFonts w:ascii="Helvetica Neue" w:eastAsia="Helvetica Neue" w:hAnsi="Helvetica Neue" w:cs="Helvetica Neue"/>
        </w:rPr>
        <w:t>gestodene</w:t>
      </w:r>
      <w:proofErr w:type="spellEnd"/>
      <w:r w:rsidRPr="0009717E">
        <w:rPr>
          <w:rFonts w:ascii="Helvetica Neue" w:eastAsia="Helvetica Neue" w:hAnsi="Helvetica Neue" w:cs="Helvetica Neue"/>
        </w:rPr>
        <w:t xml:space="preserve">: G03AA10, G03AB06, </w:t>
      </w:r>
      <w:proofErr w:type="spellStart"/>
      <w:r w:rsidRPr="0009717E">
        <w:rPr>
          <w:rFonts w:ascii="Helvetica Neue" w:eastAsia="Helvetica Neue" w:hAnsi="Helvetica Neue" w:cs="Helvetica Neue"/>
        </w:rPr>
        <w:t>drospirenone</w:t>
      </w:r>
      <w:proofErr w:type="spellEnd"/>
      <w:r w:rsidRPr="0009717E">
        <w:rPr>
          <w:rFonts w:ascii="Helvetica Neue" w:eastAsia="Helvetica Neue" w:hAnsi="Helvetica Neue" w:cs="Helvetica Neue"/>
        </w:rPr>
        <w:t xml:space="preserve"> (G03AA12), and cyproterone and estrogen (G03HB01). We defined natural estrogen (G03AB, G03AA14), and non-oral contraceptives (G03AA13, G02BB01, G03AC08, G02BA03, G03DA02) and censored at the time these were first used.</w:t>
      </w:r>
    </w:p>
    <w:p w:rsidR="00851913" w:rsidRPr="0009717E" w:rsidRDefault="00851913" w:rsidP="000B79F2">
      <w:pPr>
        <w:spacing w:line="480" w:lineRule="auto"/>
        <w:rPr>
          <w:rFonts w:ascii="Helvetica Neue" w:hAnsi="Helvetica Neue"/>
        </w:rPr>
      </w:pPr>
      <w:r w:rsidRPr="0009717E">
        <w:rPr>
          <w:rFonts w:ascii="Helvetica Neue" w:eastAsia="Helvetica Neue" w:hAnsi="Helvetica Neue" w:cs="Helvetica Neue"/>
          <w:i/>
        </w:rPr>
        <w:t xml:space="preserve">Censored medical conditions. </w:t>
      </w:r>
      <w:r w:rsidRPr="0009717E">
        <w:rPr>
          <w:rFonts w:ascii="Helvetica Neue" w:eastAsia="Helvetica Neue" w:hAnsi="Helvetica Neue" w:cs="Helvetica Neue"/>
        </w:rPr>
        <w:t xml:space="preserve">For a small number of medical conditions, we censored women upon the date of diagnosis. These included polycystic ovarian syndrome (ICD-10 code E282); endometriosis (N80); venous thromboembolism (VTE) (I260, I269, I676, I801, I802, I803, I808, I819, I822, I823, I828, I829, O087, O223, O225, O228, O229, O871, O873, O878, O879, O880, O881, O882); and cancer using ICD codes ; 14, 15, 16, 17, 18, 19, and 20, except skin tumor; 191. </w:t>
      </w:r>
    </w:p>
    <w:p w:rsidR="00851913" w:rsidRPr="0009717E" w:rsidRDefault="00851913" w:rsidP="000B79F2">
      <w:pPr>
        <w:spacing w:line="480" w:lineRule="auto"/>
        <w:rPr>
          <w:rFonts w:ascii="Helvetica Neue" w:hAnsi="Helvetica Neue"/>
        </w:rPr>
      </w:pPr>
    </w:p>
    <w:p w:rsidR="00851913" w:rsidRPr="0009717E" w:rsidRDefault="00851913" w:rsidP="000B79F2">
      <w:pPr>
        <w:spacing w:line="480" w:lineRule="auto"/>
        <w:rPr>
          <w:rFonts w:ascii="Helvetica Neue" w:hAnsi="Helvetica Neue"/>
          <w:u w:val="single"/>
        </w:rPr>
      </w:pPr>
      <w:r w:rsidRPr="0009717E">
        <w:rPr>
          <w:rFonts w:ascii="Helvetica Neue" w:hAnsi="Helvetica Neue"/>
          <w:u w:val="single"/>
        </w:rPr>
        <w:lastRenderedPageBreak/>
        <w:t>Supplemental Results</w:t>
      </w:r>
    </w:p>
    <w:p w:rsidR="00851913" w:rsidRPr="0009717E" w:rsidRDefault="00851913" w:rsidP="000B79F2">
      <w:pPr>
        <w:spacing w:line="480" w:lineRule="auto"/>
        <w:ind w:firstLine="720"/>
        <w:rPr>
          <w:rFonts w:ascii="Helvetica Neue" w:hAnsi="Helvetica Neue"/>
        </w:rPr>
      </w:pPr>
      <w:r w:rsidRPr="0009717E">
        <w:rPr>
          <w:rFonts w:ascii="Helvetica Neue" w:hAnsi="Helvetica Neue"/>
        </w:rPr>
        <w:t xml:space="preserve">The </w:t>
      </w:r>
      <w:proofErr w:type="spellStart"/>
      <w:r w:rsidRPr="0009717E">
        <w:rPr>
          <w:rFonts w:ascii="Helvetica Neue" w:hAnsi="Helvetica Neue"/>
        </w:rPr>
        <w:t>Kaplain</w:t>
      </w:r>
      <w:proofErr w:type="spellEnd"/>
      <w:r w:rsidRPr="0009717E">
        <w:rPr>
          <w:rFonts w:ascii="Helvetica Neue" w:hAnsi="Helvetica Neue"/>
        </w:rPr>
        <w:t xml:space="preserve">-Meier plot for women who did not use oral contraceptives (OC), women who used combination pills, and women who used progestin-only pills, is presented in </w:t>
      </w:r>
      <w:r w:rsidRPr="0009717E">
        <w:rPr>
          <w:rFonts w:ascii="Helvetica Neue" w:hAnsi="Helvetica Neue"/>
          <w:b/>
        </w:rPr>
        <w:t>Supplemental Figure 1</w:t>
      </w:r>
      <w:r w:rsidRPr="0009717E">
        <w:rPr>
          <w:rFonts w:ascii="Helvetica Neue" w:hAnsi="Helvetica Neue"/>
        </w:rPr>
        <w:t>.</w:t>
      </w:r>
    </w:p>
    <w:p w:rsidR="00851913" w:rsidRPr="0009717E" w:rsidRDefault="00851913" w:rsidP="000B79F2">
      <w:pPr>
        <w:spacing w:line="480" w:lineRule="auto"/>
        <w:ind w:firstLine="720"/>
        <w:rPr>
          <w:rFonts w:ascii="Helvetica Neue" w:hAnsi="Helvetica Neue"/>
        </w:rPr>
      </w:pPr>
      <w:r w:rsidRPr="0009717E">
        <w:rPr>
          <w:rFonts w:ascii="Helvetica Neue" w:hAnsi="Helvetica Neue"/>
        </w:rPr>
        <w:t>Previous research has suggested that OC use increases the risk of internalizing symptoms</w:t>
      </w:r>
      <w:r>
        <w:rPr>
          <w:rFonts w:ascii="Helvetica Neue" w:hAnsi="Helvetica Neue"/>
        </w:rPr>
        <w:t xml:space="preserve"> </w:t>
      </w:r>
      <w:r>
        <w:rPr>
          <w:rFonts w:ascii="Helvetica Neue" w:hAnsi="Helvetica Neue"/>
          <w:noProof/>
        </w:rPr>
        <w:t>(de Wit et al., 2019; Skovlund, Morch, Kessing, &amp; Lidegaard, 2016)</w:t>
      </w:r>
      <w:r w:rsidRPr="0009717E">
        <w:rPr>
          <w:rFonts w:ascii="Helvetica Neue" w:hAnsi="Helvetica Neue"/>
        </w:rPr>
        <w:t>. Because internalizing symptoms are associated with increased risk of suicidal behavior</w:t>
      </w:r>
      <w:r>
        <w:rPr>
          <w:rFonts w:ascii="Helvetica Neue" w:hAnsi="Helvetica Neue"/>
        </w:rPr>
        <w:t xml:space="preserve"> </w:t>
      </w:r>
      <w:r>
        <w:rPr>
          <w:rFonts w:ascii="Helvetica Neue" w:hAnsi="Helvetica Neue"/>
          <w:noProof/>
        </w:rPr>
        <w:t>(Baldessarini, Tondo, Pinna, Nunez, &amp; Vazquez, 2019; Franklin et al., 2017; Nock, Hwang, Sampson, &amp; Kessler, 2010)</w:t>
      </w:r>
      <w:r w:rsidRPr="0009717E">
        <w:rPr>
          <w:rFonts w:ascii="Helvetica Neue" w:hAnsi="Helvetica Neue"/>
        </w:rPr>
        <w:t>, it is possible that, for some women, the association between OC and suicidal behavior operates through internalizing problems. We therefore elected to pursue a series of secondary analyses aimed at clarifying these associations. As no parallel pathway wherein OC increases risk of BPN has been proposed, the following analyses are limited to depression and anxiety disorders (DAD): We included lifetime BPN as a covariate in Adjusted Models 3 and 4, but did not test an interaction with OC.</w:t>
      </w:r>
    </w:p>
    <w:p w:rsidR="00851913" w:rsidRPr="0009717E" w:rsidRDefault="00851913" w:rsidP="000B79F2">
      <w:pPr>
        <w:spacing w:line="480" w:lineRule="auto"/>
        <w:rPr>
          <w:rFonts w:ascii="Helvetica Neue" w:hAnsi="Helvetica Neue"/>
        </w:rPr>
      </w:pPr>
      <w:r w:rsidRPr="0009717E">
        <w:rPr>
          <w:rFonts w:ascii="Helvetica Neue" w:hAnsi="Helvetica Neue"/>
          <w:i/>
        </w:rPr>
        <w:t>Descriptive statistics</w:t>
      </w:r>
    </w:p>
    <w:p w:rsidR="00851913" w:rsidRPr="0009717E" w:rsidRDefault="00851913" w:rsidP="000B79F2">
      <w:pPr>
        <w:spacing w:line="480" w:lineRule="auto"/>
        <w:rPr>
          <w:rFonts w:ascii="Helvetica Neue" w:hAnsi="Helvetica Neue"/>
        </w:rPr>
      </w:pPr>
      <w:r w:rsidRPr="0009717E">
        <w:rPr>
          <w:rFonts w:ascii="Helvetica Neue" w:hAnsi="Helvetica Neue"/>
        </w:rPr>
        <w:tab/>
        <w:t xml:space="preserve">Among N=216,702 women in the study, N=40,500 were registered for DAD at some point. Rates of suicidal behavior, across women who did not use OC, used combination pills, or used progestin-only pills are provided in </w:t>
      </w:r>
      <w:r w:rsidRPr="0009717E">
        <w:rPr>
          <w:rFonts w:ascii="Helvetica Neue" w:hAnsi="Helvetica Neue"/>
          <w:b/>
        </w:rPr>
        <w:t>Supplemental Table 1</w:t>
      </w:r>
      <w:r w:rsidRPr="0009717E">
        <w:rPr>
          <w:rFonts w:ascii="Helvetica Neue" w:hAnsi="Helvetica Neue"/>
        </w:rPr>
        <w:t xml:space="preserve">. </w:t>
      </w:r>
    </w:p>
    <w:p w:rsidR="00851913" w:rsidRPr="0009717E" w:rsidRDefault="00851913" w:rsidP="000B79F2">
      <w:pPr>
        <w:spacing w:line="480" w:lineRule="auto"/>
        <w:rPr>
          <w:rFonts w:ascii="Helvetica Neue" w:hAnsi="Helvetica Neue"/>
        </w:rPr>
      </w:pPr>
      <w:r w:rsidRPr="0009717E">
        <w:rPr>
          <w:rFonts w:ascii="Helvetica Neue" w:hAnsi="Helvetica Neue"/>
          <w:i/>
        </w:rPr>
        <w:t>Evaluating the relationship between internalizing disorders, OC, and suicidal behavior</w:t>
      </w:r>
    </w:p>
    <w:p w:rsidR="00851913" w:rsidRPr="0009717E" w:rsidRDefault="00851913" w:rsidP="000B79F2">
      <w:pPr>
        <w:spacing w:line="480" w:lineRule="auto"/>
        <w:ind w:firstLine="720"/>
        <w:rPr>
          <w:rFonts w:ascii="Helvetica Neue" w:eastAsia="Helvetica Neue" w:hAnsi="Helvetica Neue" w:cs="Helvetica Neue"/>
        </w:rPr>
      </w:pPr>
      <w:r w:rsidRPr="0009717E">
        <w:rPr>
          <w:rFonts w:ascii="Helvetica Neue" w:eastAsia="Helvetica Neue" w:hAnsi="Helvetica Neue" w:cs="Helvetica Neue"/>
        </w:rPr>
        <w:t xml:space="preserve">We first tested whether a history of DAD was associated with increased likelihood of later being prescribed OC, relative to women with no prior DAD registration. In a model adjusted for lifetime BPN, parental education, and parental suicidal behavior, we observed a positive association between DAD and OC (HR=1.07 [1.04, 1.10]). </w:t>
      </w:r>
    </w:p>
    <w:p w:rsidR="00851913" w:rsidRPr="0009717E" w:rsidRDefault="00851913" w:rsidP="000B79F2">
      <w:pPr>
        <w:spacing w:line="480" w:lineRule="auto"/>
        <w:ind w:firstLine="720"/>
        <w:rPr>
          <w:rFonts w:ascii="Helvetica Neue" w:eastAsia="Helvetica Neue" w:hAnsi="Helvetica Neue" w:cs="Helvetica Neue"/>
        </w:rPr>
      </w:pPr>
      <w:r w:rsidRPr="0009717E">
        <w:rPr>
          <w:rFonts w:ascii="Helvetica Neue" w:eastAsia="Helvetica Neue" w:hAnsi="Helvetica Neue" w:cs="Helvetica Neue"/>
        </w:rPr>
        <w:t>We next tested whether the association between OC and suicidal behavior differed as a function of DAD history by adding to Adjusted Model 3 (</w:t>
      </w:r>
      <w:r w:rsidRPr="0009717E">
        <w:rPr>
          <w:rFonts w:ascii="Helvetica Neue" w:eastAsia="Helvetica Neue" w:hAnsi="Helvetica Neue" w:cs="Helvetica Neue"/>
          <w:b/>
          <w:bCs/>
        </w:rPr>
        <w:t>Table 2</w:t>
      </w:r>
      <w:r w:rsidRPr="0009717E">
        <w:rPr>
          <w:rFonts w:ascii="Helvetica Neue" w:eastAsia="Helvetica Neue" w:hAnsi="Helvetica Neue" w:cs="Helvetica Neue"/>
        </w:rPr>
        <w:t xml:space="preserve">, primary text) an interaction </w:t>
      </w:r>
      <w:r w:rsidRPr="0009717E">
        <w:rPr>
          <w:rFonts w:ascii="Helvetica Neue" w:eastAsia="Helvetica Neue" w:hAnsi="Helvetica Neue" w:cs="Helvetica Neue"/>
        </w:rPr>
        <w:lastRenderedPageBreak/>
        <w:t>term between contraception and DAD (</w:t>
      </w:r>
      <w:r w:rsidRPr="0009717E">
        <w:rPr>
          <w:rFonts w:ascii="Helvetica Neue" w:eastAsia="Helvetica Neue" w:hAnsi="Helvetica Neue" w:cs="Helvetica Neue"/>
          <w:b/>
        </w:rPr>
        <w:t>Supplemental Table 2</w:t>
      </w:r>
      <w:r w:rsidRPr="0009717E">
        <w:rPr>
          <w:rFonts w:ascii="Helvetica Neue" w:eastAsia="Helvetica Neue" w:hAnsi="Helvetica Neue" w:cs="Helvetica Neue"/>
        </w:rPr>
        <w:t xml:space="preserve">; AIC=31,039.90). Consistent with the primary models, DAD was included as a time-varying predictor. Effect sizes of OC were modestly higher than those in Adjusted Model 3, with overlapping confidence intervals. The interaction terms for both combination and progestin-only pills were less than 1, but the upper confidence intervals approached (for combination pills) or included (for progestin-only pills) 1. </w:t>
      </w:r>
    </w:p>
    <w:p w:rsidR="00851913" w:rsidRPr="0009717E" w:rsidRDefault="00851913" w:rsidP="000B79F2">
      <w:pPr>
        <w:spacing w:line="480" w:lineRule="auto"/>
        <w:ind w:firstLine="720"/>
        <w:rPr>
          <w:rFonts w:ascii="Helvetica Neue" w:eastAsia="Helvetica Neue" w:hAnsi="Helvetica Neue" w:cs="Helvetica Neue"/>
        </w:rPr>
      </w:pPr>
      <w:r w:rsidRPr="0009717E">
        <w:rPr>
          <w:rFonts w:ascii="Helvetica Neue" w:eastAsia="Helvetica Neue" w:hAnsi="Helvetica Neue" w:cs="Helvetica Neue"/>
          <w:b/>
        </w:rPr>
        <w:t>Supplemental Table 3</w:t>
      </w:r>
      <w:r w:rsidRPr="0009717E">
        <w:rPr>
          <w:rFonts w:ascii="Helvetica Neue" w:eastAsia="Helvetica Neue" w:hAnsi="Helvetica Neue" w:cs="Helvetica Neue"/>
        </w:rPr>
        <w:t xml:space="preserve"> provides HR point estimates as a function of DAD status, derived from the model including the interaction term; </w:t>
      </w:r>
      <w:r w:rsidRPr="0009717E">
        <w:rPr>
          <w:rFonts w:ascii="Helvetica Neue" w:eastAsia="Helvetica Neue" w:hAnsi="Helvetica Neue" w:cs="Helvetica Neue"/>
          <w:b/>
        </w:rPr>
        <w:t>Supplemental Figure 2</w:t>
      </w:r>
      <w:r w:rsidRPr="0009717E">
        <w:rPr>
          <w:rFonts w:ascii="Helvetica Neue" w:eastAsia="Helvetica Neue" w:hAnsi="Helvetica Neue" w:cs="Helvetica Neue"/>
        </w:rPr>
        <w:t xml:space="preserve"> illustrates the shift in risk across duration of OC use as a function of DAD status. As in models described in the primary text, HRs decline with increased duration of OC use regardless of DAD status. However, for women with DAD who used combination pills, the risk of suicidal behavior attributable to OC use was not different than 1. Similarly, by the 6th month of progestin-only pill use among women with DAD, OC use was not associated with increased risk of suicidal behavior. Among women without DAD, risks attributable to OC were significantly higher than 1 throughout the observation period.</w:t>
      </w:r>
    </w:p>
    <w:p w:rsidR="00851913" w:rsidRPr="0009717E" w:rsidRDefault="00851913" w:rsidP="000B79F2">
      <w:pPr>
        <w:spacing w:line="480" w:lineRule="auto"/>
        <w:rPr>
          <w:rFonts w:ascii="Helvetica Neue" w:hAnsi="Helvetica Neue"/>
        </w:rPr>
      </w:pPr>
      <w:r w:rsidRPr="0009717E">
        <w:rPr>
          <w:rFonts w:ascii="Helvetica Neue" w:hAnsi="Helvetica Neue"/>
          <w:i/>
        </w:rPr>
        <w:t>Interpretation of findings</w:t>
      </w:r>
    </w:p>
    <w:p w:rsidR="00851913" w:rsidRPr="000B79F2" w:rsidRDefault="00851913" w:rsidP="000B79F2">
      <w:pPr>
        <w:spacing w:line="480" w:lineRule="auto"/>
        <w:rPr>
          <w:rFonts w:ascii="Helvetica Neue" w:hAnsi="Helvetica Neue"/>
        </w:rPr>
      </w:pPr>
      <w:r w:rsidRPr="0009717E">
        <w:rPr>
          <w:rFonts w:ascii="Helvetica Neue" w:hAnsi="Helvetica Neue"/>
        </w:rPr>
        <w:tab/>
        <w:t xml:space="preserve">We reiterate that the DAD*OC interaction term was only narrowly statistically significant for combination pills (upper 95% CI=0.999) and was not statistically significant for progestin-only pills. We therefore offer a cautious interpretation of the observed hazard ratios, which were below 1 and therefore suggest that, among women with a DAD registration before or during OC use, OC use is not supported as a risk factor for suicidal behavior. </w:t>
      </w:r>
      <w:r w:rsidRPr="0009717E">
        <w:rPr>
          <w:rFonts w:ascii="Helvetica Neue" w:eastAsia="Helvetica Neue" w:hAnsi="Helvetica Neue" w:cs="Helvetica Neue"/>
        </w:rPr>
        <w:t>While this specific research question has not, to our knowledge, been addressed previously, a review by Pagano and colleagues</w:t>
      </w:r>
      <w:r>
        <w:rPr>
          <w:rFonts w:ascii="Helvetica Neue" w:eastAsia="Helvetica Neue" w:hAnsi="Helvetica Neue" w:cs="Helvetica Neue"/>
        </w:rPr>
        <w:t xml:space="preserve"> </w:t>
      </w:r>
      <w:r>
        <w:rPr>
          <w:rFonts w:ascii="Helvetica Neue" w:eastAsia="Helvetica Neue" w:hAnsi="Helvetica Neue" w:cs="Helvetica Neue"/>
          <w:noProof/>
        </w:rPr>
        <w:t>(2016)</w:t>
      </w:r>
      <w:r w:rsidRPr="0009717E">
        <w:rPr>
          <w:rFonts w:ascii="Helvetica Neue" w:eastAsia="Helvetica Neue" w:hAnsi="Helvetica Neue" w:cs="Helvetica Neue"/>
        </w:rPr>
        <w:t xml:space="preserve"> found that women with depressive or bipolar disorders overall did not experience exacerbation of symptoms when using hormonal contraception. </w:t>
      </w:r>
      <w:r w:rsidRPr="0009717E">
        <w:rPr>
          <w:rFonts w:ascii="Helvetica Neue" w:hAnsi="Helvetica Neue"/>
        </w:rPr>
        <w:t xml:space="preserve">This is likely due to the fact that DAD itself is strongly associated with increased risk of suicidal </w:t>
      </w:r>
      <w:r w:rsidRPr="0009717E">
        <w:rPr>
          <w:rFonts w:ascii="Helvetica Neue" w:hAnsi="Helvetica Neue"/>
        </w:rPr>
        <w:lastRenderedPageBreak/>
        <w:t xml:space="preserve">behavior — relative to the “baseline” of high risk among this group, the addition of OC does not meaningfully increase risk. However, given low “baseline” risk for suicidal behavior among women with no such psychiatric history, OC is associated with increased risk. Analyses reported here and in the </w:t>
      </w:r>
      <w:r w:rsidRPr="000B79F2">
        <w:rPr>
          <w:rFonts w:ascii="Helvetica Neue" w:hAnsi="Helvetica Neue"/>
        </w:rPr>
        <w:t>primary text cannot elucidate whether this is due to a causal pathway or confounding factors.</w:t>
      </w:r>
    </w:p>
    <w:p w:rsidR="00851913" w:rsidRPr="000B79F2" w:rsidRDefault="00851913" w:rsidP="000B79F2">
      <w:pPr>
        <w:spacing w:line="480" w:lineRule="auto"/>
        <w:rPr>
          <w:rFonts w:ascii="Helvetica Neue" w:eastAsia="Times New Roman" w:hAnsi="Helvetica Neue" w:cs="Times New Roman"/>
          <w:sz w:val="24"/>
          <w:szCs w:val="24"/>
          <w:lang w:val="en-US"/>
        </w:rPr>
      </w:pPr>
      <w:r w:rsidRPr="000B79F2">
        <w:rPr>
          <w:rFonts w:ascii="Helvetica Neue" w:hAnsi="Helvetica Neue"/>
        </w:rPr>
        <w:tab/>
      </w:r>
      <w:r w:rsidRPr="000B79F2">
        <w:rPr>
          <w:rFonts w:ascii="Helvetica Neue" w:eastAsia="Times New Roman" w:hAnsi="Helvetica Neue" w:cs="Calibri"/>
          <w:color w:val="000000"/>
          <w:lang w:val="en-US"/>
        </w:rPr>
        <w:t xml:space="preserve">This model is on a multiplicative scale, which needs to be considered when interpreting the estimated parameters, including interaction terms. In a Cox model, the absolute risk level, represented by the underlying hazard function, is estimated non-parametrically and therefore changes during follow-up time. Contraceptive use is modeled using both a time-invariant and a time-variant variable. In both approaches, the relative risk increases attributable to DAD, or to risk of BPN, is constant during follow-up time. In other words, the relative increase in risk is independent of the absolute level from which you start, for example slightly more than two-fold for young women taking progestin-only pills. Consequently, the interaction between DAD and OC is also on a multiplicative scale. We </w:t>
      </w:r>
      <w:r>
        <w:rPr>
          <w:rFonts w:ascii="Helvetica Neue" w:eastAsia="Times New Roman" w:hAnsi="Helvetica Neue" w:cs="Calibri"/>
          <w:noProof/>
          <w:color w:val="000000"/>
          <w:lang w:val="en-US"/>
        </w:rPr>
        <w:t>(Kendler &amp; Gardner, 2010)</w:t>
      </w:r>
      <w:r w:rsidRPr="000B79F2">
        <w:rPr>
          <w:rFonts w:ascii="Helvetica Neue" w:eastAsia="Times New Roman" w:hAnsi="Helvetica Neue" w:cs="Calibri"/>
          <w:color w:val="000000"/>
          <w:lang w:val="en-US"/>
        </w:rPr>
        <w:t xml:space="preserve"> and others </w:t>
      </w:r>
      <w:r>
        <w:rPr>
          <w:rFonts w:ascii="Helvetica Neue" w:eastAsia="Times New Roman" w:hAnsi="Helvetica Neue" w:cs="Calibri"/>
          <w:noProof/>
          <w:color w:val="000000"/>
          <w:lang w:val="en-US"/>
        </w:rPr>
        <w:t>(Hasin et al., 2020)</w:t>
      </w:r>
      <w:r w:rsidRPr="000B79F2">
        <w:rPr>
          <w:rFonts w:ascii="Helvetica Neue" w:eastAsia="Times New Roman" w:hAnsi="Helvetica Neue" w:cs="Calibri"/>
          <w:color w:val="000000"/>
          <w:lang w:val="en-US"/>
        </w:rPr>
        <w:t xml:space="preserve"> have previously argued that the additive scale is of more interest from a public health perspective, as it can be more readily translated into an estimate of the increased/decreased number of cases (and corresponding health care resources). However, considering that we aim to investigate how the association between OC and suicide behavior is modified during the first years of OC use, and that we see advantages with providing estimates comparable with </w:t>
      </w:r>
      <w:proofErr w:type="spellStart"/>
      <w:r w:rsidRPr="000B79F2">
        <w:rPr>
          <w:rFonts w:ascii="Helvetica Neue" w:eastAsia="Times New Roman" w:hAnsi="Helvetica Neue" w:cs="Calibri"/>
          <w:color w:val="000000"/>
          <w:lang w:val="en-US"/>
        </w:rPr>
        <w:t>Skovlund</w:t>
      </w:r>
      <w:proofErr w:type="spellEnd"/>
      <w:r w:rsidRPr="000B79F2">
        <w:rPr>
          <w:rFonts w:ascii="Helvetica Neue" w:eastAsia="Times New Roman" w:hAnsi="Helvetica Neue" w:cs="Calibri"/>
          <w:color w:val="000000"/>
          <w:lang w:val="en-US"/>
        </w:rPr>
        <w:t xml:space="preserve"> and colleagues </w:t>
      </w:r>
      <w:r w:rsidRPr="000B79F2">
        <w:rPr>
          <w:rFonts w:ascii="Helvetica Neue" w:eastAsia="Times New Roman" w:hAnsi="Helvetica Neue" w:cs="Calibri"/>
          <w:noProof/>
          <w:color w:val="000000"/>
          <w:lang w:val="en-US"/>
        </w:rPr>
        <w:t>(2018)</w:t>
      </w:r>
      <w:r w:rsidRPr="000B79F2">
        <w:rPr>
          <w:rFonts w:ascii="Helvetica Neue" w:eastAsia="Times New Roman" w:hAnsi="Helvetica Neue" w:cs="Calibri"/>
          <w:color w:val="000000"/>
          <w:lang w:val="en-US"/>
        </w:rPr>
        <w:t>, we believe the Cox proportional hazard model was the most suitable model.</w:t>
      </w:r>
    </w:p>
    <w:p w:rsidR="00851913" w:rsidRPr="0009717E" w:rsidRDefault="00851913" w:rsidP="0009717E">
      <w:pPr>
        <w:spacing w:line="240" w:lineRule="auto"/>
        <w:rPr>
          <w:rFonts w:ascii="Helvetica Neue" w:hAnsi="Helvetica Neue"/>
        </w:rPr>
        <w:sectPr w:rsidR="00851913" w:rsidRPr="0009717E" w:rsidSect="00CC37F3">
          <w:pgSz w:w="12240" w:h="15840"/>
          <w:pgMar w:top="1440" w:right="1440" w:bottom="1440" w:left="1440" w:header="720" w:footer="720" w:gutter="0"/>
          <w:cols w:space="720"/>
          <w:docGrid w:linePitch="360"/>
        </w:sectPr>
      </w:pPr>
    </w:p>
    <w:p w:rsidR="00851913" w:rsidRPr="0009717E" w:rsidRDefault="00851913" w:rsidP="0009717E">
      <w:pPr>
        <w:spacing w:line="240" w:lineRule="auto"/>
        <w:rPr>
          <w:rFonts w:ascii="Helvetica Neue" w:hAnsi="Helvetica Neue"/>
        </w:rPr>
      </w:pPr>
      <w:r w:rsidRPr="0009717E">
        <w:rPr>
          <w:rFonts w:ascii="Helvetica Neue" w:hAnsi="Helvetica Neue"/>
          <w:b/>
        </w:rPr>
        <w:lastRenderedPageBreak/>
        <w:t>Supplemental Table 1</w:t>
      </w:r>
      <w:r w:rsidRPr="0009717E">
        <w:rPr>
          <w:rFonts w:ascii="Helvetica Neue" w:hAnsi="Helvetica Neue"/>
        </w:rPr>
        <w:t>. Rates of suicidal behavior among individuals with and without a registration for depressive or anxiety disorders (DAD), across users and non-users of oral contraception</w:t>
      </w:r>
      <w:r>
        <w:rPr>
          <w:rFonts w:ascii="Helvetica Neue" w:hAnsi="Helvetica Neue"/>
        </w:rPr>
        <w:t xml:space="preserve"> (OC)</w:t>
      </w:r>
      <w:r w:rsidRPr="0009717E">
        <w:rPr>
          <w:rFonts w:ascii="Helvetica Neue" w:hAnsi="Helvetica Neue"/>
        </w:rPr>
        <w:t>.</w:t>
      </w:r>
    </w:p>
    <w:tbl>
      <w:tblPr>
        <w:tblStyle w:val="TableGrid"/>
        <w:tblW w:w="0" w:type="auto"/>
        <w:tblLook w:val="04A0" w:firstRow="1" w:lastRow="0" w:firstColumn="1" w:lastColumn="0" w:noHBand="0" w:noVBand="1"/>
      </w:tblPr>
      <w:tblGrid>
        <w:gridCol w:w="3955"/>
        <w:gridCol w:w="2610"/>
      </w:tblGrid>
      <w:tr w:rsidR="00851913" w:rsidRPr="0009717E" w:rsidTr="0009717E">
        <w:tc>
          <w:tcPr>
            <w:tcW w:w="3955" w:type="dxa"/>
            <w:vAlign w:val="bottom"/>
          </w:tcPr>
          <w:p w:rsidR="00851913" w:rsidRPr="0009717E" w:rsidRDefault="00851913" w:rsidP="0009717E">
            <w:pPr>
              <w:rPr>
                <w:rFonts w:ascii="Helvetica Neue" w:hAnsi="Helvetica Neue" w:cs="Calibri"/>
                <w:b/>
                <w:bCs/>
                <w:color w:val="000000"/>
              </w:rPr>
            </w:pPr>
            <w:r w:rsidRPr="0009717E">
              <w:rPr>
                <w:rFonts w:ascii="Helvetica Neue" w:hAnsi="Helvetica Neue" w:cs="Calibri"/>
                <w:b/>
                <w:bCs/>
                <w:color w:val="000000"/>
              </w:rPr>
              <w:t>Contraceptive use status</w:t>
            </w:r>
          </w:p>
        </w:tc>
        <w:tc>
          <w:tcPr>
            <w:tcW w:w="2610" w:type="dxa"/>
            <w:vAlign w:val="bottom"/>
          </w:tcPr>
          <w:p w:rsidR="00851913" w:rsidRPr="0009717E" w:rsidRDefault="00851913" w:rsidP="0054638C">
            <w:pPr>
              <w:jc w:val="center"/>
              <w:rPr>
                <w:rFonts w:ascii="Helvetica Neue" w:hAnsi="Helvetica Neue" w:cs="Calibri"/>
                <w:b/>
                <w:bCs/>
                <w:color w:val="000000"/>
              </w:rPr>
            </w:pPr>
            <w:r w:rsidRPr="0009717E">
              <w:rPr>
                <w:rFonts w:ascii="Helvetica Neue" w:hAnsi="Helvetica Neue" w:cs="Calibri"/>
                <w:b/>
                <w:bCs/>
                <w:color w:val="000000"/>
              </w:rPr>
              <w:t>Rate of suicidal behavior, per 1</w:t>
            </w:r>
            <w:r>
              <w:rPr>
                <w:rFonts w:ascii="Helvetica Neue" w:hAnsi="Helvetica Neue" w:cs="Calibri"/>
                <w:b/>
                <w:bCs/>
                <w:color w:val="000000"/>
              </w:rPr>
              <w:t>0</w:t>
            </w:r>
            <w:r w:rsidRPr="0009717E">
              <w:rPr>
                <w:rFonts w:ascii="Helvetica Neue" w:hAnsi="Helvetica Neue" w:cs="Calibri"/>
                <w:b/>
                <w:bCs/>
                <w:color w:val="000000"/>
              </w:rPr>
              <w:t>,000 person years</w:t>
            </w:r>
          </w:p>
        </w:tc>
      </w:tr>
      <w:tr w:rsidR="00851913" w:rsidRPr="0009717E" w:rsidTr="0009717E">
        <w:tc>
          <w:tcPr>
            <w:tcW w:w="395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No use</w:t>
            </w:r>
          </w:p>
        </w:tc>
        <w:tc>
          <w:tcPr>
            <w:tcW w:w="2610" w:type="dxa"/>
            <w:vAlign w:val="bottom"/>
          </w:tcPr>
          <w:p w:rsidR="00851913" w:rsidRPr="0009717E" w:rsidRDefault="00851913" w:rsidP="0054638C">
            <w:pPr>
              <w:jc w:val="center"/>
              <w:rPr>
                <w:rFonts w:ascii="Helvetica Neue" w:hAnsi="Helvetica Neue" w:cs="Calibri"/>
                <w:color w:val="000000"/>
              </w:rPr>
            </w:pPr>
            <w:r w:rsidRPr="0009717E">
              <w:rPr>
                <w:rFonts w:ascii="Helvetica Neue" w:hAnsi="Helvetica Neue" w:cs="Calibri"/>
                <w:color w:val="000000"/>
              </w:rPr>
              <w:t>13</w:t>
            </w:r>
            <w:r>
              <w:rPr>
                <w:rFonts w:ascii="Helvetica Neue" w:hAnsi="Helvetica Neue" w:cs="Calibri"/>
                <w:color w:val="000000"/>
              </w:rPr>
              <w:t>.</w:t>
            </w:r>
            <w:r w:rsidRPr="0009717E">
              <w:rPr>
                <w:rFonts w:ascii="Helvetica Neue" w:hAnsi="Helvetica Neue" w:cs="Calibri"/>
                <w:color w:val="000000"/>
              </w:rPr>
              <w:t>6</w:t>
            </w:r>
            <w:r>
              <w:rPr>
                <w:rFonts w:ascii="Helvetica Neue" w:hAnsi="Helvetica Neue" w:cs="Calibri"/>
                <w:color w:val="000000"/>
              </w:rPr>
              <w:t>9</w:t>
            </w:r>
          </w:p>
        </w:tc>
      </w:tr>
      <w:tr w:rsidR="00851913" w:rsidRPr="0009717E" w:rsidTr="0009717E">
        <w:tc>
          <w:tcPr>
            <w:tcW w:w="3955" w:type="dxa"/>
            <w:vAlign w:val="bottom"/>
          </w:tcPr>
          <w:p w:rsidR="00851913" w:rsidRPr="0009717E" w:rsidRDefault="00851913" w:rsidP="0009717E">
            <w:pPr>
              <w:jc w:val="right"/>
              <w:rPr>
                <w:rFonts w:ascii="Helvetica Neue" w:hAnsi="Helvetica Neue" w:cs="Calibri"/>
                <w:color w:val="000000"/>
              </w:rPr>
            </w:pPr>
            <w:r w:rsidRPr="0009717E">
              <w:rPr>
                <w:rFonts w:ascii="Helvetica Neue" w:hAnsi="Helvetica Neue" w:cs="Calibri"/>
                <w:color w:val="000000"/>
              </w:rPr>
              <w:t>DAD</w:t>
            </w:r>
            <w:r w:rsidRPr="0009717E">
              <w:rPr>
                <w:rFonts w:ascii="Helvetica Neue" w:hAnsi="Helvetica Neue" w:cs="Calibri"/>
                <w:color w:val="000000"/>
                <w:vertAlign w:val="superscript"/>
              </w:rPr>
              <w:t>1</w:t>
            </w:r>
            <w:r w:rsidRPr="0009717E">
              <w:rPr>
                <w:rFonts w:ascii="Helvetica Neue" w:hAnsi="Helvetica Neue" w:cs="Calibri"/>
                <w:color w:val="000000"/>
              </w:rPr>
              <w:t xml:space="preserve"> registration prior to age 15</w:t>
            </w:r>
          </w:p>
        </w:tc>
        <w:tc>
          <w:tcPr>
            <w:tcW w:w="2610" w:type="dxa"/>
            <w:vAlign w:val="bottom"/>
          </w:tcPr>
          <w:p w:rsidR="00851913" w:rsidRPr="0009717E" w:rsidRDefault="00851913" w:rsidP="0054638C">
            <w:pPr>
              <w:jc w:val="center"/>
              <w:rPr>
                <w:rFonts w:ascii="Helvetica Neue" w:hAnsi="Helvetica Neue" w:cs="Calibri"/>
                <w:color w:val="000000"/>
              </w:rPr>
            </w:pPr>
            <w:r w:rsidRPr="0009717E">
              <w:rPr>
                <w:rFonts w:ascii="Helvetica Neue" w:hAnsi="Helvetica Neue" w:cs="Calibri"/>
                <w:color w:val="000000"/>
              </w:rPr>
              <w:t>11</w:t>
            </w:r>
            <w:r>
              <w:rPr>
                <w:rFonts w:ascii="Helvetica Neue" w:hAnsi="Helvetica Neue" w:cs="Calibri"/>
                <w:color w:val="000000"/>
              </w:rPr>
              <w:t>.</w:t>
            </w:r>
            <w:r w:rsidRPr="0009717E">
              <w:rPr>
                <w:rFonts w:ascii="Helvetica Neue" w:hAnsi="Helvetica Neue" w:cs="Calibri"/>
                <w:color w:val="000000"/>
              </w:rPr>
              <w:t>89</w:t>
            </w:r>
          </w:p>
        </w:tc>
      </w:tr>
      <w:tr w:rsidR="00851913" w:rsidRPr="0009717E" w:rsidTr="0009717E">
        <w:tc>
          <w:tcPr>
            <w:tcW w:w="3955" w:type="dxa"/>
            <w:vAlign w:val="bottom"/>
          </w:tcPr>
          <w:p w:rsidR="00851913" w:rsidRPr="0009717E" w:rsidRDefault="00851913" w:rsidP="0009717E">
            <w:pPr>
              <w:jc w:val="right"/>
              <w:rPr>
                <w:rFonts w:ascii="Helvetica Neue" w:hAnsi="Helvetica Neue" w:cs="Calibri"/>
                <w:color w:val="000000"/>
              </w:rPr>
            </w:pPr>
            <w:r w:rsidRPr="0009717E">
              <w:rPr>
                <w:rFonts w:ascii="Helvetica Neue" w:hAnsi="Helvetica Neue" w:cs="Calibri"/>
                <w:color w:val="000000"/>
              </w:rPr>
              <w:t>DAD registration after age 15</w:t>
            </w:r>
          </w:p>
        </w:tc>
        <w:tc>
          <w:tcPr>
            <w:tcW w:w="2610" w:type="dxa"/>
            <w:vAlign w:val="bottom"/>
          </w:tcPr>
          <w:p w:rsidR="00851913" w:rsidRPr="0009717E" w:rsidRDefault="00851913" w:rsidP="0054638C">
            <w:pPr>
              <w:jc w:val="center"/>
              <w:rPr>
                <w:rFonts w:ascii="Helvetica Neue" w:hAnsi="Helvetica Neue" w:cs="Calibri"/>
                <w:color w:val="000000"/>
              </w:rPr>
            </w:pPr>
            <w:r w:rsidRPr="0009717E">
              <w:rPr>
                <w:rFonts w:ascii="Helvetica Neue" w:hAnsi="Helvetica Neue" w:cs="Calibri"/>
                <w:color w:val="000000"/>
              </w:rPr>
              <w:t>18</w:t>
            </w:r>
            <w:r>
              <w:rPr>
                <w:rFonts w:ascii="Helvetica Neue" w:hAnsi="Helvetica Neue" w:cs="Calibri"/>
                <w:color w:val="000000"/>
              </w:rPr>
              <w:t>.</w:t>
            </w:r>
            <w:r w:rsidRPr="0009717E">
              <w:rPr>
                <w:rFonts w:ascii="Helvetica Neue" w:hAnsi="Helvetica Neue" w:cs="Calibri"/>
                <w:color w:val="000000"/>
              </w:rPr>
              <w:t>51</w:t>
            </w:r>
          </w:p>
        </w:tc>
      </w:tr>
      <w:tr w:rsidR="00851913" w:rsidRPr="0009717E" w:rsidTr="0009717E">
        <w:tc>
          <w:tcPr>
            <w:tcW w:w="395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Combination pills</w:t>
            </w:r>
          </w:p>
        </w:tc>
        <w:tc>
          <w:tcPr>
            <w:tcW w:w="2610" w:type="dxa"/>
            <w:vAlign w:val="bottom"/>
          </w:tcPr>
          <w:p w:rsidR="00851913" w:rsidRPr="0009717E" w:rsidRDefault="00851913" w:rsidP="0054638C">
            <w:pPr>
              <w:jc w:val="center"/>
              <w:rPr>
                <w:rFonts w:ascii="Helvetica Neue" w:hAnsi="Helvetica Neue" w:cs="Calibri"/>
                <w:color w:val="000000"/>
              </w:rPr>
            </w:pPr>
            <w:r w:rsidRPr="0009717E">
              <w:rPr>
                <w:rFonts w:ascii="Helvetica Neue" w:hAnsi="Helvetica Neue" w:cs="Calibri"/>
                <w:color w:val="000000"/>
              </w:rPr>
              <w:t>10</w:t>
            </w:r>
            <w:r>
              <w:rPr>
                <w:rFonts w:ascii="Helvetica Neue" w:hAnsi="Helvetica Neue" w:cs="Calibri"/>
                <w:color w:val="000000"/>
              </w:rPr>
              <w:t>.</w:t>
            </w:r>
            <w:r w:rsidRPr="0009717E">
              <w:rPr>
                <w:rFonts w:ascii="Helvetica Neue" w:hAnsi="Helvetica Neue" w:cs="Calibri"/>
                <w:color w:val="000000"/>
              </w:rPr>
              <w:t>58</w:t>
            </w:r>
          </w:p>
        </w:tc>
      </w:tr>
      <w:tr w:rsidR="00851913" w:rsidRPr="0009717E" w:rsidTr="0009717E">
        <w:tc>
          <w:tcPr>
            <w:tcW w:w="3955" w:type="dxa"/>
            <w:vAlign w:val="bottom"/>
          </w:tcPr>
          <w:p w:rsidR="00851913" w:rsidRPr="0009717E" w:rsidRDefault="00851913" w:rsidP="0009717E">
            <w:pPr>
              <w:jc w:val="right"/>
              <w:rPr>
                <w:rFonts w:ascii="Helvetica Neue" w:hAnsi="Helvetica Neue" w:cs="Calibri"/>
                <w:color w:val="000000"/>
              </w:rPr>
            </w:pPr>
            <w:r w:rsidRPr="0009717E">
              <w:rPr>
                <w:rFonts w:ascii="Helvetica Neue" w:hAnsi="Helvetica Neue" w:cs="Calibri"/>
                <w:color w:val="000000"/>
              </w:rPr>
              <w:t>DAD registration prior to OC</w:t>
            </w:r>
            <w:r w:rsidRPr="0009717E">
              <w:rPr>
                <w:rFonts w:ascii="Helvetica Neue" w:hAnsi="Helvetica Neue" w:cs="Calibri"/>
                <w:color w:val="000000"/>
                <w:vertAlign w:val="superscript"/>
              </w:rPr>
              <w:t>2</w:t>
            </w:r>
            <w:r w:rsidRPr="0009717E">
              <w:rPr>
                <w:rFonts w:ascii="Helvetica Neue" w:hAnsi="Helvetica Neue" w:cs="Calibri"/>
                <w:color w:val="000000"/>
              </w:rPr>
              <w:t xml:space="preserve"> use</w:t>
            </w:r>
          </w:p>
        </w:tc>
        <w:tc>
          <w:tcPr>
            <w:tcW w:w="2610" w:type="dxa"/>
            <w:vAlign w:val="bottom"/>
          </w:tcPr>
          <w:p w:rsidR="00851913" w:rsidRPr="0009717E" w:rsidRDefault="00851913" w:rsidP="0054638C">
            <w:pPr>
              <w:jc w:val="center"/>
              <w:rPr>
                <w:rFonts w:ascii="Helvetica Neue" w:hAnsi="Helvetica Neue" w:cs="Calibri"/>
                <w:color w:val="000000"/>
              </w:rPr>
            </w:pPr>
            <w:r w:rsidRPr="0009717E">
              <w:rPr>
                <w:rFonts w:ascii="Helvetica Neue" w:hAnsi="Helvetica Neue" w:cs="Calibri"/>
                <w:color w:val="000000"/>
              </w:rPr>
              <w:t>12</w:t>
            </w:r>
            <w:r>
              <w:rPr>
                <w:rFonts w:ascii="Helvetica Neue" w:hAnsi="Helvetica Neue" w:cs="Calibri"/>
                <w:color w:val="000000"/>
              </w:rPr>
              <w:t>.</w:t>
            </w:r>
            <w:r w:rsidRPr="0009717E">
              <w:rPr>
                <w:rFonts w:ascii="Helvetica Neue" w:hAnsi="Helvetica Neue" w:cs="Calibri"/>
                <w:color w:val="000000"/>
              </w:rPr>
              <w:t>1</w:t>
            </w:r>
            <w:r>
              <w:rPr>
                <w:rFonts w:ascii="Helvetica Neue" w:hAnsi="Helvetica Neue" w:cs="Calibri"/>
                <w:color w:val="000000"/>
              </w:rPr>
              <w:t>3</w:t>
            </w:r>
          </w:p>
        </w:tc>
      </w:tr>
      <w:tr w:rsidR="00851913" w:rsidRPr="0009717E" w:rsidTr="0009717E">
        <w:tc>
          <w:tcPr>
            <w:tcW w:w="3955" w:type="dxa"/>
            <w:vAlign w:val="bottom"/>
          </w:tcPr>
          <w:p w:rsidR="00851913" w:rsidRPr="0009717E" w:rsidRDefault="00851913" w:rsidP="0009717E">
            <w:pPr>
              <w:jc w:val="right"/>
              <w:rPr>
                <w:rFonts w:ascii="Helvetica Neue" w:hAnsi="Helvetica Neue" w:cs="Calibri"/>
                <w:color w:val="000000"/>
              </w:rPr>
            </w:pPr>
            <w:r w:rsidRPr="0009717E">
              <w:rPr>
                <w:rFonts w:ascii="Helvetica Neue" w:hAnsi="Helvetica Neue" w:cs="Calibri"/>
                <w:color w:val="000000"/>
              </w:rPr>
              <w:t>DAD registration after OC use</w:t>
            </w:r>
          </w:p>
        </w:tc>
        <w:tc>
          <w:tcPr>
            <w:tcW w:w="2610" w:type="dxa"/>
            <w:vAlign w:val="bottom"/>
          </w:tcPr>
          <w:p w:rsidR="00851913" w:rsidRPr="0009717E" w:rsidRDefault="00851913" w:rsidP="0054638C">
            <w:pPr>
              <w:jc w:val="center"/>
              <w:rPr>
                <w:rFonts w:ascii="Helvetica Neue" w:hAnsi="Helvetica Neue" w:cs="Calibri"/>
                <w:color w:val="000000"/>
              </w:rPr>
            </w:pPr>
            <w:r w:rsidRPr="0009717E">
              <w:rPr>
                <w:rFonts w:ascii="Helvetica Neue" w:hAnsi="Helvetica Neue" w:cs="Calibri"/>
                <w:color w:val="000000"/>
              </w:rPr>
              <w:t>9</w:t>
            </w:r>
            <w:r>
              <w:rPr>
                <w:rFonts w:ascii="Helvetica Neue" w:hAnsi="Helvetica Neue" w:cs="Calibri"/>
                <w:color w:val="000000"/>
              </w:rPr>
              <w:t>.</w:t>
            </w:r>
            <w:r w:rsidRPr="0009717E">
              <w:rPr>
                <w:rFonts w:ascii="Helvetica Neue" w:hAnsi="Helvetica Neue" w:cs="Calibri"/>
                <w:color w:val="000000"/>
              </w:rPr>
              <w:t>62</w:t>
            </w:r>
          </w:p>
        </w:tc>
      </w:tr>
      <w:tr w:rsidR="00851913" w:rsidRPr="0009717E" w:rsidTr="0009717E">
        <w:tc>
          <w:tcPr>
            <w:tcW w:w="395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Progestin-only pills</w:t>
            </w:r>
          </w:p>
        </w:tc>
        <w:tc>
          <w:tcPr>
            <w:tcW w:w="2610" w:type="dxa"/>
            <w:vAlign w:val="bottom"/>
          </w:tcPr>
          <w:p w:rsidR="00851913" w:rsidRPr="0009717E" w:rsidRDefault="00851913" w:rsidP="0054638C">
            <w:pPr>
              <w:jc w:val="center"/>
              <w:rPr>
                <w:rFonts w:ascii="Helvetica Neue" w:hAnsi="Helvetica Neue" w:cs="Calibri"/>
                <w:color w:val="000000"/>
              </w:rPr>
            </w:pPr>
            <w:r w:rsidRPr="0009717E">
              <w:rPr>
                <w:rFonts w:ascii="Helvetica Neue" w:hAnsi="Helvetica Neue" w:cs="Calibri"/>
                <w:color w:val="000000"/>
              </w:rPr>
              <w:t>13</w:t>
            </w:r>
            <w:r>
              <w:rPr>
                <w:rFonts w:ascii="Helvetica Neue" w:hAnsi="Helvetica Neue" w:cs="Calibri"/>
                <w:color w:val="000000"/>
              </w:rPr>
              <w:t>.</w:t>
            </w:r>
            <w:r w:rsidRPr="0009717E">
              <w:rPr>
                <w:rFonts w:ascii="Helvetica Neue" w:hAnsi="Helvetica Neue" w:cs="Calibri"/>
                <w:color w:val="000000"/>
              </w:rPr>
              <w:t>0</w:t>
            </w:r>
            <w:r>
              <w:rPr>
                <w:rFonts w:ascii="Helvetica Neue" w:hAnsi="Helvetica Neue" w:cs="Calibri"/>
                <w:color w:val="000000"/>
              </w:rPr>
              <w:t>3</w:t>
            </w:r>
          </w:p>
        </w:tc>
      </w:tr>
      <w:tr w:rsidR="00851913" w:rsidRPr="0009717E" w:rsidTr="0009717E">
        <w:tc>
          <w:tcPr>
            <w:tcW w:w="3955" w:type="dxa"/>
            <w:vAlign w:val="bottom"/>
          </w:tcPr>
          <w:p w:rsidR="00851913" w:rsidRPr="0009717E" w:rsidRDefault="00851913" w:rsidP="0009717E">
            <w:pPr>
              <w:jc w:val="right"/>
              <w:rPr>
                <w:rFonts w:ascii="Helvetica Neue" w:hAnsi="Helvetica Neue" w:cs="Calibri"/>
                <w:color w:val="000000"/>
              </w:rPr>
            </w:pPr>
            <w:r w:rsidRPr="0009717E">
              <w:rPr>
                <w:rFonts w:ascii="Helvetica Neue" w:hAnsi="Helvetica Neue" w:cs="Calibri"/>
                <w:color w:val="000000"/>
              </w:rPr>
              <w:t>DAD registration prior to OC use</w:t>
            </w:r>
          </w:p>
        </w:tc>
        <w:tc>
          <w:tcPr>
            <w:tcW w:w="2610" w:type="dxa"/>
            <w:vAlign w:val="bottom"/>
          </w:tcPr>
          <w:p w:rsidR="00851913" w:rsidRPr="0009717E" w:rsidRDefault="00851913" w:rsidP="0054638C">
            <w:pPr>
              <w:jc w:val="center"/>
              <w:rPr>
                <w:rFonts w:ascii="Helvetica Neue" w:hAnsi="Helvetica Neue" w:cs="Calibri"/>
                <w:color w:val="000000"/>
              </w:rPr>
            </w:pPr>
            <w:r w:rsidRPr="0009717E">
              <w:rPr>
                <w:rFonts w:ascii="Helvetica Neue" w:hAnsi="Helvetica Neue" w:cs="Calibri"/>
                <w:color w:val="000000"/>
              </w:rPr>
              <w:t>10</w:t>
            </w:r>
            <w:r>
              <w:rPr>
                <w:rFonts w:ascii="Helvetica Neue" w:hAnsi="Helvetica Neue" w:cs="Calibri"/>
                <w:color w:val="000000"/>
              </w:rPr>
              <w:t>.</w:t>
            </w:r>
            <w:r w:rsidRPr="0009717E">
              <w:rPr>
                <w:rFonts w:ascii="Helvetica Neue" w:hAnsi="Helvetica Neue" w:cs="Calibri"/>
                <w:color w:val="000000"/>
              </w:rPr>
              <w:t>52</w:t>
            </w:r>
          </w:p>
        </w:tc>
      </w:tr>
      <w:tr w:rsidR="00851913" w:rsidRPr="0009717E" w:rsidTr="0009717E">
        <w:tc>
          <w:tcPr>
            <w:tcW w:w="3955" w:type="dxa"/>
            <w:vAlign w:val="bottom"/>
          </w:tcPr>
          <w:p w:rsidR="00851913" w:rsidRPr="0009717E" w:rsidRDefault="00851913" w:rsidP="0009717E">
            <w:pPr>
              <w:jc w:val="right"/>
              <w:rPr>
                <w:rFonts w:ascii="Helvetica Neue" w:hAnsi="Helvetica Neue" w:cs="Calibri"/>
                <w:color w:val="000000"/>
              </w:rPr>
            </w:pPr>
            <w:r w:rsidRPr="0009717E">
              <w:rPr>
                <w:rFonts w:ascii="Helvetica Neue" w:hAnsi="Helvetica Neue" w:cs="Calibri"/>
                <w:color w:val="000000"/>
              </w:rPr>
              <w:t>DAD registration after OC use</w:t>
            </w:r>
          </w:p>
        </w:tc>
        <w:tc>
          <w:tcPr>
            <w:tcW w:w="2610" w:type="dxa"/>
            <w:vAlign w:val="bottom"/>
          </w:tcPr>
          <w:p w:rsidR="00851913" w:rsidRPr="0009717E" w:rsidRDefault="00851913" w:rsidP="0054638C">
            <w:pPr>
              <w:jc w:val="center"/>
              <w:rPr>
                <w:rFonts w:ascii="Helvetica Neue" w:hAnsi="Helvetica Neue" w:cs="Calibri"/>
                <w:color w:val="000000"/>
              </w:rPr>
            </w:pPr>
            <w:r w:rsidRPr="0009717E">
              <w:rPr>
                <w:rFonts w:ascii="Helvetica Neue" w:hAnsi="Helvetica Neue" w:cs="Calibri"/>
                <w:color w:val="000000"/>
              </w:rPr>
              <w:t>14</w:t>
            </w:r>
            <w:r>
              <w:rPr>
                <w:rFonts w:ascii="Helvetica Neue" w:hAnsi="Helvetica Neue" w:cs="Calibri"/>
                <w:color w:val="000000"/>
              </w:rPr>
              <w:t>.</w:t>
            </w:r>
            <w:r w:rsidRPr="0009717E">
              <w:rPr>
                <w:rFonts w:ascii="Helvetica Neue" w:hAnsi="Helvetica Neue" w:cs="Calibri"/>
                <w:color w:val="000000"/>
              </w:rPr>
              <w:t>5</w:t>
            </w:r>
            <w:r>
              <w:rPr>
                <w:rFonts w:ascii="Helvetica Neue" w:hAnsi="Helvetica Neue" w:cs="Calibri"/>
                <w:color w:val="000000"/>
              </w:rPr>
              <w:t>1</w:t>
            </w:r>
          </w:p>
        </w:tc>
      </w:tr>
    </w:tbl>
    <w:p w:rsidR="00851913" w:rsidRPr="00D40FFB" w:rsidRDefault="00851913" w:rsidP="0009717E">
      <w:pPr>
        <w:spacing w:line="240" w:lineRule="auto"/>
        <w:rPr>
          <w:rFonts w:ascii="Helvetica Neue" w:hAnsi="Helvetica Neue"/>
          <w:sz w:val="20"/>
          <w:szCs w:val="20"/>
        </w:rPr>
      </w:pPr>
      <w:r w:rsidRPr="00D40FFB">
        <w:rPr>
          <w:rFonts w:ascii="Helvetica Neue" w:hAnsi="Helvetica Neue"/>
          <w:sz w:val="20"/>
          <w:szCs w:val="20"/>
          <w:vertAlign w:val="superscript"/>
        </w:rPr>
        <w:t>1</w:t>
      </w:r>
      <w:r w:rsidRPr="00D40FFB">
        <w:rPr>
          <w:rFonts w:ascii="Helvetica Neue" w:hAnsi="Helvetica Neue"/>
          <w:sz w:val="20"/>
          <w:szCs w:val="20"/>
        </w:rPr>
        <w:t>Registration for depressive or anxiety disorders.</w:t>
      </w:r>
    </w:p>
    <w:p w:rsidR="00851913" w:rsidRPr="00D40FFB" w:rsidRDefault="00851913" w:rsidP="0009717E">
      <w:pPr>
        <w:spacing w:line="240" w:lineRule="auto"/>
        <w:rPr>
          <w:rFonts w:ascii="Helvetica Neue" w:hAnsi="Helvetica Neue"/>
          <w:sz w:val="20"/>
          <w:szCs w:val="20"/>
        </w:rPr>
      </w:pPr>
      <w:r w:rsidRPr="00D40FFB">
        <w:rPr>
          <w:rFonts w:ascii="Helvetica Neue" w:hAnsi="Helvetica Neue"/>
          <w:sz w:val="20"/>
          <w:szCs w:val="20"/>
          <w:vertAlign w:val="superscript"/>
        </w:rPr>
        <w:t>2</w:t>
      </w:r>
      <w:r w:rsidRPr="00D40FFB">
        <w:rPr>
          <w:rFonts w:ascii="Helvetica Neue" w:hAnsi="Helvetica Neue"/>
          <w:sz w:val="20"/>
          <w:szCs w:val="20"/>
        </w:rPr>
        <w:t>Registration for bipolar disorder or non-affective psychosis.</w:t>
      </w:r>
    </w:p>
    <w:p w:rsidR="00851913" w:rsidRPr="0009717E" w:rsidRDefault="00851913" w:rsidP="0009717E">
      <w:pPr>
        <w:spacing w:line="240" w:lineRule="auto"/>
        <w:rPr>
          <w:rFonts w:ascii="Helvetica Neue" w:eastAsia="Helvetica Neue" w:hAnsi="Helvetica Neue" w:cs="Helvetica Neue"/>
          <w:b/>
        </w:rPr>
        <w:sectPr w:rsidR="00851913" w:rsidRPr="0009717E">
          <w:pgSz w:w="12240" w:h="15840"/>
          <w:pgMar w:top="1440" w:right="1440" w:bottom="1440" w:left="1440" w:header="720" w:footer="720" w:gutter="0"/>
          <w:cols w:space="720" w:equalWidth="0">
            <w:col w:w="9360"/>
          </w:cols>
        </w:sectPr>
      </w:pPr>
    </w:p>
    <w:p w:rsidR="00851913" w:rsidRPr="0009717E" w:rsidRDefault="00851913" w:rsidP="0009717E">
      <w:pPr>
        <w:spacing w:line="240" w:lineRule="auto"/>
        <w:rPr>
          <w:rFonts w:ascii="Helvetica Neue" w:hAnsi="Helvetica Neue"/>
        </w:rPr>
      </w:pPr>
      <w:r w:rsidRPr="0009717E">
        <w:rPr>
          <w:rFonts w:ascii="Helvetica Neue" w:hAnsi="Helvetica Neue"/>
          <w:b/>
        </w:rPr>
        <w:lastRenderedPageBreak/>
        <w:t>Supplemental Table 2</w:t>
      </w:r>
      <w:r w:rsidRPr="0009717E">
        <w:rPr>
          <w:rFonts w:ascii="Helvetica Neue" w:hAnsi="Helvetica Neue"/>
        </w:rPr>
        <w:t>. Time-specific estimates of risk (hazard ratios and 95% confidence intervals) of suicidal behavior from an expansion of Adjusted Model 3 in the main text, including an interaction term between oral hormonal contraceptive use and a registration for depressive or anxiety disorders. Both terms in the interaction were time-varying.</w:t>
      </w:r>
    </w:p>
    <w:tbl>
      <w:tblPr>
        <w:tblStyle w:val="TableGrid"/>
        <w:tblW w:w="0" w:type="auto"/>
        <w:tblLook w:val="04A0" w:firstRow="1" w:lastRow="0" w:firstColumn="1" w:lastColumn="0" w:noHBand="0" w:noVBand="1"/>
      </w:tblPr>
      <w:tblGrid>
        <w:gridCol w:w="5575"/>
        <w:gridCol w:w="2610"/>
      </w:tblGrid>
      <w:tr w:rsidR="00851913" w:rsidTr="0009717E">
        <w:tc>
          <w:tcPr>
            <w:tcW w:w="5575" w:type="dxa"/>
            <w:vAlign w:val="bottom"/>
          </w:tcPr>
          <w:p w:rsidR="00851913" w:rsidRPr="0009717E" w:rsidRDefault="00851913" w:rsidP="0009717E">
            <w:pPr>
              <w:rPr>
                <w:rFonts w:ascii="Helvetica Neue" w:hAnsi="Helvetica Neue"/>
              </w:rPr>
            </w:pPr>
          </w:p>
        </w:tc>
        <w:tc>
          <w:tcPr>
            <w:tcW w:w="2610" w:type="dxa"/>
            <w:vAlign w:val="bottom"/>
          </w:tcPr>
          <w:p w:rsidR="00851913" w:rsidRPr="0009717E" w:rsidRDefault="00851913" w:rsidP="0009717E">
            <w:pPr>
              <w:rPr>
                <w:rFonts w:ascii="Helvetica Neue" w:hAnsi="Helvetica Neue" w:cs="Calibri"/>
                <w:b/>
                <w:bCs/>
                <w:color w:val="000000"/>
                <w:sz w:val="24"/>
                <w:szCs w:val="24"/>
              </w:rPr>
            </w:pPr>
            <w:r w:rsidRPr="0009717E">
              <w:rPr>
                <w:rFonts w:ascii="Helvetica Neue" w:hAnsi="Helvetica Neue" w:cs="Calibri"/>
                <w:b/>
                <w:bCs/>
                <w:color w:val="000000"/>
              </w:rPr>
              <w:t>Hazard Ratio</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Combination pills vs. no contraception (1 month)</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1.70 (1.39, 2.07)</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Combination pills vs. no contraception (3 months)</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1.60 (1.34, 1.91)</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Combination pills vs. no contraception (6 months)</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1.48 (1.26, 1.74)</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Combination pills vs. no contraception (12 months)</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1.30 (1.08, 1.56)</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Progestin-only pills vs. no contraception (1 month)</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2.41 (1.81, 3.21)</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Progestin-only pills vs. no contraception (3 months)</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2.22 (1.76, 2.85)</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Progestin-only pills vs. no contraception (6 months)</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1.69 (1.29, 2.22)</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Progestin-only pills vs. no contraception (12 months)</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1.73 (1.17, 2.56)</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Parental education, mid vs low</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0.79 (0.60, 1.04)</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Parental education, high vs low</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0.75 (0.57, 0.99)</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Parental suicidal attempt</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2.21 (1.80, 2.71)</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DAD</w:t>
            </w:r>
            <w:r w:rsidRPr="0009717E">
              <w:rPr>
                <w:rFonts w:ascii="Helvetica Neue" w:hAnsi="Helvetica Neue" w:cs="Calibri"/>
                <w:color w:val="000000"/>
                <w:vertAlign w:val="superscript"/>
              </w:rPr>
              <w:t>1</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25.58 (19.36, 26.33)</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BPN</w:t>
            </w:r>
            <w:r w:rsidRPr="0009717E">
              <w:rPr>
                <w:rFonts w:ascii="Helvetica Neue" w:hAnsi="Helvetica Neue" w:cs="Calibri"/>
                <w:color w:val="000000"/>
                <w:vertAlign w:val="superscript"/>
              </w:rPr>
              <w:t>2</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31.18 (27.06, 35.94)</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Interaction</w:t>
            </w:r>
            <w:r>
              <w:rPr>
                <w:rFonts w:ascii="Helvetica Neue" w:hAnsi="Helvetica Neue" w:cs="Calibri"/>
                <w:color w:val="000000"/>
              </w:rPr>
              <w:t>:</w:t>
            </w:r>
            <w:r w:rsidRPr="0009717E">
              <w:rPr>
                <w:rFonts w:ascii="Helvetica Neue" w:hAnsi="Helvetica Neue" w:cs="Calibri"/>
                <w:color w:val="000000"/>
              </w:rPr>
              <w:t xml:space="preserve"> combination pills and DAD</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0.76 (0.58, 0.999)</w:t>
            </w:r>
          </w:p>
        </w:tc>
      </w:tr>
      <w:tr w:rsidR="00851913" w:rsidTr="0009717E">
        <w:tc>
          <w:tcPr>
            <w:tcW w:w="5575"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Interaction</w:t>
            </w:r>
            <w:r>
              <w:rPr>
                <w:rFonts w:ascii="Helvetica Neue" w:hAnsi="Helvetica Neue" w:cs="Calibri"/>
                <w:color w:val="000000"/>
              </w:rPr>
              <w:t>:</w:t>
            </w:r>
            <w:r w:rsidRPr="0009717E">
              <w:rPr>
                <w:rFonts w:ascii="Helvetica Neue" w:hAnsi="Helvetica Neue" w:cs="Calibri"/>
                <w:color w:val="000000"/>
              </w:rPr>
              <w:t xml:space="preserve"> progestin-only pills and DAD</w:t>
            </w:r>
          </w:p>
        </w:tc>
        <w:tc>
          <w:tcPr>
            <w:tcW w:w="2610" w:type="dxa"/>
            <w:vAlign w:val="bottom"/>
          </w:tcPr>
          <w:p w:rsidR="00851913" w:rsidRPr="0009717E" w:rsidRDefault="00851913" w:rsidP="0009717E">
            <w:pPr>
              <w:rPr>
                <w:rFonts w:ascii="Helvetica Neue" w:hAnsi="Helvetica Neue" w:cs="Calibri"/>
                <w:color w:val="000000"/>
              </w:rPr>
            </w:pPr>
            <w:r w:rsidRPr="0009717E">
              <w:rPr>
                <w:rFonts w:ascii="Helvetica Neue" w:hAnsi="Helvetica Neue" w:cs="Calibri"/>
                <w:color w:val="000000"/>
              </w:rPr>
              <w:t>0.69 (0.44, 1.005)</w:t>
            </w:r>
          </w:p>
        </w:tc>
      </w:tr>
    </w:tbl>
    <w:p w:rsidR="00851913" w:rsidRPr="00D40FFB" w:rsidRDefault="00851913" w:rsidP="0009717E">
      <w:pPr>
        <w:spacing w:line="240" w:lineRule="auto"/>
        <w:rPr>
          <w:rFonts w:ascii="Helvetica Neue" w:hAnsi="Helvetica Neue"/>
          <w:sz w:val="20"/>
          <w:szCs w:val="20"/>
        </w:rPr>
      </w:pPr>
      <w:r w:rsidRPr="00D40FFB">
        <w:rPr>
          <w:rFonts w:ascii="Helvetica Neue" w:hAnsi="Helvetica Neue"/>
          <w:sz w:val="20"/>
          <w:szCs w:val="20"/>
          <w:vertAlign w:val="superscript"/>
        </w:rPr>
        <w:t>1</w:t>
      </w:r>
      <w:r w:rsidRPr="00D40FFB">
        <w:rPr>
          <w:rFonts w:ascii="Helvetica Neue" w:hAnsi="Helvetica Neue"/>
          <w:sz w:val="20"/>
          <w:szCs w:val="20"/>
        </w:rPr>
        <w:t>Time-varying registration for depressive or anxiety disorders.</w:t>
      </w:r>
    </w:p>
    <w:p w:rsidR="00851913" w:rsidRPr="00D40FFB" w:rsidRDefault="00851913" w:rsidP="0009717E">
      <w:pPr>
        <w:spacing w:line="240" w:lineRule="auto"/>
        <w:rPr>
          <w:rFonts w:ascii="Helvetica Neue" w:hAnsi="Helvetica Neue"/>
          <w:sz w:val="20"/>
          <w:szCs w:val="20"/>
        </w:rPr>
      </w:pPr>
      <w:r w:rsidRPr="00D40FFB">
        <w:rPr>
          <w:rFonts w:ascii="Helvetica Neue" w:hAnsi="Helvetica Neue"/>
          <w:sz w:val="20"/>
          <w:szCs w:val="20"/>
          <w:vertAlign w:val="superscript"/>
        </w:rPr>
        <w:t>2</w:t>
      </w:r>
      <w:r w:rsidRPr="00D40FFB">
        <w:rPr>
          <w:rFonts w:ascii="Helvetica Neue" w:hAnsi="Helvetica Neue"/>
          <w:sz w:val="20"/>
          <w:szCs w:val="20"/>
        </w:rPr>
        <w:t>Lifetime registration for bipolar disorder or non-affective psychosis.</w:t>
      </w:r>
    </w:p>
    <w:p w:rsidR="00851913" w:rsidRPr="0009717E" w:rsidRDefault="00851913" w:rsidP="0009717E">
      <w:pPr>
        <w:spacing w:line="240" w:lineRule="auto"/>
        <w:rPr>
          <w:rFonts w:ascii="Helvetica Neue" w:hAnsi="Helvetica Neue"/>
          <w:b/>
        </w:rPr>
      </w:pPr>
    </w:p>
    <w:p w:rsidR="00851913" w:rsidRPr="0009717E" w:rsidRDefault="00851913" w:rsidP="0009717E">
      <w:pPr>
        <w:spacing w:line="240" w:lineRule="auto"/>
        <w:rPr>
          <w:rFonts w:ascii="Helvetica Neue" w:hAnsi="Helvetica Neue"/>
          <w:b/>
        </w:rPr>
      </w:pPr>
    </w:p>
    <w:p w:rsidR="00851913" w:rsidRPr="0009717E" w:rsidRDefault="00851913" w:rsidP="0009717E">
      <w:pPr>
        <w:spacing w:line="240" w:lineRule="auto"/>
        <w:rPr>
          <w:rFonts w:ascii="Helvetica Neue" w:hAnsi="Helvetica Neue"/>
          <w:b/>
        </w:rPr>
        <w:sectPr w:rsidR="00851913" w:rsidRPr="0009717E">
          <w:pgSz w:w="12240" w:h="15840"/>
          <w:pgMar w:top="1440" w:right="1440" w:bottom="1440" w:left="1440" w:header="720" w:footer="720" w:gutter="0"/>
          <w:cols w:space="720" w:equalWidth="0">
            <w:col w:w="9360"/>
          </w:cols>
        </w:sectPr>
      </w:pPr>
    </w:p>
    <w:p w:rsidR="00851913" w:rsidRPr="0009717E" w:rsidRDefault="00851913" w:rsidP="0009717E">
      <w:pPr>
        <w:spacing w:line="240" w:lineRule="auto"/>
        <w:rPr>
          <w:rFonts w:ascii="Helvetica Neue" w:hAnsi="Helvetica Neue"/>
        </w:rPr>
      </w:pPr>
      <w:r w:rsidRPr="0009717E">
        <w:rPr>
          <w:rFonts w:ascii="Helvetica Neue" w:hAnsi="Helvetica Neue"/>
          <w:b/>
        </w:rPr>
        <w:lastRenderedPageBreak/>
        <w:t>Supplemental Table 3</w:t>
      </w:r>
      <w:r w:rsidRPr="0009717E">
        <w:rPr>
          <w:rFonts w:ascii="Helvetica Neue" w:hAnsi="Helvetica Neue"/>
        </w:rPr>
        <w:t>. Time-specific hazard ratios (95% confidence intervals) for suicidal behavior as a function of oral hormonal contraceptive use, for women without versus with a registration for depressive or anxiety disorders. Collapsed estimates are presented in Supplemental Table 2.</w:t>
      </w:r>
    </w:p>
    <w:tbl>
      <w:tblPr>
        <w:tblStyle w:val="TableGrid"/>
        <w:tblW w:w="0" w:type="auto"/>
        <w:tblLook w:val="04A0" w:firstRow="1" w:lastRow="0" w:firstColumn="1" w:lastColumn="0" w:noHBand="0" w:noVBand="1"/>
      </w:tblPr>
      <w:tblGrid>
        <w:gridCol w:w="5395"/>
        <w:gridCol w:w="2070"/>
        <w:gridCol w:w="1885"/>
      </w:tblGrid>
      <w:tr w:rsidR="00851913" w:rsidRPr="006F671A" w:rsidTr="00D40FFB">
        <w:tc>
          <w:tcPr>
            <w:tcW w:w="5395" w:type="dxa"/>
          </w:tcPr>
          <w:p w:rsidR="00851913" w:rsidRPr="006F671A" w:rsidRDefault="00851913" w:rsidP="0009717E">
            <w:pPr>
              <w:rPr>
                <w:rFonts w:ascii="Helvetica Neue" w:hAnsi="Helvetica Neue"/>
              </w:rPr>
            </w:pPr>
          </w:p>
        </w:tc>
        <w:tc>
          <w:tcPr>
            <w:tcW w:w="3955" w:type="dxa"/>
            <w:gridSpan w:val="2"/>
          </w:tcPr>
          <w:p w:rsidR="00851913" w:rsidRPr="00D40FFB" w:rsidRDefault="00851913" w:rsidP="00D40FFB">
            <w:pPr>
              <w:jc w:val="center"/>
              <w:rPr>
                <w:rFonts w:ascii="Helvetica Neue" w:hAnsi="Helvetica Neue"/>
                <w:b/>
                <w:bCs/>
              </w:rPr>
            </w:pPr>
            <w:r w:rsidRPr="00D40FFB">
              <w:rPr>
                <w:rFonts w:ascii="Helvetica Neue" w:hAnsi="Helvetica Neue"/>
                <w:b/>
                <w:bCs/>
              </w:rPr>
              <w:t>Hazard Ratio</w:t>
            </w:r>
          </w:p>
        </w:tc>
      </w:tr>
      <w:tr w:rsidR="00851913" w:rsidRPr="006F671A" w:rsidTr="00D40FFB">
        <w:tc>
          <w:tcPr>
            <w:tcW w:w="5395" w:type="dxa"/>
          </w:tcPr>
          <w:p w:rsidR="00851913" w:rsidRPr="006F671A" w:rsidRDefault="00851913" w:rsidP="0009717E">
            <w:pPr>
              <w:rPr>
                <w:rFonts w:ascii="Helvetica Neue" w:hAnsi="Helvetica Neue"/>
              </w:rPr>
            </w:pPr>
          </w:p>
        </w:tc>
        <w:tc>
          <w:tcPr>
            <w:tcW w:w="2070" w:type="dxa"/>
          </w:tcPr>
          <w:p w:rsidR="00851913" w:rsidRPr="00D40FFB" w:rsidRDefault="00851913" w:rsidP="00D40FFB">
            <w:pPr>
              <w:jc w:val="center"/>
              <w:rPr>
                <w:rFonts w:ascii="Helvetica Neue" w:hAnsi="Helvetica Neue"/>
                <w:b/>
                <w:bCs/>
                <w:vertAlign w:val="superscript"/>
              </w:rPr>
            </w:pPr>
            <w:r w:rsidRPr="00D40FFB">
              <w:rPr>
                <w:rFonts w:ascii="Helvetica Neue" w:hAnsi="Helvetica Neue"/>
                <w:b/>
                <w:bCs/>
              </w:rPr>
              <w:t>No DAD</w:t>
            </w:r>
            <w:r w:rsidRPr="00D40FFB">
              <w:rPr>
                <w:rFonts w:ascii="Helvetica Neue" w:hAnsi="Helvetica Neue"/>
                <w:b/>
                <w:bCs/>
                <w:vertAlign w:val="superscript"/>
              </w:rPr>
              <w:t>1</w:t>
            </w:r>
          </w:p>
        </w:tc>
        <w:tc>
          <w:tcPr>
            <w:tcW w:w="1885" w:type="dxa"/>
          </w:tcPr>
          <w:p w:rsidR="00851913" w:rsidRPr="00D40FFB" w:rsidRDefault="00851913" w:rsidP="00D40FFB">
            <w:pPr>
              <w:jc w:val="center"/>
              <w:rPr>
                <w:rFonts w:ascii="Helvetica Neue" w:hAnsi="Helvetica Neue"/>
                <w:b/>
                <w:bCs/>
              </w:rPr>
            </w:pPr>
            <w:r w:rsidRPr="00D40FFB">
              <w:rPr>
                <w:rFonts w:ascii="Helvetica Neue" w:hAnsi="Helvetica Neue"/>
                <w:b/>
                <w:bCs/>
              </w:rPr>
              <w:t>DAD</w:t>
            </w:r>
          </w:p>
        </w:tc>
      </w:tr>
      <w:tr w:rsidR="00851913" w:rsidRPr="006F671A" w:rsidTr="00D40FFB">
        <w:tc>
          <w:tcPr>
            <w:tcW w:w="5395" w:type="dxa"/>
            <w:vAlign w:val="bottom"/>
          </w:tcPr>
          <w:p w:rsidR="00851913" w:rsidRPr="006F671A" w:rsidRDefault="00851913" w:rsidP="006F671A">
            <w:pPr>
              <w:rPr>
                <w:rFonts w:ascii="Helvetica Neue" w:hAnsi="Helvetica Neue"/>
              </w:rPr>
            </w:pPr>
            <w:r w:rsidRPr="006F671A">
              <w:rPr>
                <w:rFonts w:ascii="Helvetica Neue" w:hAnsi="Helvetica Neue" w:cs="Calibri"/>
                <w:color w:val="000000"/>
              </w:rPr>
              <w:t>Combination pills vs. no contraception (1 month)</w:t>
            </w:r>
          </w:p>
        </w:tc>
        <w:tc>
          <w:tcPr>
            <w:tcW w:w="2070"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1.70 (1.39, 2.07)</w:t>
            </w:r>
          </w:p>
        </w:tc>
        <w:tc>
          <w:tcPr>
            <w:tcW w:w="1885"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1.29 (0.99, 1.67)</w:t>
            </w:r>
          </w:p>
        </w:tc>
      </w:tr>
      <w:tr w:rsidR="00851913" w:rsidRPr="006F671A" w:rsidTr="00D40FFB">
        <w:tc>
          <w:tcPr>
            <w:tcW w:w="5395" w:type="dxa"/>
            <w:vAlign w:val="bottom"/>
          </w:tcPr>
          <w:p w:rsidR="00851913" w:rsidRPr="006F671A" w:rsidRDefault="00851913" w:rsidP="006F671A">
            <w:pPr>
              <w:rPr>
                <w:rFonts w:ascii="Helvetica Neue" w:hAnsi="Helvetica Neue"/>
              </w:rPr>
            </w:pPr>
            <w:r w:rsidRPr="006F671A">
              <w:rPr>
                <w:rFonts w:ascii="Helvetica Neue" w:hAnsi="Helvetica Neue" w:cs="Calibri"/>
                <w:color w:val="000000"/>
              </w:rPr>
              <w:t>Combination pills vs. no contraception (3 months)</w:t>
            </w:r>
          </w:p>
        </w:tc>
        <w:tc>
          <w:tcPr>
            <w:tcW w:w="2070"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1.60 (1.34, 1.91)</w:t>
            </w:r>
          </w:p>
        </w:tc>
        <w:tc>
          <w:tcPr>
            <w:tcW w:w="1885"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1.22 (0.96, 1.56)</w:t>
            </w:r>
          </w:p>
        </w:tc>
      </w:tr>
      <w:tr w:rsidR="00851913" w:rsidRPr="006F671A" w:rsidTr="00D40FFB">
        <w:tc>
          <w:tcPr>
            <w:tcW w:w="5395" w:type="dxa"/>
            <w:vAlign w:val="bottom"/>
          </w:tcPr>
          <w:p w:rsidR="00851913" w:rsidRPr="006F671A" w:rsidRDefault="00851913" w:rsidP="006F671A">
            <w:pPr>
              <w:rPr>
                <w:rFonts w:ascii="Helvetica Neue" w:hAnsi="Helvetica Neue"/>
              </w:rPr>
            </w:pPr>
            <w:r w:rsidRPr="006F671A">
              <w:rPr>
                <w:rFonts w:ascii="Helvetica Neue" w:hAnsi="Helvetica Neue" w:cs="Calibri"/>
                <w:color w:val="000000"/>
              </w:rPr>
              <w:t>Combination pills vs. no contraception (6 months)</w:t>
            </w:r>
          </w:p>
        </w:tc>
        <w:tc>
          <w:tcPr>
            <w:tcW w:w="2070"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1.48 (1.26, 1.74)</w:t>
            </w:r>
          </w:p>
        </w:tc>
        <w:tc>
          <w:tcPr>
            <w:tcW w:w="1885"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1.13 (0.90, 1.42)</w:t>
            </w:r>
          </w:p>
        </w:tc>
      </w:tr>
      <w:tr w:rsidR="00851913" w:rsidRPr="006F671A" w:rsidTr="00D40FFB">
        <w:tc>
          <w:tcPr>
            <w:tcW w:w="5395" w:type="dxa"/>
            <w:vAlign w:val="bottom"/>
          </w:tcPr>
          <w:p w:rsidR="00851913" w:rsidRPr="006F671A" w:rsidRDefault="00851913" w:rsidP="006F671A">
            <w:pPr>
              <w:rPr>
                <w:rFonts w:ascii="Helvetica Neue" w:hAnsi="Helvetica Neue"/>
              </w:rPr>
            </w:pPr>
            <w:r w:rsidRPr="006F671A">
              <w:rPr>
                <w:rFonts w:ascii="Helvetica Neue" w:hAnsi="Helvetica Neue" w:cs="Calibri"/>
                <w:color w:val="000000"/>
              </w:rPr>
              <w:t>Combination pills vs. no contraception (12 months)</w:t>
            </w:r>
          </w:p>
        </w:tc>
        <w:tc>
          <w:tcPr>
            <w:tcW w:w="2070"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1.30 (1.08, 1.56)</w:t>
            </w:r>
          </w:p>
        </w:tc>
        <w:tc>
          <w:tcPr>
            <w:tcW w:w="1885"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1.00 (0.78, 1.27)</w:t>
            </w:r>
          </w:p>
        </w:tc>
      </w:tr>
      <w:tr w:rsidR="00851913" w:rsidRPr="006F671A" w:rsidTr="00D40FFB">
        <w:tc>
          <w:tcPr>
            <w:tcW w:w="5395" w:type="dxa"/>
            <w:vAlign w:val="bottom"/>
          </w:tcPr>
          <w:p w:rsidR="00851913" w:rsidRPr="006F671A" w:rsidRDefault="00851913" w:rsidP="006F671A">
            <w:pPr>
              <w:rPr>
                <w:rFonts w:ascii="Helvetica Neue" w:hAnsi="Helvetica Neue"/>
              </w:rPr>
            </w:pPr>
            <w:r w:rsidRPr="006F671A">
              <w:rPr>
                <w:rFonts w:ascii="Helvetica Neue" w:hAnsi="Helvetica Neue" w:cs="Calibri"/>
                <w:color w:val="000000"/>
              </w:rPr>
              <w:t>Progestin-only pills vs. no contraception (1 month)</w:t>
            </w:r>
          </w:p>
        </w:tc>
        <w:tc>
          <w:tcPr>
            <w:tcW w:w="2070"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2.41 (1.81, 3.21)</w:t>
            </w:r>
          </w:p>
        </w:tc>
        <w:tc>
          <w:tcPr>
            <w:tcW w:w="1885"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1.66 (1.14, 2.40)</w:t>
            </w:r>
          </w:p>
        </w:tc>
      </w:tr>
      <w:tr w:rsidR="00851913" w:rsidRPr="006F671A" w:rsidTr="00D40FFB">
        <w:tc>
          <w:tcPr>
            <w:tcW w:w="5395" w:type="dxa"/>
            <w:vAlign w:val="bottom"/>
          </w:tcPr>
          <w:p w:rsidR="00851913" w:rsidRPr="006F671A" w:rsidRDefault="00851913" w:rsidP="006F671A">
            <w:pPr>
              <w:rPr>
                <w:rFonts w:ascii="Helvetica Neue" w:hAnsi="Helvetica Neue"/>
              </w:rPr>
            </w:pPr>
            <w:r w:rsidRPr="006F671A">
              <w:rPr>
                <w:rFonts w:ascii="Helvetica Neue" w:hAnsi="Helvetica Neue" w:cs="Calibri"/>
                <w:color w:val="000000"/>
              </w:rPr>
              <w:t>Progestin-only pills vs. no contraception (3 months)</w:t>
            </w:r>
          </w:p>
        </w:tc>
        <w:tc>
          <w:tcPr>
            <w:tcW w:w="2070"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2.22 (1.76, 2.85)</w:t>
            </w:r>
          </w:p>
        </w:tc>
        <w:tc>
          <w:tcPr>
            <w:tcW w:w="1885"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1.53 (1.09, 1.14)</w:t>
            </w:r>
          </w:p>
        </w:tc>
      </w:tr>
      <w:tr w:rsidR="00851913" w:rsidRPr="006F671A" w:rsidTr="00D40FFB">
        <w:tc>
          <w:tcPr>
            <w:tcW w:w="5395" w:type="dxa"/>
            <w:vAlign w:val="bottom"/>
          </w:tcPr>
          <w:p w:rsidR="00851913" w:rsidRPr="006F671A" w:rsidRDefault="00851913" w:rsidP="006F671A">
            <w:pPr>
              <w:rPr>
                <w:rFonts w:ascii="Helvetica Neue" w:hAnsi="Helvetica Neue"/>
              </w:rPr>
            </w:pPr>
            <w:r w:rsidRPr="006F671A">
              <w:rPr>
                <w:rFonts w:ascii="Helvetica Neue" w:hAnsi="Helvetica Neue" w:cs="Calibri"/>
                <w:color w:val="000000"/>
              </w:rPr>
              <w:t>Progestin-only pills vs. no contraception (6 months)</w:t>
            </w:r>
          </w:p>
        </w:tc>
        <w:tc>
          <w:tcPr>
            <w:tcW w:w="2070"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1.69 (1.29, 2.22)</w:t>
            </w:r>
          </w:p>
        </w:tc>
        <w:tc>
          <w:tcPr>
            <w:tcW w:w="1885"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1.37 (1.00, 1.88)</w:t>
            </w:r>
          </w:p>
        </w:tc>
      </w:tr>
      <w:tr w:rsidR="00851913" w:rsidRPr="006F671A" w:rsidTr="00D40FFB">
        <w:tc>
          <w:tcPr>
            <w:tcW w:w="5395" w:type="dxa"/>
            <w:vAlign w:val="bottom"/>
          </w:tcPr>
          <w:p w:rsidR="00851913" w:rsidRPr="006F671A" w:rsidRDefault="00851913" w:rsidP="006F671A">
            <w:pPr>
              <w:rPr>
                <w:rFonts w:ascii="Helvetica Neue" w:hAnsi="Helvetica Neue"/>
              </w:rPr>
            </w:pPr>
            <w:r w:rsidRPr="006F671A">
              <w:rPr>
                <w:rFonts w:ascii="Helvetica Neue" w:hAnsi="Helvetica Neue" w:cs="Calibri"/>
                <w:color w:val="000000"/>
              </w:rPr>
              <w:t>Progestin-only pills vs. no contraception (12 months)</w:t>
            </w:r>
          </w:p>
        </w:tc>
        <w:tc>
          <w:tcPr>
            <w:tcW w:w="2070"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1.73 (1.17, 2.56)</w:t>
            </w:r>
          </w:p>
        </w:tc>
        <w:tc>
          <w:tcPr>
            <w:tcW w:w="1885" w:type="dxa"/>
            <w:vAlign w:val="bottom"/>
          </w:tcPr>
          <w:p w:rsidR="00851913" w:rsidRPr="006F671A" w:rsidRDefault="00851913" w:rsidP="00D40FFB">
            <w:pPr>
              <w:jc w:val="center"/>
              <w:rPr>
                <w:rFonts w:ascii="Helvetica Neue" w:hAnsi="Helvetica Neue"/>
              </w:rPr>
            </w:pPr>
            <w:r w:rsidRPr="006F671A">
              <w:rPr>
                <w:rFonts w:ascii="Helvetica Neue" w:hAnsi="Helvetica Neue" w:cs="Calibri"/>
                <w:color w:val="000000"/>
              </w:rPr>
              <w:t>1.16 (0.83, 1.63)</w:t>
            </w:r>
          </w:p>
        </w:tc>
      </w:tr>
    </w:tbl>
    <w:p w:rsidR="00851913" w:rsidRPr="00D40FFB" w:rsidRDefault="00851913" w:rsidP="0009717E">
      <w:pPr>
        <w:spacing w:line="240" w:lineRule="auto"/>
        <w:rPr>
          <w:rFonts w:ascii="Helvetica Neue" w:hAnsi="Helvetica Neue"/>
          <w:sz w:val="20"/>
          <w:szCs w:val="20"/>
        </w:rPr>
      </w:pPr>
      <w:r w:rsidRPr="00D40FFB">
        <w:rPr>
          <w:rFonts w:ascii="Helvetica Neue" w:hAnsi="Helvetica Neue"/>
          <w:sz w:val="20"/>
          <w:szCs w:val="20"/>
          <w:vertAlign w:val="superscript"/>
        </w:rPr>
        <w:t>1</w:t>
      </w:r>
      <w:r w:rsidRPr="00D40FFB">
        <w:rPr>
          <w:rFonts w:ascii="Helvetica Neue" w:hAnsi="Helvetica Neue"/>
          <w:sz w:val="20"/>
          <w:szCs w:val="20"/>
        </w:rPr>
        <w:t>Time-varying registration for depressive or anxiety disorders.</w:t>
      </w:r>
    </w:p>
    <w:p w:rsidR="00851913" w:rsidRPr="0009717E" w:rsidRDefault="00851913" w:rsidP="0009717E">
      <w:pPr>
        <w:spacing w:line="240" w:lineRule="auto"/>
        <w:rPr>
          <w:rFonts w:ascii="Helvetica Neue" w:hAnsi="Helvetica Neue"/>
          <w:vertAlign w:val="superscript"/>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b/>
        </w:rPr>
        <w:sectPr w:rsidR="00851913" w:rsidRPr="0009717E">
          <w:pgSz w:w="12240" w:h="15840"/>
          <w:pgMar w:top="1440" w:right="1440" w:bottom="1440" w:left="1440" w:header="720" w:footer="720" w:gutter="0"/>
          <w:cols w:space="720" w:equalWidth="0">
            <w:col w:w="9360"/>
          </w:cols>
        </w:sectPr>
      </w:pPr>
    </w:p>
    <w:p w:rsidR="00851913" w:rsidRPr="0009717E" w:rsidRDefault="00851913" w:rsidP="0009717E">
      <w:pPr>
        <w:spacing w:line="240" w:lineRule="auto"/>
        <w:rPr>
          <w:rFonts w:ascii="Helvetica Neue" w:hAnsi="Helvetica Neue"/>
        </w:rPr>
      </w:pPr>
      <w:r w:rsidRPr="0009717E">
        <w:rPr>
          <w:rFonts w:ascii="Helvetica Neue" w:hAnsi="Helvetica Neue"/>
          <w:b/>
        </w:rPr>
        <w:lastRenderedPageBreak/>
        <w:t>Supplemental Table 4</w:t>
      </w:r>
      <w:r w:rsidRPr="0009717E">
        <w:rPr>
          <w:rFonts w:ascii="Helvetica Neue" w:hAnsi="Helvetica Neue"/>
        </w:rPr>
        <w:t xml:space="preserve">. Time-specific hazard ratios for suicidal behavior among </w:t>
      </w:r>
      <w:r>
        <w:rPr>
          <w:rFonts w:ascii="Helvetica Neue" w:hAnsi="Helvetica Neue"/>
        </w:rPr>
        <w:t xml:space="preserve">women who became </w:t>
      </w:r>
      <w:r w:rsidRPr="0009717E">
        <w:rPr>
          <w:rFonts w:ascii="Helvetica Neue" w:hAnsi="Helvetica Neue"/>
        </w:rPr>
        <w:t xml:space="preserve">former users of oral hormonal contraceptive </w:t>
      </w:r>
      <w:r>
        <w:rPr>
          <w:rFonts w:ascii="Helvetica Neue" w:hAnsi="Helvetica Neue"/>
        </w:rPr>
        <w:t>during the observation period,</w:t>
      </w:r>
      <w:r w:rsidRPr="0009717E">
        <w:rPr>
          <w:rFonts w:ascii="Helvetica Neue" w:hAnsi="Helvetica Neue"/>
        </w:rPr>
        <w:t xml:space="preserve"> relative to women who had not used oral hormonal contraception.</w:t>
      </w:r>
    </w:p>
    <w:tbl>
      <w:tblPr>
        <w:tblStyle w:val="TableGrid"/>
        <w:tblW w:w="0" w:type="auto"/>
        <w:tblLook w:val="04A0" w:firstRow="1" w:lastRow="0" w:firstColumn="1" w:lastColumn="0" w:noHBand="0" w:noVBand="1"/>
      </w:tblPr>
      <w:tblGrid>
        <w:gridCol w:w="5665"/>
        <w:gridCol w:w="2430"/>
      </w:tblGrid>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 xml:space="preserve"> </w:t>
            </w:r>
          </w:p>
        </w:tc>
        <w:tc>
          <w:tcPr>
            <w:tcW w:w="2430" w:type="dxa"/>
            <w:vAlign w:val="bottom"/>
          </w:tcPr>
          <w:p w:rsidR="00851913" w:rsidRPr="00D40FFB" w:rsidRDefault="00851913" w:rsidP="00D40FFB">
            <w:pPr>
              <w:rPr>
                <w:rFonts w:ascii="Helvetica Neue" w:hAnsi="Helvetica Neue"/>
                <w:b/>
                <w:bCs/>
              </w:rPr>
            </w:pPr>
            <w:r w:rsidRPr="00D40FFB">
              <w:rPr>
                <w:rFonts w:ascii="Helvetica Neue" w:hAnsi="Helvetica Neue" w:cs="Calibri"/>
                <w:b/>
                <w:bCs/>
                <w:color w:val="000000"/>
              </w:rPr>
              <w:t>Hazard Ratio</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Combination pills vs. no contraception (1 month)</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3.44 (2.65, 4.47)</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Combination pills vs. no contraception (3 months)</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3.29 (2.63, 4.11)</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Combination pills vs. no contraception (6 months)</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3.09 (2.55, 3.73)</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Combination pills vs. no contraception (12 months)</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2.80 (2.29, 3.42)</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Progestin-only pills vs. no contraception (1 month)</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3.75 (2.58, 5.43)</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Progestin-only pills vs. no contraception (3 months)</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3.55 (2.60, 4.86)</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Progestin-only pills vs. no contraception (6 months)</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3.31 (2.56, 4.29)</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Progestin-only pills vs. no contraception (12 months)</w:t>
            </w:r>
          </w:p>
        </w:tc>
        <w:tc>
          <w:tcPr>
            <w:tcW w:w="2430" w:type="dxa"/>
            <w:vAlign w:val="bottom"/>
          </w:tcPr>
          <w:p w:rsidR="00851913" w:rsidRPr="00D40FFB" w:rsidRDefault="00851913" w:rsidP="00D40FFB">
            <w:pPr>
              <w:rPr>
                <w:rFonts w:ascii="Helvetica Neue" w:hAnsi="Helvetica Neue"/>
              </w:rPr>
            </w:pPr>
            <w:r w:rsidRPr="00114ED5">
              <w:rPr>
                <w:rFonts w:ascii="Helvetica Neue" w:hAnsi="Helvetica Neue" w:cs="Calibri"/>
                <w:color w:val="000000"/>
              </w:rPr>
              <w:t>2.96 (2.27, 3.86)</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Parental education, mid vs low</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0.80 (0.62, 1.03)</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Parental education, high vs low</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0.76 (0.59, 0.98)</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Parental suicidal attempt</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2.03 (1.69, 2.45)</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DAD</w:t>
            </w:r>
            <w:r w:rsidRPr="00D40FFB">
              <w:rPr>
                <w:rFonts w:ascii="Helvetica Neue" w:hAnsi="Helvetica Neue" w:cs="Calibri"/>
                <w:color w:val="000000"/>
                <w:vertAlign w:val="superscript"/>
              </w:rPr>
              <w:t>1</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17.56 (15.65, 19.70)</w:t>
            </w:r>
          </w:p>
        </w:tc>
      </w:tr>
      <w:tr w:rsidR="00851913" w:rsidTr="00D40FFB">
        <w:tc>
          <w:tcPr>
            <w:tcW w:w="566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BPN</w:t>
            </w:r>
            <w:r w:rsidRPr="00D40FFB">
              <w:rPr>
                <w:rFonts w:ascii="Helvetica Neue" w:hAnsi="Helvetica Neue" w:cs="Calibri"/>
                <w:color w:val="000000"/>
                <w:vertAlign w:val="superscript"/>
              </w:rPr>
              <w:t>2</w:t>
            </w:r>
          </w:p>
        </w:tc>
        <w:tc>
          <w:tcPr>
            <w:tcW w:w="243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28.91 (23.36, 32.96)</w:t>
            </w:r>
          </w:p>
        </w:tc>
      </w:tr>
    </w:tbl>
    <w:p w:rsidR="00851913" w:rsidRPr="0009717E" w:rsidRDefault="00851913" w:rsidP="0009717E">
      <w:pPr>
        <w:spacing w:line="240" w:lineRule="auto"/>
        <w:rPr>
          <w:rFonts w:ascii="Helvetica Neue" w:hAnsi="Helvetica Neue"/>
        </w:rPr>
      </w:pPr>
      <w:r w:rsidRPr="0009717E">
        <w:rPr>
          <w:rFonts w:ascii="Helvetica Neue" w:hAnsi="Helvetica Neue"/>
          <w:vertAlign w:val="superscript"/>
        </w:rPr>
        <w:t>1</w:t>
      </w:r>
      <w:r w:rsidRPr="0009717E">
        <w:rPr>
          <w:rFonts w:ascii="Helvetica Neue" w:hAnsi="Helvetica Neue"/>
        </w:rPr>
        <w:t>Time-varying registration for depressive or anxiety disorders.</w:t>
      </w:r>
    </w:p>
    <w:p w:rsidR="00851913" w:rsidRPr="0009717E" w:rsidRDefault="00851913" w:rsidP="0009717E">
      <w:pPr>
        <w:spacing w:line="240" w:lineRule="auto"/>
        <w:rPr>
          <w:rFonts w:ascii="Helvetica Neue" w:hAnsi="Helvetica Neue"/>
        </w:rPr>
      </w:pPr>
      <w:r w:rsidRPr="0009717E">
        <w:rPr>
          <w:rFonts w:ascii="Helvetica Neue" w:hAnsi="Helvetica Neue"/>
          <w:vertAlign w:val="superscript"/>
        </w:rPr>
        <w:t>2</w:t>
      </w:r>
      <w:r w:rsidRPr="0009717E">
        <w:rPr>
          <w:rFonts w:ascii="Helvetica Neue" w:hAnsi="Helvetica Neue"/>
        </w:rPr>
        <w:t>Lifetime registration for bipolar disorder or non-affective psychosis.</w:t>
      </w: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b/>
        </w:rPr>
        <w:sectPr w:rsidR="00851913" w:rsidRPr="0009717E">
          <w:pgSz w:w="12240" w:h="15840"/>
          <w:pgMar w:top="1440" w:right="1440" w:bottom="1440" w:left="1440" w:header="720" w:footer="720" w:gutter="0"/>
          <w:cols w:space="720" w:equalWidth="0">
            <w:col w:w="9360"/>
          </w:cols>
        </w:sectPr>
      </w:pPr>
    </w:p>
    <w:p w:rsidR="00851913" w:rsidRPr="0009717E" w:rsidRDefault="00851913" w:rsidP="0009717E">
      <w:pPr>
        <w:spacing w:line="240" w:lineRule="auto"/>
        <w:rPr>
          <w:rFonts w:ascii="Helvetica Neue" w:hAnsi="Helvetica Neue"/>
        </w:rPr>
      </w:pPr>
      <w:r w:rsidRPr="0009717E">
        <w:rPr>
          <w:rFonts w:ascii="Helvetica Neue" w:hAnsi="Helvetica Neue"/>
          <w:b/>
        </w:rPr>
        <w:lastRenderedPageBreak/>
        <w:t>Supplemental Table 5.</w:t>
      </w:r>
      <w:r w:rsidRPr="0009717E">
        <w:rPr>
          <w:rFonts w:ascii="Helvetica Neue" w:hAnsi="Helvetica Neue"/>
        </w:rPr>
        <w:t xml:space="preserve"> Time-specific hazard ratios for suicidal behavior for a sensitivity analysis in which women who have initiated use of oral hormonal contraceptives are censored upon a subsequent registration for a depressive or anxiety disorder.</w:t>
      </w:r>
    </w:p>
    <w:tbl>
      <w:tblPr>
        <w:tblStyle w:val="TableGrid"/>
        <w:tblW w:w="0" w:type="auto"/>
        <w:tblLook w:val="04A0" w:firstRow="1" w:lastRow="0" w:firstColumn="1" w:lastColumn="0" w:noHBand="0" w:noVBand="1"/>
      </w:tblPr>
      <w:tblGrid>
        <w:gridCol w:w="5575"/>
        <w:gridCol w:w="2340"/>
      </w:tblGrid>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 xml:space="preserve"> </w:t>
            </w:r>
          </w:p>
        </w:tc>
        <w:tc>
          <w:tcPr>
            <w:tcW w:w="2340" w:type="dxa"/>
            <w:vAlign w:val="bottom"/>
          </w:tcPr>
          <w:p w:rsidR="00851913" w:rsidRPr="00D40FFB" w:rsidRDefault="00851913" w:rsidP="00D40FFB">
            <w:pPr>
              <w:rPr>
                <w:rFonts w:ascii="Helvetica Neue" w:hAnsi="Helvetica Neue"/>
                <w:b/>
                <w:bCs/>
              </w:rPr>
            </w:pPr>
            <w:r w:rsidRPr="00D40FFB">
              <w:rPr>
                <w:rFonts w:ascii="Helvetica Neue" w:hAnsi="Helvetica Neue" w:cs="Calibri"/>
                <w:b/>
                <w:bCs/>
                <w:color w:val="000000"/>
              </w:rPr>
              <w:t>Hazard Ratio</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Combination pills vs. no contraception (1 month)</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1.44 (1.18, 1.76)</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Combination pills vs. no contraception (3 months)</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1.36 (1.15, 1.60)</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Combination pills vs. no contraception (6 months)</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1.25 (1.08, 1.45)</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Combination pills vs. no contraception (12 months)</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1.10 (0.92, 1.33)</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Progestin-only pills vs. no contraception (1 month)</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1.77 (1.32, 2.38)</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Progestin-only pills vs. no contraception (3 months)</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1.72 (1.35, 2.19)</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Progestin-only pills vs. no contraception (6 months)</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1.66 (1.34, 2.05)</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Progestin-only pills vs. no contraception (12 months)</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1.57 (1.20, 2.05)</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Parental education, mid vs low</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0.79 (0.60, 1.05)</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Parental education, high vs low</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0.75 (0.57, 0.999)</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Parental suicidal attempt</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2.15 (1.74, 2.66)</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DAD</w:t>
            </w:r>
            <w:r w:rsidRPr="00D40FFB">
              <w:rPr>
                <w:rFonts w:ascii="Helvetica Neue" w:hAnsi="Helvetica Neue" w:cs="Calibri"/>
                <w:color w:val="000000"/>
                <w:vertAlign w:val="superscript"/>
              </w:rPr>
              <w:t>1</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20.68 (18.11, 23.62)</w:t>
            </w:r>
          </w:p>
        </w:tc>
      </w:tr>
      <w:tr w:rsidR="00851913" w:rsidTr="00D40FFB">
        <w:tc>
          <w:tcPr>
            <w:tcW w:w="5575"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BPN</w:t>
            </w:r>
            <w:r w:rsidRPr="00D40FFB">
              <w:rPr>
                <w:rFonts w:ascii="Helvetica Neue" w:hAnsi="Helvetica Neue" w:cs="Calibri"/>
                <w:color w:val="000000"/>
                <w:vertAlign w:val="superscript"/>
              </w:rPr>
              <w:t>2</w:t>
            </w:r>
          </w:p>
        </w:tc>
        <w:tc>
          <w:tcPr>
            <w:tcW w:w="2340" w:type="dxa"/>
            <w:vAlign w:val="bottom"/>
          </w:tcPr>
          <w:p w:rsidR="00851913" w:rsidRPr="00D40FFB" w:rsidRDefault="00851913" w:rsidP="00D40FFB">
            <w:pPr>
              <w:rPr>
                <w:rFonts w:ascii="Helvetica Neue" w:hAnsi="Helvetica Neue"/>
              </w:rPr>
            </w:pPr>
            <w:r w:rsidRPr="00D40FFB">
              <w:rPr>
                <w:rFonts w:ascii="Helvetica Neue" w:hAnsi="Helvetica Neue" w:cs="Calibri"/>
                <w:color w:val="000000"/>
              </w:rPr>
              <w:t>32.44 (28.13, 37.42)</w:t>
            </w:r>
          </w:p>
        </w:tc>
      </w:tr>
    </w:tbl>
    <w:p w:rsidR="00851913" w:rsidRPr="00D40FFB" w:rsidRDefault="00851913" w:rsidP="0009717E">
      <w:pPr>
        <w:spacing w:line="240" w:lineRule="auto"/>
        <w:rPr>
          <w:rFonts w:ascii="Helvetica Neue" w:hAnsi="Helvetica Neue"/>
          <w:sz w:val="20"/>
          <w:szCs w:val="20"/>
        </w:rPr>
      </w:pPr>
      <w:r w:rsidRPr="00D40FFB">
        <w:rPr>
          <w:rFonts w:ascii="Helvetica Neue" w:hAnsi="Helvetica Neue"/>
          <w:sz w:val="20"/>
          <w:szCs w:val="20"/>
          <w:vertAlign w:val="superscript"/>
        </w:rPr>
        <w:t>1</w:t>
      </w:r>
      <w:r w:rsidRPr="00D40FFB">
        <w:rPr>
          <w:rFonts w:ascii="Helvetica Neue" w:hAnsi="Helvetica Neue"/>
          <w:sz w:val="20"/>
          <w:szCs w:val="20"/>
        </w:rPr>
        <w:t>Time-varying registration for depressive or anxiety disorders, prior to initiation of OC use.</w:t>
      </w:r>
    </w:p>
    <w:p w:rsidR="00851913" w:rsidRPr="00D40FFB" w:rsidRDefault="00851913" w:rsidP="0009717E">
      <w:pPr>
        <w:spacing w:line="240" w:lineRule="auto"/>
        <w:rPr>
          <w:rFonts w:ascii="Helvetica Neue" w:hAnsi="Helvetica Neue"/>
          <w:sz w:val="20"/>
          <w:szCs w:val="20"/>
        </w:rPr>
      </w:pPr>
      <w:r w:rsidRPr="00D40FFB">
        <w:rPr>
          <w:rFonts w:ascii="Helvetica Neue" w:hAnsi="Helvetica Neue"/>
          <w:sz w:val="20"/>
          <w:szCs w:val="20"/>
          <w:vertAlign w:val="superscript"/>
        </w:rPr>
        <w:t>2</w:t>
      </w:r>
      <w:r w:rsidRPr="00D40FFB">
        <w:rPr>
          <w:rFonts w:ascii="Helvetica Neue" w:hAnsi="Helvetica Neue"/>
          <w:sz w:val="20"/>
          <w:szCs w:val="20"/>
        </w:rPr>
        <w:t>Lifetime registration for bipolar disorder or non-affective psychosis.</w:t>
      </w: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b/>
        </w:rPr>
        <w:sectPr w:rsidR="00851913" w:rsidRPr="0009717E">
          <w:pgSz w:w="12240" w:h="15840"/>
          <w:pgMar w:top="1440" w:right="1440" w:bottom="1440" w:left="1440" w:header="720" w:footer="720" w:gutter="0"/>
          <w:cols w:space="720" w:equalWidth="0">
            <w:col w:w="9360"/>
          </w:cols>
        </w:sectPr>
      </w:pPr>
    </w:p>
    <w:p w:rsidR="00851913" w:rsidRPr="0009717E" w:rsidRDefault="00851913" w:rsidP="0009717E">
      <w:pPr>
        <w:spacing w:line="240" w:lineRule="auto"/>
        <w:rPr>
          <w:rFonts w:ascii="Helvetica Neue" w:hAnsi="Helvetica Neue"/>
        </w:rPr>
      </w:pPr>
      <w:r w:rsidRPr="0009717E">
        <w:rPr>
          <w:rFonts w:ascii="Helvetica Neue" w:hAnsi="Helvetica Neue"/>
          <w:b/>
        </w:rPr>
        <w:lastRenderedPageBreak/>
        <w:t>Supplemental Table 6.</w:t>
      </w:r>
      <w:r w:rsidRPr="0009717E">
        <w:rPr>
          <w:rFonts w:ascii="Helvetica Neue" w:hAnsi="Helvetica Neue"/>
        </w:rPr>
        <w:t xml:space="preserve"> Time-specific hazard ratios for suicidal behavior for a sensitivity analysis in which women with a lifetime registration for bipolar disorder or non-affective psychosis were excluded.</w:t>
      </w:r>
    </w:p>
    <w:tbl>
      <w:tblPr>
        <w:tblStyle w:val="TableGrid"/>
        <w:tblW w:w="0" w:type="auto"/>
        <w:tblLook w:val="04A0" w:firstRow="1" w:lastRow="0" w:firstColumn="1" w:lastColumn="0" w:noHBand="0" w:noVBand="1"/>
      </w:tblPr>
      <w:tblGrid>
        <w:gridCol w:w="5485"/>
        <w:gridCol w:w="2340"/>
      </w:tblGrid>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 xml:space="preserve"> </w:t>
            </w:r>
          </w:p>
        </w:tc>
        <w:tc>
          <w:tcPr>
            <w:tcW w:w="2340" w:type="dxa"/>
            <w:vAlign w:val="bottom"/>
          </w:tcPr>
          <w:p w:rsidR="00851913" w:rsidRPr="007069D6" w:rsidRDefault="00851913" w:rsidP="007069D6">
            <w:pPr>
              <w:rPr>
                <w:rFonts w:ascii="Helvetica Neue" w:hAnsi="Helvetica Neue"/>
                <w:b/>
                <w:bCs/>
              </w:rPr>
            </w:pPr>
            <w:r w:rsidRPr="007069D6">
              <w:rPr>
                <w:rFonts w:ascii="Helvetica Neue" w:hAnsi="Helvetica Neue" w:cs="Calibri"/>
                <w:b/>
                <w:bCs/>
                <w:color w:val="000000"/>
              </w:rPr>
              <w:t>Hazard Ratio</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Combination pills vs. no contraception (1 month)</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1.67 (1.36, 2.04)</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Combination pills vs. no contraception (3 months)</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1.54 (1.30, 1.83)</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Combination pills vs. no contraception (6 months)</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1.38 (1.19, 1.61)</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Combination pills vs. no contraception (12 months)</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1.16 (0.97, 1.39)</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Progestin-only pills vs. no contraception (1 month)</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2.16 (1.61, 2.91)</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Progestin-only pills vs. no contraception (3 months)</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1.96 (1.52, 2.51)</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Progestin-only pills vs. no contraception (6 months)</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1.71 (1.37, 2.13)</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Progestin-only pills vs. no contraception (12 months)</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1.40 (1.07, 1.83)</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Parental education, mid vs low</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0.72 (0.54, 0.97)</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Parental education, high vs low</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0.68 (0.51, 0.91)</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Parental suicidal attempt</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2.66 (2.13, 3.33)</w:t>
            </w:r>
          </w:p>
        </w:tc>
      </w:tr>
      <w:tr w:rsidR="00851913" w:rsidRPr="007069D6" w:rsidTr="007069D6">
        <w:tc>
          <w:tcPr>
            <w:tcW w:w="5485"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DAD</w:t>
            </w:r>
            <w:r w:rsidRPr="007069D6">
              <w:rPr>
                <w:rFonts w:ascii="Helvetica Neue" w:hAnsi="Helvetica Neue" w:cs="Calibri"/>
                <w:color w:val="000000"/>
                <w:vertAlign w:val="superscript"/>
              </w:rPr>
              <w:t>1</w:t>
            </w:r>
          </w:p>
        </w:tc>
        <w:tc>
          <w:tcPr>
            <w:tcW w:w="2340" w:type="dxa"/>
            <w:vAlign w:val="bottom"/>
          </w:tcPr>
          <w:p w:rsidR="00851913" w:rsidRPr="007069D6" w:rsidRDefault="00851913" w:rsidP="007069D6">
            <w:pPr>
              <w:rPr>
                <w:rFonts w:ascii="Helvetica Neue" w:hAnsi="Helvetica Neue"/>
              </w:rPr>
            </w:pPr>
            <w:r w:rsidRPr="007069D6">
              <w:rPr>
                <w:rFonts w:ascii="Helvetica Neue" w:hAnsi="Helvetica Neue" w:cs="Calibri"/>
                <w:color w:val="000000"/>
              </w:rPr>
              <w:t>20.71 (18.25, 23.51)</w:t>
            </w:r>
          </w:p>
        </w:tc>
      </w:tr>
    </w:tbl>
    <w:p w:rsidR="00851913" w:rsidRPr="00EC470E" w:rsidRDefault="00851913" w:rsidP="0009717E">
      <w:pPr>
        <w:spacing w:line="240" w:lineRule="auto"/>
        <w:rPr>
          <w:rFonts w:ascii="Helvetica Neue" w:hAnsi="Helvetica Neue"/>
        </w:rPr>
        <w:sectPr w:rsidR="00851913" w:rsidRPr="00EC470E">
          <w:pgSz w:w="12240" w:h="15840"/>
          <w:pgMar w:top="1440" w:right="1440" w:bottom="1440" w:left="1440" w:header="720" w:footer="720" w:gutter="0"/>
          <w:cols w:space="720" w:equalWidth="0">
            <w:col w:w="9360"/>
          </w:cols>
        </w:sectPr>
      </w:pPr>
      <w:r w:rsidRPr="0009717E">
        <w:rPr>
          <w:rFonts w:ascii="Helvetica Neue" w:hAnsi="Helvetica Neue"/>
          <w:vertAlign w:val="superscript"/>
        </w:rPr>
        <w:t>1</w:t>
      </w:r>
      <w:r w:rsidRPr="0009717E">
        <w:rPr>
          <w:rFonts w:ascii="Helvetica Neue" w:hAnsi="Helvetica Neue"/>
        </w:rPr>
        <w:t>Time-varying registration for depressive or anxiety disorders.</w:t>
      </w:r>
    </w:p>
    <w:p w:rsidR="00851913" w:rsidRPr="0009717E" w:rsidRDefault="00851913" w:rsidP="0009717E">
      <w:pPr>
        <w:spacing w:line="240" w:lineRule="auto"/>
        <w:rPr>
          <w:rFonts w:ascii="Helvetica Neue" w:hAnsi="Helvetica Neue"/>
        </w:rPr>
      </w:pPr>
      <w:r w:rsidRPr="0009717E">
        <w:rPr>
          <w:rFonts w:ascii="Helvetica Neue" w:hAnsi="Helvetica Neue"/>
          <w:b/>
        </w:rPr>
        <w:lastRenderedPageBreak/>
        <w:t>Supplemental Figure 1.</w:t>
      </w:r>
      <w:r w:rsidRPr="0009717E">
        <w:rPr>
          <w:rFonts w:ascii="Helvetica Neue" w:hAnsi="Helvetica Neue"/>
        </w:rPr>
        <w:t xml:space="preserve"> </w:t>
      </w:r>
      <w:proofErr w:type="spellStart"/>
      <w:r w:rsidRPr="0009717E">
        <w:rPr>
          <w:rFonts w:ascii="Helvetica Neue" w:hAnsi="Helvetica Neue"/>
        </w:rPr>
        <w:t>Kaplain</w:t>
      </w:r>
      <w:proofErr w:type="spellEnd"/>
      <w:r w:rsidRPr="0009717E">
        <w:rPr>
          <w:rFonts w:ascii="Helvetica Neue" w:hAnsi="Helvetica Neue"/>
        </w:rPr>
        <w:t>-Meier plot across groups, where suicidal behavior is the outcome of interest. Observation began at age 15. Curves are provided for individuals not using oral hormonal contraception (black lines), those using combination pills (blue lines), and those using progestin-only pills (red lines). Dashed lines represent 95% confidence intervals.</w:t>
      </w:r>
    </w:p>
    <w:p w:rsidR="00851913" w:rsidRPr="0009717E" w:rsidRDefault="00851913" w:rsidP="0009717E">
      <w:pPr>
        <w:spacing w:line="240" w:lineRule="auto"/>
        <w:rPr>
          <w:rFonts w:ascii="Helvetica Neue" w:hAnsi="Helvetica Neue"/>
        </w:rPr>
      </w:pPr>
      <w:r w:rsidRPr="0009717E">
        <w:rPr>
          <w:rFonts w:ascii="Helvetica Neue" w:hAnsi="Helvetica Neue"/>
          <w:noProof/>
        </w:rPr>
        <w:drawing>
          <wp:inline distT="114300" distB="114300" distL="114300" distR="114300" wp14:anchorId="5134C180" wp14:editId="1AC59601">
            <wp:extent cx="5910297" cy="47529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
                    <a:srcRect l="557" t="1510"/>
                    <a:stretch/>
                  </pic:blipFill>
                  <pic:spPr bwMode="auto">
                    <a:xfrm>
                      <a:off x="0" y="0"/>
                      <a:ext cx="5910469" cy="4753113"/>
                    </a:xfrm>
                    <a:prstGeom prst="rect">
                      <a:avLst/>
                    </a:prstGeom>
                    <a:ln>
                      <a:noFill/>
                    </a:ln>
                    <a:extLst>
                      <a:ext uri="{53640926-AAD7-44D8-BBD7-CCE9431645EC}">
                        <a14:shadowObscured xmlns:a14="http://schemas.microsoft.com/office/drawing/2010/main"/>
                      </a:ext>
                    </a:extLst>
                  </pic:spPr>
                </pic:pic>
              </a:graphicData>
            </a:graphic>
          </wp:inline>
        </w:drawing>
      </w: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Pr="0009717E" w:rsidRDefault="00851913" w:rsidP="0009717E">
      <w:pPr>
        <w:spacing w:line="240" w:lineRule="auto"/>
        <w:rPr>
          <w:rFonts w:ascii="Helvetica Neue" w:hAnsi="Helvetica Neue"/>
        </w:rPr>
      </w:pPr>
    </w:p>
    <w:p w:rsidR="00851913" w:rsidRDefault="00851913" w:rsidP="0009717E">
      <w:pPr>
        <w:spacing w:line="240" w:lineRule="auto"/>
        <w:rPr>
          <w:rFonts w:ascii="Helvetica Neue" w:hAnsi="Helvetica Neue"/>
          <w:b/>
        </w:rPr>
      </w:pPr>
    </w:p>
    <w:p w:rsidR="00851913" w:rsidRDefault="00851913" w:rsidP="0009717E">
      <w:pPr>
        <w:spacing w:line="240" w:lineRule="auto"/>
        <w:rPr>
          <w:rFonts w:ascii="Helvetica Neue" w:hAnsi="Helvetica Neue"/>
          <w:b/>
        </w:rPr>
        <w:sectPr w:rsidR="00851913">
          <w:pgSz w:w="12240" w:h="15840"/>
          <w:pgMar w:top="1440" w:right="1440" w:bottom="1440" w:left="1440" w:header="720" w:footer="720" w:gutter="0"/>
          <w:cols w:space="720" w:equalWidth="0">
            <w:col w:w="9360"/>
          </w:cols>
        </w:sectPr>
      </w:pPr>
    </w:p>
    <w:p w:rsidR="00851913" w:rsidRPr="0009717E" w:rsidRDefault="00851913" w:rsidP="0009717E">
      <w:pPr>
        <w:spacing w:line="240" w:lineRule="auto"/>
        <w:rPr>
          <w:rFonts w:ascii="Helvetica Neue" w:hAnsi="Helvetica Neue"/>
        </w:rPr>
      </w:pPr>
      <w:r w:rsidRPr="0009717E">
        <w:rPr>
          <w:rFonts w:ascii="Helvetica Neue" w:hAnsi="Helvetica Neue"/>
          <w:b/>
        </w:rPr>
        <w:lastRenderedPageBreak/>
        <w:t>Supplemental Figure 2.</w:t>
      </w:r>
      <w:r w:rsidRPr="0009717E">
        <w:rPr>
          <w:rFonts w:ascii="Helvetica Neue" w:hAnsi="Helvetica Neue"/>
        </w:rPr>
        <w:t xml:space="preserve"> Hazard ratios (solid lines) and 95% confidence intervals (dashed lines) for the association between oral hormonal contraceptive use and suicidal behavior, as a function of follow-up time. The top panel provides results for combination pills and the bottom panel provides results for progestin-only pills. The y-axis is on the </w:t>
      </w:r>
      <w:r>
        <w:rPr>
          <w:rFonts w:ascii="Helvetica Neue" w:hAnsi="Helvetica Neue"/>
        </w:rPr>
        <w:t>linear</w:t>
      </w:r>
      <w:r w:rsidRPr="0009717E">
        <w:rPr>
          <w:rFonts w:ascii="Helvetica Neue" w:hAnsi="Helvetica Neue"/>
        </w:rPr>
        <w:t xml:space="preserve"> scale.</w:t>
      </w:r>
      <w:r>
        <w:rPr>
          <w:rFonts w:ascii="Helvetica Neue" w:hAnsi="Helvetica Neue"/>
        </w:rPr>
        <w:t xml:space="preserve"> The grey horizontal line at HR=1 represents the reference.</w:t>
      </w:r>
    </w:p>
    <w:p w:rsidR="00851913" w:rsidRDefault="00851913" w:rsidP="0009717E">
      <w:pPr>
        <w:spacing w:line="240" w:lineRule="auto"/>
        <w:rPr>
          <w:rFonts w:ascii="Helvetica Neue" w:hAnsi="Helvetica Neue"/>
        </w:rPr>
      </w:pPr>
    </w:p>
    <w:p w:rsidR="00851913" w:rsidRDefault="00851913" w:rsidP="0009717E">
      <w:pPr>
        <w:spacing w:line="240" w:lineRule="auto"/>
        <w:rPr>
          <w:rFonts w:ascii="Helvetica Neue" w:hAnsi="Helvetica Neue"/>
        </w:rPr>
      </w:pPr>
      <w:r>
        <w:rPr>
          <w:rFonts w:ascii="Helvetica Neue" w:hAnsi="Helvetica Neue"/>
          <w:noProof/>
        </w:rPr>
        <w:drawing>
          <wp:inline distT="0" distB="0" distL="0" distR="0" wp14:anchorId="7F6B4C1F" wp14:editId="4D3DD378">
            <wp:extent cx="5943600" cy="4448810"/>
            <wp:effectExtent l="0" t="0" r="0" b="0"/>
            <wp:docPr id="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4448810"/>
                    </a:xfrm>
                    <a:prstGeom prst="rect">
                      <a:avLst/>
                    </a:prstGeom>
                  </pic:spPr>
                </pic:pic>
              </a:graphicData>
            </a:graphic>
          </wp:inline>
        </w:drawing>
      </w:r>
    </w:p>
    <w:p w:rsidR="00851913" w:rsidRDefault="00851913" w:rsidP="0009717E">
      <w:pPr>
        <w:spacing w:line="240" w:lineRule="auto"/>
        <w:rPr>
          <w:rFonts w:ascii="Helvetica Neue" w:hAnsi="Helvetica Neue"/>
        </w:rPr>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09717E">
      <w:pPr>
        <w:pStyle w:val="EndNoteBibliographyTitle"/>
      </w:pPr>
    </w:p>
    <w:p w:rsidR="00851913" w:rsidRDefault="00851913" w:rsidP="00EC470E">
      <w:pPr>
        <w:pStyle w:val="EndNoteBibliographyTitle"/>
        <w:sectPr w:rsidR="00851913">
          <w:pgSz w:w="12240" w:h="15840"/>
          <w:pgMar w:top="1440" w:right="1440" w:bottom="1440" w:left="1440" w:header="720" w:footer="720" w:gutter="0"/>
          <w:cols w:space="720" w:equalWidth="0">
            <w:col w:w="9360"/>
          </w:cols>
        </w:sectPr>
      </w:pPr>
    </w:p>
    <w:p w:rsidR="00851913" w:rsidRPr="00CC37F3" w:rsidRDefault="00851913" w:rsidP="00CC37F3">
      <w:pPr>
        <w:pStyle w:val="EndNoteBibliographyTitle"/>
        <w:rPr>
          <w:b/>
          <w:noProof/>
        </w:rPr>
      </w:pPr>
      <w:r w:rsidRPr="00CC37F3">
        <w:rPr>
          <w:b/>
          <w:noProof/>
        </w:rPr>
        <w:lastRenderedPageBreak/>
        <w:t>References</w:t>
      </w:r>
    </w:p>
    <w:p w:rsidR="00851913" w:rsidRPr="00CC37F3" w:rsidRDefault="00851913" w:rsidP="00CC37F3">
      <w:pPr>
        <w:pStyle w:val="EndNoteBibliographyTitle"/>
        <w:rPr>
          <w:b/>
          <w:noProof/>
        </w:rPr>
      </w:pPr>
    </w:p>
    <w:p w:rsidR="00851913" w:rsidRPr="003502CA" w:rsidRDefault="00851913" w:rsidP="00CC37F3">
      <w:pPr>
        <w:pStyle w:val="EndNoteBibliography"/>
        <w:ind w:left="720" w:hanging="720"/>
        <w:rPr>
          <w:noProof/>
          <w:color w:val="FF0000"/>
        </w:rPr>
      </w:pPr>
      <w:r w:rsidRPr="00586AFA">
        <w:rPr>
          <w:noProof/>
        </w:rPr>
        <w:t xml:space="preserve">Baldessarini, R. J., Tondo, L., Pinna, M., Nunez, N., &amp; Vazquez, G. H. (2019). Suicidal risk factors in major affective disorders. </w:t>
      </w:r>
      <w:r w:rsidRPr="00586AFA">
        <w:rPr>
          <w:i/>
          <w:noProof/>
        </w:rPr>
        <w:t>British Journal of Psychiatry</w:t>
      </w:r>
      <w:r w:rsidRPr="00586AFA">
        <w:rPr>
          <w:noProof/>
        </w:rPr>
        <w:t xml:space="preserve">, </w:t>
      </w:r>
      <w:r w:rsidR="00586AFA" w:rsidRPr="00586AFA">
        <w:rPr>
          <w:noProof/>
        </w:rPr>
        <w:t>215(4), 621-62</w:t>
      </w:r>
      <w:r w:rsidRPr="00586AFA">
        <w:rPr>
          <w:noProof/>
        </w:rPr>
        <w:t>6. doi:10.1192/bjp.2019.167</w:t>
      </w:r>
      <w:r w:rsidR="00BC3A86" w:rsidRPr="00586AFA">
        <w:rPr>
          <w:noProof/>
        </w:rPr>
        <w:t xml:space="preserve"> </w:t>
      </w:r>
    </w:p>
    <w:p w:rsidR="00851913" w:rsidRPr="00FC3EE9" w:rsidRDefault="00851913" w:rsidP="00CC37F3">
      <w:pPr>
        <w:pStyle w:val="EndNoteBibliography"/>
        <w:ind w:left="720" w:hanging="720"/>
        <w:rPr>
          <w:noProof/>
          <w:color w:val="FF0000"/>
        </w:rPr>
      </w:pPr>
      <w:r w:rsidRPr="00586AFA">
        <w:rPr>
          <w:noProof/>
        </w:rPr>
        <w:t>de Wit, A. E., Booij, S. H., Giltay, E. J., Joffe, H., Schoevers, R. A., &amp; Oldehinkel, A. J. (</w:t>
      </w:r>
      <w:r w:rsidR="00586AFA" w:rsidRPr="00586AFA">
        <w:rPr>
          <w:noProof/>
        </w:rPr>
        <w:t>2020</w:t>
      </w:r>
      <w:r w:rsidRPr="00586AFA">
        <w:rPr>
          <w:noProof/>
        </w:rPr>
        <w:t xml:space="preserve">). Association of Use of Oral Contraceptives With Depressive Symptoms Among Adolescents and Young Women. </w:t>
      </w:r>
      <w:r w:rsidRPr="00586AFA">
        <w:rPr>
          <w:i/>
          <w:noProof/>
        </w:rPr>
        <w:t>JAMA Psychiatry</w:t>
      </w:r>
      <w:r w:rsidR="00586AFA" w:rsidRPr="00586AFA">
        <w:rPr>
          <w:noProof/>
        </w:rPr>
        <w:t xml:space="preserve">, </w:t>
      </w:r>
      <w:r w:rsidR="00586AFA" w:rsidRPr="00586AFA">
        <w:rPr>
          <w:i/>
          <w:iCs/>
          <w:noProof/>
          <w:lang w:val="en"/>
        </w:rPr>
        <w:t>77</w:t>
      </w:r>
      <w:r w:rsidR="00586AFA" w:rsidRPr="00586AFA">
        <w:rPr>
          <w:noProof/>
          <w:lang w:val="en"/>
        </w:rPr>
        <w:t xml:space="preserve">(1), 52-59. doi:doi:10.1001/jamapsychiatry.2019.2838 </w:t>
      </w:r>
    </w:p>
    <w:p w:rsidR="00851913" w:rsidRPr="00CC37F3" w:rsidRDefault="00851913" w:rsidP="00CC37F3">
      <w:pPr>
        <w:pStyle w:val="EndNoteBibliography"/>
        <w:ind w:left="720" w:hanging="720"/>
        <w:rPr>
          <w:noProof/>
        </w:rPr>
      </w:pPr>
      <w:r w:rsidRPr="00CC37F3">
        <w:rPr>
          <w:noProof/>
        </w:rPr>
        <w:t xml:space="preserve">Franklin, J. C., Ribeiro, J. D., Fox, K. R., Bentley, K. H., Kleiman, E. M., Huang, X., . . . Nock, M. K. (2017). Risk factors for suicidal thoughts and behaviors: A meta-analysis of 50 years of research. </w:t>
      </w:r>
      <w:r w:rsidRPr="00CC37F3">
        <w:rPr>
          <w:i/>
          <w:noProof/>
        </w:rPr>
        <w:t>Psychological Bulletin, 143</w:t>
      </w:r>
      <w:r w:rsidRPr="00CC37F3">
        <w:rPr>
          <w:noProof/>
        </w:rPr>
        <w:t>(2), 187-232. doi:10.1037/bul0000084</w:t>
      </w:r>
    </w:p>
    <w:p w:rsidR="00851913" w:rsidRPr="00CC37F3" w:rsidRDefault="00851913" w:rsidP="00CC37F3">
      <w:pPr>
        <w:pStyle w:val="EndNoteBibliography"/>
        <w:ind w:left="720" w:hanging="720"/>
        <w:rPr>
          <w:noProof/>
        </w:rPr>
      </w:pPr>
      <w:r w:rsidRPr="00CC37F3">
        <w:rPr>
          <w:noProof/>
        </w:rPr>
        <w:t xml:space="preserve">Hasin, D. S., Shmulewitz, D., Cerda, M., Keyes, K. M., Olfson, M., Sarvet, A. L., &amp; Wall, M. M. (2020). U.S. Adults With Pain, a Group Increasingly Vulnerable to Nonmedical Cannabis Use and Cannabis Use Disorder: 2001-2002 and 2012-2013. </w:t>
      </w:r>
      <w:r w:rsidRPr="00CC37F3">
        <w:rPr>
          <w:i/>
          <w:noProof/>
        </w:rPr>
        <w:t>American Journal of Psychiatry</w:t>
      </w:r>
      <w:r w:rsidRPr="00586AFA">
        <w:rPr>
          <w:noProof/>
        </w:rPr>
        <w:t xml:space="preserve">, </w:t>
      </w:r>
      <w:r w:rsidR="0042665B" w:rsidRPr="00586AFA">
        <w:rPr>
          <w:noProof/>
        </w:rPr>
        <w:t xml:space="preserve">Advanced online publication. </w:t>
      </w:r>
      <w:r w:rsidRPr="00586AFA">
        <w:rPr>
          <w:noProof/>
        </w:rPr>
        <w:t>appiajp201919030284</w:t>
      </w:r>
      <w:r w:rsidRPr="00CC37F3">
        <w:rPr>
          <w:noProof/>
        </w:rPr>
        <w:t>. doi:10.1176/appi.ajp.2019.19030284</w:t>
      </w:r>
    </w:p>
    <w:p w:rsidR="00851913" w:rsidRPr="00CC37F3" w:rsidRDefault="00851913" w:rsidP="00CC37F3">
      <w:pPr>
        <w:pStyle w:val="EndNoteBibliography"/>
        <w:ind w:left="720" w:hanging="720"/>
        <w:rPr>
          <w:noProof/>
          <w:u w:val="single"/>
        </w:rPr>
      </w:pPr>
      <w:r w:rsidRPr="00CC37F3">
        <w:rPr>
          <w:noProof/>
        </w:rPr>
        <w:t xml:space="preserve">Kendler, K. S., &amp; Gardner, C. O. (2010). Interpretation of interactions: guide for the perplexed. </w:t>
      </w:r>
      <w:r w:rsidRPr="00CC37F3">
        <w:rPr>
          <w:i/>
          <w:noProof/>
        </w:rPr>
        <w:t>British Journal of Psychiatry, 197</w:t>
      </w:r>
      <w:r w:rsidRPr="00CC37F3">
        <w:rPr>
          <w:noProof/>
        </w:rPr>
        <w:t>(3), 170-171. doi:</w:t>
      </w:r>
      <w:r w:rsidRPr="00AE2C86">
        <w:rPr>
          <w:noProof/>
        </w:rPr>
        <w:t>197/3/170 [pii]</w:t>
      </w:r>
      <w:r w:rsidR="00AE2C86">
        <w:rPr>
          <w:noProof/>
        </w:rPr>
        <w:t xml:space="preserve"> </w:t>
      </w:r>
      <w:r w:rsidRPr="00AE2C86">
        <w:rPr>
          <w:noProof/>
        </w:rPr>
        <w:t>10.1192/bjp.bp.110.081331</w:t>
      </w:r>
    </w:p>
    <w:p w:rsidR="00851913" w:rsidRPr="00CC37F3" w:rsidRDefault="00851913" w:rsidP="00CC37F3">
      <w:pPr>
        <w:pStyle w:val="EndNoteBibliography"/>
        <w:ind w:left="720" w:hanging="720"/>
        <w:rPr>
          <w:noProof/>
        </w:rPr>
      </w:pPr>
      <w:r w:rsidRPr="00CC37F3">
        <w:rPr>
          <w:noProof/>
        </w:rPr>
        <w:t xml:space="preserve">Nock, M. K., Hwang, I., Sampson, N. A., &amp; Kessler, R. C. (2010). Mental disorders, comorbidity and suicidal behavior: results from the National Comorbidity Survey Replication. </w:t>
      </w:r>
      <w:r w:rsidRPr="00CC37F3">
        <w:rPr>
          <w:i/>
          <w:noProof/>
        </w:rPr>
        <w:t>Molecular Psychiatry, 15</w:t>
      </w:r>
      <w:r w:rsidRPr="00CC37F3">
        <w:rPr>
          <w:noProof/>
        </w:rPr>
        <w:t>(8), 868-876. doi:10.1038/mp.2009.29</w:t>
      </w:r>
    </w:p>
    <w:p w:rsidR="00851913" w:rsidRPr="00CC37F3" w:rsidRDefault="00851913" w:rsidP="00CC37F3">
      <w:pPr>
        <w:pStyle w:val="EndNoteBibliography"/>
        <w:ind w:left="720" w:hanging="720"/>
        <w:rPr>
          <w:noProof/>
        </w:rPr>
      </w:pPr>
      <w:r w:rsidRPr="00CC37F3">
        <w:rPr>
          <w:noProof/>
        </w:rPr>
        <w:t xml:space="preserve">Pagano, H. P., Zapata, L. B., Berry-Bibee, E. N., Nanda, K., &amp; Curtis, K. M. (2016). Safety of hormonal contraception and intrauterine devices among women with depressive and </w:t>
      </w:r>
      <w:r w:rsidRPr="00CC37F3">
        <w:rPr>
          <w:noProof/>
        </w:rPr>
        <w:lastRenderedPageBreak/>
        <w:t xml:space="preserve">bipolar disorders: a systematic review. </w:t>
      </w:r>
      <w:r w:rsidRPr="00CC37F3">
        <w:rPr>
          <w:i/>
          <w:noProof/>
        </w:rPr>
        <w:t>Contraception, 94</w:t>
      </w:r>
      <w:r w:rsidRPr="00CC37F3">
        <w:rPr>
          <w:noProof/>
        </w:rPr>
        <w:t>(6), 641-649. doi:10.1016/j.contraception.2016.06.012</w:t>
      </w:r>
    </w:p>
    <w:p w:rsidR="00851913" w:rsidRPr="00CC37F3" w:rsidRDefault="00851913" w:rsidP="00CC37F3">
      <w:pPr>
        <w:pStyle w:val="EndNoteBibliography"/>
        <w:ind w:left="720" w:hanging="720"/>
        <w:rPr>
          <w:noProof/>
        </w:rPr>
      </w:pPr>
      <w:r w:rsidRPr="00CC37F3">
        <w:rPr>
          <w:noProof/>
        </w:rPr>
        <w:t xml:space="preserve">Skovlund, C. W., Morch, L. S., Kessing, L. V., Lange, T., &amp; Lidegaard, O. (2018). Association of Hormonal Contraception With Suicide Attempts and Suicides. </w:t>
      </w:r>
      <w:r w:rsidRPr="00CC37F3">
        <w:rPr>
          <w:i/>
          <w:noProof/>
        </w:rPr>
        <w:t>American Journal of Psychiatry, 175</w:t>
      </w:r>
      <w:r w:rsidRPr="00CC37F3">
        <w:rPr>
          <w:noProof/>
        </w:rPr>
        <w:t>(4), 336-342. doi:10.1176/appi.ajp.2017.17060616</w:t>
      </w:r>
    </w:p>
    <w:p w:rsidR="00851913" w:rsidRPr="00CC37F3" w:rsidRDefault="00851913" w:rsidP="00CC37F3">
      <w:pPr>
        <w:pStyle w:val="EndNoteBibliography"/>
        <w:ind w:left="720" w:hanging="720"/>
        <w:rPr>
          <w:noProof/>
        </w:rPr>
      </w:pPr>
      <w:r w:rsidRPr="00CC37F3">
        <w:rPr>
          <w:noProof/>
        </w:rPr>
        <w:t xml:space="preserve">Skovlund, C. W., Morch, L. S., Kessing, L. V., &amp; Lidegaard, O. (2016). Association of Hormonal Contraception With Depression. </w:t>
      </w:r>
      <w:r w:rsidRPr="00CC37F3">
        <w:rPr>
          <w:i/>
          <w:noProof/>
        </w:rPr>
        <w:t>JAMA Psychiatry, 73</w:t>
      </w:r>
      <w:r w:rsidRPr="00CC37F3">
        <w:rPr>
          <w:noProof/>
        </w:rPr>
        <w:t>(11), 1154-1162. doi:10.1001/jamapsychiatry.2016.2387</w:t>
      </w:r>
    </w:p>
    <w:p w:rsidR="00851913" w:rsidRPr="0009717E" w:rsidRDefault="00851913" w:rsidP="0009717E">
      <w:pPr>
        <w:spacing w:line="240" w:lineRule="auto"/>
        <w:rPr>
          <w:rFonts w:ascii="Helvetica Neue" w:hAnsi="Helvetica Neue"/>
        </w:rPr>
      </w:pPr>
    </w:p>
    <w:p w:rsidR="00165861" w:rsidRDefault="00165861"/>
    <w:sectPr w:rsidR="00165861">
      <w:pgSz w:w="12240" w:h="15840"/>
      <w:pgMar w:top="1440" w:right="1440" w:bottom="1440" w:left="1440" w:header="720" w:footer="72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panose1 w:val="02000503000000020004"/>
    <w:charset w:val="00"/>
    <w:family w:val="auto"/>
    <w:pitch w:val="variable"/>
    <w:sig w:usb0="E50002FF" w:usb1="500079DB" w:usb2="0000001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851913"/>
    <w:rsid w:val="00010C47"/>
    <w:rsid w:val="000402C8"/>
    <w:rsid w:val="000405F2"/>
    <w:rsid w:val="00060EF3"/>
    <w:rsid w:val="000932CD"/>
    <w:rsid w:val="000A41C7"/>
    <w:rsid w:val="00114849"/>
    <w:rsid w:val="00160949"/>
    <w:rsid w:val="00165861"/>
    <w:rsid w:val="00196BC4"/>
    <w:rsid w:val="001C73F8"/>
    <w:rsid w:val="001D42BD"/>
    <w:rsid w:val="001F5D27"/>
    <w:rsid w:val="001F5D39"/>
    <w:rsid w:val="00222B83"/>
    <w:rsid w:val="002815BD"/>
    <w:rsid w:val="002A39E9"/>
    <w:rsid w:val="002D50AF"/>
    <w:rsid w:val="003050C4"/>
    <w:rsid w:val="003065A4"/>
    <w:rsid w:val="0030733A"/>
    <w:rsid w:val="003502CA"/>
    <w:rsid w:val="00363553"/>
    <w:rsid w:val="003B7DFB"/>
    <w:rsid w:val="003D283F"/>
    <w:rsid w:val="0042196D"/>
    <w:rsid w:val="0042665B"/>
    <w:rsid w:val="00436622"/>
    <w:rsid w:val="005344A8"/>
    <w:rsid w:val="00586AFA"/>
    <w:rsid w:val="005B6F15"/>
    <w:rsid w:val="005E7278"/>
    <w:rsid w:val="00612455"/>
    <w:rsid w:val="00612AF6"/>
    <w:rsid w:val="00626836"/>
    <w:rsid w:val="0067075E"/>
    <w:rsid w:val="00684040"/>
    <w:rsid w:val="006F08F3"/>
    <w:rsid w:val="007542C4"/>
    <w:rsid w:val="007C50A6"/>
    <w:rsid w:val="007D1430"/>
    <w:rsid w:val="00803E53"/>
    <w:rsid w:val="00851913"/>
    <w:rsid w:val="008A6B49"/>
    <w:rsid w:val="008E17CC"/>
    <w:rsid w:val="00971CF9"/>
    <w:rsid w:val="009F284D"/>
    <w:rsid w:val="00A84A97"/>
    <w:rsid w:val="00A92E64"/>
    <w:rsid w:val="00AA223B"/>
    <w:rsid w:val="00AD143C"/>
    <w:rsid w:val="00AE2C86"/>
    <w:rsid w:val="00BC3A86"/>
    <w:rsid w:val="00BE7F9B"/>
    <w:rsid w:val="00C175EA"/>
    <w:rsid w:val="00C2794C"/>
    <w:rsid w:val="00C51E90"/>
    <w:rsid w:val="00C8124A"/>
    <w:rsid w:val="00D13010"/>
    <w:rsid w:val="00D25955"/>
    <w:rsid w:val="00D47772"/>
    <w:rsid w:val="00D76A8C"/>
    <w:rsid w:val="00D97463"/>
    <w:rsid w:val="00E00530"/>
    <w:rsid w:val="00E67A1C"/>
    <w:rsid w:val="00EF2F6F"/>
    <w:rsid w:val="00F33761"/>
    <w:rsid w:val="00FC229B"/>
    <w:rsid w:val="00FC3EE9"/>
    <w:rsid w:val="00FD1DDB"/>
    <w:rsid w:val="00FF7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921BC"/>
  <w15:chartTrackingRefBased/>
  <w15:docId w15:val="{AD6D45C1-FE48-8341-942E-8F484BDE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Neue" w:eastAsiaTheme="minorHAnsi" w:hAnsi="Helvetica Neue" w:cs="Times New Roman (Body 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913"/>
    <w:pPr>
      <w:spacing w:line="276" w:lineRule="auto"/>
    </w:pPr>
    <w:rPr>
      <w:rFonts w:ascii="Arial" w:eastAsia="Arial" w:hAnsi="Arial" w:cs="Arial"/>
      <w:szCs w:val="22"/>
      <w:lang w:val="en"/>
    </w:rPr>
  </w:style>
  <w:style w:type="paragraph" w:styleId="Heading1">
    <w:name w:val="heading 1"/>
    <w:basedOn w:val="Normal"/>
    <w:next w:val="Normal"/>
    <w:link w:val="Heading1Char"/>
    <w:uiPriority w:val="9"/>
    <w:qFormat/>
    <w:rsid w:val="00851913"/>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851913"/>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851913"/>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851913"/>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851913"/>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85191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913"/>
    <w:rPr>
      <w:rFonts w:ascii="Arial" w:eastAsia="Arial" w:hAnsi="Arial" w:cs="Arial"/>
      <w:sz w:val="40"/>
      <w:szCs w:val="40"/>
      <w:lang w:val="en"/>
    </w:rPr>
  </w:style>
  <w:style w:type="character" w:customStyle="1" w:styleId="Heading2Char">
    <w:name w:val="Heading 2 Char"/>
    <w:basedOn w:val="DefaultParagraphFont"/>
    <w:link w:val="Heading2"/>
    <w:uiPriority w:val="9"/>
    <w:semiHidden/>
    <w:rsid w:val="00851913"/>
    <w:rPr>
      <w:rFonts w:ascii="Arial" w:eastAsia="Arial" w:hAnsi="Arial" w:cs="Arial"/>
      <w:sz w:val="32"/>
      <w:szCs w:val="32"/>
      <w:lang w:val="en"/>
    </w:rPr>
  </w:style>
  <w:style w:type="character" w:customStyle="1" w:styleId="Heading3Char">
    <w:name w:val="Heading 3 Char"/>
    <w:basedOn w:val="DefaultParagraphFont"/>
    <w:link w:val="Heading3"/>
    <w:uiPriority w:val="9"/>
    <w:semiHidden/>
    <w:rsid w:val="00851913"/>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851913"/>
    <w:rPr>
      <w:rFonts w:ascii="Arial" w:eastAsia="Arial" w:hAnsi="Arial" w:cs="Arial"/>
      <w:color w:val="666666"/>
      <w:sz w:val="24"/>
      <w:lang w:val="en"/>
    </w:rPr>
  </w:style>
  <w:style w:type="character" w:customStyle="1" w:styleId="Heading5Char">
    <w:name w:val="Heading 5 Char"/>
    <w:basedOn w:val="DefaultParagraphFont"/>
    <w:link w:val="Heading5"/>
    <w:uiPriority w:val="9"/>
    <w:semiHidden/>
    <w:rsid w:val="00851913"/>
    <w:rPr>
      <w:rFonts w:ascii="Arial" w:eastAsia="Arial" w:hAnsi="Arial" w:cs="Arial"/>
      <w:color w:val="666666"/>
      <w:szCs w:val="22"/>
      <w:lang w:val="en"/>
    </w:rPr>
  </w:style>
  <w:style w:type="character" w:customStyle="1" w:styleId="Heading6Char">
    <w:name w:val="Heading 6 Char"/>
    <w:basedOn w:val="DefaultParagraphFont"/>
    <w:link w:val="Heading6"/>
    <w:uiPriority w:val="9"/>
    <w:semiHidden/>
    <w:rsid w:val="00851913"/>
    <w:rPr>
      <w:rFonts w:ascii="Arial" w:eastAsia="Arial" w:hAnsi="Arial" w:cs="Arial"/>
      <w:i/>
      <w:color w:val="666666"/>
      <w:szCs w:val="22"/>
      <w:lang w:val="en"/>
    </w:rPr>
  </w:style>
  <w:style w:type="paragraph" w:styleId="Title">
    <w:name w:val="Title"/>
    <w:basedOn w:val="Normal"/>
    <w:next w:val="Normal"/>
    <w:link w:val="TitleChar"/>
    <w:uiPriority w:val="10"/>
    <w:qFormat/>
    <w:rsid w:val="00851913"/>
    <w:pPr>
      <w:keepNext/>
      <w:keepLines/>
      <w:spacing w:after="60"/>
    </w:pPr>
    <w:rPr>
      <w:sz w:val="52"/>
      <w:szCs w:val="52"/>
    </w:rPr>
  </w:style>
  <w:style w:type="character" w:customStyle="1" w:styleId="TitleChar">
    <w:name w:val="Title Char"/>
    <w:basedOn w:val="DefaultParagraphFont"/>
    <w:link w:val="Title"/>
    <w:uiPriority w:val="10"/>
    <w:rsid w:val="00851913"/>
    <w:rPr>
      <w:rFonts w:ascii="Arial" w:eastAsia="Arial" w:hAnsi="Arial" w:cs="Arial"/>
      <w:sz w:val="52"/>
      <w:szCs w:val="52"/>
      <w:lang w:val="en"/>
    </w:rPr>
  </w:style>
  <w:style w:type="paragraph" w:styleId="Subtitle">
    <w:name w:val="Subtitle"/>
    <w:basedOn w:val="Normal"/>
    <w:next w:val="Normal"/>
    <w:link w:val="SubtitleChar"/>
    <w:uiPriority w:val="11"/>
    <w:qFormat/>
    <w:rsid w:val="00851913"/>
    <w:pPr>
      <w:keepNext/>
      <w:keepLines/>
      <w:spacing w:after="320"/>
    </w:pPr>
    <w:rPr>
      <w:color w:val="666666"/>
      <w:sz w:val="30"/>
      <w:szCs w:val="30"/>
    </w:rPr>
  </w:style>
  <w:style w:type="character" w:customStyle="1" w:styleId="SubtitleChar">
    <w:name w:val="Subtitle Char"/>
    <w:basedOn w:val="DefaultParagraphFont"/>
    <w:link w:val="Subtitle"/>
    <w:uiPriority w:val="11"/>
    <w:rsid w:val="00851913"/>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sid w:val="00851913"/>
    <w:pPr>
      <w:spacing w:line="240" w:lineRule="auto"/>
    </w:pPr>
    <w:rPr>
      <w:sz w:val="20"/>
      <w:szCs w:val="20"/>
    </w:rPr>
  </w:style>
  <w:style w:type="character" w:customStyle="1" w:styleId="CommentTextChar">
    <w:name w:val="Comment Text Char"/>
    <w:basedOn w:val="DefaultParagraphFont"/>
    <w:link w:val="CommentText"/>
    <w:uiPriority w:val="99"/>
    <w:semiHidden/>
    <w:rsid w:val="00851913"/>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851913"/>
    <w:rPr>
      <w:sz w:val="16"/>
      <w:szCs w:val="16"/>
    </w:rPr>
  </w:style>
  <w:style w:type="paragraph" w:styleId="BalloonText">
    <w:name w:val="Balloon Text"/>
    <w:basedOn w:val="Normal"/>
    <w:link w:val="BalloonTextChar"/>
    <w:uiPriority w:val="99"/>
    <w:semiHidden/>
    <w:unhideWhenUsed/>
    <w:rsid w:val="0085191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1913"/>
    <w:rPr>
      <w:rFonts w:ascii="Times New Roman" w:eastAsia="Arial" w:hAnsi="Times New Roman" w:cs="Times New Roman"/>
      <w:sz w:val="18"/>
      <w:szCs w:val="18"/>
      <w:lang w:val="en"/>
    </w:rPr>
  </w:style>
  <w:style w:type="paragraph" w:customStyle="1" w:styleId="EndNoteBibliographyTitle">
    <w:name w:val="EndNote Bibliography Title"/>
    <w:basedOn w:val="Normal"/>
    <w:link w:val="EndNoteBibliographyTitleChar"/>
    <w:rsid w:val="00851913"/>
    <w:pPr>
      <w:jc w:val="center"/>
    </w:pPr>
    <w:rPr>
      <w:lang w:val="en-US"/>
    </w:rPr>
  </w:style>
  <w:style w:type="character" w:customStyle="1" w:styleId="EndNoteBibliographyTitleChar">
    <w:name w:val="EndNote Bibliography Title Char"/>
    <w:basedOn w:val="DefaultParagraphFont"/>
    <w:link w:val="EndNoteBibliographyTitle"/>
    <w:rsid w:val="00851913"/>
    <w:rPr>
      <w:rFonts w:ascii="Arial" w:eastAsia="Arial" w:hAnsi="Arial" w:cs="Arial"/>
      <w:szCs w:val="22"/>
    </w:rPr>
  </w:style>
  <w:style w:type="paragraph" w:customStyle="1" w:styleId="EndNoteBibliography">
    <w:name w:val="EndNote Bibliography"/>
    <w:basedOn w:val="Normal"/>
    <w:link w:val="EndNoteBibliographyChar"/>
    <w:rsid w:val="00851913"/>
    <w:pPr>
      <w:spacing w:line="480" w:lineRule="auto"/>
    </w:pPr>
    <w:rPr>
      <w:lang w:val="en-US"/>
    </w:rPr>
  </w:style>
  <w:style w:type="character" w:customStyle="1" w:styleId="EndNoteBibliographyChar">
    <w:name w:val="EndNote Bibliography Char"/>
    <w:basedOn w:val="DefaultParagraphFont"/>
    <w:link w:val="EndNoteBibliography"/>
    <w:rsid w:val="00851913"/>
    <w:rPr>
      <w:rFonts w:ascii="Arial" w:eastAsia="Arial" w:hAnsi="Arial" w:cs="Arial"/>
      <w:szCs w:val="22"/>
    </w:rPr>
  </w:style>
  <w:style w:type="table" w:styleId="TableGrid">
    <w:name w:val="Table Grid"/>
    <w:basedOn w:val="TableNormal"/>
    <w:uiPriority w:val="39"/>
    <w:rsid w:val="00851913"/>
    <w:rPr>
      <w:rFonts w:ascii="Arial" w:eastAsia="Arial" w:hAnsi="Arial" w:cs="Arial"/>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51913"/>
    <w:rPr>
      <w:b/>
      <w:bCs/>
    </w:rPr>
  </w:style>
  <w:style w:type="character" w:customStyle="1" w:styleId="CommentSubjectChar">
    <w:name w:val="Comment Subject Char"/>
    <w:basedOn w:val="CommentTextChar"/>
    <w:link w:val="CommentSubject"/>
    <w:uiPriority w:val="99"/>
    <w:semiHidden/>
    <w:rsid w:val="00851913"/>
    <w:rPr>
      <w:rFonts w:ascii="Arial" w:eastAsia="Arial" w:hAnsi="Arial" w:cs="Arial"/>
      <w:b/>
      <w:bCs/>
      <w:sz w:val="20"/>
      <w:szCs w:val="20"/>
      <w:lang w:val="en"/>
    </w:rPr>
  </w:style>
  <w:style w:type="character" w:customStyle="1" w:styleId="meta-citation-journal-name">
    <w:name w:val="meta-citation-journal-name"/>
    <w:basedOn w:val="DefaultParagraphFont"/>
    <w:rsid w:val="00FC3EE9"/>
  </w:style>
  <w:style w:type="character" w:customStyle="1" w:styleId="meta-citation">
    <w:name w:val="meta-citation"/>
    <w:basedOn w:val="DefaultParagraphFont"/>
    <w:rsid w:val="00FC3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2571</Words>
  <Characters>14657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Edwards</dc:creator>
  <cp:keywords/>
  <dc:description/>
  <cp:lastModifiedBy>Alexis Edwards</cp:lastModifiedBy>
  <cp:revision>7</cp:revision>
  <cp:lastPrinted>2020-09-04T16:00:00Z</cp:lastPrinted>
  <dcterms:created xsi:type="dcterms:W3CDTF">2020-09-04T16:16:00Z</dcterms:created>
  <dcterms:modified xsi:type="dcterms:W3CDTF">2020-09-04T20:15:00Z</dcterms:modified>
</cp:coreProperties>
</file>