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2B89" w14:textId="77777777" w:rsidR="00107943" w:rsidRDefault="00107943" w:rsidP="00477B16">
      <w:pPr>
        <w:spacing w:line="480" w:lineRule="auto"/>
        <w:rPr>
          <w:rFonts w:ascii="Calibri" w:hAnsi="Calibri" w:cs="Calibri"/>
          <w:b/>
        </w:rPr>
      </w:pPr>
    </w:p>
    <w:p w14:paraId="1041F9E1" w14:textId="607C9359" w:rsidR="0001676A" w:rsidRDefault="0001676A" w:rsidP="0001676A">
      <w:pPr>
        <w:spacing w:line="480" w:lineRule="auto"/>
        <w:ind w:firstLine="360"/>
        <w:rPr>
          <w:rFonts w:ascii="Calibri" w:hAnsi="Calibri" w:cs="Calibri"/>
        </w:rPr>
      </w:pPr>
      <w:r w:rsidRPr="006F6C4C">
        <w:rPr>
          <w:rFonts w:ascii="Calibri" w:hAnsi="Calibri" w:cs="Calibri"/>
          <w:b/>
        </w:rPr>
        <w:t>1.</w:t>
      </w:r>
      <w:r>
        <w:rPr>
          <w:rFonts w:ascii="Calibri" w:hAnsi="Calibri" w:cs="Calibri"/>
          <w:b/>
        </w:rPr>
        <w:t>1</w:t>
      </w:r>
      <w:r w:rsidRPr="006F6C4C">
        <w:rPr>
          <w:rFonts w:ascii="Calibri" w:hAnsi="Calibri" w:cs="Calibri"/>
          <w:b/>
        </w:rPr>
        <w:t xml:space="preserve">. Manual </w:t>
      </w:r>
      <w:r>
        <w:rPr>
          <w:rFonts w:ascii="Calibri" w:hAnsi="Calibri" w:cs="Calibri"/>
          <w:b/>
        </w:rPr>
        <w:t>S</w:t>
      </w:r>
      <w:r w:rsidRPr="006F6C4C">
        <w:rPr>
          <w:rFonts w:ascii="Calibri" w:hAnsi="Calibri" w:cs="Calibri"/>
          <w:b/>
        </w:rPr>
        <w:t xml:space="preserve">egmentation </w:t>
      </w:r>
      <w:r w:rsidR="00EA3D49">
        <w:rPr>
          <w:rFonts w:ascii="Calibri" w:hAnsi="Calibri" w:cs="Calibri"/>
          <w:b/>
        </w:rPr>
        <w:t>P</w:t>
      </w:r>
      <w:r w:rsidR="00EA3D49" w:rsidRPr="006F6C4C">
        <w:rPr>
          <w:rFonts w:ascii="Calibri" w:hAnsi="Calibri" w:cs="Calibri"/>
          <w:b/>
        </w:rPr>
        <w:t>rocedures</w:t>
      </w:r>
    </w:p>
    <w:p w14:paraId="78819F78" w14:textId="61C97CF5" w:rsidR="0001676A" w:rsidRPr="00073BC8" w:rsidRDefault="0001676A" w:rsidP="001F4CD5">
      <w:pPr>
        <w:spacing w:line="480" w:lineRule="auto"/>
        <w:ind w:firstLine="360"/>
      </w:pPr>
      <w:r>
        <w:t xml:space="preserve">We used </w:t>
      </w:r>
      <w:proofErr w:type="spellStart"/>
      <w:r>
        <w:t>Multitracer</w:t>
      </w:r>
      <w:proofErr w:type="spellEnd"/>
      <w:r>
        <w:t xml:space="preserve"> 2.0, a free online tool </w:t>
      </w:r>
      <w:r w:rsidRPr="00477B16">
        <w:rPr>
          <w:rFonts w:ascii="Calibri" w:hAnsi="Calibri" w:cs="Calibri"/>
        </w:rPr>
        <w:t>(</w:t>
      </w:r>
      <w:hyperlink r:id="rId7" w:history="1">
        <w:r w:rsidRPr="00477B16">
          <w:rPr>
            <w:rStyle w:val="Hyperlink"/>
            <w:rFonts w:ascii="Calibri" w:hAnsi="Calibri" w:cs="Calibri"/>
          </w:rPr>
          <w:t>http://air.bmap.ucla.edu/MultiTracer2/MultiTracer.html</w:t>
        </w:r>
      </w:hyperlink>
      <w:r>
        <w:t>) for all manual segmentation</w:t>
      </w:r>
      <w:r w:rsidR="00CD5316">
        <w:t>s</w:t>
      </w:r>
      <w:r>
        <w:t xml:space="preserve"> of the amygdala. </w:t>
      </w:r>
      <w:r w:rsidR="00CD5316">
        <w:t xml:space="preserve">All </w:t>
      </w:r>
      <w:r>
        <w:t>brain scans were loaded onto the software in NIFTI format. Tracings were done on a Mac mini macOS Sierra equipped with a touchscreen (Cintiq 22HD Creative Pen Display) and pressure-sensitive pen.</w:t>
      </w:r>
      <w:r w:rsidR="001F4CD5">
        <w:t xml:space="preserve"> </w:t>
      </w:r>
      <w:r>
        <w:t>Total amygdala volumes</w:t>
      </w:r>
      <w:r w:rsidR="007A7B94">
        <w:t xml:space="preserve"> were measured</w:t>
      </w:r>
      <w:r>
        <w:t xml:space="preserve"> following recommended segmentation method from </w:t>
      </w:r>
      <w:proofErr w:type="spellStart"/>
      <w:r>
        <w:t>Entis</w:t>
      </w:r>
      <w:proofErr w:type="spellEnd"/>
      <w:r>
        <w:t xml:space="preserve"> and colleagues</w:t>
      </w:r>
      <w:r w:rsidR="007A7B94">
        <w:t xml:space="preserve"> </w:t>
      </w:r>
      <w:r w:rsidR="007A7B94">
        <w:fldChar w:fldCharType="begin" w:fldLock="1"/>
      </w:r>
      <w:r w:rsidR="00073BC8">
        <w:instrText>ADDIN CSL_CITATION {"citationItems":[{"id":"ITEM-1","itemData":{"abstract":"The measurement of the volume of the human amygdala in vivo has received increasing attention over the past decade, but existing methods face several challenges. First, due to the amorphous appearance of the amygdala and the difficulties in interpreting its boundaries, it is common for protocols to omit sizable sections of the rostral and dorsal regions of the amygdala comprising parts of the basolateral complex (BL) and central nucleus (Ce), respectively. Second, segmentation of the amgydaloid complex into separate subdivisions is challenging due to the resolution of routinely acquired images and the lack of standard protocols. Recent advances in technology have made ultra-high resolution MR images available, and in this study we provide a detailed segmentation protocol for manually tracing the whole amygdala that incorporates a greater portion of the rostral and dorsal sections with techniques illustrated in detail to maximize reproducibility. In addition, we propose a geometrically-based protocol for segmenting the amygdala into four component subregions of interest (sROI), which correspond largely to amygdala subnuclear divisions: the BL sROI, centromedial (CM) sROI, basomedial (BM) sROI, and the amygdaloid cortical (ACo) sROI. We performed an intra- and inter-rater reliability study of our methods in 10 adults (5 young adults and 5 older adults). The results indicate that both protocols can be implemented with a high degree of reliability (the majority of intra-rater and inter-rater correlations were &gt; 0.81). This protocol should aid further research into the alterations in amygdala anatomy, connectivity, and function that accompany normal aging and pathology associated with neuropsychiatric disorders.","author":[{"dropping-particle":"","family":"Entis","given":"Jonathan J.","non-dropping-particle":"","parse-names":false,"suffix":""},{"dropping-particle":"","family":"Doerga","given":"Priya","non-dropping-particle":"","parse-names":false,"suffix":""},{"dropping-particle":"","family":"Barrett","given":"Lisa Feldman","non-dropping-particle":"","parse-names":false,"suffix":""},{"dropping-particle":"","family":"Dickerson","given":"Bradford C.","non-dropping-particle":"","parse-names":false,"suffix":""}],"container-title":"NeuroImage","id":"ITEM-1","issue":"2","issued":{"date-parts":[["2012"]]},"page":"1226-1235","title":"A reliable protocol for the manual segmentation of the human amygdala and its subregions using ultra-high resolution MRI","type":"article-journal","volume":"60"},"uris":["http://www.mendeley.com/documents/?uuid=5b33ceca-1826-3297-b388-9604498281cd"]}],"mendeley":{"formattedCitation":"(Entis &lt;i&gt;et al.&lt;/i&gt; 2012)","plainTextFormattedCitation":"(Entis et al. 2012)","previouslyFormattedCitation":"(Entis &lt;i&gt;et al.&lt;/i&gt; 2012)"},"properties":{"noteIndex":0},"schema":"https://github.com/citation-style-language/schema/raw/master/csl-citation.json"}</w:instrText>
      </w:r>
      <w:r w:rsidR="007A7B94">
        <w:fldChar w:fldCharType="separate"/>
      </w:r>
      <w:r w:rsidR="007A7B94" w:rsidRPr="007A7B94">
        <w:rPr>
          <w:noProof/>
        </w:rPr>
        <w:t xml:space="preserve">(Entis </w:t>
      </w:r>
      <w:r w:rsidR="007A7B94" w:rsidRPr="007A7B94">
        <w:rPr>
          <w:i/>
          <w:noProof/>
        </w:rPr>
        <w:t>et al.</w:t>
      </w:r>
      <w:r w:rsidR="007A7B94" w:rsidRPr="007A7B94">
        <w:rPr>
          <w:noProof/>
        </w:rPr>
        <w:t xml:space="preserve"> 2012)</w:t>
      </w:r>
      <w:r w:rsidR="007A7B94">
        <w:fldChar w:fldCharType="end"/>
      </w:r>
      <w:r w:rsidR="007A7B94">
        <w:t>. Human tracer</w:t>
      </w:r>
      <w:r>
        <w:t xml:space="preserve"> (TP) was trained in this protocol, largely using the methods and supplemental data portions </w:t>
      </w:r>
      <w:r w:rsidR="00B05C8D">
        <w:t>from</w:t>
      </w:r>
      <w:r>
        <w:t xml:space="preserve"> the publication. An atlas of the human brain was consulted to assist in correct segmentation</w:t>
      </w:r>
      <w:r w:rsidR="00073BC8">
        <w:t xml:space="preserve"> </w:t>
      </w:r>
      <w:r w:rsidR="00073BC8">
        <w:fldChar w:fldCharType="begin" w:fldLock="1"/>
      </w:r>
      <w:r w:rsidR="00291B0B">
        <w:instrText>ADDIN CSL_CITATION {"citationItems":[{"id":"ITEM-1","itemData":{"author":[{"dropping-particle":"","family":"Mai","given":"J.K.","non-dropping-particle":"","parse-names":false,"suffix":""},{"dropping-particle":"","family":"Paxinos","given":"G.","non-dropping-particle":"","parse-names":false,"suffix":""},{"dropping-particle":"","family":"Assheuer","given":"J.K.","non-dropping-particle":"","parse-names":false,"suffix":""}],"container-title":"San Diego CA: Academic Press;","id":"ITEM-1","issued":{"date-parts":[["2004"]]},"title":"Atlas of the Human Brain","type":"article-journal"},"uris":["http://www.mendeley.com/documents/?uuid=8607b892-d0ae-45c6-a15b-024138d23881"]}],"mendeley":{"formattedCitation":"(Mai &lt;i&gt;et al.&lt;/i&gt; 2004)","plainTextFormattedCitation":"(Mai et al. 2004)","previouslyFormattedCitation":"(Mai &lt;i&gt;et al.&lt;/i&gt; 2004)"},"properties":{"noteIndex":0},"schema":"https://github.com/citation-style-language/schema/raw/master/csl-citation.json"}</w:instrText>
      </w:r>
      <w:r w:rsidR="00073BC8">
        <w:fldChar w:fldCharType="separate"/>
      </w:r>
      <w:r w:rsidR="00073BC8" w:rsidRPr="00073BC8">
        <w:rPr>
          <w:noProof/>
        </w:rPr>
        <w:t xml:space="preserve">(Mai </w:t>
      </w:r>
      <w:r w:rsidR="00073BC8" w:rsidRPr="00073BC8">
        <w:rPr>
          <w:i/>
          <w:noProof/>
        </w:rPr>
        <w:t>et al.</w:t>
      </w:r>
      <w:r w:rsidR="00073BC8" w:rsidRPr="00073BC8">
        <w:rPr>
          <w:noProof/>
        </w:rPr>
        <w:t xml:space="preserve"> 2004)</w:t>
      </w:r>
      <w:r w:rsidR="00073BC8">
        <w:fldChar w:fldCharType="end"/>
      </w:r>
      <w:r>
        <w:t>.</w:t>
      </w:r>
    </w:p>
    <w:p w14:paraId="7D7BC503" w14:textId="77777777" w:rsidR="0001676A" w:rsidRDefault="0001676A" w:rsidP="00477B16">
      <w:pPr>
        <w:spacing w:line="480" w:lineRule="auto"/>
        <w:rPr>
          <w:rFonts w:ascii="Calibri" w:hAnsi="Calibri" w:cs="Calibri"/>
          <w:b/>
        </w:rPr>
      </w:pPr>
    </w:p>
    <w:p w14:paraId="64E28F6A" w14:textId="5DE5CD71" w:rsidR="00107943" w:rsidRDefault="00107943" w:rsidP="00EA3D49">
      <w:pPr>
        <w:spacing w:line="480" w:lineRule="auto"/>
        <w:rPr>
          <w:rFonts w:ascii="Calibri" w:hAnsi="Calibri" w:cs="Calibri"/>
          <w:b/>
        </w:rPr>
      </w:pPr>
      <w:r>
        <w:rPr>
          <w:rFonts w:ascii="Calibri" w:hAnsi="Calibri" w:cs="Calibri"/>
          <w:b/>
        </w:rPr>
        <w:t>1.</w:t>
      </w:r>
      <w:r w:rsidR="00ED54FD">
        <w:rPr>
          <w:rFonts w:ascii="Calibri" w:hAnsi="Calibri" w:cs="Calibri"/>
          <w:b/>
        </w:rPr>
        <w:t>2</w:t>
      </w:r>
      <w:r>
        <w:rPr>
          <w:rFonts w:ascii="Calibri" w:hAnsi="Calibri" w:cs="Calibri"/>
          <w:b/>
        </w:rPr>
        <w:t>. Quality control procedure for image processing</w:t>
      </w:r>
    </w:p>
    <w:p w14:paraId="54075200" w14:textId="77777777" w:rsidR="00EA3D49" w:rsidRDefault="00EA3D49" w:rsidP="00EA3D49">
      <w:pPr>
        <w:spacing w:line="480" w:lineRule="auto"/>
        <w:rPr>
          <w:rFonts w:ascii="Calibri" w:hAnsi="Calibri" w:cs="Calibri"/>
          <w:b/>
        </w:rPr>
      </w:pPr>
    </w:p>
    <w:p w14:paraId="743D66B9" w14:textId="639914D5" w:rsidR="007F268D" w:rsidRPr="00EA3D49" w:rsidRDefault="00107943" w:rsidP="00EA3D49">
      <w:pPr>
        <w:spacing w:line="480" w:lineRule="auto"/>
        <w:ind w:firstLine="720"/>
        <w:rPr>
          <w:rFonts w:cstheme="minorHAnsi"/>
        </w:rPr>
      </w:pPr>
      <w:r w:rsidRPr="00A45AA2">
        <w:rPr>
          <w:rFonts w:cstheme="minorHAnsi"/>
          <w:b/>
        </w:rPr>
        <w:t>A three-step quality control procedure</w:t>
      </w:r>
      <w:r w:rsidRPr="00A45AA2">
        <w:rPr>
          <w:rFonts w:cstheme="minorHAnsi"/>
        </w:rPr>
        <w:t xml:space="preserve"> was performed with the </w:t>
      </w:r>
      <w:r>
        <w:rPr>
          <w:rFonts w:cstheme="minorHAnsi"/>
        </w:rPr>
        <w:t>automated amygdala</w:t>
      </w:r>
      <w:r w:rsidRPr="00A45AA2">
        <w:rPr>
          <w:rFonts w:cstheme="minorHAnsi"/>
        </w:rPr>
        <w:t xml:space="preserve"> segmentations: 1) all measurements below/above two standard deviations from the mean were uploaded and re-inspected in the sagittal plane; 2) all measurements with hemispherical asymmetry between left and right </w:t>
      </w:r>
      <w:r>
        <w:rPr>
          <w:rFonts w:cstheme="minorHAnsi"/>
        </w:rPr>
        <w:t>amygdala</w:t>
      </w:r>
      <w:r w:rsidRPr="00A45AA2">
        <w:rPr>
          <w:rFonts w:cstheme="minorHAnsi"/>
        </w:rPr>
        <w:t xml:space="preserve"> measurements of 300mm</w:t>
      </w:r>
      <w:r w:rsidRPr="00A45AA2">
        <w:rPr>
          <w:rFonts w:cstheme="minorHAnsi"/>
          <w:vertAlign w:val="superscript"/>
        </w:rPr>
        <w:t>3</w:t>
      </w:r>
      <w:r w:rsidRPr="00A45AA2">
        <w:rPr>
          <w:rFonts w:cstheme="minorHAnsi"/>
        </w:rPr>
        <w:t xml:space="preserve"> were inspected in the coronal plane; 3) </w:t>
      </w:r>
      <w:r>
        <w:rPr>
          <w:rFonts w:cstheme="minorHAnsi"/>
        </w:rPr>
        <w:t>a portion of the amygdala measurements from FS6.0 subfield-specific workflow were visually compared with the results from manual segmentation of the amygdala. Any detected</w:t>
      </w:r>
      <w:r w:rsidRPr="00A45AA2">
        <w:rPr>
          <w:rFonts w:cstheme="minorHAnsi"/>
        </w:rPr>
        <w:t xml:space="preserve"> cases of mislabeling from the automated segmentation were eliminated from the analysis.</w:t>
      </w:r>
      <w:r>
        <w:rPr>
          <w:rFonts w:cstheme="minorHAnsi"/>
        </w:rPr>
        <w:t xml:space="preserve"> </w:t>
      </w:r>
      <w:r w:rsidR="00E91CCD">
        <w:rPr>
          <w:rFonts w:cstheme="minorHAnsi"/>
        </w:rPr>
        <w:t xml:space="preserve">These quality control procedures for segmentation outputs from FS6.0 workflow are in </w:t>
      </w:r>
      <w:r w:rsidR="00E91CCD">
        <w:rPr>
          <w:rFonts w:cstheme="minorHAnsi"/>
        </w:rPr>
        <w:lastRenderedPageBreak/>
        <w:t xml:space="preserve">consonance with published protocols from the ENIGMA-MDD working group </w:t>
      </w:r>
      <w:r w:rsidR="00E91CCD">
        <w:rPr>
          <w:rFonts w:cstheme="minorHAnsi"/>
        </w:rPr>
        <w:fldChar w:fldCharType="begin" w:fldLock="1"/>
      </w:r>
      <w:r w:rsidR="00073BC8">
        <w:rPr>
          <w:rFonts w:cstheme="minorHAnsi"/>
        </w:rPr>
        <w:instrText>ADDIN CSL_CITATION {"citationItems":[{"id":"ITEM-1","itemData":{"DOI":"10.1038/mp.2015.69","ISSN":"1359-4184","abstract":"Subcortical brain alterations in major depressive disorder: findings from the ENIGMA Major Depressive Disorder working group","author":[{"dropping-particle":"","family":"Schmaal","given":"L","non-dropping-particle":"","parse-names":false,"suffix":""},{"dropping-particle":"","family":"Veltman","given":"D J","non-dropping-particle":"","parse-names":false,"suffix":""},{"dropping-particle":"","family":"Erp","given":"T G M","non-dropping-particle":"van","parse-names":false,"suffix":""},{"dropping-particle":"","family":"Sämann","given":"P G","non-dropping-particle":"","parse-names":false,"suffix":""},{"dropping-particle":"","family":"Frodl","given":"T","non-dropping-particle":"","parse-names":false,"suffix":""},{"dropping-particle":"","family":"Jahanshad","given":"N","non-dropping-particle":"","parse-names":false,"suffix":""},{"dropping-particle":"","family":"Loehrer","given":"E","non-dropping-particle":"","parse-names":false,"suffix":""},{"dropping-particle":"","family":"Tiemeier","given":"H","non-dropping-particle":"","parse-names":false,"suffix":""},{"dropping-particle":"","family":"Hofman","given":"A","non-dropping-particle":"","parse-names":false,"suffix":""},{"dropping-particle":"","family":"Niessen","given":"W J","non-dropping-particle":"","parse-names":false,"suffix":""},{"dropping-particle":"","family":"Vernooij","given":"M W","non-dropping-particle":"","parse-names":false,"suffix":""},{"dropping-particle":"","family":"Ikram","given":"M A","non-dropping-particle":"","parse-names":false,"suffix":""},{"dropping-particle":"","family":"Wittfeld","given":"K","non-dropping-particle":"","parse-names":false,"suffix":""},{"dropping-particle":"","family":"Grabe","given":"H J","non-dropping-particle":"","parse-names":false,"suffix":""},{"dropping-particle":"","family":"Block","given":"A","non-dropping-particle":"","parse-names":false,"suffix":""},{"dropping-particle":"","family":"Hegenscheid","given":"K","non-dropping-particle":"","parse-names":false,"suffix":""},{"dropping-particle":"","family":"Völzke","given":"H","non-dropping-particle":"","parse-names":false,"suffix":""},{"dropping-particle":"","family":"Hoehn","given":"D","non-dropping-particle":"","parse-names":false,"suffix":""},{"dropping-particle":"","family":"Czisch","given":"M","non-dropping-particle":"","parse-names":false,"suffix":""},{"dropping-particle":"","family":"Lagopoulos","given":"J","non-dropping-particle":"","parse-names":false,"suffix":""},{"dropping-particle":"","family":"Hatton","given":"S N","non-dropping-particle":"","parse-names":false,"suffix":""},{"dropping-particle":"","family":"Hickie","given":"I B","non-dropping-particle":"","parse-names":false,"suffix":""},{"dropping-particle":"","family":"Goya-Maldonado","given":"R","non-dropping-particle":"","parse-names":false,"suffix":""},{"dropping-particle":"","family":"Krämer","given":"B","non-dropping-particle":"","parse-names":false,"suffix":""},{"dropping-particle":"","family":"Gruber","given":"O","non-dropping-particle":"","parse-names":false,"suffix":""},{"dropping-particle":"","family":"Couvy-Duchesne","given":"B","non-dropping-particle":"","parse-names":false,"suffix":""},{"dropping-particle":"","family":"Rentería","given":"M E","non-dropping-particle":"","parse-names":false,"suffix":""},{"dropping-particle":"","family":"Strike","given":"L T","non-dropping-particle":"","parse-names":false,"suffix":""},{"dropping-particle":"","family":"Mills","given":"N T","non-dropping-particle":"","parse-names":false,"suffix":""},{"dropping-particle":"","family":"Zubicaray","given":"G I","non-dropping-particle":"de","parse-names":false,"suffix":""},{"dropping-particle":"","family":"McMahon","given":"K L","non-dropping-particle":"","parse-names":false,"suffix":""},{"dropping-particle":"","family":"Medland","given":"S E","non-dropping-particle":"","parse-names":false,"suffix":""},{"dropping-particle":"","family":"Martin","given":"N G","non-dropping-particle":"","parse-names":false,"suffix":""},{"dropping-particle":"","family":"Gillespie","given":"N A","non-dropping-particle":"","parse-names":false,"suffix":""},{"dropping-particle":"","family":"Wright","given":"M J","non-dropping-particle":"","parse-names":false,"suffix":""},{"dropping-particle":"","family":"Hall","given":"G B","non-dropping-particle":"","parse-names":false,"suffix":""},{"dropping-particle":"","family":"MacQueen","given":"G M","non-dropping-particle":"","parse-names":false,"suffix":""},{"dropping-particle":"","family":"Frey","given":"E M","non-dropping-particle":"","parse-names":false,"suffix":""},{"dropping-particle":"","family":"Carballedo","given":"A","non-dropping-particle":"","parse-names":false,"suffix":""},{"dropping-particle":"","family":"Velzen","given":"L S","non-dropping-particle":"van","parse-names":false,"suffix":""},{"dropping-particle":"","family":"Tol","given":"M J","non-dropping-particle":"van","parse-names":false,"suffix":""},{"dropping-particle":"","family":"Wee","given":"N J","non-dropping-particle":"van der","parse-names":false,"suffix":""},{"dropping-particle":"","family":"Veer","given":"I M","non-dropping-particle":"","parse-names":false,"suffix":""},{"dropping-particle":"","family":"Walter","given":"H","non-dropping-particle":"","parse-names":false,"suffix":""},{"dropping-particle":"","family":"Schnell","given":"K","non-dropping-particle":"","parse-names":false,"suffix":""},{"dropping-particle":"","family":"Schramm","given":"E","non-dropping-particle":"","parse-names":false,"suffix":""},{"dropping-particle":"","family":"Normann","given":"C","non-dropping-particle":"","parse-names":false,"suffix":""},{"dropping-particle":"","family":"Schoepf","given":"D","non-dropping-particle":"","parse-names":false,"suffix":""},{"dropping-particle":"","family":"Konrad","given":"C","non-dropping-particle":"","parse-names":false,"suffix":""},{"dropping-particle":"","family":"Zurowski","given":"B","non-dropping-particle":"","parse-names":false,"suffix":""},{"dropping-particle":"","family":"Nickson","given":"T","non-dropping-particle":"","parse-names":false,"suffix":""},{"dropping-particle":"","family":"McIntosh","given":"A M","non-dropping-particle":"","parse-names":false,"suffix":""},{"dropping-particle":"","family":"Papmeyer","given":"M","non-dropping-particle":"","parse-names":false,"suffix":""},{"dropping-particle":"","family":"Whalley","given":"H C","non-dropping-particle":"","parse-names":false,"suffix":""},{"dropping-particle":"","family":"Sussmann","given":"J E","non-dropping-particle":"","parse-names":false,"suffix":""},{"dropping-particle":"","family":"Godlewska","given":"B R","non-dropping-particle":"","parse-names":false,"suffix":""},{"dropping-particle":"","family":"Cowen","given":"P J","non-dropping-particle":"","parse-names":false,"suffix":""},{"dropping-particle":"","family":"Fischer","given":"F H","non-dropping-particle":"","parse-names":false,"suffix":""},{"dropping-particle":"","family":"Rose","given":"M","non-dropping-particle":"","parse-names":false,"suffix":""},{"dropping-particle":"","family":"Penninx","given":"B W J H","non-dropping-particle":"","parse-names":false,"suffix":""},{"dropping-particle":"","family":"Thompson","given":"P M","non-dropping-particle":"","parse-names":false,"suffix":""},{"dropping-particle":"","family":"Hibar","given":"D P","non-dropping-particle":"","parse-names":false,"suffix":""}],"container-title":"Molecular Psychiatry","id":"ITEM-1","issue":"6","issued":{"date-parts":[["2016","6","30"]]},"page":"806-812","publisher":"Nature Publishing Group","title":"Subcortical brain alterations in major depressive disorder: findings from the ENIGMA Major Depressive Disorder working group","type":"article-journal","volume":"21"},"uris":["http://www.mendeley.com/documents/?uuid=0bd6ba48-6e6e-4f62-aea0-c6c03f73d176"]}],"mendeley":{"formattedCitation":"(Schmaal &lt;i&gt;et al.&lt;/i&gt; 2016)","plainTextFormattedCitation":"(Schmaal et al. 2016)","previouslyFormattedCitation":"(Schmaal &lt;i&gt;et al.&lt;/i&gt; 2016)"},"properties":{"noteIndex":0},"schema":"https://github.com/citation-style-language/schema/raw/master/csl-citation.json"}</w:instrText>
      </w:r>
      <w:r w:rsidR="00E91CCD">
        <w:rPr>
          <w:rFonts w:cstheme="minorHAnsi"/>
        </w:rPr>
        <w:fldChar w:fldCharType="separate"/>
      </w:r>
      <w:r w:rsidR="007A7B94" w:rsidRPr="007A7B94">
        <w:rPr>
          <w:rFonts w:cstheme="minorHAnsi"/>
          <w:noProof/>
        </w:rPr>
        <w:t xml:space="preserve">(Schmaal </w:t>
      </w:r>
      <w:r w:rsidR="007A7B94" w:rsidRPr="007A7B94">
        <w:rPr>
          <w:rFonts w:cstheme="minorHAnsi"/>
          <w:i/>
          <w:noProof/>
        </w:rPr>
        <w:t>et al.</w:t>
      </w:r>
      <w:r w:rsidR="007A7B94" w:rsidRPr="007A7B94">
        <w:rPr>
          <w:rFonts w:cstheme="minorHAnsi"/>
          <w:noProof/>
        </w:rPr>
        <w:t xml:space="preserve"> 2016)</w:t>
      </w:r>
      <w:r w:rsidR="00E91CCD">
        <w:rPr>
          <w:rFonts w:cstheme="minorHAnsi"/>
        </w:rPr>
        <w:fldChar w:fldCharType="end"/>
      </w:r>
      <w:r w:rsidR="00E91CCD">
        <w:rPr>
          <w:rFonts w:cstheme="minorHAnsi"/>
        </w:rPr>
        <w:t>.</w:t>
      </w:r>
    </w:p>
    <w:p w14:paraId="642B1387" w14:textId="508EA1FD" w:rsidR="00EA3D49" w:rsidRDefault="00EA3D49" w:rsidP="00EA3D49">
      <w:pPr>
        <w:spacing w:line="480" w:lineRule="auto"/>
        <w:rPr>
          <w:rFonts w:ascii="Calibri" w:hAnsi="Calibri" w:cs="Calibri"/>
          <w:b/>
        </w:rPr>
      </w:pPr>
      <w:r>
        <w:rPr>
          <w:rFonts w:ascii="Calibri" w:hAnsi="Calibri" w:cs="Calibri"/>
          <w:b/>
        </w:rPr>
        <w:t>1.</w:t>
      </w:r>
      <w:r w:rsidR="00272EF5">
        <w:rPr>
          <w:rFonts w:ascii="Calibri" w:hAnsi="Calibri" w:cs="Calibri"/>
          <w:b/>
        </w:rPr>
        <w:t>3</w:t>
      </w:r>
      <w:bookmarkStart w:id="0" w:name="_GoBack"/>
      <w:bookmarkEnd w:id="0"/>
      <w:r>
        <w:rPr>
          <w:rFonts w:ascii="Calibri" w:hAnsi="Calibri" w:cs="Calibri"/>
          <w:b/>
        </w:rPr>
        <w:t>. Correlating amygdala segmentations between automated and manual methods</w:t>
      </w:r>
    </w:p>
    <w:p w14:paraId="5423359E" w14:textId="32CE8AF0" w:rsidR="00EA3D49" w:rsidRPr="00BC4F7C" w:rsidRDefault="000240E1" w:rsidP="002E7174">
      <w:pPr>
        <w:spacing w:line="480" w:lineRule="auto"/>
        <w:ind w:firstLine="720"/>
        <w:rPr>
          <w:rFonts w:ascii="Calibri" w:hAnsi="Calibri" w:cs="Calibri"/>
          <w:bCs/>
        </w:rPr>
      </w:pPr>
      <w:r>
        <w:rPr>
          <w:rFonts w:ascii="Calibri" w:hAnsi="Calibri" w:cs="Calibri"/>
          <w:bCs/>
        </w:rPr>
        <w:t xml:space="preserve">Thirty five </w:t>
      </w:r>
      <w:r w:rsidR="00B177A7">
        <w:rPr>
          <w:rFonts w:ascii="Calibri" w:hAnsi="Calibri" w:cs="Calibri"/>
          <w:bCs/>
        </w:rPr>
        <w:t xml:space="preserve">brain scans were randomly selected for between-methods correlations. </w:t>
      </w:r>
      <w:r w:rsidR="00BC4F7C">
        <w:rPr>
          <w:rFonts w:ascii="Calibri" w:hAnsi="Calibri" w:cs="Calibri"/>
          <w:bCs/>
        </w:rPr>
        <w:t xml:space="preserve">Total amygdala measurements from manual segmentations FS6.0 subfield-specific workflow </w:t>
      </w:r>
      <w:proofErr w:type="gramStart"/>
      <w:r w:rsidR="00BC4F7C">
        <w:rPr>
          <w:rFonts w:ascii="Calibri" w:hAnsi="Calibri" w:cs="Calibri"/>
          <w:bCs/>
        </w:rPr>
        <w:t>were</w:t>
      </w:r>
      <w:proofErr w:type="gramEnd"/>
      <w:r w:rsidR="00BC4F7C">
        <w:rPr>
          <w:rFonts w:ascii="Calibri" w:hAnsi="Calibri" w:cs="Calibri"/>
          <w:bCs/>
        </w:rPr>
        <w:t xml:space="preserve"> correlated</w:t>
      </w:r>
      <w:r w:rsidR="002E7174">
        <w:rPr>
          <w:rFonts w:ascii="Calibri" w:hAnsi="Calibri" w:cs="Calibri"/>
          <w:bCs/>
        </w:rPr>
        <w:t xml:space="preserve"> for left</w:t>
      </w:r>
      <w:r w:rsidR="00BC4F7C">
        <w:rPr>
          <w:rFonts w:ascii="Calibri" w:hAnsi="Calibri" w:cs="Calibri"/>
          <w:bCs/>
        </w:rPr>
        <w:t xml:space="preserve"> (</w:t>
      </w:r>
      <w:proofErr w:type="spellStart"/>
      <w:r w:rsidR="00BC4F7C">
        <w:rPr>
          <w:rFonts w:ascii="Calibri" w:hAnsi="Calibri" w:cs="Calibri"/>
          <w:bCs/>
        </w:rPr>
        <w:t>Chronbach’s</w:t>
      </w:r>
      <w:proofErr w:type="spellEnd"/>
      <w:r w:rsidR="00BC4F7C">
        <w:rPr>
          <w:rFonts w:ascii="Calibri" w:hAnsi="Calibri" w:cs="Calibri"/>
          <w:bCs/>
        </w:rPr>
        <w:t xml:space="preserve"> Alpha =</w:t>
      </w:r>
      <w:r w:rsidR="008F33FA">
        <w:rPr>
          <w:rFonts w:ascii="Calibri" w:hAnsi="Calibri" w:cs="Calibri"/>
          <w:bCs/>
        </w:rPr>
        <w:t xml:space="preserve"> .76</w:t>
      </w:r>
      <w:r w:rsidR="00BC4F7C">
        <w:rPr>
          <w:rFonts w:ascii="Calibri" w:hAnsi="Calibri" w:cs="Calibri"/>
          <w:bCs/>
        </w:rPr>
        <w:t xml:space="preserve"> , </w:t>
      </w:r>
      <w:r w:rsidR="00BC4F7C" w:rsidRPr="00476DDD">
        <w:rPr>
          <w:rFonts w:cstheme="minorHAnsi"/>
        </w:rPr>
        <w:t>Pearson</w:t>
      </w:r>
      <w:r w:rsidR="00BC4F7C" w:rsidRPr="00476DDD">
        <w:rPr>
          <w:rFonts w:cstheme="minorHAnsi"/>
          <w:i/>
        </w:rPr>
        <w:t xml:space="preserve"> r</w:t>
      </w:r>
      <w:r w:rsidR="00BC4F7C" w:rsidRPr="00476DDD">
        <w:rPr>
          <w:rFonts w:cstheme="minorHAnsi"/>
        </w:rPr>
        <w:t>=0.6</w:t>
      </w:r>
      <w:r w:rsidR="008F33FA">
        <w:rPr>
          <w:rFonts w:cstheme="minorHAnsi"/>
        </w:rPr>
        <w:t>3</w:t>
      </w:r>
      <w:r w:rsidR="00BC4F7C" w:rsidRPr="00476DDD">
        <w:rPr>
          <w:rFonts w:cstheme="minorHAnsi"/>
        </w:rPr>
        <w:t>, p=0.00</w:t>
      </w:r>
      <w:r w:rsidR="008F33FA">
        <w:rPr>
          <w:rFonts w:cstheme="minorHAnsi"/>
        </w:rPr>
        <w:t>0</w:t>
      </w:r>
      <w:r w:rsidR="00BC4F7C">
        <w:rPr>
          <w:rFonts w:cstheme="minorHAnsi"/>
        </w:rPr>
        <w:t>)</w:t>
      </w:r>
      <w:r w:rsidR="002E7174">
        <w:rPr>
          <w:rFonts w:cstheme="minorHAnsi"/>
        </w:rPr>
        <w:t xml:space="preserve"> and right amygdala</w:t>
      </w:r>
      <w:r w:rsidR="008F33FA">
        <w:rPr>
          <w:rFonts w:cstheme="minorHAnsi"/>
        </w:rPr>
        <w:t xml:space="preserve"> (</w:t>
      </w:r>
      <w:proofErr w:type="spellStart"/>
      <w:r w:rsidR="008F33FA">
        <w:rPr>
          <w:rFonts w:ascii="Calibri" w:hAnsi="Calibri" w:cs="Calibri"/>
          <w:bCs/>
        </w:rPr>
        <w:t>Chronbach’s</w:t>
      </w:r>
      <w:proofErr w:type="spellEnd"/>
      <w:r w:rsidR="008F33FA">
        <w:rPr>
          <w:rFonts w:ascii="Calibri" w:hAnsi="Calibri" w:cs="Calibri"/>
          <w:bCs/>
        </w:rPr>
        <w:t xml:space="preserve"> Alpha =.76 , </w:t>
      </w:r>
      <w:r w:rsidR="008F33FA" w:rsidRPr="00476DDD">
        <w:rPr>
          <w:rFonts w:cstheme="minorHAnsi"/>
        </w:rPr>
        <w:t>Pearson</w:t>
      </w:r>
      <w:r w:rsidR="008F33FA" w:rsidRPr="00476DDD">
        <w:rPr>
          <w:rFonts w:cstheme="minorHAnsi"/>
          <w:i/>
        </w:rPr>
        <w:t xml:space="preserve"> r</w:t>
      </w:r>
      <w:r w:rsidR="008F33FA" w:rsidRPr="00476DDD">
        <w:rPr>
          <w:rFonts w:cstheme="minorHAnsi"/>
        </w:rPr>
        <w:t>=0.6</w:t>
      </w:r>
      <w:r w:rsidR="008F33FA">
        <w:rPr>
          <w:rFonts w:cstheme="minorHAnsi"/>
        </w:rPr>
        <w:t>2</w:t>
      </w:r>
      <w:r w:rsidR="008F33FA" w:rsidRPr="00476DDD">
        <w:rPr>
          <w:rFonts w:cstheme="minorHAnsi"/>
        </w:rPr>
        <w:t>, p=0.00</w:t>
      </w:r>
      <w:r w:rsidR="008F33FA">
        <w:rPr>
          <w:rFonts w:cstheme="minorHAnsi"/>
        </w:rPr>
        <w:t xml:space="preserve">0) </w:t>
      </w:r>
      <w:r w:rsidR="002E7174">
        <w:rPr>
          <w:rFonts w:cstheme="minorHAnsi"/>
        </w:rPr>
        <w:t>separately.</w:t>
      </w:r>
    </w:p>
    <w:p w14:paraId="3BBE23F0" w14:textId="38B4D62E" w:rsidR="00291B0B" w:rsidRDefault="00291B0B" w:rsidP="00EA3D49">
      <w:pPr>
        <w:spacing w:line="480" w:lineRule="auto"/>
        <w:rPr>
          <w:rFonts w:ascii="Calibri" w:hAnsi="Calibri" w:cs="Calibri"/>
          <w:b/>
        </w:rPr>
      </w:pPr>
    </w:p>
    <w:p w14:paraId="0C897702" w14:textId="10A74878" w:rsidR="00B177A7" w:rsidRDefault="00B177A7" w:rsidP="00EA3D49">
      <w:pPr>
        <w:spacing w:line="480" w:lineRule="auto"/>
        <w:rPr>
          <w:rFonts w:ascii="Calibri" w:hAnsi="Calibri" w:cs="Calibri"/>
          <w:b/>
        </w:rPr>
      </w:pPr>
    </w:p>
    <w:p w14:paraId="7C93D4AB" w14:textId="4E52A359" w:rsidR="00B177A7" w:rsidRDefault="00B177A7" w:rsidP="00EA3D49">
      <w:pPr>
        <w:spacing w:line="480" w:lineRule="auto"/>
        <w:rPr>
          <w:rFonts w:ascii="Calibri" w:hAnsi="Calibri" w:cs="Calibri"/>
          <w:b/>
        </w:rPr>
      </w:pPr>
    </w:p>
    <w:p w14:paraId="535177A8" w14:textId="77683834" w:rsidR="00B177A7" w:rsidRDefault="00B177A7" w:rsidP="00EA3D49">
      <w:pPr>
        <w:spacing w:line="480" w:lineRule="auto"/>
        <w:rPr>
          <w:rFonts w:ascii="Calibri" w:hAnsi="Calibri" w:cs="Calibri"/>
          <w:b/>
        </w:rPr>
      </w:pPr>
    </w:p>
    <w:p w14:paraId="74410A5D" w14:textId="7E378C24" w:rsidR="00B177A7" w:rsidRDefault="00B177A7" w:rsidP="00EA3D49">
      <w:pPr>
        <w:spacing w:line="480" w:lineRule="auto"/>
        <w:rPr>
          <w:rFonts w:ascii="Calibri" w:hAnsi="Calibri" w:cs="Calibri"/>
          <w:b/>
        </w:rPr>
      </w:pPr>
    </w:p>
    <w:p w14:paraId="340832BF" w14:textId="398F91FE" w:rsidR="00B177A7" w:rsidRDefault="00B177A7" w:rsidP="00EA3D49">
      <w:pPr>
        <w:spacing w:line="480" w:lineRule="auto"/>
        <w:rPr>
          <w:rFonts w:ascii="Calibri" w:hAnsi="Calibri" w:cs="Calibri"/>
          <w:b/>
        </w:rPr>
      </w:pPr>
    </w:p>
    <w:p w14:paraId="53E0977C" w14:textId="6A20648F" w:rsidR="00B177A7" w:rsidRDefault="00B177A7" w:rsidP="00EA3D49">
      <w:pPr>
        <w:spacing w:line="480" w:lineRule="auto"/>
        <w:rPr>
          <w:rFonts w:ascii="Calibri" w:hAnsi="Calibri" w:cs="Calibri"/>
          <w:b/>
        </w:rPr>
      </w:pPr>
    </w:p>
    <w:p w14:paraId="77BEAD18" w14:textId="6903682E" w:rsidR="00B177A7" w:rsidRDefault="00B177A7" w:rsidP="00EA3D49">
      <w:pPr>
        <w:spacing w:line="480" w:lineRule="auto"/>
        <w:rPr>
          <w:rFonts w:ascii="Calibri" w:hAnsi="Calibri" w:cs="Calibri"/>
          <w:b/>
        </w:rPr>
      </w:pPr>
    </w:p>
    <w:p w14:paraId="42C08D4B" w14:textId="6FF95541" w:rsidR="00B177A7" w:rsidRDefault="00B177A7" w:rsidP="00EA3D49">
      <w:pPr>
        <w:spacing w:line="480" w:lineRule="auto"/>
        <w:rPr>
          <w:rFonts w:ascii="Calibri" w:hAnsi="Calibri" w:cs="Calibri"/>
          <w:b/>
        </w:rPr>
      </w:pPr>
    </w:p>
    <w:p w14:paraId="4B4884BD" w14:textId="381936AE" w:rsidR="00B177A7" w:rsidRDefault="00B177A7" w:rsidP="00EA3D49">
      <w:pPr>
        <w:spacing w:line="480" w:lineRule="auto"/>
        <w:rPr>
          <w:rFonts w:ascii="Calibri" w:hAnsi="Calibri" w:cs="Calibri"/>
          <w:b/>
        </w:rPr>
      </w:pPr>
    </w:p>
    <w:p w14:paraId="3A5379E4" w14:textId="2F780103" w:rsidR="00B177A7" w:rsidRDefault="00B177A7" w:rsidP="00EA3D49">
      <w:pPr>
        <w:spacing w:line="480" w:lineRule="auto"/>
        <w:rPr>
          <w:rFonts w:ascii="Calibri" w:hAnsi="Calibri" w:cs="Calibri"/>
          <w:b/>
        </w:rPr>
      </w:pPr>
    </w:p>
    <w:p w14:paraId="29CB9A1F" w14:textId="02E45C6D" w:rsidR="00B177A7" w:rsidRDefault="00B177A7" w:rsidP="00EA3D49">
      <w:pPr>
        <w:spacing w:line="480" w:lineRule="auto"/>
        <w:rPr>
          <w:rFonts w:ascii="Calibri" w:hAnsi="Calibri" w:cs="Calibri"/>
          <w:b/>
        </w:rPr>
      </w:pPr>
    </w:p>
    <w:p w14:paraId="0DBA67D1" w14:textId="432D6278" w:rsidR="00B177A7" w:rsidRDefault="00B177A7" w:rsidP="00EA3D49">
      <w:pPr>
        <w:spacing w:line="480" w:lineRule="auto"/>
        <w:rPr>
          <w:rFonts w:ascii="Calibri" w:hAnsi="Calibri" w:cs="Calibri"/>
          <w:b/>
        </w:rPr>
      </w:pPr>
    </w:p>
    <w:p w14:paraId="3F276026" w14:textId="64A06160" w:rsidR="00B177A7" w:rsidRDefault="00B177A7" w:rsidP="00EA3D49">
      <w:pPr>
        <w:spacing w:line="480" w:lineRule="auto"/>
        <w:rPr>
          <w:rFonts w:ascii="Calibri" w:hAnsi="Calibri" w:cs="Calibri"/>
          <w:b/>
        </w:rPr>
      </w:pPr>
    </w:p>
    <w:p w14:paraId="77C49C54" w14:textId="77777777" w:rsidR="00B177A7" w:rsidRDefault="00B177A7" w:rsidP="00EA3D49">
      <w:pPr>
        <w:spacing w:line="480" w:lineRule="auto"/>
        <w:rPr>
          <w:rFonts w:ascii="Calibri" w:hAnsi="Calibri" w:cs="Calibri"/>
          <w:b/>
        </w:rPr>
      </w:pPr>
    </w:p>
    <w:p w14:paraId="1D8921E5" w14:textId="77CD32C6" w:rsidR="00291B0B" w:rsidRDefault="00291B0B" w:rsidP="00EA3D49">
      <w:pPr>
        <w:spacing w:line="480" w:lineRule="auto"/>
        <w:rPr>
          <w:rFonts w:ascii="Calibri" w:hAnsi="Calibri" w:cs="Calibri"/>
          <w:b/>
        </w:rPr>
      </w:pPr>
      <w:r>
        <w:rPr>
          <w:rFonts w:ascii="Calibri" w:hAnsi="Calibri" w:cs="Calibri"/>
          <w:b/>
        </w:rPr>
        <w:lastRenderedPageBreak/>
        <w:t xml:space="preserve">References: </w:t>
      </w:r>
    </w:p>
    <w:p w14:paraId="1621C700" w14:textId="28DC0239" w:rsidR="00291B0B" w:rsidRDefault="00291B0B" w:rsidP="00EA3D49">
      <w:pPr>
        <w:spacing w:line="480" w:lineRule="auto"/>
        <w:rPr>
          <w:rFonts w:ascii="Calibri" w:hAnsi="Calibri" w:cs="Calibri"/>
          <w:b/>
        </w:rPr>
      </w:pPr>
    </w:p>
    <w:p w14:paraId="7FE1B96F" w14:textId="160E1FB6" w:rsidR="00291B0B" w:rsidRPr="00291B0B" w:rsidRDefault="00291B0B" w:rsidP="00291B0B">
      <w:pPr>
        <w:widowControl w:val="0"/>
        <w:autoSpaceDE w:val="0"/>
        <w:autoSpaceDN w:val="0"/>
        <w:adjustRightInd w:val="0"/>
        <w:spacing w:line="480" w:lineRule="auto"/>
        <w:rPr>
          <w:rFonts w:ascii="Calibri" w:hAnsi="Calibri" w:cs="Calibri"/>
          <w:noProof/>
          <w:lang w:val="en-US"/>
        </w:rPr>
      </w:pPr>
      <w:r>
        <w:rPr>
          <w:rFonts w:ascii="Calibri" w:hAnsi="Calibri" w:cs="Calibri"/>
          <w:b/>
        </w:rPr>
        <w:fldChar w:fldCharType="begin" w:fldLock="1"/>
      </w:r>
      <w:r>
        <w:rPr>
          <w:rFonts w:ascii="Calibri" w:hAnsi="Calibri" w:cs="Calibri"/>
          <w:b/>
        </w:rPr>
        <w:instrText xml:space="preserve">ADDIN Mendeley Bibliography CSL_BIBLIOGRAPHY </w:instrText>
      </w:r>
      <w:r>
        <w:rPr>
          <w:rFonts w:ascii="Calibri" w:hAnsi="Calibri" w:cs="Calibri"/>
          <w:b/>
        </w:rPr>
        <w:fldChar w:fldCharType="separate"/>
      </w:r>
      <w:r w:rsidRPr="00291B0B">
        <w:rPr>
          <w:rFonts w:ascii="Calibri" w:hAnsi="Calibri" w:cs="Calibri"/>
          <w:b/>
          <w:bCs/>
          <w:noProof/>
          <w:lang w:val="en-US"/>
        </w:rPr>
        <w:t>Entis JJ, Doerga P, Barrett LF, Dickerson BC</w:t>
      </w:r>
      <w:r w:rsidRPr="00291B0B">
        <w:rPr>
          <w:rFonts w:ascii="Calibri" w:hAnsi="Calibri" w:cs="Calibri"/>
          <w:noProof/>
          <w:lang w:val="en-US"/>
        </w:rPr>
        <w:t xml:space="preserve"> (2012). A reliable protocol for the manual segmentation of the human amygdala and its subregions using ultra-high resolution MRI. </w:t>
      </w:r>
      <w:r w:rsidRPr="00291B0B">
        <w:rPr>
          <w:rFonts w:ascii="Calibri" w:hAnsi="Calibri" w:cs="Calibri"/>
          <w:i/>
          <w:iCs/>
          <w:noProof/>
          <w:lang w:val="en-US"/>
        </w:rPr>
        <w:t>NeuroImage</w:t>
      </w:r>
      <w:r w:rsidRPr="00291B0B">
        <w:rPr>
          <w:rFonts w:ascii="Calibri" w:hAnsi="Calibri" w:cs="Calibri"/>
          <w:noProof/>
          <w:lang w:val="en-US"/>
        </w:rPr>
        <w:t xml:space="preserve"> </w:t>
      </w:r>
      <w:r w:rsidRPr="00291B0B">
        <w:rPr>
          <w:rFonts w:ascii="Calibri" w:hAnsi="Calibri" w:cs="Calibri"/>
          <w:b/>
          <w:bCs/>
          <w:noProof/>
          <w:lang w:val="en-US"/>
        </w:rPr>
        <w:t>60</w:t>
      </w:r>
      <w:r w:rsidRPr="00291B0B">
        <w:rPr>
          <w:rFonts w:ascii="Calibri" w:hAnsi="Calibri" w:cs="Calibri"/>
          <w:noProof/>
          <w:lang w:val="en-US"/>
        </w:rPr>
        <w:t>, 1226–1235.</w:t>
      </w:r>
    </w:p>
    <w:p w14:paraId="1193E5B1" w14:textId="77777777" w:rsidR="00291B0B" w:rsidRPr="00291B0B" w:rsidRDefault="00291B0B" w:rsidP="00291B0B">
      <w:pPr>
        <w:widowControl w:val="0"/>
        <w:autoSpaceDE w:val="0"/>
        <w:autoSpaceDN w:val="0"/>
        <w:adjustRightInd w:val="0"/>
        <w:spacing w:line="480" w:lineRule="auto"/>
        <w:rPr>
          <w:rFonts w:ascii="Calibri" w:hAnsi="Calibri" w:cs="Calibri"/>
          <w:noProof/>
          <w:lang w:val="en-US"/>
        </w:rPr>
      </w:pPr>
      <w:r w:rsidRPr="00291B0B">
        <w:rPr>
          <w:rFonts w:ascii="Calibri" w:hAnsi="Calibri" w:cs="Calibri"/>
          <w:b/>
          <w:bCs/>
          <w:noProof/>
          <w:lang w:val="en-US"/>
        </w:rPr>
        <w:t>Mai JK, Paxinos G, Assheuer JK</w:t>
      </w:r>
      <w:r w:rsidRPr="00291B0B">
        <w:rPr>
          <w:rFonts w:ascii="Calibri" w:hAnsi="Calibri" w:cs="Calibri"/>
          <w:noProof/>
          <w:lang w:val="en-US"/>
        </w:rPr>
        <w:t xml:space="preserve"> (2004). Atlas of the Human Brain. </w:t>
      </w:r>
      <w:r w:rsidRPr="00291B0B">
        <w:rPr>
          <w:rFonts w:ascii="Calibri" w:hAnsi="Calibri" w:cs="Calibri"/>
          <w:i/>
          <w:iCs/>
          <w:noProof/>
          <w:lang w:val="en-US"/>
        </w:rPr>
        <w:t>San Diego CA: Academic Press;</w:t>
      </w:r>
    </w:p>
    <w:p w14:paraId="71DF6F45" w14:textId="77777777" w:rsidR="00291B0B" w:rsidRPr="00291B0B" w:rsidRDefault="00291B0B" w:rsidP="00291B0B">
      <w:pPr>
        <w:widowControl w:val="0"/>
        <w:autoSpaceDE w:val="0"/>
        <w:autoSpaceDN w:val="0"/>
        <w:adjustRightInd w:val="0"/>
        <w:spacing w:line="480" w:lineRule="auto"/>
        <w:rPr>
          <w:rFonts w:ascii="Calibri" w:hAnsi="Calibri" w:cs="Calibri"/>
          <w:noProof/>
        </w:rPr>
      </w:pPr>
      <w:r w:rsidRPr="00291B0B">
        <w:rPr>
          <w:rFonts w:ascii="Calibri" w:hAnsi="Calibri" w:cs="Calibri"/>
          <w:b/>
          <w:bCs/>
          <w:noProof/>
          <w:lang w:val="en-US"/>
        </w:rPr>
        <w:t>Schmaal L, Veltman DJ, van Erp TGM, Sämann PG, Frodl T, Jahanshad N, Loehrer E, Tiemeier H, Hofman A, Niessen WJ, Vernooij MW, Ikram MA, Wittfeld K, Grabe HJ, Block A, Hegenscheid K, Völzke H, Hoehn D, Czisch M, Lagopoulos J, Hatton SN, Hickie IB, Goya-Maldonado R, Krämer B, Gruber O, Couvy-Duchesne B, Rentería ME, Strike LT, Mills NT, de Zubicaray GI, McMahon KL, Medland SE, Martin NG, Gillespie NA, Wright MJ, Hall GB, MacQueen GM, Frey EM, Carballedo A, van Velzen LS, van Tol MJ, van der Wee NJ, Veer IM, Walter H, Schnell K, Schramm E, Normann C, Schoepf D, Konrad C, Zurowski B, Nickson T, McIntosh AM, Papmeyer M, Whalley HC, Sussmann JE, Godlewska BR, Cowen PJ, Fischer FH, Rose M, Penninx BWJH, Thompson PM, Hibar DP</w:t>
      </w:r>
      <w:r w:rsidRPr="00291B0B">
        <w:rPr>
          <w:rFonts w:ascii="Calibri" w:hAnsi="Calibri" w:cs="Calibri"/>
          <w:noProof/>
          <w:lang w:val="en-US"/>
        </w:rPr>
        <w:t xml:space="preserve"> (2016). Subcortical brain alterations in major depressive disorder: findings from the ENIGMA Major Depressive Disorder working group. . Nature Publishing Group </w:t>
      </w:r>
      <w:r w:rsidRPr="00291B0B">
        <w:rPr>
          <w:rFonts w:ascii="Calibri" w:hAnsi="Calibri" w:cs="Calibri"/>
          <w:i/>
          <w:iCs/>
          <w:noProof/>
          <w:lang w:val="en-US"/>
        </w:rPr>
        <w:t>Molecular Psychiatry</w:t>
      </w:r>
      <w:r w:rsidRPr="00291B0B">
        <w:rPr>
          <w:rFonts w:ascii="Calibri" w:hAnsi="Calibri" w:cs="Calibri"/>
          <w:noProof/>
          <w:lang w:val="en-US"/>
        </w:rPr>
        <w:t xml:space="preserve"> </w:t>
      </w:r>
      <w:r w:rsidRPr="00291B0B">
        <w:rPr>
          <w:rFonts w:ascii="Calibri" w:hAnsi="Calibri" w:cs="Calibri"/>
          <w:b/>
          <w:bCs/>
          <w:noProof/>
          <w:lang w:val="en-US"/>
        </w:rPr>
        <w:t>21</w:t>
      </w:r>
      <w:r w:rsidRPr="00291B0B">
        <w:rPr>
          <w:rFonts w:ascii="Calibri" w:hAnsi="Calibri" w:cs="Calibri"/>
          <w:noProof/>
          <w:lang w:val="en-US"/>
        </w:rPr>
        <w:t>, 806–812.</w:t>
      </w:r>
    </w:p>
    <w:p w14:paraId="1B4E1987" w14:textId="09CBA77D" w:rsidR="00291B0B" w:rsidRDefault="00291B0B" w:rsidP="00EA3D49">
      <w:pPr>
        <w:spacing w:line="480" w:lineRule="auto"/>
        <w:rPr>
          <w:rFonts w:ascii="Calibri" w:hAnsi="Calibri" w:cs="Calibri"/>
          <w:b/>
        </w:rPr>
      </w:pPr>
      <w:r>
        <w:rPr>
          <w:rFonts w:ascii="Calibri" w:hAnsi="Calibri" w:cs="Calibri"/>
          <w:b/>
        </w:rPr>
        <w:fldChar w:fldCharType="end"/>
      </w:r>
    </w:p>
    <w:p w14:paraId="3EAE3D6A" w14:textId="5665498B" w:rsidR="00EA3D49" w:rsidRDefault="00EA3D49" w:rsidP="00477B16">
      <w:pPr>
        <w:spacing w:line="480" w:lineRule="auto"/>
        <w:rPr>
          <w:rFonts w:ascii="Calibri" w:hAnsi="Calibri" w:cs="Calibri"/>
        </w:rPr>
      </w:pPr>
    </w:p>
    <w:p w14:paraId="4558B62C" w14:textId="77777777" w:rsidR="00EA3D49" w:rsidRDefault="00EA3D49" w:rsidP="00477B16">
      <w:pPr>
        <w:spacing w:line="480" w:lineRule="auto"/>
      </w:pPr>
    </w:p>
    <w:sectPr w:rsidR="00EA3D49" w:rsidSect="006C64C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6101" w14:textId="77777777" w:rsidR="0069156A" w:rsidRDefault="0069156A" w:rsidP="00107943">
      <w:r>
        <w:separator/>
      </w:r>
    </w:p>
  </w:endnote>
  <w:endnote w:type="continuationSeparator" w:id="0">
    <w:p w14:paraId="40993241" w14:textId="77777777" w:rsidR="0069156A" w:rsidRDefault="0069156A" w:rsidP="001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4876" w14:textId="77777777" w:rsidR="0069156A" w:rsidRDefault="0069156A" w:rsidP="00107943">
      <w:r>
        <w:separator/>
      </w:r>
    </w:p>
  </w:footnote>
  <w:footnote w:type="continuationSeparator" w:id="0">
    <w:p w14:paraId="7092C56F" w14:textId="77777777" w:rsidR="0069156A" w:rsidRDefault="0069156A" w:rsidP="0010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328F" w14:textId="0EFF5E76" w:rsidR="00107943" w:rsidRDefault="00107943">
    <w:pPr>
      <w:pStyle w:val="Header"/>
    </w:pPr>
    <w:r>
      <w:t>Supplementary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E8"/>
    <w:rsid w:val="0001676A"/>
    <w:rsid w:val="000240E1"/>
    <w:rsid w:val="00073BC8"/>
    <w:rsid w:val="00107943"/>
    <w:rsid w:val="001D16E1"/>
    <w:rsid w:val="001F4CD5"/>
    <w:rsid w:val="00272EF5"/>
    <w:rsid w:val="00291B0B"/>
    <w:rsid w:val="002E7174"/>
    <w:rsid w:val="003746CD"/>
    <w:rsid w:val="00421A84"/>
    <w:rsid w:val="00477B16"/>
    <w:rsid w:val="006329C5"/>
    <w:rsid w:val="0069156A"/>
    <w:rsid w:val="006C64C2"/>
    <w:rsid w:val="006F4E2F"/>
    <w:rsid w:val="0070318C"/>
    <w:rsid w:val="007A7B94"/>
    <w:rsid w:val="007F268D"/>
    <w:rsid w:val="008E78D8"/>
    <w:rsid w:val="008F33FA"/>
    <w:rsid w:val="0091306D"/>
    <w:rsid w:val="009B3C7F"/>
    <w:rsid w:val="00AD2309"/>
    <w:rsid w:val="00B05C8D"/>
    <w:rsid w:val="00B177A7"/>
    <w:rsid w:val="00B27AE8"/>
    <w:rsid w:val="00B64F22"/>
    <w:rsid w:val="00BB37AC"/>
    <w:rsid w:val="00BC4F7C"/>
    <w:rsid w:val="00BD7D48"/>
    <w:rsid w:val="00CD5316"/>
    <w:rsid w:val="00DA6339"/>
    <w:rsid w:val="00E91CCD"/>
    <w:rsid w:val="00E92AD7"/>
    <w:rsid w:val="00EA3D49"/>
    <w:rsid w:val="00ED54FD"/>
    <w:rsid w:val="00F77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7C96"/>
  <w15:chartTrackingRefBased/>
  <w15:docId w15:val="{46D404AE-A9C5-D94A-9F31-16F62B7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22"/>
    <w:rPr>
      <w:color w:val="0563C1" w:themeColor="hyperlink"/>
      <w:u w:val="single"/>
    </w:rPr>
  </w:style>
  <w:style w:type="character" w:styleId="CommentReference">
    <w:name w:val="annotation reference"/>
    <w:basedOn w:val="DefaultParagraphFont"/>
    <w:uiPriority w:val="99"/>
    <w:semiHidden/>
    <w:unhideWhenUsed/>
    <w:rsid w:val="00421A84"/>
    <w:rPr>
      <w:sz w:val="16"/>
      <w:szCs w:val="16"/>
    </w:rPr>
  </w:style>
  <w:style w:type="paragraph" w:styleId="CommentText">
    <w:name w:val="annotation text"/>
    <w:basedOn w:val="Normal"/>
    <w:link w:val="CommentTextChar"/>
    <w:uiPriority w:val="99"/>
    <w:semiHidden/>
    <w:unhideWhenUsed/>
    <w:rsid w:val="00421A84"/>
    <w:rPr>
      <w:sz w:val="20"/>
      <w:szCs w:val="20"/>
    </w:rPr>
  </w:style>
  <w:style w:type="character" w:customStyle="1" w:styleId="CommentTextChar">
    <w:name w:val="Comment Text Char"/>
    <w:basedOn w:val="DefaultParagraphFont"/>
    <w:link w:val="CommentText"/>
    <w:uiPriority w:val="99"/>
    <w:semiHidden/>
    <w:rsid w:val="00421A84"/>
    <w:rPr>
      <w:sz w:val="20"/>
      <w:szCs w:val="20"/>
    </w:rPr>
  </w:style>
  <w:style w:type="paragraph" w:styleId="CommentSubject">
    <w:name w:val="annotation subject"/>
    <w:basedOn w:val="CommentText"/>
    <w:next w:val="CommentText"/>
    <w:link w:val="CommentSubjectChar"/>
    <w:uiPriority w:val="99"/>
    <w:semiHidden/>
    <w:unhideWhenUsed/>
    <w:rsid w:val="00421A84"/>
    <w:rPr>
      <w:b/>
      <w:bCs/>
    </w:rPr>
  </w:style>
  <w:style w:type="character" w:customStyle="1" w:styleId="CommentSubjectChar">
    <w:name w:val="Comment Subject Char"/>
    <w:basedOn w:val="CommentTextChar"/>
    <w:link w:val="CommentSubject"/>
    <w:uiPriority w:val="99"/>
    <w:semiHidden/>
    <w:rsid w:val="00421A84"/>
    <w:rPr>
      <w:b/>
      <w:bCs/>
      <w:sz w:val="20"/>
      <w:szCs w:val="20"/>
    </w:rPr>
  </w:style>
  <w:style w:type="paragraph" w:styleId="BalloonText">
    <w:name w:val="Balloon Text"/>
    <w:basedOn w:val="Normal"/>
    <w:link w:val="BalloonTextChar"/>
    <w:uiPriority w:val="99"/>
    <w:semiHidden/>
    <w:unhideWhenUsed/>
    <w:rsid w:val="00421A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A84"/>
    <w:rPr>
      <w:rFonts w:ascii="Times New Roman" w:hAnsi="Times New Roman" w:cs="Times New Roman"/>
      <w:sz w:val="18"/>
      <w:szCs w:val="18"/>
    </w:rPr>
  </w:style>
  <w:style w:type="paragraph" w:styleId="ListParagraph">
    <w:name w:val="List Paragraph"/>
    <w:basedOn w:val="Normal"/>
    <w:uiPriority w:val="34"/>
    <w:qFormat/>
    <w:rsid w:val="00477B16"/>
    <w:pPr>
      <w:ind w:left="720"/>
      <w:contextualSpacing/>
    </w:pPr>
  </w:style>
  <w:style w:type="paragraph" w:styleId="Header">
    <w:name w:val="header"/>
    <w:basedOn w:val="Normal"/>
    <w:link w:val="HeaderChar"/>
    <w:uiPriority w:val="99"/>
    <w:unhideWhenUsed/>
    <w:rsid w:val="00107943"/>
    <w:pPr>
      <w:tabs>
        <w:tab w:val="center" w:pos="4680"/>
        <w:tab w:val="right" w:pos="9360"/>
      </w:tabs>
    </w:pPr>
  </w:style>
  <w:style w:type="character" w:customStyle="1" w:styleId="HeaderChar">
    <w:name w:val="Header Char"/>
    <w:basedOn w:val="DefaultParagraphFont"/>
    <w:link w:val="Header"/>
    <w:uiPriority w:val="99"/>
    <w:rsid w:val="00107943"/>
  </w:style>
  <w:style w:type="paragraph" w:styleId="Footer">
    <w:name w:val="footer"/>
    <w:basedOn w:val="Normal"/>
    <w:link w:val="FooterChar"/>
    <w:uiPriority w:val="99"/>
    <w:unhideWhenUsed/>
    <w:rsid w:val="00107943"/>
    <w:pPr>
      <w:tabs>
        <w:tab w:val="center" w:pos="4680"/>
        <w:tab w:val="right" w:pos="9360"/>
      </w:tabs>
    </w:pPr>
  </w:style>
  <w:style w:type="character" w:customStyle="1" w:styleId="FooterChar">
    <w:name w:val="Footer Char"/>
    <w:basedOn w:val="DefaultParagraphFont"/>
    <w:link w:val="Footer"/>
    <w:uiPriority w:val="99"/>
    <w:rsid w:val="001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r.bmap.ucla.edu/MultiTracer2/MultiTrac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CF05-601A-E64E-96E8-D4469C79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Nogovitsyn</dc:creator>
  <cp:keywords/>
  <dc:description/>
  <cp:lastModifiedBy>Nikita Nogovitsyn</cp:lastModifiedBy>
  <cp:revision>22</cp:revision>
  <dcterms:created xsi:type="dcterms:W3CDTF">2019-07-26T19:49:00Z</dcterms:created>
  <dcterms:modified xsi:type="dcterms:W3CDTF">2019-10-07T20:48:00Z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http://www.zotero.org/styles/neuropsychopharmacology</vt:lpwstr>
  </property>
  <property fmtid="{D5CDD505-2E9C-101B-9397-08002B2CF9AE}" pid="19" name="Mendeley Recent Style Name 8_1">
    <vt:lpwstr>Neuropsychopharmacology</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bfa681ee-1054-3f2a-a862-2cbe26fe65cc</vt:lpwstr>
  </property>
  <property fmtid="{D5CDD505-2E9C-101B-9397-08002B2CF9AE}" pid="24" name="Mendeley Citation Style_1">
    <vt:lpwstr>http://www.zotero.org/styles/psychological-medicine</vt:lpwstr>
  </property>
</Properties>
</file>