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740" w:rsidRPr="00877122" w:rsidRDefault="00347740" w:rsidP="00660945">
      <w:pPr>
        <w:spacing w:line="480" w:lineRule="auto"/>
        <w:jc w:val="both"/>
        <w:rPr>
          <w:rFonts w:ascii="Arial" w:hAnsi="Arial"/>
          <w:b/>
          <w:color w:val="000000" w:themeColor="text1"/>
          <w:lang w:val="en-GB"/>
        </w:rPr>
      </w:pPr>
      <w:r w:rsidRPr="00877122">
        <w:rPr>
          <w:rFonts w:ascii="Arial" w:hAnsi="Arial"/>
          <w:b/>
          <w:color w:val="000000" w:themeColor="text1"/>
          <w:lang w:val="en-GB"/>
        </w:rPr>
        <w:t>Methods Supplement</w:t>
      </w:r>
    </w:p>
    <w:p w:rsidR="00347740" w:rsidRPr="00877122" w:rsidRDefault="00347740" w:rsidP="00660945">
      <w:pPr>
        <w:spacing w:line="480" w:lineRule="auto"/>
        <w:jc w:val="both"/>
        <w:rPr>
          <w:rFonts w:ascii="Arial" w:hAnsi="Arial" w:cs="Arial"/>
          <w:i/>
          <w:color w:val="000000" w:themeColor="text1"/>
          <w:lang w:val="en-GB"/>
        </w:rPr>
      </w:pPr>
      <w:r w:rsidRPr="00877122">
        <w:rPr>
          <w:rFonts w:ascii="Arial" w:hAnsi="Arial" w:cs="Arial"/>
          <w:i/>
          <w:color w:val="000000" w:themeColor="text1"/>
          <w:lang w:val="en-GB"/>
        </w:rPr>
        <w:t>Genotyping and polygenic risk score (PRS) calculation</w:t>
      </w:r>
    </w:p>
    <w:p w:rsidR="00347740" w:rsidRPr="00877122" w:rsidRDefault="00347740" w:rsidP="006F28DB">
      <w:pPr>
        <w:pStyle w:val="Text"/>
        <w:rPr>
          <w:color w:val="000000" w:themeColor="text1"/>
          <w:lang w:val="en-GB"/>
        </w:rPr>
      </w:pPr>
      <w:r w:rsidRPr="00877122">
        <w:rPr>
          <w:color w:val="000000" w:themeColor="text1"/>
          <w:lang w:val="en-GB"/>
        </w:rPr>
        <w:t>In all subjects of the MACS test sample DNA extraction from peripheral blood samples and</w:t>
      </w:r>
      <w:r w:rsidRPr="00877122" w:rsidDel="00F81DB9">
        <w:rPr>
          <w:color w:val="000000" w:themeColor="text1"/>
          <w:lang w:val="en-GB"/>
        </w:rPr>
        <w:t xml:space="preserve"> </w:t>
      </w:r>
      <w:r w:rsidRPr="00877122">
        <w:rPr>
          <w:color w:val="000000" w:themeColor="text1"/>
          <w:lang w:val="en-GB"/>
        </w:rPr>
        <w:t xml:space="preserve">genotyping using the Infinium </w:t>
      </w:r>
      <w:proofErr w:type="spellStart"/>
      <w:r w:rsidRPr="00877122">
        <w:rPr>
          <w:color w:val="000000" w:themeColor="text1"/>
          <w:lang w:val="en-GB"/>
        </w:rPr>
        <w:t>PsychArray</w:t>
      </w:r>
      <w:proofErr w:type="spellEnd"/>
      <w:r w:rsidRPr="00877122">
        <w:rPr>
          <w:color w:val="000000" w:themeColor="text1"/>
          <w:lang w:val="en-GB"/>
        </w:rPr>
        <w:t xml:space="preserve"> </w:t>
      </w:r>
      <w:proofErr w:type="spellStart"/>
      <w:r w:rsidRPr="00877122">
        <w:rPr>
          <w:color w:val="000000" w:themeColor="text1"/>
          <w:lang w:val="en-GB"/>
        </w:rPr>
        <w:t>BeadChip</w:t>
      </w:r>
      <w:proofErr w:type="spellEnd"/>
      <w:r w:rsidRPr="00877122">
        <w:rPr>
          <w:color w:val="000000" w:themeColor="text1"/>
          <w:lang w:val="en-GB"/>
        </w:rPr>
        <w:t xml:space="preserve"> were performed according to previously published methods </w:t>
      </w:r>
      <w:r>
        <w:rPr>
          <w:noProof/>
          <w:color w:val="000000" w:themeColor="text1"/>
          <w:lang w:val="en-GB"/>
        </w:rPr>
        <w:t>(Opel et al., 2018)</w:t>
      </w:r>
      <w:r w:rsidRPr="00877122">
        <w:rPr>
          <w:color w:val="000000" w:themeColor="text1"/>
          <w:lang w:val="en-GB"/>
        </w:rPr>
        <w:t xml:space="preserve">. Quality control was conducted in PLINK v1.90b5 </w:t>
      </w:r>
      <w:r>
        <w:rPr>
          <w:noProof/>
          <w:color w:val="000000" w:themeColor="text1"/>
          <w:lang w:val="en-GB"/>
        </w:rPr>
        <w:t>(Chang et al., 2015)</w:t>
      </w:r>
      <w:r w:rsidRPr="00877122">
        <w:rPr>
          <w:color w:val="000000" w:themeColor="text1"/>
          <w:lang w:val="en-GB"/>
        </w:rPr>
        <w:t xml:space="preserve"> and R v3.3.3 as described elsewhere </w:t>
      </w:r>
      <w:r>
        <w:rPr>
          <w:noProof/>
          <w:color w:val="000000" w:themeColor="text1"/>
          <w:lang w:val="en-GB"/>
        </w:rPr>
        <w:t>(Meller et al., 2019)</w:t>
      </w:r>
      <w:r w:rsidRPr="00877122">
        <w:rPr>
          <w:color w:val="000000" w:themeColor="text1"/>
          <w:lang w:val="en-GB"/>
        </w:rPr>
        <w:t xml:space="preserve">. Briefly, individuals were removed if they met any of the following criteria: genotyping call rate &lt;98%, gender mismatches or other X-chromosome-related issues, genetic duplicates, cryptic relatives with pi-hat ≥0.125, genetic outlier with a distance from the mean of &gt;4 </w:t>
      </w:r>
      <w:r w:rsidRPr="00877122">
        <w:rPr>
          <w:i/>
          <w:color w:val="000000" w:themeColor="text1"/>
          <w:lang w:val="en-GB"/>
        </w:rPr>
        <w:t>SD</w:t>
      </w:r>
      <w:r w:rsidRPr="00877122">
        <w:rPr>
          <w:color w:val="000000" w:themeColor="text1"/>
          <w:lang w:val="en-GB"/>
        </w:rPr>
        <w:t xml:space="preserve"> in the first eight ancestry components </w:t>
      </w:r>
      <w:r w:rsidRPr="00877122">
        <w:rPr>
          <w:rFonts w:cs="Arial"/>
          <w:color w:val="000000" w:themeColor="text1"/>
          <w:lang w:val="en-GB"/>
        </w:rPr>
        <w:t>(Supplementary Figure SF1)</w:t>
      </w:r>
      <w:r w:rsidRPr="00877122">
        <w:rPr>
          <w:color w:val="000000" w:themeColor="text1"/>
          <w:lang w:val="en-GB"/>
        </w:rPr>
        <w:t xml:space="preserve">, or a deviation of the autosomal or X-chromosomal heterozygosity from the mean &gt;4 </w:t>
      </w:r>
      <w:r w:rsidRPr="00877122">
        <w:rPr>
          <w:i/>
          <w:color w:val="000000" w:themeColor="text1"/>
          <w:lang w:val="en-GB"/>
        </w:rPr>
        <w:t xml:space="preserve">SD. </w:t>
      </w:r>
      <w:r w:rsidRPr="00877122">
        <w:rPr>
          <w:rFonts w:cs="Arial"/>
          <w:color w:val="000000" w:themeColor="text1"/>
          <w:lang w:val="en-GB"/>
        </w:rPr>
        <w:t>Samples mapped reasonably within CEU PCA space</w:t>
      </w:r>
      <w:r w:rsidRPr="00877122">
        <w:rPr>
          <w:i/>
          <w:color w:val="000000" w:themeColor="text1"/>
          <w:lang w:val="en-GB"/>
        </w:rPr>
        <w:t xml:space="preserve"> </w:t>
      </w:r>
      <w:r w:rsidRPr="00877122">
        <w:rPr>
          <w:rFonts w:cs="Arial"/>
          <w:color w:val="000000" w:themeColor="text1"/>
          <w:lang w:val="en-GB"/>
        </w:rPr>
        <w:t>(Supplementary Figure SF2)</w:t>
      </w:r>
      <w:r w:rsidRPr="00877122">
        <w:rPr>
          <w:color w:val="000000" w:themeColor="text1"/>
          <w:lang w:val="en-GB"/>
        </w:rPr>
        <w:t xml:space="preserve">. The genotype data were imputed using the 1000 Genomes Phase 3 reference panel and the programs SHAPEIT and IMPUTE2 </w:t>
      </w:r>
      <w:r>
        <w:rPr>
          <w:noProof/>
          <w:color w:val="000000" w:themeColor="text1"/>
          <w:lang w:val="en-GB"/>
        </w:rPr>
        <w:t>(Delaneau, Marchini, &amp; Zagury, 2011; B. Howie, Fuchsberger, Stephens, Marchini, &amp; Abecasis, 2012; B. N. Howie, Donnelly, &amp; Marchini, 2009)</w:t>
      </w:r>
      <w:r w:rsidRPr="00877122">
        <w:rPr>
          <w:color w:val="000000" w:themeColor="text1"/>
          <w:lang w:val="en-GB"/>
        </w:rPr>
        <w:t xml:space="preserve">. </w:t>
      </w:r>
    </w:p>
    <w:p w:rsidR="00347740" w:rsidRPr="00877122" w:rsidRDefault="00347740" w:rsidP="006F28DB">
      <w:pPr>
        <w:pStyle w:val="Text"/>
        <w:rPr>
          <w:color w:val="000000" w:themeColor="text1"/>
          <w:lang w:val="en-GB"/>
        </w:rPr>
      </w:pPr>
      <w:r w:rsidRPr="00877122">
        <w:rPr>
          <w:color w:val="000000" w:themeColor="text1"/>
          <w:lang w:val="en-GB"/>
        </w:rPr>
        <w:t>PRS for schizophrenia (SZ), bipolar disorder (BD), and major depression (MDD) were calculated in R v3.33 by summing the minor allele dosages of linkage disequilibrium (LD)-independent SNPs (discarding markers: distance &lt; 500 kilobases (kb) and LD r</w:t>
      </w:r>
      <w:r w:rsidRPr="00877122">
        <w:rPr>
          <w:color w:val="000000" w:themeColor="text1"/>
          <w:vertAlign w:val="superscript"/>
          <w:lang w:val="en-GB"/>
        </w:rPr>
        <w:t>2</w:t>
      </w:r>
      <w:r w:rsidRPr="00877122">
        <w:rPr>
          <w:color w:val="000000" w:themeColor="text1"/>
          <w:lang w:val="en-GB"/>
        </w:rPr>
        <w:t> </w:t>
      </w:r>
      <w:r w:rsidRPr="00877122">
        <w:rPr>
          <w:rFonts w:ascii="Cambria Math" w:hAnsi="Cambria Math" w:cs="Cambria Math"/>
          <w:color w:val="000000" w:themeColor="text1"/>
          <w:lang w:val="en-GB"/>
        </w:rPr>
        <w:t>⩾</w:t>
      </w:r>
      <w:r w:rsidRPr="00877122">
        <w:rPr>
          <w:color w:val="000000" w:themeColor="text1"/>
          <w:lang w:val="en-GB"/>
        </w:rPr>
        <w:t xml:space="preserve"> 0.1; minor allele frequency &lt;0.01) in our test sample, weighted by GWAS effect sizes </w:t>
      </w:r>
      <w:r>
        <w:rPr>
          <w:noProof/>
          <w:color w:val="000000" w:themeColor="text1"/>
          <w:lang w:val="en-GB"/>
        </w:rPr>
        <w:t>(SZ: Ripke et al., 2014; BD: Stahl et al., 2019; MDD: Wray, 2018)</w:t>
      </w:r>
      <w:r w:rsidRPr="00877122">
        <w:rPr>
          <w:color w:val="000000" w:themeColor="text1"/>
          <w:lang w:val="en-GB"/>
        </w:rPr>
        <w:t xml:space="preserve">. The weighted PRS thus represent an estimation of cumulative, additive risk. PRS were calculated at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 xml:space="preserve">-value thresholds that showed the best discrimination of case-control status in the original GWAS (SZ: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 xml:space="preserve">=0.05, BD: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 xml:space="preserve">=0.01, MDD: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 xml:space="preserve">=0.05). </w:t>
      </w:r>
    </w:p>
    <w:p w:rsidR="00347740" w:rsidRPr="00877122" w:rsidRDefault="00347740" w:rsidP="006F28DB">
      <w:pPr>
        <w:pStyle w:val="Text"/>
        <w:rPr>
          <w:color w:val="000000" w:themeColor="text1"/>
          <w:lang w:val="en-GB"/>
        </w:rPr>
      </w:pPr>
      <w:r w:rsidRPr="00877122">
        <w:rPr>
          <w:color w:val="000000" w:themeColor="text1"/>
          <w:lang w:val="en-GB"/>
        </w:rPr>
        <w:t xml:space="preserve">To adjust for genetic heterogeneity within our sample, we computed multi-dimensional scaling (MDS) components based on the pairwise identity-by-state distance matrix </w:t>
      </w:r>
      <w:r w:rsidRPr="00877122">
        <w:rPr>
          <w:color w:val="000000" w:themeColor="text1"/>
          <w:lang w:val="en-GB"/>
        </w:rPr>
        <w:lastRenderedPageBreak/>
        <w:t>calculated on the genotype data in PLINK v1.90b5.</w:t>
      </w:r>
      <w:r w:rsidRPr="00877122">
        <w:rPr>
          <w:rStyle w:val="Kommentarzeichen"/>
          <w:rFonts w:ascii="Cambria" w:eastAsia="Cambria" w:hAnsi="Cambria" w:cs="Times New Roman"/>
          <w:color w:val="000000" w:themeColor="text1"/>
          <w:bdr w:val="none" w:sz="0" w:space="0" w:color="auto"/>
          <w:lang w:val="en-GB" w:eastAsia="en-US"/>
        </w:rPr>
        <w:t xml:space="preserve"> </w:t>
      </w:r>
      <w:r w:rsidRPr="00877122">
        <w:rPr>
          <w:color w:val="000000" w:themeColor="text1"/>
          <w:lang w:val="en-GB"/>
        </w:rPr>
        <w:t xml:space="preserve">Based on </w:t>
      </w:r>
      <w:proofErr w:type="spellStart"/>
      <w:r w:rsidRPr="00877122">
        <w:rPr>
          <w:color w:val="000000" w:themeColor="text1"/>
          <w:lang w:val="en-GB"/>
        </w:rPr>
        <w:t>screeplot</w:t>
      </w:r>
      <w:proofErr w:type="spellEnd"/>
      <w:r w:rsidRPr="00877122">
        <w:rPr>
          <w:color w:val="000000" w:themeColor="text1"/>
          <w:lang w:val="en-GB"/>
        </w:rPr>
        <w:t xml:space="preserve"> inspection, the first three components (C1–C3) were included as covariates in the analyses. </w:t>
      </w:r>
    </w:p>
    <w:p w:rsidR="00347740" w:rsidRPr="00877122" w:rsidRDefault="00347740" w:rsidP="006F28DB">
      <w:pPr>
        <w:pStyle w:val="Text"/>
        <w:rPr>
          <w:color w:val="000000" w:themeColor="text1"/>
          <w:lang w:val="en-GB"/>
        </w:rPr>
      </w:pPr>
      <w:r w:rsidRPr="00877122">
        <w:rPr>
          <w:color w:val="000000" w:themeColor="text1"/>
          <w:lang w:val="en-GB"/>
        </w:rPr>
        <w:t xml:space="preserve">The Mannheim sample served as part of the control cohort in the framework of a case-control GWAS of Borderline Personality Disorder (BPD) for which details have been published previously </w:t>
      </w:r>
      <w:r>
        <w:rPr>
          <w:noProof/>
          <w:color w:val="000000" w:themeColor="text1"/>
          <w:lang w:val="en-GB"/>
        </w:rPr>
        <w:t>(Witt et al., 2017)</w:t>
      </w:r>
      <w:r w:rsidRPr="00877122">
        <w:rPr>
          <w:color w:val="000000" w:themeColor="text1"/>
          <w:lang w:val="en-GB"/>
        </w:rPr>
        <w:t xml:space="preserve">. Analyses in the present manuscript are based on an updated quality control and imputation carried out using the RICOPILI GWAS pipeline </w:t>
      </w:r>
      <w:r>
        <w:rPr>
          <w:noProof/>
          <w:color w:val="000000" w:themeColor="text1"/>
          <w:lang w:val="en-GB"/>
        </w:rPr>
        <w:t>(Lam et al., 2019)</w:t>
      </w:r>
      <w:r w:rsidRPr="00877122">
        <w:rPr>
          <w:color w:val="000000" w:themeColor="text1"/>
          <w:lang w:val="en-GB"/>
        </w:rPr>
        <w:t xml:space="preserve">, which was also used to generate PRS (see below). DNA extraction was carried out using the </w:t>
      </w:r>
      <w:proofErr w:type="spellStart"/>
      <w:r w:rsidRPr="00877122">
        <w:rPr>
          <w:color w:val="000000" w:themeColor="text1"/>
          <w:lang w:val="en-GB"/>
        </w:rPr>
        <w:t>chemagic</w:t>
      </w:r>
      <w:proofErr w:type="spellEnd"/>
      <w:r w:rsidRPr="00877122">
        <w:rPr>
          <w:color w:val="000000" w:themeColor="text1"/>
          <w:lang w:val="en-GB"/>
        </w:rPr>
        <w:t xml:space="preserve"> Magnetic Separation Module I (</w:t>
      </w:r>
      <w:proofErr w:type="spellStart"/>
      <w:r w:rsidRPr="00877122">
        <w:rPr>
          <w:color w:val="000000" w:themeColor="text1"/>
          <w:lang w:val="en-GB"/>
        </w:rPr>
        <w:t>Chemagen</w:t>
      </w:r>
      <w:proofErr w:type="spellEnd"/>
      <w:r w:rsidRPr="00877122">
        <w:rPr>
          <w:color w:val="000000" w:themeColor="text1"/>
          <w:lang w:val="en-GB"/>
        </w:rPr>
        <w:t xml:space="preserve"> Biopolymer-</w:t>
      </w:r>
      <w:proofErr w:type="spellStart"/>
      <w:r w:rsidRPr="00877122">
        <w:rPr>
          <w:color w:val="000000" w:themeColor="text1"/>
          <w:lang w:val="en-GB"/>
        </w:rPr>
        <w:t>Technologie</w:t>
      </w:r>
      <w:proofErr w:type="spellEnd"/>
      <w:r w:rsidRPr="00877122">
        <w:rPr>
          <w:color w:val="000000" w:themeColor="text1"/>
          <w:lang w:val="en-GB"/>
        </w:rPr>
        <w:t xml:space="preserve">, </w:t>
      </w:r>
      <w:proofErr w:type="spellStart"/>
      <w:r w:rsidRPr="00877122">
        <w:rPr>
          <w:color w:val="000000" w:themeColor="text1"/>
          <w:lang w:val="en-GB"/>
        </w:rPr>
        <w:t>Baesweiler</w:t>
      </w:r>
      <w:proofErr w:type="spellEnd"/>
      <w:r w:rsidRPr="00877122">
        <w:rPr>
          <w:color w:val="000000" w:themeColor="text1"/>
          <w:lang w:val="en-GB"/>
        </w:rPr>
        <w:t>, Germany) and samples were genotyped using the Infinium PsychArray-24 Bead Chip (Illumina, San Diego, CA, USA).</w:t>
      </w:r>
    </w:p>
    <w:p w:rsidR="00347740" w:rsidRPr="00877122" w:rsidRDefault="00347740" w:rsidP="006F28DB">
      <w:pPr>
        <w:pStyle w:val="Text"/>
        <w:rPr>
          <w:color w:val="000000" w:themeColor="text1"/>
          <w:lang w:val="en-GB"/>
        </w:rPr>
      </w:pPr>
      <w:r w:rsidRPr="00877122">
        <w:rPr>
          <w:color w:val="000000" w:themeColor="text1"/>
          <w:lang w:val="en-GB"/>
        </w:rPr>
        <w:t>Individuals and SNPs were removed if they met any of the following exclusion criteria in the first round of quality control: genotyping call rate for given SNPs or individuals &lt;98%, difference in SNP genotyping call rate between cases and controls &gt;2%, deviation for the autosomal heterozygosity from the mean (|</w:t>
      </w:r>
      <w:proofErr w:type="spellStart"/>
      <w:r w:rsidRPr="00877122">
        <w:rPr>
          <w:color w:val="000000" w:themeColor="text1"/>
          <w:lang w:val="en-GB"/>
        </w:rPr>
        <w:t>Fhet</w:t>
      </w:r>
      <w:proofErr w:type="spellEnd"/>
      <w:r w:rsidRPr="00877122">
        <w:rPr>
          <w:color w:val="000000" w:themeColor="text1"/>
          <w:lang w:val="en-GB"/>
        </w:rPr>
        <w:t>|&gt;0.2), or a deviation from Hardy-Weinberg equilibrium (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>&lt;1x10</w:t>
      </w:r>
      <w:r w:rsidRPr="00877122">
        <w:rPr>
          <w:color w:val="000000" w:themeColor="text1"/>
          <w:vertAlign w:val="superscript"/>
          <w:lang w:val="en-GB"/>
        </w:rPr>
        <w:t xml:space="preserve">−10 </w:t>
      </w:r>
      <w:r w:rsidRPr="00877122">
        <w:rPr>
          <w:color w:val="000000" w:themeColor="text1"/>
          <w:lang w:val="en-GB"/>
        </w:rPr>
        <w:t xml:space="preserve">in cases;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>&lt;1x10</w:t>
      </w:r>
      <w:r w:rsidRPr="00877122">
        <w:rPr>
          <w:color w:val="000000" w:themeColor="text1"/>
          <w:vertAlign w:val="superscript"/>
          <w:lang w:val="en-GB"/>
        </w:rPr>
        <w:t>−6</w:t>
      </w:r>
      <w:r w:rsidRPr="00877122">
        <w:rPr>
          <w:color w:val="000000" w:themeColor="text1"/>
          <w:lang w:val="en-GB"/>
        </w:rPr>
        <w:t xml:space="preserve"> in controls). Genotype data were imputed using a publicly available</w:t>
      </w:r>
      <w:r w:rsidRPr="00877122" w:rsidDel="008368C1">
        <w:rPr>
          <w:color w:val="000000" w:themeColor="text1"/>
          <w:lang w:val="en-GB"/>
        </w:rPr>
        <w:t xml:space="preserve"> </w:t>
      </w:r>
      <w:r w:rsidRPr="00877122">
        <w:rPr>
          <w:color w:val="000000" w:themeColor="text1"/>
          <w:lang w:val="en-GB"/>
        </w:rPr>
        <w:t>reference panel consisting of 54,330 phased haplotypes with 36,678,882 variants from the haplotype reference consortium (EGAD00001002729) with the pre-phasing/imputation stepwise approach in EAGLE/MINIMAC</w:t>
      </w:r>
      <w:proofErr w:type="gramStart"/>
      <w:r w:rsidRPr="00877122">
        <w:rPr>
          <w:color w:val="000000" w:themeColor="text1"/>
          <w:lang w:val="en-GB"/>
        </w:rPr>
        <w:t>3  (</w:t>
      </w:r>
      <w:proofErr w:type="gramEnd"/>
      <w:r w:rsidRPr="00877122">
        <w:rPr>
          <w:color w:val="000000" w:themeColor="text1"/>
          <w:lang w:val="en-GB"/>
        </w:rPr>
        <w:t xml:space="preserve">default parameters and a variable chunk size of 132 genomic chunks) </w:t>
      </w:r>
      <w:r>
        <w:rPr>
          <w:noProof/>
          <w:color w:val="000000" w:themeColor="text1"/>
          <w:lang w:val="en-GB"/>
        </w:rPr>
        <w:t>(Das et al., 2016; Loh, Palamara, &amp; Price, 2016)</w:t>
      </w:r>
      <w:r w:rsidRPr="00877122">
        <w:rPr>
          <w:color w:val="000000" w:themeColor="text1"/>
          <w:lang w:val="en-GB"/>
        </w:rPr>
        <w:t>. In the second round of quality control, relatedness testing and population structure analysis were performed using a SNP subset that fulﬁlled strict quality criteria after imputation (INFO &gt;0.8, missingness &lt;1%, minor allele frequency &gt;0.05), and which had been subjected to LD pruning (</w:t>
      </w:r>
      <w:r w:rsidRPr="00877122">
        <w:rPr>
          <w:i/>
          <w:color w:val="000000" w:themeColor="text1"/>
          <w:lang w:val="en-GB"/>
        </w:rPr>
        <w:t>r</w:t>
      </w:r>
      <w:r w:rsidRPr="00877122">
        <w:rPr>
          <w:color w:val="000000" w:themeColor="text1"/>
          <w:vertAlign w:val="superscript"/>
          <w:lang w:val="en-GB"/>
        </w:rPr>
        <w:t>2</w:t>
      </w:r>
      <w:r w:rsidRPr="00877122">
        <w:rPr>
          <w:color w:val="000000" w:themeColor="text1"/>
          <w:lang w:val="en-GB"/>
        </w:rPr>
        <w:t xml:space="preserve">&gt;0.02). This subset comprised 66,240 SNPs. For cryptic relatives with pi-hat &gt;0.2, one member of each pair was removed at random following the preferential retention </w:t>
      </w:r>
      <w:r w:rsidRPr="00877122">
        <w:rPr>
          <w:color w:val="000000" w:themeColor="text1"/>
          <w:lang w:val="en-GB"/>
        </w:rPr>
        <w:lastRenderedPageBreak/>
        <w:t>of cases over controls. The thresholds for exclusion of genetic outliers on the first four principle components were determined via visual inspection</w:t>
      </w:r>
      <w:r w:rsidRPr="00877122">
        <w:rPr>
          <w:rFonts w:cs="Arial"/>
          <w:color w:val="000000" w:themeColor="text1"/>
          <w:lang w:val="en-GB"/>
        </w:rPr>
        <w:t>. After excluding outliers and adjusting for the first four PCAs the population stratification lambda was 1.044 and samples mapped reasonably within CEU PCA space (Supplementary Figure SF3&amp;SF4).  To</w:t>
      </w:r>
      <w:r w:rsidRPr="00877122">
        <w:rPr>
          <w:color w:val="000000" w:themeColor="text1"/>
          <w:lang w:val="en-GB"/>
        </w:rPr>
        <w:t xml:space="preserve"> obtain a highly informative SNP set with minimal statistical noise for PRS calculation, the following were excluded: Low frequency SNPs (minor allele frequency &lt;0.1), low-quality variants (INFO &lt;0.9), and indels in each of three GWAS </w:t>
      </w:r>
      <w:r>
        <w:rPr>
          <w:noProof/>
          <w:color w:val="000000" w:themeColor="text1"/>
          <w:lang w:val="en-GB"/>
        </w:rPr>
        <w:t>(SZ: Ripke et al., 2014; BD: Stahl et al., 2019; MDD: Wray, 2018)</w:t>
      </w:r>
      <w:r w:rsidRPr="00877122">
        <w:rPr>
          <w:color w:val="000000" w:themeColor="text1"/>
          <w:lang w:val="en-GB"/>
        </w:rPr>
        <w:t>. Subsequently, the remaining SNPs were LD-clumped (discarding markers: distance &lt; 500 kilobases (kb) and LD r2 </w:t>
      </w:r>
      <w:r w:rsidRPr="00877122">
        <w:rPr>
          <w:rFonts w:ascii="Cambria Math" w:hAnsi="Cambria Math" w:cs="Cambria Math"/>
          <w:color w:val="000000" w:themeColor="text1"/>
          <w:lang w:val="en-GB"/>
        </w:rPr>
        <w:t>⩾</w:t>
      </w:r>
      <w:r w:rsidRPr="00877122">
        <w:rPr>
          <w:color w:val="000000" w:themeColor="text1"/>
          <w:lang w:val="en-GB"/>
        </w:rPr>
        <w:t xml:space="preserve"> 0.1). </w:t>
      </w:r>
      <w:r w:rsidRPr="00877122">
        <w:rPr>
          <w:rFonts w:cs="Arial"/>
          <w:color w:val="000000" w:themeColor="text1"/>
          <w:lang w:val="en-GB"/>
        </w:rPr>
        <w:t xml:space="preserve">Because of extended LD structure within the extended </w:t>
      </w:r>
      <w:r w:rsidRPr="00877122">
        <w:rPr>
          <w:color w:val="000000" w:themeColor="text1"/>
          <w:lang w:val="en-GB"/>
        </w:rPr>
        <w:t>major histocompatibility complex region</w:t>
      </w:r>
      <w:r w:rsidRPr="00877122">
        <w:rPr>
          <w:rFonts w:cs="Arial"/>
          <w:color w:val="000000" w:themeColor="text1"/>
          <w:lang w:val="en-GB"/>
        </w:rPr>
        <w:t xml:space="preserve"> (ch6 25–35Mb)</w:t>
      </w:r>
      <w:r w:rsidRPr="00877122">
        <w:rPr>
          <w:color w:val="000000" w:themeColor="text1"/>
          <w:lang w:val="en-GB"/>
        </w:rPr>
        <w:t xml:space="preserve">, only one variant with the strongest significance in the respective discovery GWAS was retained (see Supplementary Table ST5). PRS were then calculated as implemented in the RICOPILI pipeline </w:t>
      </w:r>
      <w:r>
        <w:rPr>
          <w:noProof/>
          <w:color w:val="000000" w:themeColor="text1"/>
          <w:lang w:val="en-GB"/>
        </w:rPr>
        <w:t>(Lam et al., 2019)</w:t>
      </w:r>
      <w:r w:rsidRPr="00877122">
        <w:rPr>
          <w:color w:val="000000" w:themeColor="text1"/>
          <w:lang w:val="en-GB"/>
        </w:rPr>
        <w:t xml:space="preserve"> by summing the minor allele dosages of those SNPs weighted by GWAS effect sizes </w:t>
      </w:r>
      <w:r>
        <w:rPr>
          <w:noProof/>
          <w:color w:val="000000" w:themeColor="text1"/>
          <w:lang w:val="en-GB"/>
        </w:rPr>
        <w:t>(SZ: Ripke et al., 2014; BD: Stahl et al., 2019; MDD: Wray, 2018)</w:t>
      </w:r>
      <w:r w:rsidRPr="00877122">
        <w:rPr>
          <w:color w:val="000000" w:themeColor="text1"/>
          <w:lang w:val="en-GB"/>
        </w:rPr>
        <w:t xml:space="preserve"> for each individual in the cohort. PRS using the same thresholds as in the MACS sample were analysed (SZ: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 xml:space="preserve">=0.05, BD: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 xml:space="preserve">=0.01, MDD: </w:t>
      </w:r>
      <w:r w:rsidRPr="00877122">
        <w:rPr>
          <w:i/>
          <w:color w:val="000000" w:themeColor="text1"/>
          <w:lang w:val="en-GB"/>
        </w:rPr>
        <w:t>p</w:t>
      </w:r>
      <w:r w:rsidRPr="00877122">
        <w:rPr>
          <w:color w:val="000000" w:themeColor="text1"/>
          <w:lang w:val="en-GB"/>
        </w:rPr>
        <w:t>=0.05). Five principle components (</w:t>
      </w:r>
      <w:r w:rsidRPr="00877122">
        <w:rPr>
          <w:rFonts w:cs="Arial"/>
          <w:color w:val="000000" w:themeColor="text1"/>
          <w:lang w:val="en-GB"/>
        </w:rPr>
        <w:t>C1–C4 and C7; selected as those PCs were associated with case-control status in the original BPD GWAS</w:t>
      </w:r>
      <w:r w:rsidRPr="00877122">
        <w:rPr>
          <w:color w:val="000000" w:themeColor="text1"/>
          <w:lang w:val="en-GB"/>
        </w:rPr>
        <w:t>) were used to adjust for genetic heterogeneity within the Mannheim cohort along with sex and age in subsequent analyses.</w:t>
      </w:r>
    </w:p>
    <w:p w:rsidR="00347740" w:rsidRPr="00877122" w:rsidRDefault="00347740" w:rsidP="0066094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</w:p>
    <w:p w:rsidR="00347740" w:rsidRPr="00877122" w:rsidRDefault="00347740" w:rsidP="0066094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</w:p>
    <w:p w:rsidR="00347740" w:rsidRPr="00877122" w:rsidRDefault="00347740">
      <w:pPr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 xml:space="preserve">Supplementary Tables </w:t>
      </w:r>
    </w:p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t>Analyses have been repeated for the Mannheim sample with all scales recalculated as the respective subject mean if at least 80% of the items per subscale had been answered.</w:t>
      </w:r>
    </w:p>
    <w:p w:rsidR="00347740" w:rsidRPr="00877122" w:rsidRDefault="00347740" w:rsidP="00AD6F95">
      <w:pPr>
        <w:spacing w:line="360" w:lineRule="auto"/>
        <w:rPr>
          <w:rFonts w:ascii="Arial" w:hAnsi="Arial" w:cs="Arial"/>
          <w:b/>
          <w:color w:val="000000" w:themeColor="text1"/>
          <w:lang w:val="en-GB"/>
        </w:rPr>
      </w:pPr>
    </w:p>
    <w:p w:rsidR="00347740" w:rsidRPr="00877122" w:rsidRDefault="00347740" w:rsidP="00AD6F95">
      <w:pPr>
        <w:spacing w:line="360" w:lineRule="auto"/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t xml:space="preserve">Table ST1. </w:t>
      </w:r>
      <w:r w:rsidRPr="00877122">
        <w:rPr>
          <w:rFonts w:ascii="Arial" w:hAnsi="Arial" w:cs="Arial"/>
          <w:color w:val="000000" w:themeColor="text1"/>
          <w:lang w:val="en-GB"/>
        </w:rPr>
        <w:t xml:space="preserve">Model statistics of regression models with </w:t>
      </w:r>
      <w:r w:rsidRPr="00877122">
        <w:rPr>
          <w:rFonts w:ascii="Arial" w:hAnsi="Arial" w:cs="Arial"/>
          <w:b/>
          <w:color w:val="000000" w:themeColor="text1"/>
          <w:lang w:val="en-GB"/>
        </w:rPr>
        <w:t>SZ-PRS</w:t>
      </w:r>
      <w:r w:rsidRPr="00877122">
        <w:rPr>
          <w:rFonts w:ascii="Arial" w:hAnsi="Arial" w:cs="Arial"/>
          <w:color w:val="000000" w:themeColor="text1"/>
          <w:lang w:val="en-GB"/>
        </w:rPr>
        <w:t xml:space="preserve"> as predictor.</w:t>
      </w:r>
    </w:p>
    <w:tbl>
      <w:tblPr>
        <w:tblStyle w:val="Tabellenraster"/>
        <w:tblW w:w="9573" w:type="dxa"/>
        <w:tblLayout w:type="fixed"/>
        <w:tblLook w:val="04A0" w:firstRow="1" w:lastRow="0" w:firstColumn="1" w:lastColumn="0" w:noHBand="0" w:noVBand="1"/>
      </w:tblPr>
      <w:tblGrid>
        <w:gridCol w:w="2089"/>
        <w:gridCol w:w="1020"/>
        <w:gridCol w:w="1020"/>
        <w:gridCol w:w="795"/>
        <w:gridCol w:w="1020"/>
        <w:gridCol w:w="1020"/>
        <w:gridCol w:w="795"/>
        <w:gridCol w:w="996"/>
        <w:gridCol w:w="818"/>
      </w:tblGrid>
      <w:tr w:rsidR="00347740" w:rsidRPr="00877122" w:rsidTr="003B5A0A">
        <w:trPr>
          <w:trHeight w:val="469"/>
        </w:trPr>
        <w:tc>
          <w:tcPr>
            <w:tcW w:w="2089" w:type="dxa"/>
            <w:vMerge w:val="restart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>dependent variable</w:t>
            </w:r>
          </w:p>
        </w:tc>
        <w:tc>
          <w:tcPr>
            <w:tcW w:w="2835" w:type="dxa"/>
            <w:gridSpan w:val="3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MACS sample</w:t>
            </w:r>
          </w:p>
        </w:tc>
        <w:tc>
          <w:tcPr>
            <w:tcW w:w="3831" w:type="dxa"/>
            <w:gridSpan w:val="4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Mannheim sample</w:t>
            </w:r>
          </w:p>
        </w:tc>
        <w:tc>
          <w:tcPr>
            <w:tcW w:w="818" w:type="dxa"/>
            <w:vMerge w:val="restart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 xml:space="preserve">comb. </w:t>
            </w:r>
            <w:r w:rsidRPr="00877122">
              <w:rPr>
                <w:rFonts w:ascii="Arial" w:hAnsi="Arial" w:cs="Arial"/>
                <w:b/>
                <w:i/>
                <w:color w:val="000000" w:themeColor="text1"/>
                <w:sz w:val="22"/>
                <w:lang w:val="en-GB"/>
              </w:rPr>
              <w:t>p*</w:t>
            </w:r>
          </w:p>
        </w:tc>
      </w:tr>
      <w:tr w:rsidR="00347740" w:rsidRPr="00877122" w:rsidTr="003B5A0A">
        <w:trPr>
          <w:trHeight w:val="561"/>
        </w:trPr>
        <w:tc>
          <w:tcPr>
            <w:tcW w:w="2089" w:type="dxa"/>
            <w:vMerge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ß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SZ-PRS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f</w:t>
            </w:r>
            <w:r w:rsidRPr="00877122">
              <w:rPr>
                <w:rFonts w:ascii="Arial" w:hAnsi="Arial" w:cs="Arial"/>
                <w:i/>
                <w:color w:val="000000" w:themeColor="text1"/>
                <w:sz w:val="22"/>
                <w:vertAlign w:val="superscript"/>
                <w:lang w:val="en-GB"/>
              </w:rPr>
              <w:t>2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SZ-PRS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p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(ß)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ß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SZ-PRS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f</w:t>
            </w:r>
            <w:r w:rsidRPr="00877122">
              <w:rPr>
                <w:rFonts w:ascii="Arial" w:hAnsi="Arial" w:cs="Arial"/>
                <w:i/>
                <w:color w:val="000000" w:themeColor="text1"/>
                <w:sz w:val="22"/>
                <w:vertAlign w:val="superscript"/>
                <w:lang w:val="en-GB"/>
              </w:rPr>
              <w:t>2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SZ-PRS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p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(ß)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n sub-sample</w:t>
            </w:r>
          </w:p>
        </w:tc>
        <w:tc>
          <w:tcPr>
            <w:tcW w:w="818" w:type="dxa"/>
            <w:vMerge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>SPQ-B total score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0.003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9.2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-6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0.955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0.708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1423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0.943</w:t>
            </w: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Cognitive-Perceptual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0.006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3.8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0.873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5.4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0.376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1448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0.720</w:t>
            </w: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Interpersonal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0.007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0.882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-0.005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2.5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0.855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1430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0.944</w:t>
            </w:r>
          </w:p>
        </w:tc>
      </w:tr>
      <w:tr w:rsidR="00347740" w:rsidRPr="00877122" w:rsidTr="003B5A0A">
        <w:trPr>
          <w:trHeight w:val="415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Disorganized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-0.007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5.1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0.860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0.008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6.8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0.764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1422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0.898</w:t>
            </w: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Positive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0.010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0.617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4.1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0.464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1431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0.558</w:t>
            </w: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Negative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-0.013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1.7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0.743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-0.004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1.6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0.860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1351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0.890</w:t>
            </w: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Cognitive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-0.012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1.5×10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0.807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-0.019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3.7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0.467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1426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0.710</w:t>
            </w:r>
          </w:p>
        </w:tc>
      </w:tr>
      <w:tr w:rsidR="00347740" w:rsidRPr="00877122" w:rsidTr="003B5A0A">
        <w:trPr>
          <w:trHeight w:val="434"/>
        </w:trPr>
        <w:tc>
          <w:tcPr>
            <w:tcW w:w="2089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Eccentricity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0.009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8.3×10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  <w:lang w:val="en-GB"/>
              </w:rPr>
              <w:t>-5</w:t>
            </w:r>
          </w:p>
        </w:tc>
        <w:tc>
          <w:tcPr>
            <w:tcW w:w="795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0.833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1.8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9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0.637</w:t>
            </w:r>
          </w:p>
        </w:tc>
        <w:tc>
          <w:tcPr>
            <w:tcW w:w="996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1409</w:t>
            </w:r>
          </w:p>
        </w:tc>
        <w:tc>
          <w:tcPr>
            <w:tcW w:w="818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0.773</w:t>
            </w:r>
          </w:p>
        </w:tc>
      </w:tr>
    </w:tbl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Note.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Age, sex, and MDS components C1–C3 (MACS)/C1–C4, C7 (Mannheim) were included as covariates in all models. All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p-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and ß- values after z-transformation of PRS values and schizotypy scores (within each subsample for the Mannheim sample) and bootstrapping with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>=1000. *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-values were combined with the Stouffer meta-analysis method. All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p-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>values are above the threshold for statistical significance (</w:t>
      </w:r>
      <w:proofErr w:type="spellStart"/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</w:t>
      </w:r>
      <w:r w:rsidRPr="00877122">
        <w:rPr>
          <w:rFonts w:ascii="Arial" w:hAnsi="Arial" w:cs="Arial"/>
          <w:i/>
          <w:color w:val="000000" w:themeColor="text1"/>
          <w:sz w:val="22"/>
          <w:vertAlign w:val="subscript"/>
          <w:lang w:val="en-GB"/>
        </w:rPr>
        <w:t>T</w:t>
      </w:r>
      <w:proofErr w:type="spellEnd"/>
      <w:r w:rsidRPr="00877122">
        <w:rPr>
          <w:rFonts w:ascii="Arial" w:hAnsi="Arial" w:cs="Arial"/>
          <w:color w:val="000000" w:themeColor="text1"/>
          <w:sz w:val="22"/>
          <w:lang w:val="en-GB"/>
        </w:rPr>
        <w:t>=.00625–.05).</w:t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spacing w:line="360" w:lineRule="auto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 xml:space="preserve">Table ST2. </w:t>
      </w:r>
      <w:r w:rsidRPr="00877122">
        <w:rPr>
          <w:rFonts w:ascii="Arial" w:hAnsi="Arial" w:cs="Arial"/>
          <w:color w:val="000000" w:themeColor="text1"/>
          <w:lang w:val="en-GB"/>
        </w:rPr>
        <w:t xml:space="preserve">Model statistics of regression models with </w:t>
      </w:r>
      <w:r w:rsidRPr="00877122">
        <w:rPr>
          <w:rFonts w:ascii="Arial" w:hAnsi="Arial" w:cs="Arial"/>
          <w:b/>
          <w:color w:val="000000" w:themeColor="text1"/>
          <w:lang w:val="en-GB"/>
        </w:rPr>
        <w:t>BD-PRS</w:t>
      </w:r>
      <w:r w:rsidRPr="00877122">
        <w:rPr>
          <w:rFonts w:ascii="Arial" w:hAnsi="Arial" w:cs="Arial"/>
          <w:color w:val="000000" w:themeColor="text1"/>
          <w:lang w:val="en-GB"/>
        </w:rPr>
        <w:t xml:space="preserve"> as predictor.</w:t>
      </w: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2092"/>
        <w:gridCol w:w="1016"/>
        <w:gridCol w:w="1020"/>
        <w:gridCol w:w="771"/>
        <w:gridCol w:w="1020"/>
        <w:gridCol w:w="1020"/>
        <w:gridCol w:w="771"/>
        <w:gridCol w:w="1045"/>
        <w:gridCol w:w="851"/>
      </w:tblGrid>
      <w:tr w:rsidR="00347740" w:rsidRPr="00877122" w:rsidTr="003B5A0A">
        <w:trPr>
          <w:trHeight w:val="469"/>
        </w:trPr>
        <w:tc>
          <w:tcPr>
            <w:tcW w:w="2092" w:type="dxa"/>
            <w:vMerge w:val="restart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>dependent variable</w:t>
            </w:r>
          </w:p>
        </w:tc>
        <w:tc>
          <w:tcPr>
            <w:tcW w:w="2807" w:type="dxa"/>
            <w:gridSpan w:val="3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MACS sample</w:t>
            </w:r>
          </w:p>
        </w:tc>
        <w:tc>
          <w:tcPr>
            <w:tcW w:w="3856" w:type="dxa"/>
            <w:gridSpan w:val="4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Mannheim sample</w:t>
            </w:r>
          </w:p>
        </w:tc>
        <w:tc>
          <w:tcPr>
            <w:tcW w:w="851" w:type="dxa"/>
            <w:vMerge w:val="restart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 xml:space="preserve">comb. </w:t>
            </w:r>
            <w:r w:rsidRPr="00877122">
              <w:rPr>
                <w:rFonts w:ascii="Arial" w:hAnsi="Arial" w:cs="Arial"/>
                <w:b/>
                <w:i/>
                <w:color w:val="000000" w:themeColor="text1"/>
                <w:sz w:val="22"/>
                <w:lang w:val="en-GB"/>
              </w:rPr>
              <w:t>p*</w:t>
            </w:r>
          </w:p>
        </w:tc>
      </w:tr>
      <w:tr w:rsidR="00347740" w:rsidRPr="00877122" w:rsidTr="003B5A0A">
        <w:trPr>
          <w:trHeight w:val="561"/>
        </w:trPr>
        <w:tc>
          <w:tcPr>
            <w:tcW w:w="2092" w:type="dxa"/>
            <w:vMerge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ß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BD-PRS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f</w:t>
            </w:r>
            <w:r w:rsidRPr="00877122">
              <w:rPr>
                <w:rFonts w:ascii="Arial" w:hAnsi="Arial" w:cs="Arial"/>
                <w:i/>
                <w:color w:val="000000" w:themeColor="text1"/>
                <w:sz w:val="22"/>
                <w:vertAlign w:val="superscript"/>
                <w:lang w:val="en-GB"/>
              </w:rPr>
              <w:t>2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BD- PRS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p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(ß)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ß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BD- PRS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f</w:t>
            </w:r>
            <w:r w:rsidRPr="00877122">
              <w:rPr>
                <w:rFonts w:ascii="Arial" w:hAnsi="Arial" w:cs="Arial"/>
                <w:i/>
                <w:color w:val="000000" w:themeColor="text1"/>
                <w:sz w:val="22"/>
                <w:vertAlign w:val="superscript"/>
                <w:lang w:val="en-GB"/>
              </w:rPr>
              <w:t>2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BD- PRS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p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(ß)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n sub-sample</w:t>
            </w:r>
          </w:p>
        </w:tc>
        <w:tc>
          <w:tcPr>
            <w:tcW w:w="851" w:type="dxa"/>
            <w:vMerge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>SPQ-B total score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-0.010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0.824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0.026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7.0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0.286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1423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0.602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Cognitive-Perceptual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-0.044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0.002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0.247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0.022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0.380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1448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0.242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Interpersonal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0.007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0.871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0.018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3.3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0.480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1430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0.778</w:t>
            </w:r>
          </w:p>
        </w:tc>
      </w:tr>
      <w:tr w:rsidR="00347740" w:rsidRPr="00877122" w:rsidTr="003B5A0A">
        <w:trPr>
          <w:trHeight w:val="415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Disorganized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0.009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8.4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0.801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5.7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0.334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1422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0.616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Positive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-0.034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0.001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0.384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0.031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9.9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0.216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1431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0.222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Negative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-0.014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2.0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0.734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0.006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3.7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0.797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1351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0.848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Cognitive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0.014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2.0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0.715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0.026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6.9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0.326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1426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0.533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Eccentricity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0.003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9.2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-6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0.940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0.008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6.7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0.740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1409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0.940</w:t>
            </w:r>
          </w:p>
        </w:tc>
      </w:tr>
    </w:tbl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Note.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Age, sex, and MDS components C1–C3 (MACS)/C1–C4, C7 (Mannheim) were included as covariates in all models. All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p-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and ß- values after z-transformation of PRS values and schizotypy scores (within each subsample for the Mannheim sample) and bootstrapping with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>=1000. *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-values were combined with the Stouffer meta-analysis method. All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p-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>values are above the threshold for statistical significance (</w:t>
      </w:r>
      <w:proofErr w:type="spellStart"/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</w:t>
      </w:r>
      <w:r w:rsidRPr="00877122">
        <w:rPr>
          <w:rFonts w:ascii="Arial" w:hAnsi="Arial" w:cs="Arial"/>
          <w:i/>
          <w:color w:val="000000" w:themeColor="text1"/>
          <w:sz w:val="22"/>
          <w:vertAlign w:val="subscript"/>
          <w:lang w:val="en-GB"/>
        </w:rPr>
        <w:t>T</w:t>
      </w:r>
      <w:proofErr w:type="spellEnd"/>
      <w:r w:rsidRPr="00877122">
        <w:rPr>
          <w:rFonts w:ascii="Arial" w:hAnsi="Arial" w:cs="Arial"/>
          <w:color w:val="000000" w:themeColor="text1"/>
          <w:sz w:val="22"/>
          <w:lang w:val="en-GB"/>
        </w:rPr>
        <w:t>=.00625–.05).</w:t>
      </w:r>
    </w:p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lang w:val="en-GB"/>
        </w:rPr>
      </w:pPr>
    </w:p>
    <w:p w:rsidR="00347740" w:rsidRPr="00877122" w:rsidRDefault="00347740" w:rsidP="00AD6F95">
      <w:pPr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spacing w:line="360" w:lineRule="auto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 xml:space="preserve">Table ST3. </w:t>
      </w:r>
      <w:r w:rsidRPr="00877122">
        <w:rPr>
          <w:rFonts w:ascii="Arial" w:hAnsi="Arial" w:cs="Arial"/>
          <w:color w:val="000000" w:themeColor="text1"/>
          <w:lang w:val="en-GB"/>
        </w:rPr>
        <w:t xml:space="preserve">Model statistics of regression models with </w:t>
      </w:r>
      <w:r w:rsidRPr="00877122">
        <w:rPr>
          <w:rFonts w:ascii="Arial" w:hAnsi="Arial" w:cs="Arial"/>
          <w:b/>
          <w:color w:val="000000" w:themeColor="text1"/>
          <w:lang w:val="en-GB"/>
        </w:rPr>
        <w:t>MDD-PRS</w:t>
      </w:r>
      <w:r w:rsidRPr="00877122">
        <w:rPr>
          <w:rFonts w:ascii="Arial" w:hAnsi="Arial" w:cs="Arial"/>
          <w:color w:val="000000" w:themeColor="text1"/>
          <w:lang w:val="en-GB"/>
        </w:rPr>
        <w:t xml:space="preserve"> as predictor.</w:t>
      </w:r>
    </w:p>
    <w:tbl>
      <w:tblPr>
        <w:tblStyle w:val="Tabellenraster"/>
        <w:tblW w:w="9606" w:type="dxa"/>
        <w:tblLayout w:type="fixed"/>
        <w:tblLook w:val="04A0" w:firstRow="1" w:lastRow="0" w:firstColumn="1" w:lastColumn="0" w:noHBand="0" w:noVBand="1"/>
      </w:tblPr>
      <w:tblGrid>
        <w:gridCol w:w="2092"/>
        <w:gridCol w:w="1016"/>
        <w:gridCol w:w="1020"/>
        <w:gridCol w:w="771"/>
        <w:gridCol w:w="1020"/>
        <w:gridCol w:w="1020"/>
        <w:gridCol w:w="771"/>
        <w:gridCol w:w="1045"/>
        <w:gridCol w:w="851"/>
      </w:tblGrid>
      <w:tr w:rsidR="00347740" w:rsidRPr="00877122" w:rsidTr="003B5A0A">
        <w:trPr>
          <w:trHeight w:val="469"/>
        </w:trPr>
        <w:tc>
          <w:tcPr>
            <w:tcW w:w="2092" w:type="dxa"/>
            <w:vMerge w:val="restart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>dependent variable</w:t>
            </w:r>
          </w:p>
        </w:tc>
        <w:tc>
          <w:tcPr>
            <w:tcW w:w="2807" w:type="dxa"/>
            <w:gridSpan w:val="3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MACS sample</w:t>
            </w:r>
          </w:p>
        </w:tc>
        <w:tc>
          <w:tcPr>
            <w:tcW w:w="3856" w:type="dxa"/>
            <w:gridSpan w:val="4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Mannheim sample</w:t>
            </w:r>
          </w:p>
        </w:tc>
        <w:tc>
          <w:tcPr>
            <w:tcW w:w="851" w:type="dxa"/>
            <w:vMerge w:val="restart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 xml:space="preserve">comb. </w:t>
            </w:r>
            <w:r w:rsidRPr="00877122">
              <w:rPr>
                <w:rFonts w:ascii="Arial" w:hAnsi="Arial" w:cs="Arial"/>
                <w:b/>
                <w:i/>
                <w:color w:val="000000" w:themeColor="text1"/>
                <w:sz w:val="22"/>
                <w:lang w:val="en-GB"/>
              </w:rPr>
              <w:t>p*</w:t>
            </w:r>
          </w:p>
        </w:tc>
      </w:tr>
      <w:tr w:rsidR="00347740" w:rsidRPr="00877122" w:rsidTr="003B5A0A">
        <w:trPr>
          <w:trHeight w:val="561"/>
        </w:trPr>
        <w:tc>
          <w:tcPr>
            <w:tcW w:w="2092" w:type="dxa"/>
            <w:vMerge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ß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MDD- PRS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f</w:t>
            </w:r>
            <w:r w:rsidRPr="00877122">
              <w:rPr>
                <w:rFonts w:ascii="Arial" w:hAnsi="Arial" w:cs="Arial"/>
                <w:i/>
                <w:color w:val="000000" w:themeColor="text1"/>
                <w:sz w:val="22"/>
                <w:vertAlign w:val="superscript"/>
                <w:lang w:val="en-GB"/>
              </w:rPr>
              <w:t>2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MDD- PRS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p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(ß)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ß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b/>
                <w:color w:val="000000" w:themeColor="text1"/>
                <w:sz w:val="22"/>
                <w:lang w:val="en-GB"/>
              </w:rPr>
              <w:t>MDD- PRS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f</w:t>
            </w:r>
            <w:r w:rsidRPr="00877122">
              <w:rPr>
                <w:rFonts w:ascii="Arial" w:hAnsi="Arial" w:cs="Arial"/>
                <w:i/>
                <w:color w:val="000000" w:themeColor="text1"/>
                <w:sz w:val="22"/>
                <w:vertAlign w:val="superscript"/>
                <w:lang w:val="en-GB"/>
              </w:rPr>
              <w:t>2</w:t>
            </w:r>
          </w:p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MDD- PRS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sz w:val="22"/>
                <w:lang w:val="en-GB"/>
              </w:rPr>
              <w:t>p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(ß)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n sub-sample</w:t>
            </w:r>
          </w:p>
        </w:tc>
        <w:tc>
          <w:tcPr>
            <w:tcW w:w="851" w:type="dxa"/>
            <w:vMerge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>SPQ-B total score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-0.026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6.9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0.543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0.111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0.013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0.001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1423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0.017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Cognitive-Perceptual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-0.039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0.002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0.348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0.083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0.007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0.005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1448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0.018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Interpersonal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-0.012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1.4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0.762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0.099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0.010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0.001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1430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0.046</w:t>
            </w:r>
          </w:p>
        </w:tc>
      </w:tr>
      <w:tr w:rsidR="00347740" w:rsidRPr="00877122" w:rsidTr="003B5A0A">
        <w:trPr>
          <w:trHeight w:val="415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i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 xml:space="preserve">  Disorganized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-0.008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6.6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-5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0.848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0.094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0.010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0.001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1422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0.072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Positive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-0.042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0.002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0.325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0.039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0.002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0.141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1431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0.140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Negative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-0.020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4.1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0.632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0.097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0.010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0.001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1351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0.026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Cognitive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0.013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1.7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0.743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0.070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0.005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0.009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1426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0.112</w:t>
            </w:r>
          </w:p>
        </w:tc>
      </w:tr>
      <w:tr w:rsidR="00347740" w:rsidRPr="00877122" w:rsidTr="003B5A0A">
        <w:trPr>
          <w:trHeight w:val="434"/>
        </w:trPr>
        <w:tc>
          <w:tcPr>
            <w:tcW w:w="2092" w:type="dxa"/>
            <w:vAlign w:val="center"/>
          </w:tcPr>
          <w:p w:rsidR="00347740" w:rsidRPr="00877122" w:rsidRDefault="00347740" w:rsidP="003B5A0A">
            <w:pPr>
              <w:spacing w:line="276" w:lineRule="auto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lang w:val="en-GB"/>
              </w:rPr>
              <w:t xml:space="preserve">Adj. </w:t>
            </w:r>
            <w:r w:rsidRPr="00877122">
              <w:rPr>
                <w:rFonts w:ascii="Arial" w:hAnsi="Arial" w:cs="Arial"/>
                <w:i/>
                <w:color w:val="000000" w:themeColor="text1"/>
                <w:lang w:val="en-GB"/>
              </w:rPr>
              <w:t>Eccentricity</w:t>
            </w:r>
          </w:p>
        </w:tc>
        <w:tc>
          <w:tcPr>
            <w:tcW w:w="1016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-0.021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4.5</w:t>
            </w:r>
            <w:r w:rsidRPr="00877122">
              <w:rPr>
                <w:rFonts w:ascii="Arial" w:hAnsi="Arial" w:cs="Arial"/>
                <w:color w:val="000000" w:themeColor="text1"/>
                <w:sz w:val="22"/>
                <w:lang w:val="en-GB"/>
              </w:rPr>
              <w:t>×10</w:t>
            </w:r>
            <w:r w:rsidRPr="00877122">
              <w:rPr>
                <w:rFonts w:ascii="Arial" w:hAnsi="Arial" w:cs="Arial"/>
                <w:color w:val="000000" w:themeColor="text1"/>
                <w:sz w:val="22"/>
                <w:vertAlign w:val="superscript"/>
                <w:lang w:val="en-GB"/>
              </w:rPr>
              <w:t>-4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spacing w:line="276" w:lineRule="auto"/>
              <w:jc w:val="center"/>
              <w:rPr>
                <w:rFonts w:ascii="Arial" w:hAnsi="Arial" w:cs="Arial"/>
                <w:color w:val="000000" w:themeColor="text1"/>
                <w:sz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8"/>
                <w:lang w:val="en-GB"/>
              </w:rPr>
              <w:t>0.607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0.110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0.013</w:t>
            </w:r>
          </w:p>
        </w:tc>
        <w:tc>
          <w:tcPr>
            <w:tcW w:w="77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0.001</w:t>
            </w:r>
          </w:p>
        </w:tc>
        <w:tc>
          <w:tcPr>
            <w:tcW w:w="1045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1409</w:t>
            </w:r>
          </w:p>
        </w:tc>
        <w:tc>
          <w:tcPr>
            <w:tcW w:w="851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0.023</w:t>
            </w:r>
          </w:p>
        </w:tc>
      </w:tr>
    </w:tbl>
    <w:p w:rsidR="00347740" w:rsidRPr="00877122" w:rsidRDefault="00347740" w:rsidP="00AD6F95">
      <w:pPr>
        <w:spacing w:line="276" w:lineRule="auto"/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Note.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Age, sex, and MDS components C1–C3 (MACS)/C1–C4, C7 (Mannheim) were included as covariates in all models. All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p-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and ß- values after z-transformation of PRS values and schizotypy scores (within each subsample for the Mannheim sample) and bootstrapping with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>=1000. *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-values were combined with the Stouffer meta-analysis method. All </w:t>
      </w: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p-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>values are above the threshold for statistical significance (</w:t>
      </w:r>
      <w:proofErr w:type="spellStart"/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p</w:t>
      </w:r>
      <w:r w:rsidRPr="00877122">
        <w:rPr>
          <w:rFonts w:ascii="Arial" w:hAnsi="Arial" w:cs="Arial"/>
          <w:i/>
          <w:color w:val="000000" w:themeColor="text1"/>
          <w:sz w:val="22"/>
          <w:vertAlign w:val="subscript"/>
          <w:lang w:val="en-GB"/>
        </w:rPr>
        <w:t>T</w:t>
      </w:r>
      <w:proofErr w:type="spellEnd"/>
      <w:r w:rsidRPr="00877122">
        <w:rPr>
          <w:rFonts w:ascii="Arial" w:hAnsi="Arial" w:cs="Arial"/>
          <w:color w:val="000000" w:themeColor="text1"/>
          <w:sz w:val="22"/>
          <w:lang w:val="en-GB"/>
        </w:rPr>
        <w:t>=.00625–.05).</w:t>
      </w:r>
    </w:p>
    <w:p w:rsidR="00347740" w:rsidRPr="00877122" w:rsidRDefault="00347740" w:rsidP="00AD6F95">
      <w:pPr>
        <w:spacing w:after="200" w:line="276" w:lineRule="auto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spacing w:line="360" w:lineRule="auto"/>
        <w:jc w:val="both"/>
        <w:rPr>
          <w:rFonts w:ascii="Arial" w:eastAsia="Arial" w:hAnsi="Arial" w:cs="Arial"/>
          <w:b/>
          <w:color w:val="000000" w:themeColor="text1"/>
          <w:sz w:val="28"/>
          <w:lang w:val="en-GB"/>
        </w:rPr>
      </w:pPr>
      <w:r w:rsidRPr="00877122">
        <w:rPr>
          <w:rFonts w:ascii="Arial" w:eastAsia="Arial" w:hAnsi="Arial" w:cs="Arial"/>
          <w:b/>
          <w:noProof/>
          <w:color w:val="000000" w:themeColor="text1"/>
          <w:sz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AD0FEA" wp14:editId="1EF6D62E">
                <wp:simplePos x="0" y="0"/>
                <wp:positionH relativeFrom="column">
                  <wp:posOffset>3086100</wp:posOffset>
                </wp:positionH>
                <wp:positionV relativeFrom="paragraph">
                  <wp:posOffset>470930</wp:posOffset>
                </wp:positionV>
                <wp:extent cx="3251835" cy="7553325"/>
                <wp:effectExtent l="0" t="0" r="571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755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76" w:type="dxa"/>
                              <w:tblInd w:w="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top w:w="5" w:type="dxa"/>
                                <w:left w:w="176" w:type="dxa"/>
                                <w:bottom w:w="7" w:type="dxa"/>
                                <w:right w:w="1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14"/>
                              <w:gridCol w:w="1020"/>
                              <w:gridCol w:w="1020"/>
                              <w:gridCol w:w="965"/>
                              <w:gridCol w:w="57"/>
                            </w:tblGrid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4876" w:type="dxa"/>
                                  <w:gridSpan w:val="5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ind w:right="291"/>
                                    <w:jc w:val="center"/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 xml:space="preserve">Mannheim </w:t>
                                  </w:r>
                                  <w:proofErr w:type="spellStart"/>
                                  <w:r w:rsidRPr="00052108">
                                    <w:rPr>
                                      <w:rFonts w:ascii="Arial" w:eastAsia="Arial" w:hAnsi="Arial" w:cs="Arial"/>
                                    </w:rPr>
                                    <w:t>pattern</w:t>
                                  </w:r>
                                  <w:proofErr w:type="spellEnd"/>
                                  <w:r w:rsidRPr="00052108">
                                    <w:rPr>
                                      <w:rFonts w:ascii="Arial" w:eastAsia="Arial" w:hAnsi="Arial" w:cs="Arial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52108">
                                    <w:rPr>
                                      <w:rFonts w:ascii="Arial" w:eastAsia="Arial" w:hAnsi="Arial" w:cs="Arial"/>
                                    </w:rPr>
                                    <w:t>matrix</w:t>
                                  </w:r>
                                  <w:proofErr w:type="spellEnd"/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</w:tcPr>
                                <w:p w:rsidR="00347740" w:rsidRPr="006318ED" w:rsidRDefault="00347740" w:rsidP="003B5A0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  <w:gridSpan w:val="4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ind w:right="30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spellStart"/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factor</w:t>
                                  </w:r>
                                  <w:proofErr w:type="spellEnd"/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</w:tcPr>
                                <w:p w:rsidR="00347740" w:rsidRPr="006318ED" w:rsidRDefault="00347740" w:rsidP="003B5A0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SPQB21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.667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SPQB15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.618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SPQB11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.611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SPQB22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.528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SPQB18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.523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SPQB14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.495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.150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 IP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.392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-.103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SPQB9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  <w:b/>
                                    </w:rPr>
                                    <w:t>.178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.133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-.178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SPQB17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  <w:b/>
                                    </w:rPr>
                                    <w:t>.167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-.166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SPQB2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auto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.642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SPQB5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auto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.544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-.121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SPQB12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.405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SPQB4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.399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SPQB10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.235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SPQB6 DO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auto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-.572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SPQB3 DO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auto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-.559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SPQB19 DO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auto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-.527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SPQB8 DO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.108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-.514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SPQB20 DO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.273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-.384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</w:rPr>
                                    <w:t>SPQB13 DO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.159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-.344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SPQB16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.177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  <w:b/>
                                    </w:rPr>
                                    <w:t>-.325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trHeight w:val="400"/>
                              </w:trPr>
                              <w:tc>
                                <w:tcPr>
                                  <w:tcW w:w="1814" w:type="dxa"/>
                                  <w:shd w:val="clear" w:color="auto" w:fill="E6E6E6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eastAsia="Arial" w:hAnsi="Arial" w:cs="Arial"/>
                                      <w:b/>
                                    </w:rPr>
                                    <w:t>SPQB7 CP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shd w:val="clear" w:color="auto" w:fill="FFFFFF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.134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</w:rPr>
                                    <w:t>.129</w:t>
                                  </w:r>
                                </w:p>
                              </w:tc>
                              <w:tc>
                                <w:tcPr>
                                  <w:tcW w:w="1022" w:type="dxa"/>
                                  <w:gridSpan w:val="2"/>
                                  <w:shd w:val="clear" w:color="auto" w:fill="F2F2F2" w:themeFill="background1" w:themeFillShade="F2"/>
                                </w:tcPr>
                                <w:p w:rsidR="00347740" w:rsidRPr="006318ED" w:rsidRDefault="00347740" w:rsidP="003B5A0A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320" w:lineRule="atLeast"/>
                                    <w:ind w:left="60" w:right="60"/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  <w:b/>
                                    </w:rPr>
                                    <w:t>-.210</w:t>
                                  </w:r>
                                </w:p>
                              </w:tc>
                            </w:tr>
                            <w:tr w:rsidR="00347740" w:rsidRPr="004118A8" w:rsidTr="003B5A0A">
                              <w:trPr>
                                <w:gridAfter w:val="1"/>
                                <w:wAfter w:w="57" w:type="dxa"/>
                                <w:trHeight w:val="612"/>
                              </w:trPr>
                              <w:tc>
                                <w:tcPr>
                                  <w:tcW w:w="4819" w:type="dxa"/>
                                  <w:gridSpan w:val="4"/>
                                  <w:shd w:val="clear" w:color="auto" w:fill="FFFFFF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lang w:val="en-GB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  <w:lang w:val="en-GB"/>
                                    </w:rPr>
                                    <w:t xml:space="preserve">Extraction Method: Principal Axis Factoring. </w:t>
                                  </w:r>
                                </w:p>
                                <w:p w:rsidR="00347740" w:rsidRPr="00CF20B4" w:rsidRDefault="00347740" w:rsidP="003B5A0A">
                                  <w:pPr>
                                    <w:rPr>
                                      <w:sz w:val="20"/>
                                      <w:lang w:val="en-GB"/>
                                    </w:rPr>
                                  </w:pPr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  <w:lang w:val="en-GB"/>
                                    </w:rPr>
                                    <w:t xml:space="preserve">Rotation Method: </w:t>
                                  </w:r>
                                  <w:proofErr w:type="spellStart"/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  <w:lang w:val="en-GB"/>
                                    </w:rPr>
                                    <w:t>Oblimin</w:t>
                                  </w:r>
                                  <w:proofErr w:type="spellEnd"/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  <w:lang w:val="en-GB"/>
                                    </w:rPr>
                                    <w:t xml:space="preserve"> with Kaiser Normalization.</w:t>
                                  </w:r>
                                </w:p>
                              </w:tc>
                            </w:tr>
                            <w:tr w:rsidR="00347740" w:rsidRPr="006318ED" w:rsidTr="003B5A0A">
                              <w:trPr>
                                <w:gridAfter w:val="1"/>
                                <w:wAfter w:w="57" w:type="dxa"/>
                                <w:trHeight w:val="400"/>
                              </w:trPr>
                              <w:tc>
                                <w:tcPr>
                                  <w:tcW w:w="4819" w:type="dxa"/>
                                  <w:gridSpan w:val="4"/>
                                  <w:vAlign w:val="center"/>
                                </w:tcPr>
                                <w:p w:rsidR="00347740" w:rsidRPr="006318ED" w:rsidRDefault="00347740" w:rsidP="003B5A0A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Rotation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converged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in 11</w:t>
                                  </w:r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iterations</w:t>
                                  </w:r>
                                  <w:proofErr w:type="spellEnd"/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.</w:t>
                                  </w:r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ab/>
                                  </w:r>
                                  <w:r w:rsidRPr="006318ED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:rsidR="00347740" w:rsidRPr="006318ED" w:rsidRDefault="00347740" w:rsidP="00AD6F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D0FE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43pt;margin-top:37.1pt;width:256.05pt;height:59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" stroked="f">
                <v:textbox>
                  <w:txbxContent>
                    <w:tbl>
                      <w:tblPr>
                        <w:tblStyle w:val="TableGrid"/>
                        <w:tblW w:w="4876" w:type="dxa"/>
                        <w:tblInd w:w="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top w:w="5" w:type="dxa"/>
                          <w:left w:w="176" w:type="dxa"/>
                          <w:bottom w:w="7" w:type="dxa"/>
                          <w:right w:w="1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14"/>
                        <w:gridCol w:w="1020"/>
                        <w:gridCol w:w="1020"/>
                        <w:gridCol w:w="965"/>
                        <w:gridCol w:w="57"/>
                      </w:tblGrid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4876" w:type="dxa"/>
                            <w:gridSpan w:val="5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ind w:right="291"/>
                              <w:jc w:val="center"/>
                            </w:pPr>
                            <w:r w:rsidRPr="006318ED">
                              <w:rPr>
                                <w:rFonts w:ascii="Arial" w:eastAsia="Arial" w:hAnsi="Arial" w:cs="Arial"/>
                                <w:b/>
                              </w:rPr>
                              <w:t xml:space="preserve">Mannheim </w:t>
                            </w:r>
                            <w:proofErr w:type="spellStart"/>
                            <w:r w:rsidRPr="00052108">
                              <w:rPr>
                                <w:rFonts w:ascii="Arial" w:eastAsia="Arial" w:hAnsi="Arial" w:cs="Arial"/>
                              </w:rPr>
                              <w:t>pattern</w:t>
                            </w:r>
                            <w:proofErr w:type="spellEnd"/>
                            <w:r w:rsidRPr="00052108">
                              <w:rPr>
                                <w:rFonts w:ascii="Arial" w:eastAsia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052108">
                              <w:rPr>
                                <w:rFonts w:ascii="Arial" w:eastAsia="Arial" w:hAnsi="Arial" w:cs="Arial"/>
                              </w:rPr>
                              <w:t>matrix</w:t>
                            </w:r>
                            <w:proofErr w:type="spellEnd"/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</w:tcPr>
                          <w:p w:rsidR="00347740" w:rsidRPr="006318ED" w:rsidRDefault="00347740" w:rsidP="003B5A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3062" w:type="dxa"/>
                            <w:gridSpan w:val="4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ind w:right="30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6318ED">
                              <w:rPr>
                                <w:rFonts w:ascii="Arial" w:eastAsia="Arial" w:hAnsi="Arial" w:cs="Arial"/>
                              </w:rPr>
                              <w:t>factor</w:t>
                            </w:r>
                            <w:proofErr w:type="spellEnd"/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</w:tcPr>
                          <w:p w:rsidR="00347740" w:rsidRPr="006318ED" w:rsidRDefault="00347740" w:rsidP="003B5A0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20" w:type="dxa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3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SPQB21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.667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SPQB15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.618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SPQB11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.611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SPQB22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.528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SPQB18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.523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SPQB14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.495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.150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 IP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.392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-.103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  <w:b/>
                              </w:rPr>
                              <w:t>SPQB9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  <w:b/>
                              </w:rPr>
                              <w:t>.178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.133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-.178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  <w:b/>
                              </w:rPr>
                              <w:t>SPQB17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  <w:b/>
                              </w:rPr>
                              <w:t>.167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-.166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SPQB2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auto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.642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SPQB5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auto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.544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-.121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SPQB12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.405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SPQB4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.399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SPQB10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.235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SPQB6 DO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auto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-.572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SPQB3 DO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auto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-.559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SPQB19 DO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shd w:val="clear" w:color="auto" w:fill="auto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-.527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SPQB8 DO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.108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-.514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SPQB20 DO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.273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-.384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</w:rPr>
                              <w:t>SPQB13 DO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.159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-.344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  <w:b/>
                              </w:rPr>
                              <w:t>SPQB16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.177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  <w:b/>
                              </w:rPr>
                              <w:t>-.325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trHeight w:val="400"/>
                        </w:trPr>
                        <w:tc>
                          <w:tcPr>
                            <w:tcW w:w="1814" w:type="dxa"/>
                            <w:shd w:val="clear" w:color="auto" w:fill="E6E6E6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eastAsia="Arial" w:hAnsi="Arial" w:cs="Arial"/>
                                <w:b/>
                              </w:rPr>
                              <w:t>SPQB7 CP</w:t>
                            </w:r>
                          </w:p>
                        </w:tc>
                        <w:tc>
                          <w:tcPr>
                            <w:tcW w:w="1020" w:type="dxa"/>
                            <w:shd w:val="clear" w:color="auto" w:fill="FFFFFF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.134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</w:rPr>
                              <w:t>.129</w:t>
                            </w:r>
                          </w:p>
                        </w:tc>
                        <w:tc>
                          <w:tcPr>
                            <w:tcW w:w="1022" w:type="dxa"/>
                            <w:gridSpan w:val="2"/>
                            <w:shd w:val="clear" w:color="auto" w:fill="F2F2F2" w:themeFill="background1" w:themeFillShade="F2"/>
                          </w:tcPr>
                          <w:p w:rsidR="00347740" w:rsidRPr="006318ED" w:rsidRDefault="00347740" w:rsidP="003B5A0A">
                            <w:pPr>
                              <w:autoSpaceDE w:val="0"/>
                              <w:autoSpaceDN w:val="0"/>
                              <w:adjustRightInd w:val="0"/>
                              <w:spacing w:line="320" w:lineRule="atLeast"/>
                              <w:ind w:left="60" w:right="60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  <w:b/>
                              </w:rPr>
                              <w:t>-.210</w:t>
                            </w:r>
                          </w:p>
                        </w:tc>
                      </w:tr>
                      <w:tr w:rsidR="00347740" w:rsidRPr="004118A8" w:rsidTr="003B5A0A">
                        <w:trPr>
                          <w:gridAfter w:val="1"/>
                          <w:wAfter w:w="57" w:type="dxa"/>
                          <w:trHeight w:val="612"/>
                        </w:trPr>
                        <w:tc>
                          <w:tcPr>
                            <w:tcW w:w="4819" w:type="dxa"/>
                            <w:gridSpan w:val="4"/>
                            <w:shd w:val="clear" w:color="auto" w:fill="FFFFFF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 xml:space="preserve">Extraction Method: Principal Axis Factoring. </w:t>
                            </w:r>
                          </w:p>
                          <w:p w:rsidR="00347740" w:rsidRPr="00CF20B4" w:rsidRDefault="00347740" w:rsidP="003B5A0A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6318ED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 xml:space="preserve">Rotation Method: </w:t>
                            </w:r>
                            <w:proofErr w:type="spellStart"/>
                            <w:r w:rsidRPr="006318ED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>Oblimin</w:t>
                            </w:r>
                            <w:proofErr w:type="spellEnd"/>
                            <w:r w:rsidRPr="006318ED"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  <w:t xml:space="preserve"> with Kaiser Normalization.</w:t>
                            </w:r>
                          </w:p>
                        </w:tc>
                      </w:tr>
                      <w:tr w:rsidR="00347740" w:rsidRPr="006318ED" w:rsidTr="003B5A0A">
                        <w:trPr>
                          <w:gridAfter w:val="1"/>
                          <w:wAfter w:w="57" w:type="dxa"/>
                          <w:trHeight w:val="400"/>
                        </w:trPr>
                        <w:tc>
                          <w:tcPr>
                            <w:tcW w:w="4819" w:type="dxa"/>
                            <w:gridSpan w:val="4"/>
                            <w:vAlign w:val="center"/>
                          </w:tcPr>
                          <w:p w:rsidR="00347740" w:rsidRPr="006318ED" w:rsidRDefault="00347740" w:rsidP="003B5A0A">
                            <w:pPr>
                              <w:rPr>
                                <w:rFonts w:ascii="Arial" w:hAnsi="Arial" w:cs="Arial"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Rotation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converged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in 11</w:t>
                            </w:r>
                            <w:r w:rsidRPr="006318ED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6318ED">
                              <w:rPr>
                                <w:rFonts w:ascii="Arial" w:hAnsi="Arial" w:cs="Arial"/>
                                <w:sz w:val="20"/>
                              </w:rPr>
                              <w:t>iterations</w:t>
                            </w:r>
                            <w:proofErr w:type="spellEnd"/>
                            <w:r w:rsidRPr="006318ED">
                              <w:rPr>
                                <w:rFonts w:ascii="Arial" w:hAnsi="Arial" w:cs="Arial"/>
                                <w:sz w:val="20"/>
                              </w:rPr>
                              <w:t>.</w:t>
                            </w:r>
                            <w:r w:rsidRPr="006318ED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 w:rsidRPr="006318ED"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</w:p>
                        </w:tc>
                      </w:tr>
                    </w:tbl>
                    <w:p w:rsidR="00347740" w:rsidRPr="006318ED" w:rsidRDefault="00347740" w:rsidP="00AD6F95"/>
                  </w:txbxContent>
                </v:textbox>
              </v:shape>
            </w:pict>
          </mc:Fallback>
        </mc:AlternateContent>
      </w:r>
      <w:r w:rsidRPr="00877122">
        <w:rPr>
          <w:rFonts w:ascii="Arial" w:hAnsi="Arial" w:cs="Arial"/>
          <w:b/>
          <w:color w:val="000000" w:themeColor="text1"/>
          <w:lang w:val="en-GB"/>
        </w:rPr>
        <w:t xml:space="preserve">Table ST4. </w:t>
      </w:r>
      <w:r w:rsidRPr="00877122">
        <w:rPr>
          <w:rFonts w:ascii="Arial" w:hAnsi="Arial" w:cs="Arial"/>
          <w:color w:val="000000" w:themeColor="text1"/>
          <w:lang w:val="en-GB"/>
        </w:rPr>
        <w:t xml:space="preserve">Results of separate exploratory factor analysis in the MACS and Mannheim samples, with fixed extraction of three factors and </w:t>
      </w:r>
      <w:proofErr w:type="spellStart"/>
      <w:r w:rsidRPr="00877122">
        <w:rPr>
          <w:rFonts w:ascii="Arial" w:hAnsi="Arial" w:cs="Arial"/>
          <w:color w:val="000000" w:themeColor="text1"/>
          <w:lang w:val="en-GB"/>
        </w:rPr>
        <w:t>Oblimin</w:t>
      </w:r>
      <w:proofErr w:type="spellEnd"/>
      <w:r w:rsidRPr="00877122">
        <w:rPr>
          <w:rFonts w:ascii="Arial" w:hAnsi="Arial" w:cs="Arial"/>
          <w:color w:val="000000" w:themeColor="text1"/>
          <w:lang w:val="en-GB"/>
        </w:rPr>
        <w:t xml:space="preserve"> rotation. </w:t>
      </w:r>
    </w:p>
    <w:tbl>
      <w:tblPr>
        <w:tblStyle w:val="TableGrid"/>
        <w:tblW w:w="4819" w:type="dxa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" w:type="dxa"/>
          <w:left w:w="176" w:type="dxa"/>
          <w:bottom w:w="7" w:type="dxa"/>
          <w:right w:w="110" w:type="dxa"/>
        </w:tblCellMar>
        <w:tblLook w:val="04A0" w:firstRow="1" w:lastRow="0" w:firstColumn="1" w:lastColumn="0" w:noHBand="0" w:noVBand="1"/>
      </w:tblPr>
      <w:tblGrid>
        <w:gridCol w:w="1757"/>
        <w:gridCol w:w="1020"/>
        <w:gridCol w:w="1020"/>
        <w:gridCol w:w="1022"/>
      </w:tblGrid>
      <w:tr w:rsidR="00347740" w:rsidRPr="00877122" w:rsidTr="003B5A0A">
        <w:trPr>
          <w:trHeight w:val="400"/>
        </w:trPr>
        <w:tc>
          <w:tcPr>
            <w:tcW w:w="4819" w:type="dxa"/>
            <w:gridSpan w:val="4"/>
            <w:vAlign w:val="center"/>
          </w:tcPr>
          <w:p w:rsidR="00347740" w:rsidRPr="00877122" w:rsidRDefault="00347740" w:rsidP="003B5A0A">
            <w:pPr>
              <w:ind w:right="291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 xml:space="preserve">MACS </w:t>
            </w: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pattern matrix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3062" w:type="dxa"/>
            <w:gridSpan w:val="3"/>
            <w:vAlign w:val="center"/>
          </w:tcPr>
          <w:p w:rsidR="00347740" w:rsidRPr="00877122" w:rsidRDefault="00347740" w:rsidP="003B5A0A">
            <w:pPr>
              <w:ind w:right="306"/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factor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1</w:t>
            </w:r>
          </w:p>
        </w:tc>
        <w:tc>
          <w:tcPr>
            <w:tcW w:w="1020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2</w:t>
            </w:r>
          </w:p>
        </w:tc>
        <w:tc>
          <w:tcPr>
            <w:tcW w:w="1022" w:type="dxa"/>
            <w:vAlign w:val="center"/>
          </w:tcPr>
          <w:p w:rsidR="00347740" w:rsidRPr="00877122" w:rsidRDefault="00347740" w:rsidP="003B5A0A">
            <w:pPr>
              <w:jc w:val="center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3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SPQB11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0.519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SPQB18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0.484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SPQB21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0.475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SPQB15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0.450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-0.114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SPQB14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0.444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0.124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SPQB22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0.420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-0.119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SPQB20 DO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0.400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-0.204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SPQB7 CP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0.350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0.108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 IP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0.343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-0.130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SPQB9 CP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0.329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0.120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SPQB16 CP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b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b/>
                <w:color w:val="000000" w:themeColor="text1"/>
                <w:lang w:val="en-GB"/>
              </w:rPr>
              <w:t>0.261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0.104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0.102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SPQB2 CP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0.545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SPQB5 CP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0.516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SPQB12 CP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0.511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SPQB4 CP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0.387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SPQB10 CP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0.220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SPQB17 CP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0.155</w:t>
            </w:r>
          </w:p>
        </w:tc>
        <w:tc>
          <w:tcPr>
            <w:tcW w:w="1020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0.188</w:t>
            </w:r>
          </w:p>
        </w:tc>
        <w:tc>
          <w:tcPr>
            <w:tcW w:w="1022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SPQB6 DO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-0.125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-0.837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SPQB3 DO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-0.549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SPQB19 DO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-0.475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SPQB8 DO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0.255</w:t>
            </w:r>
          </w:p>
        </w:tc>
        <w:tc>
          <w:tcPr>
            <w:tcW w:w="1020" w:type="dxa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2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-0.408</w:t>
            </w:r>
          </w:p>
        </w:tc>
      </w:tr>
      <w:tr w:rsidR="00347740" w:rsidRPr="00877122" w:rsidTr="003B5A0A">
        <w:trPr>
          <w:trHeight w:val="400"/>
        </w:trPr>
        <w:tc>
          <w:tcPr>
            <w:tcW w:w="1757" w:type="dxa"/>
            <w:shd w:val="clear" w:color="auto" w:fill="E6E6E6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SPQB13 DO</w:t>
            </w:r>
          </w:p>
        </w:tc>
        <w:tc>
          <w:tcPr>
            <w:tcW w:w="1020" w:type="dxa"/>
            <w:shd w:val="clear" w:color="auto" w:fill="FFFFFF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lang w:val="en-GB"/>
              </w:rPr>
            </w:pPr>
          </w:p>
        </w:tc>
        <w:tc>
          <w:tcPr>
            <w:tcW w:w="1020" w:type="dxa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0.128</w:t>
            </w:r>
          </w:p>
        </w:tc>
        <w:tc>
          <w:tcPr>
            <w:tcW w:w="1022" w:type="dxa"/>
            <w:shd w:val="clear" w:color="auto" w:fill="F2F2F2" w:themeFill="background1" w:themeFillShade="F2"/>
          </w:tcPr>
          <w:p w:rsidR="00347740" w:rsidRPr="00877122" w:rsidRDefault="00347740" w:rsidP="003B5A0A">
            <w:pPr>
              <w:jc w:val="right"/>
              <w:rPr>
                <w:rFonts w:ascii="Arial" w:hAnsi="Arial" w:cs="Arial"/>
                <w:color w:val="000000" w:themeColor="text1"/>
                <w:lang w:val="en-GB"/>
              </w:rPr>
            </w:pPr>
            <w:r w:rsidRPr="00877122">
              <w:rPr>
                <w:rFonts w:ascii="Arial" w:eastAsia="Arial" w:hAnsi="Arial" w:cs="Arial"/>
                <w:color w:val="000000" w:themeColor="text1"/>
                <w:lang w:val="en-GB"/>
              </w:rPr>
              <w:t>-0.250</w:t>
            </w:r>
          </w:p>
        </w:tc>
      </w:tr>
      <w:tr w:rsidR="00347740" w:rsidRPr="004118A8" w:rsidTr="003B5A0A">
        <w:trPr>
          <w:trHeight w:val="612"/>
        </w:trPr>
        <w:tc>
          <w:tcPr>
            <w:tcW w:w="4819" w:type="dxa"/>
            <w:gridSpan w:val="4"/>
            <w:shd w:val="clear" w:color="auto" w:fill="FFFFFF"/>
            <w:vAlign w:val="center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sz w:val="20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 xml:space="preserve">Extraction Method: Principal Axis Factoring. </w:t>
            </w:r>
          </w:p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sz w:val="20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 xml:space="preserve">Rotation Method: </w:t>
            </w:r>
            <w:proofErr w:type="spellStart"/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>Oblimin</w:t>
            </w:r>
            <w:proofErr w:type="spellEnd"/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 xml:space="preserve"> with Kaiser Normalization.</w:t>
            </w:r>
          </w:p>
        </w:tc>
      </w:tr>
      <w:tr w:rsidR="00347740" w:rsidRPr="00877122" w:rsidTr="003B5A0A">
        <w:trPr>
          <w:trHeight w:val="400"/>
        </w:trPr>
        <w:tc>
          <w:tcPr>
            <w:tcW w:w="4819" w:type="dxa"/>
            <w:gridSpan w:val="4"/>
            <w:vAlign w:val="center"/>
          </w:tcPr>
          <w:p w:rsidR="00347740" w:rsidRPr="00877122" w:rsidRDefault="00347740" w:rsidP="003B5A0A">
            <w:pPr>
              <w:rPr>
                <w:rFonts w:ascii="Arial" w:hAnsi="Arial" w:cs="Arial"/>
                <w:color w:val="000000" w:themeColor="text1"/>
                <w:sz w:val="20"/>
                <w:lang w:val="en-GB"/>
              </w:rPr>
            </w:pPr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>Rotation converged in 6 iterations.</w:t>
            </w:r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ab/>
            </w:r>
            <w:r w:rsidRPr="00877122">
              <w:rPr>
                <w:rFonts w:ascii="Arial" w:hAnsi="Arial" w:cs="Arial"/>
                <w:color w:val="000000" w:themeColor="text1"/>
                <w:sz w:val="20"/>
                <w:lang w:val="en-GB"/>
              </w:rPr>
              <w:tab/>
            </w:r>
          </w:p>
        </w:tc>
      </w:tr>
    </w:tbl>
    <w:p w:rsidR="00347740" w:rsidRPr="00877122" w:rsidRDefault="00347740" w:rsidP="00AD6F95">
      <w:pPr>
        <w:rPr>
          <w:rFonts w:ascii="Arial" w:eastAsia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jc w:val="both"/>
        <w:rPr>
          <w:rFonts w:ascii="Arial" w:eastAsia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i/>
          <w:color w:val="000000" w:themeColor="text1"/>
          <w:sz w:val="22"/>
          <w:lang w:val="en-GB"/>
        </w:rPr>
        <w:t>Note.</w:t>
      </w:r>
      <w:r w:rsidRPr="00877122">
        <w:rPr>
          <w:rFonts w:ascii="Arial" w:hAnsi="Arial" w:cs="Arial"/>
          <w:color w:val="000000" w:themeColor="text1"/>
          <w:sz w:val="22"/>
          <w:lang w:val="en-GB"/>
        </w:rPr>
        <w:t xml:space="preserve"> </w:t>
      </w:r>
      <w:r w:rsidRPr="00877122">
        <w:rPr>
          <w:rFonts w:ascii="Arial" w:eastAsia="Arial" w:hAnsi="Arial" w:cs="Arial"/>
          <w:color w:val="000000" w:themeColor="text1"/>
          <w:sz w:val="22"/>
          <w:lang w:val="en-GB"/>
        </w:rPr>
        <w:t xml:space="preserve">CP, IP, DO refer to original scale of the respective item (CP = Cognitive Perceptual, IP = Interpersonal, DO = Disorganised). Bold print indicates items that load on a different scale than originally. </w:t>
      </w:r>
    </w:p>
    <w:p w:rsidR="00347740" w:rsidRPr="00877122" w:rsidRDefault="00347740" w:rsidP="00AD6F95">
      <w:pPr>
        <w:spacing w:after="200" w:line="276" w:lineRule="auto"/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br w:type="page"/>
      </w:r>
    </w:p>
    <w:p w:rsidR="00347740" w:rsidRPr="00877122" w:rsidRDefault="00347740" w:rsidP="00420232">
      <w:pPr>
        <w:spacing w:line="360" w:lineRule="auto"/>
        <w:jc w:val="both"/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 xml:space="preserve">Table ST5. </w:t>
      </w:r>
      <w:r w:rsidRPr="00877122">
        <w:rPr>
          <w:rFonts w:ascii="Arial" w:hAnsi="Arial" w:cs="Arial"/>
          <w:color w:val="000000" w:themeColor="text1"/>
          <w:lang w:val="en-US"/>
        </w:rPr>
        <w:t>SNPs in the MHC region selected for each Disorder PRS for the Mannheim Cohort.</w:t>
      </w:r>
    </w:p>
    <w:tbl>
      <w:tblPr>
        <w:tblStyle w:val="PlainTable31"/>
        <w:tblW w:w="0" w:type="auto"/>
        <w:tblInd w:w="0" w:type="dxa"/>
        <w:tblLook w:val="04A0" w:firstRow="1" w:lastRow="0" w:firstColumn="1" w:lastColumn="0" w:noHBand="0" w:noVBand="1"/>
      </w:tblPr>
      <w:tblGrid>
        <w:gridCol w:w="2093"/>
        <w:gridCol w:w="693"/>
        <w:gridCol w:w="1501"/>
        <w:gridCol w:w="1195"/>
        <w:gridCol w:w="1093"/>
        <w:gridCol w:w="1471"/>
      </w:tblGrid>
      <w:tr w:rsidR="00347740" w:rsidRPr="00877122" w:rsidTr="004202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  <w:tcBorders>
              <w:top w:val="nil"/>
              <w:left w:val="nil"/>
            </w:tcBorders>
            <w:hideMark/>
          </w:tcPr>
          <w:p w:rsidR="00347740" w:rsidRPr="00877122" w:rsidRDefault="00347740">
            <w:pPr>
              <w:spacing w:line="360" w:lineRule="auto"/>
              <w:rPr>
                <w:rFonts w:ascii="Arial" w:eastAsia="Calibri" w:hAnsi="Arial" w:cs="Arial"/>
                <w:bCs w:val="0"/>
                <w:caps w:val="0"/>
                <w:color w:val="000000" w:themeColor="text1"/>
                <w:lang w:val="en-US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  <w:lang w:val="en-US"/>
              </w:rPr>
              <w:t>Discovery GWAS</w:t>
            </w:r>
          </w:p>
        </w:tc>
        <w:tc>
          <w:tcPr>
            <w:tcW w:w="409" w:type="dxa"/>
            <w:tcBorders>
              <w:top w:val="nil"/>
              <w:left w:val="nil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lang w:val="en-US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  <w:lang w:val="en-US"/>
              </w:rPr>
              <w:t>CHR</w:t>
            </w:r>
          </w:p>
        </w:tc>
        <w:tc>
          <w:tcPr>
            <w:tcW w:w="1501" w:type="dxa"/>
            <w:tcBorders>
              <w:top w:val="nil"/>
              <w:left w:val="nil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lang w:val="en-US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  <w:lang w:val="en-US"/>
              </w:rPr>
              <w:t>SNP</w:t>
            </w:r>
          </w:p>
        </w:tc>
        <w:tc>
          <w:tcPr>
            <w:tcW w:w="1195" w:type="dxa"/>
            <w:tcBorders>
              <w:top w:val="nil"/>
              <w:left w:val="nil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lang w:val="en-US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  <w:lang w:val="en-US"/>
              </w:rPr>
              <w:t>BP</w:t>
            </w:r>
          </w:p>
        </w:tc>
        <w:tc>
          <w:tcPr>
            <w:tcW w:w="1093" w:type="dxa"/>
            <w:tcBorders>
              <w:top w:val="nil"/>
              <w:left w:val="nil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lang w:val="en-US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  <w:lang w:val="en-US"/>
              </w:rPr>
              <w:t>A1</w:t>
            </w:r>
          </w:p>
        </w:tc>
        <w:tc>
          <w:tcPr>
            <w:tcW w:w="1471" w:type="dxa"/>
            <w:tcBorders>
              <w:top w:val="nil"/>
              <w:left w:val="nil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lang w:val="en-US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  <w:lang w:val="en-US"/>
              </w:rPr>
              <w:t>P</w:t>
            </w:r>
          </w:p>
        </w:tc>
      </w:tr>
      <w:tr w:rsidR="00347740" w:rsidRPr="00877122" w:rsidTr="00420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left w:val="nil"/>
              <w:bottom w:val="nil"/>
            </w:tcBorders>
            <w:hideMark/>
          </w:tcPr>
          <w:p w:rsidR="00347740" w:rsidRPr="00877122" w:rsidRDefault="00347740">
            <w:pPr>
              <w:spacing w:line="360" w:lineRule="auto"/>
              <w:rPr>
                <w:rFonts w:ascii="Arial" w:eastAsia="Calibri" w:hAnsi="Arial" w:cs="Arial"/>
                <w:bCs w:val="0"/>
                <w:caps w:val="0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SCZ</w:t>
            </w:r>
          </w:p>
        </w:tc>
        <w:tc>
          <w:tcPr>
            <w:tcW w:w="409" w:type="dxa"/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aps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bCs/>
                <w:caps/>
                <w:color w:val="000000" w:themeColor="text1"/>
              </w:rPr>
              <w:t>6</w:t>
            </w:r>
          </w:p>
        </w:tc>
        <w:tc>
          <w:tcPr>
            <w:tcW w:w="1501" w:type="dxa"/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rs114541829</w:t>
            </w:r>
          </w:p>
        </w:tc>
        <w:tc>
          <w:tcPr>
            <w:tcW w:w="1195" w:type="dxa"/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28705074</w:t>
            </w:r>
          </w:p>
        </w:tc>
        <w:tc>
          <w:tcPr>
            <w:tcW w:w="1093" w:type="dxa"/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T</w:t>
            </w:r>
          </w:p>
        </w:tc>
        <w:tc>
          <w:tcPr>
            <w:tcW w:w="1471" w:type="dxa"/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2.128e</w:t>
            </w:r>
            <w:r w:rsidRPr="00877122">
              <w:rPr>
                <w:rFonts w:ascii="Arial" w:eastAsia="Calibri" w:hAnsi="Arial" w:cs="Arial"/>
                <w:color w:val="000000" w:themeColor="text1"/>
                <w:vertAlign w:val="superscript"/>
              </w:rPr>
              <w:t>-26</w:t>
            </w:r>
          </w:p>
        </w:tc>
      </w:tr>
      <w:tr w:rsidR="00347740" w:rsidRPr="00877122" w:rsidTr="004202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left w:val="nil"/>
              <w:bottom w:val="nil"/>
            </w:tcBorders>
            <w:hideMark/>
          </w:tcPr>
          <w:p w:rsidR="00347740" w:rsidRPr="00877122" w:rsidRDefault="00347740">
            <w:pPr>
              <w:spacing w:line="360" w:lineRule="auto"/>
              <w:rPr>
                <w:rFonts w:ascii="Arial" w:eastAsia="Calibri" w:hAnsi="Arial" w:cs="Arial"/>
                <w:bCs w:val="0"/>
                <w:caps w:val="0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BD</w:t>
            </w:r>
          </w:p>
        </w:tc>
        <w:tc>
          <w:tcPr>
            <w:tcW w:w="409" w:type="dxa"/>
            <w:hideMark/>
          </w:tcPr>
          <w:p w:rsidR="00347740" w:rsidRPr="00877122" w:rsidRDefault="003477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aps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bCs/>
                <w:caps/>
                <w:color w:val="000000" w:themeColor="text1"/>
              </w:rPr>
              <w:t>6</w:t>
            </w:r>
          </w:p>
        </w:tc>
        <w:tc>
          <w:tcPr>
            <w:tcW w:w="1501" w:type="dxa"/>
            <w:hideMark/>
          </w:tcPr>
          <w:p w:rsidR="00347740" w:rsidRPr="00877122" w:rsidRDefault="003477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rs36034627</w:t>
            </w:r>
          </w:p>
        </w:tc>
        <w:tc>
          <w:tcPr>
            <w:tcW w:w="1195" w:type="dxa"/>
            <w:hideMark/>
          </w:tcPr>
          <w:p w:rsidR="00347740" w:rsidRPr="00877122" w:rsidRDefault="003477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27237363</w:t>
            </w:r>
          </w:p>
        </w:tc>
        <w:tc>
          <w:tcPr>
            <w:tcW w:w="1093" w:type="dxa"/>
            <w:hideMark/>
          </w:tcPr>
          <w:p w:rsidR="00347740" w:rsidRPr="00877122" w:rsidRDefault="003477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T</w:t>
            </w:r>
          </w:p>
        </w:tc>
        <w:tc>
          <w:tcPr>
            <w:tcW w:w="1471" w:type="dxa"/>
            <w:hideMark/>
          </w:tcPr>
          <w:p w:rsidR="00347740" w:rsidRPr="00877122" w:rsidRDefault="00347740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4.307e</w:t>
            </w:r>
            <w:r w:rsidRPr="00877122">
              <w:rPr>
                <w:rFonts w:ascii="Arial" w:eastAsia="Calibri" w:hAnsi="Arial" w:cs="Arial"/>
                <w:color w:val="000000" w:themeColor="text1"/>
                <w:vertAlign w:val="superscript"/>
              </w:rPr>
              <w:t>-06</w:t>
            </w:r>
          </w:p>
        </w:tc>
      </w:tr>
      <w:tr w:rsidR="00347740" w:rsidRPr="00877122" w:rsidTr="004202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left w:val="nil"/>
              <w:bottom w:val="single" w:sz="4" w:space="0" w:color="auto"/>
            </w:tcBorders>
            <w:hideMark/>
          </w:tcPr>
          <w:p w:rsidR="00347740" w:rsidRPr="00877122" w:rsidRDefault="00347740">
            <w:pPr>
              <w:spacing w:line="360" w:lineRule="auto"/>
              <w:rPr>
                <w:rFonts w:ascii="Arial" w:eastAsia="Calibri" w:hAnsi="Arial" w:cs="Arial"/>
                <w:bCs w:val="0"/>
                <w:caps w:val="0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MDD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aps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bCs/>
                <w:caps/>
                <w:color w:val="000000" w:themeColor="text1"/>
              </w:rPr>
              <w:t>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rs6905391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28262686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A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47740" w:rsidRPr="00877122" w:rsidRDefault="00347740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</w:rPr>
            </w:pPr>
            <w:r w:rsidRPr="00877122">
              <w:rPr>
                <w:rFonts w:ascii="Arial" w:eastAsia="Calibri" w:hAnsi="Arial" w:cs="Arial"/>
                <w:color w:val="000000" w:themeColor="text1"/>
              </w:rPr>
              <w:t>3.468e</w:t>
            </w:r>
            <w:r w:rsidRPr="00877122">
              <w:rPr>
                <w:rFonts w:ascii="Arial" w:eastAsia="Calibri" w:hAnsi="Arial" w:cs="Arial"/>
                <w:color w:val="000000" w:themeColor="text1"/>
                <w:vertAlign w:val="superscript"/>
              </w:rPr>
              <w:t>-11</w:t>
            </w:r>
          </w:p>
        </w:tc>
      </w:tr>
    </w:tbl>
    <w:p w:rsidR="00347740" w:rsidRPr="00877122" w:rsidRDefault="00347740" w:rsidP="00AD6F95">
      <w:pPr>
        <w:rPr>
          <w:color w:val="000000" w:themeColor="text1"/>
          <w:lang w:val="en-GB"/>
        </w:rPr>
      </w:pPr>
      <w:r w:rsidRPr="00877122">
        <w:rPr>
          <w:rFonts w:ascii="Arial" w:eastAsia="Calibri" w:hAnsi="Arial" w:cs="Arial"/>
          <w:color w:val="000000" w:themeColor="text1"/>
          <w:sz w:val="22"/>
          <w:szCs w:val="22"/>
          <w:lang w:val="en-US"/>
        </w:rPr>
        <w:t xml:space="preserve">SNP = </w:t>
      </w:r>
      <w:proofErr w:type="spellStart"/>
      <w:r w:rsidRPr="00877122">
        <w:rPr>
          <w:rFonts w:ascii="Arial" w:eastAsia="Calibri" w:hAnsi="Arial" w:cs="Arial"/>
          <w:color w:val="000000" w:themeColor="text1"/>
          <w:sz w:val="22"/>
          <w:szCs w:val="22"/>
          <w:lang w:val="en-US"/>
        </w:rPr>
        <w:t>Rs</w:t>
      </w:r>
      <w:proofErr w:type="spellEnd"/>
      <w:r w:rsidRPr="00877122">
        <w:rPr>
          <w:rFonts w:ascii="Arial" w:eastAsia="Calibri" w:hAnsi="Arial" w:cs="Arial"/>
          <w:color w:val="000000" w:themeColor="text1"/>
          <w:sz w:val="22"/>
          <w:szCs w:val="22"/>
          <w:lang w:val="en-US"/>
        </w:rPr>
        <w:t>-number, BP = base pair position, A1 = effect allele, P = P-value in the respective</w:t>
      </w:r>
      <w:r w:rsidRPr="00877122" w:rsidDel="00420232">
        <w:rPr>
          <w:rFonts w:ascii="Arial" w:hAnsi="Arial" w:cs="Arial"/>
          <w:b/>
          <w:color w:val="000000" w:themeColor="text1"/>
          <w:lang w:val="en-GB"/>
        </w:rPr>
        <w:t xml:space="preserve"> </w:t>
      </w:r>
    </w:p>
    <w:p w:rsidR="00347740" w:rsidRPr="00877122" w:rsidRDefault="00347740" w:rsidP="00AD6F95">
      <w:pPr>
        <w:rPr>
          <w:color w:val="000000" w:themeColor="text1"/>
          <w:lang w:val="en-GB"/>
        </w:rPr>
      </w:pPr>
    </w:p>
    <w:p w:rsidR="00347740" w:rsidRPr="00877122" w:rsidRDefault="00347740" w:rsidP="00AD6F95">
      <w:pPr>
        <w:spacing w:line="480" w:lineRule="auto"/>
        <w:jc w:val="both"/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spacing w:after="200" w:line="276" w:lineRule="auto"/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rPr>
          <w:rFonts w:ascii="Arial" w:hAnsi="Arial" w:cs="Arial"/>
          <w:b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>Supplementary Figures</w:t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t xml:space="preserve">Supplementary Figure SF1: </w:t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t>Standardized MDS components of the FOR2107/MACS sample after QC.</w:t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noProof/>
          <w:color w:val="000000" w:themeColor="text1"/>
          <w:lang w:eastAsia="de-DE"/>
        </w:rPr>
        <w:drawing>
          <wp:inline distT="0" distB="0" distL="0" distR="0" wp14:anchorId="1D6C58B6" wp14:editId="6093FD48">
            <wp:extent cx="5534025" cy="5534025"/>
            <wp:effectExtent l="0" t="0" r="9525" b="9525"/>
            <wp:docPr id="6" name="Bild 1" descr="MDS_C1-C8_postQ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S_C1-C8_postQC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40" w:rsidRPr="00877122" w:rsidRDefault="00347740" w:rsidP="00AD6F95">
      <w:pPr>
        <w:spacing w:after="200" w:line="276" w:lineRule="auto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 xml:space="preserve">Supplementary Figure SF2: </w:t>
      </w:r>
    </w:p>
    <w:p w:rsidR="00347740" w:rsidRPr="00877122" w:rsidRDefault="00347740" w:rsidP="00AD6F95">
      <w:pPr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t>Standardized MDS components of the FOR2107/MACS sample relative to the EUR populations (CEU, GBR, FIN, IBS, TSI) from the 1000 Genomes Phase 3 reference panel.</w:t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  <w:r w:rsidRPr="00877122">
        <w:rPr>
          <w:rFonts w:ascii="Arial" w:hAnsi="Arial"/>
          <w:noProof/>
          <w:color w:val="000000" w:themeColor="text1"/>
          <w:lang w:eastAsia="de-DE"/>
        </w:rPr>
        <w:drawing>
          <wp:inline distT="0" distB="0" distL="0" distR="0" wp14:anchorId="286891B8" wp14:editId="4EAAFC29">
            <wp:extent cx="5534025" cy="4144645"/>
            <wp:effectExtent l="0" t="0" r="9525" b="8255"/>
            <wp:docPr id="5" name="Bild 2" descr="MDS_EUR_FOR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DS_EUR_FOR21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40" w:rsidRPr="00877122" w:rsidRDefault="00347740" w:rsidP="00AD6F95">
      <w:pPr>
        <w:spacing w:after="200" w:line="276" w:lineRule="auto"/>
        <w:rPr>
          <w:rFonts w:ascii="Calibri" w:hAnsi="Calibri" w:cs="Calibri"/>
          <w:color w:val="000000" w:themeColor="text1"/>
          <w:lang w:val="en-GB"/>
        </w:rPr>
      </w:pPr>
      <w:r w:rsidRPr="00877122">
        <w:rPr>
          <w:rFonts w:ascii="Calibri" w:hAnsi="Calibri" w:cs="Calibri"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>Supplementary Figure SF3</w:t>
      </w:r>
      <w:r w:rsidRPr="00877122">
        <w:rPr>
          <w:rFonts w:ascii="Arial" w:hAnsi="Arial" w:cs="Arial"/>
          <w:color w:val="000000" w:themeColor="text1"/>
          <w:lang w:val="en-GB"/>
        </w:rPr>
        <w:t xml:space="preserve">: </w:t>
      </w:r>
    </w:p>
    <w:p w:rsidR="00347740" w:rsidRPr="00877122" w:rsidRDefault="00347740" w:rsidP="00AD6F95">
      <w:pPr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t>Standardized PCA components of the Mannheim sample after QC.</w:t>
      </w:r>
    </w:p>
    <w:p w:rsidR="00347740" w:rsidRPr="00877122" w:rsidRDefault="00347740" w:rsidP="00AD6F95">
      <w:pPr>
        <w:rPr>
          <w:rFonts w:ascii="Calibri" w:hAnsi="Calibri" w:cs="Calibri"/>
          <w:color w:val="000000" w:themeColor="text1"/>
          <w:lang w:val="en-GB"/>
        </w:rPr>
      </w:pPr>
    </w:p>
    <w:p w:rsidR="00347740" w:rsidRPr="00877122" w:rsidRDefault="00347740" w:rsidP="00AD6F9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  <w:r w:rsidRPr="00877122">
        <w:rPr>
          <w:noProof/>
          <w:color w:val="000000" w:themeColor="text1"/>
          <w:lang w:eastAsia="de-DE"/>
        </w:rPr>
        <w:drawing>
          <wp:inline distT="0" distB="0" distL="0" distR="0" wp14:anchorId="10989334" wp14:editId="4853F15B">
            <wp:extent cx="5540375" cy="6136640"/>
            <wp:effectExtent l="0" t="0" r="317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740" w:rsidRPr="00877122" w:rsidRDefault="00347740" w:rsidP="00AD6F95">
      <w:pPr>
        <w:spacing w:after="200" w:line="276" w:lineRule="auto"/>
        <w:rPr>
          <w:rFonts w:ascii="Calibri" w:hAnsi="Calibri" w:cs="Calibri"/>
          <w:color w:val="000000" w:themeColor="text1"/>
          <w:lang w:val="en-GB"/>
        </w:rPr>
      </w:pPr>
      <w:r w:rsidRPr="00877122">
        <w:rPr>
          <w:rFonts w:ascii="Calibri" w:hAnsi="Calibri" w:cs="Calibri"/>
          <w:color w:val="000000" w:themeColor="text1"/>
          <w:lang w:val="en-GB"/>
        </w:rPr>
        <w:br w:type="page"/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b/>
          <w:color w:val="000000" w:themeColor="text1"/>
          <w:lang w:val="en-GB"/>
        </w:rPr>
        <w:lastRenderedPageBreak/>
        <w:t>Supplementary Figure SF4:</w:t>
      </w:r>
      <w:r w:rsidRPr="00877122">
        <w:rPr>
          <w:rFonts w:ascii="Arial" w:hAnsi="Arial" w:cs="Arial"/>
          <w:color w:val="000000" w:themeColor="text1"/>
          <w:lang w:val="en-GB"/>
        </w:rPr>
        <w:t xml:space="preserve"> </w:t>
      </w:r>
    </w:p>
    <w:p w:rsidR="00347740" w:rsidRPr="00877122" w:rsidRDefault="00347740" w:rsidP="00AD6F95">
      <w:pPr>
        <w:jc w:val="both"/>
        <w:rPr>
          <w:rFonts w:ascii="Arial" w:hAnsi="Arial" w:cs="Arial"/>
          <w:color w:val="000000" w:themeColor="text1"/>
          <w:lang w:val="en-GB"/>
        </w:rPr>
      </w:pPr>
      <w:r w:rsidRPr="00877122">
        <w:rPr>
          <w:rFonts w:ascii="Arial" w:hAnsi="Arial" w:cs="Arial"/>
          <w:color w:val="000000" w:themeColor="text1"/>
          <w:lang w:val="en-GB"/>
        </w:rPr>
        <w:t>PCA plot of the Mannheim sample relative to the EUR populations (CEU, GBR, FIN, IBS, TSI) from the 1000 Genomes Phase 3 reference panel.</w:t>
      </w:r>
    </w:p>
    <w:p w:rsidR="00347740" w:rsidRPr="00877122" w:rsidRDefault="00347740" w:rsidP="00AD6F9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  <w:r w:rsidRPr="00877122">
        <w:rPr>
          <w:noProof/>
          <w:color w:val="000000" w:themeColor="text1"/>
          <w:lang w:eastAsia="de-DE"/>
        </w:rPr>
        <w:drawing>
          <wp:inline distT="0" distB="0" distL="0" distR="0" wp14:anchorId="575F0421" wp14:editId="732E382F">
            <wp:extent cx="4493260" cy="3421380"/>
            <wp:effectExtent l="0" t="0" r="2540" b="7620"/>
            <wp:docPr id="3" name="Grafik 3" descr="Screenshot 2020-04-06 at 20.3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 2020-04-06 at 20.33.04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40" w:rsidRPr="00877122" w:rsidRDefault="00347740" w:rsidP="00AD6F95">
      <w:pPr>
        <w:rPr>
          <w:rFonts w:ascii="Arial" w:hAnsi="Arial" w:cs="Arial"/>
          <w:color w:val="000000" w:themeColor="text1"/>
          <w:lang w:val="en-GB"/>
        </w:rPr>
      </w:pPr>
    </w:p>
    <w:p w:rsidR="00347740" w:rsidRPr="00877122" w:rsidRDefault="00347740" w:rsidP="00AD6F95">
      <w:pPr>
        <w:rPr>
          <w:rFonts w:ascii="Calibri" w:hAnsi="Calibri" w:cs="Calibri"/>
          <w:color w:val="000000" w:themeColor="text1"/>
          <w:lang w:val="en-GB"/>
        </w:rPr>
      </w:pPr>
    </w:p>
    <w:p w:rsidR="00347740" w:rsidRPr="00877122" w:rsidRDefault="00347740" w:rsidP="00AD6F95">
      <w:pPr>
        <w:spacing w:after="200" w:line="276" w:lineRule="auto"/>
        <w:rPr>
          <w:rFonts w:ascii="Arial" w:hAnsi="Arial" w:cs="Arial"/>
          <w:color w:val="000000" w:themeColor="text1"/>
          <w:lang w:val="en-GB"/>
        </w:rPr>
      </w:pPr>
    </w:p>
    <w:p w:rsidR="00347740" w:rsidRDefault="00347740" w:rsidP="0066094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</w:p>
    <w:p w:rsidR="00347740" w:rsidRDefault="00347740">
      <w:pPr>
        <w:rPr>
          <w:rFonts w:ascii="Arial" w:hAnsi="Arial"/>
          <w:color w:val="000000" w:themeColor="text1"/>
          <w:lang w:val="en-GB"/>
        </w:rPr>
      </w:pPr>
      <w:r>
        <w:rPr>
          <w:rFonts w:ascii="Arial" w:hAnsi="Arial"/>
          <w:color w:val="000000" w:themeColor="text1"/>
          <w:lang w:val="en-GB"/>
        </w:rPr>
        <w:br w:type="page"/>
      </w:r>
    </w:p>
    <w:p w:rsidR="00347740" w:rsidRPr="002955F7" w:rsidRDefault="00347740" w:rsidP="00660945">
      <w:pPr>
        <w:spacing w:line="480" w:lineRule="auto"/>
        <w:jc w:val="both"/>
        <w:rPr>
          <w:rFonts w:ascii="Arial" w:hAnsi="Arial"/>
          <w:b/>
          <w:bCs/>
          <w:color w:val="000000" w:themeColor="text1"/>
          <w:lang w:val="en-GB"/>
        </w:rPr>
      </w:pPr>
      <w:r w:rsidRPr="002955F7">
        <w:rPr>
          <w:rFonts w:ascii="Arial" w:hAnsi="Arial"/>
          <w:b/>
          <w:bCs/>
          <w:color w:val="000000" w:themeColor="text1"/>
          <w:lang w:val="en-GB"/>
        </w:rPr>
        <w:lastRenderedPageBreak/>
        <w:t>Supplement References</w:t>
      </w:r>
    </w:p>
    <w:p w:rsidR="00347740" w:rsidRPr="004118A8" w:rsidRDefault="00347740" w:rsidP="004118A8">
      <w:pPr>
        <w:pStyle w:val="EndNoteBibliography"/>
        <w:rPr>
          <w:noProof/>
          <w:lang w:val="de-DE"/>
        </w:rPr>
      </w:pPr>
      <w:bookmarkStart w:id="0" w:name="_ENREF_1"/>
      <w:r w:rsidRPr="004118A8">
        <w:rPr>
          <w:noProof/>
        </w:rPr>
        <w:t xml:space="preserve">Chang, C. C., Chow, C. C., Tellier, L. C., Vattikuti, S., Purcell, S. M., &amp; Lee, J. J. (2015). Second-generation PLINK: rising to the challenge of larger and richer datasets. </w:t>
      </w:r>
      <w:r w:rsidRPr="004118A8">
        <w:rPr>
          <w:i/>
          <w:noProof/>
          <w:lang w:val="de-DE"/>
        </w:rPr>
        <w:t>Gigascience, 4</w:t>
      </w:r>
      <w:r w:rsidRPr="004118A8">
        <w:rPr>
          <w:noProof/>
          <w:lang w:val="de-DE"/>
        </w:rPr>
        <w:t xml:space="preserve">(1), 7. </w:t>
      </w:r>
      <w:bookmarkEnd w:id="0"/>
    </w:p>
    <w:p w:rsidR="00347740" w:rsidRPr="004118A8" w:rsidRDefault="00347740" w:rsidP="004118A8">
      <w:pPr>
        <w:pStyle w:val="EndNoteBibliography"/>
        <w:rPr>
          <w:noProof/>
        </w:rPr>
      </w:pPr>
      <w:bookmarkStart w:id="1" w:name="_ENREF_2"/>
      <w:r w:rsidRPr="004118A8">
        <w:rPr>
          <w:noProof/>
          <w:lang w:val="de-DE"/>
        </w:rPr>
        <w:t xml:space="preserve">Das, S., Forer, L., Schönherr, S., Sidore, C., Locke, A. E., Kwong, A., . . . Fuchsberger, C. (2016). </w:t>
      </w:r>
      <w:r w:rsidRPr="004118A8">
        <w:rPr>
          <w:noProof/>
        </w:rPr>
        <w:t xml:space="preserve">Next-generation genotype imputation service and methods. </w:t>
      </w:r>
      <w:r w:rsidRPr="004118A8">
        <w:rPr>
          <w:i/>
          <w:noProof/>
        </w:rPr>
        <w:t>Nature Genetics, 48</w:t>
      </w:r>
      <w:r w:rsidRPr="004118A8">
        <w:rPr>
          <w:noProof/>
        </w:rPr>
        <w:t>, 1284. doi:10.1038/ng.3656</w:t>
      </w:r>
    </w:p>
    <w:p w:rsidR="00347740" w:rsidRPr="004118A8" w:rsidRDefault="00347740" w:rsidP="004118A8">
      <w:pPr>
        <w:pStyle w:val="EndNoteBibliography"/>
        <w:rPr>
          <w:noProof/>
        </w:rPr>
      </w:pPr>
      <w:r w:rsidRPr="00347740">
        <w:rPr>
          <w:noProof/>
        </w:rPr>
        <w:t>https://www.nature.com/articles/ng.3656#supplementary-information</w:t>
      </w:r>
      <w:bookmarkEnd w:id="1"/>
    </w:p>
    <w:p w:rsidR="00347740" w:rsidRPr="004118A8" w:rsidRDefault="00347740" w:rsidP="004118A8">
      <w:pPr>
        <w:pStyle w:val="EndNoteBibliography"/>
        <w:rPr>
          <w:noProof/>
        </w:rPr>
      </w:pPr>
      <w:bookmarkStart w:id="2" w:name="_ENREF_3"/>
      <w:r w:rsidRPr="004118A8">
        <w:rPr>
          <w:noProof/>
        </w:rPr>
        <w:t xml:space="preserve">Delaneau, O., Marchini, J., &amp; Zagury, J.-F. (2011). A linear complexity phasing method for thousands of genomes. </w:t>
      </w:r>
      <w:r w:rsidRPr="004118A8">
        <w:rPr>
          <w:i/>
          <w:noProof/>
        </w:rPr>
        <w:t>Nat</w:t>
      </w:r>
      <w:r w:rsidR="00D929BD">
        <w:rPr>
          <w:i/>
          <w:noProof/>
        </w:rPr>
        <w:t>ure</w:t>
      </w:r>
      <w:r w:rsidRPr="004118A8">
        <w:rPr>
          <w:i/>
          <w:noProof/>
        </w:rPr>
        <w:t xml:space="preserve"> Methods, 9</w:t>
      </w:r>
      <w:r w:rsidRPr="004118A8">
        <w:rPr>
          <w:noProof/>
        </w:rPr>
        <w:t>(2), 179-181. doi:10.1038/nmeth.1785</w:t>
      </w:r>
      <w:bookmarkEnd w:id="2"/>
    </w:p>
    <w:p w:rsidR="00347740" w:rsidRPr="004118A8" w:rsidRDefault="00347740" w:rsidP="004118A8">
      <w:pPr>
        <w:pStyle w:val="EndNoteBibliography"/>
        <w:rPr>
          <w:noProof/>
        </w:rPr>
      </w:pPr>
      <w:bookmarkStart w:id="3" w:name="_ENREF_4"/>
      <w:r w:rsidRPr="004118A8">
        <w:rPr>
          <w:noProof/>
        </w:rPr>
        <w:t xml:space="preserve">Howie, B., Fuchsberger, C., Stephens, M., Marchini, J., &amp; Abecasis, G. R. (2012). Fast and accurate genotype imputation in genome-wide association studies through pre-phasing. </w:t>
      </w:r>
      <w:r w:rsidRPr="004118A8">
        <w:rPr>
          <w:i/>
          <w:noProof/>
        </w:rPr>
        <w:t>Nat</w:t>
      </w:r>
      <w:r w:rsidR="00D929BD">
        <w:rPr>
          <w:i/>
          <w:noProof/>
        </w:rPr>
        <w:t>ure</w:t>
      </w:r>
      <w:r w:rsidRPr="004118A8">
        <w:rPr>
          <w:i/>
          <w:noProof/>
        </w:rPr>
        <w:t xml:space="preserve"> Genet</w:t>
      </w:r>
      <w:r w:rsidR="00D929BD">
        <w:rPr>
          <w:i/>
          <w:noProof/>
        </w:rPr>
        <w:t>ics</w:t>
      </w:r>
      <w:r w:rsidRPr="004118A8">
        <w:rPr>
          <w:i/>
          <w:noProof/>
        </w:rPr>
        <w:t>, 44</w:t>
      </w:r>
      <w:r w:rsidRPr="004118A8">
        <w:rPr>
          <w:noProof/>
        </w:rPr>
        <w:t>(8), 955-959. doi:10.1038/ng.2354</w:t>
      </w:r>
      <w:bookmarkEnd w:id="3"/>
    </w:p>
    <w:p w:rsidR="00347740" w:rsidRPr="004118A8" w:rsidRDefault="00347740" w:rsidP="004118A8">
      <w:pPr>
        <w:pStyle w:val="EndNoteBibliography"/>
        <w:rPr>
          <w:noProof/>
          <w:lang w:val="de-DE"/>
        </w:rPr>
      </w:pPr>
      <w:bookmarkStart w:id="4" w:name="_ENREF_5"/>
      <w:r w:rsidRPr="004118A8">
        <w:rPr>
          <w:noProof/>
        </w:rPr>
        <w:t xml:space="preserve">Howie, B. N., Donnelly, P., &amp; Marchini, J. (2009). A flexible and accurate genotype imputation method for the next generation of genome-wide association studies. </w:t>
      </w:r>
      <w:r w:rsidRPr="004118A8">
        <w:rPr>
          <w:i/>
          <w:noProof/>
          <w:lang w:val="de-DE"/>
        </w:rPr>
        <w:t>PLoS Genet</w:t>
      </w:r>
      <w:r w:rsidR="00D929BD">
        <w:rPr>
          <w:i/>
          <w:noProof/>
          <w:lang w:val="de-DE"/>
        </w:rPr>
        <w:t>ics</w:t>
      </w:r>
      <w:r w:rsidRPr="004118A8">
        <w:rPr>
          <w:i/>
          <w:noProof/>
          <w:lang w:val="de-DE"/>
        </w:rPr>
        <w:t>, 5</w:t>
      </w:r>
      <w:r w:rsidRPr="004118A8">
        <w:rPr>
          <w:noProof/>
          <w:lang w:val="de-DE"/>
        </w:rPr>
        <w:t>(6), e1000529. doi:10.1371/journal.pgen.1000529</w:t>
      </w:r>
      <w:bookmarkEnd w:id="4"/>
    </w:p>
    <w:p w:rsidR="00347740" w:rsidRPr="004118A8" w:rsidRDefault="00347740" w:rsidP="004118A8">
      <w:pPr>
        <w:pStyle w:val="EndNoteBibliography"/>
        <w:rPr>
          <w:noProof/>
        </w:rPr>
      </w:pPr>
      <w:bookmarkStart w:id="5" w:name="_ENREF_6"/>
      <w:r w:rsidRPr="004118A8">
        <w:rPr>
          <w:noProof/>
          <w:lang w:val="de-DE"/>
        </w:rPr>
        <w:t xml:space="preserve">Lam, M., Awasthi, S., Watson, H. J., Goldstein, J., Panagiotaropoulou, G., Trubetskoy, V., . . . </w:t>
      </w:r>
      <w:r w:rsidRPr="004118A8">
        <w:rPr>
          <w:noProof/>
        </w:rPr>
        <w:t xml:space="preserve">Ripke, S. (2019). RICOPILI: Rapid Imputation for COnsortias PIpeLIne. </w:t>
      </w:r>
      <w:r w:rsidRPr="004118A8">
        <w:rPr>
          <w:i/>
          <w:noProof/>
        </w:rPr>
        <w:t>Bioinformatics</w:t>
      </w:r>
      <w:r w:rsidRPr="004118A8">
        <w:rPr>
          <w:noProof/>
        </w:rPr>
        <w:t>. doi:10.1093/bioinformatics/btz633</w:t>
      </w:r>
      <w:bookmarkEnd w:id="5"/>
    </w:p>
    <w:p w:rsidR="00347740" w:rsidRPr="004118A8" w:rsidRDefault="00347740" w:rsidP="004118A8">
      <w:pPr>
        <w:pStyle w:val="EndNoteBibliography"/>
        <w:rPr>
          <w:noProof/>
          <w:lang w:val="de-DE"/>
        </w:rPr>
      </w:pPr>
      <w:bookmarkStart w:id="6" w:name="_ENREF_7"/>
      <w:r w:rsidRPr="004118A8">
        <w:rPr>
          <w:noProof/>
        </w:rPr>
        <w:t xml:space="preserve">Loh, P. R., Palamara, P. F., &amp; Price, A. L. (2016). Fast and accurate long-range phasing in a UK Biobank cohort. </w:t>
      </w:r>
      <w:r w:rsidR="00D929BD" w:rsidRPr="004118A8">
        <w:rPr>
          <w:i/>
          <w:noProof/>
        </w:rPr>
        <w:t>Nat</w:t>
      </w:r>
      <w:r w:rsidR="00D929BD">
        <w:rPr>
          <w:i/>
          <w:noProof/>
        </w:rPr>
        <w:t>ure</w:t>
      </w:r>
      <w:r w:rsidR="00D929BD" w:rsidRPr="004118A8">
        <w:rPr>
          <w:i/>
          <w:noProof/>
        </w:rPr>
        <w:t xml:space="preserve"> Genet</w:t>
      </w:r>
      <w:r w:rsidR="00D929BD">
        <w:rPr>
          <w:i/>
          <w:noProof/>
        </w:rPr>
        <w:t>ics</w:t>
      </w:r>
      <w:r w:rsidRPr="004118A8">
        <w:rPr>
          <w:i/>
          <w:noProof/>
          <w:lang w:val="de-DE"/>
        </w:rPr>
        <w:t>, 48</w:t>
      </w:r>
      <w:r w:rsidRPr="004118A8">
        <w:rPr>
          <w:noProof/>
          <w:lang w:val="de-DE"/>
        </w:rPr>
        <w:t>(7), 811-816. doi:10.1038/ng.3571</w:t>
      </w:r>
      <w:bookmarkEnd w:id="6"/>
    </w:p>
    <w:p w:rsidR="00347740" w:rsidRPr="004118A8" w:rsidRDefault="00347740" w:rsidP="004118A8">
      <w:pPr>
        <w:pStyle w:val="EndNoteBibliography"/>
        <w:rPr>
          <w:noProof/>
          <w:lang w:val="de-DE"/>
        </w:rPr>
      </w:pPr>
      <w:bookmarkStart w:id="7" w:name="_ENREF_8"/>
      <w:r w:rsidRPr="004118A8">
        <w:rPr>
          <w:noProof/>
          <w:lang w:val="de-DE"/>
        </w:rPr>
        <w:t xml:space="preserve">Meller, T., Schmitt, S., Stein, F., Brosch, K., Mosebach, J., Yuksel, D., . . . </w:t>
      </w:r>
      <w:r w:rsidRPr="004118A8">
        <w:rPr>
          <w:noProof/>
        </w:rPr>
        <w:t xml:space="preserve">Nenadic, I. (2019). Associations of schizophrenia risk genes ZNF804A and CACNA1C with schizotypy and modulation of attention in healthy subjects. </w:t>
      </w:r>
      <w:r w:rsidRPr="004118A8">
        <w:rPr>
          <w:i/>
          <w:noProof/>
          <w:lang w:val="de-DE"/>
        </w:rPr>
        <w:t>Schizophr</w:t>
      </w:r>
      <w:r w:rsidR="00D929BD">
        <w:rPr>
          <w:i/>
          <w:noProof/>
          <w:lang w:val="de-DE"/>
        </w:rPr>
        <w:t>enia</w:t>
      </w:r>
      <w:r w:rsidRPr="004118A8">
        <w:rPr>
          <w:i/>
          <w:noProof/>
          <w:lang w:val="de-DE"/>
        </w:rPr>
        <w:t xml:space="preserve"> Res</w:t>
      </w:r>
      <w:r w:rsidR="00D929BD">
        <w:rPr>
          <w:i/>
          <w:noProof/>
          <w:lang w:val="de-DE"/>
        </w:rPr>
        <w:t>earch</w:t>
      </w:r>
      <w:r w:rsidRPr="004118A8">
        <w:rPr>
          <w:noProof/>
          <w:lang w:val="de-DE"/>
        </w:rPr>
        <w:t>. doi:10.1016/j.schres.2019.04.018</w:t>
      </w:r>
      <w:bookmarkEnd w:id="7"/>
    </w:p>
    <w:p w:rsidR="00347740" w:rsidRPr="004118A8" w:rsidRDefault="00347740" w:rsidP="004118A8">
      <w:pPr>
        <w:pStyle w:val="EndNoteBibliography"/>
        <w:rPr>
          <w:noProof/>
        </w:rPr>
      </w:pPr>
      <w:bookmarkStart w:id="8" w:name="_ENREF_9"/>
      <w:r w:rsidRPr="004118A8">
        <w:rPr>
          <w:noProof/>
          <w:lang w:val="de-DE"/>
        </w:rPr>
        <w:t xml:space="preserve">Opel, N., Amare, A. T., Redlich, R., Repple, J., Kaehler, C., Grotegerd, D., . . . </w:t>
      </w:r>
      <w:r w:rsidRPr="004118A8">
        <w:rPr>
          <w:noProof/>
        </w:rPr>
        <w:t xml:space="preserve">Dannlowski, U. (2018). Cortical surface area alterations shaped by genetic load for neuroticism. </w:t>
      </w:r>
      <w:r w:rsidRPr="004118A8">
        <w:rPr>
          <w:i/>
          <w:noProof/>
        </w:rPr>
        <w:t>Mol</w:t>
      </w:r>
      <w:r w:rsidR="00D929BD">
        <w:rPr>
          <w:i/>
          <w:noProof/>
        </w:rPr>
        <w:t>ecular</w:t>
      </w:r>
      <w:r w:rsidRPr="004118A8">
        <w:rPr>
          <w:i/>
          <w:noProof/>
        </w:rPr>
        <w:t xml:space="preserve"> Psychiatry</w:t>
      </w:r>
      <w:r w:rsidRPr="004118A8">
        <w:rPr>
          <w:noProof/>
        </w:rPr>
        <w:t>. doi:10.1038/s41380-018-0236-9</w:t>
      </w:r>
      <w:bookmarkEnd w:id="8"/>
    </w:p>
    <w:p w:rsidR="00347740" w:rsidRPr="004118A8" w:rsidRDefault="00347740" w:rsidP="004118A8">
      <w:pPr>
        <w:pStyle w:val="EndNoteBibliography"/>
        <w:rPr>
          <w:noProof/>
        </w:rPr>
      </w:pPr>
      <w:bookmarkStart w:id="9" w:name="_ENREF_10"/>
      <w:r w:rsidRPr="004118A8">
        <w:rPr>
          <w:noProof/>
        </w:rPr>
        <w:t xml:space="preserve">Ripke, S., Neale, B. M., Corvin, A., Walters, J. T. R., Farh, K.-H., Holmans, P. A., . . . O’Donovan, M. C. (2014). Biological insights from 108 schizophrenia-associated genetic loci. </w:t>
      </w:r>
      <w:r w:rsidRPr="004118A8">
        <w:rPr>
          <w:i/>
          <w:noProof/>
        </w:rPr>
        <w:t>Nature, 511</w:t>
      </w:r>
      <w:r w:rsidRPr="004118A8">
        <w:rPr>
          <w:noProof/>
        </w:rPr>
        <w:t xml:space="preserve">, 421. doi:10.1038/nature13595 </w:t>
      </w:r>
      <w:r w:rsidRPr="00347740">
        <w:rPr>
          <w:noProof/>
        </w:rPr>
        <w:t>https://www.nature.com/articles/nature13595#supplementary-information</w:t>
      </w:r>
      <w:bookmarkEnd w:id="9"/>
    </w:p>
    <w:p w:rsidR="00347740" w:rsidRPr="004118A8" w:rsidRDefault="00347740" w:rsidP="004118A8">
      <w:pPr>
        <w:pStyle w:val="EndNoteBibliography"/>
        <w:rPr>
          <w:noProof/>
          <w:lang w:val="de-DE"/>
        </w:rPr>
      </w:pPr>
      <w:bookmarkStart w:id="10" w:name="_ENREF_11"/>
      <w:r w:rsidRPr="004118A8">
        <w:rPr>
          <w:noProof/>
        </w:rPr>
        <w:t xml:space="preserve">Stahl, E. A., Breen, G., Forstner, A. J., McQuillin, A., Ripke, S., Trubetskoy, V., . . . Sklar, P. (2019). Genome-wide association study identifies 30 loci associated with bipolar disorder. </w:t>
      </w:r>
      <w:r w:rsidR="00D929BD" w:rsidRPr="004118A8">
        <w:rPr>
          <w:i/>
          <w:noProof/>
        </w:rPr>
        <w:t>Nat</w:t>
      </w:r>
      <w:r w:rsidR="00D929BD">
        <w:rPr>
          <w:i/>
          <w:noProof/>
        </w:rPr>
        <w:t>ure</w:t>
      </w:r>
      <w:r w:rsidR="00D929BD" w:rsidRPr="004118A8">
        <w:rPr>
          <w:i/>
          <w:noProof/>
        </w:rPr>
        <w:t xml:space="preserve"> Genet</w:t>
      </w:r>
      <w:r w:rsidR="00D929BD">
        <w:rPr>
          <w:i/>
          <w:noProof/>
        </w:rPr>
        <w:t>ics</w:t>
      </w:r>
      <w:r w:rsidRPr="004118A8">
        <w:rPr>
          <w:i/>
          <w:noProof/>
          <w:lang w:val="de-DE"/>
        </w:rPr>
        <w:t>, 51</w:t>
      </w:r>
      <w:r w:rsidRPr="004118A8">
        <w:rPr>
          <w:noProof/>
          <w:lang w:val="de-DE"/>
        </w:rPr>
        <w:t>(5), 793-803. doi:10.1038/s41588-019-0397-8</w:t>
      </w:r>
      <w:bookmarkEnd w:id="10"/>
    </w:p>
    <w:p w:rsidR="00347740" w:rsidRPr="004118A8" w:rsidRDefault="00347740" w:rsidP="004118A8">
      <w:pPr>
        <w:pStyle w:val="EndNoteBibliography"/>
        <w:rPr>
          <w:noProof/>
        </w:rPr>
      </w:pPr>
      <w:bookmarkStart w:id="11" w:name="_ENREF_12"/>
      <w:r w:rsidRPr="004118A8">
        <w:rPr>
          <w:noProof/>
          <w:lang w:val="de-DE"/>
        </w:rPr>
        <w:t xml:space="preserve">Witt, S. H., Streit, F., Jungkunz, M., Frank, J., Awasthi, S., Reinbold, C. S., . . . </w:t>
      </w:r>
      <w:r w:rsidRPr="004118A8">
        <w:rPr>
          <w:noProof/>
        </w:rPr>
        <w:t xml:space="preserve">Rietschel, M. (2017). Genome-wide association study of borderline personality disorder reveals genetic overlap with bipolar disorder, major depression and schizophrenia. </w:t>
      </w:r>
      <w:r w:rsidRPr="004118A8">
        <w:rPr>
          <w:i/>
          <w:noProof/>
        </w:rPr>
        <w:t>Transl</w:t>
      </w:r>
      <w:r w:rsidR="00D929BD">
        <w:rPr>
          <w:i/>
          <w:noProof/>
        </w:rPr>
        <w:t>ational</w:t>
      </w:r>
      <w:bookmarkStart w:id="12" w:name="_GoBack"/>
      <w:bookmarkEnd w:id="12"/>
      <w:r w:rsidRPr="004118A8">
        <w:rPr>
          <w:i/>
          <w:noProof/>
        </w:rPr>
        <w:t xml:space="preserve"> Psychiatry, 7</w:t>
      </w:r>
      <w:r w:rsidRPr="004118A8">
        <w:rPr>
          <w:noProof/>
        </w:rPr>
        <w:t>(6), e1155. doi:10.1038/tp.2017.115</w:t>
      </w:r>
      <w:bookmarkEnd w:id="11"/>
    </w:p>
    <w:p w:rsidR="00347740" w:rsidRPr="004118A8" w:rsidRDefault="00347740" w:rsidP="004118A8">
      <w:pPr>
        <w:pStyle w:val="EndNoteBibliography"/>
        <w:rPr>
          <w:noProof/>
        </w:rPr>
      </w:pPr>
      <w:bookmarkStart w:id="13" w:name="_ENREF_13"/>
      <w:r w:rsidRPr="004118A8">
        <w:rPr>
          <w:noProof/>
        </w:rPr>
        <w:t xml:space="preserve">Wray, N. R. (2018). Genome-wide association analyses identify 44 risk variants and refine the genetic architecture of major depression. </w:t>
      </w:r>
      <w:r w:rsidRPr="004118A8">
        <w:rPr>
          <w:i/>
          <w:noProof/>
        </w:rPr>
        <w:t>bioRxiv</w:t>
      </w:r>
      <w:r w:rsidRPr="004118A8">
        <w:rPr>
          <w:noProof/>
        </w:rPr>
        <w:t>, 167577. doi:10.1101/167577</w:t>
      </w:r>
      <w:bookmarkEnd w:id="13"/>
    </w:p>
    <w:p w:rsidR="00347740" w:rsidRPr="00877122" w:rsidRDefault="00347740" w:rsidP="00660945">
      <w:pPr>
        <w:spacing w:line="480" w:lineRule="auto"/>
        <w:jc w:val="both"/>
        <w:rPr>
          <w:rFonts w:ascii="Arial" w:hAnsi="Arial"/>
          <w:color w:val="000000" w:themeColor="text1"/>
          <w:lang w:val="en-GB"/>
        </w:rPr>
      </w:pPr>
    </w:p>
    <w:p w:rsidR="001323E1" w:rsidRDefault="001323E1"/>
    <w:sectPr w:rsidR="001323E1" w:rsidSect="004118A8"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B95" w:rsidRPr="00E84992" w:rsidRDefault="00D929BD">
    <w:pPr>
      <w:pStyle w:val="Fuzeile"/>
      <w:rPr>
        <w:rFonts w:ascii="Arial" w:hAnsi="Arial"/>
        <w:sz w:val="20"/>
        <w:lang w:val="en-US"/>
      </w:rPr>
    </w:pPr>
    <w:r w:rsidRPr="00E84992">
      <w:rPr>
        <w:rFonts w:ascii="Arial" w:hAnsi="Arial"/>
        <w:sz w:val="20"/>
        <w:lang w:val="en-US"/>
      </w:rPr>
      <w:t xml:space="preserve">Nenadić et al.: Schizotypy </w:t>
    </w:r>
    <w:r>
      <w:rPr>
        <w:rFonts w:ascii="Arial" w:hAnsi="Arial"/>
        <w:sz w:val="20"/>
        <w:lang w:val="en-US"/>
      </w:rPr>
      <w:t>and polygenic risk for schizophrenia</w:t>
    </w:r>
    <w:r w:rsidRPr="00E84992">
      <w:rPr>
        <w:rFonts w:ascii="Arial" w:hAnsi="Arial"/>
        <w:sz w:val="20"/>
        <w:lang w:val="en-US"/>
      </w:rPr>
      <w:tab/>
    </w:r>
    <w:r w:rsidRPr="00E84992">
      <w:rPr>
        <w:rFonts w:ascii="Arial" w:hAnsi="Arial"/>
        <w:sz w:val="20"/>
        <w:lang w:val="en-US"/>
      </w:rPr>
      <w:tab/>
    </w:r>
    <w:r w:rsidRPr="00B459F2">
      <w:rPr>
        <w:rStyle w:val="Seitenzahl"/>
        <w:rFonts w:ascii="Arial" w:hAnsi="Arial"/>
        <w:sz w:val="20"/>
      </w:rPr>
      <w:fldChar w:fldCharType="begin"/>
    </w:r>
    <w:r w:rsidRPr="00E84992">
      <w:rPr>
        <w:rStyle w:val="Seitenzahl"/>
        <w:rFonts w:ascii="Arial" w:hAnsi="Arial"/>
        <w:sz w:val="20"/>
        <w:lang w:val="en-US"/>
      </w:rPr>
      <w:instrText xml:space="preserve"> PAGE </w:instrText>
    </w:r>
    <w:r w:rsidRPr="00B459F2">
      <w:rPr>
        <w:rStyle w:val="Seitenzahl"/>
        <w:rFonts w:ascii="Arial" w:hAnsi="Arial"/>
        <w:sz w:val="20"/>
      </w:rPr>
      <w:fldChar w:fldCharType="separate"/>
    </w:r>
    <w:r>
      <w:rPr>
        <w:rStyle w:val="Seitenzahl"/>
        <w:rFonts w:ascii="Arial" w:hAnsi="Arial"/>
        <w:noProof/>
        <w:sz w:val="20"/>
        <w:lang w:val="en-US"/>
      </w:rPr>
      <w:t>45</w:t>
    </w:r>
    <w:r w:rsidRPr="00B459F2">
      <w:rPr>
        <w:rStyle w:val="Seitenzahl"/>
        <w:rFonts w:ascii="Arial" w:hAnsi="Arial"/>
        <w:sz w:val="20"/>
      </w:rP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970F5F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4A514E8"/>
    <w:multiLevelType w:val="hybridMultilevel"/>
    <w:tmpl w:val="032CE8DA"/>
    <w:lvl w:ilvl="0" w:tplc="179ACE46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99313A8"/>
    <w:multiLevelType w:val="hybridMultilevel"/>
    <w:tmpl w:val="9DFC6064"/>
    <w:lvl w:ilvl="0" w:tplc="5DFAC3A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4D4C00"/>
    <w:multiLevelType w:val="hybridMultilevel"/>
    <w:tmpl w:val="D390B58C"/>
    <w:lvl w:ilvl="0" w:tplc="BE78863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47740"/>
    <w:rsid w:val="00000C37"/>
    <w:rsid w:val="0000147E"/>
    <w:rsid w:val="00002338"/>
    <w:rsid w:val="000031B5"/>
    <w:rsid w:val="00004654"/>
    <w:rsid w:val="0000507D"/>
    <w:rsid w:val="00005169"/>
    <w:rsid w:val="00005FA5"/>
    <w:rsid w:val="00010722"/>
    <w:rsid w:val="000118DD"/>
    <w:rsid w:val="00011AE0"/>
    <w:rsid w:val="000120CF"/>
    <w:rsid w:val="0001369D"/>
    <w:rsid w:val="00015646"/>
    <w:rsid w:val="00017697"/>
    <w:rsid w:val="00020922"/>
    <w:rsid w:val="00020E16"/>
    <w:rsid w:val="00021651"/>
    <w:rsid w:val="000221F0"/>
    <w:rsid w:val="00022BD5"/>
    <w:rsid w:val="000230A2"/>
    <w:rsid w:val="00024002"/>
    <w:rsid w:val="0002777B"/>
    <w:rsid w:val="000315E0"/>
    <w:rsid w:val="00031AD1"/>
    <w:rsid w:val="00034822"/>
    <w:rsid w:val="00037E62"/>
    <w:rsid w:val="000418CA"/>
    <w:rsid w:val="00042277"/>
    <w:rsid w:val="00044AB8"/>
    <w:rsid w:val="00044DB5"/>
    <w:rsid w:val="00045E98"/>
    <w:rsid w:val="00047290"/>
    <w:rsid w:val="00051B40"/>
    <w:rsid w:val="00051D92"/>
    <w:rsid w:val="00054304"/>
    <w:rsid w:val="000543E7"/>
    <w:rsid w:val="00056CD8"/>
    <w:rsid w:val="00057E51"/>
    <w:rsid w:val="00060493"/>
    <w:rsid w:val="0006073E"/>
    <w:rsid w:val="00062024"/>
    <w:rsid w:val="00064AF2"/>
    <w:rsid w:val="00073528"/>
    <w:rsid w:val="000770DB"/>
    <w:rsid w:val="00080598"/>
    <w:rsid w:val="000809CA"/>
    <w:rsid w:val="00081096"/>
    <w:rsid w:val="0008141E"/>
    <w:rsid w:val="00081E13"/>
    <w:rsid w:val="0008218A"/>
    <w:rsid w:val="00082E78"/>
    <w:rsid w:val="000846B6"/>
    <w:rsid w:val="000855B4"/>
    <w:rsid w:val="00086C29"/>
    <w:rsid w:val="000878C9"/>
    <w:rsid w:val="00091698"/>
    <w:rsid w:val="00092D17"/>
    <w:rsid w:val="00093BB2"/>
    <w:rsid w:val="00094ECE"/>
    <w:rsid w:val="00095591"/>
    <w:rsid w:val="00095E83"/>
    <w:rsid w:val="00097C3B"/>
    <w:rsid w:val="000A04E5"/>
    <w:rsid w:val="000A06A0"/>
    <w:rsid w:val="000A1BE8"/>
    <w:rsid w:val="000A1FFD"/>
    <w:rsid w:val="000A2E03"/>
    <w:rsid w:val="000A3A83"/>
    <w:rsid w:val="000A5E4B"/>
    <w:rsid w:val="000A72FB"/>
    <w:rsid w:val="000A7804"/>
    <w:rsid w:val="000B1C4B"/>
    <w:rsid w:val="000B1EAF"/>
    <w:rsid w:val="000B2BCD"/>
    <w:rsid w:val="000B2CB4"/>
    <w:rsid w:val="000B386C"/>
    <w:rsid w:val="000B59F8"/>
    <w:rsid w:val="000B5A35"/>
    <w:rsid w:val="000B7754"/>
    <w:rsid w:val="000C618E"/>
    <w:rsid w:val="000D0A72"/>
    <w:rsid w:val="000D0C35"/>
    <w:rsid w:val="000D17DD"/>
    <w:rsid w:val="000D1A94"/>
    <w:rsid w:val="000D20B0"/>
    <w:rsid w:val="000D28AF"/>
    <w:rsid w:val="000D47FA"/>
    <w:rsid w:val="000E08F8"/>
    <w:rsid w:val="000E14A8"/>
    <w:rsid w:val="000E2443"/>
    <w:rsid w:val="000E270C"/>
    <w:rsid w:val="000E6098"/>
    <w:rsid w:val="000E7B3D"/>
    <w:rsid w:val="000F4812"/>
    <w:rsid w:val="000F6D18"/>
    <w:rsid w:val="000F7A2A"/>
    <w:rsid w:val="0010109F"/>
    <w:rsid w:val="001023B3"/>
    <w:rsid w:val="001031AE"/>
    <w:rsid w:val="001054E1"/>
    <w:rsid w:val="00110802"/>
    <w:rsid w:val="00110C64"/>
    <w:rsid w:val="00111819"/>
    <w:rsid w:val="001121C2"/>
    <w:rsid w:val="001145D5"/>
    <w:rsid w:val="0011617C"/>
    <w:rsid w:val="00117AD3"/>
    <w:rsid w:val="001209FB"/>
    <w:rsid w:val="00121358"/>
    <w:rsid w:val="00125FEE"/>
    <w:rsid w:val="00125FF7"/>
    <w:rsid w:val="00126084"/>
    <w:rsid w:val="0012635D"/>
    <w:rsid w:val="00126460"/>
    <w:rsid w:val="0012666C"/>
    <w:rsid w:val="00127E53"/>
    <w:rsid w:val="001323E1"/>
    <w:rsid w:val="001353AA"/>
    <w:rsid w:val="00136239"/>
    <w:rsid w:val="00136909"/>
    <w:rsid w:val="001373B5"/>
    <w:rsid w:val="001419F8"/>
    <w:rsid w:val="00142151"/>
    <w:rsid w:val="00142D3E"/>
    <w:rsid w:val="001448C6"/>
    <w:rsid w:val="00145843"/>
    <w:rsid w:val="00145978"/>
    <w:rsid w:val="00147DBE"/>
    <w:rsid w:val="00152955"/>
    <w:rsid w:val="00153A6B"/>
    <w:rsid w:val="00154643"/>
    <w:rsid w:val="001554A2"/>
    <w:rsid w:val="00155689"/>
    <w:rsid w:val="00156564"/>
    <w:rsid w:val="00156642"/>
    <w:rsid w:val="00157DE1"/>
    <w:rsid w:val="00161A81"/>
    <w:rsid w:val="00161B10"/>
    <w:rsid w:val="00161FBD"/>
    <w:rsid w:val="001621EE"/>
    <w:rsid w:val="00164371"/>
    <w:rsid w:val="0016796D"/>
    <w:rsid w:val="00171F16"/>
    <w:rsid w:val="001755A9"/>
    <w:rsid w:val="0017707A"/>
    <w:rsid w:val="00180A15"/>
    <w:rsid w:val="0018179C"/>
    <w:rsid w:val="001823C5"/>
    <w:rsid w:val="00184DFF"/>
    <w:rsid w:val="00186511"/>
    <w:rsid w:val="001866A6"/>
    <w:rsid w:val="001904C3"/>
    <w:rsid w:val="00191AAB"/>
    <w:rsid w:val="00194B4C"/>
    <w:rsid w:val="00194F3E"/>
    <w:rsid w:val="00195605"/>
    <w:rsid w:val="001A0437"/>
    <w:rsid w:val="001A1393"/>
    <w:rsid w:val="001A563D"/>
    <w:rsid w:val="001A5D11"/>
    <w:rsid w:val="001A6338"/>
    <w:rsid w:val="001A6CD9"/>
    <w:rsid w:val="001B12EA"/>
    <w:rsid w:val="001B2145"/>
    <w:rsid w:val="001B33C4"/>
    <w:rsid w:val="001B41ED"/>
    <w:rsid w:val="001B4E3C"/>
    <w:rsid w:val="001B4FB5"/>
    <w:rsid w:val="001B693F"/>
    <w:rsid w:val="001C0C0B"/>
    <w:rsid w:val="001C5296"/>
    <w:rsid w:val="001D2617"/>
    <w:rsid w:val="001D40FE"/>
    <w:rsid w:val="001D6BB8"/>
    <w:rsid w:val="001D711C"/>
    <w:rsid w:val="001D7C51"/>
    <w:rsid w:val="001E1FF9"/>
    <w:rsid w:val="001E4B7B"/>
    <w:rsid w:val="001E5071"/>
    <w:rsid w:val="001E5566"/>
    <w:rsid w:val="001E7711"/>
    <w:rsid w:val="001E774E"/>
    <w:rsid w:val="001F1E8D"/>
    <w:rsid w:val="001F2805"/>
    <w:rsid w:val="001F4ADB"/>
    <w:rsid w:val="001F4F29"/>
    <w:rsid w:val="001F5CEA"/>
    <w:rsid w:val="001F5E59"/>
    <w:rsid w:val="001F6AF2"/>
    <w:rsid w:val="001F72B1"/>
    <w:rsid w:val="00202196"/>
    <w:rsid w:val="00203EBD"/>
    <w:rsid w:val="002050A7"/>
    <w:rsid w:val="0020624C"/>
    <w:rsid w:val="00206518"/>
    <w:rsid w:val="00206793"/>
    <w:rsid w:val="0021082B"/>
    <w:rsid w:val="00213BF2"/>
    <w:rsid w:val="00213F5C"/>
    <w:rsid w:val="00220D69"/>
    <w:rsid w:val="00220DA3"/>
    <w:rsid w:val="002212A1"/>
    <w:rsid w:val="00221443"/>
    <w:rsid w:val="002224B9"/>
    <w:rsid w:val="00222D41"/>
    <w:rsid w:val="002257D5"/>
    <w:rsid w:val="002276B3"/>
    <w:rsid w:val="00227B48"/>
    <w:rsid w:val="00230732"/>
    <w:rsid w:val="00230E12"/>
    <w:rsid w:val="002317BE"/>
    <w:rsid w:val="00232B21"/>
    <w:rsid w:val="002335D1"/>
    <w:rsid w:val="002366BC"/>
    <w:rsid w:val="00241DF7"/>
    <w:rsid w:val="00242573"/>
    <w:rsid w:val="00242ECD"/>
    <w:rsid w:val="00243682"/>
    <w:rsid w:val="002440F5"/>
    <w:rsid w:val="0024466F"/>
    <w:rsid w:val="002454DB"/>
    <w:rsid w:val="00246158"/>
    <w:rsid w:val="00246FE5"/>
    <w:rsid w:val="0025088A"/>
    <w:rsid w:val="00250B79"/>
    <w:rsid w:val="0025146A"/>
    <w:rsid w:val="00251BD9"/>
    <w:rsid w:val="00251DB9"/>
    <w:rsid w:val="00252BE8"/>
    <w:rsid w:val="0025431E"/>
    <w:rsid w:val="00255980"/>
    <w:rsid w:val="00261CFF"/>
    <w:rsid w:val="00262D60"/>
    <w:rsid w:val="00262E18"/>
    <w:rsid w:val="002633E1"/>
    <w:rsid w:val="00263BAC"/>
    <w:rsid w:val="00265A9D"/>
    <w:rsid w:val="0026613D"/>
    <w:rsid w:val="00271B57"/>
    <w:rsid w:val="00274A58"/>
    <w:rsid w:val="00282FE4"/>
    <w:rsid w:val="00284867"/>
    <w:rsid w:val="00284882"/>
    <w:rsid w:val="00284A3F"/>
    <w:rsid w:val="0028589E"/>
    <w:rsid w:val="00286761"/>
    <w:rsid w:val="0028793A"/>
    <w:rsid w:val="0028796F"/>
    <w:rsid w:val="002900B8"/>
    <w:rsid w:val="00291837"/>
    <w:rsid w:val="00291D6F"/>
    <w:rsid w:val="00295A3B"/>
    <w:rsid w:val="0029738E"/>
    <w:rsid w:val="002A26F6"/>
    <w:rsid w:val="002A382E"/>
    <w:rsid w:val="002B1183"/>
    <w:rsid w:val="002B12C9"/>
    <w:rsid w:val="002B4174"/>
    <w:rsid w:val="002B5D3C"/>
    <w:rsid w:val="002C0A79"/>
    <w:rsid w:val="002C2AB1"/>
    <w:rsid w:val="002C337D"/>
    <w:rsid w:val="002C50B5"/>
    <w:rsid w:val="002D204B"/>
    <w:rsid w:val="002D2609"/>
    <w:rsid w:val="002D2FAC"/>
    <w:rsid w:val="002D4A6C"/>
    <w:rsid w:val="002D5FC1"/>
    <w:rsid w:val="002D63D6"/>
    <w:rsid w:val="002E0989"/>
    <w:rsid w:val="002E3344"/>
    <w:rsid w:val="002E660E"/>
    <w:rsid w:val="002F0128"/>
    <w:rsid w:val="002F15E7"/>
    <w:rsid w:val="002F224A"/>
    <w:rsid w:val="002F2E10"/>
    <w:rsid w:val="002F7464"/>
    <w:rsid w:val="003002E8"/>
    <w:rsid w:val="00300E23"/>
    <w:rsid w:val="003012E3"/>
    <w:rsid w:val="00306E7F"/>
    <w:rsid w:val="00306F79"/>
    <w:rsid w:val="003129D5"/>
    <w:rsid w:val="0031352D"/>
    <w:rsid w:val="003135EA"/>
    <w:rsid w:val="0031380C"/>
    <w:rsid w:val="0031536B"/>
    <w:rsid w:val="00316D28"/>
    <w:rsid w:val="0032280C"/>
    <w:rsid w:val="003230E6"/>
    <w:rsid w:val="00324BE8"/>
    <w:rsid w:val="003268E0"/>
    <w:rsid w:val="00326AFE"/>
    <w:rsid w:val="00327320"/>
    <w:rsid w:val="00327621"/>
    <w:rsid w:val="003307CD"/>
    <w:rsid w:val="00330AF6"/>
    <w:rsid w:val="003325A3"/>
    <w:rsid w:val="00332BFF"/>
    <w:rsid w:val="003378F4"/>
    <w:rsid w:val="00341C1B"/>
    <w:rsid w:val="003420AF"/>
    <w:rsid w:val="00343646"/>
    <w:rsid w:val="00343DDF"/>
    <w:rsid w:val="00343DF2"/>
    <w:rsid w:val="0034422C"/>
    <w:rsid w:val="00344E6E"/>
    <w:rsid w:val="0034518E"/>
    <w:rsid w:val="00347740"/>
    <w:rsid w:val="0035020D"/>
    <w:rsid w:val="00354E3D"/>
    <w:rsid w:val="00356F31"/>
    <w:rsid w:val="003613F8"/>
    <w:rsid w:val="00362031"/>
    <w:rsid w:val="0036211E"/>
    <w:rsid w:val="00364291"/>
    <w:rsid w:val="003649EF"/>
    <w:rsid w:val="00365D3D"/>
    <w:rsid w:val="003665A5"/>
    <w:rsid w:val="00367E98"/>
    <w:rsid w:val="00375775"/>
    <w:rsid w:val="00377293"/>
    <w:rsid w:val="00377346"/>
    <w:rsid w:val="00381099"/>
    <w:rsid w:val="0038356D"/>
    <w:rsid w:val="00384BA0"/>
    <w:rsid w:val="00385776"/>
    <w:rsid w:val="003870AA"/>
    <w:rsid w:val="003921DB"/>
    <w:rsid w:val="00392C41"/>
    <w:rsid w:val="003937BB"/>
    <w:rsid w:val="00394329"/>
    <w:rsid w:val="00394AC8"/>
    <w:rsid w:val="003A15C7"/>
    <w:rsid w:val="003A1A6B"/>
    <w:rsid w:val="003A26D3"/>
    <w:rsid w:val="003B5DB4"/>
    <w:rsid w:val="003B60B1"/>
    <w:rsid w:val="003C0EB5"/>
    <w:rsid w:val="003C335D"/>
    <w:rsid w:val="003C3EDC"/>
    <w:rsid w:val="003C5411"/>
    <w:rsid w:val="003C6BBF"/>
    <w:rsid w:val="003C75BB"/>
    <w:rsid w:val="003C7718"/>
    <w:rsid w:val="003C7E38"/>
    <w:rsid w:val="003D2B37"/>
    <w:rsid w:val="003D426F"/>
    <w:rsid w:val="003D438A"/>
    <w:rsid w:val="003D7160"/>
    <w:rsid w:val="003D7263"/>
    <w:rsid w:val="003E09E2"/>
    <w:rsid w:val="003E1E68"/>
    <w:rsid w:val="003E20B1"/>
    <w:rsid w:val="003E2365"/>
    <w:rsid w:val="003E37AD"/>
    <w:rsid w:val="003E4D8B"/>
    <w:rsid w:val="003E5734"/>
    <w:rsid w:val="003E5CD6"/>
    <w:rsid w:val="003E6228"/>
    <w:rsid w:val="003E68EB"/>
    <w:rsid w:val="003E6B22"/>
    <w:rsid w:val="003F0CD3"/>
    <w:rsid w:val="003F2579"/>
    <w:rsid w:val="003F4B5B"/>
    <w:rsid w:val="003F5DC8"/>
    <w:rsid w:val="003F69C2"/>
    <w:rsid w:val="003F7F06"/>
    <w:rsid w:val="0040008E"/>
    <w:rsid w:val="00401152"/>
    <w:rsid w:val="0040208C"/>
    <w:rsid w:val="004038AC"/>
    <w:rsid w:val="004043A7"/>
    <w:rsid w:val="00404E7A"/>
    <w:rsid w:val="0040544A"/>
    <w:rsid w:val="00405D1D"/>
    <w:rsid w:val="00407B4C"/>
    <w:rsid w:val="004117EC"/>
    <w:rsid w:val="00412F9B"/>
    <w:rsid w:val="00413944"/>
    <w:rsid w:val="00414972"/>
    <w:rsid w:val="00414D04"/>
    <w:rsid w:val="004158B0"/>
    <w:rsid w:val="004163F3"/>
    <w:rsid w:val="004167E2"/>
    <w:rsid w:val="00416F5E"/>
    <w:rsid w:val="00417ED4"/>
    <w:rsid w:val="00420224"/>
    <w:rsid w:val="00420DB8"/>
    <w:rsid w:val="004237CA"/>
    <w:rsid w:val="004246C5"/>
    <w:rsid w:val="004264F1"/>
    <w:rsid w:val="00426B01"/>
    <w:rsid w:val="00432015"/>
    <w:rsid w:val="004333AD"/>
    <w:rsid w:val="00433BAA"/>
    <w:rsid w:val="004349F7"/>
    <w:rsid w:val="00434FB4"/>
    <w:rsid w:val="004358C4"/>
    <w:rsid w:val="0043749F"/>
    <w:rsid w:val="004379B2"/>
    <w:rsid w:val="0044159B"/>
    <w:rsid w:val="004416CA"/>
    <w:rsid w:val="00442506"/>
    <w:rsid w:val="004434C3"/>
    <w:rsid w:val="00443EB6"/>
    <w:rsid w:val="00454DFD"/>
    <w:rsid w:val="0045744D"/>
    <w:rsid w:val="00457864"/>
    <w:rsid w:val="00457C4C"/>
    <w:rsid w:val="00460BBF"/>
    <w:rsid w:val="00464C46"/>
    <w:rsid w:val="00465B77"/>
    <w:rsid w:val="00470FF3"/>
    <w:rsid w:val="00471BC0"/>
    <w:rsid w:val="004721DB"/>
    <w:rsid w:val="00473AC2"/>
    <w:rsid w:val="004742D2"/>
    <w:rsid w:val="004758D8"/>
    <w:rsid w:val="0047758A"/>
    <w:rsid w:val="00481A36"/>
    <w:rsid w:val="004828F3"/>
    <w:rsid w:val="00482F2B"/>
    <w:rsid w:val="00483799"/>
    <w:rsid w:val="00487A88"/>
    <w:rsid w:val="00490DB8"/>
    <w:rsid w:val="00490EAC"/>
    <w:rsid w:val="0049461A"/>
    <w:rsid w:val="0049673B"/>
    <w:rsid w:val="004972E1"/>
    <w:rsid w:val="004973DF"/>
    <w:rsid w:val="004977CF"/>
    <w:rsid w:val="00497F90"/>
    <w:rsid w:val="004A1A95"/>
    <w:rsid w:val="004A61E5"/>
    <w:rsid w:val="004A6C53"/>
    <w:rsid w:val="004B5C3E"/>
    <w:rsid w:val="004C1F21"/>
    <w:rsid w:val="004C2B98"/>
    <w:rsid w:val="004C33B6"/>
    <w:rsid w:val="004C3C72"/>
    <w:rsid w:val="004C7E19"/>
    <w:rsid w:val="004D609C"/>
    <w:rsid w:val="004D78D1"/>
    <w:rsid w:val="004E0ADF"/>
    <w:rsid w:val="004E19BA"/>
    <w:rsid w:val="004E3178"/>
    <w:rsid w:val="004E4054"/>
    <w:rsid w:val="004E543B"/>
    <w:rsid w:val="004E5C77"/>
    <w:rsid w:val="004E6736"/>
    <w:rsid w:val="004E673A"/>
    <w:rsid w:val="004E7BB8"/>
    <w:rsid w:val="004F182F"/>
    <w:rsid w:val="004F24F3"/>
    <w:rsid w:val="004F25D6"/>
    <w:rsid w:val="004F292E"/>
    <w:rsid w:val="004F2E3B"/>
    <w:rsid w:val="004F3779"/>
    <w:rsid w:val="004F54C7"/>
    <w:rsid w:val="004F704B"/>
    <w:rsid w:val="004F74C1"/>
    <w:rsid w:val="004F7B20"/>
    <w:rsid w:val="00501104"/>
    <w:rsid w:val="005051CD"/>
    <w:rsid w:val="0051005B"/>
    <w:rsid w:val="005104C3"/>
    <w:rsid w:val="005108F4"/>
    <w:rsid w:val="00510C3A"/>
    <w:rsid w:val="00511879"/>
    <w:rsid w:val="00511C10"/>
    <w:rsid w:val="00511EDC"/>
    <w:rsid w:val="00512196"/>
    <w:rsid w:val="00514E83"/>
    <w:rsid w:val="00516896"/>
    <w:rsid w:val="00517EE0"/>
    <w:rsid w:val="0052015C"/>
    <w:rsid w:val="005245A0"/>
    <w:rsid w:val="005267D3"/>
    <w:rsid w:val="00526E53"/>
    <w:rsid w:val="00527232"/>
    <w:rsid w:val="00527BC6"/>
    <w:rsid w:val="00530C95"/>
    <w:rsid w:val="00530CF7"/>
    <w:rsid w:val="0053182C"/>
    <w:rsid w:val="00532CB3"/>
    <w:rsid w:val="00533444"/>
    <w:rsid w:val="00533E0B"/>
    <w:rsid w:val="00533E70"/>
    <w:rsid w:val="005346CD"/>
    <w:rsid w:val="00534CC2"/>
    <w:rsid w:val="00535410"/>
    <w:rsid w:val="00535996"/>
    <w:rsid w:val="00542781"/>
    <w:rsid w:val="00544C25"/>
    <w:rsid w:val="005505EE"/>
    <w:rsid w:val="005536A0"/>
    <w:rsid w:val="005537BF"/>
    <w:rsid w:val="00555CF6"/>
    <w:rsid w:val="005572CD"/>
    <w:rsid w:val="00561A8D"/>
    <w:rsid w:val="00571DA8"/>
    <w:rsid w:val="00572B89"/>
    <w:rsid w:val="00573497"/>
    <w:rsid w:val="0057385A"/>
    <w:rsid w:val="005818F5"/>
    <w:rsid w:val="00583FF0"/>
    <w:rsid w:val="0058410E"/>
    <w:rsid w:val="00585F65"/>
    <w:rsid w:val="00587526"/>
    <w:rsid w:val="00590EEA"/>
    <w:rsid w:val="00593091"/>
    <w:rsid w:val="00593B77"/>
    <w:rsid w:val="00593D7E"/>
    <w:rsid w:val="005942A7"/>
    <w:rsid w:val="005A1F7D"/>
    <w:rsid w:val="005A2C73"/>
    <w:rsid w:val="005A447B"/>
    <w:rsid w:val="005A458D"/>
    <w:rsid w:val="005A4D41"/>
    <w:rsid w:val="005A7272"/>
    <w:rsid w:val="005B057C"/>
    <w:rsid w:val="005B0C18"/>
    <w:rsid w:val="005B2729"/>
    <w:rsid w:val="005B2BF9"/>
    <w:rsid w:val="005B2F8C"/>
    <w:rsid w:val="005B3100"/>
    <w:rsid w:val="005B6EC7"/>
    <w:rsid w:val="005C2962"/>
    <w:rsid w:val="005C3A20"/>
    <w:rsid w:val="005C3C85"/>
    <w:rsid w:val="005D188B"/>
    <w:rsid w:val="005D26A5"/>
    <w:rsid w:val="005D490B"/>
    <w:rsid w:val="005D4CDB"/>
    <w:rsid w:val="005D594D"/>
    <w:rsid w:val="005E23A8"/>
    <w:rsid w:val="005E65C1"/>
    <w:rsid w:val="005E758E"/>
    <w:rsid w:val="005E7F5A"/>
    <w:rsid w:val="005F0056"/>
    <w:rsid w:val="005F20AC"/>
    <w:rsid w:val="005F6230"/>
    <w:rsid w:val="005F7981"/>
    <w:rsid w:val="00600935"/>
    <w:rsid w:val="0060098B"/>
    <w:rsid w:val="00600A2D"/>
    <w:rsid w:val="0060174E"/>
    <w:rsid w:val="00606B51"/>
    <w:rsid w:val="006111C9"/>
    <w:rsid w:val="006127E7"/>
    <w:rsid w:val="00612A40"/>
    <w:rsid w:val="00613E12"/>
    <w:rsid w:val="006172C6"/>
    <w:rsid w:val="006201E8"/>
    <w:rsid w:val="00620580"/>
    <w:rsid w:val="00620868"/>
    <w:rsid w:val="006208D6"/>
    <w:rsid w:val="00621A50"/>
    <w:rsid w:val="00624758"/>
    <w:rsid w:val="00627F7A"/>
    <w:rsid w:val="006305C9"/>
    <w:rsid w:val="00631572"/>
    <w:rsid w:val="0063335D"/>
    <w:rsid w:val="00633EAC"/>
    <w:rsid w:val="006360DD"/>
    <w:rsid w:val="00640300"/>
    <w:rsid w:val="00643ADC"/>
    <w:rsid w:val="00647F4A"/>
    <w:rsid w:val="006514DB"/>
    <w:rsid w:val="00652604"/>
    <w:rsid w:val="00652C44"/>
    <w:rsid w:val="006545C2"/>
    <w:rsid w:val="00654E29"/>
    <w:rsid w:val="006558EB"/>
    <w:rsid w:val="00655DEB"/>
    <w:rsid w:val="006567C6"/>
    <w:rsid w:val="00657A73"/>
    <w:rsid w:val="0066243B"/>
    <w:rsid w:val="00665F97"/>
    <w:rsid w:val="006678F4"/>
    <w:rsid w:val="006700FD"/>
    <w:rsid w:val="00670765"/>
    <w:rsid w:val="006729B1"/>
    <w:rsid w:val="00674141"/>
    <w:rsid w:val="0067593B"/>
    <w:rsid w:val="00675D2D"/>
    <w:rsid w:val="00680980"/>
    <w:rsid w:val="00680EDD"/>
    <w:rsid w:val="00681EAF"/>
    <w:rsid w:val="006841A3"/>
    <w:rsid w:val="006844BC"/>
    <w:rsid w:val="006847CB"/>
    <w:rsid w:val="006858BB"/>
    <w:rsid w:val="00686BA8"/>
    <w:rsid w:val="00687A2C"/>
    <w:rsid w:val="00690B2C"/>
    <w:rsid w:val="00690FE5"/>
    <w:rsid w:val="00691C49"/>
    <w:rsid w:val="00695B6F"/>
    <w:rsid w:val="00696EB6"/>
    <w:rsid w:val="00697799"/>
    <w:rsid w:val="006A15EB"/>
    <w:rsid w:val="006A2050"/>
    <w:rsid w:val="006A20E4"/>
    <w:rsid w:val="006A229A"/>
    <w:rsid w:val="006A5111"/>
    <w:rsid w:val="006A5A46"/>
    <w:rsid w:val="006A6979"/>
    <w:rsid w:val="006A7878"/>
    <w:rsid w:val="006A7D49"/>
    <w:rsid w:val="006B07B8"/>
    <w:rsid w:val="006B0B73"/>
    <w:rsid w:val="006B13E0"/>
    <w:rsid w:val="006B2129"/>
    <w:rsid w:val="006B5381"/>
    <w:rsid w:val="006B5467"/>
    <w:rsid w:val="006B5712"/>
    <w:rsid w:val="006B5780"/>
    <w:rsid w:val="006B62AC"/>
    <w:rsid w:val="006B68C1"/>
    <w:rsid w:val="006C0865"/>
    <w:rsid w:val="006C15D9"/>
    <w:rsid w:val="006C16FB"/>
    <w:rsid w:val="006C2179"/>
    <w:rsid w:val="006C5EAF"/>
    <w:rsid w:val="006C6B2A"/>
    <w:rsid w:val="006D0B9E"/>
    <w:rsid w:val="006D0C54"/>
    <w:rsid w:val="006D0EF8"/>
    <w:rsid w:val="006D1123"/>
    <w:rsid w:val="006D5FF7"/>
    <w:rsid w:val="006D6800"/>
    <w:rsid w:val="006D6F9A"/>
    <w:rsid w:val="006E20A3"/>
    <w:rsid w:val="006E43F4"/>
    <w:rsid w:val="006F1B42"/>
    <w:rsid w:val="006F1E0B"/>
    <w:rsid w:val="006F3030"/>
    <w:rsid w:val="006F3566"/>
    <w:rsid w:val="006F38EA"/>
    <w:rsid w:val="006F3A8E"/>
    <w:rsid w:val="006F4318"/>
    <w:rsid w:val="006F5D1E"/>
    <w:rsid w:val="006F6191"/>
    <w:rsid w:val="00700ED0"/>
    <w:rsid w:val="00700EE5"/>
    <w:rsid w:val="007016B4"/>
    <w:rsid w:val="00704628"/>
    <w:rsid w:val="00705609"/>
    <w:rsid w:val="00707B22"/>
    <w:rsid w:val="00710CEC"/>
    <w:rsid w:val="007118FF"/>
    <w:rsid w:val="0071379D"/>
    <w:rsid w:val="00713EDD"/>
    <w:rsid w:val="00714418"/>
    <w:rsid w:val="00715E36"/>
    <w:rsid w:val="0071604C"/>
    <w:rsid w:val="00716B6E"/>
    <w:rsid w:val="00721A4A"/>
    <w:rsid w:val="00724FF3"/>
    <w:rsid w:val="00727489"/>
    <w:rsid w:val="00731484"/>
    <w:rsid w:val="00733B06"/>
    <w:rsid w:val="00736A2C"/>
    <w:rsid w:val="00740B69"/>
    <w:rsid w:val="00741C3D"/>
    <w:rsid w:val="00745A8F"/>
    <w:rsid w:val="00745BA1"/>
    <w:rsid w:val="00745D4E"/>
    <w:rsid w:val="00747532"/>
    <w:rsid w:val="0075597A"/>
    <w:rsid w:val="007576DC"/>
    <w:rsid w:val="00761CAF"/>
    <w:rsid w:val="00763DA4"/>
    <w:rsid w:val="00765A07"/>
    <w:rsid w:val="00766376"/>
    <w:rsid w:val="00767D8A"/>
    <w:rsid w:val="007719AD"/>
    <w:rsid w:val="00772FA4"/>
    <w:rsid w:val="007730C5"/>
    <w:rsid w:val="00773391"/>
    <w:rsid w:val="00773F97"/>
    <w:rsid w:val="007740E0"/>
    <w:rsid w:val="00774AF9"/>
    <w:rsid w:val="007764EB"/>
    <w:rsid w:val="0077716B"/>
    <w:rsid w:val="00777284"/>
    <w:rsid w:val="007776FE"/>
    <w:rsid w:val="007816CF"/>
    <w:rsid w:val="007837E6"/>
    <w:rsid w:val="00784FDE"/>
    <w:rsid w:val="007854D3"/>
    <w:rsid w:val="007862A3"/>
    <w:rsid w:val="00787EE9"/>
    <w:rsid w:val="00790848"/>
    <w:rsid w:val="0079155E"/>
    <w:rsid w:val="00794E7E"/>
    <w:rsid w:val="00795538"/>
    <w:rsid w:val="00795D18"/>
    <w:rsid w:val="00796907"/>
    <w:rsid w:val="007969D6"/>
    <w:rsid w:val="00797CB1"/>
    <w:rsid w:val="007A010B"/>
    <w:rsid w:val="007A0AE9"/>
    <w:rsid w:val="007A4843"/>
    <w:rsid w:val="007A4DB7"/>
    <w:rsid w:val="007A545D"/>
    <w:rsid w:val="007A6ADA"/>
    <w:rsid w:val="007A6B5C"/>
    <w:rsid w:val="007B1E22"/>
    <w:rsid w:val="007B3BAE"/>
    <w:rsid w:val="007B6357"/>
    <w:rsid w:val="007B781A"/>
    <w:rsid w:val="007C02CE"/>
    <w:rsid w:val="007C2D75"/>
    <w:rsid w:val="007C2DAF"/>
    <w:rsid w:val="007C485D"/>
    <w:rsid w:val="007C6962"/>
    <w:rsid w:val="007D0DFD"/>
    <w:rsid w:val="007D574F"/>
    <w:rsid w:val="007D79CE"/>
    <w:rsid w:val="007E0741"/>
    <w:rsid w:val="007E1849"/>
    <w:rsid w:val="007E2FC6"/>
    <w:rsid w:val="007E7509"/>
    <w:rsid w:val="007F133A"/>
    <w:rsid w:val="007F14FA"/>
    <w:rsid w:val="007F3613"/>
    <w:rsid w:val="007F3A5C"/>
    <w:rsid w:val="007F42A9"/>
    <w:rsid w:val="007F7461"/>
    <w:rsid w:val="00800E22"/>
    <w:rsid w:val="00802176"/>
    <w:rsid w:val="00802540"/>
    <w:rsid w:val="008069B2"/>
    <w:rsid w:val="00807974"/>
    <w:rsid w:val="00817F18"/>
    <w:rsid w:val="00823F1B"/>
    <w:rsid w:val="00827915"/>
    <w:rsid w:val="00827DCF"/>
    <w:rsid w:val="0083069F"/>
    <w:rsid w:val="00830FC5"/>
    <w:rsid w:val="0083209C"/>
    <w:rsid w:val="00833331"/>
    <w:rsid w:val="00833889"/>
    <w:rsid w:val="00833E54"/>
    <w:rsid w:val="008452CD"/>
    <w:rsid w:val="00847024"/>
    <w:rsid w:val="00847B2C"/>
    <w:rsid w:val="00850A05"/>
    <w:rsid w:val="00851956"/>
    <w:rsid w:val="008529DC"/>
    <w:rsid w:val="0085408B"/>
    <w:rsid w:val="0085461A"/>
    <w:rsid w:val="00856B9E"/>
    <w:rsid w:val="00861866"/>
    <w:rsid w:val="008670F0"/>
    <w:rsid w:val="00870C32"/>
    <w:rsid w:val="008714A5"/>
    <w:rsid w:val="0087310A"/>
    <w:rsid w:val="00873444"/>
    <w:rsid w:val="00873B22"/>
    <w:rsid w:val="00876F4F"/>
    <w:rsid w:val="00877052"/>
    <w:rsid w:val="00880D46"/>
    <w:rsid w:val="00881008"/>
    <w:rsid w:val="008854FE"/>
    <w:rsid w:val="008903C9"/>
    <w:rsid w:val="008927C0"/>
    <w:rsid w:val="0089294D"/>
    <w:rsid w:val="00892A50"/>
    <w:rsid w:val="00895418"/>
    <w:rsid w:val="0089756C"/>
    <w:rsid w:val="008A02B1"/>
    <w:rsid w:val="008A0F77"/>
    <w:rsid w:val="008A2622"/>
    <w:rsid w:val="008A46D4"/>
    <w:rsid w:val="008A6AF1"/>
    <w:rsid w:val="008B0941"/>
    <w:rsid w:val="008B2160"/>
    <w:rsid w:val="008B799A"/>
    <w:rsid w:val="008C140D"/>
    <w:rsid w:val="008C270D"/>
    <w:rsid w:val="008C621C"/>
    <w:rsid w:val="008C6C02"/>
    <w:rsid w:val="008D0B4D"/>
    <w:rsid w:val="008D2992"/>
    <w:rsid w:val="008E01FC"/>
    <w:rsid w:val="008E0DA7"/>
    <w:rsid w:val="008E38DF"/>
    <w:rsid w:val="008E4282"/>
    <w:rsid w:val="008E5FC1"/>
    <w:rsid w:val="008E66FC"/>
    <w:rsid w:val="008E7932"/>
    <w:rsid w:val="008F01F3"/>
    <w:rsid w:val="008F3C4F"/>
    <w:rsid w:val="008F4778"/>
    <w:rsid w:val="008F5C12"/>
    <w:rsid w:val="008F5FA9"/>
    <w:rsid w:val="008F621E"/>
    <w:rsid w:val="00901B7D"/>
    <w:rsid w:val="009069DC"/>
    <w:rsid w:val="00907EA4"/>
    <w:rsid w:val="009128D0"/>
    <w:rsid w:val="0091391F"/>
    <w:rsid w:val="00914DDD"/>
    <w:rsid w:val="00914E7A"/>
    <w:rsid w:val="00915B01"/>
    <w:rsid w:val="00916447"/>
    <w:rsid w:val="00917B8E"/>
    <w:rsid w:val="00921379"/>
    <w:rsid w:val="00921CC3"/>
    <w:rsid w:val="00921DF3"/>
    <w:rsid w:val="009230C4"/>
    <w:rsid w:val="0092445A"/>
    <w:rsid w:val="0092474E"/>
    <w:rsid w:val="00927117"/>
    <w:rsid w:val="0093015B"/>
    <w:rsid w:val="009313C8"/>
    <w:rsid w:val="009330B2"/>
    <w:rsid w:val="00935F6C"/>
    <w:rsid w:val="00936163"/>
    <w:rsid w:val="0093620A"/>
    <w:rsid w:val="00936F7D"/>
    <w:rsid w:val="00937EFF"/>
    <w:rsid w:val="00937FB7"/>
    <w:rsid w:val="00942FD8"/>
    <w:rsid w:val="00945DF4"/>
    <w:rsid w:val="00945FCC"/>
    <w:rsid w:val="00946347"/>
    <w:rsid w:val="00946D1C"/>
    <w:rsid w:val="0095077B"/>
    <w:rsid w:val="00952C20"/>
    <w:rsid w:val="00954782"/>
    <w:rsid w:val="00955846"/>
    <w:rsid w:val="00955A98"/>
    <w:rsid w:val="00955CA9"/>
    <w:rsid w:val="009567DD"/>
    <w:rsid w:val="00956BFD"/>
    <w:rsid w:val="009623D1"/>
    <w:rsid w:val="00962E53"/>
    <w:rsid w:val="00963607"/>
    <w:rsid w:val="00964263"/>
    <w:rsid w:val="009642D5"/>
    <w:rsid w:val="00964A51"/>
    <w:rsid w:val="0097339B"/>
    <w:rsid w:val="00973FEC"/>
    <w:rsid w:val="00977574"/>
    <w:rsid w:val="00977862"/>
    <w:rsid w:val="00977AE8"/>
    <w:rsid w:val="00977B71"/>
    <w:rsid w:val="00983654"/>
    <w:rsid w:val="00983B32"/>
    <w:rsid w:val="00984533"/>
    <w:rsid w:val="0098590F"/>
    <w:rsid w:val="009869E1"/>
    <w:rsid w:val="00991ACC"/>
    <w:rsid w:val="0099252D"/>
    <w:rsid w:val="009A0ED0"/>
    <w:rsid w:val="009A0FB5"/>
    <w:rsid w:val="009A3728"/>
    <w:rsid w:val="009A3BDF"/>
    <w:rsid w:val="009A4380"/>
    <w:rsid w:val="009A454C"/>
    <w:rsid w:val="009A6E2A"/>
    <w:rsid w:val="009B029E"/>
    <w:rsid w:val="009B18F8"/>
    <w:rsid w:val="009B3A8D"/>
    <w:rsid w:val="009B4149"/>
    <w:rsid w:val="009B49D1"/>
    <w:rsid w:val="009B726A"/>
    <w:rsid w:val="009C0A7F"/>
    <w:rsid w:val="009C1ABB"/>
    <w:rsid w:val="009C2CC8"/>
    <w:rsid w:val="009C3074"/>
    <w:rsid w:val="009C6641"/>
    <w:rsid w:val="009C74E9"/>
    <w:rsid w:val="009D1755"/>
    <w:rsid w:val="009D3F9A"/>
    <w:rsid w:val="009D42C0"/>
    <w:rsid w:val="009D5263"/>
    <w:rsid w:val="009D5AE1"/>
    <w:rsid w:val="009D6D8F"/>
    <w:rsid w:val="009E281A"/>
    <w:rsid w:val="009E2B5C"/>
    <w:rsid w:val="009E3842"/>
    <w:rsid w:val="009F08BF"/>
    <w:rsid w:val="009F5338"/>
    <w:rsid w:val="009F6F12"/>
    <w:rsid w:val="009F70D7"/>
    <w:rsid w:val="00A001E3"/>
    <w:rsid w:val="00A01E2F"/>
    <w:rsid w:val="00A02431"/>
    <w:rsid w:val="00A031FD"/>
    <w:rsid w:val="00A047C0"/>
    <w:rsid w:val="00A053E3"/>
    <w:rsid w:val="00A053EA"/>
    <w:rsid w:val="00A05A9B"/>
    <w:rsid w:val="00A105BE"/>
    <w:rsid w:val="00A10B48"/>
    <w:rsid w:val="00A111E1"/>
    <w:rsid w:val="00A111F3"/>
    <w:rsid w:val="00A11547"/>
    <w:rsid w:val="00A1202D"/>
    <w:rsid w:val="00A15BB4"/>
    <w:rsid w:val="00A16B85"/>
    <w:rsid w:val="00A208E6"/>
    <w:rsid w:val="00A22C80"/>
    <w:rsid w:val="00A24A67"/>
    <w:rsid w:val="00A24F88"/>
    <w:rsid w:val="00A25828"/>
    <w:rsid w:val="00A25D0C"/>
    <w:rsid w:val="00A2765D"/>
    <w:rsid w:val="00A32F64"/>
    <w:rsid w:val="00A367B1"/>
    <w:rsid w:val="00A372E9"/>
    <w:rsid w:val="00A413CC"/>
    <w:rsid w:val="00A420EC"/>
    <w:rsid w:val="00A4249D"/>
    <w:rsid w:val="00A43337"/>
    <w:rsid w:val="00A4398A"/>
    <w:rsid w:val="00A43AA7"/>
    <w:rsid w:val="00A45041"/>
    <w:rsid w:val="00A45ABA"/>
    <w:rsid w:val="00A46460"/>
    <w:rsid w:val="00A47971"/>
    <w:rsid w:val="00A47D3C"/>
    <w:rsid w:val="00A502F8"/>
    <w:rsid w:val="00A5149D"/>
    <w:rsid w:val="00A5216D"/>
    <w:rsid w:val="00A56575"/>
    <w:rsid w:val="00A60B49"/>
    <w:rsid w:val="00A60DD8"/>
    <w:rsid w:val="00A644E6"/>
    <w:rsid w:val="00A64F7C"/>
    <w:rsid w:val="00A65EB4"/>
    <w:rsid w:val="00A67BCB"/>
    <w:rsid w:val="00A712D1"/>
    <w:rsid w:val="00A75201"/>
    <w:rsid w:val="00A77A2E"/>
    <w:rsid w:val="00A82C3C"/>
    <w:rsid w:val="00A839A2"/>
    <w:rsid w:val="00A83BB3"/>
    <w:rsid w:val="00A85BF8"/>
    <w:rsid w:val="00A90ECC"/>
    <w:rsid w:val="00A93309"/>
    <w:rsid w:val="00A94F44"/>
    <w:rsid w:val="00A9668F"/>
    <w:rsid w:val="00AA0B15"/>
    <w:rsid w:val="00AA1C96"/>
    <w:rsid w:val="00AA2DD2"/>
    <w:rsid w:val="00AA4CE6"/>
    <w:rsid w:val="00AA4DA0"/>
    <w:rsid w:val="00AA5197"/>
    <w:rsid w:val="00AA6AD5"/>
    <w:rsid w:val="00AA6CA7"/>
    <w:rsid w:val="00AA7017"/>
    <w:rsid w:val="00AA7E50"/>
    <w:rsid w:val="00AB136C"/>
    <w:rsid w:val="00AB15B5"/>
    <w:rsid w:val="00AB39AE"/>
    <w:rsid w:val="00AB420B"/>
    <w:rsid w:val="00AB7AA4"/>
    <w:rsid w:val="00AC28A5"/>
    <w:rsid w:val="00AC780E"/>
    <w:rsid w:val="00AD6D6A"/>
    <w:rsid w:val="00AE09E1"/>
    <w:rsid w:val="00AE0E86"/>
    <w:rsid w:val="00AE2326"/>
    <w:rsid w:val="00AE305D"/>
    <w:rsid w:val="00AE312B"/>
    <w:rsid w:val="00AE351A"/>
    <w:rsid w:val="00AE3DE4"/>
    <w:rsid w:val="00AE4489"/>
    <w:rsid w:val="00AE60DF"/>
    <w:rsid w:val="00AE6212"/>
    <w:rsid w:val="00AE689F"/>
    <w:rsid w:val="00AE706F"/>
    <w:rsid w:val="00AE7D93"/>
    <w:rsid w:val="00AF2CA8"/>
    <w:rsid w:val="00AF5F3F"/>
    <w:rsid w:val="00AF7AAE"/>
    <w:rsid w:val="00B00E79"/>
    <w:rsid w:val="00B02ABD"/>
    <w:rsid w:val="00B02BC4"/>
    <w:rsid w:val="00B02FCD"/>
    <w:rsid w:val="00B058B2"/>
    <w:rsid w:val="00B05BFC"/>
    <w:rsid w:val="00B0761B"/>
    <w:rsid w:val="00B119C2"/>
    <w:rsid w:val="00B149F2"/>
    <w:rsid w:val="00B1598A"/>
    <w:rsid w:val="00B168AF"/>
    <w:rsid w:val="00B16BC6"/>
    <w:rsid w:val="00B21960"/>
    <w:rsid w:val="00B22629"/>
    <w:rsid w:val="00B229E7"/>
    <w:rsid w:val="00B230C4"/>
    <w:rsid w:val="00B24AAA"/>
    <w:rsid w:val="00B24FAB"/>
    <w:rsid w:val="00B25156"/>
    <w:rsid w:val="00B255B0"/>
    <w:rsid w:val="00B26FEB"/>
    <w:rsid w:val="00B326A0"/>
    <w:rsid w:val="00B32FCC"/>
    <w:rsid w:val="00B33650"/>
    <w:rsid w:val="00B35361"/>
    <w:rsid w:val="00B35877"/>
    <w:rsid w:val="00B36F24"/>
    <w:rsid w:val="00B370BD"/>
    <w:rsid w:val="00B40EAE"/>
    <w:rsid w:val="00B425EB"/>
    <w:rsid w:val="00B432F2"/>
    <w:rsid w:val="00B43BD6"/>
    <w:rsid w:val="00B473FF"/>
    <w:rsid w:val="00B508CB"/>
    <w:rsid w:val="00B5279D"/>
    <w:rsid w:val="00B53C92"/>
    <w:rsid w:val="00B54063"/>
    <w:rsid w:val="00B54CFB"/>
    <w:rsid w:val="00B55229"/>
    <w:rsid w:val="00B564FF"/>
    <w:rsid w:val="00B62403"/>
    <w:rsid w:val="00B6333A"/>
    <w:rsid w:val="00B63A57"/>
    <w:rsid w:val="00B644CC"/>
    <w:rsid w:val="00B6461B"/>
    <w:rsid w:val="00B668AE"/>
    <w:rsid w:val="00B66D97"/>
    <w:rsid w:val="00B673E5"/>
    <w:rsid w:val="00B706FB"/>
    <w:rsid w:val="00B72820"/>
    <w:rsid w:val="00B7706D"/>
    <w:rsid w:val="00B82AF7"/>
    <w:rsid w:val="00B83935"/>
    <w:rsid w:val="00B848A0"/>
    <w:rsid w:val="00B869D8"/>
    <w:rsid w:val="00B8750A"/>
    <w:rsid w:val="00B87963"/>
    <w:rsid w:val="00B879C8"/>
    <w:rsid w:val="00B9082F"/>
    <w:rsid w:val="00B914E5"/>
    <w:rsid w:val="00B9185C"/>
    <w:rsid w:val="00B97BD3"/>
    <w:rsid w:val="00BA25CF"/>
    <w:rsid w:val="00BA3979"/>
    <w:rsid w:val="00BA3CC3"/>
    <w:rsid w:val="00BA4535"/>
    <w:rsid w:val="00BA4CE3"/>
    <w:rsid w:val="00BA5B8E"/>
    <w:rsid w:val="00BA71A6"/>
    <w:rsid w:val="00BB0B9C"/>
    <w:rsid w:val="00BB1693"/>
    <w:rsid w:val="00BB24C7"/>
    <w:rsid w:val="00BB2501"/>
    <w:rsid w:val="00BB7475"/>
    <w:rsid w:val="00BC4CEB"/>
    <w:rsid w:val="00BC529C"/>
    <w:rsid w:val="00BC5564"/>
    <w:rsid w:val="00BC5793"/>
    <w:rsid w:val="00BC68D4"/>
    <w:rsid w:val="00BC769B"/>
    <w:rsid w:val="00BD06D8"/>
    <w:rsid w:val="00BD1BF5"/>
    <w:rsid w:val="00BD2E8F"/>
    <w:rsid w:val="00BD5B6B"/>
    <w:rsid w:val="00BD6029"/>
    <w:rsid w:val="00BD6836"/>
    <w:rsid w:val="00BD7775"/>
    <w:rsid w:val="00BE1F26"/>
    <w:rsid w:val="00BE250C"/>
    <w:rsid w:val="00BE45B4"/>
    <w:rsid w:val="00BE63FF"/>
    <w:rsid w:val="00BF05C8"/>
    <w:rsid w:val="00BF0DF3"/>
    <w:rsid w:val="00BF1BAD"/>
    <w:rsid w:val="00BF1DCC"/>
    <w:rsid w:val="00BF2212"/>
    <w:rsid w:val="00BF306A"/>
    <w:rsid w:val="00BF61A6"/>
    <w:rsid w:val="00C00948"/>
    <w:rsid w:val="00C0140C"/>
    <w:rsid w:val="00C01827"/>
    <w:rsid w:val="00C021D0"/>
    <w:rsid w:val="00C02B48"/>
    <w:rsid w:val="00C032AD"/>
    <w:rsid w:val="00C04870"/>
    <w:rsid w:val="00C04FEB"/>
    <w:rsid w:val="00C06329"/>
    <w:rsid w:val="00C06A6E"/>
    <w:rsid w:val="00C11DB3"/>
    <w:rsid w:val="00C12F65"/>
    <w:rsid w:val="00C20530"/>
    <w:rsid w:val="00C26CE4"/>
    <w:rsid w:val="00C303E5"/>
    <w:rsid w:val="00C30867"/>
    <w:rsid w:val="00C30DEA"/>
    <w:rsid w:val="00C31C94"/>
    <w:rsid w:val="00C336AB"/>
    <w:rsid w:val="00C342A1"/>
    <w:rsid w:val="00C34D54"/>
    <w:rsid w:val="00C439C1"/>
    <w:rsid w:val="00C515D1"/>
    <w:rsid w:val="00C515E5"/>
    <w:rsid w:val="00C51D48"/>
    <w:rsid w:val="00C557F2"/>
    <w:rsid w:val="00C560AE"/>
    <w:rsid w:val="00C5720A"/>
    <w:rsid w:val="00C5740F"/>
    <w:rsid w:val="00C64346"/>
    <w:rsid w:val="00C64554"/>
    <w:rsid w:val="00C6537C"/>
    <w:rsid w:val="00C66274"/>
    <w:rsid w:val="00C668C5"/>
    <w:rsid w:val="00C67E42"/>
    <w:rsid w:val="00C7275B"/>
    <w:rsid w:val="00C75782"/>
    <w:rsid w:val="00C82AAD"/>
    <w:rsid w:val="00C82B2E"/>
    <w:rsid w:val="00C82F90"/>
    <w:rsid w:val="00C85847"/>
    <w:rsid w:val="00C85F9D"/>
    <w:rsid w:val="00C862E6"/>
    <w:rsid w:val="00C86629"/>
    <w:rsid w:val="00C86CAE"/>
    <w:rsid w:val="00C90B22"/>
    <w:rsid w:val="00C932DE"/>
    <w:rsid w:val="00C963D9"/>
    <w:rsid w:val="00C96D7A"/>
    <w:rsid w:val="00CA04C4"/>
    <w:rsid w:val="00CA268F"/>
    <w:rsid w:val="00CA2E7D"/>
    <w:rsid w:val="00CB15C1"/>
    <w:rsid w:val="00CB270D"/>
    <w:rsid w:val="00CB2C05"/>
    <w:rsid w:val="00CB31EC"/>
    <w:rsid w:val="00CB4BF6"/>
    <w:rsid w:val="00CB50C3"/>
    <w:rsid w:val="00CB6449"/>
    <w:rsid w:val="00CC3641"/>
    <w:rsid w:val="00CC3F33"/>
    <w:rsid w:val="00CC68AE"/>
    <w:rsid w:val="00CD12EB"/>
    <w:rsid w:val="00CD2084"/>
    <w:rsid w:val="00CD3D71"/>
    <w:rsid w:val="00CD60CF"/>
    <w:rsid w:val="00CD7F71"/>
    <w:rsid w:val="00CE15BD"/>
    <w:rsid w:val="00CE20A1"/>
    <w:rsid w:val="00CE2FDA"/>
    <w:rsid w:val="00CE3611"/>
    <w:rsid w:val="00CE6B38"/>
    <w:rsid w:val="00CE7E6D"/>
    <w:rsid w:val="00CF06C2"/>
    <w:rsid w:val="00CF0B88"/>
    <w:rsid w:val="00CF0F23"/>
    <w:rsid w:val="00CF103F"/>
    <w:rsid w:val="00CF3DAD"/>
    <w:rsid w:val="00D00D0D"/>
    <w:rsid w:val="00D00D66"/>
    <w:rsid w:val="00D01834"/>
    <w:rsid w:val="00D03AD0"/>
    <w:rsid w:val="00D042E4"/>
    <w:rsid w:val="00D045E7"/>
    <w:rsid w:val="00D05AD5"/>
    <w:rsid w:val="00D05D3E"/>
    <w:rsid w:val="00D06DD5"/>
    <w:rsid w:val="00D100A7"/>
    <w:rsid w:val="00D102A2"/>
    <w:rsid w:val="00D10332"/>
    <w:rsid w:val="00D11B34"/>
    <w:rsid w:val="00D1419B"/>
    <w:rsid w:val="00D15D8F"/>
    <w:rsid w:val="00D16DC8"/>
    <w:rsid w:val="00D17DB6"/>
    <w:rsid w:val="00D21ED9"/>
    <w:rsid w:val="00D22122"/>
    <w:rsid w:val="00D22602"/>
    <w:rsid w:val="00D233FC"/>
    <w:rsid w:val="00D25689"/>
    <w:rsid w:val="00D310AA"/>
    <w:rsid w:val="00D327EB"/>
    <w:rsid w:val="00D40AC3"/>
    <w:rsid w:val="00D4190A"/>
    <w:rsid w:val="00D4313C"/>
    <w:rsid w:val="00D43EAF"/>
    <w:rsid w:val="00D4415B"/>
    <w:rsid w:val="00D52624"/>
    <w:rsid w:val="00D54EBB"/>
    <w:rsid w:val="00D55695"/>
    <w:rsid w:val="00D56C2C"/>
    <w:rsid w:val="00D62F85"/>
    <w:rsid w:val="00D63CAE"/>
    <w:rsid w:val="00D65177"/>
    <w:rsid w:val="00D6611F"/>
    <w:rsid w:val="00D67404"/>
    <w:rsid w:val="00D67533"/>
    <w:rsid w:val="00D71B21"/>
    <w:rsid w:val="00D72325"/>
    <w:rsid w:val="00D72459"/>
    <w:rsid w:val="00D72CA4"/>
    <w:rsid w:val="00D73C04"/>
    <w:rsid w:val="00D73FD5"/>
    <w:rsid w:val="00D768BC"/>
    <w:rsid w:val="00D76B75"/>
    <w:rsid w:val="00D77FA6"/>
    <w:rsid w:val="00D80889"/>
    <w:rsid w:val="00D81D9B"/>
    <w:rsid w:val="00D8308C"/>
    <w:rsid w:val="00D84B15"/>
    <w:rsid w:val="00D86E69"/>
    <w:rsid w:val="00D87151"/>
    <w:rsid w:val="00D902E5"/>
    <w:rsid w:val="00D9036D"/>
    <w:rsid w:val="00D91307"/>
    <w:rsid w:val="00D921A2"/>
    <w:rsid w:val="00D929BD"/>
    <w:rsid w:val="00D94318"/>
    <w:rsid w:val="00D95AC0"/>
    <w:rsid w:val="00D9708E"/>
    <w:rsid w:val="00DA00F2"/>
    <w:rsid w:val="00DA080D"/>
    <w:rsid w:val="00DA102C"/>
    <w:rsid w:val="00DA1F98"/>
    <w:rsid w:val="00DA262C"/>
    <w:rsid w:val="00DA3475"/>
    <w:rsid w:val="00DA475F"/>
    <w:rsid w:val="00DA4E85"/>
    <w:rsid w:val="00DA72E4"/>
    <w:rsid w:val="00DB1939"/>
    <w:rsid w:val="00DB4B23"/>
    <w:rsid w:val="00DB4FEE"/>
    <w:rsid w:val="00DC10D2"/>
    <w:rsid w:val="00DC1300"/>
    <w:rsid w:val="00DC2266"/>
    <w:rsid w:val="00DC3777"/>
    <w:rsid w:val="00DC4539"/>
    <w:rsid w:val="00DC49C9"/>
    <w:rsid w:val="00DC5A83"/>
    <w:rsid w:val="00DC7DD5"/>
    <w:rsid w:val="00DD1CA3"/>
    <w:rsid w:val="00DD2447"/>
    <w:rsid w:val="00DD6444"/>
    <w:rsid w:val="00DD6764"/>
    <w:rsid w:val="00DD7AAB"/>
    <w:rsid w:val="00DE0AB0"/>
    <w:rsid w:val="00DE1331"/>
    <w:rsid w:val="00DE1713"/>
    <w:rsid w:val="00DE2969"/>
    <w:rsid w:val="00DE29BA"/>
    <w:rsid w:val="00DE2B9F"/>
    <w:rsid w:val="00DE607F"/>
    <w:rsid w:val="00DE6A8D"/>
    <w:rsid w:val="00DF0084"/>
    <w:rsid w:val="00DF2C9F"/>
    <w:rsid w:val="00DF4048"/>
    <w:rsid w:val="00DF67B5"/>
    <w:rsid w:val="00DF6DA8"/>
    <w:rsid w:val="00E00B27"/>
    <w:rsid w:val="00E01504"/>
    <w:rsid w:val="00E0587D"/>
    <w:rsid w:val="00E05E5F"/>
    <w:rsid w:val="00E07903"/>
    <w:rsid w:val="00E10C91"/>
    <w:rsid w:val="00E1271F"/>
    <w:rsid w:val="00E152DA"/>
    <w:rsid w:val="00E1544A"/>
    <w:rsid w:val="00E164DB"/>
    <w:rsid w:val="00E17DB0"/>
    <w:rsid w:val="00E20749"/>
    <w:rsid w:val="00E21356"/>
    <w:rsid w:val="00E22076"/>
    <w:rsid w:val="00E22B30"/>
    <w:rsid w:val="00E236EB"/>
    <w:rsid w:val="00E23E63"/>
    <w:rsid w:val="00E24FA9"/>
    <w:rsid w:val="00E261C2"/>
    <w:rsid w:val="00E32D83"/>
    <w:rsid w:val="00E351FE"/>
    <w:rsid w:val="00E37505"/>
    <w:rsid w:val="00E37A1E"/>
    <w:rsid w:val="00E4003D"/>
    <w:rsid w:val="00E4295C"/>
    <w:rsid w:val="00E42CDC"/>
    <w:rsid w:val="00E4577C"/>
    <w:rsid w:val="00E46183"/>
    <w:rsid w:val="00E500D9"/>
    <w:rsid w:val="00E517CB"/>
    <w:rsid w:val="00E53209"/>
    <w:rsid w:val="00E53644"/>
    <w:rsid w:val="00E53A57"/>
    <w:rsid w:val="00E54435"/>
    <w:rsid w:val="00E60DAD"/>
    <w:rsid w:val="00E61C7D"/>
    <w:rsid w:val="00E623DE"/>
    <w:rsid w:val="00E62543"/>
    <w:rsid w:val="00E64080"/>
    <w:rsid w:val="00E641E3"/>
    <w:rsid w:val="00E65608"/>
    <w:rsid w:val="00E7059A"/>
    <w:rsid w:val="00E71230"/>
    <w:rsid w:val="00E7132C"/>
    <w:rsid w:val="00E71D50"/>
    <w:rsid w:val="00E742C7"/>
    <w:rsid w:val="00E74F7C"/>
    <w:rsid w:val="00E74FA2"/>
    <w:rsid w:val="00E75C83"/>
    <w:rsid w:val="00E765FE"/>
    <w:rsid w:val="00E76F77"/>
    <w:rsid w:val="00E773CC"/>
    <w:rsid w:val="00E77C24"/>
    <w:rsid w:val="00E81269"/>
    <w:rsid w:val="00E824A7"/>
    <w:rsid w:val="00E82C30"/>
    <w:rsid w:val="00E831E3"/>
    <w:rsid w:val="00E85084"/>
    <w:rsid w:val="00E902D0"/>
    <w:rsid w:val="00E90459"/>
    <w:rsid w:val="00E90ADB"/>
    <w:rsid w:val="00E931B9"/>
    <w:rsid w:val="00E9334F"/>
    <w:rsid w:val="00E93647"/>
    <w:rsid w:val="00E958C1"/>
    <w:rsid w:val="00E9678F"/>
    <w:rsid w:val="00E97D9E"/>
    <w:rsid w:val="00EA165C"/>
    <w:rsid w:val="00EA1E59"/>
    <w:rsid w:val="00EA2E49"/>
    <w:rsid w:val="00EA5E52"/>
    <w:rsid w:val="00EA7FE7"/>
    <w:rsid w:val="00EB1955"/>
    <w:rsid w:val="00EB382C"/>
    <w:rsid w:val="00EB4797"/>
    <w:rsid w:val="00EB4F70"/>
    <w:rsid w:val="00EB51AB"/>
    <w:rsid w:val="00EB6FA1"/>
    <w:rsid w:val="00EC0C45"/>
    <w:rsid w:val="00EC0D60"/>
    <w:rsid w:val="00EC16C6"/>
    <w:rsid w:val="00EC18E5"/>
    <w:rsid w:val="00EC2E57"/>
    <w:rsid w:val="00EC6608"/>
    <w:rsid w:val="00EC76AE"/>
    <w:rsid w:val="00ED0FA9"/>
    <w:rsid w:val="00ED16D4"/>
    <w:rsid w:val="00ED2B22"/>
    <w:rsid w:val="00ED3F31"/>
    <w:rsid w:val="00ED412B"/>
    <w:rsid w:val="00ED5420"/>
    <w:rsid w:val="00ED66C4"/>
    <w:rsid w:val="00ED67B9"/>
    <w:rsid w:val="00ED6BCC"/>
    <w:rsid w:val="00EE177D"/>
    <w:rsid w:val="00EE19E3"/>
    <w:rsid w:val="00EE22A0"/>
    <w:rsid w:val="00EE701D"/>
    <w:rsid w:val="00EF0129"/>
    <w:rsid w:val="00EF1569"/>
    <w:rsid w:val="00EF2C09"/>
    <w:rsid w:val="00EF38FD"/>
    <w:rsid w:val="00EF3B72"/>
    <w:rsid w:val="00F01E88"/>
    <w:rsid w:val="00F02DBB"/>
    <w:rsid w:val="00F0355D"/>
    <w:rsid w:val="00F03ECE"/>
    <w:rsid w:val="00F041CE"/>
    <w:rsid w:val="00F04858"/>
    <w:rsid w:val="00F0632D"/>
    <w:rsid w:val="00F07C93"/>
    <w:rsid w:val="00F10807"/>
    <w:rsid w:val="00F10BFE"/>
    <w:rsid w:val="00F13775"/>
    <w:rsid w:val="00F13A07"/>
    <w:rsid w:val="00F14654"/>
    <w:rsid w:val="00F1583E"/>
    <w:rsid w:val="00F16B26"/>
    <w:rsid w:val="00F23069"/>
    <w:rsid w:val="00F230C5"/>
    <w:rsid w:val="00F24289"/>
    <w:rsid w:val="00F257B6"/>
    <w:rsid w:val="00F2647D"/>
    <w:rsid w:val="00F273F3"/>
    <w:rsid w:val="00F31453"/>
    <w:rsid w:val="00F314FE"/>
    <w:rsid w:val="00F3487E"/>
    <w:rsid w:val="00F34FEE"/>
    <w:rsid w:val="00F36858"/>
    <w:rsid w:val="00F4077E"/>
    <w:rsid w:val="00F43202"/>
    <w:rsid w:val="00F43B3C"/>
    <w:rsid w:val="00F43F98"/>
    <w:rsid w:val="00F445E6"/>
    <w:rsid w:val="00F44CF4"/>
    <w:rsid w:val="00F45977"/>
    <w:rsid w:val="00F46460"/>
    <w:rsid w:val="00F473D1"/>
    <w:rsid w:val="00F50317"/>
    <w:rsid w:val="00F51A83"/>
    <w:rsid w:val="00F51AC8"/>
    <w:rsid w:val="00F51E2A"/>
    <w:rsid w:val="00F51F5C"/>
    <w:rsid w:val="00F5484C"/>
    <w:rsid w:val="00F55AFE"/>
    <w:rsid w:val="00F57DEF"/>
    <w:rsid w:val="00F6243A"/>
    <w:rsid w:val="00F62DCD"/>
    <w:rsid w:val="00F64C2A"/>
    <w:rsid w:val="00F662F9"/>
    <w:rsid w:val="00F72D18"/>
    <w:rsid w:val="00F7390A"/>
    <w:rsid w:val="00F74AAA"/>
    <w:rsid w:val="00F760DD"/>
    <w:rsid w:val="00F8400C"/>
    <w:rsid w:val="00F84656"/>
    <w:rsid w:val="00F84FD8"/>
    <w:rsid w:val="00F85A25"/>
    <w:rsid w:val="00F869F2"/>
    <w:rsid w:val="00F877EE"/>
    <w:rsid w:val="00F90365"/>
    <w:rsid w:val="00F90551"/>
    <w:rsid w:val="00F94A99"/>
    <w:rsid w:val="00F95E22"/>
    <w:rsid w:val="00F964DA"/>
    <w:rsid w:val="00F965FA"/>
    <w:rsid w:val="00F96ED9"/>
    <w:rsid w:val="00FA0BA0"/>
    <w:rsid w:val="00FA1305"/>
    <w:rsid w:val="00FA1E8B"/>
    <w:rsid w:val="00FA4BC7"/>
    <w:rsid w:val="00FA55A7"/>
    <w:rsid w:val="00FA567A"/>
    <w:rsid w:val="00FB02DE"/>
    <w:rsid w:val="00FB283B"/>
    <w:rsid w:val="00FB5D99"/>
    <w:rsid w:val="00FB65FD"/>
    <w:rsid w:val="00FC51BB"/>
    <w:rsid w:val="00FC5631"/>
    <w:rsid w:val="00FC6293"/>
    <w:rsid w:val="00FC64C6"/>
    <w:rsid w:val="00FC7FE4"/>
    <w:rsid w:val="00FD02DD"/>
    <w:rsid w:val="00FD6167"/>
    <w:rsid w:val="00FD6DAA"/>
    <w:rsid w:val="00FE1BF6"/>
    <w:rsid w:val="00FE3DC1"/>
    <w:rsid w:val="00FE3FD1"/>
    <w:rsid w:val="00FE6E57"/>
    <w:rsid w:val="00FE714F"/>
    <w:rsid w:val="00FF0729"/>
    <w:rsid w:val="00FF0BED"/>
    <w:rsid w:val="00FF0D66"/>
    <w:rsid w:val="00FF2588"/>
    <w:rsid w:val="00FF6083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306C00"/>
  <w14:defaultImageDpi w14:val="32767"/>
  <w15:chartTrackingRefBased/>
  <w15:docId w15:val="{893C3F8E-EFFA-1B47-86C7-8A4BAFF9F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347740"/>
    <w:rPr>
      <w:rFonts w:ascii="Cambria" w:hAnsi="Cambria"/>
    </w:rPr>
  </w:style>
  <w:style w:type="character" w:default="1" w:styleId="Absatz-Standardschriftart">
    <w:name w:val="Default Paragraph Font"/>
    <w:uiPriority w:val="1"/>
    <w:unhideWhenUsed/>
    <w:rsid w:val="00347740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347740"/>
  </w:style>
  <w:style w:type="paragraph" w:styleId="Kopfzeile">
    <w:name w:val="header"/>
    <w:basedOn w:val="Standard"/>
    <w:link w:val="KopfzeileZchn"/>
    <w:uiPriority w:val="99"/>
    <w:unhideWhenUsed/>
    <w:rsid w:val="003477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7740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rsid w:val="003477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7740"/>
    <w:rPr>
      <w:rFonts w:ascii="Cambria" w:hAnsi="Cambria"/>
    </w:rPr>
  </w:style>
  <w:style w:type="character" w:styleId="Seitenzahl">
    <w:name w:val="page number"/>
    <w:basedOn w:val="Absatz-Standardschriftart"/>
    <w:uiPriority w:val="99"/>
    <w:semiHidden/>
    <w:unhideWhenUsed/>
    <w:rsid w:val="00347740"/>
  </w:style>
  <w:style w:type="paragraph" w:styleId="Listenabsatz">
    <w:name w:val="List Paragraph"/>
    <w:basedOn w:val="Standard"/>
    <w:uiPriority w:val="34"/>
    <w:qFormat/>
    <w:rsid w:val="00347740"/>
    <w:pPr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unhideWhenUsed/>
    <w:qFormat/>
    <w:rsid w:val="00347740"/>
    <w:rPr>
      <w:rFonts w:eastAsia="Cambria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47740"/>
    <w:rPr>
      <w:rFonts w:ascii="Cambria" w:eastAsia="Cambria" w:hAnsi="Cambria" w:cs="Times New Roman"/>
      <w:sz w:val="20"/>
      <w:szCs w:val="20"/>
    </w:rPr>
  </w:style>
  <w:style w:type="paragraph" w:customStyle="1" w:styleId="Text">
    <w:name w:val="Text"/>
    <w:rsid w:val="00347740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both"/>
    </w:pPr>
    <w:rPr>
      <w:rFonts w:ascii="Arial" w:eastAsia="Arial Unicode MS" w:hAnsi="Arial" w:cs="Arial Unicode MS"/>
      <w:color w:val="000000"/>
      <w:bdr w:val="nil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774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7740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47740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4774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47740"/>
    <w:rPr>
      <w:rFonts w:ascii="Cambria" w:eastAsia="Cambria" w:hAnsi="Cambria" w:cs="Times New Roman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347740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347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47740"/>
    <w:rPr>
      <w:color w:val="954F72" w:themeColor="followedHyperlink"/>
      <w:u w:val="single"/>
    </w:rPr>
  </w:style>
  <w:style w:type="paragraph" w:customStyle="1" w:styleId="EndNoteBibliographyTitle">
    <w:name w:val="EndNote Bibliography Title"/>
    <w:basedOn w:val="Standard"/>
    <w:link w:val="EndNoteBibliographyTitleZchn"/>
    <w:rsid w:val="00347740"/>
    <w:pPr>
      <w:jc w:val="center"/>
    </w:pPr>
    <w:rPr>
      <w:rFonts w:ascii="Arial" w:hAnsi="Arial" w:cs="Arial"/>
      <w:sz w:val="20"/>
      <w:lang w:val="en-US"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347740"/>
    <w:rPr>
      <w:rFonts w:ascii="Arial" w:hAnsi="Arial" w:cs="Arial"/>
      <w:sz w:val="20"/>
      <w:lang w:val="en-US"/>
    </w:rPr>
  </w:style>
  <w:style w:type="paragraph" w:customStyle="1" w:styleId="EndNoteBibliography">
    <w:name w:val="EndNote Bibliography"/>
    <w:basedOn w:val="Standard"/>
    <w:link w:val="EndNoteBibliographyZchn"/>
    <w:rsid w:val="00347740"/>
    <w:pPr>
      <w:jc w:val="both"/>
    </w:pPr>
    <w:rPr>
      <w:rFonts w:ascii="Arial" w:hAnsi="Arial" w:cs="Arial"/>
      <w:sz w:val="20"/>
      <w:lang w:val="en-US"/>
    </w:rPr>
  </w:style>
  <w:style w:type="character" w:customStyle="1" w:styleId="EndNoteBibliographyZchn">
    <w:name w:val="EndNote Bibliography Zchn"/>
    <w:basedOn w:val="Absatz-Standardschriftart"/>
    <w:link w:val="EndNoteBibliography"/>
    <w:rsid w:val="00347740"/>
    <w:rPr>
      <w:rFonts w:ascii="Arial" w:hAnsi="Arial" w:cs="Arial"/>
      <w:sz w:val="20"/>
      <w:lang w:val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doi">
    <w:name w:val="doi"/>
    <w:basedOn w:val="Absatz-Standardschriftart"/>
    <w:rsid w:val="00347740"/>
  </w:style>
  <w:style w:type="paragraph" w:styleId="berarbeitung">
    <w:name w:val="Revision"/>
    <w:hidden/>
    <w:uiPriority w:val="99"/>
    <w:semiHidden/>
    <w:rsid w:val="00347740"/>
    <w:rPr>
      <w:rFonts w:ascii="Cambria" w:hAnsi="Cambria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paragraph" w:customStyle="1" w:styleId="bodytext">
    <w:name w:val="bodytext"/>
    <w:basedOn w:val="Standard"/>
    <w:rsid w:val="003477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347740"/>
    <w:rPr>
      <w:b/>
      <w:bCs/>
    </w:rPr>
  </w:style>
  <w:style w:type="paragraph" w:styleId="StandardWeb">
    <w:name w:val="Normal (Web)"/>
    <w:basedOn w:val="Standard"/>
    <w:uiPriority w:val="99"/>
    <w:unhideWhenUsed/>
    <w:rsid w:val="0034774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paragraph" w:styleId="Aufzhlungszeichen">
    <w:name w:val="List Bullet"/>
    <w:basedOn w:val="Standard"/>
    <w:uiPriority w:val="99"/>
    <w:unhideWhenUsed/>
    <w:rsid w:val="00347740"/>
    <w:pPr>
      <w:numPr>
        <w:numId w:val="4"/>
      </w:numPr>
      <w:contextualSpacing/>
    </w:p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UnresolvedMention3">
    <w:name w:val="Unresolved Mention3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semiHidden/>
    <w:unhideWhenUsed/>
    <w:rsid w:val="00347740"/>
    <w:rPr>
      <w:rFonts w:ascii="Calibri" w:hAnsi="Calibri"/>
      <w:sz w:val="22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47740"/>
    <w:rPr>
      <w:rFonts w:ascii="Calibri" w:hAnsi="Calibri"/>
      <w:sz w:val="22"/>
      <w:szCs w:val="21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347740"/>
  </w:style>
  <w:style w:type="table" w:customStyle="1" w:styleId="TableGrid">
    <w:name w:val="TableGrid"/>
    <w:rsid w:val="00347740"/>
    <w:rPr>
      <w:rFonts w:eastAsiaTheme="minorEastAsia"/>
      <w:sz w:val="22"/>
      <w:szCs w:val="22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EinfacheTabelle31">
    <w:name w:val="Einfache Tabelle 31"/>
    <w:basedOn w:val="NormaleTabelle"/>
    <w:uiPriority w:val="43"/>
    <w:rsid w:val="00347740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table" w:customStyle="1" w:styleId="PlainTable31">
    <w:name w:val="Plain Table 31"/>
    <w:basedOn w:val="NormaleTabelle"/>
    <w:uiPriority w:val="43"/>
    <w:rsid w:val="00347740"/>
    <w:rPr>
      <w:sz w:val="22"/>
      <w:szCs w:val="22"/>
    </w:rPr>
    <w:tblPr>
      <w:tblStyleRowBandSize w:val="1"/>
      <w:tblStyleColBandSize w:val="1"/>
      <w:tblInd w:w="0" w:type="nil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347740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unhideWhenUsed/>
    <w:rsid w:val="003477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cid:ii_k8pof3ex4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1972</Words>
  <Characters>12424</Characters>
  <Application>Microsoft Office Word</Application>
  <DocSecurity>0</DocSecurity>
  <Lines>103</Lines>
  <Paragraphs>28</Paragraphs>
  <ScaleCrop>false</ScaleCrop>
  <Company/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Nenadic</dc:creator>
  <cp:keywords/>
  <dc:description/>
  <cp:lastModifiedBy>Igor Nenadic</cp:lastModifiedBy>
  <cp:revision>2</cp:revision>
  <dcterms:created xsi:type="dcterms:W3CDTF">2020-07-13T17:07:00Z</dcterms:created>
  <dcterms:modified xsi:type="dcterms:W3CDTF">2020-07-13T17:09:00Z</dcterms:modified>
</cp:coreProperties>
</file>