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6DD4" w14:textId="77777777" w:rsidR="000F3F99" w:rsidRPr="0006521C" w:rsidRDefault="000F3F99" w:rsidP="000F3F99">
      <w:pPr>
        <w:pStyle w:val="Heading1"/>
      </w:pPr>
      <w:bookmarkStart w:id="0" w:name="_GoBack"/>
      <w:bookmarkEnd w:id="0"/>
      <w:r>
        <w:rPr>
          <w:lang w:val="en-GB"/>
        </w:rPr>
        <w:t xml:space="preserve">Victimisation Experiences Schedule </w:t>
      </w:r>
      <w:r w:rsidR="007D6341">
        <w:rPr>
          <w:lang w:val="en-GB"/>
        </w:rPr>
        <w:t>items</w:t>
      </w:r>
    </w:p>
    <w:p w14:paraId="77521C5A" w14:textId="77777777" w:rsidR="007D6341" w:rsidRDefault="007D6341" w:rsidP="000F3F99">
      <w:r>
        <w:t xml:space="preserve">Items for the individual VES subscales can be found in Table 1.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6506"/>
      </w:tblGrid>
      <w:tr w:rsidR="007D6341" w14:paraId="15124907" w14:textId="77777777" w:rsidTr="007D6341"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14:paraId="2416ADB2" w14:textId="77777777" w:rsidR="007D6341" w:rsidRPr="007D6341" w:rsidRDefault="007D6341" w:rsidP="007D6341">
            <w:pPr>
              <w:spacing w:after="0"/>
              <w:rPr>
                <w:b/>
              </w:rPr>
            </w:pPr>
            <w:r>
              <w:rPr>
                <w:b/>
              </w:rPr>
              <w:t xml:space="preserve">Table 1 – </w:t>
            </w:r>
            <w:r w:rsidRPr="007D6341">
              <w:t>VES subscales</w:t>
            </w:r>
          </w:p>
        </w:tc>
      </w:tr>
      <w:tr w:rsidR="007D6341" w14:paraId="000AE45E" w14:textId="77777777" w:rsidTr="007D6341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85054" w14:textId="77777777" w:rsidR="007D6341" w:rsidRPr="007D6341" w:rsidRDefault="007D6341" w:rsidP="007D6341">
            <w:pPr>
              <w:spacing w:after="0"/>
              <w:rPr>
                <w:b/>
              </w:rPr>
            </w:pPr>
            <w:r w:rsidRPr="007D6341">
              <w:rPr>
                <w:b/>
              </w:rPr>
              <w:t>Victimisation Type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EAEF5" w14:textId="77777777" w:rsidR="007D6341" w:rsidRPr="007D6341" w:rsidRDefault="007D6341" w:rsidP="007D6341">
            <w:pPr>
              <w:spacing w:after="0"/>
              <w:rPr>
                <w:b/>
              </w:rPr>
            </w:pPr>
            <w:r w:rsidRPr="007D6341">
              <w:rPr>
                <w:b/>
              </w:rPr>
              <w:t>Victimisation event</w:t>
            </w:r>
          </w:p>
        </w:tc>
      </w:tr>
      <w:tr w:rsidR="007D6341" w14:paraId="477DC53D" w14:textId="77777777" w:rsidTr="007D6341">
        <w:tc>
          <w:tcPr>
            <w:tcW w:w="0" w:type="auto"/>
            <w:tcBorders>
              <w:top w:val="single" w:sz="12" w:space="0" w:color="auto"/>
            </w:tcBorders>
          </w:tcPr>
          <w:p w14:paraId="3CE7AB43" w14:textId="77777777" w:rsidR="007D6341" w:rsidRDefault="007D6341" w:rsidP="007D6341">
            <w:pPr>
              <w:spacing w:after="0"/>
            </w:pPr>
            <w:r>
              <w:t>Sexual victimisation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A1FD43" w14:textId="77777777" w:rsidR="007D6341" w:rsidRDefault="007D6341" w:rsidP="007D6341">
            <w:pPr>
              <w:spacing w:after="0"/>
            </w:pPr>
            <w:r>
              <w:t>Upsetting sexual experience</w:t>
            </w:r>
          </w:p>
        </w:tc>
      </w:tr>
      <w:tr w:rsidR="007D6341" w14:paraId="6B3EF801" w14:textId="77777777" w:rsidTr="007D6341">
        <w:tc>
          <w:tcPr>
            <w:tcW w:w="0" w:type="auto"/>
          </w:tcPr>
          <w:p w14:paraId="3F047D17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2A3FC395" w14:textId="77777777" w:rsidR="007D6341" w:rsidRDefault="007D6341" w:rsidP="007D6341">
            <w:pPr>
              <w:spacing w:after="0"/>
            </w:pPr>
            <w:r>
              <w:t>Unwanted sexual intercourse</w:t>
            </w:r>
          </w:p>
        </w:tc>
      </w:tr>
      <w:tr w:rsidR="007D6341" w14:paraId="2822C13D" w14:textId="77777777" w:rsidTr="007D6341">
        <w:tc>
          <w:tcPr>
            <w:tcW w:w="0" w:type="auto"/>
          </w:tcPr>
          <w:p w14:paraId="69BD2623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186CFC96" w14:textId="77777777" w:rsidR="007D6341" w:rsidRDefault="007D6341" w:rsidP="007D6341">
            <w:pPr>
              <w:spacing w:after="0"/>
            </w:pPr>
            <w:r>
              <w:t>Unwanted sexual contact due to physical force or threat of force</w:t>
            </w:r>
          </w:p>
        </w:tc>
      </w:tr>
      <w:tr w:rsidR="007D6341" w14:paraId="6777011C" w14:textId="77777777" w:rsidTr="007D6341">
        <w:tc>
          <w:tcPr>
            <w:tcW w:w="0" w:type="auto"/>
          </w:tcPr>
          <w:p w14:paraId="585C0438" w14:textId="77777777" w:rsidR="007D6341" w:rsidRDefault="007D6341" w:rsidP="007D6341">
            <w:pPr>
              <w:spacing w:after="0"/>
            </w:pPr>
            <w:r>
              <w:t>Non-sexual victimisation</w:t>
            </w:r>
          </w:p>
        </w:tc>
        <w:tc>
          <w:tcPr>
            <w:tcW w:w="0" w:type="auto"/>
          </w:tcPr>
          <w:p w14:paraId="5D1AC7FC" w14:textId="77777777" w:rsidR="007D6341" w:rsidRDefault="007D6341" w:rsidP="007D6341">
            <w:pPr>
              <w:spacing w:after="0"/>
            </w:pPr>
            <w:r>
              <w:t>Bullying</w:t>
            </w:r>
          </w:p>
        </w:tc>
      </w:tr>
      <w:tr w:rsidR="007D6341" w14:paraId="2F058073" w14:textId="77777777" w:rsidTr="007D6341">
        <w:tc>
          <w:tcPr>
            <w:tcW w:w="0" w:type="auto"/>
          </w:tcPr>
          <w:p w14:paraId="5B7284F5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53639986" w14:textId="77777777" w:rsidR="007D6341" w:rsidRDefault="007D6341" w:rsidP="007D6341">
            <w:pPr>
              <w:spacing w:after="0"/>
            </w:pPr>
            <w:r>
              <w:t>Psychological abuse</w:t>
            </w:r>
          </w:p>
        </w:tc>
      </w:tr>
      <w:tr w:rsidR="007D6341" w14:paraId="2B6EDCE3" w14:textId="77777777" w:rsidTr="007D6341">
        <w:tc>
          <w:tcPr>
            <w:tcW w:w="0" w:type="auto"/>
          </w:tcPr>
          <w:p w14:paraId="011D7C4B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63360BC8" w14:textId="77777777" w:rsidR="007D6341" w:rsidRDefault="007D6341" w:rsidP="007D6341">
            <w:pPr>
              <w:spacing w:after="0"/>
            </w:pPr>
            <w:r>
              <w:t>Physical abuse</w:t>
            </w:r>
          </w:p>
        </w:tc>
      </w:tr>
      <w:tr w:rsidR="007D6341" w14:paraId="4014732C" w14:textId="77777777" w:rsidTr="007D6341">
        <w:tc>
          <w:tcPr>
            <w:tcW w:w="0" w:type="auto"/>
          </w:tcPr>
          <w:p w14:paraId="571CBE9D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04C97830" w14:textId="77777777" w:rsidR="007D6341" w:rsidRDefault="007D6341" w:rsidP="007D6341">
            <w:pPr>
              <w:spacing w:after="0"/>
            </w:pPr>
            <w:r>
              <w:t>Parental neglect</w:t>
            </w:r>
          </w:p>
        </w:tc>
      </w:tr>
      <w:tr w:rsidR="007D6341" w14:paraId="5847C1E2" w14:textId="77777777" w:rsidTr="007D6341">
        <w:tc>
          <w:tcPr>
            <w:tcW w:w="0" w:type="auto"/>
          </w:tcPr>
          <w:p w14:paraId="6B933F7D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0AF79CD1" w14:textId="77777777" w:rsidR="007D6341" w:rsidRDefault="007D6341" w:rsidP="007D6341">
            <w:pPr>
              <w:spacing w:after="0"/>
            </w:pPr>
            <w:r>
              <w:t>Treat of assault</w:t>
            </w:r>
          </w:p>
        </w:tc>
      </w:tr>
      <w:tr w:rsidR="007D6341" w14:paraId="73A61738" w14:textId="77777777" w:rsidTr="007D6341">
        <w:tc>
          <w:tcPr>
            <w:tcW w:w="0" w:type="auto"/>
          </w:tcPr>
          <w:p w14:paraId="53E5F1A3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3773E1B1" w14:textId="77777777" w:rsidR="007D6341" w:rsidRDefault="007D6341" w:rsidP="007D6341">
            <w:pPr>
              <w:spacing w:after="0"/>
            </w:pPr>
            <w:r>
              <w:t>Actual assault</w:t>
            </w:r>
          </w:p>
        </w:tc>
      </w:tr>
      <w:tr w:rsidR="007D6341" w14:paraId="0F520D29" w14:textId="77777777" w:rsidTr="007D6341">
        <w:tc>
          <w:tcPr>
            <w:tcW w:w="0" w:type="auto"/>
          </w:tcPr>
          <w:p w14:paraId="45D5A9F7" w14:textId="77777777" w:rsidR="007D6341" w:rsidRDefault="007D6341" w:rsidP="007D6341">
            <w:pPr>
              <w:spacing w:after="0"/>
            </w:pPr>
            <w:r>
              <w:t>Discrimination</w:t>
            </w:r>
          </w:p>
        </w:tc>
        <w:tc>
          <w:tcPr>
            <w:tcW w:w="0" w:type="auto"/>
          </w:tcPr>
          <w:p w14:paraId="30E654DA" w14:textId="77777777" w:rsidR="007D6341" w:rsidRDefault="007D6341" w:rsidP="007D6341">
            <w:pPr>
              <w:spacing w:after="0"/>
            </w:pPr>
            <w:r>
              <w:t>Unfair treatment at work</w:t>
            </w:r>
          </w:p>
        </w:tc>
      </w:tr>
      <w:tr w:rsidR="007D6341" w14:paraId="4DA6ABED" w14:textId="77777777" w:rsidTr="007D6341">
        <w:tc>
          <w:tcPr>
            <w:tcW w:w="0" w:type="auto"/>
          </w:tcPr>
          <w:p w14:paraId="59CF88D4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09C109EE" w14:textId="77777777" w:rsidR="007D6341" w:rsidRDefault="007D6341" w:rsidP="007D6341">
            <w:pPr>
              <w:spacing w:after="0"/>
            </w:pPr>
            <w:r>
              <w:t>Unfair treatment by the police</w:t>
            </w:r>
          </w:p>
        </w:tc>
      </w:tr>
      <w:tr w:rsidR="007D6341" w14:paraId="214F829F" w14:textId="77777777" w:rsidTr="007D6341">
        <w:tc>
          <w:tcPr>
            <w:tcW w:w="0" w:type="auto"/>
          </w:tcPr>
          <w:p w14:paraId="0E1E9358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46074E31" w14:textId="77777777" w:rsidR="007D6341" w:rsidRDefault="007D6341" w:rsidP="007D6341">
            <w:pPr>
              <w:spacing w:after="0"/>
            </w:pPr>
            <w:r>
              <w:t>Unfair treatment by the court system</w:t>
            </w:r>
          </w:p>
        </w:tc>
      </w:tr>
      <w:tr w:rsidR="007D6341" w14:paraId="3DE60439" w14:textId="77777777" w:rsidTr="007D6341">
        <w:tc>
          <w:tcPr>
            <w:tcW w:w="0" w:type="auto"/>
          </w:tcPr>
          <w:p w14:paraId="0252D8EB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</w:tcPr>
          <w:p w14:paraId="3F5869F7" w14:textId="77777777" w:rsidR="007D6341" w:rsidRDefault="007D6341" w:rsidP="007D6341">
            <w:pPr>
              <w:spacing w:after="0"/>
            </w:pPr>
            <w:r>
              <w:t>Unfair treatment by neighbours and/or family</w:t>
            </w:r>
          </w:p>
        </w:tc>
      </w:tr>
      <w:tr w:rsidR="007D6341" w14:paraId="3B033959" w14:textId="77777777" w:rsidTr="007D6341">
        <w:tc>
          <w:tcPr>
            <w:tcW w:w="0" w:type="auto"/>
            <w:tcBorders>
              <w:bottom w:val="single" w:sz="12" w:space="0" w:color="auto"/>
            </w:tcBorders>
          </w:tcPr>
          <w:p w14:paraId="3C3CC0DF" w14:textId="77777777" w:rsidR="007D6341" w:rsidRDefault="007D6341" w:rsidP="007D6341">
            <w:pPr>
              <w:spacing w:after="0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1BFED67" w14:textId="77777777" w:rsidR="007D6341" w:rsidRDefault="007D6341" w:rsidP="007D6341">
            <w:pPr>
              <w:spacing w:after="0"/>
            </w:pPr>
            <w:r>
              <w:t>Unfair treatment when in medical care</w:t>
            </w:r>
          </w:p>
        </w:tc>
      </w:tr>
    </w:tbl>
    <w:p w14:paraId="05BBD644" w14:textId="77777777" w:rsidR="007D6341" w:rsidRDefault="007D6341" w:rsidP="000F3F99"/>
    <w:p w14:paraId="1217AB66" w14:textId="77777777" w:rsidR="007D6341" w:rsidRDefault="007D6341" w:rsidP="000F3F99">
      <w:pPr>
        <w:pStyle w:val="Heading1"/>
      </w:pPr>
      <w:r>
        <w:rPr>
          <w:lang w:val="en-GB"/>
        </w:rPr>
        <w:lastRenderedPageBreak/>
        <w:t>Victimisation Experiences Schedule principal component and reliability analyses</w:t>
      </w:r>
    </w:p>
    <w:p w14:paraId="3117207A" w14:textId="5CE0FD2A" w:rsidR="00266367" w:rsidRDefault="005A3809" w:rsidP="000F3F99">
      <w:r>
        <w:t>T</w:t>
      </w:r>
      <w:r w:rsidR="005E4B86">
        <w:t>he following details were recorded</w:t>
      </w:r>
      <w:r w:rsidRPr="005A3809">
        <w:t xml:space="preserve"> </w:t>
      </w:r>
      <w:r>
        <w:t>for each event</w:t>
      </w:r>
      <w:r w:rsidR="005E4B86">
        <w:t>: age at exposure; frequency of exposure (scored 0-4; ranging from “Never” to “Very Frequently (weekly +)”); duration of exposure (scored 0-4; ranging from “Never” to “More than one year”); and impact at the time of exposure (phrased as “How much did this event/experience affect you at the time?”, scored 0-4; ranging from “Not at all” to “Totally”).</w:t>
      </w:r>
      <w:r w:rsidR="005E4B86" w:rsidRPr="005E4B86">
        <w:t xml:space="preserve"> </w:t>
      </w:r>
      <w:r w:rsidR="005E4B86">
        <w:t>Total possible ranges of scores for frequency, duration and impact were 0-36 for</w:t>
      </w:r>
      <w:r w:rsidR="005E4B86" w:rsidRPr="00B83940">
        <w:t xml:space="preserve"> </w:t>
      </w:r>
      <w:r w:rsidR="005E4B86">
        <w:t xml:space="preserve">sexual victimisation, 0-72 for non-sexual victimisation and 0-60 </w:t>
      </w:r>
      <w:r w:rsidR="00CB406D">
        <w:t xml:space="preserve">for discrimination. </w:t>
      </w:r>
      <w:r w:rsidR="000F3F99">
        <w:t>P</w:t>
      </w:r>
      <w:r w:rsidR="00CB406D">
        <w:t>rincipal Component Analyse</w:t>
      </w:r>
      <w:r w:rsidR="000F3F99">
        <w:t xml:space="preserve">s </w:t>
      </w:r>
      <w:r w:rsidR="00CB406D">
        <w:t>were</w:t>
      </w:r>
      <w:r w:rsidR="000F3F99">
        <w:t xml:space="preserve"> carried out to determine whether the VES scales based on frequency, duration and impact then represented latent factor</w:t>
      </w:r>
      <w:r w:rsidR="00CB406D">
        <w:t>s</w:t>
      </w:r>
      <w:r w:rsidR="000F3F99">
        <w:t xml:space="preserve"> indicative of a general severity of </w:t>
      </w:r>
      <w:r w:rsidR="00CB406D">
        <w:t>each type of adversity</w:t>
      </w:r>
      <w:r w:rsidR="000F3F99">
        <w:t xml:space="preserve"> exposure. The Kaiser-Meyer-Olkin measure verif</w:t>
      </w:r>
      <w:r w:rsidR="00441016">
        <w:t>ied</w:t>
      </w:r>
      <w:r w:rsidR="000F3F99">
        <w:t xml:space="preserve"> sampling adequacy</w:t>
      </w:r>
      <w:r w:rsidR="00441016">
        <w:t xml:space="preserve"> of all scales</w:t>
      </w:r>
      <w:r w:rsidR="000F3F99">
        <w:t xml:space="preserve"> and Bartlett’s test of sphericity indicated sufficiently large correlations </w:t>
      </w:r>
      <w:r w:rsidR="00441016">
        <w:t xml:space="preserve">of all scales (see Table 1). All scales had </w:t>
      </w:r>
      <w:r w:rsidR="000F3F99">
        <w:t xml:space="preserve">an eigenvalue </w:t>
      </w:r>
      <w:r w:rsidR="00441016">
        <w:t xml:space="preserve">over the </w:t>
      </w:r>
      <w:r w:rsidR="000F3F99">
        <w:t>Kaiser’s criterion of 1. Since no item had a coefficient below 0.5, all items were included, with the lowest factor loading being 0.</w:t>
      </w:r>
      <w:r w:rsidR="00E115ED">
        <w:t>92</w:t>
      </w:r>
      <w:r w:rsidR="000F3F99">
        <w:t>. Cronbach’s α</w:t>
      </w:r>
      <w:r w:rsidR="000F3F99" w:rsidDel="00C87EC1">
        <w:t xml:space="preserve"> </w:t>
      </w:r>
      <w:r w:rsidR="000F3F99">
        <w:t>indicated good</w:t>
      </w:r>
      <w:r w:rsidR="00E115ED">
        <w:t xml:space="preserve"> or excellent</w:t>
      </w:r>
      <w:r w:rsidR="000F3F99">
        <w:t xml:space="preserve"> reliability</w:t>
      </w:r>
      <w:r w:rsidR="00E115ED">
        <w:t xml:space="preserve"> for all items</w:t>
      </w:r>
      <w:r w:rsidR="000F3F99">
        <w:t xml:space="preserve"> (</w:t>
      </w:r>
      <w:r w:rsidR="00E115ED">
        <w:t xml:space="preserve">lowest is </w:t>
      </w:r>
      <w:r w:rsidR="000F3F99">
        <w:t>0.8</w:t>
      </w:r>
      <w:r w:rsidR="00E115ED">
        <w:t>7</w:t>
      </w:r>
      <w:r w:rsidR="000F3F99">
        <w:t>).</w:t>
      </w:r>
      <w:r w:rsidR="00441016" w:rsidRPr="00441016">
        <w:t xml:space="preserve"> </w:t>
      </w:r>
    </w:p>
    <w:p w14:paraId="3BFE8649" w14:textId="2E726A93" w:rsidR="005A3809" w:rsidRDefault="005A3809" w:rsidP="000F3F99"/>
    <w:p w14:paraId="766F4AE3" w14:textId="2698DD3A" w:rsidR="005A3809" w:rsidRDefault="005A3809" w:rsidP="000F3F99"/>
    <w:p w14:paraId="516BD02A" w14:textId="301DA9C9" w:rsidR="005A3809" w:rsidRDefault="005A3809" w:rsidP="000F3F99"/>
    <w:p w14:paraId="7D074547" w14:textId="1AF9BD04" w:rsidR="005A3809" w:rsidRDefault="005A3809" w:rsidP="000F3F99"/>
    <w:p w14:paraId="79D4FE9E" w14:textId="77777777" w:rsidR="005A3809" w:rsidRDefault="005A3809" w:rsidP="000F3F99"/>
    <w:p w14:paraId="5F45B98A" w14:textId="77777777" w:rsidR="007D6341" w:rsidRDefault="007D6341" w:rsidP="000F3F99"/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705"/>
        <w:gridCol w:w="2512"/>
        <w:gridCol w:w="1271"/>
        <w:gridCol w:w="1343"/>
        <w:gridCol w:w="1984"/>
        <w:gridCol w:w="1778"/>
        <w:gridCol w:w="1057"/>
      </w:tblGrid>
      <w:tr w:rsidR="007B3EB9" w14:paraId="2ABD0716" w14:textId="77777777" w:rsidTr="007B3EB9">
        <w:trPr>
          <w:trHeight w:val="72"/>
        </w:trPr>
        <w:tc>
          <w:tcPr>
            <w:tcW w:w="13260" w:type="dxa"/>
            <w:gridSpan w:val="7"/>
            <w:tcBorders>
              <w:bottom w:val="single" w:sz="12" w:space="0" w:color="auto"/>
            </w:tcBorders>
          </w:tcPr>
          <w:p w14:paraId="10EBDF71" w14:textId="77777777" w:rsidR="007B3EB9" w:rsidRDefault="007B3EB9" w:rsidP="007D6341">
            <w:pPr>
              <w:spacing w:after="0" w:line="240" w:lineRule="auto"/>
            </w:pPr>
            <w:r w:rsidRPr="00266367">
              <w:rPr>
                <w:b/>
              </w:rPr>
              <w:lastRenderedPageBreak/>
              <w:t xml:space="preserve">Table </w:t>
            </w:r>
            <w:r>
              <w:rPr>
                <w:b/>
              </w:rPr>
              <w:t>2</w:t>
            </w:r>
            <w:r w:rsidRPr="00266367">
              <w:rPr>
                <w:b/>
              </w:rPr>
              <w:t xml:space="preserve"> -</w:t>
            </w:r>
            <w:r w:rsidRPr="00266367">
              <w:t xml:space="preserve"> Validity and Reliability analyses for VES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43E7B2A4" w14:textId="77777777" w:rsidR="007B3EB9" w:rsidRPr="00266367" w:rsidRDefault="007B3EB9" w:rsidP="007D6341">
            <w:pPr>
              <w:spacing w:after="0" w:line="240" w:lineRule="auto"/>
              <w:rPr>
                <w:b/>
              </w:rPr>
            </w:pPr>
          </w:p>
        </w:tc>
      </w:tr>
      <w:tr w:rsidR="007B3EB9" w14:paraId="643AAB62" w14:textId="77777777" w:rsidTr="007B3EB9">
        <w:trPr>
          <w:trHeight w:val="355"/>
        </w:trPr>
        <w:tc>
          <w:tcPr>
            <w:tcW w:w="3667" w:type="dxa"/>
            <w:tcBorders>
              <w:top w:val="single" w:sz="12" w:space="0" w:color="auto"/>
              <w:bottom w:val="single" w:sz="12" w:space="0" w:color="auto"/>
            </w:tcBorders>
          </w:tcPr>
          <w:p w14:paraId="30C591BD" w14:textId="77777777" w:rsidR="007B3EB9" w:rsidRDefault="007B3EB9" w:rsidP="00266367">
            <w:pPr>
              <w:spacing w:after="0"/>
            </w:pPr>
            <w:r>
              <w:t>Scale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</w:tcPr>
          <w:p w14:paraId="2674C2B9" w14:textId="77777777" w:rsidR="007B3EB9" w:rsidRDefault="007B3EB9" w:rsidP="00266367">
            <w:pPr>
              <w:spacing w:after="0"/>
            </w:pPr>
            <w:r>
              <w:t>KMO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</w:tcPr>
          <w:p w14:paraId="685EFC7C" w14:textId="77777777" w:rsidR="007B3EB9" w:rsidRDefault="007B3EB9" w:rsidP="00266367">
            <w:pPr>
              <w:spacing w:after="0"/>
            </w:pPr>
            <w:r>
              <w:t>Bartlett’s test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1F09139D" w14:textId="77777777" w:rsidR="007B3EB9" w:rsidRDefault="007B3EB9" w:rsidP="00266367">
            <w:pPr>
              <w:spacing w:after="0"/>
            </w:pPr>
            <w:r>
              <w:t>Eigenvalue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</w:tcPr>
          <w:p w14:paraId="3A423D76" w14:textId="77777777" w:rsidR="007B3EB9" w:rsidRDefault="007B3EB9" w:rsidP="00266367">
            <w:pPr>
              <w:spacing w:after="0"/>
            </w:pPr>
            <w:r>
              <w:t>Explained Variance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A3CA007" w14:textId="77777777" w:rsidR="007B3EB9" w:rsidRDefault="007B3EB9" w:rsidP="00266367">
            <w:pPr>
              <w:spacing w:after="0"/>
            </w:pPr>
            <w:r>
              <w:t xml:space="preserve">Lowest Factor </w:t>
            </w:r>
          </w:p>
          <w:p w14:paraId="22D3DCF3" w14:textId="77777777" w:rsidR="007B3EB9" w:rsidRDefault="007B3EB9" w:rsidP="00266367">
            <w:pPr>
              <w:spacing w:after="0"/>
            </w:pPr>
            <w:r>
              <w:t>Loading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14:paraId="34D016CB" w14:textId="77777777" w:rsidR="007B3EB9" w:rsidRDefault="007B3EB9" w:rsidP="00266367">
            <w:pPr>
              <w:spacing w:after="0"/>
            </w:pPr>
            <w:r>
              <w:t xml:space="preserve">Cronbach’s α 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14:paraId="2E072C49" w14:textId="77777777" w:rsidR="007B3EB9" w:rsidRDefault="007B3EB9" w:rsidP="00266367">
            <w:pPr>
              <w:spacing w:after="0"/>
            </w:pPr>
            <w:r>
              <w:t>Score Range</w:t>
            </w:r>
          </w:p>
        </w:tc>
      </w:tr>
      <w:tr w:rsidR="007B3EB9" w14:paraId="5E744473" w14:textId="77777777" w:rsidTr="007B3EB9">
        <w:tc>
          <w:tcPr>
            <w:tcW w:w="3667" w:type="dxa"/>
            <w:tcBorders>
              <w:top w:val="single" w:sz="12" w:space="0" w:color="auto"/>
            </w:tcBorders>
          </w:tcPr>
          <w:p w14:paraId="39CDB7A7" w14:textId="77777777" w:rsidR="007B3EB9" w:rsidRDefault="007B3EB9" w:rsidP="00537B80">
            <w:r>
              <w:t>Childhood sexual victimisation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40B4E79" w14:textId="77777777" w:rsidR="007B3EB9" w:rsidRDefault="007B3EB9" w:rsidP="000F3F99">
            <w:r>
              <w:t>.77</w:t>
            </w:r>
          </w:p>
        </w:tc>
        <w:tc>
          <w:tcPr>
            <w:tcW w:w="2512" w:type="dxa"/>
            <w:tcBorders>
              <w:top w:val="single" w:sz="12" w:space="0" w:color="auto"/>
            </w:tcBorders>
          </w:tcPr>
          <w:p w14:paraId="60CE3266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411.1, p &lt; 0.001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617066F8" w14:textId="77777777" w:rsidR="007B3EB9" w:rsidRDefault="007B3EB9" w:rsidP="000F3F99">
            <w:r>
              <w:t>2.84</w:t>
            </w:r>
          </w:p>
        </w:tc>
        <w:tc>
          <w:tcPr>
            <w:tcW w:w="1343" w:type="dxa"/>
            <w:tcBorders>
              <w:top w:val="single" w:sz="12" w:space="0" w:color="auto"/>
            </w:tcBorders>
          </w:tcPr>
          <w:p w14:paraId="302B11DC" w14:textId="77777777" w:rsidR="007B3EB9" w:rsidRDefault="007B3EB9" w:rsidP="000F3F99">
            <w:r>
              <w:t>94.6%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F58EF9F" w14:textId="77777777" w:rsidR="007B3EB9" w:rsidRDefault="007B3EB9" w:rsidP="000F3F99">
            <w:r>
              <w:t>.96</w:t>
            </w:r>
          </w:p>
        </w:tc>
        <w:tc>
          <w:tcPr>
            <w:tcW w:w="1778" w:type="dxa"/>
            <w:tcBorders>
              <w:top w:val="single" w:sz="12" w:space="0" w:color="auto"/>
            </w:tcBorders>
          </w:tcPr>
          <w:p w14:paraId="11EDAAA3" w14:textId="77777777" w:rsidR="007B3EB9" w:rsidRDefault="007B3EB9" w:rsidP="000F3F99">
            <w:r>
              <w:t>.96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14:paraId="65B7FD10" w14:textId="77777777" w:rsidR="007B3EB9" w:rsidRDefault="007B3EB9" w:rsidP="000F3F99">
            <w:r>
              <w:t>0-108</w:t>
            </w:r>
          </w:p>
        </w:tc>
      </w:tr>
      <w:tr w:rsidR="007B3EB9" w14:paraId="27EFAA99" w14:textId="77777777" w:rsidTr="007B3EB9">
        <w:tc>
          <w:tcPr>
            <w:tcW w:w="3667" w:type="dxa"/>
          </w:tcPr>
          <w:p w14:paraId="2D72D05D" w14:textId="77777777" w:rsidR="007B3EB9" w:rsidRDefault="007B3EB9" w:rsidP="000F3F99">
            <w:r>
              <w:t>Childhood non-sexual victimisation</w:t>
            </w:r>
          </w:p>
        </w:tc>
        <w:tc>
          <w:tcPr>
            <w:tcW w:w="705" w:type="dxa"/>
          </w:tcPr>
          <w:p w14:paraId="28B0386F" w14:textId="77777777" w:rsidR="007B3EB9" w:rsidRDefault="007B3EB9" w:rsidP="000F3F99">
            <w:r>
              <w:t>.74</w:t>
            </w:r>
          </w:p>
        </w:tc>
        <w:tc>
          <w:tcPr>
            <w:tcW w:w="2512" w:type="dxa"/>
          </w:tcPr>
          <w:p w14:paraId="0B71BA17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519.3, p &lt; 0.001</w:t>
            </w:r>
          </w:p>
        </w:tc>
        <w:tc>
          <w:tcPr>
            <w:tcW w:w="1271" w:type="dxa"/>
          </w:tcPr>
          <w:p w14:paraId="24FCCDF0" w14:textId="77777777" w:rsidR="007B3EB9" w:rsidRDefault="007B3EB9" w:rsidP="000F3F99">
            <w:r>
              <w:t>2.88</w:t>
            </w:r>
          </w:p>
        </w:tc>
        <w:tc>
          <w:tcPr>
            <w:tcW w:w="1343" w:type="dxa"/>
          </w:tcPr>
          <w:p w14:paraId="117531E7" w14:textId="77777777" w:rsidR="007B3EB9" w:rsidRDefault="007B3EB9" w:rsidP="000F3F99">
            <w:r>
              <w:t>96.0%</w:t>
            </w:r>
          </w:p>
        </w:tc>
        <w:tc>
          <w:tcPr>
            <w:tcW w:w="1984" w:type="dxa"/>
          </w:tcPr>
          <w:p w14:paraId="580829DB" w14:textId="77777777" w:rsidR="007B3EB9" w:rsidRDefault="007B3EB9" w:rsidP="000F3F99">
            <w:r>
              <w:t>.97</w:t>
            </w:r>
          </w:p>
        </w:tc>
        <w:tc>
          <w:tcPr>
            <w:tcW w:w="1778" w:type="dxa"/>
          </w:tcPr>
          <w:p w14:paraId="4C3AA693" w14:textId="77777777" w:rsidR="007B3EB9" w:rsidRDefault="007B3EB9" w:rsidP="000F3F99">
            <w:r>
              <w:t>.98</w:t>
            </w:r>
          </w:p>
        </w:tc>
        <w:tc>
          <w:tcPr>
            <w:tcW w:w="1057" w:type="dxa"/>
          </w:tcPr>
          <w:p w14:paraId="01154473" w14:textId="77777777" w:rsidR="007B3EB9" w:rsidRDefault="007B3EB9" w:rsidP="000F3F99">
            <w:r>
              <w:t>0-216</w:t>
            </w:r>
          </w:p>
        </w:tc>
      </w:tr>
      <w:tr w:rsidR="007B3EB9" w14:paraId="3FBE4874" w14:textId="77777777" w:rsidTr="007B3EB9">
        <w:tc>
          <w:tcPr>
            <w:tcW w:w="3667" w:type="dxa"/>
          </w:tcPr>
          <w:p w14:paraId="3070799D" w14:textId="77777777" w:rsidR="007B3EB9" w:rsidRDefault="007B3EB9" w:rsidP="000F3F99">
            <w:r>
              <w:t>Childhood discrimination</w:t>
            </w:r>
          </w:p>
        </w:tc>
        <w:tc>
          <w:tcPr>
            <w:tcW w:w="705" w:type="dxa"/>
          </w:tcPr>
          <w:p w14:paraId="65F64CB2" w14:textId="77777777" w:rsidR="007B3EB9" w:rsidRDefault="007B3EB9" w:rsidP="000F3F99">
            <w:r>
              <w:t>.74</w:t>
            </w:r>
          </w:p>
        </w:tc>
        <w:tc>
          <w:tcPr>
            <w:tcW w:w="2512" w:type="dxa"/>
          </w:tcPr>
          <w:p w14:paraId="34E923E4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498.2, p &lt; 0.001</w:t>
            </w:r>
          </w:p>
        </w:tc>
        <w:tc>
          <w:tcPr>
            <w:tcW w:w="1271" w:type="dxa"/>
          </w:tcPr>
          <w:p w14:paraId="6F12AE1A" w14:textId="77777777" w:rsidR="007B3EB9" w:rsidRDefault="007B3EB9" w:rsidP="000F3F99">
            <w:r>
              <w:t>2.86</w:t>
            </w:r>
          </w:p>
        </w:tc>
        <w:tc>
          <w:tcPr>
            <w:tcW w:w="1343" w:type="dxa"/>
          </w:tcPr>
          <w:p w14:paraId="3AAE1834" w14:textId="77777777" w:rsidR="007B3EB9" w:rsidRDefault="007B3EB9" w:rsidP="000F3F99">
            <w:r>
              <w:t>95.2%</w:t>
            </w:r>
          </w:p>
        </w:tc>
        <w:tc>
          <w:tcPr>
            <w:tcW w:w="1984" w:type="dxa"/>
          </w:tcPr>
          <w:p w14:paraId="43E34700" w14:textId="77777777" w:rsidR="007B3EB9" w:rsidRDefault="007B3EB9" w:rsidP="000F3F99">
            <w:r>
              <w:t>.96</w:t>
            </w:r>
          </w:p>
        </w:tc>
        <w:tc>
          <w:tcPr>
            <w:tcW w:w="1778" w:type="dxa"/>
          </w:tcPr>
          <w:p w14:paraId="0127A91D" w14:textId="77777777" w:rsidR="007B3EB9" w:rsidRDefault="007B3EB9" w:rsidP="000F3F99">
            <w:r>
              <w:t>.97</w:t>
            </w:r>
          </w:p>
        </w:tc>
        <w:tc>
          <w:tcPr>
            <w:tcW w:w="1057" w:type="dxa"/>
          </w:tcPr>
          <w:p w14:paraId="698F7667" w14:textId="77777777" w:rsidR="007B3EB9" w:rsidRDefault="007B3EB9" w:rsidP="000F3F99">
            <w:r>
              <w:t>0-180</w:t>
            </w:r>
          </w:p>
        </w:tc>
      </w:tr>
      <w:tr w:rsidR="007B3EB9" w14:paraId="781F19DA" w14:textId="77777777" w:rsidTr="007B3EB9">
        <w:tc>
          <w:tcPr>
            <w:tcW w:w="3667" w:type="dxa"/>
          </w:tcPr>
          <w:p w14:paraId="01EE52D3" w14:textId="77777777" w:rsidR="007B3EB9" w:rsidRDefault="007B3EB9" w:rsidP="000F3F99">
            <w:r>
              <w:t>Adulthood sexual victimisation</w:t>
            </w:r>
          </w:p>
        </w:tc>
        <w:tc>
          <w:tcPr>
            <w:tcW w:w="705" w:type="dxa"/>
          </w:tcPr>
          <w:p w14:paraId="2EEC2379" w14:textId="77777777" w:rsidR="007B3EB9" w:rsidRDefault="007B3EB9" w:rsidP="000F3F99">
            <w:r>
              <w:t>.72</w:t>
            </w:r>
          </w:p>
        </w:tc>
        <w:tc>
          <w:tcPr>
            <w:tcW w:w="2512" w:type="dxa"/>
          </w:tcPr>
          <w:p w14:paraId="3419A2FD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399.7, p &lt; 0.001</w:t>
            </w:r>
          </w:p>
        </w:tc>
        <w:tc>
          <w:tcPr>
            <w:tcW w:w="1271" w:type="dxa"/>
          </w:tcPr>
          <w:p w14:paraId="568EA012" w14:textId="77777777" w:rsidR="007B3EB9" w:rsidRDefault="007B3EB9" w:rsidP="000F3F99">
            <w:r>
              <w:t>2.75</w:t>
            </w:r>
          </w:p>
        </w:tc>
        <w:tc>
          <w:tcPr>
            <w:tcW w:w="1343" w:type="dxa"/>
          </w:tcPr>
          <w:p w14:paraId="389FBC6A" w14:textId="77777777" w:rsidR="007B3EB9" w:rsidRDefault="007B3EB9" w:rsidP="000F3F99">
            <w:r>
              <w:t>91.5%</w:t>
            </w:r>
          </w:p>
        </w:tc>
        <w:tc>
          <w:tcPr>
            <w:tcW w:w="1984" w:type="dxa"/>
          </w:tcPr>
          <w:p w14:paraId="630BFB3C" w14:textId="77777777" w:rsidR="007B3EB9" w:rsidRDefault="007B3EB9" w:rsidP="000F3F99">
            <w:r>
              <w:t>.92</w:t>
            </w:r>
          </w:p>
        </w:tc>
        <w:tc>
          <w:tcPr>
            <w:tcW w:w="1778" w:type="dxa"/>
          </w:tcPr>
          <w:p w14:paraId="5DB206A2" w14:textId="77777777" w:rsidR="007B3EB9" w:rsidRDefault="007B3EB9" w:rsidP="000F3F99">
            <w:r>
              <w:t>.96</w:t>
            </w:r>
          </w:p>
        </w:tc>
        <w:tc>
          <w:tcPr>
            <w:tcW w:w="1057" w:type="dxa"/>
          </w:tcPr>
          <w:p w14:paraId="11B56CE4" w14:textId="77777777" w:rsidR="007B3EB9" w:rsidRDefault="007B3EB9" w:rsidP="000F3F99">
            <w:r>
              <w:t>0-216</w:t>
            </w:r>
          </w:p>
        </w:tc>
      </w:tr>
      <w:tr w:rsidR="007B3EB9" w14:paraId="2F9FB1E9" w14:textId="77777777" w:rsidTr="007B3EB9">
        <w:tc>
          <w:tcPr>
            <w:tcW w:w="3667" w:type="dxa"/>
          </w:tcPr>
          <w:p w14:paraId="5C2FB4C8" w14:textId="77777777" w:rsidR="007B3EB9" w:rsidRDefault="007B3EB9" w:rsidP="000F3F99">
            <w:r>
              <w:t>Adulthood non-sexual victimisation</w:t>
            </w:r>
          </w:p>
        </w:tc>
        <w:tc>
          <w:tcPr>
            <w:tcW w:w="705" w:type="dxa"/>
          </w:tcPr>
          <w:p w14:paraId="2D374EC6" w14:textId="77777777" w:rsidR="007B3EB9" w:rsidRDefault="007B3EB9" w:rsidP="000F3F99">
            <w:r>
              <w:t>.74</w:t>
            </w:r>
          </w:p>
        </w:tc>
        <w:tc>
          <w:tcPr>
            <w:tcW w:w="2512" w:type="dxa"/>
          </w:tcPr>
          <w:p w14:paraId="3DD5CDE8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410.4, p &lt; 0.001</w:t>
            </w:r>
          </w:p>
        </w:tc>
        <w:tc>
          <w:tcPr>
            <w:tcW w:w="1271" w:type="dxa"/>
          </w:tcPr>
          <w:p w14:paraId="4E491E2A" w14:textId="77777777" w:rsidR="007B3EB9" w:rsidRDefault="007B3EB9" w:rsidP="000F3F99">
            <w:r>
              <w:t>2.80</w:t>
            </w:r>
          </w:p>
        </w:tc>
        <w:tc>
          <w:tcPr>
            <w:tcW w:w="1343" w:type="dxa"/>
          </w:tcPr>
          <w:p w14:paraId="661705C6" w14:textId="77777777" w:rsidR="007B3EB9" w:rsidRDefault="007B3EB9" w:rsidP="000F3F99">
            <w:r>
              <w:t>93.2%</w:t>
            </w:r>
          </w:p>
        </w:tc>
        <w:tc>
          <w:tcPr>
            <w:tcW w:w="1984" w:type="dxa"/>
          </w:tcPr>
          <w:p w14:paraId="1C4578F0" w14:textId="77777777" w:rsidR="007B3EB9" w:rsidRDefault="007B3EB9" w:rsidP="000F3F99">
            <w:r>
              <w:t>.94</w:t>
            </w:r>
          </w:p>
        </w:tc>
        <w:tc>
          <w:tcPr>
            <w:tcW w:w="1778" w:type="dxa"/>
          </w:tcPr>
          <w:p w14:paraId="303D5A44" w14:textId="77777777" w:rsidR="007B3EB9" w:rsidRDefault="007B3EB9" w:rsidP="000F3F99">
            <w:r>
              <w:t>.87</w:t>
            </w:r>
          </w:p>
        </w:tc>
        <w:tc>
          <w:tcPr>
            <w:tcW w:w="1057" w:type="dxa"/>
          </w:tcPr>
          <w:p w14:paraId="3CBCBCB1" w14:textId="77777777" w:rsidR="007B3EB9" w:rsidRDefault="007B3EB9" w:rsidP="007B3EB9">
            <w:r>
              <w:t>0-432</w:t>
            </w:r>
          </w:p>
        </w:tc>
      </w:tr>
      <w:tr w:rsidR="007B3EB9" w14:paraId="0AF342DD" w14:textId="77777777" w:rsidTr="007B3EB9">
        <w:tc>
          <w:tcPr>
            <w:tcW w:w="3667" w:type="dxa"/>
            <w:tcBorders>
              <w:bottom w:val="single" w:sz="12" w:space="0" w:color="auto"/>
            </w:tcBorders>
          </w:tcPr>
          <w:p w14:paraId="1C7908CB" w14:textId="77777777" w:rsidR="007B3EB9" w:rsidRDefault="007B3EB9" w:rsidP="000F3F99">
            <w:r>
              <w:t>Adulthood discrimination</w:t>
            </w: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6A5322B8" w14:textId="77777777" w:rsidR="007B3EB9" w:rsidRDefault="007B3EB9" w:rsidP="000F3F99">
            <w:r>
              <w:t>.77</w:t>
            </w:r>
          </w:p>
        </w:tc>
        <w:tc>
          <w:tcPr>
            <w:tcW w:w="2512" w:type="dxa"/>
            <w:tcBorders>
              <w:bottom w:val="single" w:sz="12" w:space="0" w:color="auto"/>
            </w:tcBorders>
          </w:tcPr>
          <w:p w14:paraId="1267D7EB" w14:textId="77777777" w:rsidR="007B3EB9" w:rsidRDefault="007B3EB9" w:rsidP="000F3F99">
            <w:r>
              <w:t>χ</w:t>
            </w:r>
            <w:r w:rsidRPr="00D81B3A">
              <w:rPr>
                <w:vertAlign w:val="superscript"/>
              </w:rPr>
              <w:t>2</w:t>
            </w:r>
            <w:r>
              <w:t xml:space="preserve"> (3) = 393.4,p &lt; 0.001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34D31B81" w14:textId="77777777" w:rsidR="007B3EB9" w:rsidRDefault="007B3EB9" w:rsidP="000F3F99">
            <w:r>
              <w:t>2.83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14:paraId="21D2E222" w14:textId="77777777" w:rsidR="007B3EB9" w:rsidRDefault="007B3EB9" w:rsidP="000F3F99">
            <w:r>
              <w:t>94.2%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239E3A8" w14:textId="77777777" w:rsidR="007B3EB9" w:rsidRDefault="007B3EB9" w:rsidP="000F3F99">
            <w:r>
              <w:t>.96</w:t>
            </w:r>
          </w:p>
        </w:tc>
        <w:tc>
          <w:tcPr>
            <w:tcW w:w="1778" w:type="dxa"/>
            <w:tcBorders>
              <w:bottom w:val="single" w:sz="12" w:space="0" w:color="auto"/>
            </w:tcBorders>
          </w:tcPr>
          <w:p w14:paraId="71DF6B6F" w14:textId="77777777" w:rsidR="007B3EB9" w:rsidRDefault="007B3EB9" w:rsidP="000F3F99">
            <w:r>
              <w:t>.96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14:paraId="23298580" w14:textId="77777777" w:rsidR="007B3EB9" w:rsidRDefault="007B3EB9" w:rsidP="000F3F99">
            <w:r>
              <w:t>0-360</w:t>
            </w:r>
          </w:p>
        </w:tc>
      </w:tr>
    </w:tbl>
    <w:p w14:paraId="3158D714" w14:textId="77777777" w:rsidR="00441016" w:rsidRDefault="00441016" w:rsidP="000F3F99"/>
    <w:sectPr w:rsidR="00441016" w:rsidSect="004410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4B20"/>
    <w:multiLevelType w:val="multilevel"/>
    <w:tmpl w:val="C37056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9"/>
    <w:rsid w:val="000F3F99"/>
    <w:rsid w:val="0018316A"/>
    <w:rsid w:val="00266367"/>
    <w:rsid w:val="003C2464"/>
    <w:rsid w:val="00441016"/>
    <w:rsid w:val="00537B80"/>
    <w:rsid w:val="005A3809"/>
    <w:rsid w:val="005E4B86"/>
    <w:rsid w:val="006544DC"/>
    <w:rsid w:val="007B3EB9"/>
    <w:rsid w:val="007D6341"/>
    <w:rsid w:val="00871C11"/>
    <w:rsid w:val="00A8348A"/>
    <w:rsid w:val="00BD663B"/>
    <w:rsid w:val="00CB406D"/>
    <w:rsid w:val="00D83565"/>
    <w:rsid w:val="00E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F5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F99"/>
    <w:pPr>
      <w:spacing w:after="200" w:line="36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99"/>
    <w:pPr>
      <w:numPr>
        <w:numId w:val="1"/>
      </w:numPr>
      <w:outlineLvl w:val="0"/>
    </w:pPr>
    <w:rPr>
      <w:b/>
      <w:sz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3F99"/>
    <w:pPr>
      <w:numPr>
        <w:ilvl w:val="1"/>
        <w:numId w:val="1"/>
      </w:numPr>
      <w:outlineLvl w:val="1"/>
    </w:pPr>
    <w:rPr>
      <w:i/>
      <w:lang w:val="x-none"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F3F99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0F3F99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3F99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F3F99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3F99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F3F99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F3F99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99"/>
    <w:rPr>
      <w:rFonts w:ascii="Calibri" w:eastAsia="Calibri" w:hAnsi="Calibri" w:cs="Times New Roman"/>
      <w:b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0F3F99"/>
    <w:rPr>
      <w:rFonts w:ascii="Calibri" w:eastAsia="Calibri" w:hAnsi="Calibri" w:cs="Times New Roman"/>
      <w:i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F3F99"/>
    <w:rPr>
      <w:rFonts w:ascii="Calibri" w:eastAsia="Calibri" w:hAnsi="Calibri" w:cs="Times New Roman"/>
      <w:i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F3F99"/>
    <w:rPr>
      <w:rFonts w:ascii="Calibri" w:eastAsia="MS Gothic" w:hAnsi="Calibri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F3F99"/>
    <w:rPr>
      <w:rFonts w:ascii="Calibri" w:eastAsia="MS Gothic" w:hAnsi="Calibri" w:cs="Times New Roman"/>
      <w:color w:val="243F60"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F3F99"/>
    <w:rPr>
      <w:rFonts w:ascii="Calibri" w:eastAsia="MS Gothic" w:hAnsi="Calibri" w:cs="Times New Roman"/>
      <w:i/>
      <w:iCs/>
      <w:color w:val="243F60"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F3F99"/>
    <w:rPr>
      <w:rFonts w:ascii="Calibri" w:eastAsia="MS Gothic" w:hAnsi="Calibri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0F3F99"/>
    <w:rPr>
      <w:rFonts w:ascii="Calibri" w:eastAsia="MS Gothic" w:hAnsi="Calibri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0F3F99"/>
    <w:rPr>
      <w:rFonts w:ascii="Calibri" w:eastAsia="MS Gothic" w:hAnsi="Calibri" w:cs="Times New Roman"/>
      <w:i/>
      <w:iCs/>
      <w:color w:val="404040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44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3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65"/>
    <w:rPr>
      <w:rFonts w:ascii="Calibri" w:eastAsia="Calibri" w:hAnsi="Calibri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6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6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65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641F-279A-43B5-B584-5133497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Baumeister</dc:creator>
  <cp:keywords/>
  <dc:description/>
  <cp:lastModifiedBy>Baumeister, David</cp:lastModifiedBy>
  <cp:revision>2</cp:revision>
  <dcterms:created xsi:type="dcterms:W3CDTF">2017-10-18T11:10:00Z</dcterms:created>
  <dcterms:modified xsi:type="dcterms:W3CDTF">2017-10-18T11:10:00Z</dcterms:modified>
</cp:coreProperties>
</file>