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25FCF" w14:textId="13AE3FB8" w:rsidR="00C61521" w:rsidRPr="00C61521" w:rsidRDefault="00C61521" w:rsidP="00160918">
      <w:pPr>
        <w:pStyle w:val="Geenafstand"/>
        <w:spacing w:line="480" w:lineRule="auto"/>
        <w:rPr>
          <w:sz w:val="32"/>
          <w:szCs w:val="28"/>
          <w:lang w:val="en-US"/>
        </w:rPr>
      </w:pPr>
      <w:r w:rsidRPr="00C61521">
        <w:rPr>
          <w:sz w:val="28"/>
          <w:lang w:val="en-US"/>
        </w:rPr>
        <w:t>Supplementary information</w:t>
      </w:r>
    </w:p>
    <w:p w14:paraId="117B5206" w14:textId="5704D04B" w:rsidR="00160918" w:rsidRDefault="008930A0" w:rsidP="00160918">
      <w:pPr>
        <w:pStyle w:val="Geenafstand"/>
        <w:spacing w:line="480" w:lineRule="auto"/>
        <w:rPr>
          <w:sz w:val="24"/>
          <w:szCs w:val="28"/>
          <w:lang w:val="en-US"/>
        </w:rPr>
      </w:pPr>
      <w:r w:rsidRPr="008930A0">
        <w:rPr>
          <w:sz w:val="24"/>
          <w:szCs w:val="28"/>
          <w:lang w:val="en-US"/>
        </w:rPr>
        <w:t xml:space="preserve">Challenging the negative </w:t>
      </w:r>
      <w:r w:rsidR="004E2692">
        <w:rPr>
          <w:sz w:val="24"/>
          <w:szCs w:val="28"/>
          <w:lang w:val="en-US"/>
        </w:rPr>
        <w:t xml:space="preserve">learning </w:t>
      </w:r>
      <w:r w:rsidRPr="008930A0">
        <w:rPr>
          <w:sz w:val="24"/>
          <w:szCs w:val="28"/>
          <w:lang w:val="en-US"/>
        </w:rPr>
        <w:t xml:space="preserve">bias hypothesis of depression: reversal learning in a </w:t>
      </w:r>
      <w:r w:rsidR="00D42D52">
        <w:rPr>
          <w:sz w:val="24"/>
          <w:szCs w:val="28"/>
          <w:lang w:val="en-US"/>
        </w:rPr>
        <w:t>naturalistic</w:t>
      </w:r>
      <w:r w:rsidRPr="008930A0">
        <w:rPr>
          <w:sz w:val="24"/>
          <w:szCs w:val="28"/>
          <w:lang w:val="en-US"/>
        </w:rPr>
        <w:t xml:space="preserve"> psychiatric</w:t>
      </w:r>
      <w:r w:rsidR="00D42D52">
        <w:rPr>
          <w:sz w:val="24"/>
          <w:szCs w:val="28"/>
          <w:lang w:val="en-US"/>
        </w:rPr>
        <w:t xml:space="preserve"> </w:t>
      </w:r>
      <w:r w:rsidRPr="008930A0">
        <w:rPr>
          <w:sz w:val="24"/>
          <w:szCs w:val="28"/>
          <w:lang w:val="en-US"/>
        </w:rPr>
        <w:t xml:space="preserve">sample  </w:t>
      </w:r>
      <w:r w:rsidR="002D0CE5" w:rsidRPr="00C61521">
        <w:rPr>
          <w:sz w:val="24"/>
          <w:szCs w:val="28"/>
          <w:lang w:val="en-US"/>
        </w:rPr>
        <w:t xml:space="preserve"> </w:t>
      </w:r>
    </w:p>
    <w:p w14:paraId="6EB7B911" w14:textId="1DE5F15B" w:rsidR="00B10D98" w:rsidRPr="00460888" w:rsidRDefault="00B10D98" w:rsidP="00160918">
      <w:pPr>
        <w:pStyle w:val="Geenafstand"/>
        <w:spacing w:line="480" w:lineRule="auto"/>
        <w:rPr>
          <w:sz w:val="24"/>
          <w:lang w:val="en-US"/>
        </w:rPr>
      </w:pPr>
      <w:r>
        <w:rPr>
          <w:sz w:val="24"/>
          <w:lang w:val="en-US"/>
        </w:rPr>
        <w:t>Brolsma et al.</w:t>
      </w:r>
    </w:p>
    <w:sdt>
      <w:sdtPr>
        <w:rPr>
          <w:rFonts w:asciiTheme="minorHAnsi" w:eastAsiaTheme="minorHAnsi" w:hAnsiTheme="minorHAnsi" w:cstheme="minorBidi"/>
          <w:color w:val="auto"/>
          <w:sz w:val="22"/>
          <w:szCs w:val="22"/>
          <w:lang w:val="nl-NL"/>
        </w:rPr>
        <w:id w:val="-672949620"/>
        <w:docPartObj>
          <w:docPartGallery w:val="Table of Contents"/>
          <w:docPartUnique/>
        </w:docPartObj>
      </w:sdtPr>
      <w:sdtEndPr>
        <w:rPr>
          <w:b/>
          <w:bCs/>
          <w:noProof/>
        </w:rPr>
      </w:sdtEndPr>
      <w:sdtContent>
        <w:p w14:paraId="7835C31E" w14:textId="664A0349" w:rsidR="00AF2570" w:rsidRPr="00AF2570" w:rsidRDefault="00AF2570" w:rsidP="00B10D98">
          <w:pPr>
            <w:pStyle w:val="Kopvaninhoudsopgave"/>
            <w:spacing w:line="480" w:lineRule="auto"/>
            <w:rPr>
              <w:rFonts w:asciiTheme="minorHAnsi" w:hAnsiTheme="minorHAnsi" w:cstheme="minorHAnsi"/>
              <w:color w:val="auto"/>
            </w:rPr>
          </w:pPr>
          <w:r w:rsidRPr="00AF2570">
            <w:rPr>
              <w:rFonts w:asciiTheme="minorHAnsi" w:hAnsiTheme="minorHAnsi" w:cstheme="minorHAnsi"/>
              <w:color w:val="auto"/>
            </w:rPr>
            <w:t>Contents</w:t>
          </w:r>
        </w:p>
        <w:p w14:paraId="680DAE75" w14:textId="1B0BC539" w:rsidR="00504212" w:rsidRPr="003466DB" w:rsidRDefault="00AF2570" w:rsidP="00B10D98">
          <w:pPr>
            <w:pStyle w:val="Inhopg1"/>
            <w:tabs>
              <w:tab w:val="right" w:leader="dot" w:pos="9062"/>
            </w:tabs>
            <w:spacing w:line="480" w:lineRule="auto"/>
            <w:rPr>
              <w:rFonts w:eastAsiaTheme="minorEastAsia"/>
              <w:noProof/>
            </w:rPr>
          </w:pPr>
          <w:r>
            <w:fldChar w:fldCharType="begin"/>
          </w:r>
          <w:r>
            <w:instrText xml:space="preserve"> TOC \o "1-3" \h \z \u </w:instrText>
          </w:r>
          <w:r>
            <w:fldChar w:fldCharType="separate"/>
          </w:r>
          <w:hyperlink w:anchor="_Toc38977682" w:history="1">
            <w:r w:rsidR="00504212" w:rsidRPr="003466DB">
              <w:rPr>
                <w:rStyle w:val="Hyperlink"/>
                <w:noProof/>
              </w:rPr>
              <w:t>Methods</w:t>
            </w:r>
            <w:r w:rsidR="00504212" w:rsidRPr="003466DB">
              <w:rPr>
                <w:noProof/>
                <w:webHidden/>
              </w:rPr>
              <w:tab/>
            </w:r>
            <w:r w:rsidR="00504212" w:rsidRPr="003466DB">
              <w:rPr>
                <w:noProof/>
                <w:webHidden/>
              </w:rPr>
              <w:fldChar w:fldCharType="begin"/>
            </w:r>
            <w:r w:rsidR="00504212" w:rsidRPr="003466DB">
              <w:rPr>
                <w:noProof/>
                <w:webHidden/>
              </w:rPr>
              <w:instrText xml:space="preserve"> PAGEREF _Toc38977682 \h </w:instrText>
            </w:r>
            <w:r w:rsidR="00504212" w:rsidRPr="003466DB">
              <w:rPr>
                <w:noProof/>
                <w:webHidden/>
              </w:rPr>
            </w:r>
            <w:r w:rsidR="00504212" w:rsidRPr="003466DB">
              <w:rPr>
                <w:noProof/>
                <w:webHidden/>
              </w:rPr>
              <w:fldChar w:fldCharType="separate"/>
            </w:r>
            <w:r w:rsidR="00504212" w:rsidRPr="003466DB">
              <w:rPr>
                <w:noProof/>
                <w:webHidden/>
              </w:rPr>
              <w:t>2</w:t>
            </w:r>
            <w:r w:rsidR="00504212" w:rsidRPr="003466DB">
              <w:rPr>
                <w:noProof/>
                <w:webHidden/>
              </w:rPr>
              <w:fldChar w:fldCharType="end"/>
            </w:r>
          </w:hyperlink>
        </w:p>
        <w:p w14:paraId="6FEAADFF" w14:textId="7EFD6737" w:rsidR="00504212" w:rsidRPr="003466DB" w:rsidRDefault="003466DB" w:rsidP="00B10D98">
          <w:pPr>
            <w:pStyle w:val="Inhopg2"/>
            <w:tabs>
              <w:tab w:val="right" w:leader="dot" w:pos="9062"/>
            </w:tabs>
            <w:spacing w:line="480" w:lineRule="auto"/>
            <w:rPr>
              <w:rFonts w:eastAsiaTheme="minorEastAsia"/>
              <w:noProof/>
            </w:rPr>
          </w:pPr>
          <w:hyperlink w:anchor="_Toc38977683" w:history="1">
            <w:r w:rsidR="00504212" w:rsidRPr="003466DB">
              <w:rPr>
                <w:rStyle w:val="Hyperlink"/>
                <w:noProof/>
              </w:rPr>
              <w:t>Patient inclusion</w:t>
            </w:r>
            <w:r w:rsidR="00504212" w:rsidRPr="003466DB">
              <w:rPr>
                <w:noProof/>
                <w:webHidden/>
              </w:rPr>
              <w:tab/>
            </w:r>
            <w:r w:rsidR="00504212" w:rsidRPr="003466DB">
              <w:rPr>
                <w:noProof/>
                <w:webHidden/>
              </w:rPr>
              <w:fldChar w:fldCharType="begin"/>
            </w:r>
            <w:r w:rsidR="00504212" w:rsidRPr="003466DB">
              <w:rPr>
                <w:noProof/>
                <w:webHidden/>
              </w:rPr>
              <w:instrText xml:space="preserve"> PAGEREF _Toc38977683 \h </w:instrText>
            </w:r>
            <w:r w:rsidR="00504212" w:rsidRPr="003466DB">
              <w:rPr>
                <w:noProof/>
                <w:webHidden/>
              </w:rPr>
            </w:r>
            <w:r w:rsidR="00504212" w:rsidRPr="003466DB">
              <w:rPr>
                <w:noProof/>
                <w:webHidden/>
              </w:rPr>
              <w:fldChar w:fldCharType="separate"/>
            </w:r>
            <w:r w:rsidR="00504212" w:rsidRPr="003466DB">
              <w:rPr>
                <w:noProof/>
                <w:webHidden/>
              </w:rPr>
              <w:t>2</w:t>
            </w:r>
            <w:r w:rsidR="00504212" w:rsidRPr="003466DB">
              <w:rPr>
                <w:noProof/>
                <w:webHidden/>
              </w:rPr>
              <w:fldChar w:fldCharType="end"/>
            </w:r>
          </w:hyperlink>
        </w:p>
        <w:p w14:paraId="1921F445" w14:textId="30051027" w:rsidR="00504212" w:rsidRPr="003466DB" w:rsidRDefault="003466DB" w:rsidP="00B10D98">
          <w:pPr>
            <w:pStyle w:val="Inhopg2"/>
            <w:tabs>
              <w:tab w:val="right" w:leader="dot" w:pos="9062"/>
            </w:tabs>
            <w:spacing w:line="480" w:lineRule="auto"/>
            <w:rPr>
              <w:rFonts w:eastAsiaTheme="minorEastAsia"/>
              <w:noProof/>
            </w:rPr>
          </w:pPr>
          <w:hyperlink w:anchor="_Toc38977684" w:history="1">
            <w:r w:rsidR="00504212" w:rsidRPr="003466DB">
              <w:rPr>
                <w:rStyle w:val="Hyperlink"/>
                <w:noProof/>
              </w:rPr>
              <w:t>Healthy control participants</w:t>
            </w:r>
            <w:r w:rsidR="00504212" w:rsidRPr="003466DB">
              <w:rPr>
                <w:noProof/>
                <w:webHidden/>
              </w:rPr>
              <w:tab/>
            </w:r>
            <w:r w:rsidR="00504212" w:rsidRPr="003466DB">
              <w:rPr>
                <w:noProof/>
                <w:webHidden/>
              </w:rPr>
              <w:fldChar w:fldCharType="begin"/>
            </w:r>
            <w:r w:rsidR="00504212" w:rsidRPr="003466DB">
              <w:rPr>
                <w:noProof/>
                <w:webHidden/>
              </w:rPr>
              <w:instrText xml:space="preserve"> PAGEREF _Toc38977684 \h </w:instrText>
            </w:r>
            <w:r w:rsidR="00504212" w:rsidRPr="003466DB">
              <w:rPr>
                <w:noProof/>
                <w:webHidden/>
              </w:rPr>
            </w:r>
            <w:r w:rsidR="00504212" w:rsidRPr="003466DB">
              <w:rPr>
                <w:noProof/>
                <w:webHidden/>
              </w:rPr>
              <w:fldChar w:fldCharType="separate"/>
            </w:r>
            <w:r w:rsidR="00504212" w:rsidRPr="003466DB">
              <w:rPr>
                <w:noProof/>
                <w:webHidden/>
              </w:rPr>
              <w:t>3</w:t>
            </w:r>
            <w:r w:rsidR="00504212" w:rsidRPr="003466DB">
              <w:rPr>
                <w:noProof/>
                <w:webHidden/>
              </w:rPr>
              <w:fldChar w:fldCharType="end"/>
            </w:r>
          </w:hyperlink>
        </w:p>
        <w:p w14:paraId="46A4AC72" w14:textId="43818BE0" w:rsidR="00504212" w:rsidRPr="003466DB" w:rsidRDefault="003466DB" w:rsidP="00B10D98">
          <w:pPr>
            <w:pStyle w:val="Inhopg2"/>
            <w:tabs>
              <w:tab w:val="right" w:leader="dot" w:pos="9062"/>
            </w:tabs>
            <w:spacing w:line="480" w:lineRule="auto"/>
            <w:rPr>
              <w:rFonts w:eastAsiaTheme="minorEastAsia"/>
              <w:noProof/>
            </w:rPr>
          </w:pPr>
          <w:hyperlink w:anchor="_Toc38977685" w:history="1">
            <w:r w:rsidR="00504212" w:rsidRPr="003466DB">
              <w:rPr>
                <w:rStyle w:val="Hyperlink"/>
                <w:noProof/>
              </w:rPr>
              <w:t>Instructions for the probabilistic reversal learning task</w:t>
            </w:r>
            <w:r w:rsidR="00504212" w:rsidRPr="003466DB">
              <w:rPr>
                <w:noProof/>
                <w:webHidden/>
              </w:rPr>
              <w:tab/>
            </w:r>
            <w:r w:rsidR="00504212" w:rsidRPr="003466DB">
              <w:rPr>
                <w:noProof/>
                <w:webHidden/>
              </w:rPr>
              <w:fldChar w:fldCharType="begin"/>
            </w:r>
            <w:r w:rsidR="00504212" w:rsidRPr="003466DB">
              <w:rPr>
                <w:noProof/>
                <w:webHidden/>
              </w:rPr>
              <w:instrText xml:space="preserve"> PAGEREF _Toc38977685 \h </w:instrText>
            </w:r>
            <w:r w:rsidR="00504212" w:rsidRPr="003466DB">
              <w:rPr>
                <w:noProof/>
                <w:webHidden/>
              </w:rPr>
            </w:r>
            <w:r w:rsidR="00504212" w:rsidRPr="003466DB">
              <w:rPr>
                <w:noProof/>
                <w:webHidden/>
              </w:rPr>
              <w:fldChar w:fldCharType="separate"/>
            </w:r>
            <w:r w:rsidR="00504212" w:rsidRPr="003466DB">
              <w:rPr>
                <w:noProof/>
                <w:webHidden/>
              </w:rPr>
              <w:t>3</w:t>
            </w:r>
            <w:r w:rsidR="00504212" w:rsidRPr="003466DB">
              <w:rPr>
                <w:noProof/>
                <w:webHidden/>
              </w:rPr>
              <w:fldChar w:fldCharType="end"/>
            </w:r>
          </w:hyperlink>
        </w:p>
        <w:p w14:paraId="36785FCA" w14:textId="35BF5614" w:rsidR="00504212" w:rsidRPr="003466DB" w:rsidRDefault="003466DB" w:rsidP="00B10D98">
          <w:pPr>
            <w:pStyle w:val="Inhopg2"/>
            <w:tabs>
              <w:tab w:val="right" w:leader="dot" w:pos="9062"/>
            </w:tabs>
            <w:spacing w:line="480" w:lineRule="auto"/>
            <w:rPr>
              <w:rFonts w:eastAsiaTheme="minorEastAsia"/>
              <w:noProof/>
            </w:rPr>
          </w:pPr>
          <w:hyperlink w:anchor="_Toc38977686" w:history="1">
            <w:r w:rsidR="00504212" w:rsidRPr="003466DB">
              <w:rPr>
                <w:rStyle w:val="Hyperlink"/>
                <w:noProof/>
              </w:rPr>
              <w:t>Computational Model</w:t>
            </w:r>
            <w:r w:rsidR="00504212" w:rsidRPr="003466DB">
              <w:rPr>
                <w:noProof/>
                <w:webHidden/>
              </w:rPr>
              <w:tab/>
            </w:r>
            <w:r w:rsidR="00504212" w:rsidRPr="003466DB">
              <w:rPr>
                <w:noProof/>
                <w:webHidden/>
              </w:rPr>
              <w:fldChar w:fldCharType="begin"/>
            </w:r>
            <w:r w:rsidR="00504212" w:rsidRPr="003466DB">
              <w:rPr>
                <w:noProof/>
                <w:webHidden/>
              </w:rPr>
              <w:instrText xml:space="preserve"> PAGEREF _Toc38977686 \h </w:instrText>
            </w:r>
            <w:r w:rsidR="00504212" w:rsidRPr="003466DB">
              <w:rPr>
                <w:noProof/>
                <w:webHidden/>
              </w:rPr>
            </w:r>
            <w:r w:rsidR="00504212" w:rsidRPr="003466DB">
              <w:rPr>
                <w:noProof/>
                <w:webHidden/>
              </w:rPr>
              <w:fldChar w:fldCharType="separate"/>
            </w:r>
            <w:r w:rsidR="00504212" w:rsidRPr="003466DB">
              <w:rPr>
                <w:noProof/>
                <w:webHidden/>
              </w:rPr>
              <w:t>4</w:t>
            </w:r>
            <w:r w:rsidR="00504212" w:rsidRPr="003466DB">
              <w:rPr>
                <w:noProof/>
                <w:webHidden/>
              </w:rPr>
              <w:fldChar w:fldCharType="end"/>
            </w:r>
          </w:hyperlink>
        </w:p>
        <w:p w14:paraId="42FFA212" w14:textId="371EE856" w:rsidR="00504212" w:rsidRPr="003466DB" w:rsidRDefault="003466DB" w:rsidP="00B10D98">
          <w:pPr>
            <w:pStyle w:val="Inhopg2"/>
            <w:tabs>
              <w:tab w:val="right" w:leader="dot" w:pos="9062"/>
            </w:tabs>
            <w:spacing w:line="480" w:lineRule="auto"/>
            <w:rPr>
              <w:rFonts w:eastAsiaTheme="minorEastAsia"/>
              <w:noProof/>
            </w:rPr>
          </w:pPr>
          <w:hyperlink w:anchor="_Toc38977687" w:history="1">
            <w:r w:rsidR="00504212" w:rsidRPr="003466DB">
              <w:rPr>
                <w:rStyle w:val="Hyperlink"/>
                <w:noProof/>
              </w:rPr>
              <w:t>Effect of anhedonia</w:t>
            </w:r>
            <w:r w:rsidR="00504212" w:rsidRPr="003466DB">
              <w:rPr>
                <w:noProof/>
                <w:webHidden/>
              </w:rPr>
              <w:tab/>
            </w:r>
            <w:r w:rsidR="00504212" w:rsidRPr="003466DB">
              <w:rPr>
                <w:noProof/>
                <w:webHidden/>
              </w:rPr>
              <w:fldChar w:fldCharType="begin"/>
            </w:r>
            <w:r w:rsidR="00504212" w:rsidRPr="003466DB">
              <w:rPr>
                <w:noProof/>
                <w:webHidden/>
              </w:rPr>
              <w:instrText xml:space="preserve"> PAGEREF _Toc38977687 \h </w:instrText>
            </w:r>
            <w:r w:rsidR="00504212" w:rsidRPr="003466DB">
              <w:rPr>
                <w:noProof/>
                <w:webHidden/>
              </w:rPr>
            </w:r>
            <w:r w:rsidR="00504212" w:rsidRPr="003466DB">
              <w:rPr>
                <w:noProof/>
                <w:webHidden/>
              </w:rPr>
              <w:fldChar w:fldCharType="separate"/>
            </w:r>
            <w:r w:rsidR="00504212" w:rsidRPr="003466DB">
              <w:rPr>
                <w:noProof/>
                <w:webHidden/>
              </w:rPr>
              <w:t>5</w:t>
            </w:r>
            <w:r w:rsidR="00504212" w:rsidRPr="003466DB">
              <w:rPr>
                <w:noProof/>
                <w:webHidden/>
              </w:rPr>
              <w:fldChar w:fldCharType="end"/>
            </w:r>
          </w:hyperlink>
        </w:p>
        <w:p w14:paraId="63F976A3" w14:textId="57A128F6" w:rsidR="00504212" w:rsidRPr="003466DB" w:rsidRDefault="003466DB" w:rsidP="00B10D98">
          <w:pPr>
            <w:pStyle w:val="Inhopg1"/>
            <w:tabs>
              <w:tab w:val="right" w:leader="dot" w:pos="9062"/>
            </w:tabs>
            <w:spacing w:line="480" w:lineRule="auto"/>
            <w:rPr>
              <w:rFonts w:eastAsiaTheme="minorEastAsia"/>
              <w:noProof/>
            </w:rPr>
          </w:pPr>
          <w:hyperlink w:anchor="_Toc38977688" w:history="1">
            <w:r w:rsidR="00504212" w:rsidRPr="003466DB">
              <w:rPr>
                <w:rStyle w:val="Hyperlink"/>
                <w:noProof/>
              </w:rPr>
              <w:t>Results</w:t>
            </w:r>
            <w:r w:rsidR="00504212" w:rsidRPr="003466DB">
              <w:rPr>
                <w:noProof/>
                <w:webHidden/>
              </w:rPr>
              <w:tab/>
            </w:r>
            <w:r w:rsidR="00504212" w:rsidRPr="003466DB">
              <w:rPr>
                <w:noProof/>
                <w:webHidden/>
              </w:rPr>
              <w:fldChar w:fldCharType="begin"/>
            </w:r>
            <w:r w:rsidR="00504212" w:rsidRPr="003466DB">
              <w:rPr>
                <w:noProof/>
                <w:webHidden/>
              </w:rPr>
              <w:instrText xml:space="preserve"> PAGEREF _Toc38977688 \h </w:instrText>
            </w:r>
            <w:r w:rsidR="00504212" w:rsidRPr="003466DB">
              <w:rPr>
                <w:noProof/>
                <w:webHidden/>
              </w:rPr>
            </w:r>
            <w:r w:rsidR="00504212" w:rsidRPr="003466DB">
              <w:rPr>
                <w:noProof/>
                <w:webHidden/>
              </w:rPr>
              <w:fldChar w:fldCharType="separate"/>
            </w:r>
            <w:r w:rsidR="00504212" w:rsidRPr="003466DB">
              <w:rPr>
                <w:noProof/>
                <w:webHidden/>
              </w:rPr>
              <w:t>5</w:t>
            </w:r>
            <w:r w:rsidR="00504212" w:rsidRPr="003466DB">
              <w:rPr>
                <w:noProof/>
                <w:webHidden/>
              </w:rPr>
              <w:fldChar w:fldCharType="end"/>
            </w:r>
          </w:hyperlink>
        </w:p>
        <w:p w14:paraId="74492CD8" w14:textId="124A44B8" w:rsidR="00504212" w:rsidRPr="003466DB" w:rsidRDefault="003466DB" w:rsidP="00B10D98">
          <w:pPr>
            <w:pStyle w:val="Inhopg2"/>
            <w:tabs>
              <w:tab w:val="right" w:leader="dot" w:pos="9062"/>
            </w:tabs>
            <w:spacing w:line="480" w:lineRule="auto"/>
            <w:rPr>
              <w:rFonts w:eastAsiaTheme="minorEastAsia"/>
              <w:noProof/>
            </w:rPr>
          </w:pPr>
          <w:hyperlink w:anchor="_Toc38977689" w:history="1">
            <w:r w:rsidR="00504212" w:rsidRPr="003466DB">
              <w:rPr>
                <w:rStyle w:val="Hyperlink"/>
                <w:noProof/>
              </w:rPr>
              <w:t>Dimensional analyses</w:t>
            </w:r>
            <w:r w:rsidR="00504212" w:rsidRPr="003466DB">
              <w:rPr>
                <w:noProof/>
                <w:webHidden/>
              </w:rPr>
              <w:tab/>
            </w:r>
            <w:r w:rsidR="00504212" w:rsidRPr="003466DB">
              <w:rPr>
                <w:noProof/>
                <w:webHidden/>
              </w:rPr>
              <w:fldChar w:fldCharType="begin"/>
            </w:r>
            <w:r w:rsidR="00504212" w:rsidRPr="003466DB">
              <w:rPr>
                <w:noProof/>
                <w:webHidden/>
              </w:rPr>
              <w:instrText xml:space="preserve"> PAGEREF _Toc38977689 \h </w:instrText>
            </w:r>
            <w:r w:rsidR="00504212" w:rsidRPr="003466DB">
              <w:rPr>
                <w:noProof/>
                <w:webHidden/>
              </w:rPr>
            </w:r>
            <w:r w:rsidR="00504212" w:rsidRPr="003466DB">
              <w:rPr>
                <w:noProof/>
                <w:webHidden/>
              </w:rPr>
              <w:fldChar w:fldCharType="separate"/>
            </w:r>
            <w:r w:rsidR="00504212" w:rsidRPr="003466DB">
              <w:rPr>
                <w:noProof/>
                <w:webHidden/>
              </w:rPr>
              <w:t>5</w:t>
            </w:r>
            <w:r w:rsidR="00504212" w:rsidRPr="003466DB">
              <w:rPr>
                <w:noProof/>
                <w:webHidden/>
              </w:rPr>
              <w:fldChar w:fldCharType="end"/>
            </w:r>
          </w:hyperlink>
        </w:p>
        <w:p w14:paraId="364A4E4F" w14:textId="6294EF2F" w:rsidR="00504212" w:rsidRPr="003466DB" w:rsidRDefault="003466DB" w:rsidP="00B10D98">
          <w:pPr>
            <w:pStyle w:val="Inhopg2"/>
            <w:tabs>
              <w:tab w:val="right" w:leader="dot" w:pos="9062"/>
            </w:tabs>
            <w:spacing w:line="480" w:lineRule="auto"/>
            <w:rPr>
              <w:rFonts w:eastAsiaTheme="minorEastAsia"/>
              <w:noProof/>
            </w:rPr>
          </w:pPr>
          <w:hyperlink w:anchor="_Toc38977690" w:history="1">
            <w:r w:rsidR="00504212" w:rsidRPr="003466DB">
              <w:rPr>
                <w:rStyle w:val="Hyperlink"/>
                <w:noProof/>
              </w:rPr>
              <w:t>Stratification based on other diagnoses</w:t>
            </w:r>
            <w:r w:rsidR="00504212" w:rsidRPr="003466DB">
              <w:rPr>
                <w:noProof/>
                <w:webHidden/>
              </w:rPr>
              <w:tab/>
            </w:r>
            <w:r w:rsidR="00504212" w:rsidRPr="003466DB">
              <w:rPr>
                <w:noProof/>
                <w:webHidden/>
              </w:rPr>
              <w:fldChar w:fldCharType="begin"/>
            </w:r>
            <w:r w:rsidR="00504212" w:rsidRPr="003466DB">
              <w:rPr>
                <w:noProof/>
                <w:webHidden/>
              </w:rPr>
              <w:instrText xml:space="preserve"> PAGEREF _Toc38977690 \h </w:instrText>
            </w:r>
            <w:r w:rsidR="00504212" w:rsidRPr="003466DB">
              <w:rPr>
                <w:noProof/>
                <w:webHidden/>
              </w:rPr>
            </w:r>
            <w:r w:rsidR="00504212" w:rsidRPr="003466DB">
              <w:rPr>
                <w:noProof/>
                <w:webHidden/>
              </w:rPr>
              <w:fldChar w:fldCharType="separate"/>
            </w:r>
            <w:r w:rsidR="00504212" w:rsidRPr="003466DB">
              <w:rPr>
                <w:noProof/>
                <w:webHidden/>
              </w:rPr>
              <w:t>6</w:t>
            </w:r>
            <w:r w:rsidR="00504212" w:rsidRPr="003466DB">
              <w:rPr>
                <w:noProof/>
                <w:webHidden/>
              </w:rPr>
              <w:fldChar w:fldCharType="end"/>
            </w:r>
          </w:hyperlink>
        </w:p>
        <w:p w14:paraId="5BAAFFA5" w14:textId="4C82562F" w:rsidR="00504212" w:rsidRPr="003466DB" w:rsidRDefault="003466DB" w:rsidP="00B10D98">
          <w:pPr>
            <w:pStyle w:val="Inhopg2"/>
            <w:tabs>
              <w:tab w:val="right" w:leader="dot" w:pos="9062"/>
            </w:tabs>
            <w:spacing w:line="480" w:lineRule="auto"/>
            <w:rPr>
              <w:rFonts w:eastAsiaTheme="minorEastAsia"/>
              <w:noProof/>
            </w:rPr>
          </w:pPr>
          <w:hyperlink w:anchor="_Toc38977691" w:history="1">
            <w:r w:rsidR="00504212" w:rsidRPr="003466DB">
              <w:rPr>
                <w:rStyle w:val="Hyperlink"/>
                <w:noProof/>
              </w:rPr>
              <w:t>Model fit</w:t>
            </w:r>
            <w:r w:rsidR="00504212" w:rsidRPr="003466DB">
              <w:rPr>
                <w:noProof/>
                <w:webHidden/>
              </w:rPr>
              <w:tab/>
            </w:r>
            <w:r w:rsidR="00504212" w:rsidRPr="003466DB">
              <w:rPr>
                <w:noProof/>
                <w:webHidden/>
              </w:rPr>
              <w:fldChar w:fldCharType="begin"/>
            </w:r>
            <w:r w:rsidR="00504212" w:rsidRPr="003466DB">
              <w:rPr>
                <w:noProof/>
                <w:webHidden/>
              </w:rPr>
              <w:instrText xml:space="preserve"> PAGEREF _Toc38977691 \h </w:instrText>
            </w:r>
            <w:r w:rsidR="00504212" w:rsidRPr="003466DB">
              <w:rPr>
                <w:noProof/>
                <w:webHidden/>
              </w:rPr>
            </w:r>
            <w:r w:rsidR="00504212" w:rsidRPr="003466DB">
              <w:rPr>
                <w:noProof/>
                <w:webHidden/>
              </w:rPr>
              <w:fldChar w:fldCharType="separate"/>
            </w:r>
            <w:r w:rsidR="00504212" w:rsidRPr="003466DB">
              <w:rPr>
                <w:noProof/>
                <w:webHidden/>
              </w:rPr>
              <w:t>6</w:t>
            </w:r>
            <w:r w:rsidR="00504212" w:rsidRPr="003466DB">
              <w:rPr>
                <w:noProof/>
                <w:webHidden/>
              </w:rPr>
              <w:fldChar w:fldCharType="end"/>
            </w:r>
          </w:hyperlink>
        </w:p>
        <w:p w14:paraId="4A1E39B4" w14:textId="514E19A3" w:rsidR="00504212" w:rsidRPr="003466DB" w:rsidRDefault="003466DB" w:rsidP="00B10D98">
          <w:pPr>
            <w:pStyle w:val="Inhopg2"/>
            <w:tabs>
              <w:tab w:val="right" w:leader="dot" w:pos="9062"/>
            </w:tabs>
            <w:spacing w:line="480" w:lineRule="auto"/>
            <w:rPr>
              <w:rFonts w:eastAsiaTheme="minorEastAsia"/>
              <w:noProof/>
            </w:rPr>
          </w:pPr>
          <w:hyperlink w:anchor="_Toc38977692" w:history="1">
            <w:r w:rsidR="00504212" w:rsidRPr="003466DB">
              <w:rPr>
                <w:rStyle w:val="Hyperlink"/>
                <w:noProof/>
              </w:rPr>
              <w:t>Medication</w:t>
            </w:r>
            <w:r w:rsidR="00504212" w:rsidRPr="003466DB">
              <w:rPr>
                <w:noProof/>
                <w:webHidden/>
              </w:rPr>
              <w:tab/>
            </w:r>
            <w:r w:rsidR="00504212" w:rsidRPr="003466DB">
              <w:rPr>
                <w:noProof/>
                <w:webHidden/>
              </w:rPr>
              <w:fldChar w:fldCharType="begin"/>
            </w:r>
            <w:r w:rsidR="00504212" w:rsidRPr="003466DB">
              <w:rPr>
                <w:noProof/>
                <w:webHidden/>
              </w:rPr>
              <w:instrText xml:space="preserve"> PAGEREF _Toc38977692 \h </w:instrText>
            </w:r>
            <w:r w:rsidR="00504212" w:rsidRPr="003466DB">
              <w:rPr>
                <w:noProof/>
                <w:webHidden/>
              </w:rPr>
            </w:r>
            <w:r w:rsidR="00504212" w:rsidRPr="003466DB">
              <w:rPr>
                <w:noProof/>
                <w:webHidden/>
              </w:rPr>
              <w:fldChar w:fldCharType="separate"/>
            </w:r>
            <w:r w:rsidR="00504212" w:rsidRPr="003466DB">
              <w:rPr>
                <w:noProof/>
                <w:webHidden/>
              </w:rPr>
              <w:t>6</w:t>
            </w:r>
            <w:r w:rsidR="00504212" w:rsidRPr="003466DB">
              <w:rPr>
                <w:noProof/>
                <w:webHidden/>
              </w:rPr>
              <w:fldChar w:fldCharType="end"/>
            </w:r>
          </w:hyperlink>
        </w:p>
        <w:p w14:paraId="0498834A" w14:textId="04CFE293" w:rsidR="00504212" w:rsidRPr="003466DB" w:rsidRDefault="003466DB" w:rsidP="00B10D98">
          <w:pPr>
            <w:pStyle w:val="Inhopg2"/>
            <w:tabs>
              <w:tab w:val="right" w:leader="dot" w:pos="9062"/>
            </w:tabs>
            <w:spacing w:line="480" w:lineRule="auto"/>
            <w:rPr>
              <w:rFonts w:eastAsiaTheme="minorEastAsia"/>
              <w:noProof/>
            </w:rPr>
          </w:pPr>
          <w:hyperlink w:anchor="_Toc38977693" w:history="1">
            <w:r w:rsidR="00504212" w:rsidRPr="003466DB">
              <w:rPr>
                <w:rStyle w:val="Hyperlink"/>
                <w:noProof/>
              </w:rPr>
              <w:t>Number of diagnoses</w:t>
            </w:r>
            <w:r w:rsidR="00504212" w:rsidRPr="003466DB">
              <w:rPr>
                <w:noProof/>
                <w:webHidden/>
              </w:rPr>
              <w:tab/>
            </w:r>
            <w:r w:rsidR="00504212" w:rsidRPr="003466DB">
              <w:rPr>
                <w:noProof/>
                <w:webHidden/>
              </w:rPr>
              <w:fldChar w:fldCharType="begin"/>
            </w:r>
            <w:r w:rsidR="00504212" w:rsidRPr="003466DB">
              <w:rPr>
                <w:noProof/>
                <w:webHidden/>
              </w:rPr>
              <w:instrText xml:space="preserve"> PAGEREF _Toc38977693 \h </w:instrText>
            </w:r>
            <w:r w:rsidR="00504212" w:rsidRPr="003466DB">
              <w:rPr>
                <w:noProof/>
                <w:webHidden/>
              </w:rPr>
            </w:r>
            <w:r w:rsidR="00504212" w:rsidRPr="003466DB">
              <w:rPr>
                <w:noProof/>
                <w:webHidden/>
              </w:rPr>
              <w:fldChar w:fldCharType="separate"/>
            </w:r>
            <w:r w:rsidR="00504212" w:rsidRPr="003466DB">
              <w:rPr>
                <w:noProof/>
                <w:webHidden/>
              </w:rPr>
              <w:t>6</w:t>
            </w:r>
            <w:r w:rsidR="00504212" w:rsidRPr="003466DB">
              <w:rPr>
                <w:noProof/>
                <w:webHidden/>
              </w:rPr>
              <w:fldChar w:fldCharType="end"/>
            </w:r>
          </w:hyperlink>
        </w:p>
        <w:p w14:paraId="69F159A4" w14:textId="0D941E6D" w:rsidR="00504212" w:rsidRPr="003466DB" w:rsidRDefault="003466DB" w:rsidP="00B10D98">
          <w:pPr>
            <w:pStyle w:val="Inhopg2"/>
            <w:tabs>
              <w:tab w:val="right" w:leader="dot" w:pos="9062"/>
            </w:tabs>
            <w:spacing w:line="480" w:lineRule="auto"/>
            <w:rPr>
              <w:rFonts w:eastAsiaTheme="minorEastAsia"/>
              <w:noProof/>
            </w:rPr>
          </w:pPr>
          <w:hyperlink w:anchor="_Toc38977694" w:history="1">
            <w:r w:rsidR="00504212" w:rsidRPr="003466DB">
              <w:rPr>
                <w:rStyle w:val="Hyperlink"/>
                <w:noProof/>
              </w:rPr>
              <w:t>Comparison MDD group without comorbidity</w:t>
            </w:r>
            <w:r w:rsidR="00504212" w:rsidRPr="003466DB">
              <w:rPr>
                <w:noProof/>
                <w:webHidden/>
              </w:rPr>
              <w:tab/>
            </w:r>
            <w:r w:rsidR="00504212" w:rsidRPr="003466DB">
              <w:rPr>
                <w:noProof/>
                <w:webHidden/>
              </w:rPr>
              <w:fldChar w:fldCharType="begin"/>
            </w:r>
            <w:r w:rsidR="00504212" w:rsidRPr="003466DB">
              <w:rPr>
                <w:noProof/>
                <w:webHidden/>
              </w:rPr>
              <w:instrText xml:space="preserve"> PAGEREF _Toc38977694 \h </w:instrText>
            </w:r>
            <w:r w:rsidR="00504212" w:rsidRPr="003466DB">
              <w:rPr>
                <w:noProof/>
                <w:webHidden/>
              </w:rPr>
            </w:r>
            <w:r w:rsidR="00504212" w:rsidRPr="003466DB">
              <w:rPr>
                <w:noProof/>
                <w:webHidden/>
              </w:rPr>
              <w:fldChar w:fldCharType="separate"/>
            </w:r>
            <w:r w:rsidR="00504212" w:rsidRPr="003466DB">
              <w:rPr>
                <w:noProof/>
                <w:webHidden/>
              </w:rPr>
              <w:t>7</w:t>
            </w:r>
            <w:r w:rsidR="00504212" w:rsidRPr="003466DB">
              <w:rPr>
                <w:noProof/>
                <w:webHidden/>
              </w:rPr>
              <w:fldChar w:fldCharType="end"/>
            </w:r>
          </w:hyperlink>
        </w:p>
        <w:p w14:paraId="6B08C569" w14:textId="58F1D62B" w:rsidR="00504212" w:rsidRPr="003466DB" w:rsidRDefault="003466DB" w:rsidP="00B10D98">
          <w:pPr>
            <w:pStyle w:val="Inhopg2"/>
            <w:tabs>
              <w:tab w:val="right" w:leader="dot" w:pos="9062"/>
            </w:tabs>
            <w:spacing w:line="480" w:lineRule="auto"/>
            <w:rPr>
              <w:rFonts w:eastAsiaTheme="minorEastAsia"/>
              <w:noProof/>
            </w:rPr>
          </w:pPr>
          <w:hyperlink w:anchor="_Toc38977695" w:history="1">
            <w:r w:rsidR="00504212" w:rsidRPr="003466DB">
              <w:rPr>
                <w:rStyle w:val="Hyperlink"/>
                <w:noProof/>
              </w:rPr>
              <w:t>Specific comparison of the negative learning bias measures</w:t>
            </w:r>
            <w:r w:rsidR="00504212" w:rsidRPr="003466DB">
              <w:rPr>
                <w:noProof/>
                <w:webHidden/>
              </w:rPr>
              <w:tab/>
            </w:r>
            <w:r w:rsidR="00504212" w:rsidRPr="003466DB">
              <w:rPr>
                <w:noProof/>
                <w:webHidden/>
              </w:rPr>
              <w:fldChar w:fldCharType="begin"/>
            </w:r>
            <w:r w:rsidR="00504212" w:rsidRPr="003466DB">
              <w:rPr>
                <w:noProof/>
                <w:webHidden/>
              </w:rPr>
              <w:instrText xml:space="preserve"> PAGEREF _Toc38977695 \h </w:instrText>
            </w:r>
            <w:r w:rsidR="00504212" w:rsidRPr="003466DB">
              <w:rPr>
                <w:noProof/>
                <w:webHidden/>
              </w:rPr>
            </w:r>
            <w:r w:rsidR="00504212" w:rsidRPr="003466DB">
              <w:rPr>
                <w:noProof/>
                <w:webHidden/>
              </w:rPr>
              <w:fldChar w:fldCharType="separate"/>
            </w:r>
            <w:r w:rsidR="00504212" w:rsidRPr="003466DB">
              <w:rPr>
                <w:noProof/>
                <w:webHidden/>
              </w:rPr>
              <w:t>7</w:t>
            </w:r>
            <w:r w:rsidR="00504212" w:rsidRPr="003466DB">
              <w:rPr>
                <w:noProof/>
                <w:webHidden/>
              </w:rPr>
              <w:fldChar w:fldCharType="end"/>
            </w:r>
          </w:hyperlink>
        </w:p>
        <w:p w14:paraId="4A8A4F5F" w14:textId="4DD65EB3" w:rsidR="00504212" w:rsidRPr="003466DB" w:rsidRDefault="003466DB" w:rsidP="00B10D98">
          <w:pPr>
            <w:pStyle w:val="Inhopg2"/>
            <w:tabs>
              <w:tab w:val="right" w:leader="dot" w:pos="9062"/>
            </w:tabs>
            <w:spacing w:line="480" w:lineRule="auto"/>
            <w:rPr>
              <w:rFonts w:eastAsiaTheme="minorEastAsia"/>
              <w:noProof/>
            </w:rPr>
          </w:pPr>
          <w:hyperlink w:anchor="_Toc38977696" w:history="1">
            <w:r w:rsidR="00504212" w:rsidRPr="003466DB">
              <w:rPr>
                <w:rStyle w:val="Hyperlink"/>
                <w:noProof/>
              </w:rPr>
              <w:t>Results in participants who passed the learning criterion</w:t>
            </w:r>
            <w:r w:rsidR="00504212" w:rsidRPr="003466DB">
              <w:rPr>
                <w:noProof/>
                <w:webHidden/>
              </w:rPr>
              <w:tab/>
            </w:r>
            <w:r w:rsidR="00504212" w:rsidRPr="003466DB">
              <w:rPr>
                <w:noProof/>
                <w:webHidden/>
              </w:rPr>
              <w:fldChar w:fldCharType="begin"/>
            </w:r>
            <w:r w:rsidR="00504212" w:rsidRPr="003466DB">
              <w:rPr>
                <w:noProof/>
                <w:webHidden/>
              </w:rPr>
              <w:instrText xml:space="preserve"> PAGEREF _Toc38977696 \h </w:instrText>
            </w:r>
            <w:r w:rsidR="00504212" w:rsidRPr="003466DB">
              <w:rPr>
                <w:noProof/>
                <w:webHidden/>
              </w:rPr>
            </w:r>
            <w:r w:rsidR="00504212" w:rsidRPr="003466DB">
              <w:rPr>
                <w:noProof/>
                <w:webHidden/>
              </w:rPr>
              <w:fldChar w:fldCharType="separate"/>
            </w:r>
            <w:r w:rsidR="00504212" w:rsidRPr="003466DB">
              <w:rPr>
                <w:noProof/>
                <w:webHidden/>
              </w:rPr>
              <w:t>8</w:t>
            </w:r>
            <w:r w:rsidR="00504212" w:rsidRPr="003466DB">
              <w:rPr>
                <w:noProof/>
                <w:webHidden/>
              </w:rPr>
              <w:fldChar w:fldCharType="end"/>
            </w:r>
          </w:hyperlink>
        </w:p>
        <w:p w14:paraId="3713BDAA" w14:textId="73A37F65" w:rsidR="00504212" w:rsidRPr="003466DB" w:rsidRDefault="003466DB" w:rsidP="00B10D98">
          <w:pPr>
            <w:pStyle w:val="Inhopg2"/>
            <w:tabs>
              <w:tab w:val="right" w:leader="dot" w:pos="9062"/>
            </w:tabs>
            <w:spacing w:line="480" w:lineRule="auto"/>
            <w:rPr>
              <w:rFonts w:eastAsiaTheme="minorEastAsia"/>
              <w:noProof/>
            </w:rPr>
          </w:pPr>
          <w:hyperlink w:anchor="_Toc38977697" w:history="1">
            <w:r w:rsidR="00504212" w:rsidRPr="003466DB">
              <w:rPr>
                <w:rStyle w:val="Hyperlink"/>
                <w:noProof/>
              </w:rPr>
              <w:t>Anhedonia symptoms do not influence behavior on the probabilistic reversal learning task</w:t>
            </w:r>
            <w:r w:rsidR="00504212" w:rsidRPr="003466DB">
              <w:rPr>
                <w:noProof/>
                <w:webHidden/>
              </w:rPr>
              <w:tab/>
            </w:r>
            <w:r w:rsidR="00504212" w:rsidRPr="003466DB">
              <w:rPr>
                <w:noProof/>
                <w:webHidden/>
              </w:rPr>
              <w:fldChar w:fldCharType="begin"/>
            </w:r>
            <w:r w:rsidR="00504212" w:rsidRPr="003466DB">
              <w:rPr>
                <w:noProof/>
                <w:webHidden/>
              </w:rPr>
              <w:instrText xml:space="preserve"> PAGEREF _Toc38977697 \h </w:instrText>
            </w:r>
            <w:r w:rsidR="00504212" w:rsidRPr="003466DB">
              <w:rPr>
                <w:noProof/>
                <w:webHidden/>
              </w:rPr>
            </w:r>
            <w:r w:rsidR="00504212" w:rsidRPr="003466DB">
              <w:rPr>
                <w:noProof/>
                <w:webHidden/>
              </w:rPr>
              <w:fldChar w:fldCharType="separate"/>
            </w:r>
            <w:r w:rsidR="00504212" w:rsidRPr="003466DB">
              <w:rPr>
                <w:noProof/>
                <w:webHidden/>
              </w:rPr>
              <w:t>8</w:t>
            </w:r>
            <w:r w:rsidR="00504212" w:rsidRPr="003466DB">
              <w:rPr>
                <w:noProof/>
                <w:webHidden/>
              </w:rPr>
              <w:fldChar w:fldCharType="end"/>
            </w:r>
          </w:hyperlink>
        </w:p>
        <w:p w14:paraId="0B5FE78C" w14:textId="2AFBA004" w:rsidR="00504212" w:rsidRDefault="003466DB" w:rsidP="00B10D98">
          <w:pPr>
            <w:pStyle w:val="Inhopg1"/>
            <w:tabs>
              <w:tab w:val="right" w:leader="dot" w:pos="9062"/>
            </w:tabs>
            <w:spacing w:line="480" w:lineRule="auto"/>
            <w:rPr>
              <w:rFonts w:eastAsiaTheme="minorEastAsia"/>
              <w:noProof/>
            </w:rPr>
          </w:pPr>
          <w:hyperlink w:anchor="_Toc38977698" w:history="1">
            <w:r w:rsidR="00504212" w:rsidRPr="003466DB">
              <w:rPr>
                <w:rStyle w:val="Hyperlink"/>
                <w:noProof/>
              </w:rPr>
              <w:t>Figure S1</w:t>
            </w:r>
            <w:r w:rsidR="00504212" w:rsidRPr="003466DB">
              <w:rPr>
                <w:noProof/>
                <w:webHidden/>
              </w:rPr>
              <w:tab/>
            </w:r>
            <w:r w:rsidR="00504212" w:rsidRPr="003466DB">
              <w:rPr>
                <w:noProof/>
                <w:webHidden/>
              </w:rPr>
              <w:fldChar w:fldCharType="begin"/>
            </w:r>
            <w:r w:rsidR="00504212" w:rsidRPr="003466DB">
              <w:rPr>
                <w:noProof/>
                <w:webHidden/>
              </w:rPr>
              <w:instrText xml:space="preserve"> PAGEREF _Toc38977698 \h </w:instrText>
            </w:r>
            <w:r w:rsidR="00504212" w:rsidRPr="003466DB">
              <w:rPr>
                <w:noProof/>
                <w:webHidden/>
              </w:rPr>
            </w:r>
            <w:r w:rsidR="00504212" w:rsidRPr="003466DB">
              <w:rPr>
                <w:noProof/>
                <w:webHidden/>
              </w:rPr>
              <w:fldChar w:fldCharType="separate"/>
            </w:r>
            <w:r w:rsidR="00504212" w:rsidRPr="003466DB">
              <w:rPr>
                <w:noProof/>
                <w:webHidden/>
              </w:rPr>
              <w:t>9</w:t>
            </w:r>
            <w:r w:rsidR="00504212" w:rsidRPr="003466DB">
              <w:rPr>
                <w:noProof/>
                <w:webHidden/>
              </w:rPr>
              <w:fldChar w:fldCharType="end"/>
            </w:r>
          </w:hyperlink>
        </w:p>
        <w:p w14:paraId="79428F97" w14:textId="3F2AE014" w:rsidR="00504212" w:rsidRDefault="003466DB" w:rsidP="00B10D98">
          <w:pPr>
            <w:pStyle w:val="Inhopg1"/>
            <w:tabs>
              <w:tab w:val="right" w:leader="dot" w:pos="9062"/>
            </w:tabs>
            <w:spacing w:line="480" w:lineRule="auto"/>
            <w:rPr>
              <w:rFonts w:eastAsiaTheme="minorEastAsia"/>
              <w:noProof/>
            </w:rPr>
          </w:pPr>
          <w:hyperlink w:anchor="_Toc38977699" w:history="1">
            <w:r w:rsidR="00504212" w:rsidRPr="00E717A1">
              <w:rPr>
                <w:rStyle w:val="Hyperlink"/>
                <w:noProof/>
              </w:rPr>
              <w:t>Tables</w:t>
            </w:r>
            <w:r w:rsidR="00504212">
              <w:rPr>
                <w:noProof/>
                <w:webHidden/>
              </w:rPr>
              <w:tab/>
            </w:r>
            <w:r w:rsidR="00504212">
              <w:rPr>
                <w:noProof/>
                <w:webHidden/>
              </w:rPr>
              <w:fldChar w:fldCharType="begin"/>
            </w:r>
            <w:r w:rsidR="00504212">
              <w:rPr>
                <w:noProof/>
                <w:webHidden/>
              </w:rPr>
              <w:instrText xml:space="preserve"> PAGEREF _Toc38977699 \h </w:instrText>
            </w:r>
            <w:r w:rsidR="00504212">
              <w:rPr>
                <w:noProof/>
                <w:webHidden/>
              </w:rPr>
            </w:r>
            <w:r w:rsidR="00504212">
              <w:rPr>
                <w:noProof/>
                <w:webHidden/>
              </w:rPr>
              <w:fldChar w:fldCharType="separate"/>
            </w:r>
            <w:r w:rsidR="00504212">
              <w:rPr>
                <w:noProof/>
                <w:webHidden/>
              </w:rPr>
              <w:t>10</w:t>
            </w:r>
            <w:r w:rsidR="00504212">
              <w:rPr>
                <w:noProof/>
                <w:webHidden/>
              </w:rPr>
              <w:fldChar w:fldCharType="end"/>
            </w:r>
          </w:hyperlink>
        </w:p>
        <w:p w14:paraId="098B9ABB" w14:textId="473DEED8" w:rsidR="00504212" w:rsidRDefault="003466DB" w:rsidP="00B10D98">
          <w:pPr>
            <w:pStyle w:val="Inhopg1"/>
            <w:tabs>
              <w:tab w:val="right" w:leader="dot" w:pos="9062"/>
            </w:tabs>
            <w:spacing w:line="480" w:lineRule="auto"/>
            <w:rPr>
              <w:rFonts w:eastAsiaTheme="minorEastAsia"/>
              <w:noProof/>
            </w:rPr>
          </w:pPr>
          <w:hyperlink w:anchor="_Toc38977700" w:history="1">
            <w:r w:rsidR="00504212" w:rsidRPr="00E717A1">
              <w:rPr>
                <w:rStyle w:val="Hyperlink"/>
                <w:rFonts w:ascii="Calibri" w:eastAsia="Calibri" w:hAnsi="Calibri" w:cs="Times New Roman"/>
                <w:noProof/>
                <w:lang w:val="en-US"/>
              </w:rPr>
              <w:t>References</w:t>
            </w:r>
            <w:r w:rsidR="00504212">
              <w:rPr>
                <w:noProof/>
                <w:webHidden/>
              </w:rPr>
              <w:tab/>
            </w:r>
            <w:r w:rsidR="00504212">
              <w:rPr>
                <w:noProof/>
                <w:webHidden/>
              </w:rPr>
              <w:fldChar w:fldCharType="begin"/>
            </w:r>
            <w:r w:rsidR="00504212">
              <w:rPr>
                <w:noProof/>
                <w:webHidden/>
              </w:rPr>
              <w:instrText xml:space="preserve"> PAGEREF _Toc38977700 \h </w:instrText>
            </w:r>
            <w:r w:rsidR="00504212">
              <w:rPr>
                <w:noProof/>
                <w:webHidden/>
              </w:rPr>
            </w:r>
            <w:r w:rsidR="00504212">
              <w:rPr>
                <w:noProof/>
                <w:webHidden/>
              </w:rPr>
              <w:fldChar w:fldCharType="separate"/>
            </w:r>
            <w:r w:rsidR="00504212">
              <w:rPr>
                <w:noProof/>
                <w:webHidden/>
              </w:rPr>
              <w:t>16</w:t>
            </w:r>
            <w:r w:rsidR="00504212">
              <w:rPr>
                <w:noProof/>
                <w:webHidden/>
              </w:rPr>
              <w:fldChar w:fldCharType="end"/>
            </w:r>
          </w:hyperlink>
        </w:p>
        <w:p w14:paraId="2BBAB6C6" w14:textId="4BBBA99C" w:rsidR="004A2153" w:rsidRPr="00460888" w:rsidRDefault="00AF2570" w:rsidP="00B10D98">
          <w:pPr>
            <w:spacing w:line="480" w:lineRule="auto"/>
            <w:rPr>
              <w:b/>
              <w:bCs/>
              <w:noProof/>
            </w:rPr>
            <w:sectPr w:rsidR="004A2153" w:rsidRPr="00460888" w:rsidSect="00E57358">
              <w:footerReference w:type="default" r:id="rId7"/>
              <w:pgSz w:w="11906" w:h="16838"/>
              <w:pgMar w:top="1417" w:right="1417" w:bottom="1417" w:left="1417" w:header="708" w:footer="708" w:gutter="0"/>
              <w:lnNumType w:countBy="1" w:restart="continuous"/>
              <w:cols w:space="708"/>
              <w:docGrid w:linePitch="360"/>
            </w:sectPr>
          </w:pPr>
          <w:r>
            <w:rPr>
              <w:b/>
              <w:bCs/>
              <w:noProof/>
            </w:rPr>
            <w:fldChar w:fldCharType="end"/>
          </w:r>
        </w:p>
      </w:sdtContent>
    </w:sdt>
    <w:p w14:paraId="2554123D" w14:textId="66399D82" w:rsidR="004A0A07" w:rsidRPr="004A0A07" w:rsidRDefault="004A0A07" w:rsidP="00F43D69">
      <w:pPr>
        <w:pStyle w:val="Kop1"/>
      </w:pPr>
      <w:bookmarkStart w:id="0" w:name="_Toc38977682"/>
      <w:r w:rsidRPr="004A0A07">
        <w:lastRenderedPageBreak/>
        <w:t>Methods</w:t>
      </w:r>
      <w:bookmarkEnd w:id="0"/>
    </w:p>
    <w:p w14:paraId="0576C4FA" w14:textId="5EB4E182" w:rsidR="00160918" w:rsidRPr="00AF2570" w:rsidRDefault="004520DC" w:rsidP="00AF2570">
      <w:pPr>
        <w:pStyle w:val="Kop2"/>
      </w:pPr>
      <w:bookmarkStart w:id="1" w:name="_Toc38977683"/>
      <w:r w:rsidRPr="00AF2570">
        <w:t>Patient inclusion</w:t>
      </w:r>
      <w:bookmarkEnd w:id="1"/>
    </w:p>
    <w:p w14:paraId="2125E642" w14:textId="3BBDA7FD" w:rsidR="00563183" w:rsidRDefault="00563183" w:rsidP="00C71ECC">
      <w:pPr>
        <w:pStyle w:val="Geenafstand"/>
        <w:spacing w:line="480" w:lineRule="auto"/>
        <w:ind w:firstLine="708"/>
        <w:rPr>
          <w:lang w:val="en-US"/>
        </w:rPr>
      </w:pPr>
      <w:r>
        <w:rPr>
          <w:lang w:val="en-US"/>
        </w:rPr>
        <w:t xml:space="preserve">All outpatients </w:t>
      </w:r>
      <w:r w:rsidR="008B0F14">
        <w:rPr>
          <w:lang w:val="en-US"/>
        </w:rPr>
        <w:t>completed</w:t>
      </w:r>
      <w:r>
        <w:rPr>
          <w:lang w:val="en-US"/>
        </w:rPr>
        <w:t xml:space="preserve"> </w:t>
      </w:r>
      <w:r w:rsidR="000C2DB1">
        <w:rPr>
          <w:lang w:val="en-US"/>
        </w:rPr>
        <w:t>the</w:t>
      </w:r>
      <w:r w:rsidR="00AF3020">
        <w:rPr>
          <w:lang w:val="en-US"/>
        </w:rPr>
        <w:t xml:space="preserve"> </w:t>
      </w:r>
      <w:r>
        <w:rPr>
          <w:lang w:val="en-US"/>
        </w:rPr>
        <w:t xml:space="preserve">online questionnaires before the first visit as part of the standard clinical </w:t>
      </w:r>
      <w:r w:rsidR="000C2DB1">
        <w:rPr>
          <w:lang w:val="en-US"/>
        </w:rPr>
        <w:t xml:space="preserve">diagnostic </w:t>
      </w:r>
      <w:r>
        <w:rPr>
          <w:lang w:val="en-US"/>
        </w:rPr>
        <w:t>procedure</w:t>
      </w:r>
      <w:r w:rsidR="00AB5EA6">
        <w:rPr>
          <w:lang w:val="en-US"/>
        </w:rPr>
        <w:t xml:space="preserve"> (Table </w:t>
      </w:r>
      <w:r w:rsidR="00DE7EBE">
        <w:rPr>
          <w:lang w:val="en-US"/>
        </w:rPr>
        <w:t>S</w:t>
      </w:r>
      <w:r w:rsidR="00AB5EA6">
        <w:rPr>
          <w:lang w:val="en-US"/>
        </w:rPr>
        <w:t>1)</w:t>
      </w:r>
      <w:r>
        <w:rPr>
          <w:lang w:val="en-US"/>
        </w:rPr>
        <w:t xml:space="preserve">. During the first appointment, </w:t>
      </w:r>
      <w:r w:rsidRPr="00D4005B">
        <w:rPr>
          <w:lang w:val="en-US"/>
        </w:rPr>
        <w:t xml:space="preserve">DSM-IV </w:t>
      </w:r>
      <w:r w:rsidR="000C2DB1">
        <w:rPr>
          <w:lang w:val="en-US"/>
        </w:rPr>
        <w:t>classifications of</w:t>
      </w:r>
      <w:r w:rsidR="00AF3020">
        <w:rPr>
          <w:lang w:val="en-US"/>
        </w:rPr>
        <w:t xml:space="preserve"> </w:t>
      </w:r>
      <w:r w:rsidR="00AB5EA6">
        <w:rPr>
          <w:lang w:val="en-US"/>
        </w:rPr>
        <w:t>depressive disorders (major depressive disorder (MDD) and dysth</w:t>
      </w:r>
      <w:r w:rsidR="00412C25">
        <w:rPr>
          <w:lang w:val="en-US"/>
        </w:rPr>
        <w:t>y</w:t>
      </w:r>
      <w:r w:rsidR="00AB5EA6">
        <w:rPr>
          <w:lang w:val="en-US"/>
        </w:rPr>
        <w:t>mia)</w:t>
      </w:r>
      <w:r w:rsidRPr="00D4005B">
        <w:rPr>
          <w:lang w:val="en-US"/>
        </w:rPr>
        <w:t>, anxiety disorder</w:t>
      </w:r>
      <w:r w:rsidR="00AB5EA6">
        <w:rPr>
          <w:lang w:val="en-US"/>
        </w:rPr>
        <w:t>s</w:t>
      </w:r>
      <w:r w:rsidRPr="00D4005B">
        <w:rPr>
          <w:lang w:val="en-US"/>
        </w:rPr>
        <w:t xml:space="preserve">, </w:t>
      </w:r>
      <w:r w:rsidR="008E1C05">
        <w:rPr>
          <w:lang w:val="en-US"/>
        </w:rPr>
        <w:t>addictive disorder</w:t>
      </w:r>
      <w:r w:rsidR="00AB5EA6">
        <w:rPr>
          <w:lang w:val="en-US"/>
        </w:rPr>
        <w:t>s</w:t>
      </w:r>
      <w:r w:rsidR="008E1C05">
        <w:rPr>
          <w:lang w:val="en-US"/>
        </w:rPr>
        <w:t xml:space="preserve"> </w:t>
      </w:r>
      <w:r w:rsidRPr="00D4005B">
        <w:rPr>
          <w:lang w:val="en-US"/>
        </w:rPr>
        <w:t xml:space="preserve">and </w:t>
      </w:r>
      <w:r w:rsidR="00F71C48" w:rsidRPr="00F71C48">
        <w:rPr>
          <w:lang w:val="en-US"/>
        </w:rPr>
        <w:t xml:space="preserve">attention-deficit/hyperactivity disorder </w:t>
      </w:r>
      <w:r w:rsidR="00F71C48">
        <w:rPr>
          <w:lang w:val="en-US"/>
        </w:rPr>
        <w:t>(</w:t>
      </w:r>
      <w:r w:rsidRPr="00D4005B">
        <w:rPr>
          <w:lang w:val="en-US"/>
        </w:rPr>
        <w:t>ADHD</w:t>
      </w:r>
      <w:r w:rsidR="00F71C48">
        <w:rPr>
          <w:lang w:val="en-US"/>
        </w:rPr>
        <w:t>)</w:t>
      </w:r>
      <w:r w:rsidR="000C2DB1">
        <w:rPr>
          <w:lang w:val="en-US"/>
        </w:rPr>
        <w:t xml:space="preserve"> were assessed</w:t>
      </w:r>
      <w:r w:rsidRPr="00D4005B">
        <w:rPr>
          <w:lang w:val="en-US"/>
        </w:rPr>
        <w:t>. DSM-</w:t>
      </w:r>
      <w:r w:rsidR="008E1C05">
        <w:rPr>
          <w:lang w:val="en-US"/>
        </w:rPr>
        <w:t>5</w:t>
      </w:r>
      <w:r w:rsidR="008E1C05" w:rsidRPr="00D4005B">
        <w:rPr>
          <w:lang w:val="en-US"/>
        </w:rPr>
        <w:t xml:space="preserve"> </w:t>
      </w:r>
      <w:r w:rsidRPr="00D4005B">
        <w:rPr>
          <w:lang w:val="en-US"/>
        </w:rPr>
        <w:t xml:space="preserve">criteria </w:t>
      </w:r>
      <w:r>
        <w:rPr>
          <w:lang w:val="en-US"/>
        </w:rPr>
        <w:t xml:space="preserve">were used </w:t>
      </w:r>
      <w:r w:rsidRPr="00D4005B">
        <w:rPr>
          <w:lang w:val="en-US"/>
        </w:rPr>
        <w:t xml:space="preserve">for </w:t>
      </w:r>
      <w:r w:rsidR="00F71C48">
        <w:rPr>
          <w:lang w:val="en-US"/>
        </w:rPr>
        <w:t>autism spectrum disorders (</w:t>
      </w:r>
      <w:r w:rsidRPr="00D4005B">
        <w:rPr>
          <w:lang w:val="en-US"/>
        </w:rPr>
        <w:t>ASD</w:t>
      </w:r>
      <w:r w:rsidR="00F71C48">
        <w:rPr>
          <w:lang w:val="en-US"/>
        </w:rPr>
        <w:t>)</w:t>
      </w:r>
      <w:r w:rsidRPr="00D4005B">
        <w:rPr>
          <w:lang w:val="en-US"/>
        </w:rPr>
        <w:t>.</w:t>
      </w:r>
      <w:r>
        <w:rPr>
          <w:lang w:val="en-US"/>
        </w:rPr>
        <w:t xml:space="preserve"> MDD</w:t>
      </w:r>
      <w:r w:rsidRPr="00D4005B">
        <w:rPr>
          <w:lang w:val="en-US"/>
        </w:rPr>
        <w:t xml:space="preserve"> and anxiety disorder</w:t>
      </w:r>
      <w:r w:rsidR="00CD0F79">
        <w:rPr>
          <w:lang w:val="en-US"/>
        </w:rPr>
        <w:t>s</w:t>
      </w:r>
      <w:r w:rsidRPr="00D4005B">
        <w:rPr>
          <w:lang w:val="en-US"/>
        </w:rPr>
        <w:t xml:space="preserve"> were assessed by sections A, B, C, D and F of the Structured Clinical interview for DSM-IV AXIS I Disorder (SCID-I; </w:t>
      </w:r>
      <w:r>
        <w:rPr>
          <w:lang w:val="en-US"/>
        </w:rPr>
        <w:fldChar w:fldCharType="begin" w:fldLock="1"/>
      </w:r>
      <w:r w:rsidR="00FE1C3C">
        <w:rPr>
          <w:lang w:val="en-US"/>
        </w:rPr>
        <w:instrText>ADDIN CSL_CITATION {"citationItems":[{"id":"ITEM-1","itemData":{"abstract":"First, M. B., Spitzer, R. L., Gibbon, M., &amp; Williams, J. B. W. (1996). Structured clinical interview for DSM-IV axis I disorders research version (SCID-I). New York, NY: Biometrics Research, New York State Psychiatric Institute.","author":[{"dropping-particle":"","family":"First","given":"M. B.","non-dropping-particle":"","parse-names":false,"suffix":""},{"dropping-particle":"","family":"Spitzer","given":"R. L.","non-dropping-particle":"","parse-names":false,"suffix":""},{"dropping-particle":"","family":"Gibbon","given":"M.","non-dropping-particle":"","parse-names":false,"suffix":""},{"dropping-particle":"","family":"Williams","given":"J. B. W.","non-dropping-particle":"","parse-names":false,"suffix":""}],"id":"ITEM-1","issued":{"date-parts":[["1996"]]},"title":"Structured clinical interview for DSM-IV axis I disorders research version (SCID-I).","type":"article-journal"},"uris":["http://www.mendeley.com/documents/?uuid=ca369a19-ccbf-482f-a3bf-7d313c11c0a5"]}],"mendeley":{"formattedCitation":"(First &lt;i&gt;et al.&lt;/i&gt; 1996)","manualFormatting":"First et al. 1996)","plainTextFormattedCitation":"(First et al. 1996)","previouslyFormattedCitation":"(First &lt;i&gt;et al.&lt;/i&gt; 1996)"},"properties":{"noteIndex":0},"schema":"https://github.com/citation-style-language/schema/raw/master/csl-citation.json"}</w:instrText>
      </w:r>
      <w:r>
        <w:rPr>
          <w:lang w:val="en-US"/>
        </w:rPr>
        <w:fldChar w:fldCharType="separate"/>
      </w:r>
      <w:r w:rsidRPr="00822668">
        <w:rPr>
          <w:noProof/>
          <w:lang w:val="en-US"/>
        </w:rPr>
        <w:t>First</w:t>
      </w:r>
      <w:r>
        <w:rPr>
          <w:noProof/>
          <w:lang w:val="en-US"/>
        </w:rPr>
        <w:t xml:space="preserve"> et al.</w:t>
      </w:r>
      <w:r w:rsidRPr="00822668">
        <w:rPr>
          <w:noProof/>
          <w:lang w:val="en-US"/>
        </w:rPr>
        <w:t xml:space="preserve"> 1996)</w:t>
      </w:r>
      <w:r>
        <w:rPr>
          <w:lang w:val="en-US"/>
        </w:rPr>
        <w:fldChar w:fldCharType="end"/>
      </w:r>
      <w:r w:rsidRPr="00D4005B">
        <w:rPr>
          <w:lang w:val="en-US"/>
        </w:rPr>
        <w:t xml:space="preserve">. ADHD and ASD were </w:t>
      </w:r>
      <w:r w:rsidR="00E63E10">
        <w:rPr>
          <w:lang w:val="en-US"/>
        </w:rPr>
        <w:t>assessed with a two-step diagnostic procedure. F</w:t>
      </w:r>
      <w:r w:rsidRPr="00D4005B">
        <w:rPr>
          <w:lang w:val="en-US"/>
        </w:rPr>
        <w:t>irst screen</w:t>
      </w:r>
      <w:r>
        <w:rPr>
          <w:lang w:val="en-US"/>
        </w:rPr>
        <w:t>ing questionnaire</w:t>
      </w:r>
      <w:r w:rsidR="00E63E10">
        <w:rPr>
          <w:lang w:val="en-US"/>
        </w:rPr>
        <w:t>s were used to detect high-risk patients</w:t>
      </w:r>
      <w:r>
        <w:rPr>
          <w:lang w:val="en-US"/>
        </w:rPr>
        <w:t>.</w:t>
      </w:r>
      <w:r w:rsidRPr="00D4005B">
        <w:rPr>
          <w:lang w:val="en-US"/>
        </w:rPr>
        <w:t xml:space="preserve"> If there was a </w:t>
      </w:r>
      <w:r w:rsidR="001E7718">
        <w:rPr>
          <w:lang w:val="en-US"/>
        </w:rPr>
        <w:t>positive screening for</w:t>
      </w:r>
      <w:r w:rsidRPr="00D4005B">
        <w:rPr>
          <w:lang w:val="en-US"/>
        </w:rPr>
        <w:t xml:space="preserve"> ADHD</w:t>
      </w:r>
      <w:r w:rsidR="00E63E10">
        <w:rPr>
          <w:lang w:val="en-US"/>
        </w:rPr>
        <w:t xml:space="preserve"> (ASRS-sh</w:t>
      </w:r>
      <w:r w:rsidR="00412C25">
        <w:rPr>
          <w:lang w:val="en-US"/>
        </w:rPr>
        <w:t>ort</w:t>
      </w:r>
      <w:r w:rsidR="00E63E10">
        <w:rPr>
          <w:lang w:val="en-US"/>
        </w:rPr>
        <w:t xml:space="preserve"> form; cut-off &gt; 3.6 items)</w:t>
      </w:r>
      <w:r w:rsidRPr="00D4005B">
        <w:rPr>
          <w:lang w:val="en-US"/>
        </w:rPr>
        <w:t xml:space="preserve"> and/or ASD</w:t>
      </w:r>
      <w:r w:rsidR="00E63E10">
        <w:rPr>
          <w:lang w:val="en-US"/>
        </w:rPr>
        <w:t xml:space="preserve"> (AQ-50; cut-off &gt; 25/50 items)</w:t>
      </w:r>
      <w:r w:rsidRPr="00D4005B">
        <w:rPr>
          <w:lang w:val="en-US"/>
        </w:rPr>
        <w:t>, the Diagnostic Interview for Adult ADHD, second edition (DIVA 2.0;</w:t>
      </w:r>
      <w:r>
        <w:rPr>
          <w:lang w:val="en-US"/>
        </w:rPr>
        <w:fldChar w:fldCharType="begin" w:fldLock="1"/>
      </w:r>
      <w:r w:rsidR="005811AF">
        <w:rPr>
          <w:lang w:val="en-US"/>
        </w:rPr>
        <w:instrText>ADDIN CSL_CITATION {"citationItems":[{"id":"ITEM-1","itemData":{"abstract":"Kooij, J. J. S., &amp; Francken, M. H. (2010). Diagnostic interview for ADHD in adults 2.0 (DIVA 2.0). Adult ADHD. Diagnostic Assessment and Treatment. Pearson Assessment and Information BV, Amsterdam.","author":[{"dropping-particle":"","family":"Kooij","given":"J. J. S.","non-dropping-particle":"","parse-names":false,"suffix":""},{"dropping-particle":"","family":"Francken","given":"M. H.","non-dropping-particle":"","parse-names":false,"suffix":""}],"id":"ITEM-1","issued":{"date-parts":[["2010"]]},"title":"Diagnostic interview for ADHD in adults 2.0 (DIVA 2.0).","type":"article-journal"},"uris":["http://www.mendeley.com/documents/?uuid=76defaba-05ff-44f9-99e0-ccdd00ff0393"]}],"mendeley":{"formattedCitation":"(Kooij &amp; Francken 2010)","manualFormatting":" Kooij &amp; Francken 2010)","plainTextFormattedCitation":"(Kooij &amp; Francken 2010)","previouslyFormattedCitation":"(Kooij &amp; Francken 2010)"},"properties":{"noteIndex":0},"schema":"https://github.com/citation-style-language/schema/raw/master/csl-citation.json"}</w:instrText>
      </w:r>
      <w:r>
        <w:rPr>
          <w:lang w:val="en-US"/>
        </w:rPr>
        <w:fldChar w:fldCharType="separate"/>
      </w:r>
      <w:r w:rsidR="00CD0F79">
        <w:rPr>
          <w:noProof/>
          <w:lang w:val="en-US"/>
        </w:rPr>
        <w:t xml:space="preserve"> </w:t>
      </w:r>
      <w:r w:rsidRPr="00822668">
        <w:rPr>
          <w:noProof/>
          <w:lang w:val="en-US"/>
        </w:rPr>
        <w:t>Kooij &amp; Francken 2010)</w:t>
      </w:r>
      <w:r>
        <w:rPr>
          <w:lang w:val="en-US"/>
        </w:rPr>
        <w:fldChar w:fldCharType="end"/>
      </w:r>
      <w:r w:rsidRPr="00D4005B">
        <w:rPr>
          <w:lang w:val="en-US"/>
        </w:rPr>
        <w:t xml:space="preserve"> and/or the Dutch Diagnostic Interview for Adult Autism Spectrum Disorders (NIDA; </w:t>
      </w:r>
      <w:r>
        <w:rPr>
          <w:lang w:val="en-US"/>
        </w:rPr>
        <w:fldChar w:fldCharType="begin" w:fldLock="1"/>
      </w:r>
      <w:r w:rsidR="00FE5FD9">
        <w:rPr>
          <w:lang w:val="en-US"/>
        </w:rPr>
        <w:instrText>ADDIN CSL_CITATION {"citationItems":[{"id":"ITEM-1","itemData":{"author":[{"dropping-particle":"","family":"Vuijk","given":"R","non-dropping-particle":"","parse-names":false,"suffix":""}],"id":"ITEM-1","issued":{"date-parts":[["2016"]]},"title":"Nederlands Interview ten behoeve van Diagnostiek Autismespectrumstoornis bij volwassenen (NIDA)","type":"report"},"uris":["http://www.mendeley.com/documents/?uuid=e089c3ba-5d0f-37a4-9019-2289bb5024c3"]}],"mendeley":{"formattedCitation":"(Vuijk 2016)","manualFormatting":"Vuijk 2016)","plainTextFormattedCitation":"(Vuijk 2016)","previouslyFormattedCitation":"(Vuijk 2016)"},"properties":{"noteIndex":0},"schema":"https://github.com/citation-style-language/schema/raw/master/csl-citation.json"}</w:instrText>
      </w:r>
      <w:r>
        <w:rPr>
          <w:lang w:val="en-US"/>
        </w:rPr>
        <w:fldChar w:fldCharType="separate"/>
      </w:r>
      <w:r w:rsidRPr="00822668">
        <w:rPr>
          <w:noProof/>
          <w:lang w:val="en-US"/>
        </w:rPr>
        <w:t>Vuijk 2016)</w:t>
      </w:r>
      <w:r>
        <w:rPr>
          <w:lang w:val="en-US"/>
        </w:rPr>
        <w:fldChar w:fldCharType="end"/>
      </w:r>
      <w:r w:rsidRPr="00D4005B">
        <w:rPr>
          <w:lang w:val="en-US"/>
        </w:rPr>
        <w:t xml:space="preserve"> were administered </w:t>
      </w:r>
      <w:r>
        <w:rPr>
          <w:lang w:val="en-US"/>
        </w:rPr>
        <w:t>at a later appointment</w:t>
      </w:r>
      <w:r w:rsidRPr="00D4005B">
        <w:rPr>
          <w:lang w:val="en-US"/>
        </w:rPr>
        <w:t xml:space="preserve"> as part of the standard clinical procedure. </w:t>
      </w:r>
      <w:r w:rsidR="00E63E10">
        <w:rPr>
          <w:lang w:val="en-US"/>
        </w:rPr>
        <w:t xml:space="preserve">Both the DIVA and NIDA were completed in the presence of a partner and/or family member of the patient to be able to retrospectively and collaterally ascertain information on a broad range of symptoms in childhood and adulthood. </w:t>
      </w:r>
      <w:r>
        <w:rPr>
          <w:lang w:val="en-US"/>
        </w:rPr>
        <w:t xml:space="preserve">This </w:t>
      </w:r>
      <w:r w:rsidR="00E63E10">
        <w:rPr>
          <w:lang w:val="en-US"/>
        </w:rPr>
        <w:t xml:space="preserve">procedure </w:t>
      </w:r>
      <w:r>
        <w:rPr>
          <w:lang w:val="en-US"/>
        </w:rPr>
        <w:t xml:space="preserve">led to inclusion of some participants with a suspicion of ADHD or ASD at time of </w:t>
      </w:r>
      <w:r w:rsidR="00E63E10">
        <w:rPr>
          <w:lang w:val="en-US"/>
        </w:rPr>
        <w:t>inclusion in the study</w:t>
      </w:r>
      <w:r>
        <w:rPr>
          <w:lang w:val="en-US"/>
        </w:rPr>
        <w:t>, but for which a diagnosis could not be established due to patients not finishing</w:t>
      </w:r>
      <w:r w:rsidRPr="000A0607">
        <w:rPr>
          <w:lang w:val="en-US"/>
        </w:rPr>
        <w:t xml:space="preserve"> the diagnostic process</w:t>
      </w:r>
      <w:r w:rsidR="000C2DB1">
        <w:rPr>
          <w:lang w:val="en-US"/>
        </w:rPr>
        <w:t xml:space="preserve"> at this point</w:t>
      </w:r>
      <w:r>
        <w:rPr>
          <w:lang w:val="en-US"/>
        </w:rPr>
        <w:t xml:space="preserve">. </w:t>
      </w:r>
      <w:r w:rsidR="00C952EC">
        <w:rPr>
          <w:lang w:val="en-US"/>
        </w:rPr>
        <w:t>When we compared the groups, we included t</w:t>
      </w:r>
      <w:r w:rsidR="00AB5EA6">
        <w:rPr>
          <w:lang w:val="en-US"/>
        </w:rPr>
        <w:t xml:space="preserve">hese participants in the No MDD group. </w:t>
      </w:r>
      <w:r w:rsidRPr="00D4005B">
        <w:rPr>
          <w:lang w:val="en-US"/>
        </w:rPr>
        <w:t>Finally</w:t>
      </w:r>
      <w:r>
        <w:rPr>
          <w:lang w:val="en-US"/>
        </w:rPr>
        <w:t>,</w:t>
      </w:r>
      <w:r w:rsidRPr="00D4005B">
        <w:rPr>
          <w:lang w:val="en-US"/>
        </w:rPr>
        <w:t xml:space="preserve"> for the addictive disorders we used the Measurements in the Addictions for Triage and Evaluation and criminality (MATE-</w:t>
      </w:r>
      <w:proofErr w:type="spellStart"/>
      <w:r w:rsidR="00467DFB">
        <w:rPr>
          <w:lang w:val="en-US"/>
        </w:rPr>
        <w:t>C</w:t>
      </w:r>
      <w:r w:rsidRPr="00D4005B">
        <w:rPr>
          <w:lang w:val="en-US"/>
        </w:rPr>
        <w:t>rimi</w:t>
      </w:r>
      <w:proofErr w:type="spellEnd"/>
      <w:r w:rsidRPr="00D4005B">
        <w:rPr>
          <w:lang w:val="en-US"/>
        </w:rPr>
        <w:t xml:space="preserve">; </w:t>
      </w:r>
      <w:r>
        <w:rPr>
          <w:lang w:val="en-US"/>
        </w:rPr>
        <w:fldChar w:fldCharType="begin" w:fldLock="1"/>
      </w:r>
      <w:r w:rsidR="00FE1C3C">
        <w:rPr>
          <w:lang w:val="en-US"/>
        </w:rPr>
        <w:instrText>ADDIN CSL_CITATION {"citationItems":[{"id":"ITEM-1","itemData":{"abstract":"Schippers, G., Broekman, T., &amp; Buchholz, A. (2011). MATE 2.1. Manual and protocol. bêta boeken.","author":[{"dropping-particle":"","family":"Schippers","given":"G.","non-dropping-particle":"","parse-names":false,"suffix":""},{"dropping-particle":"","family":"Broekman","given":"T.","non-dropping-particle":"","parse-names":false,"suffix":""},{"dropping-particle":"","family":"Buchholz","given":"A.","non-dropping-particle":"","parse-names":false,"suffix":""}],"id":"ITEM-1","issued":{"date-parts":[["2011"]]},"title":"MATE 2.1. Manual and protocol.","type":"article-journal"},"uris":["http://www.mendeley.com/documents/?uuid=f38e71c4-bbaf-433c-b188-500f51ec4c0a"]}],"mendeley":{"formattedCitation":"(Schippers &lt;i&gt;et al.&lt;/i&gt; 2011)","manualFormatting":"Schippers et al. 2011","plainTextFormattedCitation":"(Schippers et al. 2011)","previouslyFormattedCitation":"(Schippers &lt;i&gt;et al.&lt;/i&gt; 2011)"},"properties":{"noteIndex":0},"schema":"https://github.com/citation-style-language/schema/raw/master/csl-citation.json"}</w:instrText>
      </w:r>
      <w:r>
        <w:rPr>
          <w:lang w:val="en-US"/>
        </w:rPr>
        <w:fldChar w:fldCharType="separate"/>
      </w:r>
      <w:r w:rsidRPr="00822668">
        <w:rPr>
          <w:noProof/>
          <w:lang w:val="en-US"/>
        </w:rPr>
        <w:t>Schippers</w:t>
      </w:r>
      <w:r w:rsidR="004B51A9">
        <w:rPr>
          <w:noProof/>
          <w:lang w:val="en-US"/>
        </w:rPr>
        <w:t xml:space="preserve"> </w:t>
      </w:r>
      <w:r w:rsidR="004B51A9">
        <w:rPr>
          <w:i/>
          <w:iCs/>
          <w:noProof/>
          <w:lang w:val="en-US"/>
        </w:rPr>
        <w:t>et al</w:t>
      </w:r>
      <w:r w:rsidR="004B51A9">
        <w:rPr>
          <w:noProof/>
          <w:lang w:val="en-US"/>
        </w:rPr>
        <w:t>.</w:t>
      </w:r>
      <w:r w:rsidRPr="00822668">
        <w:rPr>
          <w:noProof/>
          <w:lang w:val="en-US"/>
        </w:rPr>
        <w:t xml:space="preserve"> 2011</w:t>
      </w:r>
      <w:r>
        <w:rPr>
          <w:lang w:val="en-US"/>
        </w:rPr>
        <w:fldChar w:fldCharType="end"/>
      </w:r>
      <w:r>
        <w:rPr>
          <w:lang w:val="en-US"/>
        </w:rPr>
        <w:t>;</w:t>
      </w:r>
      <w:r w:rsidRPr="00D4005B">
        <w:rPr>
          <w:lang w:val="en-US"/>
        </w:rPr>
        <w:t xml:space="preserve"> subsections 1,</w:t>
      </w:r>
      <w:r>
        <w:rPr>
          <w:lang w:val="en-US"/>
        </w:rPr>
        <w:t xml:space="preserve"> 3, 4, 9 and Q1)</w:t>
      </w:r>
      <w:r w:rsidRPr="00D4005B">
        <w:rPr>
          <w:lang w:val="en-US"/>
        </w:rPr>
        <w:t>.</w:t>
      </w:r>
      <w:r>
        <w:rPr>
          <w:lang w:val="en-US"/>
        </w:rPr>
        <w:t xml:space="preserve"> </w:t>
      </w:r>
      <w:r w:rsidRPr="007910E0">
        <w:rPr>
          <w:lang w:val="en-US"/>
        </w:rPr>
        <w:t xml:space="preserve">All interviews were done by </w:t>
      </w:r>
      <w:r w:rsidR="00615D05">
        <w:rPr>
          <w:lang w:val="en-US"/>
        </w:rPr>
        <w:t>well-</w:t>
      </w:r>
      <w:r w:rsidRPr="007910E0">
        <w:rPr>
          <w:lang w:val="en-US"/>
        </w:rPr>
        <w:t>trained clinicians.</w:t>
      </w:r>
      <w:r>
        <w:rPr>
          <w:lang w:val="en-US"/>
        </w:rPr>
        <w:t xml:space="preserve"> </w:t>
      </w:r>
    </w:p>
    <w:p w14:paraId="504ED371" w14:textId="78E4222B" w:rsidR="001F7896" w:rsidRDefault="001F7896" w:rsidP="00C71ECC">
      <w:pPr>
        <w:pStyle w:val="Geenafstand"/>
        <w:spacing w:line="480" w:lineRule="auto"/>
        <w:ind w:firstLine="708"/>
        <w:rPr>
          <w:lang w:val="en-US"/>
        </w:rPr>
      </w:pPr>
      <w:r>
        <w:rPr>
          <w:lang w:val="en-US"/>
        </w:rPr>
        <w:t xml:space="preserve">In Table </w:t>
      </w:r>
      <w:r w:rsidR="00DE7EBE">
        <w:rPr>
          <w:lang w:val="en-US"/>
        </w:rPr>
        <w:t>S</w:t>
      </w:r>
      <w:r>
        <w:rPr>
          <w:lang w:val="en-US"/>
        </w:rPr>
        <w:t>2 we present the total number of MIND-Set patients during the inclusion period, and the number of participants that were included in the current study.</w:t>
      </w:r>
    </w:p>
    <w:p w14:paraId="2238F56A" w14:textId="14E89825" w:rsidR="005E1AC7" w:rsidRDefault="005E1AC7" w:rsidP="00160918">
      <w:pPr>
        <w:pStyle w:val="Geenafstand"/>
        <w:spacing w:line="480" w:lineRule="auto"/>
        <w:rPr>
          <w:lang w:val="en-US"/>
        </w:rPr>
      </w:pPr>
    </w:p>
    <w:p w14:paraId="3A2186CD" w14:textId="77777777" w:rsidR="001F7896" w:rsidRDefault="001F7896" w:rsidP="00160918">
      <w:pPr>
        <w:pStyle w:val="Geenafstand"/>
        <w:spacing w:line="480" w:lineRule="auto"/>
        <w:rPr>
          <w:lang w:val="en-US"/>
        </w:rPr>
      </w:pPr>
    </w:p>
    <w:p w14:paraId="7335D0FC" w14:textId="16FCC7DC" w:rsidR="00682B70" w:rsidRPr="00682B70" w:rsidRDefault="00682B70" w:rsidP="00AF2570">
      <w:pPr>
        <w:pStyle w:val="Kop2"/>
      </w:pPr>
      <w:bookmarkStart w:id="2" w:name="_Toc38977684"/>
      <w:r w:rsidRPr="00682B70">
        <w:lastRenderedPageBreak/>
        <w:t>Healthy control participants</w:t>
      </w:r>
      <w:bookmarkEnd w:id="2"/>
    </w:p>
    <w:p w14:paraId="1F22A66F" w14:textId="02C72B54" w:rsidR="00682B70" w:rsidRDefault="00682B70" w:rsidP="00C71ECC">
      <w:pPr>
        <w:pStyle w:val="Geenafstand"/>
        <w:spacing w:line="480" w:lineRule="auto"/>
        <w:ind w:firstLine="708"/>
        <w:rPr>
          <w:lang w:val="en-US"/>
        </w:rPr>
      </w:pPr>
      <w:r>
        <w:rPr>
          <w:lang w:val="en-US"/>
        </w:rPr>
        <w:t xml:space="preserve">Healthy control participants were approached </w:t>
      </w:r>
      <w:r w:rsidRPr="00E63078">
        <w:rPr>
          <w:lang w:val="en-US"/>
        </w:rPr>
        <w:t xml:space="preserve">via databases of the department’s previous studies, advertisement in newspapers, social media, websites, and via the </w:t>
      </w:r>
      <w:r w:rsidR="00CD0F79">
        <w:rPr>
          <w:lang w:val="en-US"/>
        </w:rPr>
        <w:t>Radboud Research Participation System</w:t>
      </w:r>
      <w:r w:rsidRPr="00E63078">
        <w:rPr>
          <w:lang w:val="en-US"/>
        </w:rPr>
        <w:t xml:space="preserve"> of the Radboud University Faculty of Social Sciences, as well as verbally through </w:t>
      </w:r>
      <w:r>
        <w:rPr>
          <w:lang w:val="en-US"/>
        </w:rPr>
        <w:t xml:space="preserve">the </w:t>
      </w:r>
      <w:r w:rsidRPr="00E63078">
        <w:rPr>
          <w:lang w:val="en-US"/>
        </w:rPr>
        <w:t>researchers’ own network</w:t>
      </w:r>
      <w:r>
        <w:rPr>
          <w:lang w:val="en-US"/>
        </w:rPr>
        <w:t>.</w:t>
      </w:r>
    </w:p>
    <w:p w14:paraId="3AEB4606" w14:textId="2762851C" w:rsidR="003D7F32" w:rsidRPr="00BF7AEE" w:rsidRDefault="00682B70" w:rsidP="00C71ECC">
      <w:pPr>
        <w:pStyle w:val="Geenafstand"/>
        <w:spacing w:line="480" w:lineRule="auto"/>
        <w:ind w:firstLine="708"/>
        <w:rPr>
          <w:lang w:val="en-GB"/>
        </w:rPr>
      </w:pPr>
      <w:r>
        <w:rPr>
          <w:lang w:val="en-US"/>
        </w:rPr>
        <w:t>All healthy participants underwent a telephon</w:t>
      </w:r>
      <w:r w:rsidR="000C2DB1">
        <w:rPr>
          <w:lang w:val="en-US"/>
        </w:rPr>
        <w:t>ic</w:t>
      </w:r>
      <w:r>
        <w:rPr>
          <w:lang w:val="en-US"/>
        </w:rPr>
        <w:t xml:space="preserve"> screening </w:t>
      </w:r>
      <w:r w:rsidR="000C2DB1">
        <w:rPr>
          <w:lang w:val="en-US"/>
        </w:rPr>
        <w:t>where the</w:t>
      </w:r>
      <w:r>
        <w:rPr>
          <w:lang w:val="en-US"/>
        </w:rPr>
        <w:t xml:space="preserve"> SCID-I and MATE-</w:t>
      </w:r>
      <w:proofErr w:type="spellStart"/>
      <w:r w:rsidR="00467DFB">
        <w:rPr>
          <w:lang w:val="en-US"/>
        </w:rPr>
        <w:t>C</w:t>
      </w:r>
      <w:r>
        <w:rPr>
          <w:lang w:val="en-US"/>
        </w:rPr>
        <w:t>rimi</w:t>
      </w:r>
      <w:proofErr w:type="spellEnd"/>
      <w:r>
        <w:rPr>
          <w:lang w:val="en-US"/>
        </w:rPr>
        <w:t xml:space="preserve"> </w:t>
      </w:r>
      <w:r w:rsidR="000C2DB1">
        <w:rPr>
          <w:lang w:val="en-US"/>
        </w:rPr>
        <w:t xml:space="preserve">criteria for </w:t>
      </w:r>
      <w:r>
        <w:rPr>
          <w:lang w:val="en-US"/>
        </w:rPr>
        <w:t xml:space="preserve">lifetime </w:t>
      </w:r>
      <w:r w:rsidR="003D7F32">
        <w:rPr>
          <w:lang w:val="en-US"/>
        </w:rPr>
        <w:t xml:space="preserve">MDD, anxiety </w:t>
      </w:r>
      <w:r w:rsidR="000C2DB1">
        <w:rPr>
          <w:lang w:val="en-US"/>
        </w:rPr>
        <w:t>disorder</w:t>
      </w:r>
      <w:r w:rsidR="00AB5EA6">
        <w:rPr>
          <w:lang w:val="en-US"/>
        </w:rPr>
        <w:t>s</w:t>
      </w:r>
      <w:r w:rsidR="000C2DB1">
        <w:rPr>
          <w:lang w:val="en-US"/>
        </w:rPr>
        <w:t xml:space="preserve"> and</w:t>
      </w:r>
      <w:r w:rsidR="003D7F32">
        <w:rPr>
          <w:lang w:val="en-US"/>
        </w:rPr>
        <w:t xml:space="preserve"> addictive disorder</w:t>
      </w:r>
      <w:r w:rsidR="00AB5EA6">
        <w:rPr>
          <w:lang w:val="en-US"/>
        </w:rPr>
        <w:t>s</w:t>
      </w:r>
      <w:r w:rsidR="000C2DB1">
        <w:rPr>
          <w:lang w:val="en-US"/>
        </w:rPr>
        <w:t xml:space="preserve"> were assessed</w:t>
      </w:r>
      <w:r>
        <w:rPr>
          <w:lang w:val="en-US"/>
        </w:rPr>
        <w:t xml:space="preserve">. </w:t>
      </w:r>
      <w:r w:rsidR="003D7F32">
        <w:rPr>
          <w:lang w:val="en-US"/>
        </w:rPr>
        <w:t xml:space="preserve">The ASRS and AQ-50 were used as screening measures for ADHD and ASD respectively. </w:t>
      </w:r>
      <w:r w:rsidR="00AB5EA6">
        <w:rPr>
          <w:lang w:val="en-US"/>
        </w:rPr>
        <w:t>To be included as healthy control, p</w:t>
      </w:r>
      <w:r w:rsidR="003D7F32">
        <w:rPr>
          <w:lang w:val="en-US"/>
        </w:rPr>
        <w:t>articipants could not score higher than 3 out of 6 on the ASRS, or higher than 26 out of 50 on the AQ-50</w:t>
      </w:r>
      <w:r w:rsidR="00E63E10">
        <w:rPr>
          <w:lang w:val="en-US"/>
        </w:rPr>
        <w:t xml:space="preserve">, which are established cut-offs </w:t>
      </w:r>
      <w:r w:rsidR="007F2759">
        <w:rPr>
          <w:lang w:val="en-US"/>
        </w:rPr>
        <w:fldChar w:fldCharType="begin" w:fldLock="1"/>
      </w:r>
      <w:r w:rsidR="00C314F3">
        <w:rPr>
          <w:lang w:val="en-US"/>
        </w:rPr>
        <w:instrText>ADDIN CSL_CITATION {"citationItems":[{"id":"ITEM-1","itemData":{"DOI":"10.1001/jamapsychiatry.2017.0298","ISSN":"2168-622X","abstract":"Importance Recognition that adult attention-deficit/hyperactivity disorder (ADHD) is common, seriously impairing, and usually undiagnosed has led to the development of adult ADHD screening scales for use in community, workplace, and primary care settings. However, these scales are all calibrated toDSM-IVcriteria, which are narrower than the recently developedDSM-5criteria. Objectives To update forDSM-5criteria and improve the operating characteristics of the widely used World Health Organization Adult ADHD Self-Report Scale (ASRS) for screening. Design, Setting, and Participants Probability subsamples of participants in 2 general population surveys (2001-2003 household survey [n = 119] and 2004-2005 managed care subscriber survey [n = 218]) who completed the full 29-question self-report ASRS, with both subsamples over-sampling ASRS-screened positives, were blindly administered a semistructured research diagnostic interview forDSM-5adult ADHD. In 2016, the Risk-Calibrated Supersparse Linear Integer Model, a novel machine-learning algorithm designed to create screening scales with optimal integer weights and limited numbers of screening questions, was applied to the pooled data to create aDSM-5version of the ASRS screening scale. The accuracy of the new scale was then confirmed in an independent 2011-2012 clinical sample of patients seeking evaluation at the New York University Langone Medical Center Adult ADHD Program (NYU Langone) and 2015-2016 primary care controls (n = 300). Data analysis was conducted from April 4, 2016, to September 22, 2016. Main Outcomes and Measures The sensitivity, specificity, area under the curve (AUC), and positive predictive value (PPV) of the revised ASRS. Results Of the total 637 participants, 44 (37.0%) household survey respondents, 51 (23.4%) managed care respondents, and 173 (57.7%) NYU Langone respondents metDSM-5criteria for adult ADHD in the semistructured diagnostic interview. Of the respondents who metDSM-5criteria for adult ADHD, 123 were male (45.9%); mean (SD) age was 33.1 (11.4) years. A 6-question screening scale was found to be optimal in distinguishing cases from noncases in the first 2 samples. Operating characteristics were excellent at the diagnostic threshold in the weighted (to the 8.2%DSM-5/Adult ADHD Clinical Diagnostic Scale population prevalence) data (sensitivity, 91.4%; specificity, 96.0%; AUC, 0.94; PPV, 67.3%). Operating characteristics were similar despite a much higher prevalence (57.7%) when …","author":[{"dropping-particle":"","family":"Ustun","given":"Berk","non-dropping-particle":"","parse-names":false,"suffix":""},{"dropping-particle":"","family":"Adler","given":"Lenard A.","non-dropping-particle":"","parse-names":false,"suffix":""},{"dropping-particle":"","family":"Rudin","given":"Cynthia","non-dropping-particle":"","parse-names":false,"suffix":""},{"dropping-particle":"V.","family":"Faraone","given":"Stephen","non-dropping-particle":"","parse-names":false,"suffix":""},{"dropping-particle":"","family":"Spencer","given":"Thomas J.","non-dropping-particle":"","parse-names":false,"suffix":""},{"dropping-particle":"","family":"Berglund","given":"Patricia","non-dropping-particle":"","parse-names":false,"suffix":""},{"dropping-particle":"","family":"Gruber","given":"Michael J.","non-dropping-particle":"","parse-names":false,"suffix":""},{"dropping-particle":"","family":"Kessler","given":"Ronald C.","non-dropping-particle":"","parse-names":false,"suffix":""}],"container-title":"JAMA Psychiatry","id":"ITEM-1","issue":"5","issued":{"date-parts":[["2017","5","1"]]},"page":"520","title":"The World Health Organization Adult Attention-Deficit/Hyperactivity Disorder Self-Report Screening Scale for DSM-5","type":"article-journal","volume":"74"},"uris":["http://www.mendeley.com/documents/?uuid=3dd50440-0c8d-3385-b770-eca108b7bead"]},{"id":"ITEM-2","itemData":{"DOI":"10.1023/A:1005653411471","ISSN":"01623257","author":[{"dropping-particle":"","family":"Baron-Cohen","given":"Simon","non-dropping-particle":"","parse-names":false,"suffix":""},{"dropping-particle":"","family":"Wheelwright","given":"Sally","non-dropping-particle":"","parse-names":false,"suffix":""},{"dropping-particle":"","family":"Skinner","given":"Richard","non-dropping-particle":"","parse-names":false,"suffix":""},{"dropping-particle":"","family":"Martin","given":"Joanne","non-dropping-particle":"","parse-names":false,"suffix":""},{"dropping-particle":"","family":"Clubley","given":"Emma","non-dropping-particle":"","parse-names":false,"suffix":""}],"container-title":"Journal of Autism and Developmental Disorders","id":"ITEM-2","issue":"1","issued":{"date-parts":[["2001"]]},"page":"5-17","title":"The Autism-Spectrum Quotient (AQ): Evidence from Asperger Syndrome/High-Functioning Autism, Males and Females, Scientists and Mathematicians","type":"article-journal","volume":"31"},"uris":["http://www.mendeley.com/documents/?uuid=ea65ce9e-d943-381a-8550-103e497e687c"]}],"mendeley":{"formattedCitation":"(Baron-Cohen &lt;i&gt;et al.&lt;/i&gt; 2001; Ustun &lt;i&gt;et al.&lt;/i&gt; 2017)","plainTextFormattedCitation":"(Baron-Cohen et al. 2001; Ustun et al. 2017)","previouslyFormattedCitation":"(Baron-Cohen &lt;i&gt;et al.&lt;/i&gt; 2001; Ustun &lt;i&gt;et al.&lt;/i&gt; 2017)"},"properties":{"noteIndex":0},"schema":"https://github.com/citation-style-language/schema/raw/master/csl-citation.json"}</w:instrText>
      </w:r>
      <w:r w:rsidR="007F2759">
        <w:rPr>
          <w:lang w:val="en-US"/>
        </w:rPr>
        <w:fldChar w:fldCharType="separate"/>
      </w:r>
      <w:r w:rsidR="007F2759" w:rsidRPr="00BF7AEE">
        <w:rPr>
          <w:noProof/>
          <w:lang w:val="en-GB"/>
        </w:rPr>
        <w:t xml:space="preserve">(Baron-Cohen </w:t>
      </w:r>
      <w:r w:rsidR="007F2759" w:rsidRPr="00BF7AEE">
        <w:rPr>
          <w:i/>
          <w:noProof/>
          <w:lang w:val="en-GB"/>
        </w:rPr>
        <w:t>et al.</w:t>
      </w:r>
      <w:r w:rsidR="007F2759" w:rsidRPr="00BF7AEE">
        <w:rPr>
          <w:noProof/>
          <w:lang w:val="en-GB"/>
        </w:rPr>
        <w:t xml:space="preserve"> 2001; Ustun </w:t>
      </w:r>
      <w:r w:rsidR="007F2759" w:rsidRPr="00BF7AEE">
        <w:rPr>
          <w:i/>
          <w:noProof/>
          <w:lang w:val="en-GB"/>
        </w:rPr>
        <w:t>et al.</w:t>
      </w:r>
      <w:r w:rsidR="007F2759" w:rsidRPr="00BF7AEE">
        <w:rPr>
          <w:noProof/>
          <w:lang w:val="en-GB"/>
        </w:rPr>
        <w:t xml:space="preserve"> 2017)</w:t>
      </w:r>
      <w:r w:rsidR="007F2759">
        <w:rPr>
          <w:lang w:val="en-US"/>
        </w:rPr>
        <w:fldChar w:fldCharType="end"/>
      </w:r>
      <w:r w:rsidR="003D7F32" w:rsidRPr="00BF7AEE">
        <w:rPr>
          <w:lang w:val="en-GB"/>
        </w:rPr>
        <w:t>.</w:t>
      </w:r>
    </w:p>
    <w:p w14:paraId="0F57A214" w14:textId="319625CF" w:rsidR="00682B70" w:rsidRDefault="00682B70" w:rsidP="00C71ECC">
      <w:pPr>
        <w:pStyle w:val="Geenafstand"/>
        <w:spacing w:line="480" w:lineRule="auto"/>
        <w:ind w:firstLine="708"/>
        <w:rPr>
          <w:lang w:val="en-US"/>
        </w:rPr>
      </w:pPr>
      <w:r>
        <w:rPr>
          <w:lang w:val="en-US"/>
        </w:rPr>
        <w:t xml:space="preserve">Other exclusion criteria for control participants were the use of </w:t>
      </w:r>
      <w:r w:rsidRPr="00684A74">
        <w:rPr>
          <w:lang w:val="en-US"/>
        </w:rPr>
        <w:t xml:space="preserve">more than 14 units of alcohol per week, regular </w:t>
      </w:r>
      <w:r>
        <w:rPr>
          <w:lang w:val="en-US"/>
        </w:rPr>
        <w:t xml:space="preserve">drug </w:t>
      </w:r>
      <w:r w:rsidRPr="00684A74">
        <w:rPr>
          <w:lang w:val="en-US"/>
        </w:rPr>
        <w:t>use</w:t>
      </w:r>
      <w:r>
        <w:rPr>
          <w:lang w:val="en-US"/>
        </w:rPr>
        <w:t xml:space="preserve"> </w:t>
      </w:r>
      <w:r w:rsidRPr="00684A74">
        <w:rPr>
          <w:lang w:val="en-US"/>
        </w:rPr>
        <w:t>(once a week or more</w:t>
      </w:r>
      <w:r w:rsidR="00A91493">
        <w:rPr>
          <w:lang w:val="en-US"/>
        </w:rPr>
        <w:t xml:space="preserve">, </w:t>
      </w:r>
      <w:r w:rsidRPr="00684A74">
        <w:rPr>
          <w:lang w:val="en-US"/>
        </w:rPr>
        <w:t>except for nicotine) or benzodiazepine</w:t>
      </w:r>
      <w:r w:rsidR="000C2DB1">
        <w:rPr>
          <w:lang w:val="en-US"/>
        </w:rPr>
        <w:t xml:space="preserve"> use</w:t>
      </w:r>
      <w:r w:rsidRPr="00684A74">
        <w:rPr>
          <w:lang w:val="en-US"/>
        </w:rPr>
        <w:t xml:space="preserve">, </w:t>
      </w:r>
      <w:r>
        <w:rPr>
          <w:lang w:val="en-US"/>
        </w:rPr>
        <w:t>existence of</w:t>
      </w:r>
      <w:r w:rsidRPr="00684A74">
        <w:rPr>
          <w:lang w:val="en-US"/>
        </w:rPr>
        <w:t xml:space="preserve"> a neurological disorder of the central nervous system </w:t>
      </w:r>
      <w:r w:rsidR="00AF3020">
        <w:rPr>
          <w:lang w:val="en-US"/>
        </w:rPr>
        <w:t>or current</w:t>
      </w:r>
      <w:r w:rsidRPr="00684A74">
        <w:rPr>
          <w:lang w:val="en-US"/>
        </w:rPr>
        <w:t xml:space="preserve"> malignancy.</w:t>
      </w:r>
      <w:r>
        <w:rPr>
          <w:lang w:val="en-US"/>
        </w:rPr>
        <w:t xml:space="preserve"> </w:t>
      </w:r>
    </w:p>
    <w:p w14:paraId="2E51F362" w14:textId="3B547557" w:rsidR="00DE460E" w:rsidRDefault="00AB5EA6" w:rsidP="00160918">
      <w:pPr>
        <w:pStyle w:val="Geenafstand"/>
        <w:spacing w:line="480" w:lineRule="auto"/>
        <w:rPr>
          <w:lang w:val="en-US"/>
        </w:rPr>
      </w:pPr>
      <w:r>
        <w:rPr>
          <w:lang w:val="en-US"/>
        </w:rPr>
        <w:tab/>
      </w:r>
    </w:p>
    <w:p w14:paraId="0739FBBD" w14:textId="4910D006" w:rsidR="00160918" w:rsidRPr="00B50FBF" w:rsidRDefault="008B0F14" w:rsidP="00AF2570">
      <w:pPr>
        <w:pStyle w:val="Kop2"/>
      </w:pPr>
      <w:bookmarkStart w:id="3" w:name="_Toc38977685"/>
      <w:r>
        <w:t>I</w:t>
      </w:r>
      <w:r w:rsidR="00160918">
        <w:t>nstructions</w:t>
      </w:r>
      <w:r>
        <w:t xml:space="preserve"> for the probabilistic reversal learning task</w:t>
      </w:r>
      <w:bookmarkEnd w:id="3"/>
    </w:p>
    <w:p w14:paraId="567B3942" w14:textId="333E07C3" w:rsidR="00160918" w:rsidRDefault="00160918" w:rsidP="00C71ECC">
      <w:pPr>
        <w:pStyle w:val="Geenafstand"/>
        <w:spacing w:line="480" w:lineRule="auto"/>
        <w:ind w:firstLine="708"/>
        <w:rPr>
          <w:lang w:val="en-US"/>
        </w:rPr>
      </w:pPr>
      <w:r>
        <w:rPr>
          <w:lang w:val="en-US"/>
        </w:rPr>
        <w:t>Participants</w:t>
      </w:r>
      <w:r w:rsidR="00AB5EA6">
        <w:rPr>
          <w:lang w:val="en-US"/>
        </w:rPr>
        <w:t xml:space="preserve"> received a verbal instruction and</w:t>
      </w:r>
      <w:r>
        <w:rPr>
          <w:lang w:val="en-US"/>
        </w:rPr>
        <w:t xml:space="preserve"> were shown the following instructions</w:t>
      </w:r>
      <w:r w:rsidR="000C2DB1">
        <w:rPr>
          <w:lang w:val="en-US"/>
        </w:rPr>
        <w:t xml:space="preserve"> on the computer screen</w:t>
      </w:r>
      <w:r>
        <w:rPr>
          <w:lang w:val="en-US"/>
        </w:rPr>
        <w:t xml:space="preserve"> in Dutch before starting the task:</w:t>
      </w:r>
    </w:p>
    <w:p w14:paraId="50506A46" w14:textId="77777777" w:rsidR="00160918" w:rsidRDefault="00160918" w:rsidP="00160918">
      <w:pPr>
        <w:pStyle w:val="Geenafstand"/>
        <w:spacing w:line="480" w:lineRule="auto"/>
        <w:rPr>
          <w:lang w:val="en-US"/>
        </w:rPr>
      </w:pPr>
      <w:r w:rsidRPr="00B50FBF">
        <w:rPr>
          <w:i/>
          <w:iCs/>
          <w:lang w:val="en-US"/>
        </w:rPr>
        <w:t>“On the screen two colored patterns are presented: one yellow, one blue. One of these colors is correct more often than the other one and the computer will tell you whether your choice was correct or incorrect. Choose the color which tends to be correct more often. You have to find out by trial and error which color that is. On certain moments the rule can change, i.e. the other color is now correct more often. Then, switch your response to that color. This can happen one or more times during the task”</w:t>
      </w:r>
      <w:r>
        <w:rPr>
          <w:lang w:val="en-US"/>
        </w:rPr>
        <w:t xml:space="preserve">  </w:t>
      </w:r>
    </w:p>
    <w:p w14:paraId="3809DC57" w14:textId="3F123D9C" w:rsidR="00160918" w:rsidRDefault="00160918" w:rsidP="00160918">
      <w:pPr>
        <w:pStyle w:val="Geenafstand"/>
        <w:spacing w:line="480" w:lineRule="auto"/>
        <w:rPr>
          <w:lang w:val="en-US"/>
        </w:rPr>
      </w:pPr>
    </w:p>
    <w:p w14:paraId="39D25846" w14:textId="482CF7BF" w:rsidR="001F7896" w:rsidRDefault="001F7896" w:rsidP="00160918">
      <w:pPr>
        <w:pStyle w:val="Geenafstand"/>
        <w:spacing w:line="480" w:lineRule="auto"/>
        <w:rPr>
          <w:lang w:val="en-US"/>
        </w:rPr>
      </w:pPr>
    </w:p>
    <w:p w14:paraId="00292EC3" w14:textId="77777777" w:rsidR="001F7896" w:rsidRDefault="001F7896" w:rsidP="00160918">
      <w:pPr>
        <w:pStyle w:val="Geenafstand"/>
        <w:spacing w:line="480" w:lineRule="auto"/>
        <w:rPr>
          <w:lang w:val="en-US"/>
        </w:rPr>
      </w:pPr>
    </w:p>
    <w:p w14:paraId="057A822E" w14:textId="3F5A612A" w:rsidR="00884041" w:rsidRPr="00884041" w:rsidRDefault="00884041" w:rsidP="00AF2570">
      <w:pPr>
        <w:pStyle w:val="Kop2"/>
      </w:pPr>
      <w:bookmarkStart w:id="4" w:name="_Toc38977686"/>
      <w:r w:rsidRPr="00884041">
        <w:lastRenderedPageBreak/>
        <w:t>Computational Model</w:t>
      </w:r>
      <w:bookmarkEnd w:id="4"/>
    </w:p>
    <w:p w14:paraId="076957CC" w14:textId="3B26D0A9" w:rsidR="009B1300" w:rsidRPr="00E71C62" w:rsidRDefault="009B1300" w:rsidP="00C71ECC">
      <w:pPr>
        <w:pStyle w:val="Geenafstand"/>
        <w:spacing w:line="480" w:lineRule="auto"/>
        <w:ind w:firstLine="708"/>
        <w:rPr>
          <w:lang w:val="en-US"/>
        </w:rPr>
      </w:pPr>
      <w:r>
        <w:rPr>
          <w:lang w:val="en-US"/>
        </w:rPr>
        <w:t>We tested</w:t>
      </w:r>
      <w:r w:rsidRPr="00E71C62">
        <w:rPr>
          <w:lang w:val="en-US"/>
        </w:rPr>
        <w:t xml:space="preserve"> negative learning bias, </w:t>
      </w:r>
      <w:r>
        <w:rPr>
          <w:lang w:val="en-US"/>
        </w:rPr>
        <w:t>using</w:t>
      </w:r>
      <w:r w:rsidRPr="00E71C62">
        <w:rPr>
          <w:lang w:val="en-US"/>
        </w:rPr>
        <w:t xml:space="preserve"> the established Reward-Punishment (RP) model </w:t>
      </w:r>
      <w:r w:rsidRPr="00612776">
        <w:rPr>
          <w:lang w:val="en-US"/>
        </w:rPr>
        <w:fldChar w:fldCharType="begin" w:fldLock="1"/>
      </w:r>
      <w:r>
        <w:rPr>
          <w:lang w:val="en-US"/>
        </w:rPr>
        <w:instrText>ADDIN CSL_CITATION {"citationItems":[{"id":"ITEM-1","itemData":{"DOI":"10.1073/pnas.0706111104","ISSN":"0027-8424","PMID":"17913879","abstract":"What are the genetic and neural components that support adaptive learning from positive and negative outcomes? Here, we show with genetic analyses that three independent dopaminergic mechanisms contribute to reward and avoidance learning in humans. A polymorphism in the DARPP-32 gene, associated with striatal dopamine function, predicted relatively better probabilistic reward learning. Conversely, the C957T polymorphism of the DRD2 gene, associated with striatal D2 receptor function, predicted the degree to which participants learned to avoid choices that had been probabilistically associated with negative outcomes. The Val/Met polymorphism of the COMT gene, associated with prefrontal cortical dopamine function, predicted participants' ability to rapidly adapt behavior on a trial-to-trial basis. These findings support a neurocomputational dissociation between striatal and prefrontal dopaminergic mechanisms in reinforcement learning. Computational maximum likelihood analyses reveal independent gene effects on three reinforcement learning parameters that can explain the observed dissociations.","author":[{"dropping-particle":"","family":"Frank","given":"Michael J","non-dropping-particle":"","parse-names":false,"suffix":""},{"dropping-particle":"","family":"Moustafa","given":"Ahmed A","non-dropping-particle":"","parse-names":false,"suffix":""},{"dropping-particle":"","family":"Haughey","given":"Heather M","non-dropping-particle":"","parse-names":false,"suffix":""},{"dropping-particle":"","family":"Curran","given":"Tim","non-dropping-particle":"","parse-names":false,"suffix":""},{"dropping-particle":"","family":"Hutchison","given":"Kent E","non-dropping-particle":"","parse-names":false,"suffix":""}],"container-title":"Proceedings of the National Academy of Sciences of the United States of America","id":"ITEM-1","issue":"41","issued":{"date-parts":[["2007","10","9"]]},"page":"16311-6","title":"Genetic triple dissociation reveals multiple roles for dopamine in reinforcement learning.","type":"article-journal","volume":"104"},"uris":["http://www.mendeley.com/documents/?uuid=9632b48e-56bd-3089-9a4a-82699225e9db"]}],"mendeley":{"formattedCitation":"(Frank &lt;i&gt;et al.&lt;/i&gt; 2007)","plainTextFormattedCitation":"(Frank et al. 2007)","previouslyFormattedCitation":"(Frank &lt;i&gt;et al.&lt;/i&gt; 2007)"},"properties":{"noteIndex":0},"schema":"https://github.com/citation-style-language/schema/raw/master/csl-citation.json"}</w:instrText>
      </w:r>
      <w:r w:rsidRPr="00612776">
        <w:rPr>
          <w:lang w:val="en-US"/>
        </w:rPr>
        <w:fldChar w:fldCharType="separate"/>
      </w:r>
      <w:r w:rsidRPr="001445CD">
        <w:rPr>
          <w:noProof/>
          <w:lang w:val="en-US"/>
        </w:rPr>
        <w:t xml:space="preserve">(Frank </w:t>
      </w:r>
      <w:r w:rsidRPr="001445CD">
        <w:rPr>
          <w:i/>
          <w:noProof/>
          <w:lang w:val="en-US"/>
        </w:rPr>
        <w:t>et al.</w:t>
      </w:r>
      <w:r w:rsidRPr="001445CD">
        <w:rPr>
          <w:noProof/>
          <w:lang w:val="en-US"/>
        </w:rPr>
        <w:t xml:space="preserve"> 2007)</w:t>
      </w:r>
      <w:r w:rsidRPr="00612776">
        <w:rPr>
          <w:lang w:val="en-US"/>
        </w:rPr>
        <w:fldChar w:fldCharType="end"/>
      </w:r>
      <w:r w:rsidR="00C71ECC">
        <w:rPr>
          <w:lang w:val="en-US"/>
        </w:rPr>
        <w:t xml:space="preserve"> </w:t>
      </w:r>
      <w:r w:rsidRPr="00E71C62">
        <w:rPr>
          <w:lang w:val="en-US"/>
        </w:rPr>
        <w:t>(equation 1).</w:t>
      </w:r>
    </w:p>
    <w:p w14:paraId="6F59EAD9" w14:textId="77777777" w:rsidR="009B1300" w:rsidRPr="00E71C62" w:rsidRDefault="009B1300" w:rsidP="009B1300">
      <w:pPr>
        <w:pStyle w:val="Geenafstand"/>
        <w:spacing w:line="480" w:lineRule="auto"/>
        <w:rPr>
          <w:lang w:val="en-US"/>
        </w:rPr>
      </w:pPr>
    </w:p>
    <w:p w14:paraId="67937A72" w14:textId="77777777" w:rsidR="009B1300" w:rsidRPr="00E71C62" w:rsidRDefault="009B1300" w:rsidP="009B1300">
      <w:pPr>
        <w:pStyle w:val="Geenafstand"/>
        <w:spacing w:line="480" w:lineRule="auto"/>
        <w:rPr>
          <w:lang w:val="en-US"/>
        </w:rPr>
      </w:pPr>
      <w:r w:rsidRPr="00E71C62">
        <w:rPr>
          <w:lang w:val="en-US"/>
        </w:rPr>
        <w:tab/>
      </w:r>
      <w:r w:rsidRPr="00E71C62">
        <w:rPr>
          <w:lang w:val="en-US"/>
        </w:rPr>
        <w:tab/>
      </w:r>
      <w:r w:rsidRPr="00612776">
        <w:rPr>
          <w:noProof/>
          <w:position w:val="-34"/>
          <w:lang w:val="en-US"/>
        </w:rPr>
        <w:drawing>
          <wp:inline distT="0" distB="0" distL="0" distR="0" wp14:anchorId="16389F06" wp14:editId="15396A72">
            <wp:extent cx="2753995" cy="499745"/>
            <wp:effectExtent l="0" t="0" r="0" b="0"/>
            <wp:docPr id="2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3995" cy="499745"/>
                    </a:xfrm>
                    <a:prstGeom prst="rect">
                      <a:avLst/>
                    </a:prstGeom>
                    <a:noFill/>
                    <a:ln>
                      <a:noFill/>
                    </a:ln>
                  </pic:spPr>
                </pic:pic>
              </a:graphicData>
            </a:graphic>
          </wp:inline>
        </w:drawing>
      </w:r>
      <w:r w:rsidRPr="00612776">
        <w:rPr>
          <w:lang w:val="en-US"/>
        </w:rPr>
        <w:tab/>
      </w:r>
      <w:r w:rsidRPr="00612776">
        <w:rPr>
          <w:lang w:val="en-US"/>
        </w:rPr>
        <w:tab/>
      </w:r>
      <w:r w:rsidRPr="00E71C62">
        <w:rPr>
          <w:lang w:val="en-US"/>
        </w:rPr>
        <w:tab/>
        <w:t>(Equation 1)</w:t>
      </w:r>
    </w:p>
    <w:p w14:paraId="1FCD4BBF" w14:textId="77777777" w:rsidR="009B1300" w:rsidRPr="00612776" w:rsidRDefault="009B1300" w:rsidP="009B1300">
      <w:pPr>
        <w:pStyle w:val="Geenafstand"/>
        <w:spacing w:line="480" w:lineRule="auto"/>
        <w:rPr>
          <w:lang w:val="en-US"/>
        </w:rPr>
      </w:pPr>
      <w:r w:rsidRPr="00E71C62">
        <w:rPr>
          <w:lang w:val="en-US"/>
        </w:rPr>
        <w:tab/>
      </w:r>
      <w:r w:rsidRPr="00E71C62">
        <w:rPr>
          <w:lang w:val="en-US"/>
        </w:rPr>
        <w:tab/>
      </w:r>
      <w:r w:rsidRPr="00612776">
        <w:rPr>
          <w:noProof/>
          <w:position w:val="-14"/>
          <w:lang w:val="en-US"/>
        </w:rPr>
        <w:drawing>
          <wp:inline distT="0" distB="0" distL="0" distR="0" wp14:anchorId="56B552E8" wp14:editId="053A70AA">
            <wp:extent cx="755015" cy="233680"/>
            <wp:effectExtent l="0" t="0" r="0" b="0"/>
            <wp:docPr id="2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015" cy="233680"/>
                    </a:xfrm>
                    <a:prstGeom prst="rect">
                      <a:avLst/>
                    </a:prstGeom>
                    <a:noFill/>
                    <a:ln>
                      <a:noFill/>
                    </a:ln>
                  </pic:spPr>
                </pic:pic>
              </a:graphicData>
            </a:graphic>
          </wp:inline>
        </w:drawing>
      </w:r>
    </w:p>
    <w:p w14:paraId="21DF9A2F" w14:textId="77777777" w:rsidR="009B1300" w:rsidRPr="00612776" w:rsidRDefault="009B1300" w:rsidP="009B1300">
      <w:pPr>
        <w:pStyle w:val="Geenafstand"/>
        <w:spacing w:line="480" w:lineRule="auto"/>
        <w:rPr>
          <w:lang w:val="en-US"/>
        </w:rPr>
      </w:pPr>
    </w:p>
    <w:p w14:paraId="72792641" w14:textId="66A2DF63" w:rsidR="009B1300" w:rsidRPr="00E71C62" w:rsidRDefault="009B1300" w:rsidP="00962F5E">
      <w:pPr>
        <w:pStyle w:val="Geenafstand"/>
        <w:spacing w:line="480" w:lineRule="auto"/>
        <w:ind w:firstLine="708"/>
        <w:rPr>
          <w:lang w:val="en-US"/>
        </w:rPr>
      </w:pPr>
      <w:bookmarkStart w:id="5" w:name="_Hlk14082455"/>
      <w:r w:rsidRPr="00E71C62">
        <w:rPr>
          <w:lang w:val="en-US"/>
        </w:rPr>
        <w:t>In this model</w:t>
      </w:r>
      <w:r w:rsidR="005D17C3">
        <w:rPr>
          <w:lang w:val="en-US"/>
        </w:rPr>
        <w:t>,</w:t>
      </w:r>
      <w:r w:rsidRPr="00E71C62">
        <w:rPr>
          <w:lang w:val="en-US"/>
        </w:rPr>
        <w:t xml:space="preserve"> the expected value of chosen </w:t>
      </w:r>
      <w:r w:rsidR="005D17C3">
        <w:rPr>
          <w:lang w:val="en-US"/>
        </w:rPr>
        <w:t>stimulus</w:t>
      </w:r>
      <w:r w:rsidRPr="00E71C62">
        <w:rPr>
          <w:lang w:val="en-US"/>
        </w:rPr>
        <w:t xml:space="preserve"> </w:t>
      </w:r>
      <w:r w:rsidRPr="00E71C62">
        <w:rPr>
          <w:i/>
          <w:lang w:val="en-US"/>
        </w:rPr>
        <w:t>S</w:t>
      </w:r>
      <w:r w:rsidRPr="00E71C62">
        <w:rPr>
          <w:lang w:val="en-US"/>
        </w:rPr>
        <w:t xml:space="preserve"> at trial </w:t>
      </w:r>
      <w:r w:rsidRPr="00612776">
        <w:rPr>
          <w:noProof/>
          <w:position w:val="-6"/>
          <w:lang w:val="en-US"/>
        </w:rPr>
        <w:drawing>
          <wp:inline distT="0" distB="0" distL="0" distR="0" wp14:anchorId="2E00F031" wp14:editId="750B57BF">
            <wp:extent cx="74295" cy="148590"/>
            <wp:effectExtent l="0" t="0" r="0" b="0"/>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 cy="148590"/>
                    </a:xfrm>
                    <a:prstGeom prst="rect">
                      <a:avLst/>
                    </a:prstGeom>
                    <a:noFill/>
                    <a:ln>
                      <a:noFill/>
                    </a:ln>
                  </pic:spPr>
                </pic:pic>
              </a:graphicData>
            </a:graphic>
          </wp:inline>
        </w:drawing>
      </w:r>
      <w:r w:rsidRPr="00612776">
        <w:rPr>
          <w:lang w:val="en-US"/>
        </w:rPr>
        <w:t>(</w:t>
      </w:r>
      <w:r w:rsidRPr="00612776">
        <w:rPr>
          <w:noProof/>
          <w:position w:val="-14"/>
          <w:lang w:val="en-US"/>
        </w:rPr>
        <w:drawing>
          <wp:inline distT="0" distB="0" distL="0" distR="0" wp14:anchorId="4F323352" wp14:editId="53E7B139">
            <wp:extent cx="233680" cy="233680"/>
            <wp:effectExtent l="0" t="0" r="0" b="0"/>
            <wp:docPr id="1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Pr="00612776">
        <w:rPr>
          <w:lang w:val="en-US"/>
        </w:rPr>
        <w:t xml:space="preserve">) is </w:t>
      </w:r>
      <w:r w:rsidRPr="00E71C62">
        <w:rPr>
          <w:lang w:val="en-US"/>
        </w:rPr>
        <w:t>updated based on the prediction error, i.e. the difference between the outcome of the previous trial (</w:t>
      </w:r>
      <w:r w:rsidRPr="00612776">
        <w:rPr>
          <w:noProof/>
          <w:position w:val="-12"/>
          <w:lang w:val="en-US"/>
        </w:rPr>
        <w:drawing>
          <wp:inline distT="0" distB="0" distL="0" distR="0" wp14:anchorId="7A86A8C7" wp14:editId="1B05C8AA">
            <wp:extent cx="765810" cy="23368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5810" cy="233680"/>
                    </a:xfrm>
                    <a:prstGeom prst="rect">
                      <a:avLst/>
                    </a:prstGeom>
                    <a:noFill/>
                    <a:ln>
                      <a:noFill/>
                    </a:ln>
                  </pic:spPr>
                </pic:pic>
              </a:graphicData>
            </a:graphic>
          </wp:inline>
        </w:drawing>
      </w:r>
      <w:r w:rsidRPr="00612776">
        <w:rPr>
          <w:lang w:val="en-US"/>
        </w:rPr>
        <w:t>, either -1 for punishment, or 1 for reward</w:t>
      </w:r>
      <w:r w:rsidRPr="00E71C62">
        <w:rPr>
          <w:lang w:val="en-US"/>
        </w:rPr>
        <w:t>, and the expected value of the previous trial (V</w:t>
      </w:r>
      <w:r w:rsidRPr="00E71C62">
        <w:rPr>
          <w:vertAlign w:val="subscript"/>
          <w:lang w:val="en-US"/>
        </w:rPr>
        <w:t>s,t-1</w:t>
      </w:r>
      <w:r w:rsidRPr="00E71C62">
        <w:rPr>
          <w:lang w:val="en-US"/>
        </w:rPr>
        <w:t xml:space="preserve">). The learning rate α modulates how quickly the expected value is updated by changing the weight on the prediction error. For the reward trials, the expected value is updated using reward learning rate </w:t>
      </w:r>
      <w:r w:rsidRPr="00612776">
        <w:rPr>
          <w:noProof/>
          <w:position w:val="-6"/>
          <w:lang w:val="en-US"/>
        </w:rPr>
        <w:drawing>
          <wp:inline distT="0" distB="0" distL="0" distR="0" wp14:anchorId="47EFEAAA" wp14:editId="5A0A4B7B">
            <wp:extent cx="308610" cy="20193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8610" cy="201930"/>
                    </a:xfrm>
                    <a:prstGeom prst="rect">
                      <a:avLst/>
                    </a:prstGeom>
                    <a:noFill/>
                    <a:ln>
                      <a:noFill/>
                    </a:ln>
                  </pic:spPr>
                </pic:pic>
              </a:graphicData>
            </a:graphic>
          </wp:inline>
        </w:drawing>
      </w:r>
      <w:r w:rsidRPr="00612776">
        <w:rPr>
          <w:lang w:val="en-US"/>
        </w:rPr>
        <w:t>and for punishment</w:t>
      </w:r>
      <w:r w:rsidRPr="00E71C62">
        <w:rPr>
          <w:lang w:val="en-US"/>
        </w:rPr>
        <w:t xml:space="preserve"> trials it is updated using punishment learning rate </w:t>
      </w:r>
      <w:r w:rsidRPr="00612776">
        <w:rPr>
          <w:noProof/>
          <w:position w:val="-6"/>
          <w:lang w:val="en-US"/>
        </w:rPr>
        <w:drawing>
          <wp:inline distT="0" distB="0" distL="0" distR="0" wp14:anchorId="57FE91B6" wp14:editId="5C28DFC3">
            <wp:extent cx="308610" cy="20193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8610" cy="201930"/>
                    </a:xfrm>
                    <a:prstGeom prst="rect">
                      <a:avLst/>
                    </a:prstGeom>
                    <a:noFill/>
                    <a:ln>
                      <a:noFill/>
                    </a:ln>
                  </pic:spPr>
                </pic:pic>
              </a:graphicData>
            </a:graphic>
          </wp:inline>
        </w:drawing>
      </w:r>
      <w:r w:rsidRPr="00612776">
        <w:rPr>
          <w:lang w:val="en-US"/>
        </w:rPr>
        <w:t xml:space="preserve">. </w:t>
      </w:r>
      <w:r w:rsidR="00712DBC">
        <w:rPr>
          <w:lang w:val="en-US"/>
        </w:rPr>
        <w:t>The value of the unchosen stimulus remains unchanged.</w:t>
      </w:r>
    </w:p>
    <w:p w14:paraId="2CBD836D" w14:textId="4EE00F9A" w:rsidR="009B1300" w:rsidRPr="00612776" w:rsidRDefault="009B1300" w:rsidP="00962F5E">
      <w:pPr>
        <w:pStyle w:val="Geenafstand"/>
        <w:spacing w:line="480" w:lineRule="auto"/>
        <w:ind w:firstLine="708"/>
        <w:rPr>
          <w:lang w:val="en-US"/>
        </w:rPr>
      </w:pPr>
      <w:r w:rsidRPr="00E71C62">
        <w:rPr>
          <w:lang w:val="en-US"/>
        </w:rPr>
        <w:t xml:space="preserve">The probability of a </w:t>
      </w:r>
      <w:r w:rsidR="005D17C3">
        <w:rPr>
          <w:lang w:val="en-US"/>
        </w:rPr>
        <w:t>choosing each of the two stimuli</w:t>
      </w:r>
      <w:r w:rsidRPr="00E71C62">
        <w:rPr>
          <w:lang w:val="en-US"/>
        </w:rPr>
        <w:t xml:space="preserve"> on the</w:t>
      </w:r>
      <w:r w:rsidR="005D17C3">
        <w:rPr>
          <w:lang w:val="en-US"/>
        </w:rPr>
        <w:t>ir</w:t>
      </w:r>
      <w:r w:rsidRPr="00E71C62">
        <w:rPr>
          <w:lang w:val="en-US"/>
        </w:rPr>
        <w:t xml:space="preserve"> expected values was </w:t>
      </w:r>
      <w:r w:rsidR="005D17C3">
        <w:rPr>
          <w:lang w:val="en-US"/>
        </w:rPr>
        <w:t>computed</w:t>
      </w:r>
      <w:r w:rsidRPr="00E71C62">
        <w:rPr>
          <w:lang w:val="en-US"/>
        </w:rPr>
        <w:t xml:space="preserve"> with </w:t>
      </w:r>
      <w:r w:rsidR="005D17C3">
        <w:rPr>
          <w:lang w:val="en-US"/>
        </w:rPr>
        <w:t xml:space="preserve">a </w:t>
      </w:r>
      <w:proofErr w:type="spellStart"/>
      <w:r w:rsidR="005D17C3">
        <w:rPr>
          <w:lang w:val="en-US"/>
        </w:rPr>
        <w:t>s</w:t>
      </w:r>
      <w:r w:rsidRPr="00E71C62">
        <w:rPr>
          <w:lang w:val="en-US"/>
        </w:rPr>
        <w:t>oftmax</w:t>
      </w:r>
      <w:proofErr w:type="spellEnd"/>
      <w:r w:rsidRPr="00E71C62">
        <w:rPr>
          <w:lang w:val="en-US"/>
        </w:rPr>
        <w:t xml:space="preserve"> function (equation 2): for a set of given </w:t>
      </w:r>
      <w:r w:rsidR="005D17C3">
        <w:rPr>
          <w:lang w:val="en-US"/>
        </w:rPr>
        <w:t xml:space="preserve">stimulus values Y and B, for yellow and blue </w:t>
      </w:r>
      <w:r w:rsidR="00A9317E">
        <w:rPr>
          <w:lang w:val="en-US"/>
        </w:rPr>
        <w:t>squares</w:t>
      </w:r>
      <w:r w:rsidRPr="00E71C62">
        <w:rPr>
          <w:lang w:val="en-US"/>
        </w:rPr>
        <w:t>, the probability of choosing option</w:t>
      </w:r>
      <w:r w:rsidR="005D17C3">
        <w:rPr>
          <w:lang w:val="en-US"/>
        </w:rPr>
        <w:t xml:space="preserve"> Y </w:t>
      </w:r>
      <w:r w:rsidRPr="00612776">
        <w:rPr>
          <w:rFonts w:cstheme="majorBidi"/>
          <w:lang w:val="en-US"/>
        </w:rPr>
        <w:t>in the next trial is as follows:</w:t>
      </w:r>
    </w:p>
    <w:bookmarkEnd w:id="5"/>
    <w:p w14:paraId="7D67B127" w14:textId="77777777" w:rsidR="009B1300" w:rsidRPr="00E71C62" w:rsidRDefault="009B1300" w:rsidP="009B1300">
      <w:pPr>
        <w:pStyle w:val="Geenafstand"/>
        <w:spacing w:line="480" w:lineRule="auto"/>
        <w:rPr>
          <w:lang w:val="en-US"/>
        </w:rPr>
      </w:pPr>
    </w:p>
    <w:p w14:paraId="0E042D17" w14:textId="77777777" w:rsidR="009B1300" w:rsidRPr="00612776" w:rsidRDefault="009B1300" w:rsidP="009B1300">
      <w:pPr>
        <w:pStyle w:val="Geenafstand"/>
        <w:spacing w:line="480" w:lineRule="auto"/>
        <w:rPr>
          <w:lang w:val="en-US"/>
        </w:rPr>
      </w:pPr>
      <w:r w:rsidRPr="00E71C62">
        <w:rPr>
          <w:lang w:val="en-US"/>
        </w:rPr>
        <w:tab/>
      </w:r>
      <w:r w:rsidRPr="00E71C62">
        <w:rPr>
          <w:lang w:val="en-US"/>
        </w:rPr>
        <w:tab/>
      </w:r>
      <w:r w:rsidRPr="00612776">
        <w:rPr>
          <w:noProof/>
          <w:position w:val="-36"/>
          <w:lang w:val="en-US"/>
        </w:rPr>
        <w:drawing>
          <wp:inline distT="0" distB="0" distL="0" distR="0" wp14:anchorId="256F3957" wp14:editId="36F782F1">
            <wp:extent cx="1903095" cy="47815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3095" cy="478155"/>
                    </a:xfrm>
                    <a:prstGeom prst="rect">
                      <a:avLst/>
                    </a:prstGeom>
                    <a:noFill/>
                    <a:ln>
                      <a:noFill/>
                    </a:ln>
                  </pic:spPr>
                </pic:pic>
              </a:graphicData>
            </a:graphic>
          </wp:inline>
        </w:drawing>
      </w:r>
      <w:r w:rsidRPr="00612776">
        <w:rPr>
          <w:lang w:val="en-US"/>
        </w:rPr>
        <w:tab/>
      </w:r>
      <w:r w:rsidRPr="00612776">
        <w:rPr>
          <w:lang w:val="en-US"/>
        </w:rPr>
        <w:tab/>
      </w:r>
      <w:r w:rsidRPr="00612776">
        <w:rPr>
          <w:lang w:val="en-US"/>
        </w:rPr>
        <w:tab/>
        <w:t>(Equation 2)</w:t>
      </w:r>
    </w:p>
    <w:p w14:paraId="51429203" w14:textId="77777777" w:rsidR="009B1300" w:rsidRPr="00E71C62" w:rsidRDefault="009B1300" w:rsidP="009B1300">
      <w:pPr>
        <w:pStyle w:val="Geenafstand"/>
        <w:spacing w:line="480" w:lineRule="auto"/>
        <w:rPr>
          <w:lang w:val="en-US"/>
        </w:rPr>
      </w:pPr>
    </w:p>
    <w:p w14:paraId="01E861F3" w14:textId="030E75DA" w:rsidR="009B1300" w:rsidRPr="00E71C62" w:rsidRDefault="009B1300" w:rsidP="009B1300">
      <w:pPr>
        <w:pStyle w:val="Geenafstand"/>
        <w:spacing w:line="480" w:lineRule="auto"/>
        <w:rPr>
          <w:lang w:val="en-US"/>
        </w:rPr>
      </w:pPr>
      <w:r w:rsidRPr="00E71C62">
        <w:rPr>
          <w:lang w:val="en-US"/>
        </w:rPr>
        <w:t xml:space="preserve">Where </w:t>
      </w:r>
      <w:r w:rsidRPr="00612776">
        <w:rPr>
          <w:rFonts w:cstheme="majorBidi"/>
          <w:noProof/>
          <w:position w:val="-10"/>
          <w:lang w:val="en-US"/>
        </w:rPr>
        <w:drawing>
          <wp:inline distT="0" distB="0" distL="0" distR="0" wp14:anchorId="50672434" wp14:editId="1FE4B1C3">
            <wp:extent cx="1573530" cy="20193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3530" cy="201930"/>
                    </a:xfrm>
                    <a:prstGeom prst="rect">
                      <a:avLst/>
                    </a:prstGeom>
                    <a:noFill/>
                    <a:ln>
                      <a:noFill/>
                    </a:ln>
                  </pic:spPr>
                </pic:pic>
              </a:graphicData>
            </a:graphic>
          </wp:inline>
        </w:drawing>
      </w:r>
      <w:r w:rsidRPr="00612776">
        <w:rPr>
          <w:rFonts w:cstheme="majorBidi"/>
          <w:lang w:val="en-US"/>
        </w:rPr>
        <w:t xml:space="preserve"> and </w:t>
      </w:r>
      <w:r w:rsidRPr="00612776">
        <w:rPr>
          <w:rFonts w:cstheme="majorBidi"/>
          <w:noProof/>
          <w:position w:val="-10"/>
          <w:lang w:val="en-US"/>
        </w:rPr>
        <w:drawing>
          <wp:inline distT="0" distB="0" distL="0" distR="0" wp14:anchorId="23845BA3" wp14:editId="27BC2EDE">
            <wp:extent cx="148590" cy="20193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590" cy="201930"/>
                    </a:xfrm>
                    <a:prstGeom prst="rect">
                      <a:avLst/>
                    </a:prstGeom>
                    <a:noFill/>
                    <a:ln>
                      <a:noFill/>
                    </a:ln>
                  </pic:spPr>
                </pic:pic>
              </a:graphicData>
            </a:graphic>
          </wp:inline>
        </w:drawing>
      </w:r>
      <w:r w:rsidRPr="00E71C62">
        <w:rPr>
          <w:lang w:val="en-US"/>
        </w:rPr>
        <w:t xml:space="preserve"> affect</w:t>
      </w:r>
      <w:r w:rsidR="006E6523">
        <w:rPr>
          <w:lang w:val="en-US"/>
        </w:rPr>
        <w:t>ed</w:t>
      </w:r>
      <w:r w:rsidRPr="00E71C62">
        <w:rPr>
          <w:lang w:val="en-US"/>
        </w:rPr>
        <w:t xml:space="preserve"> choice strategies. </w:t>
      </w:r>
    </w:p>
    <w:p w14:paraId="208B2C8B" w14:textId="1F242329" w:rsidR="009B1300" w:rsidRPr="003466DB" w:rsidRDefault="009B1300" w:rsidP="00A824E6">
      <w:pPr>
        <w:pStyle w:val="Geenafstand"/>
        <w:spacing w:line="480" w:lineRule="auto"/>
        <w:ind w:firstLine="708"/>
        <w:rPr>
          <w:lang w:val="en-US"/>
        </w:rPr>
      </w:pPr>
      <w:r w:rsidRPr="00E71C62">
        <w:rPr>
          <w:lang w:val="en-US"/>
        </w:rPr>
        <w:t>The free parameters (</w:t>
      </w:r>
      <w:r w:rsidRPr="00AF2778">
        <w:rPr>
          <w:noProof/>
          <w:position w:val="-10"/>
          <w:lang w:val="en-US"/>
        </w:rPr>
        <w:drawing>
          <wp:inline distT="0" distB="0" distL="0" distR="0" wp14:anchorId="5483580A" wp14:editId="4DD54B1A">
            <wp:extent cx="1116330" cy="233680"/>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6330" cy="233680"/>
                    </a:xfrm>
                    <a:prstGeom prst="rect">
                      <a:avLst/>
                    </a:prstGeom>
                    <a:noFill/>
                    <a:ln>
                      <a:noFill/>
                    </a:ln>
                  </pic:spPr>
                </pic:pic>
              </a:graphicData>
            </a:graphic>
          </wp:inline>
        </w:drawing>
      </w:r>
      <w:r w:rsidRPr="00612776">
        <w:rPr>
          <w:lang w:val="en-US"/>
        </w:rPr>
        <w:t>) were</w:t>
      </w:r>
      <w:r w:rsidRPr="00E71C62">
        <w:rPr>
          <w:lang w:val="en-US"/>
        </w:rPr>
        <w:t xml:space="preserve"> fitted to the choices of each individual participant using </w:t>
      </w:r>
      <w:r w:rsidR="00712DBC">
        <w:rPr>
          <w:lang w:val="en-US"/>
        </w:rPr>
        <w:t xml:space="preserve">a hierarchical fitting procedure with two consecutive steps </w:t>
      </w:r>
      <w:r w:rsidR="005811AF">
        <w:rPr>
          <w:lang w:val="en-US"/>
        </w:rPr>
        <w:fldChar w:fldCharType="begin" w:fldLock="1"/>
      </w:r>
      <w:r w:rsidR="00FE5FD9">
        <w:rPr>
          <w:lang w:val="en-US"/>
        </w:rPr>
        <w:instrText>ADDIN CSL_CITATION {"citationItems":[{"id":"ITEM-1","itemData":{"DOI":"10.1523/JNEUROSCI.1394-18.2018","ISSN":"1529-2401","PMID":"30559152","abstract":"Learning and decision-making are modulated by socio-emotional processing and such modulation is implicated in clinically relevant personality traits of social anxiety. The present study elucidates the computational and neural mechanisms by which emotionally aversive cues disrupt learning in socially anxious human individuals. Healthy volunteers with low or high trait social anxiety performed a reversal learning task requiring learning actions in response to angry or happy face cues. Choice data were best captured by a computational model in which learning rate was adjusted according to the history of surprises. High trait socially anxious individuals used a less-dynamic strategy for adjusting their learning rate in trials started with angry face cues and unlike the low social anxiety group, their dorsal anterior cingulate cortex (dACC) activity did not covary with the learning rate. Our results demonstrate that trait social anxiety is accompanied by disruption of optimal learning and dACC activity in threatening situations.SIGNIFICANCE STATEMENT Social anxiety is known to influence a broad range of cognitive functions. This study tests whether and how social anxiety affects human value-based learning as a function of uncertainty in the learning environment. The findings indicate that, in a threatening context evoked by an angry face, socially anxious individuals fail to benefit from a stable learning environment with highly predictable stimulus-response-outcome associations. Under those circumstances, socially anxious individuals failed to use their dorsal anterior cingulate cortex, a region known to adjust learning rate to environmental uncertainty. These findings open the way to modify neurobiological mechanisms of maladaptive learning in anxiety and depressive disorders.","author":[{"dropping-particle":"","family":"Piray","given":"Payam","non-dropping-particle":"","parse-names":false,"suffix":""},{"dropping-particle":"","family":"Ly","given":"Verena","non-dropping-particle":"","parse-names":false,"suffix":""},{"dropping-particle":"","family":"Roelofs","given":"Karin","non-dropping-particle":"","parse-names":false,"suffix":""},{"dropping-particle":"","family":"Cools","given":"Roshan","non-dropping-particle":"","parse-names":false,"suffix":""},{"dropping-particle":"","family":"Toni","given":"Ivan","non-dropping-particle":"","parse-names":false,"suffix":""}],"container-title":"The Journal of neuroscience : the official journal of the Society for Neuroscience","id":"ITEM-1","issue":"8","issued":{"date-parts":[["2019","2","20"]]},"page":"1445-1456","title":"Emotionally Aversive Cues Suppress Neural Systems Underlying Optimal Learning in Socially Anxious Individuals.","type":"article-journal","volume":"39"},"uris":["http://www.mendeley.com/documents/?uuid=c7134c76-e278-3aac-b932-dd5c2af67361"]}],"mendeley":{"formattedCitation":"(Piray &lt;i&gt;et al.&lt;/i&gt; 2019)","plainTextFormattedCitation":"(Piray et al. 2019)","previouslyFormattedCitation":"(Piray &lt;i&gt;et al.&lt;/i&gt; 2019)"},"properties":{"noteIndex":0},"schema":"https://github.com/citation-style-language/schema/raw/master/csl-citation.json"}</w:instrText>
      </w:r>
      <w:r w:rsidR="005811AF">
        <w:rPr>
          <w:lang w:val="en-US"/>
        </w:rPr>
        <w:fldChar w:fldCharType="separate"/>
      </w:r>
      <w:r w:rsidR="005811AF" w:rsidRPr="005811AF">
        <w:rPr>
          <w:noProof/>
          <w:lang w:val="en-US"/>
        </w:rPr>
        <w:t xml:space="preserve">(Piray </w:t>
      </w:r>
      <w:r w:rsidR="005811AF" w:rsidRPr="005811AF">
        <w:rPr>
          <w:i/>
          <w:noProof/>
          <w:lang w:val="en-US"/>
        </w:rPr>
        <w:t>et al.</w:t>
      </w:r>
      <w:r w:rsidR="005811AF" w:rsidRPr="005811AF">
        <w:rPr>
          <w:noProof/>
          <w:lang w:val="en-US"/>
        </w:rPr>
        <w:t xml:space="preserve"> 2019)</w:t>
      </w:r>
      <w:r w:rsidR="005811AF">
        <w:rPr>
          <w:lang w:val="en-US"/>
        </w:rPr>
        <w:fldChar w:fldCharType="end"/>
      </w:r>
      <w:r w:rsidRPr="00612776">
        <w:rPr>
          <w:lang w:val="en-US"/>
        </w:rPr>
        <w:t xml:space="preserve">. In this </w:t>
      </w:r>
      <w:r w:rsidRPr="00612776">
        <w:rPr>
          <w:lang w:val="en-US"/>
        </w:rPr>
        <w:lastRenderedPageBreak/>
        <w:t>estimation, we used</w:t>
      </w:r>
      <w:r w:rsidRPr="00E71C62">
        <w:rPr>
          <w:lang w:val="en-US"/>
        </w:rPr>
        <w:t xml:space="preserve"> initial Gaussian priors. Then, according to the theoretical constraints of the parameters, </w:t>
      </w:r>
      <w:r w:rsidRPr="003466DB">
        <w:rPr>
          <w:noProof/>
          <w:position w:val="-10"/>
          <w:lang w:val="en-US"/>
        </w:rPr>
        <w:drawing>
          <wp:inline distT="0" distB="0" distL="0" distR="0" wp14:anchorId="0AAF0BA0" wp14:editId="785DB12B">
            <wp:extent cx="1031240" cy="23368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1240" cy="233680"/>
                    </a:xfrm>
                    <a:prstGeom prst="rect">
                      <a:avLst/>
                    </a:prstGeom>
                    <a:noFill/>
                    <a:ln>
                      <a:noFill/>
                    </a:ln>
                  </pic:spPr>
                </pic:pic>
              </a:graphicData>
            </a:graphic>
          </wp:inline>
        </w:drawing>
      </w:r>
      <w:r w:rsidR="00A9317E" w:rsidRPr="003466DB">
        <w:rPr>
          <w:lang w:val="en-US"/>
        </w:rPr>
        <w:t xml:space="preserve"> and </w:t>
      </w:r>
      <w:r w:rsidRPr="003466DB">
        <w:rPr>
          <w:noProof/>
          <w:position w:val="-10"/>
          <w:lang w:val="en-US"/>
        </w:rPr>
        <w:drawing>
          <wp:inline distT="0" distB="0" distL="0" distR="0" wp14:anchorId="3D62B9BB" wp14:editId="0F7BFF32">
            <wp:extent cx="712470" cy="212725"/>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2470" cy="212725"/>
                    </a:xfrm>
                    <a:prstGeom prst="rect">
                      <a:avLst/>
                    </a:prstGeom>
                    <a:noFill/>
                    <a:ln>
                      <a:noFill/>
                    </a:ln>
                  </pic:spPr>
                </pic:pic>
              </a:graphicData>
            </a:graphic>
          </wp:inline>
        </w:drawing>
      </w:r>
      <w:r w:rsidRPr="003466DB">
        <w:rPr>
          <w:lang w:val="en-US"/>
        </w:rPr>
        <w:t xml:space="preserve">, sigmoid and exponential transformations were applied to the learning rates and </w:t>
      </w:r>
      <w:r w:rsidRPr="003466DB">
        <w:rPr>
          <w:rFonts w:cstheme="majorBidi"/>
          <w:lang w:val="en-US"/>
        </w:rPr>
        <w:t xml:space="preserve">beta </w:t>
      </w:r>
      <w:r w:rsidRPr="003466DB">
        <w:rPr>
          <w:lang w:val="en-US"/>
        </w:rPr>
        <w:t>respectively.</w:t>
      </w:r>
      <w:r w:rsidR="00AF2570" w:rsidRPr="003466DB">
        <w:rPr>
          <w:lang w:val="en-US"/>
        </w:rPr>
        <w:t xml:space="preserve"> We tested recoverability of the parameters using the following procedure: First, we simulated 100 datasets with each participant’s estimated parameters. We next fitted the model to each of these simulated datasets. The recovered parameters were then averaged within each subject (100 stimulations), and correlated with the real data.</w:t>
      </w:r>
    </w:p>
    <w:p w14:paraId="2834B8CE" w14:textId="230DE303" w:rsidR="00AF2570" w:rsidRPr="003466DB" w:rsidRDefault="00AF2570" w:rsidP="00AF2570">
      <w:pPr>
        <w:pStyle w:val="Geenafstand"/>
        <w:spacing w:line="480" w:lineRule="auto"/>
        <w:rPr>
          <w:lang w:val="en-US"/>
        </w:rPr>
      </w:pPr>
    </w:p>
    <w:p w14:paraId="66CAB05F" w14:textId="608BDB15" w:rsidR="00AF2570" w:rsidRPr="003466DB" w:rsidRDefault="00AF2570" w:rsidP="00AF2570">
      <w:pPr>
        <w:pStyle w:val="Kop2"/>
      </w:pPr>
      <w:bookmarkStart w:id="6" w:name="_Toc38977687"/>
      <w:r w:rsidRPr="003466DB">
        <w:t>Effect of anhedonia</w:t>
      </w:r>
      <w:bookmarkEnd w:id="6"/>
      <w:r w:rsidRPr="003466DB">
        <w:t xml:space="preserve"> </w:t>
      </w:r>
    </w:p>
    <w:p w14:paraId="70609158" w14:textId="3ADD9292" w:rsidR="00AF2570" w:rsidRPr="00AF2570" w:rsidRDefault="00AF2570" w:rsidP="00AF2570">
      <w:pPr>
        <w:spacing w:line="480" w:lineRule="auto"/>
        <w:ind w:firstLine="708"/>
        <w:rPr>
          <w:lang w:val="en-US"/>
        </w:rPr>
      </w:pPr>
      <w:r w:rsidRPr="003466DB">
        <w:rPr>
          <w:lang w:val="en-US"/>
        </w:rPr>
        <w:t xml:space="preserve">Previous studies have demonstrated that the consistency with which participants choose an action, given the value that was assigned to that action (i.e. decision variability) was associated positively with anhedonia symptom severity </w:t>
      </w:r>
      <w:r w:rsidRPr="003466DB">
        <w:rPr>
          <w:lang w:val="en-US"/>
        </w:rPr>
        <w:fldChar w:fldCharType="begin" w:fldLock="1"/>
      </w:r>
      <w:r w:rsidRPr="003466DB">
        <w:rPr>
          <w:lang w:val="en-US"/>
        </w:rPr>
        <w:instrText>ADDIN CSL_CITATION {"citationItems":[{"id":"ITEM-1","itemData":{"DOI":"10.1186/2045-5380-3-12","ISSN":"2045-5380","PMID":"23782813","abstract":"BACKGROUND Depression is characterised partly by blunted reactions to reward. However, tasks probing this deficiency have not distinguished insensitivity to reward from insensitivity to the prediction errors for reward that determine learning and are putatively reported by the phasic activity of dopamine neurons. We attempted to disentangle these factors with respect to anhedonia in the context of stress, Major Depressive Disorder (MDD), Bipolar Disorder (BPD) and a dopaminergic challenge. METHODS Six behavioural datasets involving 392 experimental sessions were subjected to a model-based, Bayesian meta-analysis. Participants across all six studies performed a probabilistic reward task that used an asymmetric reinforcement schedule to assess reward learning. Healthy controls were tested under baseline conditions, stress or after receiving the dopamine D2 agonist pramipexole. In addition, participants with current or past MDD or BPD were evaluated. Reinforcement learning models isolated the contributions of variation in reward sensitivity and learning rate. RESULTS MDD and anhedonia reduced reward sensitivity more than they affected the learning rate, while a low dose of the dopamine D2 agonist pramipexole showed the opposite pattern. Stress led to a pattern consistent with a mixed effect on reward sensitivity and learning rate. CONCLUSION Reward-related learning reflected at least two partially separable contributions. The first related to phasic prediction error signalling, and was preferentially modulated by a low dose of the dopamine agonist pramipexole. The second related directly to reward sensitivity, and was preferentially reduced in MDD and anhedonia. Stress altered both components. Collectively, these findings highlight the contribution of model-based reinforcement learning meta-analysis for dissecting anhedonic behavior.","author":[{"dropping-particle":"","family":"Huys","given":"Quentin Jm","non-dropping-particle":"","parse-names":false,"suffix":""},{"dropping-particle":"","family":"Pizzagalli","given":"Diego A","non-dropping-particle":"","parse-names":false,"suffix":""},{"dropping-particle":"","family":"Bogdan","given":"Ryan","non-dropping-particle":"","parse-names":false,"suffix":""},{"dropping-particle":"","family":"Dayan","given":"Peter","non-dropping-particle":"","parse-names":false,"suffix":""}],"container-title":"Biology of mood &amp; anxiety disorders","id":"ITEM-1","issue":"1","issued":{"date-parts":[["2013","6","19"]]},"page":"12","title":"Mapping anhedonia onto reinforcement learning: a behavioural meta-analysis.","type":"article-journal","volume":"3"},"uris":["http://www.mendeley.com/documents/?uuid=d03f4247-7f64-369b-b6f4-52d484a26003"]},{"id":"ITEM-2","itemData":{"DOI":"10.1162/CPSY_a_00009","ISSN":"2379-6227","PMID":"29400358","abstract":"Computational approaches are increasingly being used to model behavioral and neural processes in mood and anxiety disorders. Here we explore the extent to which the parameters of popular learning and decision-making models are implicated in anhedonic symptoms of major depression. We first highlight the parameters of reinforcement learning that have been implicated in anhedonia, focusing, in particular, on the role that choice variability (i.e., \"temperature\") may play in explaining heterogeneity across previous findings. We then turn to neuroimaging findings implicating attenuated ventral striatum response in anhedonic responses and discuss possible causes of the heterogeneity in the literature. Taken together, the reviewed findings highlight the potential of the computational approach in teasing apart the observed heterogeneity in both behavioral and functional imaging results. Nevertheless, considerable challenges remain, and we conclude with five unresolved questions that seek to address issues highlighted by the reviewed data.","author":[{"dropping-particle":"","family":"Robinson","given":"Oliver J","non-dropping-particle":"","parse-names":false,"suffix":""},{"dropping-particle":"","family":"Chase","given":"Henry W","non-dropping-particle":"","parse-names":false,"suffix":""}],"container-title":"Computational psychiatry","id":"ITEM-2","issue":"1","issued":{"date-parts":[["2017"]]},"page":"208-233","title":"Learning and Choice in Mood Disorders: Searching for the Computational Parameters of Anhedonia.","type":"article-journal","volume":"1"},"uris":["http://www.mendeley.com/documents/?uuid=e979ebd2-64ed-3fb3-bad8-6cc42540bfc9"]}],"mendeley":{"formattedCitation":"(Huys &lt;i&gt;et al.&lt;/i&gt; 2013; Robinson &amp; Chase 2017)","plainTextFormattedCitation":"(Huys et al. 2013; Robinson &amp; Chase 2017)","previouslyFormattedCitation":"(Huys &lt;i&gt;et al.&lt;/i&gt; 2013; Robinson &amp; Chase 2017)"},"properties":{"noteIndex":0},"schema":"https://github.com/citation-style-language/schema/raw/master/csl-citation.json"}</w:instrText>
      </w:r>
      <w:r w:rsidRPr="003466DB">
        <w:rPr>
          <w:lang w:val="en-US"/>
        </w:rPr>
        <w:fldChar w:fldCharType="separate"/>
      </w:r>
      <w:r w:rsidRPr="003466DB">
        <w:rPr>
          <w:noProof/>
          <w:lang w:val="en-US"/>
        </w:rPr>
        <w:t xml:space="preserve">(Huys </w:t>
      </w:r>
      <w:r w:rsidRPr="003466DB">
        <w:rPr>
          <w:i/>
          <w:noProof/>
          <w:lang w:val="en-US"/>
        </w:rPr>
        <w:t>et al.</w:t>
      </w:r>
      <w:r w:rsidRPr="003466DB">
        <w:rPr>
          <w:noProof/>
          <w:lang w:val="en-US"/>
        </w:rPr>
        <w:t xml:space="preserve"> 2013; Robinson &amp; Chase 2017)</w:t>
      </w:r>
      <w:r w:rsidRPr="003466DB">
        <w:rPr>
          <w:lang w:val="en-US"/>
        </w:rPr>
        <w:fldChar w:fldCharType="end"/>
      </w:r>
      <w:r w:rsidRPr="003466DB">
        <w:rPr>
          <w:lang w:val="en-US"/>
        </w:rPr>
        <w:t xml:space="preserve">. Here we asked whether performance on the PRL task might also be associated with anhedonia. Although there was no specific questionnaire included in our study to measure anhedonia symptoms, we approximated this with a set of items from the Outcome Questionnaire (OQ-45, </w:t>
      </w:r>
      <w:r w:rsidRPr="003466DB">
        <w:rPr>
          <w:lang w:val="en-US"/>
        </w:rPr>
        <w:fldChar w:fldCharType="begin" w:fldLock="1"/>
      </w:r>
      <w:r w:rsidRPr="003466DB">
        <w:rPr>
          <w:lang w:val="en-US"/>
        </w:rPr>
        <w:instrText>ADDIN CSL_CITATION {"citationItems":[{"id":"ITEM-1","itemData":{"DOI":"10.1002/(SICI)1099-0879(199612)3:4&lt;249::AID-CPP106&gt;3.0.CO;2-S","ISSN":"1063-3995","author":[{"dropping-particle":"","family":"Lambert","given":"Michael J.","non-dropping-particle":"","parse-names":false,"suffix":""},{"dropping-particle":"","family":"Burlingame","given":"Gary M.","non-dropping-particle":"","parse-names":false,"suffix":""},{"dropping-particle":"","family":"Umphress","given":"Val","non-dropping-particle":"","parse-names":false,"suffix":""},{"dropping-particle":"","family":"Hansen","given":"Nathan B.","non-dropping-particle":"","parse-names":false,"suffix":""},{"dropping-particle":"","family":"Vermeersch","given":"David A.","non-dropping-particle":"","parse-names":false,"suffix":""},{"dropping-particle":"","family":"Clouse","given":"Glenn C.","non-dropping-particle":"","parse-names":false,"suffix":""},{"dropping-particle":"","family":"Yanchar","given":"Stephen C.","non-dropping-particle":"","parse-names":false,"suffix":""}],"container-title":"Clinical Psychology &amp; Psychotherapy","id":"ITEM-1","issue":"4","issued":{"date-parts":[["1996","12","1"]]},"page":"249-258","title":"The Reliability and Validity of the Outcome Questionnaire","type":"article-journal","volume":"3"},"uris":["http://www.mendeley.com/documents/?uuid=2bf3b1b2-baad-3e26-943d-cdb89879db3d"]}],"mendeley":{"formattedCitation":"(Lambert &lt;i&gt;et al.&lt;/i&gt; 1996)","manualFormatting":"Lambert et al. 1996)","plainTextFormattedCitation":"(Lambert et al. 1996)","previouslyFormattedCitation":"(Lambert &lt;i&gt;et al.&lt;/i&gt; 1996)"},"properties":{"noteIndex":0},"schema":"https://github.com/citation-style-language/schema/raw/master/csl-citation.json"}</w:instrText>
      </w:r>
      <w:r w:rsidRPr="003466DB">
        <w:rPr>
          <w:lang w:val="en-US"/>
        </w:rPr>
        <w:fldChar w:fldCharType="separate"/>
      </w:r>
      <w:r w:rsidRPr="003466DB">
        <w:rPr>
          <w:noProof/>
          <w:lang w:val="en-US"/>
        </w:rPr>
        <w:t xml:space="preserve">Lambert </w:t>
      </w:r>
      <w:r w:rsidRPr="003466DB">
        <w:rPr>
          <w:i/>
          <w:noProof/>
          <w:lang w:val="en-US"/>
        </w:rPr>
        <w:t>et al.</w:t>
      </w:r>
      <w:r w:rsidRPr="003466DB">
        <w:rPr>
          <w:noProof/>
          <w:lang w:val="en-US"/>
        </w:rPr>
        <w:t xml:space="preserve"> 1996)</w:t>
      </w:r>
      <w:r w:rsidRPr="003466DB">
        <w:rPr>
          <w:lang w:val="en-US"/>
        </w:rPr>
        <w:fldChar w:fldCharType="end"/>
      </w:r>
      <w:r w:rsidRPr="003466DB">
        <w:rPr>
          <w:lang w:val="en-US"/>
        </w:rPr>
        <w:t xml:space="preserve"> which was previously established, based on a factor analysis, to contribute to an anhedonia factor </w:t>
      </w:r>
      <w:r w:rsidRPr="003466DB">
        <w:rPr>
          <w:lang w:val="en-US"/>
        </w:rPr>
        <w:fldChar w:fldCharType="begin" w:fldLock="1"/>
      </w:r>
      <w:r w:rsidRPr="003466DB">
        <w:rPr>
          <w:lang w:val="en-US"/>
        </w:rPr>
        <w:instrText>ADDIN CSL_CITATION {"citationItems":[{"id":"ITEM-1","itemData":{"DOI":"10.1037/a0015398","ISSN":"00220167","abstract":"Treatment data from a university counseling center (UCC) that utilized the Outcome Questionnaire-45.2 (OQ-45; M. J. Lambert et al., 2004), a self-report general clinical symptom measure, was compared against treatment efficacy benchmarks from clinical trials of adult major depression that utilized similar measures. Statistical analyses suggested that the treatment effect size estimate obtained at this counseling center with clients whose level of psychological distress was above the OQ-45 clinical cutoff score was similar to treatment efficacy observed in clinical trials. Analyses on OQ-45 items suggested that clients elevated on 3 items indicating problematic substance use resulted in poorer treatment outcomes. In addition, clients who reported their relational status as separated or divorced had poorer outcomes than did those who reported being partnered or married, and clients reporting intimacy issues resulted in greater numbers of sessions. Although differential treatment effect due to training level was found where interns and other trainees had better pre-post outcome than did staff, interpretation of this result requires great caution because clients perceived to have complicated issues are actively reassigned to staff. More effectiveness investigations at UCCs are warranted. © 2009 American Psychological Association.","author":[{"dropping-particle":"","family":"Minami","given":"Takuya","non-dropping-particle":"","parse-names":false,"suffix":""},{"dropping-particle":"","family":"Davies","given":"D. Robert","non-dropping-particle":"","parse-names":false,"suffix":""},{"dropping-particle":"","family":"Tierney","given":"Sandra Callen","non-dropping-particle":"","parse-names":false,"suffix":""},{"dropping-particle":"","family":"Bettmann","given":"Joanna E.","non-dropping-particle":"","parse-names":false,"suffix":""},{"dropping-particle":"","family":"McAward","given":"Scott M.","non-dropping-particle":"","parse-names":false,"suffix":""},{"dropping-particle":"","family":"Averill","given":"Lynnette A.","non-dropping-particle":"","parse-names":false,"suffix":""},{"dropping-particle":"","family":"Huebner","given":"Lois A.","non-dropping-particle":"","parse-names":false,"suffix":""},{"dropping-particle":"","family":"Weitzman","given":"Lauren M.","non-dropping-particle":"","parse-names":false,"suffix":""},{"dropping-particle":"","family":"Benbrook","given":"Amy R.","non-dropping-particle":"","parse-names":false,"suffix":""},{"dropping-particle":"","family":"Serlin","given":"Ronald C.","non-dropping-particle":"","parse-names":false,"suffix":""},{"dropping-particle":"","family":"Wampold","given":"Bruce E.","non-dropping-particle":"","parse-names":false,"suffix":""}],"container-title":"Journal of Counseling Psychology","id":"ITEM-1","issue":"2","issued":{"date-parts":[["2009","4"]]},"page":"309-320","title":"Preliminary Evidence on the Effectiveness of Psychological Treatments Delivered at a University Counseling Center","type":"article-journal","volume":"56"},"uris":["http://www.mendeley.com/documents/?uuid=3b8f72ea-4325-3c99-8365-2803aa89438e"]}],"mendeley":{"formattedCitation":"(Minami &lt;i&gt;et al.&lt;/i&gt; 2009)","manualFormatting":"(Minami et al. 2009","plainTextFormattedCitation":"(Minami et al. 2009)","previouslyFormattedCitation":"(Minami &lt;i&gt;et al.&lt;/i&gt; 2009)"},"properties":{"noteIndex":0},"schema":"https://github.com/citation-style-language/schema/raw/master/csl-citation.json"}</w:instrText>
      </w:r>
      <w:r w:rsidRPr="003466DB">
        <w:rPr>
          <w:lang w:val="en-US"/>
        </w:rPr>
        <w:fldChar w:fldCharType="separate"/>
      </w:r>
      <w:r w:rsidRPr="003466DB">
        <w:rPr>
          <w:noProof/>
          <w:lang w:val="en-US"/>
        </w:rPr>
        <w:t xml:space="preserve">(Minami </w:t>
      </w:r>
      <w:r w:rsidRPr="003466DB">
        <w:rPr>
          <w:i/>
          <w:noProof/>
          <w:lang w:val="en-US"/>
        </w:rPr>
        <w:t>et al.</w:t>
      </w:r>
      <w:r w:rsidRPr="003466DB">
        <w:rPr>
          <w:noProof/>
          <w:lang w:val="en-US"/>
        </w:rPr>
        <w:t xml:space="preserve"> 2009</w:t>
      </w:r>
      <w:r w:rsidRPr="003466DB">
        <w:rPr>
          <w:lang w:val="en-US"/>
        </w:rPr>
        <w:fldChar w:fldCharType="end"/>
      </w:r>
      <w:r w:rsidRPr="003466DB">
        <w:rPr>
          <w:lang w:val="en-US"/>
        </w:rPr>
        <w:t>; items: 3, 13, 20, 21, 24, 31, 43; example questions: “I am not interested in anything”, “I am satisfied with my life”). The associations between the total score of these items and the various outcome measures were assessed with Spearman correlations.</w:t>
      </w:r>
    </w:p>
    <w:p w14:paraId="0FCD4780" w14:textId="055D11B3" w:rsidR="00AF2570" w:rsidRPr="00E71C62" w:rsidRDefault="00AF2570" w:rsidP="00AF2570">
      <w:pPr>
        <w:pStyle w:val="Geenafstand"/>
        <w:spacing w:line="480" w:lineRule="auto"/>
        <w:rPr>
          <w:lang w:val="en-US"/>
        </w:rPr>
      </w:pPr>
    </w:p>
    <w:p w14:paraId="60D9AF42" w14:textId="77777777" w:rsidR="00956577" w:rsidRDefault="00956577">
      <w:pPr>
        <w:rPr>
          <w:b/>
          <w:lang w:val="en-US"/>
        </w:rPr>
      </w:pPr>
    </w:p>
    <w:p w14:paraId="1A44EA8C" w14:textId="6464371B" w:rsidR="0099060F" w:rsidRDefault="00160918" w:rsidP="0026554C">
      <w:pPr>
        <w:pStyle w:val="Kop1"/>
      </w:pPr>
      <w:bookmarkStart w:id="7" w:name="_Toc38977688"/>
      <w:r w:rsidRPr="002A6EBC">
        <w:t>Results</w:t>
      </w:r>
      <w:bookmarkEnd w:id="7"/>
    </w:p>
    <w:p w14:paraId="4CCC9B3C" w14:textId="0123AD2E" w:rsidR="00160918" w:rsidRPr="00EB35A9" w:rsidRDefault="00160918" w:rsidP="00AF2570">
      <w:pPr>
        <w:pStyle w:val="Kop2"/>
      </w:pPr>
      <w:bookmarkStart w:id="8" w:name="_Toc38977689"/>
      <w:r w:rsidRPr="00EB35A9">
        <w:t>Dimensional analys</w:t>
      </w:r>
      <w:r w:rsidR="00506C0F">
        <w:t>e</w:t>
      </w:r>
      <w:r w:rsidRPr="00EB35A9">
        <w:t>s</w:t>
      </w:r>
      <w:bookmarkEnd w:id="8"/>
    </w:p>
    <w:p w14:paraId="774F0695" w14:textId="65EBA65E" w:rsidR="001A14D8" w:rsidRDefault="00160918" w:rsidP="00506C0F">
      <w:pPr>
        <w:pStyle w:val="Geenafstand"/>
        <w:spacing w:line="480" w:lineRule="auto"/>
        <w:ind w:firstLine="708"/>
        <w:rPr>
          <w:lang w:val="en-US"/>
        </w:rPr>
      </w:pPr>
      <w:r>
        <w:rPr>
          <w:lang w:val="en-US"/>
        </w:rPr>
        <w:t xml:space="preserve">When controlling for age, gender and SWM errors, there were no significant Spearman </w:t>
      </w:r>
      <w:r w:rsidR="001A14D8">
        <w:rPr>
          <w:lang w:val="en-US"/>
        </w:rPr>
        <w:t xml:space="preserve">partial </w:t>
      </w:r>
      <w:r>
        <w:rPr>
          <w:lang w:val="en-US"/>
        </w:rPr>
        <w:t xml:space="preserve">correlations between </w:t>
      </w:r>
      <w:r w:rsidR="0026554C">
        <w:rPr>
          <w:lang w:val="en-US"/>
        </w:rPr>
        <w:t>the questionnaire scores and the outcome measures</w:t>
      </w:r>
      <w:r w:rsidR="00AB5EA6">
        <w:rPr>
          <w:lang w:val="en-US"/>
        </w:rPr>
        <w:t xml:space="preserve"> (Table </w:t>
      </w:r>
      <w:r w:rsidR="00DE7EBE">
        <w:rPr>
          <w:lang w:val="en-US"/>
        </w:rPr>
        <w:t>S</w:t>
      </w:r>
      <w:r w:rsidR="00AB5EA6">
        <w:rPr>
          <w:lang w:val="en-US"/>
        </w:rPr>
        <w:t>3)</w:t>
      </w:r>
      <w:r w:rsidR="0026554C">
        <w:rPr>
          <w:lang w:val="en-US"/>
        </w:rPr>
        <w:t>.</w:t>
      </w:r>
    </w:p>
    <w:p w14:paraId="51A35E9D" w14:textId="77777777" w:rsidR="00412C25" w:rsidRDefault="00412C25" w:rsidP="00506C0F">
      <w:pPr>
        <w:pStyle w:val="Geenafstand"/>
        <w:spacing w:line="480" w:lineRule="auto"/>
        <w:ind w:firstLine="708"/>
        <w:rPr>
          <w:lang w:val="en-US"/>
        </w:rPr>
      </w:pPr>
    </w:p>
    <w:p w14:paraId="52A0557A" w14:textId="5328E036" w:rsidR="00563689" w:rsidRPr="002D41BD" w:rsidRDefault="00506C0F" w:rsidP="00AF2570">
      <w:pPr>
        <w:pStyle w:val="Kop2"/>
      </w:pPr>
      <w:bookmarkStart w:id="9" w:name="_Toc38977690"/>
      <w:r>
        <w:t>Stratification based on o</w:t>
      </w:r>
      <w:r w:rsidR="00563689" w:rsidRPr="002D41BD">
        <w:t>ther diagnoses</w:t>
      </w:r>
      <w:bookmarkEnd w:id="9"/>
    </w:p>
    <w:p w14:paraId="580D6E7A" w14:textId="0FAD2B3D" w:rsidR="00563689" w:rsidRPr="003466DB" w:rsidRDefault="00563689" w:rsidP="00506C0F">
      <w:pPr>
        <w:pStyle w:val="Geenafstand"/>
        <w:spacing w:line="480" w:lineRule="auto"/>
        <w:ind w:firstLine="708"/>
        <w:rPr>
          <w:lang w:val="en-US"/>
        </w:rPr>
      </w:pPr>
      <w:r>
        <w:rPr>
          <w:lang w:val="en-US"/>
        </w:rPr>
        <w:t xml:space="preserve">Table </w:t>
      </w:r>
      <w:r w:rsidR="00DE7EBE">
        <w:rPr>
          <w:lang w:val="en-US"/>
        </w:rPr>
        <w:t>S</w:t>
      </w:r>
      <w:r w:rsidR="00414DCC">
        <w:rPr>
          <w:lang w:val="en-US"/>
        </w:rPr>
        <w:t>4</w:t>
      </w:r>
      <w:r>
        <w:rPr>
          <w:lang w:val="en-US"/>
        </w:rPr>
        <w:t xml:space="preserve"> shows the results when the patient sample was divided based </w:t>
      </w:r>
      <w:r w:rsidR="006E6523">
        <w:rPr>
          <w:lang w:val="en-US"/>
        </w:rPr>
        <w:t xml:space="preserve">on </w:t>
      </w:r>
      <w:r w:rsidR="000C2DB1">
        <w:rPr>
          <w:lang w:val="en-US"/>
        </w:rPr>
        <w:t>additional</w:t>
      </w:r>
      <w:r>
        <w:rPr>
          <w:lang w:val="en-US"/>
        </w:rPr>
        <w:t xml:space="preserve"> diagnoses </w:t>
      </w:r>
      <w:r w:rsidR="000C2DB1">
        <w:rPr>
          <w:lang w:val="en-US"/>
        </w:rPr>
        <w:t>next to MDD</w:t>
      </w:r>
      <w:r>
        <w:rPr>
          <w:lang w:val="en-US"/>
        </w:rPr>
        <w:t>. The different behavioral</w:t>
      </w:r>
      <w:r w:rsidR="001D5DDF">
        <w:rPr>
          <w:lang w:val="en-US"/>
        </w:rPr>
        <w:t xml:space="preserve"> and computational</w:t>
      </w:r>
      <w:r>
        <w:rPr>
          <w:lang w:val="en-US"/>
        </w:rPr>
        <w:t xml:space="preserve"> outcome measures were analyzed with </w:t>
      </w:r>
      <w:r w:rsidRPr="003466DB">
        <w:rPr>
          <w:lang w:val="en-US"/>
        </w:rPr>
        <w:t xml:space="preserve">separate </w:t>
      </w:r>
      <w:r w:rsidR="007B5DDC" w:rsidRPr="003466DB">
        <w:rPr>
          <w:lang w:val="en-US"/>
        </w:rPr>
        <w:t>ANOVAs</w:t>
      </w:r>
      <w:r w:rsidRPr="003466DB">
        <w:rPr>
          <w:lang w:val="en-US"/>
        </w:rPr>
        <w:t xml:space="preserve"> for each diagnosis, with age, gender and working memory </w:t>
      </w:r>
      <w:r w:rsidR="000C2DB1" w:rsidRPr="003466DB">
        <w:rPr>
          <w:lang w:val="en-US"/>
        </w:rPr>
        <w:t xml:space="preserve">capacity </w:t>
      </w:r>
      <w:r w:rsidRPr="003466DB">
        <w:rPr>
          <w:lang w:val="en-US"/>
        </w:rPr>
        <w:t>as covariates.</w:t>
      </w:r>
      <w:r w:rsidR="00D01478" w:rsidRPr="003466DB">
        <w:rPr>
          <w:lang w:val="en-US"/>
        </w:rPr>
        <w:t xml:space="preserve"> </w:t>
      </w:r>
      <w:r w:rsidRPr="003466DB">
        <w:rPr>
          <w:lang w:val="en-US"/>
        </w:rPr>
        <w:t>There was no significant effect of anxiety</w:t>
      </w:r>
      <w:r w:rsidR="000C2DB1" w:rsidRPr="003466DB">
        <w:rPr>
          <w:lang w:val="en-US"/>
        </w:rPr>
        <w:t xml:space="preserve"> (</w:t>
      </w:r>
      <w:r w:rsidR="00D216DF" w:rsidRPr="003466DB">
        <w:rPr>
          <w:lang w:val="en-US"/>
        </w:rPr>
        <w:t>present, absent</w:t>
      </w:r>
      <w:r w:rsidR="00F71C48" w:rsidRPr="003466DB">
        <w:rPr>
          <w:lang w:val="en-US"/>
        </w:rPr>
        <w:t>, HC</w:t>
      </w:r>
      <w:r w:rsidR="000C2DB1" w:rsidRPr="003466DB">
        <w:rPr>
          <w:lang w:val="en-US"/>
        </w:rPr>
        <w:t>)</w:t>
      </w:r>
      <w:r w:rsidRPr="003466DB">
        <w:rPr>
          <w:lang w:val="en-US"/>
        </w:rPr>
        <w:t xml:space="preserve">, </w:t>
      </w:r>
      <w:r w:rsidR="00D216DF" w:rsidRPr="003466DB">
        <w:rPr>
          <w:lang w:val="en-US"/>
        </w:rPr>
        <w:t>addiction (present, absent</w:t>
      </w:r>
      <w:r w:rsidR="00F71C48" w:rsidRPr="003466DB">
        <w:rPr>
          <w:lang w:val="en-US"/>
        </w:rPr>
        <w:t>, HC</w:t>
      </w:r>
      <w:r w:rsidR="00D216DF" w:rsidRPr="003466DB">
        <w:rPr>
          <w:lang w:val="en-US"/>
        </w:rPr>
        <w:t>)</w:t>
      </w:r>
      <w:r w:rsidR="00A418B0" w:rsidRPr="003466DB">
        <w:rPr>
          <w:lang w:val="en-US"/>
        </w:rPr>
        <w:t xml:space="preserve"> or</w:t>
      </w:r>
      <w:r w:rsidR="00D216DF" w:rsidRPr="003466DB">
        <w:rPr>
          <w:lang w:val="en-US"/>
        </w:rPr>
        <w:t xml:space="preserve"> </w:t>
      </w:r>
      <w:r w:rsidRPr="003466DB">
        <w:rPr>
          <w:lang w:val="en-US"/>
        </w:rPr>
        <w:t>ADHD</w:t>
      </w:r>
      <w:r w:rsidR="000C2DB1" w:rsidRPr="003466DB">
        <w:rPr>
          <w:lang w:val="en-US"/>
        </w:rPr>
        <w:t xml:space="preserve"> (</w:t>
      </w:r>
      <w:r w:rsidR="00D216DF" w:rsidRPr="003466DB">
        <w:rPr>
          <w:lang w:val="en-US"/>
        </w:rPr>
        <w:t>present, absent</w:t>
      </w:r>
      <w:r w:rsidR="00F71C48" w:rsidRPr="003466DB">
        <w:rPr>
          <w:lang w:val="en-US"/>
        </w:rPr>
        <w:t>, HC</w:t>
      </w:r>
      <w:r w:rsidR="000C2DB1" w:rsidRPr="003466DB">
        <w:rPr>
          <w:lang w:val="en-US"/>
        </w:rPr>
        <w:t>)</w:t>
      </w:r>
      <w:r w:rsidR="00D216DF" w:rsidRPr="003466DB">
        <w:rPr>
          <w:lang w:val="en-US"/>
        </w:rPr>
        <w:t xml:space="preserve"> </w:t>
      </w:r>
      <w:r w:rsidRPr="003466DB">
        <w:rPr>
          <w:lang w:val="en-US"/>
        </w:rPr>
        <w:t>on any of the outcome measures (</w:t>
      </w:r>
      <w:r w:rsidR="00843FCD" w:rsidRPr="003466DB">
        <w:rPr>
          <w:lang w:val="en-US"/>
        </w:rPr>
        <w:t>T</w:t>
      </w:r>
      <w:r w:rsidRPr="003466DB">
        <w:rPr>
          <w:lang w:val="en-US"/>
        </w:rPr>
        <w:t xml:space="preserve">able </w:t>
      </w:r>
      <w:r w:rsidR="00DE7EBE" w:rsidRPr="003466DB">
        <w:rPr>
          <w:lang w:val="en-US"/>
        </w:rPr>
        <w:t>S</w:t>
      </w:r>
      <w:r w:rsidR="00947AC3" w:rsidRPr="003466DB">
        <w:rPr>
          <w:lang w:val="en-US"/>
        </w:rPr>
        <w:t>4</w:t>
      </w:r>
      <w:r w:rsidRPr="003466DB">
        <w:rPr>
          <w:lang w:val="en-US"/>
        </w:rPr>
        <w:t xml:space="preserve">). </w:t>
      </w:r>
    </w:p>
    <w:p w14:paraId="15DC80F8" w14:textId="34166E34" w:rsidR="00C816A3" w:rsidRPr="003466DB" w:rsidRDefault="00C816A3" w:rsidP="00BC11EF">
      <w:pPr>
        <w:pStyle w:val="Geenafstand"/>
        <w:spacing w:line="480" w:lineRule="auto"/>
        <w:rPr>
          <w:sz w:val="20"/>
          <w:lang w:val="en-US"/>
        </w:rPr>
      </w:pPr>
    </w:p>
    <w:p w14:paraId="5B8E9722" w14:textId="4F41DC4D" w:rsidR="00DB6B66" w:rsidRPr="003466DB" w:rsidRDefault="00DB6B66" w:rsidP="00BC11EF">
      <w:pPr>
        <w:pStyle w:val="Kop2"/>
      </w:pPr>
      <w:bookmarkStart w:id="10" w:name="_Toc38977691"/>
      <w:r w:rsidRPr="003466DB">
        <w:t>Model fit</w:t>
      </w:r>
      <w:bookmarkEnd w:id="10"/>
      <w:r w:rsidRPr="003466DB">
        <w:t xml:space="preserve"> </w:t>
      </w:r>
    </w:p>
    <w:p w14:paraId="2CAD55A8" w14:textId="004CBB34" w:rsidR="00DB6B66" w:rsidRPr="003466DB" w:rsidRDefault="00DB6B66" w:rsidP="00BC11EF">
      <w:pPr>
        <w:spacing w:line="480" w:lineRule="auto"/>
        <w:rPr>
          <w:lang w:val="en-US"/>
        </w:rPr>
      </w:pPr>
      <w:r w:rsidRPr="003466DB">
        <w:rPr>
          <w:lang w:val="en-US"/>
        </w:rPr>
        <w:tab/>
        <w:t xml:space="preserve">The correlation between estimated and recovered parameters was high: Reward learning rate, r=0.97, </w:t>
      </w:r>
      <w:r w:rsidRPr="003466DB">
        <w:rPr>
          <w:i/>
          <w:lang w:val="en-US"/>
        </w:rPr>
        <w:t>p</w:t>
      </w:r>
      <w:r w:rsidRPr="003466DB">
        <w:rPr>
          <w:lang w:val="en-US"/>
        </w:rPr>
        <w:t xml:space="preserve">&lt;.001; punishment learning rate, r=0.98, </w:t>
      </w:r>
      <w:r w:rsidRPr="003466DB">
        <w:rPr>
          <w:i/>
          <w:lang w:val="en-US"/>
        </w:rPr>
        <w:t>p</w:t>
      </w:r>
      <w:r w:rsidRPr="003466DB">
        <w:rPr>
          <w:lang w:val="en-US"/>
        </w:rPr>
        <w:t>&lt;.001, decision variability, r=0.97,</w:t>
      </w:r>
      <w:r w:rsidRPr="003466DB">
        <w:rPr>
          <w:i/>
          <w:lang w:val="en-US"/>
        </w:rPr>
        <w:t xml:space="preserve"> p</w:t>
      </w:r>
      <w:r w:rsidRPr="003466DB">
        <w:rPr>
          <w:lang w:val="en-US"/>
        </w:rPr>
        <w:t>&lt;.001.</w:t>
      </w:r>
    </w:p>
    <w:p w14:paraId="1AB6723D" w14:textId="77777777" w:rsidR="00DB6B66" w:rsidRPr="003466DB" w:rsidRDefault="00DB6B66" w:rsidP="00BC11EF">
      <w:pPr>
        <w:spacing w:line="480" w:lineRule="auto"/>
        <w:rPr>
          <w:lang w:val="en-US"/>
        </w:rPr>
      </w:pPr>
    </w:p>
    <w:p w14:paraId="66F2A24F" w14:textId="77777777" w:rsidR="003C68B9" w:rsidRPr="003466DB" w:rsidRDefault="003C68B9" w:rsidP="00AF2570">
      <w:pPr>
        <w:pStyle w:val="Kop2"/>
      </w:pPr>
      <w:bookmarkStart w:id="11" w:name="_Toc38977692"/>
      <w:r w:rsidRPr="003466DB">
        <w:t>Medication</w:t>
      </w:r>
      <w:bookmarkEnd w:id="11"/>
    </w:p>
    <w:p w14:paraId="7DD2EF5B" w14:textId="22DAF6FD" w:rsidR="003C68B9" w:rsidRPr="003466DB" w:rsidRDefault="003C68B9" w:rsidP="00FB5A69">
      <w:pPr>
        <w:pStyle w:val="Geenafstand"/>
        <w:spacing w:line="480" w:lineRule="auto"/>
        <w:ind w:firstLine="708"/>
        <w:rPr>
          <w:lang w:val="en-US"/>
        </w:rPr>
      </w:pPr>
      <w:r w:rsidRPr="003466DB">
        <w:rPr>
          <w:lang w:val="en-US"/>
        </w:rPr>
        <w:t xml:space="preserve">We explored the effects of </w:t>
      </w:r>
      <w:r w:rsidR="00843FCD" w:rsidRPr="003466DB">
        <w:rPr>
          <w:lang w:val="en-US"/>
        </w:rPr>
        <w:t>selective serotonin reuptake inhibitor (</w:t>
      </w:r>
      <w:r w:rsidRPr="003466DB">
        <w:rPr>
          <w:lang w:val="en-US"/>
        </w:rPr>
        <w:t>SSRI</w:t>
      </w:r>
      <w:r w:rsidR="00843FCD" w:rsidRPr="003466DB">
        <w:rPr>
          <w:lang w:val="en-US"/>
        </w:rPr>
        <w:t>)</w:t>
      </w:r>
      <w:r w:rsidRPr="003466DB">
        <w:rPr>
          <w:lang w:val="en-US"/>
        </w:rPr>
        <w:t xml:space="preserve"> medication</w:t>
      </w:r>
      <w:r w:rsidR="003C6497" w:rsidRPr="003466DB">
        <w:rPr>
          <w:lang w:val="en-US"/>
        </w:rPr>
        <w:t xml:space="preserve"> </w:t>
      </w:r>
      <w:r w:rsidR="003F6332" w:rsidRPr="003466DB">
        <w:rPr>
          <w:lang w:val="en-US"/>
        </w:rPr>
        <w:t xml:space="preserve">use </w:t>
      </w:r>
      <w:r w:rsidR="003C6497" w:rsidRPr="003466DB">
        <w:rPr>
          <w:lang w:val="en-US"/>
        </w:rPr>
        <w:t>within the patient sample</w:t>
      </w:r>
      <w:r w:rsidR="00AD6294" w:rsidRPr="003466DB">
        <w:rPr>
          <w:lang w:val="en-US"/>
        </w:rPr>
        <w:t>, by comparing patients with SSRI use</w:t>
      </w:r>
      <w:r w:rsidR="00843FCD" w:rsidRPr="003466DB">
        <w:rPr>
          <w:lang w:val="en-US"/>
        </w:rPr>
        <w:t xml:space="preserve"> (n=54)</w:t>
      </w:r>
      <w:r w:rsidR="00AD6294" w:rsidRPr="003466DB">
        <w:rPr>
          <w:lang w:val="en-US"/>
        </w:rPr>
        <w:t>, patients with other medication</w:t>
      </w:r>
      <w:r w:rsidR="00843FCD" w:rsidRPr="003466DB">
        <w:rPr>
          <w:lang w:val="en-US"/>
        </w:rPr>
        <w:t xml:space="preserve"> (n=98)</w:t>
      </w:r>
      <w:r w:rsidR="00AD6294" w:rsidRPr="003466DB">
        <w:rPr>
          <w:lang w:val="en-US"/>
        </w:rPr>
        <w:t>, and patients without medication use</w:t>
      </w:r>
      <w:r w:rsidR="00843FCD" w:rsidRPr="003466DB">
        <w:rPr>
          <w:lang w:val="en-US"/>
        </w:rPr>
        <w:t xml:space="preserve"> (n=65)</w:t>
      </w:r>
      <w:r w:rsidRPr="003466DB">
        <w:rPr>
          <w:lang w:val="en-US"/>
        </w:rPr>
        <w:t xml:space="preserve">. </w:t>
      </w:r>
      <w:bookmarkStart w:id="12" w:name="_Hlk14082549"/>
      <w:r w:rsidR="00056E1A" w:rsidRPr="003466DB">
        <w:rPr>
          <w:lang w:val="en-US"/>
        </w:rPr>
        <w:t>T</w:t>
      </w:r>
      <w:r w:rsidRPr="003466DB">
        <w:rPr>
          <w:lang w:val="en-US"/>
        </w:rPr>
        <w:t>here were no significant effect</w:t>
      </w:r>
      <w:r w:rsidR="007562FA" w:rsidRPr="003466DB">
        <w:rPr>
          <w:lang w:val="en-US"/>
        </w:rPr>
        <w:t>s</w:t>
      </w:r>
      <w:r w:rsidRPr="003466DB">
        <w:rPr>
          <w:lang w:val="en-US"/>
        </w:rPr>
        <w:t xml:space="preserve"> of Medication</w:t>
      </w:r>
      <w:r w:rsidR="00AD6294" w:rsidRPr="003466DB">
        <w:rPr>
          <w:lang w:val="en-US"/>
        </w:rPr>
        <w:t xml:space="preserve"> use</w:t>
      </w:r>
      <w:r w:rsidRPr="003466DB">
        <w:rPr>
          <w:lang w:val="en-US"/>
        </w:rPr>
        <w:t xml:space="preserve"> on </w:t>
      </w:r>
      <w:r w:rsidR="00746C76" w:rsidRPr="003466DB">
        <w:rPr>
          <w:lang w:val="en-US"/>
        </w:rPr>
        <w:t>probabilistic switch rate (</w:t>
      </w:r>
      <w:r w:rsidR="00965221" w:rsidRPr="003466DB">
        <w:rPr>
          <w:i/>
          <w:lang w:val="en-US"/>
        </w:rPr>
        <w:t>F</w:t>
      </w:r>
      <w:r w:rsidR="00965221" w:rsidRPr="003466DB">
        <w:rPr>
          <w:lang w:val="en-US"/>
        </w:rPr>
        <w:t>(</w:t>
      </w:r>
      <w:r w:rsidR="00E57358" w:rsidRPr="003466DB">
        <w:rPr>
          <w:lang w:val="en-US"/>
        </w:rPr>
        <w:t>2</w:t>
      </w:r>
      <w:r w:rsidR="00746C76" w:rsidRPr="003466DB">
        <w:rPr>
          <w:lang w:val="en-US"/>
        </w:rPr>
        <w:t>,2</w:t>
      </w:r>
      <w:r w:rsidR="00F82737" w:rsidRPr="003466DB">
        <w:rPr>
          <w:lang w:val="en-US"/>
        </w:rPr>
        <w:t>14</w:t>
      </w:r>
      <w:r w:rsidR="00746C76" w:rsidRPr="003466DB">
        <w:rPr>
          <w:lang w:val="en-US"/>
        </w:rPr>
        <w:t>)=.</w:t>
      </w:r>
      <w:r w:rsidR="00F82737" w:rsidRPr="003466DB">
        <w:rPr>
          <w:lang w:val="en-US"/>
        </w:rPr>
        <w:t>65</w:t>
      </w:r>
      <w:r w:rsidR="00746C76" w:rsidRPr="003466DB">
        <w:rPr>
          <w:lang w:val="en-US"/>
        </w:rPr>
        <w:t xml:space="preserve">, </w:t>
      </w:r>
      <w:r w:rsidR="00746C76" w:rsidRPr="003466DB">
        <w:rPr>
          <w:i/>
          <w:lang w:val="en-US"/>
        </w:rPr>
        <w:t>p</w:t>
      </w:r>
      <w:r w:rsidR="00746C76" w:rsidRPr="003466DB">
        <w:rPr>
          <w:lang w:val="en-US"/>
        </w:rPr>
        <w:t>=.</w:t>
      </w:r>
      <w:r w:rsidR="00F82737" w:rsidRPr="003466DB">
        <w:rPr>
          <w:lang w:val="en-US"/>
        </w:rPr>
        <w:t>526</w:t>
      </w:r>
      <w:r w:rsidR="00746C76" w:rsidRPr="003466DB">
        <w:rPr>
          <w:lang w:val="en-US"/>
        </w:rPr>
        <w:t xml:space="preserve">), </w:t>
      </w:r>
      <w:r w:rsidR="00AD6294" w:rsidRPr="003466DB">
        <w:rPr>
          <w:lang w:val="en-US"/>
        </w:rPr>
        <w:t>error type (two levels: win-stay and lose-shift</w:t>
      </w:r>
      <w:r w:rsidR="00F82737" w:rsidRPr="003466DB">
        <w:rPr>
          <w:lang w:val="en-US"/>
        </w:rPr>
        <w:t>,</w:t>
      </w:r>
      <w:r w:rsidR="00DB6184" w:rsidRPr="003466DB">
        <w:rPr>
          <w:lang w:val="en-US"/>
        </w:rPr>
        <w:t xml:space="preserve"> </w:t>
      </w:r>
      <w:r w:rsidR="00965221" w:rsidRPr="003466DB">
        <w:rPr>
          <w:i/>
          <w:lang w:val="en-US"/>
        </w:rPr>
        <w:t>F</w:t>
      </w:r>
      <w:r w:rsidR="00965221" w:rsidRPr="003466DB">
        <w:rPr>
          <w:lang w:val="en-US"/>
        </w:rPr>
        <w:t>(</w:t>
      </w:r>
      <w:r w:rsidR="00E57358" w:rsidRPr="003466DB">
        <w:rPr>
          <w:lang w:val="en-US"/>
        </w:rPr>
        <w:t>2</w:t>
      </w:r>
      <w:r w:rsidR="00746C76" w:rsidRPr="003466DB">
        <w:rPr>
          <w:lang w:val="en-US"/>
        </w:rPr>
        <w:t>,2</w:t>
      </w:r>
      <w:r w:rsidR="00F82737" w:rsidRPr="003466DB">
        <w:rPr>
          <w:lang w:val="en-US"/>
        </w:rPr>
        <w:t>14</w:t>
      </w:r>
      <w:r w:rsidR="00746C76" w:rsidRPr="003466DB">
        <w:rPr>
          <w:lang w:val="en-US"/>
        </w:rPr>
        <w:t>)=.</w:t>
      </w:r>
      <w:r w:rsidR="00F82737" w:rsidRPr="003466DB">
        <w:rPr>
          <w:lang w:val="en-US"/>
        </w:rPr>
        <w:t>12</w:t>
      </w:r>
      <w:r w:rsidR="00746C76" w:rsidRPr="003466DB">
        <w:rPr>
          <w:lang w:val="en-US"/>
        </w:rPr>
        <w:t xml:space="preserve">, </w:t>
      </w:r>
      <w:r w:rsidR="00746C76" w:rsidRPr="003466DB">
        <w:rPr>
          <w:i/>
          <w:lang w:val="en-US"/>
        </w:rPr>
        <w:t>p</w:t>
      </w:r>
      <w:r w:rsidR="00746C76" w:rsidRPr="003466DB">
        <w:rPr>
          <w:lang w:val="en-US"/>
        </w:rPr>
        <w:t>=.</w:t>
      </w:r>
      <w:r w:rsidR="00F82737" w:rsidRPr="003466DB">
        <w:rPr>
          <w:lang w:val="en-US"/>
        </w:rPr>
        <w:t>889</w:t>
      </w:r>
      <w:r w:rsidR="00746C76" w:rsidRPr="003466DB">
        <w:rPr>
          <w:lang w:val="en-US"/>
        </w:rPr>
        <w:t>)</w:t>
      </w:r>
      <w:r w:rsidR="00F82737" w:rsidRPr="003466DB">
        <w:rPr>
          <w:lang w:val="en-US"/>
        </w:rPr>
        <w:t>, learning rate (two levels: reward and punishment,</w:t>
      </w:r>
      <w:r w:rsidR="00056E1A" w:rsidRPr="003466DB">
        <w:rPr>
          <w:lang w:val="en-US"/>
        </w:rPr>
        <w:t xml:space="preserve"> (</w:t>
      </w:r>
      <w:r w:rsidR="00056E1A" w:rsidRPr="003466DB">
        <w:rPr>
          <w:i/>
          <w:lang w:val="en-US"/>
        </w:rPr>
        <w:t>F</w:t>
      </w:r>
      <w:r w:rsidR="00056E1A" w:rsidRPr="003466DB">
        <w:rPr>
          <w:lang w:val="en-US"/>
        </w:rPr>
        <w:t>(2,2</w:t>
      </w:r>
      <w:r w:rsidR="00F82737" w:rsidRPr="003466DB">
        <w:rPr>
          <w:lang w:val="en-US"/>
        </w:rPr>
        <w:t>14</w:t>
      </w:r>
      <w:r w:rsidR="00056E1A" w:rsidRPr="003466DB">
        <w:rPr>
          <w:lang w:val="en-US"/>
        </w:rPr>
        <w:t>)=</w:t>
      </w:r>
      <w:r w:rsidR="00F82737" w:rsidRPr="003466DB">
        <w:rPr>
          <w:lang w:val="en-US"/>
        </w:rPr>
        <w:t>1.42</w:t>
      </w:r>
      <w:r w:rsidR="00056E1A" w:rsidRPr="003466DB">
        <w:rPr>
          <w:lang w:val="en-US"/>
        </w:rPr>
        <w:t xml:space="preserve">, </w:t>
      </w:r>
      <w:r w:rsidR="00056E1A" w:rsidRPr="003466DB">
        <w:rPr>
          <w:i/>
          <w:lang w:val="en-US"/>
        </w:rPr>
        <w:t>p</w:t>
      </w:r>
      <w:r w:rsidR="00056E1A" w:rsidRPr="003466DB">
        <w:rPr>
          <w:lang w:val="en-US"/>
        </w:rPr>
        <w:t>=.</w:t>
      </w:r>
      <w:r w:rsidR="00F82737" w:rsidRPr="003466DB">
        <w:rPr>
          <w:lang w:val="en-US"/>
        </w:rPr>
        <w:t>243</w:t>
      </w:r>
      <w:r w:rsidR="007562FA" w:rsidRPr="003466DB">
        <w:rPr>
          <w:lang w:val="en-US"/>
        </w:rPr>
        <w:t>)</w:t>
      </w:r>
      <w:r w:rsidR="00F82737" w:rsidRPr="003466DB">
        <w:rPr>
          <w:lang w:val="en-US"/>
        </w:rPr>
        <w:t xml:space="preserve"> </w:t>
      </w:r>
      <w:r w:rsidR="00056E1A" w:rsidRPr="003466DB">
        <w:rPr>
          <w:lang w:val="en-US"/>
        </w:rPr>
        <w:t>or decision variability (</w:t>
      </w:r>
      <w:r w:rsidR="00056E1A" w:rsidRPr="003466DB">
        <w:rPr>
          <w:i/>
          <w:lang w:val="en-US"/>
        </w:rPr>
        <w:t>F</w:t>
      </w:r>
      <w:r w:rsidR="00056E1A" w:rsidRPr="003466DB">
        <w:rPr>
          <w:lang w:val="en-US"/>
        </w:rPr>
        <w:t>(2,2</w:t>
      </w:r>
      <w:r w:rsidR="00F82737" w:rsidRPr="003466DB">
        <w:rPr>
          <w:lang w:val="en-US"/>
        </w:rPr>
        <w:t>14</w:t>
      </w:r>
      <w:r w:rsidR="00056E1A" w:rsidRPr="003466DB">
        <w:rPr>
          <w:lang w:val="en-US"/>
        </w:rPr>
        <w:t>)=.4</w:t>
      </w:r>
      <w:r w:rsidR="00F82737" w:rsidRPr="003466DB">
        <w:rPr>
          <w:lang w:val="en-US"/>
        </w:rPr>
        <w:t>6</w:t>
      </w:r>
      <w:r w:rsidR="00056E1A" w:rsidRPr="003466DB">
        <w:rPr>
          <w:lang w:val="en-US"/>
        </w:rPr>
        <w:t xml:space="preserve">, </w:t>
      </w:r>
      <w:r w:rsidR="00056E1A" w:rsidRPr="003466DB">
        <w:rPr>
          <w:i/>
          <w:lang w:val="en-US"/>
        </w:rPr>
        <w:t>p</w:t>
      </w:r>
      <w:r w:rsidR="00056E1A" w:rsidRPr="003466DB">
        <w:rPr>
          <w:lang w:val="en-US"/>
        </w:rPr>
        <w:t>=.63</w:t>
      </w:r>
      <w:r w:rsidR="00F82737" w:rsidRPr="003466DB">
        <w:rPr>
          <w:lang w:val="en-US"/>
        </w:rPr>
        <w:t>2</w:t>
      </w:r>
      <w:r w:rsidR="00056E1A" w:rsidRPr="003466DB">
        <w:rPr>
          <w:lang w:val="en-US"/>
        </w:rPr>
        <w:t>).</w:t>
      </w:r>
    </w:p>
    <w:p w14:paraId="63E47759" w14:textId="77777777" w:rsidR="00C730A2" w:rsidRPr="003466DB" w:rsidRDefault="00C730A2" w:rsidP="003C68B9">
      <w:pPr>
        <w:pStyle w:val="Geenafstand"/>
        <w:spacing w:line="480" w:lineRule="auto"/>
        <w:rPr>
          <w:lang w:val="en-US"/>
        </w:rPr>
      </w:pPr>
    </w:p>
    <w:p w14:paraId="3C07111B" w14:textId="77777777" w:rsidR="003C68B9" w:rsidRPr="003466DB" w:rsidRDefault="003C68B9" w:rsidP="00AF2570">
      <w:pPr>
        <w:pStyle w:val="Kop2"/>
      </w:pPr>
      <w:bookmarkStart w:id="13" w:name="_Toc38977693"/>
      <w:r w:rsidRPr="003466DB">
        <w:t>Number of diagnoses</w:t>
      </w:r>
      <w:bookmarkEnd w:id="13"/>
    </w:p>
    <w:p w14:paraId="19B230AD" w14:textId="4013599F" w:rsidR="00877BE3" w:rsidRPr="003466DB" w:rsidRDefault="003C68B9" w:rsidP="00546D7F">
      <w:pPr>
        <w:pStyle w:val="Geenafstand"/>
        <w:spacing w:line="480" w:lineRule="auto"/>
        <w:ind w:firstLine="708"/>
        <w:rPr>
          <w:lang w:val="en-US"/>
        </w:rPr>
      </w:pPr>
      <w:r w:rsidRPr="003466DB">
        <w:rPr>
          <w:lang w:val="en-US"/>
        </w:rPr>
        <w:t>Next</w:t>
      </w:r>
      <w:r w:rsidR="003D3F46" w:rsidRPr="003466DB">
        <w:rPr>
          <w:lang w:val="en-US"/>
        </w:rPr>
        <w:t>,</w:t>
      </w:r>
      <w:r w:rsidRPr="003466DB">
        <w:rPr>
          <w:lang w:val="en-US"/>
        </w:rPr>
        <w:t xml:space="preserve"> we assessed the effects of general psychiatric severity, by examining whether </w:t>
      </w:r>
      <w:r w:rsidR="008B0F14" w:rsidRPr="003466DB">
        <w:rPr>
          <w:lang w:val="en-US"/>
        </w:rPr>
        <w:t>any of the outcome measure</w:t>
      </w:r>
      <w:r w:rsidR="003F6332" w:rsidRPr="003466DB">
        <w:rPr>
          <w:lang w:val="en-US"/>
        </w:rPr>
        <w:t>s</w:t>
      </w:r>
      <w:r w:rsidR="008B0F14" w:rsidRPr="003466DB">
        <w:rPr>
          <w:lang w:val="en-US"/>
        </w:rPr>
        <w:t xml:space="preserve"> varied with </w:t>
      </w:r>
      <w:r w:rsidRPr="003466DB">
        <w:rPr>
          <w:lang w:val="en-US"/>
        </w:rPr>
        <w:t xml:space="preserve">the </w:t>
      </w:r>
      <w:r w:rsidR="008B0F14" w:rsidRPr="003466DB">
        <w:rPr>
          <w:lang w:val="en-US"/>
        </w:rPr>
        <w:t>total n</w:t>
      </w:r>
      <w:r w:rsidRPr="003466DB">
        <w:rPr>
          <w:lang w:val="en-US"/>
        </w:rPr>
        <w:t xml:space="preserve">umber of diagnoses. There </w:t>
      </w:r>
      <w:r w:rsidR="00C82941" w:rsidRPr="003466DB">
        <w:rPr>
          <w:lang w:val="en-US"/>
        </w:rPr>
        <w:t>w</w:t>
      </w:r>
      <w:r w:rsidR="00746C76" w:rsidRPr="003466DB">
        <w:rPr>
          <w:lang w:val="en-US"/>
        </w:rPr>
        <w:t>as</w:t>
      </w:r>
      <w:r w:rsidR="00C82941" w:rsidRPr="003466DB">
        <w:rPr>
          <w:lang w:val="en-US"/>
        </w:rPr>
        <w:t xml:space="preserve"> </w:t>
      </w:r>
      <w:r w:rsidR="00F95220" w:rsidRPr="003466DB">
        <w:rPr>
          <w:lang w:val="en-US"/>
        </w:rPr>
        <w:t>a</w:t>
      </w:r>
      <w:r w:rsidR="00C82941" w:rsidRPr="003466DB">
        <w:rPr>
          <w:lang w:val="en-US"/>
        </w:rPr>
        <w:t xml:space="preserve"> significant </w:t>
      </w:r>
      <w:r w:rsidR="00746C76" w:rsidRPr="003466DB">
        <w:rPr>
          <w:lang w:val="en-US"/>
        </w:rPr>
        <w:t>effect</w:t>
      </w:r>
      <w:r w:rsidR="00C82941" w:rsidRPr="003466DB">
        <w:rPr>
          <w:lang w:val="en-US"/>
        </w:rPr>
        <w:t xml:space="preserve"> of</w:t>
      </w:r>
      <w:r w:rsidRPr="003466DB">
        <w:rPr>
          <w:lang w:val="en-US"/>
        </w:rPr>
        <w:t xml:space="preserve"> </w:t>
      </w:r>
      <w:r w:rsidR="00877BE3" w:rsidRPr="003466DB">
        <w:rPr>
          <w:lang w:val="en-US"/>
        </w:rPr>
        <w:t>general psychiatric severity</w:t>
      </w:r>
      <w:r w:rsidRPr="003466DB">
        <w:rPr>
          <w:lang w:val="en-US"/>
        </w:rPr>
        <w:t xml:space="preserve"> on </w:t>
      </w:r>
      <w:r w:rsidR="00E57358" w:rsidRPr="003466DB">
        <w:rPr>
          <w:lang w:val="en-US"/>
        </w:rPr>
        <w:t>probabilistic switch rate (</w:t>
      </w:r>
      <w:r w:rsidR="00965221" w:rsidRPr="003466DB">
        <w:rPr>
          <w:i/>
          <w:lang w:val="en-US"/>
        </w:rPr>
        <w:t>F</w:t>
      </w:r>
      <w:r w:rsidR="00965221" w:rsidRPr="003466DB">
        <w:rPr>
          <w:lang w:val="en-US"/>
        </w:rPr>
        <w:t>(</w:t>
      </w:r>
      <w:r w:rsidR="00546D7F" w:rsidRPr="003466DB">
        <w:rPr>
          <w:lang w:val="en-US"/>
        </w:rPr>
        <w:t>1,</w:t>
      </w:r>
      <w:r w:rsidR="003407DC" w:rsidRPr="003466DB">
        <w:rPr>
          <w:lang w:val="en-US"/>
        </w:rPr>
        <w:t xml:space="preserve"> 215)=5.67, </w:t>
      </w:r>
      <w:r w:rsidR="003407DC" w:rsidRPr="003466DB">
        <w:rPr>
          <w:i/>
          <w:lang w:val="en-US"/>
        </w:rPr>
        <w:t>p</w:t>
      </w:r>
      <w:r w:rsidR="003407DC" w:rsidRPr="003466DB">
        <w:rPr>
          <w:lang w:val="en-US"/>
        </w:rPr>
        <w:t xml:space="preserve">=.018, </w:t>
      </w:r>
      <w:r w:rsidR="003407DC" w:rsidRPr="003466DB">
        <w:rPr>
          <w:lang w:val="en-US"/>
        </w:rPr>
        <w:sym w:font="Symbol" w:char="F068"/>
      </w:r>
      <w:r w:rsidR="003407DC" w:rsidRPr="003466DB">
        <w:rPr>
          <w:vertAlign w:val="subscript"/>
          <w:lang w:val="en-US"/>
        </w:rPr>
        <w:t>p</w:t>
      </w:r>
      <w:r w:rsidR="003407DC" w:rsidRPr="003466DB">
        <w:rPr>
          <w:vertAlign w:val="superscript"/>
          <w:lang w:val="en-US"/>
        </w:rPr>
        <w:t>2</w:t>
      </w:r>
      <w:r w:rsidR="003407DC" w:rsidRPr="003466DB">
        <w:rPr>
          <w:lang w:val="en-US"/>
        </w:rPr>
        <w:t>=.026</w:t>
      </w:r>
      <w:r w:rsidR="00E57358" w:rsidRPr="003466DB">
        <w:rPr>
          <w:lang w:val="en-US"/>
        </w:rPr>
        <w:t>)</w:t>
      </w:r>
      <w:r w:rsidR="00546D7F" w:rsidRPr="003466DB">
        <w:rPr>
          <w:lang w:val="en-US"/>
        </w:rPr>
        <w:t xml:space="preserve">, where patients with more diagnoses had a higher probabilistic switch rate. There was no significant effect of </w:t>
      </w:r>
      <w:r w:rsidR="00546D7F" w:rsidRPr="003466DB">
        <w:rPr>
          <w:lang w:val="en-US"/>
        </w:rPr>
        <w:lastRenderedPageBreak/>
        <w:t xml:space="preserve">number of diagnoses on error type (two levels: win-stay and lose-shift, </w:t>
      </w:r>
      <w:r w:rsidR="00965221" w:rsidRPr="003466DB">
        <w:rPr>
          <w:i/>
          <w:lang w:val="en-US"/>
        </w:rPr>
        <w:t>F</w:t>
      </w:r>
      <w:r w:rsidR="00965221" w:rsidRPr="003466DB">
        <w:rPr>
          <w:lang w:val="en-US"/>
        </w:rPr>
        <w:t>(</w:t>
      </w:r>
      <w:r w:rsidR="00546D7F" w:rsidRPr="003466DB">
        <w:rPr>
          <w:lang w:val="en-US"/>
        </w:rPr>
        <w:t>1,2</w:t>
      </w:r>
      <w:r w:rsidR="00A31D7A" w:rsidRPr="003466DB">
        <w:rPr>
          <w:lang w:val="en-US"/>
        </w:rPr>
        <w:t>15</w:t>
      </w:r>
      <w:r w:rsidR="00E57358" w:rsidRPr="003466DB">
        <w:rPr>
          <w:lang w:val="en-US"/>
        </w:rPr>
        <w:t>)=.</w:t>
      </w:r>
      <w:r w:rsidR="00546D7F" w:rsidRPr="003466DB">
        <w:rPr>
          <w:lang w:val="en-US"/>
        </w:rPr>
        <w:t>1</w:t>
      </w:r>
      <w:r w:rsidR="00A31D7A" w:rsidRPr="003466DB">
        <w:rPr>
          <w:lang w:val="en-US"/>
        </w:rPr>
        <w:t>3</w:t>
      </w:r>
      <w:r w:rsidR="00E57358" w:rsidRPr="003466DB">
        <w:rPr>
          <w:lang w:val="en-US"/>
        </w:rPr>
        <w:t xml:space="preserve">, </w:t>
      </w:r>
      <w:r w:rsidR="00E57358" w:rsidRPr="003466DB">
        <w:rPr>
          <w:i/>
          <w:lang w:val="en-US"/>
        </w:rPr>
        <w:t>p</w:t>
      </w:r>
      <w:r w:rsidR="00E57358" w:rsidRPr="003466DB">
        <w:rPr>
          <w:lang w:val="en-US"/>
        </w:rPr>
        <w:t>=.</w:t>
      </w:r>
      <w:r w:rsidR="00A31D7A" w:rsidRPr="003466DB">
        <w:rPr>
          <w:lang w:val="en-US"/>
        </w:rPr>
        <w:t>723</w:t>
      </w:r>
      <w:r w:rsidR="00E57358" w:rsidRPr="003466DB">
        <w:rPr>
          <w:lang w:val="en-US"/>
        </w:rPr>
        <w:t>)</w:t>
      </w:r>
      <w:r w:rsidR="00056E1A" w:rsidRPr="003466DB">
        <w:rPr>
          <w:lang w:val="en-US"/>
        </w:rPr>
        <w:t>,</w:t>
      </w:r>
      <w:r w:rsidR="00E57358" w:rsidRPr="003466DB">
        <w:rPr>
          <w:lang w:val="en-US"/>
        </w:rPr>
        <w:t xml:space="preserve"> </w:t>
      </w:r>
      <w:r w:rsidR="00546D7F" w:rsidRPr="003466DB">
        <w:rPr>
          <w:lang w:val="en-US"/>
        </w:rPr>
        <w:t xml:space="preserve">learning rate (two levels: reward and punishment, </w:t>
      </w:r>
      <w:r w:rsidR="00056E1A" w:rsidRPr="003466DB">
        <w:rPr>
          <w:i/>
          <w:lang w:val="en-US"/>
        </w:rPr>
        <w:t>F</w:t>
      </w:r>
      <w:r w:rsidR="00056E1A" w:rsidRPr="003466DB">
        <w:rPr>
          <w:lang w:val="en-US"/>
        </w:rPr>
        <w:t>(</w:t>
      </w:r>
      <w:r w:rsidR="00546D7F" w:rsidRPr="003466DB">
        <w:rPr>
          <w:lang w:val="en-US"/>
        </w:rPr>
        <w:t>1,2</w:t>
      </w:r>
      <w:r w:rsidR="00A31D7A" w:rsidRPr="003466DB">
        <w:rPr>
          <w:lang w:val="en-US"/>
        </w:rPr>
        <w:t>1</w:t>
      </w:r>
      <w:r w:rsidR="00546D7F" w:rsidRPr="003466DB">
        <w:rPr>
          <w:lang w:val="en-US"/>
        </w:rPr>
        <w:t>5</w:t>
      </w:r>
      <w:r w:rsidR="00056E1A" w:rsidRPr="003466DB">
        <w:rPr>
          <w:lang w:val="en-US"/>
        </w:rPr>
        <w:t>)=.</w:t>
      </w:r>
      <w:r w:rsidR="00A31D7A" w:rsidRPr="003466DB">
        <w:rPr>
          <w:lang w:val="en-US"/>
        </w:rPr>
        <w:t>62</w:t>
      </w:r>
      <w:r w:rsidR="00056E1A" w:rsidRPr="003466DB">
        <w:rPr>
          <w:lang w:val="en-US"/>
        </w:rPr>
        <w:t xml:space="preserve">, </w:t>
      </w:r>
      <w:r w:rsidR="00056E1A" w:rsidRPr="003466DB">
        <w:rPr>
          <w:i/>
          <w:lang w:val="en-US"/>
        </w:rPr>
        <w:t>p</w:t>
      </w:r>
      <w:r w:rsidR="00056E1A" w:rsidRPr="003466DB">
        <w:rPr>
          <w:lang w:val="en-US"/>
        </w:rPr>
        <w:t>=.</w:t>
      </w:r>
      <w:r w:rsidR="00546D7F" w:rsidRPr="003466DB">
        <w:rPr>
          <w:lang w:val="en-US"/>
        </w:rPr>
        <w:t>4</w:t>
      </w:r>
      <w:r w:rsidR="00A31D7A" w:rsidRPr="003466DB">
        <w:rPr>
          <w:lang w:val="en-US"/>
        </w:rPr>
        <w:t>33</w:t>
      </w:r>
      <w:r w:rsidR="00056E1A" w:rsidRPr="003466DB">
        <w:rPr>
          <w:lang w:val="en-US"/>
        </w:rPr>
        <w:t>) or decision variability (</w:t>
      </w:r>
      <w:r w:rsidR="00056E1A" w:rsidRPr="003466DB">
        <w:rPr>
          <w:i/>
          <w:lang w:val="en-US"/>
        </w:rPr>
        <w:t>F</w:t>
      </w:r>
      <w:r w:rsidR="00056E1A" w:rsidRPr="003466DB">
        <w:rPr>
          <w:lang w:val="en-US"/>
        </w:rPr>
        <w:t>(</w:t>
      </w:r>
      <w:r w:rsidR="00546D7F" w:rsidRPr="003466DB">
        <w:rPr>
          <w:lang w:val="en-US"/>
        </w:rPr>
        <w:t>1,2</w:t>
      </w:r>
      <w:r w:rsidR="00A31D7A" w:rsidRPr="003466DB">
        <w:rPr>
          <w:lang w:val="en-US"/>
        </w:rPr>
        <w:t>15</w:t>
      </w:r>
      <w:r w:rsidR="00056E1A" w:rsidRPr="003466DB">
        <w:rPr>
          <w:lang w:val="en-US"/>
        </w:rPr>
        <w:t>)=</w:t>
      </w:r>
      <w:r w:rsidR="00546D7F" w:rsidRPr="003466DB">
        <w:rPr>
          <w:lang w:val="en-US"/>
        </w:rPr>
        <w:t>.</w:t>
      </w:r>
      <w:r w:rsidR="00A31D7A" w:rsidRPr="003466DB">
        <w:rPr>
          <w:lang w:val="en-US"/>
        </w:rPr>
        <w:t>89</w:t>
      </w:r>
      <w:r w:rsidR="00056E1A" w:rsidRPr="003466DB">
        <w:rPr>
          <w:lang w:val="en-US"/>
        </w:rPr>
        <w:t xml:space="preserve">, </w:t>
      </w:r>
      <w:r w:rsidR="00056E1A" w:rsidRPr="003466DB">
        <w:rPr>
          <w:i/>
          <w:lang w:val="en-US"/>
        </w:rPr>
        <w:t>p</w:t>
      </w:r>
      <w:r w:rsidR="00056E1A" w:rsidRPr="003466DB">
        <w:rPr>
          <w:lang w:val="en-US"/>
        </w:rPr>
        <w:t>=.3</w:t>
      </w:r>
      <w:r w:rsidR="00A31D7A" w:rsidRPr="003466DB">
        <w:rPr>
          <w:lang w:val="en-US"/>
        </w:rPr>
        <w:t>46</w:t>
      </w:r>
      <w:r w:rsidR="00056E1A" w:rsidRPr="003466DB">
        <w:rPr>
          <w:lang w:val="en-US"/>
        </w:rPr>
        <w:t>)</w:t>
      </w:r>
      <w:r w:rsidRPr="003466DB">
        <w:rPr>
          <w:lang w:val="en-US"/>
        </w:rPr>
        <w:t>.</w:t>
      </w:r>
    </w:p>
    <w:bookmarkEnd w:id="12"/>
    <w:p w14:paraId="37FD871C" w14:textId="26A3EC21" w:rsidR="00F44949" w:rsidRPr="003466DB" w:rsidRDefault="00F44949" w:rsidP="00F44949">
      <w:pPr>
        <w:rPr>
          <w:lang w:val="en-US"/>
        </w:rPr>
      </w:pPr>
    </w:p>
    <w:p w14:paraId="79A67C5C" w14:textId="33A8F6E5" w:rsidR="00843FCD" w:rsidRPr="003466DB" w:rsidRDefault="00843FCD" w:rsidP="00AF2570">
      <w:pPr>
        <w:pStyle w:val="Kop2"/>
      </w:pPr>
      <w:bookmarkStart w:id="14" w:name="_Toc38977694"/>
      <w:r w:rsidRPr="003466DB">
        <w:t>Comparison MDD group without comorbidity</w:t>
      </w:r>
      <w:bookmarkEnd w:id="14"/>
    </w:p>
    <w:p w14:paraId="7A37A078" w14:textId="14E44226" w:rsidR="00843FCD" w:rsidRPr="003466DB" w:rsidRDefault="00843FCD" w:rsidP="00956577">
      <w:pPr>
        <w:pStyle w:val="Geenafstand"/>
        <w:spacing w:line="480" w:lineRule="auto"/>
        <w:rPr>
          <w:lang w:val="en-US"/>
        </w:rPr>
      </w:pPr>
      <w:r w:rsidRPr="003466DB">
        <w:rPr>
          <w:lang w:val="en-US"/>
        </w:rPr>
        <w:tab/>
        <w:t>There was no significant difference between healthy controls (n=</w:t>
      </w:r>
      <w:r w:rsidR="00966AA4" w:rsidRPr="003466DB">
        <w:rPr>
          <w:lang w:val="en-US"/>
        </w:rPr>
        <w:t>63</w:t>
      </w:r>
      <w:r w:rsidRPr="003466DB">
        <w:rPr>
          <w:lang w:val="en-US"/>
        </w:rPr>
        <w:t>), clean MDD patients without SSRI use (n=</w:t>
      </w:r>
      <w:r w:rsidR="00966AA4" w:rsidRPr="003466DB">
        <w:rPr>
          <w:lang w:val="en-US"/>
        </w:rPr>
        <w:t>14</w:t>
      </w:r>
      <w:r w:rsidRPr="003466DB">
        <w:rPr>
          <w:lang w:val="en-US"/>
        </w:rPr>
        <w:t xml:space="preserve">) and clean MDD patients with SSRI use </w:t>
      </w:r>
      <w:r w:rsidR="00956577" w:rsidRPr="003466DB">
        <w:rPr>
          <w:lang w:val="en-US"/>
        </w:rPr>
        <w:t>(n=</w:t>
      </w:r>
      <w:r w:rsidR="00966AA4" w:rsidRPr="003466DB">
        <w:rPr>
          <w:lang w:val="en-US"/>
        </w:rPr>
        <w:t>10</w:t>
      </w:r>
      <w:r w:rsidR="00956577" w:rsidRPr="003466DB">
        <w:rPr>
          <w:lang w:val="en-US"/>
        </w:rPr>
        <w:t xml:space="preserve">) </w:t>
      </w:r>
      <w:r w:rsidRPr="003466DB">
        <w:rPr>
          <w:lang w:val="en-US"/>
        </w:rPr>
        <w:t xml:space="preserve">on </w:t>
      </w:r>
      <w:r w:rsidR="00956577" w:rsidRPr="003466DB">
        <w:rPr>
          <w:lang w:val="en-US"/>
        </w:rPr>
        <w:t xml:space="preserve">error type (two levels: win-stay and lose-shift, </w:t>
      </w:r>
      <w:r w:rsidR="00956577" w:rsidRPr="003466DB">
        <w:rPr>
          <w:i/>
          <w:lang w:val="en-US"/>
        </w:rPr>
        <w:t>F</w:t>
      </w:r>
      <w:r w:rsidR="00956577" w:rsidRPr="003466DB">
        <w:rPr>
          <w:lang w:val="en-US"/>
        </w:rPr>
        <w:t>(</w:t>
      </w:r>
      <w:r w:rsidR="00966AA4" w:rsidRPr="003466DB">
        <w:rPr>
          <w:lang w:val="en-US"/>
        </w:rPr>
        <w:t>2,84</w:t>
      </w:r>
      <w:r w:rsidR="00956577" w:rsidRPr="003466DB">
        <w:rPr>
          <w:lang w:val="en-US"/>
        </w:rPr>
        <w:t>)=</w:t>
      </w:r>
      <w:r w:rsidR="00966AA4" w:rsidRPr="003466DB">
        <w:rPr>
          <w:lang w:val="en-US"/>
        </w:rPr>
        <w:t>1.29</w:t>
      </w:r>
      <w:r w:rsidR="00956577" w:rsidRPr="003466DB">
        <w:rPr>
          <w:lang w:val="en-US"/>
        </w:rPr>
        <w:t xml:space="preserve">, </w:t>
      </w:r>
      <w:r w:rsidR="00956577" w:rsidRPr="003466DB">
        <w:rPr>
          <w:i/>
          <w:lang w:val="en-US"/>
        </w:rPr>
        <w:t>p</w:t>
      </w:r>
      <w:r w:rsidR="00956577" w:rsidRPr="003466DB">
        <w:rPr>
          <w:lang w:val="en-US"/>
        </w:rPr>
        <w:t>=.</w:t>
      </w:r>
      <w:r w:rsidR="00966AA4" w:rsidRPr="003466DB">
        <w:rPr>
          <w:lang w:val="en-US"/>
        </w:rPr>
        <w:t>282</w:t>
      </w:r>
      <w:r w:rsidR="00956577" w:rsidRPr="003466DB">
        <w:rPr>
          <w:lang w:val="en-US"/>
        </w:rPr>
        <w:t>), probabilistic switch rate (</w:t>
      </w:r>
      <w:r w:rsidR="00966AA4" w:rsidRPr="003466DB">
        <w:rPr>
          <w:i/>
          <w:lang w:val="en-US"/>
        </w:rPr>
        <w:t>F</w:t>
      </w:r>
      <w:r w:rsidR="00966AA4" w:rsidRPr="003466DB">
        <w:rPr>
          <w:lang w:val="en-US"/>
        </w:rPr>
        <w:t xml:space="preserve">(2,84)=.03, </w:t>
      </w:r>
      <w:r w:rsidR="00966AA4" w:rsidRPr="003466DB">
        <w:rPr>
          <w:i/>
          <w:lang w:val="en-US"/>
        </w:rPr>
        <w:t>p</w:t>
      </w:r>
      <w:r w:rsidR="00966AA4" w:rsidRPr="003466DB">
        <w:rPr>
          <w:lang w:val="en-US"/>
        </w:rPr>
        <w:t>=.970</w:t>
      </w:r>
      <w:r w:rsidR="00956577" w:rsidRPr="003466DB">
        <w:rPr>
          <w:lang w:val="en-US"/>
        </w:rPr>
        <w:t xml:space="preserve">), learning rate (two levels: reward and punishment, </w:t>
      </w:r>
      <w:r w:rsidR="00956577" w:rsidRPr="003466DB">
        <w:rPr>
          <w:i/>
          <w:lang w:val="en-US"/>
        </w:rPr>
        <w:t>F</w:t>
      </w:r>
      <w:r w:rsidR="00956577" w:rsidRPr="003466DB">
        <w:rPr>
          <w:lang w:val="en-US"/>
        </w:rPr>
        <w:t>(</w:t>
      </w:r>
      <w:r w:rsidR="00966AA4" w:rsidRPr="003466DB">
        <w:rPr>
          <w:lang w:val="en-US"/>
        </w:rPr>
        <w:t>2,84</w:t>
      </w:r>
      <w:r w:rsidR="00956577" w:rsidRPr="003466DB">
        <w:rPr>
          <w:lang w:val="en-US"/>
        </w:rPr>
        <w:t>)=.</w:t>
      </w:r>
      <w:r w:rsidR="00966AA4" w:rsidRPr="003466DB">
        <w:rPr>
          <w:lang w:val="en-US"/>
        </w:rPr>
        <w:t>82</w:t>
      </w:r>
      <w:r w:rsidR="00956577" w:rsidRPr="003466DB">
        <w:rPr>
          <w:lang w:val="en-US"/>
        </w:rPr>
        <w:t xml:space="preserve">, </w:t>
      </w:r>
      <w:r w:rsidR="00956577" w:rsidRPr="003466DB">
        <w:rPr>
          <w:i/>
          <w:lang w:val="en-US"/>
        </w:rPr>
        <w:t>p</w:t>
      </w:r>
      <w:r w:rsidR="00956577" w:rsidRPr="003466DB">
        <w:rPr>
          <w:lang w:val="en-US"/>
        </w:rPr>
        <w:t>=.4</w:t>
      </w:r>
      <w:r w:rsidR="00966AA4" w:rsidRPr="003466DB">
        <w:rPr>
          <w:lang w:val="en-US"/>
        </w:rPr>
        <w:t>44</w:t>
      </w:r>
      <w:r w:rsidR="00956577" w:rsidRPr="003466DB">
        <w:rPr>
          <w:lang w:val="en-US"/>
        </w:rPr>
        <w:t>) or decision variability (</w:t>
      </w:r>
      <w:r w:rsidR="00956577" w:rsidRPr="003466DB">
        <w:rPr>
          <w:i/>
          <w:lang w:val="en-US"/>
        </w:rPr>
        <w:t>F</w:t>
      </w:r>
      <w:r w:rsidR="00956577" w:rsidRPr="003466DB">
        <w:rPr>
          <w:lang w:val="en-US"/>
        </w:rPr>
        <w:t>(</w:t>
      </w:r>
      <w:r w:rsidR="00966AA4" w:rsidRPr="003466DB">
        <w:rPr>
          <w:lang w:val="en-US"/>
        </w:rPr>
        <w:t>2,84</w:t>
      </w:r>
      <w:r w:rsidR="00956577" w:rsidRPr="003466DB">
        <w:rPr>
          <w:lang w:val="en-US"/>
        </w:rPr>
        <w:t>)=</w:t>
      </w:r>
      <w:r w:rsidR="00966AA4" w:rsidRPr="003466DB">
        <w:rPr>
          <w:lang w:val="en-US"/>
        </w:rPr>
        <w:t>1.86</w:t>
      </w:r>
      <w:r w:rsidR="00956577" w:rsidRPr="003466DB">
        <w:rPr>
          <w:lang w:val="en-US"/>
        </w:rPr>
        <w:t xml:space="preserve">, </w:t>
      </w:r>
      <w:r w:rsidR="00956577" w:rsidRPr="003466DB">
        <w:rPr>
          <w:i/>
          <w:lang w:val="en-US"/>
        </w:rPr>
        <w:t>p</w:t>
      </w:r>
      <w:r w:rsidR="00956577" w:rsidRPr="003466DB">
        <w:rPr>
          <w:lang w:val="en-US"/>
        </w:rPr>
        <w:t>=.</w:t>
      </w:r>
      <w:r w:rsidR="00966AA4" w:rsidRPr="003466DB">
        <w:rPr>
          <w:lang w:val="en-US"/>
        </w:rPr>
        <w:t>162</w:t>
      </w:r>
      <w:r w:rsidR="00956577" w:rsidRPr="003466DB">
        <w:rPr>
          <w:lang w:val="en-US"/>
        </w:rPr>
        <w:t>).</w:t>
      </w:r>
    </w:p>
    <w:p w14:paraId="645D1D85" w14:textId="384621DC" w:rsidR="00AF2570" w:rsidRPr="003466DB" w:rsidRDefault="00AF2570">
      <w:pPr>
        <w:rPr>
          <w:lang w:val="en-US"/>
        </w:rPr>
      </w:pPr>
    </w:p>
    <w:p w14:paraId="40CB9403" w14:textId="20BC7F74" w:rsidR="00AF2570" w:rsidRPr="003466DB" w:rsidRDefault="00DB6B66" w:rsidP="00DB6B66">
      <w:pPr>
        <w:pStyle w:val="Kop2"/>
      </w:pPr>
      <w:bookmarkStart w:id="15" w:name="_Toc38977695"/>
      <w:r w:rsidRPr="003466DB">
        <w:t>Specific comparison of the negative learning bias measures</w:t>
      </w:r>
      <w:bookmarkEnd w:id="15"/>
      <w:r w:rsidRPr="003466DB">
        <w:t xml:space="preserve"> </w:t>
      </w:r>
    </w:p>
    <w:p w14:paraId="7A723F22" w14:textId="2A09CDF8" w:rsidR="00DB6B66" w:rsidRDefault="00DB6B66" w:rsidP="00ED74F3">
      <w:pPr>
        <w:pStyle w:val="Geenafstand"/>
        <w:spacing w:line="480" w:lineRule="auto"/>
        <w:rPr>
          <w:lang w:val="en-US"/>
        </w:rPr>
      </w:pPr>
      <w:r w:rsidRPr="003466DB">
        <w:rPr>
          <w:lang w:val="en-US"/>
        </w:rPr>
        <w:tab/>
        <w:t>Direct comparisons also revealed no difference between the Current MDD and HC groups on probabilistic switch rate (</w:t>
      </w:r>
      <w:r w:rsidRPr="003466DB">
        <w:rPr>
          <w:i/>
          <w:iCs/>
          <w:lang w:val="en-US"/>
        </w:rPr>
        <w:t>t</w:t>
      </w:r>
      <w:r w:rsidRPr="003466DB">
        <w:rPr>
          <w:lang w:val="en-US"/>
        </w:rPr>
        <w:t xml:space="preserve">(180)=0.62, </w:t>
      </w:r>
      <w:r w:rsidRPr="003466DB">
        <w:rPr>
          <w:i/>
          <w:iCs/>
          <w:lang w:val="en-US"/>
        </w:rPr>
        <w:t>p</w:t>
      </w:r>
      <w:r w:rsidRPr="003466DB">
        <w:rPr>
          <w:lang w:val="en-US"/>
        </w:rPr>
        <w:t>=.537), lose-shift rate (</w:t>
      </w:r>
      <w:r w:rsidRPr="003466DB">
        <w:rPr>
          <w:i/>
          <w:iCs/>
          <w:lang w:val="en-US"/>
        </w:rPr>
        <w:t>t</w:t>
      </w:r>
      <w:r w:rsidRPr="003466DB">
        <w:rPr>
          <w:lang w:val="en-US"/>
        </w:rPr>
        <w:t xml:space="preserve">(180)=0.38, </w:t>
      </w:r>
      <w:r w:rsidRPr="003466DB">
        <w:rPr>
          <w:i/>
          <w:iCs/>
          <w:lang w:val="en-US"/>
        </w:rPr>
        <w:t>p</w:t>
      </w:r>
      <w:r w:rsidRPr="003466DB">
        <w:rPr>
          <w:lang w:val="en-US"/>
        </w:rPr>
        <w:t>=.705), or punishment learning rate (</w:t>
      </w:r>
      <w:r w:rsidRPr="003466DB">
        <w:rPr>
          <w:i/>
          <w:iCs/>
          <w:lang w:val="en-US"/>
        </w:rPr>
        <w:t>t</w:t>
      </w:r>
      <w:r w:rsidRPr="003466DB">
        <w:rPr>
          <w:lang w:val="en-US"/>
        </w:rPr>
        <w:t xml:space="preserve">(180)=1.65, </w:t>
      </w:r>
      <w:r w:rsidRPr="003466DB">
        <w:rPr>
          <w:i/>
          <w:iCs/>
          <w:lang w:val="en-US"/>
        </w:rPr>
        <w:t>p</w:t>
      </w:r>
      <w:r w:rsidRPr="003466DB">
        <w:rPr>
          <w:lang w:val="en-US"/>
        </w:rPr>
        <w:t>=.101). There was a marginal, subthreshold difference between probabilistic switch rate in the Current MDD and that in No MDD group, but this did not reach significance (</w:t>
      </w:r>
      <w:r w:rsidRPr="003466DB">
        <w:rPr>
          <w:i/>
          <w:iCs/>
          <w:lang w:val="en-US"/>
        </w:rPr>
        <w:t>t</w:t>
      </w:r>
      <w:r w:rsidRPr="003466DB">
        <w:rPr>
          <w:lang w:val="en-US"/>
        </w:rPr>
        <w:t xml:space="preserve">(160)=1.96, </w:t>
      </w:r>
      <w:r w:rsidRPr="003466DB">
        <w:rPr>
          <w:i/>
          <w:iCs/>
          <w:lang w:val="en-US"/>
        </w:rPr>
        <w:t>p</w:t>
      </w:r>
      <w:r w:rsidRPr="003466DB">
        <w:rPr>
          <w:lang w:val="en-US"/>
        </w:rPr>
        <w:t>=.052), particularly not after correction for multiple testing. The apparent trend for the group difference on probabilistic switch rate did not reflect a difference between HC and MDD, thus not weakening the main conclusion. Instead it was driven by a lower probabilistic switch rate in the No MDD compared with Current MDD, although this was not robustly seen in any other analysis, which warrants caution in interpretation. There was no difference between the Current MDD and No MDD groups on lose-shift rate (</w:t>
      </w:r>
      <w:r w:rsidRPr="003466DB">
        <w:rPr>
          <w:i/>
          <w:iCs/>
          <w:lang w:val="en-US"/>
        </w:rPr>
        <w:t>t</w:t>
      </w:r>
      <w:r w:rsidRPr="003466DB">
        <w:rPr>
          <w:lang w:val="en-US"/>
        </w:rPr>
        <w:t xml:space="preserve">(160)=0.64, </w:t>
      </w:r>
      <w:r w:rsidRPr="003466DB">
        <w:rPr>
          <w:i/>
          <w:iCs/>
          <w:lang w:val="en-US"/>
        </w:rPr>
        <w:t>p</w:t>
      </w:r>
      <w:r w:rsidRPr="003466DB">
        <w:rPr>
          <w:lang w:val="en-US"/>
        </w:rPr>
        <w:t>=.525) or punishment learning rate (</w:t>
      </w:r>
      <w:r w:rsidRPr="003466DB">
        <w:rPr>
          <w:i/>
          <w:iCs/>
          <w:lang w:val="en-US"/>
        </w:rPr>
        <w:t>t</w:t>
      </w:r>
      <w:r w:rsidRPr="003466DB">
        <w:rPr>
          <w:lang w:val="en-US"/>
        </w:rPr>
        <w:t xml:space="preserve">(160)=0.03, </w:t>
      </w:r>
      <w:r w:rsidRPr="003466DB">
        <w:rPr>
          <w:i/>
          <w:iCs/>
          <w:lang w:val="en-US"/>
        </w:rPr>
        <w:t>p</w:t>
      </w:r>
      <w:r w:rsidRPr="003466DB">
        <w:rPr>
          <w:lang w:val="en-US"/>
        </w:rPr>
        <w:t>=.978). There was also no difference between the Current MDD and Remitted MDD groups on probabilistic switch rate (</w:t>
      </w:r>
      <w:r w:rsidRPr="003466DB">
        <w:rPr>
          <w:i/>
          <w:iCs/>
          <w:lang w:val="en-US"/>
        </w:rPr>
        <w:t>t</w:t>
      </w:r>
      <w:r w:rsidRPr="003466DB">
        <w:rPr>
          <w:lang w:val="en-US"/>
        </w:rPr>
        <w:t xml:space="preserve">(154)=0.93, </w:t>
      </w:r>
      <w:r w:rsidRPr="003466DB">
        <w:rPr>
          <w:i/>
          <w:iCs/>
          <w:lang w:val="en-US"/>
        </w:rPr>
        <w:t>p</w:t>
      </w:r>
      <w:r w:rsidRPr="003466DB">
        <w:rPr>
          <w:lang w:val="en-US"/>
        </w:rPr>
        <w:t>=.804), lose-shift rate (</w:t>
      </w:r>
      <w:r w:rsidRPr="003466DB">
        <w:rPr>
          <w:i/>
          <w:iCs/>
          <w:lang w:val="en-US"/>
        </w:rPr>
        <w:t>t</w:t>
      </w:r>
      <w:r w:rsidRPr="003466DB">
        <w:rPr>
          <w:lang w:val="en-US"/>
        </w:rPr>
        <w:t xml:space="preserve">(154)=0.80, </w:t>
      </w:r>
      <w:r w:rsidRPr="003466DB">
        <w:rPr>
          <w:i/>
          <w:iCs/>
          <w:lang w:val="en-US"/>
        </w:rPr>
        <w:t>p</w:t>
      </w:r>
      <w:r w:rsidRPr="003466DB">
        <w:rPr>
          <w:lang w:val="en-US"/>
        </w:rPr>
        <w:t>=.423) or punishment learning rate (</w:t>
      </w:r>
      <w:r w:rsidRPr="003466DB">
        <w:rPr>
          <w:i/>
          <w:iCs/>
          <w:lang w:val="en-US"/>
        </w:rPr>
        <w:t>t</w:t>
      </w:r>
      <w:r w:rsidRPr="003466DB">
        <w:rPr>
          <w:lang w:val="en-US"/>
        </w:rPr>
        <w:t xml:space="preserve">(154)=0.69, </w:t>
      </w:r>
      <w:r w:rsidRPr="003466DB">
        <w:rPr>
          <w:i/>
          <w:iCs/>
          <w:lang w:val="en-US"/>
        </w:rPr>
        <w:t>p</w:t>
      </w:r>
      <w:r w:rsidRPr="003466DB">
        <w:rPr>
          <w:lang w:val="en-US"/>
        </w:rPr>
        <w:t>=.490).</w:t>
      </w:r>
    </w:p>
    <w:p w14:paraId="552F6BD9" w14:textId="1F48F9D4" w:rsidR="00DB6B66" w:rsidRDefault="00DB6B66" w:rsidP="00ED74F3">
      <w:pPr>
        <w:pStyle w:val="Geenafstand"/>
        <w:spacing w:line="480" w:lineRule="auto"/>
        <w:rPr>
          <w:lang w:val="en-US"/>
        </w:rPr>
      </w:pPr>
    </w:p>
    <w:p w14:paraId="4DA4F595" w14:textId="52CF70FD" w:rsidR="00DB6B66" w:rsidRPr="003466DB" w:rsidRDefault="00DB6B66" w:rsidP="00DB6B66">
      <w:pPr>
        <w:pStyle w:val="Kop2"/>
      </w:pPr>
      <w:bookmarkStart w:id="16" w:name="_Toc38977696"/>
      <w:r w:rsidRPr="003466DB">
        <w:lastRenderedPageBreak/>
        <w:t>Results in participants who passed the learning criterion</w:t>
      </w:r>
      <w:bookmarkEnd w:id="16"/>
    </w:p>
    <w:p w14:paraId="7B2E6FB3" w14:textId="127CF165" w:rsidR="00DB6B66" w:rsidRPr="003466DB" w:rsidRDefault="00DB6B66" w:rsidP="00ED74F3">
      <w:pPr>
        <w:pStyle w:val="Geenafstand"/>
        <w:spacing w:line="480" w:lineRule="auto"/>
        <w:rPr>
          <w:lang w:val="en-US"/>
        </w:rPr>
      </w:pPr>
      <w:r w:rsidRPr="003466DB">
        <w:rPr>
          <w:lang w:val="en-US"/>
        </w:rPr>
        <w:tab/>
        <w:t>We assessed whether there were any group differences when only the participants who reached the learning criterion were selected (8 consecutive correct responses; No MDD n= 42, Remitted MDD n=34, Current MDD n=64, HC n=52). There were no Group differences on probabilistic switch rate (</w:t>
      </w:r>
      <w:r w:rsidRPr="003466DB">
        <w:rPr>
          <w:i/>
          <w:lang w:val="en-US"/>
        </w:rPr>
        <w:t>F</w:t>
      </w:r>
      <w:r w:rsidRPr="003466DB">
        <w:rPr>
          <w:lang w:val="en-US"/>
        </w:rPr>
        <w:t xml:space="preserve">(3, 185)=2.23, </w:t>
      </w:r>
      <w:r w:rsidRPr="003466DB">
        <w:rPr>
          <w:i/>
          <w:lang w:val="en-US"/>
        </w:rPr>
        <w:t>p</w:t>
      </w:r>
      <w:r w:rsidRPr="003466DB">
        <w:rPr>
          <w:lang w:val="en-US"/>
        </w:rPr>
        <w:t xml:space="preserve">=.086), error type (two levels: win-stay and lose-shift, </w:t>
      </w:r>
      <w:r w:rsidRPr="003466DB">
        <w:rPr>
          <w:i/>
          <w:lang w:val="en-US"/>
        </w:rPr>
        <w:t>F</w:t>
      </w:r>
      <w:r w:rsidRPr="003466DB">
        <w:rPr>
          <w:lang w:val="en-US"/>
        </w:rPr>
        <w:t xml:space="preserve">(3,185)=0.12, </w:t>
      </w:r>
      <w:r w:rsidRPr="003466DB">
        <w:rPr>
          <w:i/>
          <w:lang w:val="en-US"/>
        </w:rPr>
        <w:t>p</w:t>
      </w:r>
      <w:r w:rsidRPr="003466DB">
        <w:rPr>
          <w:lang w:val="en-US"/>
        </w:rPr>
        <w:t xml:space="preserve">=.949), learning rate (two levels: reward and punishment, </w:t>
      </w:r>
      <w:r w:rsidRPr="003466DB">
        <w:rPr>
          <w:i/>
          <w:lang w:val="en-US"/>
        </w:rPr>
        <w:t>F</w:t>
      </w:r>
      <w:r w:rsidRPr="003466DB">
        <w:rPr>
          <w:lang w:val="en-US"/>
        </w:rPr>
        <w:t xml:space="preserve">(3,185)=0.45, </w:t>
      </w:r>
      <w:r w:rsidRPr="003466DB">
        <w:rPr>
          <w:i/>
          <w:lang w:val="en-US"/>
        </w:rPr>
        <w:t>p</w:t>
      </w:r>
      <w:r w:rsidRPr="003466DB">
        <w:rPr>
          <w:lang w:val="en-US"/>
        </w:rPr>
        <w:t>=.716) or decision variability (</w:t>
      </w:r>
      <w:r w:rsidRPr="003466DB">
        <w:rPr>
          <w:i/>
          <w:lang w:val="en-US"/>
        </w:rPr>
        <w:t>F</w:t>
      </w:r>
      <w:r w:rsidRPr="003466DB">
        <w:rPr>
          <w:lang w:val="en-US"/>
        </w:rPr>
        <w:t xml:space="preserve">(3,185)=1.60, </w:t>
      </w:r>
      <w:r w:rsidRPr="003466DB">
        <w:rPr>
          <w:i/>
          <w:lang w:val="en-US"/>
        </w:rPr>
        <w:t>p</w:t>
      </w:r>
      <w:r w:rsidRPr="003466DB">
        <w:rPr>
          <w:lang w:val="en-US"/>
        </w:rPr>
        <w:t xml:space="preserve">=.191). Furthermore, there were no significant associations between the level of depressive symptoms (i.e. the IDS total score) and the outcome measures (all </w:t>
      </w:r>
      <w:r w:rsidRPr="003466DB">
        <w:rPr>
          <w:i/>
          <w:lang w:val="en-US"/>
        </w:rPr>
        <w:t>p</w:t>
      </w:r>
      <w:r w:rsidRPr="003466DB">
        <w:rPr>
          <w:lang w:val="en-US"/>
        </w:rPr>
        <w:t xml:space="preserve">&gt;.335, </w:t>
      </w:r>
      <w:proofErr w:type="spellStart"/>
      <w:r w:rsidRPr="003466DB">
        <w:rPr>
          <w:lang w:val="en-US"/>
        </w:rPr>
        <w:t>r</w:t>
      </w:r>
      <w:r w:rsidRPr="003466DB">
        <w:rPr>
          <w:vertAlign w:val="subscript"/>
          <w:lang w:val="en-US"/>
        </w:rPr>
        <w:t>s</w:t>
      </w:r>
      <w:proofErr w:type="spellEnd"/>
      <w:r w:rsidRPr="003466DB">
        <w:rPr>
          <w:lang w:val="en-US"/>
        </w:rPr>
        <w:t>&lt;.07).</w:t>
      </w:r>
    </w:p>
    <w:p w14:paraId="5E4577B2" w14:textId="1662B3D8" w:rsidR="00DB6B66" w:rsidRPr="003466DB" w:rsidRDefault="00DB6B66" w:rsidP="00ED74F3">
      <w:pPr>
        <w:pStyle w:val="Geenafstand"/>
        <w:spacing w:line="480" w:lineRule="auto"/>
        <w:rPr>
          <w:lang w:val="en-US"/>
        </w:rPr>
      </w:pPr>
    </w:p>
    <w:p w14:paraId="639A2408" w14:textId="5B70C023" w:rsidR="00DB6B66" w:rsidRPr="003466DB" w:rsidRDefault="00DB6B66" w:rsidP="00ED74F3">
      <w:pPr>
        <w:pStyle w:val="Kop2"/>
      </w:pPr>
      <w:bookmarkStart w:id="17" w:name="_Toc38977697"/>
      <w:r w:rsidRPr="003466DB">
        <w:t>Anhedonia symptoms do not influence behavior on the probabilistic reversal learning task</w:t>
      </w:r>
      <w:bookmarkEnd w:id="17"/>
    </w:p>
    <w:p w14:paraId="0F87E5F8" w14:textId="1716F7A3" w:rsidR="00DB6B66" w:rsidRPr="00DB6B66" w:rsidRDefault="00DB6B66" w:rsidP="00ED74F3">
      <w:pPr>
        <w:pStyle w:val="Geenafstand"/>
        <w:spacing w:line="480" w:lineRule="auto"/>
        <w:rPr>
          <w:lang w:val="en-US"/>
        </w:rPr>
      </w:pPr>
      <w:r w:rsidRPr="003466DB">
        <w:rPr>
          <w:lang w:val="en-US"/>
        </w:rPr>
        <w:tab/>
        <w:t>There were no significant associations between anhedonia symptoms (as measured with 7 items from the OQ-45) and probabilistic switch rate (</w:t>
      </w:r>
      <w:r w:rsidRPr="003466DB">
        <w:rPr>
          <w:i/>
          <w:lang w:val="en-US"/>
        </w:rPr>
        <w:t>p</w:t>
      </w:r>
      <w:r w:rsidRPr="003466DB">
        <w:rPr>
          <w:lang w:val="en-US"/>
        </w:rPr>
        <w:t>=.421), win-stay-rate (</w:t>
      </w:r>
      <w:r w:rsidRPr="003466DB">
        <w:rPr>
          <w:i/>
          <w:lang w:val="en-US"/>
        </w:rPr>
        <w:t>p</w:t>
      </w:r>
      <w:r w:rsidRPr="003466DB">
        <w:rPr>
          <w:lang w:val="en-US"/>
        </w:rPr>
        <w:t>=.936), lose-shift rate (</w:t>
      </w:r>
      <w:r w:rsidRPr="003466DB">
        <w:rPr>
          <w:i/>
          <w:lang w:val="en-US"/>
        </w:rPr>
        <w:t>p</w:t>
      </w:r>
      <w:r w:rsidRPr="003466DB">
        <w:rPr>
          <w:lang w:val="en-US"/>
        </w:rPr>
        <w:t>=.601), reward learning rate (</w:t>
      </w:r>
      <w:r w:rsidRPr="003466DB">
        <w:rPr>
          <w:i/>
          <w:lang w:val="en-US"/>
        </w:rPr>
        <w:t>p</w:t>
      </w:r>
      <w:r w:rsidRPr="003466DB">
        <w:rPr>
          <w:lang w:val="en-US"/>
        </w:rPr>
        <w:t>=.216), punishment learning rate (</w:t>
      </w:r>
      <w:r w:rsidRPr="003466DB">
        <w:rPr>
          <w:i/>
          <w:lang w:val="en-US"/>
        </w:rPr>
        <w:t>p</w:t>
      </w:r>
      <w:r w:rsidRPr="003466DB">
        <w:rPr>
          <w:lang w:val="en-US"/>
        </w:rPr>
        <w:t>=.171), or decision variability (</w:t>
      </w:r>
      <w:r w:rsidRPr="003466DB">
        <w:rPr>
          <w:i/>
          <w:lang w:val="en-US"/>
        </w:rPr>
        <w:t>p</w:t>
      </w:r>
      <w:r w:rsidRPr="003466DB">
        <w:rPr>
          <w:lang w:val="en-US"/>
        </w:rPr>
        <w:t>=.174).</w:t>
      </w:r>
    </w:p>
    <w:p w14:paraId="79F35C0C" w14:textId="0ACBCFF7" w:rsidR="00AF2570" w:rsidRDefault="00AF2570">
      <w:pPr>
        <w:rPr>
          <w:lang w:val="en-US"/>
        </w:rPr>
      </w:pPr>
      <w:r>
        <w:rPr>
          <w:lang w:val="en-US"/>
        </w:rPr>
        <w:br w:type="page"/>
      </w:r>
    </w:p>
    <w:p w14:paraId="47F5FEA9" w14:textId="7EC4E090" w:rsidR="00460888" w:rsidRDefault="00460888" w:rsidP="00460888">
      <w:pPr>
        <w:pStyle w:val="Kop1"/>
      </w:pPr>
      <w:bookmarkStart w:id="18" w:name="_Toc38977698"/>
      <w:r w:rsidRPr="003466DB">
        <w:lastRenderedPageBreak/>
        <w:t>Figure S1</w:t>
      </w:r>
      <w:bookmarkEnd w:id="18"/>
    </w:p>
    <w:p w14:paraId="7B53D069" w14:textId="78259C04" w:rsidR="00AF2570" w:rsidRDefault="007839E0" w:rsidP="00AF2570">
      <w:pPr>
        <w:spacing w:line="480" w:lineRule="auto"/>
        <w:rPr>
          <w:lang w:val="en-US"/>
        </w:rPr>
      </w:pPr>
      <w:r>
        <w:rPr>
          <w:noProof/>
          <w:lang w:val="en-US"/>
        </w:rPr>
        <w:drawing>
          <wp:inline distT="0" distB="0" distL="0" distR="0" wp14:anchorId="55DF32EC" wp14:editId="712CEF14">
            <wp:extent cx="5333559" cy="3998645"/>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S1.png"/>
                    <pic:cNvPicPr/>
                  </pic:nvPicPr>
                  <pic:blipFill>
                    <a:blip r:embed="rId21"/>
                    <a:stretch>
                      <a:fillRect/>
                    </a:stretch>
                  </pic:blipFill>
                  <pic:spPr>
                    <a:xfrm>
                      <a:off x="0" y="0"/>
                      <a:ext cx="5333559" cy="3998645"/>
                    </a:xfrm>
                    <a:prstGeom prst="rect">
                      <a:avLst/>
                    </a:prstGeom>
                  </pic:spPr>
                </pic:pic>
              </a:graphicData>
            </a:graphic>
          </wp:inline>
        </w:drawing>
      </w:r>
    </w:p>
    <w:p w14:paraId="70FB60AC" w14:textId="2AAE0DFE" w:rsidR="00460888" w:rsidRPr="00460888" w:rsidRDefault="00AF2570" w:rsidP="00AF2570">
      <w:pPr>
        <w:spacing w:line="480" w:lineRule="auto"/>
        <w:rPr>
          <w:sz w:val="20"/>
          <w:lang w:val="en-US"/>
        </w:rPr>
        <w:sectPr w:rsidR="00460888" w:rsidRPr="00460888" w:rsidSect="00E57358">
          <w:pgSz w:w="11906" w:h="16838"/>
          <w:pgMar w:top="1417" w:right="1417" w:bottom="1417" w:left="1417" w:header="708" w:footer="708" w:gutter="0"/>
          <w:lnNumType w:countBy="1" w:restart="continuous"/>
          <w:cols w:space="708"/>
          <w:docGrid w:linePitch="360"/>
        </w:sectPr>
      </w:pPr>
      <w:r w:rsidRPr="00965442">
        <w:rPr>
          <w:b/>
          <w:sz w:val="20"/>
          <w:lang w:val="en-US"/>
        </w:rPr>
        <w:t xml:space="preserve">Figure S1. Simulated trial-by-trial data per group. </w:t>
      </w:r>
      <w:r w:rsidRPr="00965442">
        <w:rPr>
          <w:sz w:val="20"/>
          <w:lang w:val="en-US"/>
        </w:rPr>
        <w:t xml:space="preserve">The simulated trial-by-trial probability of choosing yellow (the square that was chosen on the first trial) per group. </w:t>
      </w:r>
      <w:r>
        <w:rPr>
          <w:sz w:val="20"/>
          <w:lang w:val="en-US"/>
        </w:rPr>
        <w:t xml:space="preserve">Shade represents the SEM. </w:t>
      </w:r>
      <w:r w:rsidRPr="00965442">
        <w:rPr>
          <w:sz w:val="20"/>
          <w:lang w:val="en-US"/>
        </w:rPr>
        <w:t>At trial 41 the contingencies were reversed.</w:t>
      </w:r>
    </w:p>
    <w:p w14:paraId="16FA4492" w14:textId="64B597B7" w:rsidR="00460888" w:rsidRDefault="00460888" w:rsidP="00460888">
      <w:pPr>
        <w:pStyle w:val="Kop1"/>
      </w:pPr>
      <w:bookmarkStart w:id="19" w:name="_Toc38977699"/>
      <w:r>
        <w:lastRenderedPageBreak/>
        <w:t>Tables</w:t>
      </w:r>
      <w:bookmarkEnd w:id="19"/>
    </w:p>
    <w:p w14:paraId="77D7623C" w14:textId="43F48760" w:rsidR="006F7EB3" w:rsidRPr="00615D05" w:rsidRDefault="004A0537" w:rsidP="006F7EB3">
      <w:pPr>
        <w:pStyle w:val="Geenafstand"/>
        <w:spacing w:line="480" w:lineRule="auto"/>
        <w:rPr>
          <w:sz w:val="20"/>
          <w:lang w:val="en-US"/>
        </w:rPr>
      </w:pPr>
      <w:r w:rsidRPr="00615D05">
        <w:rPr>
          <w:b/>
          <w:sz w:val="20"/>
          <w:lang w:val="en-US"/>
        </w:rPr>
        <w:t xml:space="preserve">Table </w:t>
      </w:r>
      <w:r w:rsidR="00DE7EBE">
        <w:rPr>
          <w:b/>
          <w:sz w:val="20"/>
          <w:lang w:val="en-US"/>
        </w:rPr>
        <w:t>S</w:t>
      </w:r>
      <w:r w:rsidRPr="00615D05">
        <w:rPr>
          <w:b/>
          <w:sz w:val="20"/>
          <w:lang w:val="en-US"/>
        </w:rPr>
        <w:t>1. Overview of different phases and measures in MIND-Set study.</w:t>
      </w:r>
      <w:r w:rsidRPr="00615D05">
        <w:rPr>
          <w:sz w:val="20"/>
          <w:lang w:val="en-US"/>
        </w:rPr>
        <w:t xml:space="preserve"> </w:t>
      </w:r>
    </w:p>
    <w:tbl>
      <w:tblPr>
        <w:tblStyle w:val="Tabelraster"/>
        <w:tblpPr w:leftFromText="141" w:rightFromText="141" w:vertAnchor="text" w:horzAnchor="margin" w:tblpY="101"/>
        <w:tblW w:w="15163" w:type="dxa"/>
        <w:tblLook w:val="04A0" w:firstRow="1" w:lastRow="0" w:firstColumn="1" w:lastColumn="0" w:noHBand="0" w:noVBand="1"/>
      </w:tblPr>
      <w:tblGrid>
        <w:gridCol w:w="2802"/>
        <w:gridCol w:w="12361"/>
      </w:tblGrid>
      <w:tr w:rsidR="006F7EB3" w:rsidRPr="0049111F" w14:paraId="00310F79" w14:textId="77777777" w:rsidTr="006F7EB3">
        <w:tc>
          <w:tcPr>
            <w:tcW w:w="2802" w:type="dxa"/>
          </w:tcPr>
          <w:p w14:paraId="76F27E8F" w14:textId="77777777" w:rsidR="006F7EB3" w:rsidRDefault="006F7EB3" w:rsidP="006F7EB3">
            <w:pPr>
              <w:pStyle w:val="Geenafstand"/>
              <w:spacing w:line="480" w:lineRule="auto"/>
              <w:rPr>
                <w:lang w:val="en-US"/>
              </w:rPr>
            </w:pPr>
            <w:r>
              <w:rPr>
                <w:lang w:val="en-US"/>
              </w:rPr>
              <w:t>At-h</w:t>
            </w:r>
            <w:r w:rsidRPr="00AA4D04">
              <w:rPr>
                <w:lang w:val="en-US"/>
              </w:rPr>
              <w:t>ome questionnaires (standard clinical procedure)</w:t>
            </w:r>
          </w:p>
        </w:tc>
        <w:tc>
          <w:tcPr>
            <w:tcW w:w="12361" w:type="dxa"/>
          </w:tcPr>
          <w:p w14:paraId="4FEE3340" w14:textId="3ECE4BDC" w:rsidR="006F7EB3" w:rsidRDefault="006F7EB3" w:rsidP="006F7EB3">
            <w:pPr>
              <w:pStyle w:val="Geenafstand"/>
              <w:spacing w:line="480" w:lineRule="auto"/>
              <w:rPr>
                <w:lang w:val="en-US"/>
              </w:rPr>
            </w:pPr>
            <w:r w:rsidRPr="00E63E10">
              <w:rPr>
                <w:b/>
                <w:lang w:val="en-US"/>
              </w:rPr>
              <w:t>Adult ADHD Self-Report Scale</w:t>
            </w:r>
            <w:r w:rsidR="00615D05">
              <w:rPr>
                <w:b/>
                <w:lang w:val="en-US"/>
              </w:rPr>
              <w:t>*</w:t>
            </w:r>
            <w:r>
              <w:rPr>
                <w:lang w:val="en-US"/>
              </w:rPr>
              <w:t xml:space="preserve"> (ASRS; </w:t>
            </w:r>
            <w:r>
              <w:rPr>
                <w:lang w:val="en-US"/>
              </w:rPr>
              <w:fldChar w:fldCharType="begin" w:fldLock="1"/>
            </w:r>
            <w:r>
              <w:rPr>
                <w:lang w:val="en-US"/>
              </w:rPr>
              <w:instrText>ADDIN CSL_CITATION {"citationItems":[{"id":"ITEM-1","itemData":{"DOI":"10.1001/jamapsychiatry.2017.0298","ISSN":"2168-622X","abstract":"Importance Recognition that adult attention-deficit/hyperactivity disorder (ADHD) is common, seriously impairing, and usually undiagnosed has led to the development of adult ADHD screening scales for use in community, workplace, and primary care settings. However, these scales are all calibrated toDSM-IVcriteria, which are narrower than the recently developedDSM-5criteria. Objectives To update forDSM-5criteria and improve the operating characteristics of the widely used World Health Organization Adult ADHD Self-Report Scale (ASRS) for screening. Design, Setting, and Participants Probability subsamples of participants in 2 general population surveys (2001-2003 household survey [n = 119] and 2004-2005 managed care subscriber survey [n = 218]) who completed the full 29-question self-report ASRS, with both subsamples over-sampling ASRS-screened positives, were blindly administered a semistructured research diagnostic interview forDSM-5adult ADHD. In 2016, the Risk-Calibrated Supersparse Linear Integer Model, a novel machine-learning algorithm designed to create screening scales with optimal integer weights and limited numbers of screening questions, was applied to the pooled data to create aDSM-5version of the ASRS screening scale. The accuracy of the new scale was then confirmed in an independent 2011-2012 clinical sample of patients seeking evaluation at the New York University Langone Medical Center Adult ADHD Program (NYU Langone) and 2015-2016 primary care controls (n = 300). Data analysis was conducted from April 4, 2016, to September 22, 2016. Main Outcomes and Measures The sensitivity, specificity, area under the curve (AUC), and positive predictive value (PPV) of the revised ASRS. Results Of the total 637 participants, 44 (37.0%) household survey respondents, 51 (23.4%) managed care respondents, and 173 (57.7%) NYU Langone respondents metDSM-5criteria for adult ADHD in the semistructured diagnostic interview. Of the respondents who metDSM-5criteria for adult ADHD, 123 were male (45.9%); mean (SD) age was 33.1 (11.4) years. A 6-question screening scale was found to be optimal in distinguishing cases from noncases in the first 2 samples. Operating characteristics were excellent at the diagnostic threshold in the weighted (to the 8.2%DSM-5/Adult ADHD Clinical Diagnostic Scale population prevalence) data (sensitivity, 91.4%; specificity, 96.0%; AUC, 0.94; PPV, 67.3%). Operating characteristics were similar despite a much higher prevalence (57.7%) when …","author":[{"dropping-particle":"","family":"Ustun","given":"Berk","non-dropping-particle":"","parse-names":false,"suffix":""},{"dropping-particle":"","family":"Adler","given":"Lenard A.","non-dropping-particle":"","parse-names":false,"suffix":""},{"dropping-particle":"","family":"Rudin","given":"Cynthia","non-dropping-particle":"","parse-names":false,"suffix":""},{"dropping-particle":"V.","family":"Faraone","given":"Stephen","non-dropping-particle":"","parse-names":false,"suffix":""},{"dropping-particle":"","family":"Spencer","given":"Thomas J.","non-dropping-particle":"","parse-names":false,"suffix":""},{"dropping-particle":"","family":"Berglund","given":"Patricia","non-dropping-particle":"","parse-names":false,"suffix":""},{"dropping-particle":"","family":"Gruber","given":"Michael J.","non-dropping-particle":"","parse-names":false,"suffix":""},{"dropping-particle":"","family":"Kessler","given":"Ronald C.","non-dropping-particle":"","parse-names":false,"suffix":""}],"container-title":"JAMA Psychiatry","id":"ITEM-1","issue":"5","issued":{"date-parts":[["2017","5","1"]]},"page":"520","title":"The World Health Organization Adult Attention-Deficit/Hyperactivity Disorder Self-Report Screening Scale for DSM-5","type":"article-journal","volume":"74"},"uris":["http://www.mendeley.com/documents/?uuid=3dd50440-0c8d-3385-b770-eca108b7bead"]}],"mendeley":{"formattedCitation":"(Ustun &lt;i&gt;et al.&lt;/i&gt; 2017)","manualFormatting":"Ustun et al. 2017)","plainTextFormattedCitation":"(Ustun et al. 2017)","previouslyFormattedCitation":"(Ustun &lt;i&gt;et al.&lt;/i&gt; 2017)"},"properties":{"noteIndex":0},"schema":"https://github.com/citation-style-language/schema/raw/master/csl-citation.json"}</w:instrText>
            </w:r>
            <w:r>
              <w:rPr>
                <w:lang w:val="en-US"/>
              </w:rPr>
              <w:fldChar w:fldCharType="separate"/>
            </w:r>
            <w:r w:rsidRPr="00390937">
              <w:rPr>
                <w:noProof/>
                <w:lang w:val="en-US"/>
              </w:rPr>
              <w:t xml:space="preserve">Ustun </w:t>
            </w:r>
            <w:r w:rsidRPr="00BE7759">
              <w:rPr>
                <w:i/>
                <w:iCs/>
                <w:noProof/>
                <w:lang w:val="en-US"/>
              </w:rPr>
              <w:t>et al</w:t>
            </w:r>
            <w:r w:rsidRPr="00390937">
              <w:rPr>
                <w:noProof/>
                <w:lang w:val="en-US"/>
              </w:rPr>
              <w:t>. 2017)</w:t>
            </w:r>
            <w:r>
              <w:rPr>
                <w:lang w:val="en-US"/>
              </w:rPr>
              <w:fldChar w:fldCharType="end"/>
            </w:r>
            <w:r w:rsidRPr="00AA4D04">
              <w:rPr>
                <w:lang w:val="en-US"/>
              </w:rPr>
              <w:t>,</w:t>
            </w:r>
            <w:r>
              <w:rPr>
                <w:lang w:val="en-US"/>
              </w:rPr>
              <w:t xml:space="preserve"> </w:t>
            </w:r>
            <w:r w:rsidRPr="00E63E10">
              <w:rPr>
                <w:b/>
                <w:lang w:val="en-US"/>
              </w:rPr>
              <w:t>Anxiety Sensitivity Index</w:t>
            </w:r>
            <w:r>
              <w:rPr>
                <w:lang w:val="en-US"/>
              </w:rPr>
              <w:t xml:space="preserve"> </w:t>
            </w:r>
            <w:r>
              <w:rPr>
                <w:lang w:val="en-US"/>
              </w:rPr>
              <w:fldChar w:fldCharType="begin" w:fldLock="1"/>
            </w:r>
            <w:r>
              <w:rPr>
                <w:lang w:val="en-US"/>
              </w:rPr>
              <w:instrText>ADDIN CSL_CITATION {"citationItems":[{"id":"ITEM-1","itemData":{"DOI":"10.1016/S0005-7967(03)00074-3","ISSN":"0005-7967","abstract":"The past decade witnessed considerable debate over the factor structure of the Anxiety Sensitivity Index (ASI), with an eventual consensus emerging that supported a hierarchically organized factor structure. The present study attempted to replicate and examine the overall stability and utility of the hierarchical ASI factor pattern using a large sample of outpatients participating in an ongoing longitudinal study of anxiety disorders. Results supported a hierarchical factor structure for the ASI consisting of three lower-order factors measuring physical concerns, mental incapacitation concerns, and social concerns, all of which loaded significantly on a single second-order factor. Correlational analyses show good test–retest reliability and consistent patterns of intercorrelation for these factor-derived subscales across a 10-month time frame. Additional analyses provide support for the discriminant validity of the ASI subscales with regard to individuals with specific anxiety disorders. The theoretical implications of these findings for future evaluations of anxiety sensitivity are discussed.","author":[{"dropping-particle":"","family":"Rodriguez","given":"Benjamin F","non-dropping-particle":"","parse-names":false,"suffix":""},{"dropping-particle":"","family":"Bruce","given":"Steven E","non-dropping-particle":"","parse-names":false,"suffix":""},{"dropping-particle":"","family":"Pagano","given":"Maria E","non-dropping-particle":"","parse-names":false,"suffix":""},{"dropping-particle":"","family":"Spencer","given":"Michael A","non-dropping-particle":"","parse-names":false,"suffix":""},{"dropping-particle":"","family":"Keller","given":"Martin B","non-dropping-particle":"","parse-names":false,"suffix":""}],"container-title":"Behaviour Research and Therapy","id":"ITEM-1","issue":"1","issued":{"date-parts":[["2004","1","1"]]},"page":"79-91","title":"Factor structure and stability of the Anxiety Sensitivity Index in a longitudinal study of anxiety disorder patients","type":"article-journal","volume":"42"},"uris":["http://www.mendeley.com/documents/?uuid=a1b276ba-6520-3d6f-a55e-398794bef146"]}],"mendeley":{"formattedCitation":"(Rodriguez &lt;i&gt;et al.&lt;/i&gt; 2004)","manualFormatting":"(ASI; Rodriguez et al. 2004)","plainTextFormattedCitation":"(Rodriguez et al. 2004)","previouslyFormattedCitation":"(Rodriguez &lt;i&gt;et al.&lt;/i&gt; 2004)"},"properties":{"noteIndex":0},"schema":"https://github.com/citation-style-language/schema/raw/master/csl-citation.json"}</w:instrText>
            </w:r>
            <w:r>
              <w:rPr>
                <w:lang w:val="en-US"/>
              </w:rPr>
              <w:fldChar w:fldCharType="separate"/>
            </w:r>
            <w:r w:rsidRPr="00BE7759">
              <w:rPr>
                <w:noProof/>
                <w:lang w:val="en-US"/>
              </w:rPr>
              <w:t>(</w:t>
            </w:r>
            <w:r>
              <w:rPr>
                <w:noProof/>
                <w:lang w:val="en-US"/>
              </w:rPr>
              <w:t xml:space="preserve">ASI; </w:t>
            </w:r>
            <w:r w:rsidRPr="00BE7759">
              <w:rPr>
                <w:noProof/>
                <w:lang w:val="en-US"/>
              </w:rPr>
              <w:t xml:space="preserve">Rodriguez </w:t>
            </w:r>
            <w:r w:rsidRPr="00BE7759">
              <w:rPr>
                <w:i/>
                <w:noProof/>
                <w:lang w:val="en-US"/>
              </w:rPr>
              <w:t>et al.</w:t>
            </w:r>
            <w:r w:rsidRPr="00BE7759">
              <w:rPr>
                <w:noProof/>
                <w:lang w:val="en-US"/>
              </w:rPr>
              <w:t xml:space="preserve"> 2004)</w:t>
            </w:r>
            <w:r>
              <w:rPr>
                <w:lang w:val="en-US"/>
              </w:rPr>
              <w:fldChar w:fldCharType="end"/>
            </w:r>
            <w:r w:rsidRPr="00AA4D04">
              <w:rPr>
                <w:lang w:val="en-US"/>
              </w:rPr>
              <w:t>,</w:t>
            </w:r>
            <w:r>
              <w:rPr>
                <w:lang w:val="en-US"/>
              </w:rPr>
              <w:t xml:space="preserve"> </w:t>
            </w:r>
            <w:r w:rsidRPr="00E63E10">
              <w:rPr>
                <w:b/>
                <w:lang w:val="en-US"/>
              </w:rPr>
              <w:t>Autism-spectrum Quotient</w:t>
            </w:r>
            <w:r>
              <w:rPr>
                <w:lang w:val="en-US"/>
              </w:rPr>
              <w:t xml:space="preserve"> (AQ-</w:t>
            </w:r>
            <w:r w:rsidRPr="00AA4D04">
              <w:rPr>
                <w:lang w:val="en-US"/>
              </w:rPr>
              <w:t>50</w:t>
            </w:r>
            <w:r>
              <w:rPr>
                <w:lang w:val="en-US"/>
              </w:rPr>
              <w:t xml:space="preserve">; </w:t>
            </w:r>
            <w:r>
              <w:rPr>
                <w:lang w:val="en-US"/>
              </w:rPr>
              <w:fldChar w:fldCharType="begin" w:fldLock="1"/>
            </w:r>
            <w:r>
              <w:rPr>
                <w:lang w:val="en-US"/>
              </w:rPr>
              <w:instrText>ADDIN CSL_CITATION {"citationItems":[{"id":"ITEM-1","itemData":{"DOI":"10.1023/A:1005653411471","ISSN":"01623257","author":[{"dropping-particle":"","family":"Baron-Cohen","given":"Simon","non-dropping-particle":"","parse-names":false,"suffix":""},{"dropping-particle":"","family":"Wheelwright","given":"Sally","non-dropping-particle":"","parse-names":false,"suffix":""},{"dropping-particle":"","family":"Skinner","given":"Richard","non-dropping-particle":"","parse-names":false,"suffix":""},{"dropping-particle":"","family":"Martin","given":"Joanne","non-dropping-particle":"","parse-names":false,"suffix":""},{"dropping-particle":"","family":"Clubley","given":"Emma","non-dropping-particle":"","parse-names":false,"suffix":""}],"container-title":"Journal of Autism and Developmental Disorders","id":"ITEM-1","issue":"1","issued":{"date-parts":[["2001"]]},"page":"5-17","title":"The Autism-Spectrum Quotient (AQ): Evidence from Asperger Syndrome/High-Functioning Autism, Males and Females, Scientists and Mathematicians","type":"article-journal","volume":"31"},"uris":["http://www.mendeley.com/documents/?uuid=ea65ce9e-d943-381a-8550-103e497e687c"]},{"id":"ITEM-2","itemData":{"DOI":"10.1007/s10803-008-0538-x","ISSN":"0162-3257","PMID":"18302013","abstract":"The factor structure of the Dutch translation of the Autism-Spectrum Quotient (AQ; a continuous, quantitative measure of autistic traits) was evaluated with confirmatory factor analyses in a large general population and student sample. The criterion validity of the AQ was examined in three matched patient groups (autism spectrum conditions (ASC), social anxiety disorder, and obsessive-compulsive disorder). A two factor model, consisting of a \"Social interaction\" factor and \"Attention to detail\" factor could be identified. The internal consistency and test-retest reliability of the AQ were satisfactory. High total AQ and factor scores were specific to ASC patients. Men scored higher than women and science students higher than non-science students. The Dutch translation of the AQ is a reliable instrument to assess autism spectrum conditions.","author":[{"dropping-particle":"","family":"Hoekstra","given":"Rosa A","non-dropping-particle":"","parse-names":false,"suffix":""},{"dropping-particle":"","family":"Bartels","given":"Meike","non-dropping-particle":"","parse-names":false,"suffix":""},{"dropping-particle":"","family":"Cath","given":"Danielle C","non-dropping-particle":"","parse-names":false,"suffix":""},{"dropping-particle":"","family":"Boomsma","given":"Dorret I","non-dropping-particle":"","parse-names":false,"suffix":""}],"container-title":"Journal of autism and developmental disorders","id":"ITEM-2","issue":"8","issued":{"date-parts":[["2008","9"]]},"page":"1555-66","title":"Factor structure, reliability and criterion validity of the Autism-Spectrum Quotient (AQ): a study in Dutch population and patient groups.","type":"article-journal","volume":"38"},"uris":["http://www.mendeley.com/documents/?uuid=0368757e-83fc-49e8-98f5-36147e6ab124"]}],"mendeley":{"formattedCitation":"(Baron-Cohen &lt;i&gt;et al.&lt;/i&gt; 2001; Hoekstra &lt;i&gt;et al.&lt;/i&gt; 2008)","manualFormatting":"Baron-Cohen et al. 2001; Hoekstra et al. 2008)","plainTextFormattedCitation":"(Baron-Cohen et al. 2001; Hoekstra et al. 2008)","previouslyFormattedCitation":"(Baron-Cohen &lt;i&gt;et al.&lt;/i&gt; 2001; Hoekstra &lt;i&gt;et al.&lt;/i&gt; 2008)"},"properties":{"noteIndex":0},"schema":"https://github.com/citation-style-language/schema/raw/master/csl-citation.json"}</w:instrText>
            </w:r>
            <w:r>
              <w:rPr>
                <w:lang w:val="en-US"/>
              </w:rPr>
              <w:fldChar w:fldCharType="separate"/>
            </w:r>
            <w:r w:rsidRPr="00390937">
              <w:rPr>
                <w:noProof/>
                <w:lang w:val="en-US"/>
              </w:rPr>
              <w:t xml:space="preserve">Baron-Cohen </w:t>
            </w:r>
            <w:r w:rsidRPr="00BE7759">
              <w:rPr>
                <w:i/>
                <w:iCs/>
                <w:noProof/>
                <w:lang w:val="en-US"/>
              </w:rPr>
              <w:t>et al</w:t>
            </w:r>
            <w:r w:rsidRPr="00390937">
              <w:rPr>
                <w:noProof/>
                <w:lang w:val="en-US"/>
              </w:rPr>
              <w:t xml:space="preserve">. 2001; Hoekstra </w:t>
            </w:r>
            <w:r w:rsidRPr="00BE7759">
              <w:rPr>
                <w:i/>
                <w:iCs/>
                <w:noProof/>
                <w:lang w:val="en-US"/>
              </w:rPr>
              <w:t>et al</w:t>
            </w:r>
            <w:r w:rsidRPr="00390937">
              <w:rPr>
                <w:noProof/>
                <w:lang w:val="en-US"/>
              </w:rPr>
              <w:t>. 2008)</w:t>
            </w:r>
            <w:r>
              <w:rPr>
                <w:lang w:val="en-US"/>
              </w:rPr>
              <w:fldChar w:fldCharType="end"/>
            </w:r>
            <w:r w:rsidRPr="00AA4D04">
              <w:rPr>
                <w:lang w:val="en-US"/>
              </w:rPr>
              <w:t xml:space="preserve">, </w:t>
            </w:r>
            <w:proofErr w:type="spellStart"/>
            <w:r w:rsidRPr="00E63E10">
              <w:rPr>
                <w:b/>
                <w:lang w:val="en-US"/>
              </w:rPr>
              <w:t>Conners</w:t>
            </w:r>
            <w:proofErr w:type="spellEnd"/>
            <w:r w:rsidRPr="00E63E10">
              <w:rPr>
                <w:b/>
                <w:lang w:val="en-US"/>
              </w:rPr>
              <w:t>’ Adult ADHD Rating Scale</w:t>
            </w:r>
            <w:r>
              <w:rPr>
                <w:lang w:val="en-US"/>
              </w:rPr>
              <w:t xml:space="preserve"> </w:t>
            </w:r>
            <w:r>
              <w:rPr>
                <w:lang w:val="en-US"/>
              </w:rPr>
              <w:fldChar w:fldCharType="begin" w:fldLock="1"/>
            </w:r>
            <w:r>
              <w:rPr>
                <w:lang w:val="en-US"/>
              </w:rPr>
              <w:instrText>ADDIN CSL_CITATION {"citationItems":[{"id":"ITEM-1","itemData":{"author":[{"dropping-particle":"","family":"Conners","given":"CK","non-dropping-particle":"","parse-names":false,"suffix":""},{"dropping-particle":"","family":"Erhardt","given":"D","non-dropping-particle":"","parse-names":false,"suffix":""},{"dropping-particle":"","family":"Sparrow","given":"E","non-dropping-particle":"","parse-names":false,"suffix":""}],"id":"ITEM-1","issued":{"date-parts":[["1999"]]},"title":"Adult ADHD rating scales: Technical manual.","type":"report"},"uris":["http://www.mendeley.com/documents/?uuid=7b361f1e-4f3b-445e-8620-43ae3a2c311f"]}],"mendeley":{"formattedCitation":"(Conners &lt;i&gt;et al.&lt;/i&gt; 1999)","manualFormatting":"(CAARS; Conners et al. 1999)","plainTextFormattedCitation":"(Conners et al. 1999)","previouslyFormattedCitation":"(Conners &lt;i&gt;et al.&lt;/i&gt; 1999)"},"properties":{"noteIndex":0},"schema":"https://github.com/citation-style-language/schema/raw/master/csl-citation.json"}</w:instrText>
            </w:r>
            <w:r>
              <w:rPr>
                <w:lang w:val="en-US"/>
              </w:rPr>
              <w:fldChar w:fldCharType="separate"/>
            </w:r>
            <w:r w:rsidRPr="00390937">
              <w:rPr>
                <w:noProof/>
                <w:lang w:val="en-US"/>
              </w:rPr>
              <w:t>(</w:t>
            </w:r>
            <w:r>
              <w:rPr>
                <w:noProof/>
                <w:lang w:val="en-US"/>
              </w:rPr>
              <w:t xml:space="preserve">CAARS; </w:t>
            </w:r>
            <w:r w:rsidRPr="00390937">
              <w:rPr>
                <w:noProof/>
                <w:lang w:val="en-US"/>
              </w:rPr>
              <w:t>Conners</w:t>
            </w:r>
            <w:r>
              <w:rPr>
                <w:noProof/>
                <w:lang w:val="en-US"/>
              </w:rPr>
              <w:t xml:space="preserve"> </w:t>
            </w:r>
            <w:r>
              <w:rPr>
                <w:i/>
                <w:iCs/>
                <w:noProof/>
                <w:lang w:val="en-US"/>
              </w:rPr>
              <w:t>et al.</w:t>
            </w:r>
            <w:r w:rsidRPr="00390937">
              <w:rPr>
                <w:noProof/>
                <w:lang w:val="en-US"/>
              </w:rPr>
              <w:t xml:space="preserve"> 1999)</w:t>
            </w:r>
            <w:r>
              <w:rPr>
                <w:lang w:val="en-US"/>
              </w:rPr>
              <w:fldChar w:fldCharType="end"/>
            </w:r>
            <w:r w:rsidRPr="00AA4D04">
              <w:rPr>
                <w:lang w:val="en-US"/>
              </w:rPr>
              <w:t xml:space="preserve">, </w:t>
            </w:r>
            <w:r w:rsidRPr="003D5A4E">
              <w:rPr>
                <w:lang w:val="en-US"/>
              </w:rPr>
              <w:t>Family Interview for Genetic Studies</w:t>
            </w:r>
            <w:r>
              <w:rPr>
                <w:lang w:val="en-US"/>
              </w:rPr>
              <w:t xml:space="preserve"> </w:t>
            </w:r>
            <w:r>
              <w:rPr>
                <w:lang w:val="en-US"/>
              </w:rPr>
              <w:fldChar w:fldCharType="begin" w:fldLock="1"/>
            </w:r>
            <w:r w:rsidR="007F2759">
              <w:rPr>
                <w:lang w:val="en-US"/>
              </w:rPr>
              <w:instrText>ADDIN CSL_CITATION {"citationItems":[{"id":"ITEM-1","itemData":{"author":[{"dropping-particle":"","family":"National Institute of Mental Health","given":"","non-dropping-particle":"","parse-names":false,"suffix":""}],"id":"ITEM-1","issued":{"date-parts":[["1992"]]},"title":"Family Interview for Genetic Studies.","type":"article"},"uris":["http://www.mendeley.com/documents/?uuid=89e78dc8-0fd6-4431-8e93-71cdc5c0a490"]}],"mendeley":{"formattedCitation":"(National Institute of Mental Health 1992)","plainTextFormattedCitation":"(National Institute of Mental Health 1992)","previouslyFormattedCitation":"(National Institute of Mental Health 1992)"},"properties":{"noteIndex":0},"schema":"https://github.com/citation-style-language/schema/raw/master/csl-citation.json"}</w:instrText>
            </w:r>
            <w:r>
              <w:rPr>
                <w:lang w:val="en-US"/>
              </w:rPr>
              <w:fldChar w:fldCharType="separate"/>
            </w:r>
            <w:r w:rsidRPr="00FE5FD9">
              <w:rPr>
                <w:noProof/>
                <w:lang w:val="en-US"/>
              </w:rPr>
              <w:t>(National Institute of Mental Health 1992)</w:t>
            </w:r>
            <w:r>
              <w:rPr>
                <w:lang w:val="en-US"/>
              </w:rPr>
              <w:fldChar w:fldCharType="end"/>
            </w:r>
            <w:r w:rsidRPr="00AA4D04">
              <w:rPr>
                <w:lang w:val="en-US"/>
              </w:rPr>
              <w:t xml:space="preserve">, </w:t>
            </w:r>
            <w:r w:rsidRPr="00E63E10">
              <w:rPr>
                <w:b/>
                <w:lang w:val="en-US"/>
              </w:rPr>
              <w:t>Inventory of Depressive Symptomatology self-report version</w:t>
            </w:r>
            <w:r w:rsidRPr="003D5A4E">
              <w:rPr>
                <w:lang w:val="en-US"/>
              </w:rPr>
              <w:t xml:space="preserve"> </w:t>
            </w:r>
            <w:r>
              <w:rPr>
                <w:lang w:val="en-US"/>
              </w:rPr>
              <w:fldChar w:fldCharType="begin" w:fldLock="1"/>
            </w:r>
            <w:r>
              <w:rPr>
                <w:lang w:val="en-US"/>
              </w:rPr>
              <w:instrText>ADDIN CSL_CITATION {"citationItems":[{"id":"ITEM-1","itemData":{"DOI":"10.1017/S0033291700035558","ISSN":"0033-2917","abstract":"The psychometric properties of the 28- and 30-item versions of the Inventory of Depressive Symptomatology, Clinician-Rated (IDS-C) and Self-Report (IDS-SR) are reported in a total of 434 (28-item) and 337 (30-item) adult out-patients with current major depressive disorder and 118 adult euthymic subjects (15 remitted depressed and 103 normal controls). Cronbach's α ranged from 0·92 to 0·94 for the total sample and from 0·76 to 0·82 for those with current depression. Item total correlations, as well as several tests of concurrent and discriminant validity are reported. Factor analysis revealed three dimensions (cognitive/mood, anxiety/arousal and vegetative) for each scale. Analysis of sensitivity to change in symptom severity in an open-label trial of fluoxetine (N = 58) showed that the IDS-C and IDS-SR were highly related to the 17-item Hamilton Rating Scale for Depression. Given the more complete item coverage, satisfactory psychometric properties, and high correlations with the above standard ratings, the 30-item IDS-C and IDS-SR can be used to evaluate depressive symptom severity. The availability of similar item content for clinician-rated and self-reported versions allows more direct evaluations of these two perspectives.","author":[{"dropping-particle":"","family":"Rush","given":"A. J.","non-dropping-particle":"","parse-names":false,"suffix":""},{"dropping-particle":"","family":"Gullion","given":"C. M.","non-dropping-particle":"","parse-names":false,"suffix":""},{"dropping-particle":"","family":"Basco","given":"M. R.","non-dropping-particle":"","parse-names":false,"suffix":""},{"dropping-particle":"","family":"Jarrett","given":"R. B.","non-dropping-particle":"","parse-names":false,"suffix":""},{"dropping-particle":"","family":"Trivedi","given":"M. H.","non-dropping-particle":"","parse-names":false,"suffix":""}],"container-title":"Psychological Medicine","id":"ITEM-1","issue":"03","issued":{"date-parts":[["1996","5","9"]]},"page":"477","title":"The Inventory of Depressive Symptomatology (IDS): psychometric properties","type":"article-journal","volume":"26"},"uris":["http://www.mendeley.com/documents/?uuid=db4f6235-121d-386e-8a80-79157ad4275f"]}],"mendeley":{"formattedCitation":"(Rush &lt;i&gt;et al.&lt;/i&gt; 1996)","manualFormatting":"(IDS-SR; Rush et al. 1996)","plainTextFormattedCitation":"(Rush et al. 1996)","previouslyFormattedCitation":"(Rush &lt;i&gt;et al.&lt;/i&gt; 1996)"},"properties":{"noteIndex":0},"schema":"https://github.com/citation-style-language/schema/raw/master/csl-citation.json"}</w:instrText>
            </w:r>
            <w:r>
              <w:rPr>
                <w:lang w:val="en-US"/>
              </w:rPr>
              <w:fldChar w:fldCharType="separate"/>
            </w:r>
            <w:r w:rsidRPr="00BE7759">
              <w:rPr>
                <w:noProof/>
                <w:lang w:val="en-US"/>
              </w:rPr>
              <w:t>(</w:t>
            </w:r>
            <w:r>
              <w:rPr>
                <w:noProof/>
                <w:lang w:val="en-US"/>
              </w:rPr>
              <w:t xml:space="preserve">IDS-SR; </w:t>
            </w:r>
            <w:r w:rsidRPr="00BE7759">
              <w:rPr>
                <w:noProof/>
                <w:lang w:val="en-US"/>
              </w:rPr>
              <w:t xml:space="preserve">Rush </w:t>
            </w:r>
            <w:r w:rsidRPr="00BE7759">
              <w:rPr>
                <w:i/>
                <w:noProof/>
                <w:lang w:val="en-US"/>
              </w:rPr>
              <w:t>et al.</w:t>
            </w:r>
            <w:r w:rsidRPr="00BE7759">
              <w:rPr>
                <w:noProof/>
                <w:lang w:val="en-US"/>
              </w:rPr>
              <w:t xml:space="preserve"> 1996)</w:t>
            </w:r>
            <w:r>
              <w:rPr>
                <w:lang w:val="en-US"/>
              </w:rPr>
              <w:fldChar w:fldCharType="end"/>
            </w:r>
            <w:r w:rsidRPr="00AA4D04">
              <w:rPr>
                <w:lang w:val="en-US"/>
              </w:rPr>
              <w:t xml:space="preserve">, </w:t>
            </w:r>
            <w:r>
              <w:rPr>
                <w:lang w:val="en-US"/>
              </w:rPr>
              <w:t xml:space="preserve">MOS Short-Form General Health Questionnaire </w:t>
            </w:r>
            <w:r w:rsidRPr="003D5A4E">
              <w:rPr>
                <w:lang w:val="en-US"/>
              </w:rPr>
              <w:t>20</w:t>
            </w:r>
            <w:r>
              <w:rPr>
                <w:lang w:val="en-US"/>
              </w:rPr>
              <w:t xml:space="preserve"> </w:t>
            </w:r>
            <w:r>
              <w:rPr>
                <w:lang w:val="en-US"/>
              </w:rPr>
              <w:fldChar w:fldCharType="begin" w:fldLock="1"/>
            </w:r>
            <w:r>
              <w:rPr>
                <w:lang w:val="en-US"/>
              </w:rPr>
              <w:instrText>ADDIN CSL_CITATION {"citationItems":[{"id":"ITEM-1","itemData":{"author":[{"dropping-particle":"","family":"Ware","given":"J.E.","non-dropping-particle":"","parse-names":false,"suffix":""},{"dropping-particle":"","family":"Sherbourne","given":"C.D.","non-dropping-particle":"","parse-names":false,"suffix":""}],"container-title":"Medical Care","id":"ITEM-1","issue":"6","issued":{"date-parts":[["1992"]]},"page":"473-483","title":"The MOS 36-Item Short-Form Health Survey (SF-36): I. Conceptual Framework and Item Selection","type":"article-journal","volume":"30"},"uris":["http://www.mendeley.com/documents/?uuid=5d806f5b-60e4-3773-8c22-00558841b4ac"]}],"mendeley":{"formattedCitation":"(Ware &amp; Sherbourne 1992)","plainTextFormattedCitation":"(Ware &amp; Sherbourne 1992)","previouslyFormattedCitation":"(Ware &amp; Sherbourne 1992)"},"properties":{"noteIndex":0},"schema":"https://github.com/citation-style-language/schema/raw/master/csl-citation.json"}</w:instrText>
            </w:r>
            <w:r>
              <w:rPr>
                <w:lang w:val="en-US"/>
              </w:rPr>
              <w:fldChar w:fldCharType="separate"/>
            </w:r>
            <w:r w:rsidRPr="00BE7759">
              <w:rPr>
                <w:noProof/>
                <w:lang w:val="en-US"/>
              </w:rPr>
              <w:t>(Ware &amp; Sherbourne 1992)</w:t>
            </w:r>
            <w:r>
              <w:rPr>
                <w:lang w:val="en-US"/>
              </w:rPr>
              <w:fldChar w:fldCharType="end"/>
            </w:r>
            <w:r w:rsidRPr="00AA4D04">
              <w:rPr>
                <w:lang w:val="en-US"/>
              </w:rPr>
              <w:t xml:space="preserve">, </w:t>
            </w:r>
            <w:r w:rsidRPr="005B0A15">
              <w:rPr>
                <w:lang w:val="en-US"/>
              </w:rPr>
              <w:t>Outcome Questionnaire</w:t>
            </w:r>
            <w:r>
              <w:rPr>
                <w:lang w:val="en-US"/>
              </w:rPr>
              <w:t xml:space="preserve">-45 </w:t>
            </w:r>
            <w:r>
              <w:rPr>
                <w:lang w:val="en-US"/>
              </w:rPr>
              <w:fldChar w:fldCharType="begin" w:fldLock="1"/>
            </w:r>
            <w:r>
              <w:rPr>
                <w:lang w:val="en-US"/>
              </w:rPr>
              <w:instrText>ADDIN CSL_CITATION {"citationItems":[{"id":"ITEM-1","itemData":{"DOI":"10.1002/(SICI)1099-0879(199612)3:4&lt;249::AID-CPP106&gt;3.0.CO;2-S","ISSN":"1063-3995","author":[{"dropping-particle":"","family":"Lambert","given":"Michael J.","non-dropping-particle":"","parse-names":false,"suffix":""},{"dropping-particle":"","family":"Burlingame","given":"Gary M.","non-dropping-particle":"","parse-names":false,"suffix":""},{"dropping-particle":"","family":"Umphress","given":"Val","non-dropping-particle":"","parse-names":false,"suffix":""},{"dropping-particle":"","family":"Hansen","given":"Nathan B.","non-dropping-particle":"","parse-names":false,"suffix":""},{"dropping-particle":"","family":"Vermeersch","given":"David A.","non-dropping-particle":"","parse-names":false,"suffix":""},{"dropping-particle":"","family":"Clouse","given":"Glenn C.","non-dropping-particle":"","parse-names":false,"suffix":""},{"dropping-particle":"","family":"Yanchar","given":"Stephen C.","non-dropping-particle":"","parse-names":false,"suffix":""}],"container-title":"Clinical Psychology &amp; Psychotherapy","id":"ITEM-1","issue":"4","issued":{"date-parts":[["1996","12","1"]]},"page":"249-258","title":"The Reliability and Validity of the Outcome Questionnaire","type":"article-journal","volume":"3"},"uris":["http://www.mendeley.com/documents/?uuid=2bf3b1b2-baad-3e26-943d-cdb89879db3d"]}],"mendeley":{"formattedCitation":"(Lambert &lt;i&gt;et al.&lt;/i&gt; 1996)","plainTextFormattedCitation":"(Lambert et al. 1996)","previouslyFormattedCitation":"(Lambert &lt;i&gt;et al.&lt;/i&gt; 1996)"},"properties":{"noteIndex":0},"schema":"https://github.com/citation-style-language/schema/raw/master/csl-citation.json"}</w:instrText>
            </w:r>
            <w:r>
              <w:rPr>
                <w:lang w:val="en-US"/>
              </w:rPr>
              <w:fldChar w:fldCharType="separate"/>
            </w:r>
            <w:r w:rsidRPr="00BE7759">
              <w:rPr>
                <w:noProof/>
                <w:lang w:val="en-US"/>
              </w:rPr>
              <w:t xml:space="preserve">(Lambert </w:t>
            </w:r>
            <w:r w:rsidRPr="00BE7759">
              <w:rPr>
                <w:i/>
                <w:noProof/>
                <w:lang w:val="en-US"/>
              </w:rPr>
              <w:t>et al.</w:t>
            </w:r>
            <w:r w:rsidRPr="00BE7759">
              <w:rPr>
                <w:noProof/>
                <w:lang w:val="en-US"/>
              </w:rPr>
              <w:t xml:space="preserve"> 1996)</w:t>
            </w:r>
            <w:r>
              <w:rPr>
                <w:lang w:val="en-US"/>
              </w:rPr>
              <w:fldChar w:fldCharType="end"/>
            </w:r>
            <w:r w:rsidRPr="00AA4D04">
              <w:rPr>
                <w:lang w:val="en-US"/>
              </w:rPr>
              <w:t xml:space="preserve">, </w:t>
            </w:r>
            <w:r w:rsidRPr="003D5A4E">
              <w:rPr>
                <w:lang w:val="en-US"/>
              </w:rPr>
              <w:t xml:space="preserve">Personality Inventory for DSM-5 - brief form </w:t>
            </w:r>
            <w:r>
              <w:rPr>
                <w:lang w:val="en-US"/>
              </w:rPr>
              <w:fldChar w:fldCharType="begin" w:fldLock="1"/>
            </w:r>
            <w:r>
              <w:rPr>
                <w:lang w:val="en-US"/>
              </w:rPr>
              <w:instrText>ADDIN CSL_CITATION {"citationItems":[{"id":"ITEM-1","itemData":{"DOI":"10.1017/S0033291711002674","ISSN":"0033-2917","abstract":"Background DSM-IV-TR suggests that clinicians should assess clinically relevant personality traits that do not necessarily constitute a formal personality disorder (PD), and should note these traits on Axis II, but DSM-IV-TR does not provide a trait model to guide the clinician. Our goal was to provide a provisional trait model and a preliminary corresponding assessment instrument, in our roles as members of the DSM-5 Personality and Personality Disorders Workgroup and workgroup advisors. Method An initial list of specific traits and domains (broader groups of traits) was derived from DSM-5 literature reviews and workgroup deliberations, with a focus on capturing maladaptive personality characteristics deemed clinically salient, including those related to the criteria for DSM-IV-TR PDs. The model and instrument were then developed iteratively using data from community samples of treatment-seeking participants. The analytic approach relied on tools of modern psychometrics (e.g. item response theory models). Results A total of 25 reliably measured core elements of personality description emerged that, together, delineate five broad domains of maladaptive personality variation: negative affect, detachment, antagonism, disinhibition, and psychoticism. Conclusions We developed a maladaptive personality trait model and corresponding instrument as a step on the path toward helping users of DSM-5 assess traits that may or may not constitute a formal PD. The inventory we developed is reprinted in its entirety in the Supplementary online material, with the goal of encouraging additional refinement and development by other investigators prior to the finalization of DSM-5. Continuing discussion should focus on various options for integrating personality traits into DSM-5.","author":[{"dropping-particle":"","family":"Krueger","given":"R. F.","non-dropping-particle":"","parse-names":false,"suffix":""},{"dropping-particle":"","family":"Derringer","given":"J.","non-dropping-particle":"","parse-names":false,"suffix":""},{"dropping-particle":"","family":"Markon","given":"K. E.","non-dropping-particle":"","parse-names":false,"suffix":""},{"dropping-particle":"","family":"Watson","given":"D.","non-dropping-particle":"","parse-names":false,"suffix":""},{"dropping-particle":"","family":"Skodol","given":"A. E.","non-dropping-particle":"","parse-names":false,"suffix":""}],"container-title":"Psychological Medicine","id":"ITEM-1","issue":"9","issued":{"date-parts":[["2012","9","8"]]},"page":"1879-1890","title":"Initial construction of a maladaptive personality trait model and inventory for DSM-5","type":"article-journal","volume":"42"},"uris":["http://www.mendeley.com/documents/?uuid=31d9131b-a826-329a-a6e2-656dab5e78f3"]}],"mendeley":{"formattedCitation":"(Krueger &lt;i&gt;et al.&lt;/i&gt; 2012)","plainTextFormattedCitation":"(Krueger et al. 2012)","previouslyFormattedCitation":"(Krueger &lt;i&gt;et al.&lt;/i&gt; 2012)"},"properties":{"noteIndex":0},"schema":"https://github.com/citation-style-language/schema/raw/master/csl-citation.json"}</w:instrText>
            </w:r>
            <w:r>
              <w:rPr>
                <w:lang w:val="en-US"/>
              </w:rPr>
              <w:fldChar w:fldCharType="separate"/>
            </w:r>
            <w:r w:rsidRPr="00BE7759">
              <w:rPr>
                <w:noProof/>
                <w:lang w:val="en-US"/>
              </w:rPr>
              <w:t xml:space="preserve">(Krueger </w:t>
            </w:r>
            <w:r w:rsidRPr="00BE7759">
              <w:rPr>
                <w:i/>
                <w:noProof/>
                <w:lang w:val="en-US"/>
              </w:rPr>
              <w:t>et al.</w:t>
            </w:r>
            <w:r w:rsidRPr="00BE7759">
              <w:rPr>
                <w:noProof/>
                <w:lang w:val="en-US"/>
              </w:rPr>
              <w:t xml:space="preserve"> 2012)</w:t>
            </w:r>
            <w:r>
              <w:rPr>
                <w:lang w:val="en-US"/>
              </w:rPr>
              <w:fldChar w:fldCharType="end"/>
            </w:r>
            <w:r w:rsidRPr="00AA4D04">
              <w:rPr>
                <w:lang w:val="en-US"/>
              </w:rPr>
              <w:t xml:space="preserve">, </w:t>
            </w:r>
            <w:r w:rsidRPr="00E63E10">
              <w:rPr>
                <w:b/>
                <w:lang w:val="en-US"/>
              </w:rPr>
              <w:t>socio-demographic information</w:t>
            </w:r>
            <w:r>
              <w:rPr>
                <w:lang w:val="en-US"/>
              </w:rPr>
              <w:t xml:space="preserve"> about age, gender and level of education </w:t>
            </w:r>
            <w:r>
              <w:rPr>
                <w:lang w:val="en-US"/>
              </w:rPr>
              <w:fldChar w:fldCharType="begin" w:fldLock="1"/>
            </w:r>
            <w:r>
              <w:rPr>
                <w:lang w:val="en-US"/>
              </w:rPr>
              <w:instrText>ADDIN CSL_CITATION {"citationItems":[{"id":"ITEM-1","itemData":{"DOI":"10.1186/1471-2458-13-402","ISSN":"1471-2458","abstract":"Populations in Europe are becoming increasingly ethnically diverse, and health risks differ between ethnic groups. The aim of the HELIUS (HEalthy LIfe in an Urban Setting) study is to unravel the mechanisms underlying the impact of ethnicity on communicable and non-communicable diseases. HELIUS is a large-scale prospective cohort study being carried out in Amsterdam, the Netherlands. The sample is made up of Amsterdam residents of Surinamese (with Afro-Caribbean Surinamese and South Asian-Surinamese as the main ethnic groups), Turkish, Moroccan, Ghanaian, and ethnic Dutch origin. HELIUS focuses on three disease categories: cardiovascular disease (including diabetes), mental health (depressive disorders and substance use disorders), and infectious diseases. The explanatory mechanisms being studied include genetic profile, culture, migration history, ethnic identity, socio-economic factors and discrimination. These might affect disease risks through specific risk factors including health-related behaviour and living and working conditions. Every five years, participants complete a standardized questionnaire and undergo a medical examination. Biological samples are obtained for diagnostic tests and storage. Participants’ data are linked to morbidity and mortality registries. The aim is to recruit a minimum of 5,000 respondents per ethnic group, to a total of 30,000 participants. This paper describes the rationale, conceptual framework, and design and methods of the HELIUS study. HELIUS will contribute to an understanding of inequalities in health between ethnic groups and the mechanisms that link ethnicity to health in Europe.","author":[{"dropping-particle":"","family":"Stronks","given":"Karien","non-dropping-particle":"","parse-names":false,"suffix":""},{"dropping-particle":"","family":"Snijder","given":"Marieke B","non-dropping-particle":"","parse-names":false,"suffix":""},{"dropping-particle":"","family":"Peters","given":"Ron JG","non-dropping-particle":"","parse-names":false,"suffix":""},{"dropping-particle":"","family":"Prins","given":"Maria","non-dropping-particle":"","parse-names":false,"suffix":""},{"dropping-particle":"","family":"Schene","given":"Aart H","non-dropping-particle":"","parse-names":false,"suffix":""},{"dropping-particle":"","family":"Zwinderman","given":"Aeilko H","non-dropping-particle":"","parse-names":false,"suffix":""}],"container-title":"BMC Public Health","id":"ITEM-1","issue":"1","issued":{"date-parts":[["2013","12","27"]]},"page":"402","title":"Unravelling the impact of ethnicity on health in Europe: the HELIUS study","type":"article-journal","volume":"13"},"uris":["http://www.mendeley.com/documents/?uuid=e24b2a05-fe9d-3bb5-87cd-9f311fad855a"]}],"mendeley":{"formattedCitation":"(Stronks &lt;i&gt;et al.&lt;/i&gt; 2013)","plainTextFormattedCitation":"(Stronks et al. 2013)","previouslyFormattedCitation":"(Stronks &lt;i&gt;et al.&lt;/i&gt; 2013)"},"properties":{"noteIndex":0},"schema":"https://github.com/citation-style-language/schema/raw/master/csl-citation.json"}</w:instrText>
            </w:r>
            <w:r>
              <w:rPr>
                <w:lang w:val="en-US"/>
              </w:rPr>
              <w:fldChar w:fldCharType="separate"/>
            </w:r>
            <w:r w:rsidRPr="00BE7759">
              <w:rPr>
                <w:noProof/>
                <w:lang w:val="en-US"/>
              </w:rPr>
              <w:t xml:space="preserve">(Stronks </w:t>
            </w:r>
            <w:r w:rsidRPr="00BE7759">
              <w:rPr>
                <w:i/>
                <w:noProof/>
                <w:lang w:val="en-US"/>
              </w:rPr>
              <w:t>et al.</w:t>
            </w:r>
            <w:r w:rsidRPr="00BE7759">
              <w:rPr>
                <w:noProof/>
                <w:lang w:val="en-US"/>
              </w:rPr>
              <w:t xml:space="preserve"> 2013)</w:t>
            </w:r>
            <w:r>
              <w:rPr>
                <w:lang w:val="en-US"/>
              </w:rPr>
              <w:fldChar w:fldCharType="end"/>
            </w:r>
            <w:r>
              <w:rPr>
                <w:lang w:val="en-US"/>
              </w:rPr>
              <w:t xml:space="preserve">, and </w:t>
            </w:r>
            <w:r w:rsidRPr="00AA4D04">
              <w:rPr>
                <w:lang w:val="en-US"/>
              </w:rPr>
              <w:t>W</w:t>
            </w:r>
            <w:r w:rsidRPr="003D5A4E">
              <w:rPr>
                <w:lang w:val="en-US"/>
              </w:rPr>
              <w:t>HO-Disability Assessment Schedule 2.0</w:t>
            </w:r>
            <w:r>
              <w:rPr>
                <w:lang w:val="en-US"/>
              </w:rPr>
              <w:t xml:space="preserve"> </w:t>
            </w:r>
            <w:r>
              <w:rPr>
                <w:lang w:val="en-US"/>
              </w:rPr>
              <w:fldChar w:fldCharType="begin" w:fldLock="1"/>
            </w:r>
            <w:r>
              <w:rPr>
                <w:lang w:val="en-US"/>
              </w:rPr>
              <w:instrText>ADDIN CSL_CITATION {"citationItems":[{"id":"ITEM-1","itemData":{"DOI":"10.1016/S0895-4356(03)00051-9","ISSN":"0895-4356","abstract":"The World Health Organization Disability Assessment Schedule (WHO DAS II) is a new measure of disability based on the ICIDH-2 model of functioning and disability. This study evaluates the measurement properties of the WHO DAS II in two disorders commonly encountered in the primary care setting. Seventy-three patients with depression and 76 patients with back pain were interviewed at baseline and after 3 months of usual primary care. Internal validity, convergent validity, and responsiveness to change of the WHO DAS II were evaluated. The WHO DAS II had excellent internal validity and convergent validity in the primary care setting. The responsiveness to change of the WHO DAS II was comparable to that of the SF-36. The WHO DAS II appears to be a useful health status instrument for measuring the disability associated with both physical and mental disorders in the primary care setting. This instrument facilitates the use of the ICIDH-2 as a framework for evaluating activity limitations and participation.","author":[{"dropping-particle":"","family":"Chwastiak","given":"Lydia A.","non-dropping-particle":"","parse-names":false,"suffix":""},{"dropping-particle":"","family":"Korff","given":"Michael","non-dropping-particle":"Von","parse-names":false,"suffix":""}],"container-title":"Journal of Clinical Epidemiology","id":"ITEM-1","issue":"6","issued":{"date-parts":[["2003","6","1"]]},"page":"507-514","title":"Disability in depression and back pain: Evaluation of the World Health Organization Disability Assessment Schedule (WHO DAS II) in a primary care setting","type":"article-journal","volume":"56"},"uris":["http://www.mendeley.com/documents/?uuid=cd30311a-1061-3524-93a1-3af412a54633"]}],"mendeley":{"formattedCitation":"(Chwastiak &amp; Von Korff 2003)","plainTextFormattedCitation":"(Chwastiak &amp; Von Korff 2003)","previouslyFormattedCitation":"(Chwastiak &amp; Von Korff 2003)"},"properties":{"noteIndex":0},"schema":"https://github.com/citation-style-language/schema/raw/master/csl-citation.json"}</w:instrText>
            </w:r>
            <w:r>
              <w:rPr>
                <w:lang w:val="en-US"/>
              </w:rPr>
              <w:fldChar w:fldCharType="separate"/>
            </w:r>
            <w:r w:rsidRPr="00BE7759">
              <w:rPr>
                <w:noProof/>
                <w:lang w:val="en-US"/>
              </w:rPr>
              <w:t>(Chwastiak &amp; Von Korff 2003)</w:t>
            </w:r>
            <w:r>
              <w:rPr>
                <w:lang w:val="en-US"/>
              </w:rPr>
              <w:fldChar w:fldCharType="end"/>
            </w:r>
            <w:r>
              <w:rPr>
                <w:lang w:val="en-US"/>
              </w:rPr>
              <w:t>.</w:t>
            </w:r>
          </w:p>
        </w:tc>
      </w:tr>
      <w:tr w:rsidR="006F7EB3" w:rsidRPr="0049111F" w14:paraId="2F60BE85" w14:textId="77777777" w:rsidTr="006F7EB3">
        <w:tc>
          <w:tcPr>
            <w:tcW w:w="2802" w:type="dxa"/>
          </w:tcPr>
          <w:p w14:paraId="752B33AD" w14:textId="77777777" w:rsidR="006F7EB3" w:rsidRPr="00AA4D04" w:rsidRDefault="006F7EB3" w:rsidP="006F7EB3">
            <w:pPr>
              <w:pStyle w:val="Geenafstand"/>
              <w:spacing w:line="480" w:lineRule="auto"/>
              <w:rPr>
                <w:lang w:val="en-US"/>
              </w:rPr>
            </w:pPr>
            <w:r>
              <w:rPr>
                <w:lang w:val="en-US"/>
              </w:rPr>
              <w:t xml:space="preserve">Diagnostic </w:t>
            </w:r>
            <w:r w:rsidRPr="00AA4D04">
              <w:rPr>
                <w:lang w:val="en-US"/>
              </w:rPr>
              <w:t>procedure</w:t>
            </w:r>
          </w:p>
          <w:p w14:paraId="156A5FD3" w14:textId="77777777" w:rsidR="006F7EB3" w:rsidRDefault="006F7EB3" w:rsidP="006F7EB3">
            <w:pPr>
              <w:pStyle w:val="Geenafstand"/>
              <w:spacing w:line="480" w:lineRule="auto"/>
              <w:rPr>
                <w:lang w:val="en-US"/>
              </w:rPr>
            </w:pPr>
            <w:r w:rsidRPr="00AA4D04">
              <w:rPr>
                <w:lang w:val="en-US"/>
              </w:rPr>
              <w:t>(standard clinical procedure</w:t>
            </w:r>
            <w:r>
              <w:rPr>
                <w:lang w:val="en-US"/>
              </w:rPr>
              <w:t>)</w:t>
            </w:r>
          </w:p>
        </w:tc>
        <w:tc>
          <w:tcPr>
            <w:tcW w:w="12361" w:type="dxa"/>
          </w:tcPr>
          <w:p w14:paraId="2CEAD9C6" w14:textId="77777777" w:rsidR="006F7EB3" w:rsidRDefault="006F7EB3" w:rsidP="006F7EB3">
            <w:pPr>
              <w:pStyle w:val="Geenafstand"/>
              <w:spacing w:line="480" w:lineRule="auto"/>
              <w:rPr>
                <w:lang w:val="en-US"/>
              </w:rPr>
            </w:pPr>
            <w:r w:rsidRPr="00D709FF">
              <w:rPr>
                <w:b/>
                <w:lang w:val="en-US"/>
              </w:rPr>
              <w:t>Sections A, B, C, D and F of the Structured Clinical Interview for DSM-IV Axis I Disorders</w:t>
            </w:r>
            <w:r>
              <w:rPr>
                <w:lang w:val="en-US"/>
              </w:rPr>
              <w:t xml:space="preserve"> </w:t>
            </w:r>
            <w:r>
              <w:rPr>
                <w:lang w:val="en-US"/>
              </w:rPr>
              <w:fldChar w:fldCharType="begin" w:fldLock="1"/>
            </w:r>
            <w:r>
              <w:rPr>
                <w:lang w:val="en-US"/>
              </w:rPr>
              <w:instrText>ADDIN CSL_CITATION {"citationItems":[{"id":"ITEM-1","itemData":{"abstract":"First, M. B., Spitzer, R. L., Gibbon, M., &amp; Williams, J. B. W. (1996). Structured clinical interview for DSM-IV axis I disorders research version (SCID-I). New York, NY: Biometrics Research, New York State Psychiatric Institute.","author":[{"dropping-particle":"","family":"First","given":"M. B.","non-dropping-particle":"","parse-names":false,"suffix":""},{"dropping-particle":"","family":"Spitzer","given":"R. L.","non-dropping-particle":"","parse-names":false,"suffix":""},{"dropping-particle":"","family":"Gibbon","given":"M.","non-dropping-particle":"","parse-names":false,"suffix":""},{"dropping-particle":"","family":"Williams","given":"J. B. W.","non-dropping-particle":"","parse-names":false,"suffix":""}],"id":"ITEM-1","issued":{"date-parts":[["1996"]]},"title":"Structured clinical interview for DSM-IV axis I disorders research version (SCID-I).","type":"article-journal"},"uris":["http://www.mendeley.com/documents/?uuid=ca369a19-ccbf-482f-a3bf-7d313c11c0a5"]}],"mendeley":{"formattedCitation":"(First &lt;i&gt;et al.&lt;/i&gt; 1996)","manualFormatting":"(First et al. 1996)","plainTextFormattedCitation":"(First et al. 1996)","previouslyFormattedCitation":"(First &lt;i&gt;et al.&lt;/i&gt; 1996)"},"properties":{"noteIndex":0},"schema":"https://github.com/citation-style-language/schema/raw/master/csl-citation.json"}</w:instrText>
            </w:r>
            <w:r>
              <w:rPr>
                <w:lang w:val="en-US"/>
              </w:rPr>
              <w:fldChar w:fldCharType="separate"/>
            </w:r>
            <w:r w:rsidRPr="00BE7759">
              <w:rPr>
                <w:noProof/>
                <w:lang w:val="en-US"/>
              </w:rPr>
              <w:t>(First</w:t>
            </w:r>
            <w:r>
              <w:rPr>
                <w:noProof/>
                <w:lang w:val="en-US"/>
              </w:rPr>
              <w:t xml:space="preserve"> </w:t>
            </w:r>
            <w:r>
              <w:rPr>
                <w:i/>
                <w:iCs/>
                <w:noProof/>
                <w:lang w:val="en-US"/>
              </w:rPr>
              <w:t>et al.</w:t>
            </w:r>
            <w:r w:rsidRPr="00BE7759">
              <w:rPr>
                <w:noProof/>
                <w:lang w:val="en-US"/>
              </w:rPr>
              <w:t xml:space="preserve"> 1996)</w:t>
            </w:r>
            <w:r>
              <w:rPr>
                <w:lang w:val="en-US"/>
              </w:rPr>
              <w:fldChar w:fldCharType="end"/>
            </w:r>
          </w:p>
          <w:p w14:paraId="48B15CA4" w14:textId="77777777" w:rsidR="006F7EB3" w:rsidRDefault="006F7EB3" w:rsidP="006F7EB3">
            <w:pPr>
              <w:pStyle w:val="Geenafstand"/>
              <w:spacing w:line="480" w:lineRule="auto"/>
              <w:rPr>
                <w:lang w:val="en-US"/>
              </w:rPr>
            </w:pPr>
            <w:r w:rsidRPr="00D709FF">
              <w:rPr>
                <w:b/>
                <w:lang w:val="en-US"/>
              </w:rPr>
              <w:t>Subsections 1, 3, 4, 9 and Q1 of the Measurements in the Addictions for Triage and Evaluation and criminality</w:t>
            </w:r>
            <w:r w:rsidRPr="005B0A15">
              <w:rPr>
                <w:lang w:val="en-US"/>
              </w:rPr>
              <w:t xml:space="preserve"> </w:t>
            </w:r>
            <w:r>
              <w:rPr>
                <w:lang w:val="en-US"/>
              </w:rPr>
              <w:fldChar w:fldCharType="begin" w:fldLock="1"/>
            </w:r>
            <w:r>
              <w:rPr>
                <w:lang w:val="en-US"/>
              </w:rPr>
              <w:instrText>ADDIN CSL_CITATION {"citationItems":[{"id":"ITEM-1","itemData":{"abstract":"Schippers, G., Broekman, T., &amp; Buchholz, A. (2011). MATE 2.1. Manual and protocol. bêta boeken.","author":[{"dropping-particle":"","family":"Schippers","given":"G.","non-dropping-particle":"","parse-names":false,"suffix":""},{"dropping-particle":"","family":"Broekman","given":"T.","non-dropping-particle":"","parse-names":false,"suffix":""},{"dropping-particle":"","family":"Buchholz","given":"A.","non-dropping-particle":"","parse-names":false,"suffix":""}],"id":"ITEM-1","issued":{"date-parts":[["2011"]]},"title":"MATE 2.1. Manual and protocol.","type":"article-journal"},"uris":["http://www.mendeley.com/documents/?uuid=f38e71c4-bbaf-433c-b188-500f51ec4c0a"]}],"mendeley":{"formattedCitation":"(Schippers &lt;i&gt;et al.&lt;/i&gt; 2011)","manualFormatting":"(Schippers et al. 2011)","plainTextFormattedCitation":"(Schippers et al. 2011)","previouslyFormattedCitation":"(Schippers &lt;i&gt;et al.&lt;/i&gt; 2011)"},"properties":{"noteIndex":0},"schema":"https://github.com/citation-style-language/schema/raw/master/csl-citation.json"}</w:instrText>
            </w:r>
            <w:r>
              <w:rPr>
                <w:lang w:val="en-US"/>
              </w:rPr>
              <w:fldChar w:fldCharType="separate"/>
            </w:r>
            <w:r w:rsidRPr="00F80EEF">
              <w:rPr>
                <w:noProof/>
                <w:lang w:val="en-US"/>
              </w:rPr>
              <w:t>(Schippers</w:t>
            </w:r>
            <w:r>
              <w:rPr>
                <w:noProof/>
                <w:lang w:val="en-US"/>
              </w:rPr>
              <w:t xml:space="preserve"> </w:t>
            </w:r>
            <w:r>
              <w:rPr>
                <w:i/>
                <w:iCs/>
                <w:noProof/>
                <w:lang w:val="en-US"/>
              </w:rPr>
              <w:t>et al.</w:t>
            </w:r>
            <w:r w:rsidRPr="00F80EEF">
              <w:rPr>
                <w:noProof/>
                <w:lang w:val="en-US"/>
              </w:rPr>
              <w:t xml:space="preserve"> 2011)</w:t>
            </w:r>
            <w:r>
              <w:rPr>
                <w:lang w:val="en-US"/>
              </w:rPr>
              <w:fldChar w:fldCharType="end"/>
            </w:r>
            <w:r>
              <w:rPr>
                <w:lang w:val="en-US"/>
              </w:rPr>
              <w:t>,</w:t>
            </w:r>
          </w:p>
          <w:p w14:paraId="573BE601" w14:textId="77777777" w:rsidR="006F7EB3" w:rsidRPr="00AA4D04" w:rsidRDefault="006F7EB3" w:rsidP="006F7EB3">
            <w:pPr>
              <w:pStyle w:val="Geenafstand"/>
              <w:spacing w:line="480" w:lineRule="auto"/>
              <w:rPr>
                <w:lang w:val="en-US"/>
              </w:rPr>
            </w:pPr>
            <w:r>
              <w:rPr>
                <w:lang w:val="en-US"/>
              </w:rPr>
              <w:t>P</w:t>
            </w:r>
            <w:r w:rsidRPr="005B0A15">
              <w:rPr>
                <w:lang w:val="en-US"/>
              </w:rPr>
              <w:t>resence of somatic diseases</w:t>
            </w:r>
            <w:r>
              <w:rPr>
                <w:lang w:val="en-US"/>
              </w:rPr>
              <w:t xml:space="preserve"> </w:t>
            </w:r>
            <w:r>
              <w:rPr>
                <w:lang w:val="en-US"/>
              </w:rPr>
              <w:fldChar w:fldCharType="begin" w:fldLock="1"/>
            </w:r>
            <w:r>
              <w:rPr>
                <w:lang w:val="en-US"/>
              </w:rPr>
              <w:instrText>ADDIN CSL_CITATION {"citationItems":[{"id":"ITEM-1","itemData":{"DOI":"10.1016/S0895-4356(96)00274-0","ISSN":"0895-4356","abstract":"Object. The object of the study is to investigate the (in)accuracy of patients' self-reports, as compared with general practitioners' information, regarding the presence of specific chronic diseases, and the influence of patient characteristics. Methods. Questionnaire data of 2380 community-dwelling elderly patients, aged 55–85 years, on the presence of chronic non-specific lung disease, cardiac disease, peripheral atherosclerosis, stroke, diabetes, malignancies, and osteoarthritis/rheumatoid arthritis were compared with data from the general practitioners, using the kappa-statistic. Associations between the accuracy of self-reports and patient characteristics were studied by multiple logistic regression analyses. Results. Kappa's ranged from 0.30 to 0.40 for osteoarthritis/rheumatoid arthritis and atherosclerosis, to 0.85 for diabetes mellitus. In the multivariate analyses, educational level, level of urbanization, deviations in cognitive function, and depressive symptomatology had no influence on the level of accuracy. An influence of gender, age, mobility limitations, and recent contact with the general practitioner was shown for specific diseases. For chronic non-specific lung disease, both “underreporting” and “overreporting” are more prevalent in males, compared to females. Furthermore, males tend to overreport stroke and underreport malignancies and arthritis, whereas females tend to overreport malignancies and arthritis. Both overreporting and underreporting of cardiac disease are more prevalent as people are older. Also, older age is associated with overreporting of stroke, and with underreporting of arthritis. The self-reported presence of mobility limitations is associated with overreporting of all specific diseases studied, except for diabetes mellitus, and its absence is associated with underreporting, except for diabetes mellitus and atherosclerosis. Recent contact with the general practitioner is associated with overreporting of cardiac disease, atherosclerosis, malignancies and arthritis, and with less frequent underreporting of diabetes and arthritis. Conclusions. Results suggest that patients' self-reports on selected chronic diseases are fairly accurate, with the exceptions of atherosclerosis and arthritis. The associations found with certain patient characteristics may be explained by the tendency of patients to label symptoms, denial by the patient, or inaccuracy of medical records.","author":[{"dropping-particle":"","family":"Kriegsman","given":"Didi M.W.","non-dropping-particle":"","parse-names":false,"suffix":""},{"dropping-particle":"","family":"Penninx","given":"Brenda W.J.H.","non-dropping-particle":"","parse-names":false,"suffix":""},{"dropping-particle":"","family":"Eijk","given":"Jacques Th.M.","non-dropping-particle":"Van","parse-names":false,"suffix":""},{"dropping-particle":"","family":"Boeke","given":"A.Joan P.","non-dropping-particle":"","parse-names":false,"suffix":""},{"dropping-particle":"","family":"Deeg","given":"Dorly J.H.","non-dropping-particle":"","parse-names":false,"suffix":""}],"container-title":"Journal of Clinical Epidemiology","id":"ITEM-1","issue":"12","issued":{"date-parts":[["1996","12","1"]]},"page":"1407-1417","title":"Self-reports and general practitioner information on the presence of chronic diseases in community dwelling elderly: A study on the accuracy of patients' self-reports and on determinants of inaccuracy","type":"article-journal","volume":"49"},"uris":["http://www.mendeley.com/documents/?uuid=40b7392d-5a7f-3b76-a923-f671687ba51e"]}],"mendeley":{"formattedCitation":"(Kriegsman &lt;i&gt;et al.&lt;/i&gt; 1996)","plainTextFormattedCitation":"(Kriegsman et al. 1996)","previouslyFormattedCitation":"(Kriegsman &lt;i&gt;et al.&lt;/i&gt; 1996)"},"properties":{"noteIndex":0},"schema":"https://github.com/citation-style-language/schema/raw/master/csl-citation.json"}</w:instrText>
            </w:r>
            <w:r>
              <w:rPr>
                <w:lang w:val="en-US"/>
              </w:rPr>
              <w:fldChar w:fldCharType="separate"/>
            </w:r>
            <w:r w:rsidRPr="00BE7759">
              <w:rPr>
                <w:noProof/>
                <w:lang w:val="en-US"/>
              </w:rPr>
              <w:t xml:space="preserve">(Kriegsman </w:t>
            </w:r>
            <w:r w:rsidRPr="00BE7759">
              <w:rPr>
                <w:i/>
                <w:noProof/>
                <w:lang w:val="en-US"/>
              </w:rPr>
              <w:t>et al.</w:t>
            </w:r>
            <w:r w:rsidRPr="00BE7759">
              <w:rPr>
                <w:noProof/>
                <w:lang w:val="en-US"/>
              </w:rPr>
              <w:t xml:space="preserve"> 1996)</w:t>
            </w:r>
            <w:r>
              <w:rPr>
                <w:lang w:val="en-US"/>
              </w:rPr>
              <w:fldChar w:fldCharType="end"/>
            </w:r>
          </w:p>
          <w:p w14:paraId="2FF399D1" w14:textId="77777777" w:rsidR="006F7EB3" w:rsidRDefault="006F7EB3" w:rsidP="006F7EB3">
            <w:pPr>
              <w:pStyle w:val="Geenafstand"/>
              <w:spacing w:line="480" w:lineRule="auto"/>
              <w:rPr>
                <w:lang w:val="en-US"/>
              </w:rPr>
            </w:pPr>
            <w:r w:rsidRPr="00336942">
              <w:rPr>
                <w:u w:val="single"/>
                <w:lang w:val="en-US"/>
              </w:rPr>
              <w:t>Blood samples:</w:t>
            </w:r>
            <w:r w:rsidRPr="00AA4D04">
              <w:rPr>
                <w:lang w:val="en-US"/>
              </w:rPr>
              <w:t xml:space="preserve"> </w:t>
            </w:r>
            <w:r>
              <w:rPr>
                <w:lang w:val="en-US"/>
              </w:rPr>
              <w:t>a</w:t>
            </w:r>
            <w:r w:rsidRPr="00336942">
              <w:rPr>
                <w:lang w:val="en-US"/>
              </w:rPr>
              <w:t>ssays included albumin, creatini</w:t>
            </w:r>
            <w:r>
              <w:rPr>
                <w:lang w:val="en-US"/>
              </w:rPr>
              <w:t>ne, gene expression (DNA, RNA, e</w:t>
            </w:r>
            <w:r w:rsidRPr="00336942">
              <w:rPr>
                <w:lang w:val="en-US"/>
              </w:rPr>
              <w:t>pigenetics), glucose level, HDL &amp; LDL cholesterol, hemoglobin, hematocrit, inflammatory markers, kidney function, liver function, thyroid function and triglycerides.</w:t>
            </w:r>
          </w:p>
        </w:tc>
      </w:tr>
    </w:tbl>
    <w:p w14:paraId="31F5E6F1" w14:textId="75374A29" w:rsidR="006F7EB3" w:rsidRPr="001F7896" w:rsidRDefault="006F7EB3">
      <w:pPr>
        <w:rPr>
          <w:lang w:val="en-US"/>
        </w:rPr>
      </w:pPr>
    </w:p>
    <w:p w14:paraId="197F7DF9" w14:textId="64B77BD9" w:rsidR="006F7EB3" w:rsidRDefault="006F7EB3">
      <w:pPr>
        <w:rPr>
          <w:lang w:val="en-US"/>
        </w:rPr>
      </w:pPr>
    </w:p>
    <w:p w14:paraId="6E170DE5" w14:textId="70322442" w:rsidR="00615D05" w:rsidRDefault="00615D05">
      <w:pPr>
        <w:rPr>
          <w:lang w:val="en-US"/>
        </w:rPr>
      </w:pPr>
    </w:p>
    <w:p w14:paraId="4EA5E7FE" w14:textId="5CE0E32B" w:rsidR="00615D05" w:rsidRDefault="00615D05">
      <w:pPr>
        <w:rPr>
          <w:lang w:val="en-US"/>
        </w:rPr>
      </w:pPr>
    </w:p>
    <w:tbl>
      <w:tblPr>
        <w:tblStyle w:val="Tabelraster"/>
        <w:tblpPr w:leftFromText="141" w:rightFromText="141" w:vertAnchor="text" w:horzAnchor="margin" w:tblpY="144"/>
        <w:tblW w:w="15163" w:type="dxa"/>
        <w:tblLook w:val="04A0" w:firstRow="1" w:lastRow="0" w:firstColumn="1" w:lastColumn="0" w:noHBand="0" w:noVBand="1"/>
      </w:tblPr>
      <w:tblGrid>
        <w:gridCol w:w="2802"/>
        <w:gridCol w:w="12361"/>
      </w:tblGrid>
      <w:tr w:rsidR="00615D05" w:rsidRPr="0049111F" w14:paraId="766A25E5" w14:textId="77777777" w:rsidTr="00615D05">
        <w:tc>
          <w:tcPr>
            <w:tcW w:w="2802" w:type="dxa"/>
          </w:tcPr>
          <w:p w14:paraId="6D97FB5C" w14:textId="250625F5" w:rsidR="00615D05" w:rsidRDefault="00615D05" w:rsidP="00615D05">
            <w:pPr>
              <w:pStyle w:val="Geenafstand"/>
              <w:spacing w:line="480" w:lineRule="auto"/>
              <w:rPr>
                <w:lang w:val="en-US"/>
              </w:rPr>
            </w:pPr>
            <w:r w:rsidRPr="003466DB">
              <w:rPr>
                <w:lang w:val="en-US"/>
              </w:rPr>
              <w:t>Neuropsychological assessment</w:t>
            </w:r>
            <w:r w:rsidR="00460888" w:rsidRPr="003466DB">
              <w:rPr>
                <w:lang w:val="en-US"/>
              </w:rPr>
              <w:t xml:space="preserve"> (at the Department of Psychiatry, Radboudumc)</w:t>
            </w:r>
          </w:p>
        </w:tc>
        <w:tc>
          <w:tcPr>
            <w:tcW w:w="12361" w:type="dxa"/>
          </w:tcPr>
          <w:p w14:paraId="7A92D960" w14:textId="77777777" w:rsidR="00615D05" w:rsidRPr="00AA4D04" w:rsidRDefault="00615D05" w:rsidP="00615D05">
            <w:pPr>
              <w:pStyle w:val="Geenafstand"/>
              <w:spacing w:line="480" w:lineRule="auto"/>
              <w:rPr>
                <w:lang w:val="en-US"/>
              </w:rPr>
            </w:pPr>
            <w:r w:rsidRPr="005B0A15">
              <w:rPr>
                <w:u w:val="single"/>
                <w:lang w:val="en-US"/>
              </w:rPr>
              <w:t>Tasks:</w:t>
            </w:r>
            <w:r w:rsidRPr="00AA4D04">
              <w:rPr>
                <w:lang w:val="en-US"/>
              </w:rPr>
              <w:t xml:space="preserve"> self-referent encodin</w:t>
            </w:r>
            <w:r>
              <w:rPr>
                <w:lang w:val="en-US"/>
              </w:rPr>
              <w:t xml:space="preserve">g task </w:t>
            </w:r>
            <w:r>
              <w:rPr>
                <w:lang w:val="en-US"/>
              </w:rPr>
              <w:fldChar w:fldCharType="begin" w:fldLock="1"/>
            </w:r>
            <w:r>
              <w:rPr>
                <w:lang w:val="en-US"/>
              </w:rPr>
              <w:instrText>ADDIN CSL_CITATION {"citationItems":[{"id":"ITEM-1","itemData":{"DOI":"10.1016/0022-0965(84)90079-1","ISSN":"0022-0965","abstract":"Recent research in information processing has yielded evidence supporting the self-as-schema model with adults. Further self-schema research with depressed and nondepressed persons has suggested the existence of negative self-schemas in depression, lending support to a content-specificity self-schema model. The present studies were designed to investigate the applicability of the self-as-schema model to children and to examine the extent of negative self-schemas in relatively depressed children. A depth-of-processing incidental recall memory paradigm was employed with two groups of normal third- to sixth-grade children. Results supported the self-as-schema model as applied to children, even the youngest group, by indicating superior recall for words encoded under self-reference instructions, compared to semantic or structural orienting instructions. The content-specificity hypotheses were tested with relatively depressed and nondepressed children, and were supported only for the nondepressed children, who recalled mostly positive content words. The relatively depressed children did not demonstrate content specificity in their recall, showing a more “confused” pattern, and the results were discussed in terms of a developmental model of acquisition of depression vulnerability requiring repeated depressive experiences over time. Although the results were consistent with a self-schema approach, current controversies over the implications of depth-of-processing methods require further research to clarify mechanisms of enhanced self-reference recall.","author":[{"dropping-particle":"","family":"Hammen","given":"Constance","non-dropping-particle":"","parse-names":false,"suffix":""},{"dropping-particle":"","family":"Zupan","given":"Brian A.","non-dropping-particle":"","parse-names":false,"suffix":""}],"container-title":"Journal of Experimental Child Psychology","id":"ITEM-1","issue":"3","issued":{"date-parts":[["1984","6","1"]]},"page":"598-608","title":"Self-schemas, depression, and the processing of personal information in children","type":"article-journal","volume":"37"},"uris":["http://www.mendeley.com/documents/?uuid=53223c7a-ab4e-306e-be47-9ce98d6dc96b"]}],"mendeley":{"formattedCitation":"(Hammen &amp; Zupan 1984)","plainTextFormattedCitation":"(Hammen &amp; Zupan 1984)","previouslyFormattedCitation":"(Hammen &amp; Zupan 1984)"},"properties":{"noteIndex":0},"schema":"https://github.com/citation-style-language/schema/raw/master/csl-citation.json"}</w:instrText>
            </w:r>
            <w:r>
              <w:rPr>
                <w:lang w:val="en-US"/>
              </w:rPr>
              <w:fldChar w:fldCharType="separate"/>
            </w:r>
            <w:r w:rsidRPr="00BE7759">
              <w:rPr>
                <w:noProof/>
                <w:lang w:val="en-US"/>
              </w:rPr>
              <w:t>(Hammen &amp; Zupan 1984)</w:t>
            </w:r>
            <w:r>
              <w:rPr>
                <w:lang w:val="en-US"/>
              </w:rPr>
              <w:fldChar w:fldCharType="end"/>
            </w:r>
            <w:r>
              <w:rPr>
                <w:lang w:val="en-US"/>
              </w:rPr>
              <w:t xml:space="preserve">, </w:t>
            </w:r>
            <w:r w:rsidRPr="00AA4D04">
              <w:rPr>
                <w:lang w:val="en-US"/>
              </w:rPr>
              <w:t xml:space="preserve">the alertness, go no-go and incompatibility tasks of the </w:t>
            </w:r>
            <w:r w:rsidRPr="005B0A15">
              <w:rPr>
                <w:lang w:val="en-US"/>
              </w:rPr>
              <w:t xml:space="preserve">normed </w:t>
            </w:r>
            <w:r w:rsidRPr="003C6497">
              <w:rPr>
                <w:lang w:val="en-US"/>
              </w:rPr>
              <w:t xml:space="preserve">Tests for Attentional Performance </w:t>
            </w:r>
            <w:r w:rsidRPr="005B0A15">
              <w:rPr>
                <w:lang w:val="en-US"/>
              </w:rPr>
              <w:t>Version 2.3 (TAP 2.3</w:t>
            </w:r>
            <w:r>
              <w:rPr>
                <w:lang w:val="en-US"/>
              </w:rPr>
              <w:t xml:space="preserve"> </w:t>
            </w:r>
            <w:r>
              <w:rPr>
                <w:lang w:val="en-US"/>
              </w:rPr>
              <w:fldChar w:fldCharType="begin" w:fldLock="1"/>
            </w:r>
            <w:r>
              <w:rPr>
                <w:lang w:val="en-US"/>
              </w:rPr>
              <w:instrText>ADDIN CSL_CITATION {"citationItems":[{"id":"ITEM-1","itemData":{"DOI":"10.4324/9780203307014-12","author":[{"dropping-particle":"","family":"Zimmermann","given":"P","non-dropping-particle":"","parse-names":false,"suffix":""},{"dropping-particle":"","family":"Fimm","given":"B","non-dropping-particle":"","parse-names":false,"suffix":""}],"container-title":"Applied Neuropsychology of Attention Theory, Diagnosis and Rehabilitation","id":"ITEM-1","issued":{"date-parts":[["2002","8","2"]]},"page":"124-165","publisher":"Psychology Press","title":"A test battery for attentional performance","type":"chapter"},"uris":["http://www.mendeley.com/documents/?uuid=6c143c05-d4c3-382e-b566-1aedb87cc079"]}],"mendeley":{"formattedCitation":"(Zimmermann &amp; Fimm 2002)","plainTextFormattedCitation":"(Zimmermann &amp; Fimm 2002)","previouslyFormattedCitation":"(Zimmermann &amp; Fimm 2002)"},"properties":{"noteIndex":0},"schema":"https://github.com/citation-style-language/schema/raw/master/csl-citation.json"}</w:instrText>
            </w:r>
            <w:r>
              <w:rPr>
                <w:lang w:val="en-US"/>
              </w:rPr>
              <w:fldChar w:fldCharType="separate"/>
            </w:r>
            <w:r w:rsidRPr="00BE7759">
              <w:rPr>
                <w:noProof/>
                <w:lang w:val="en-US"/>
              </w:rPr>
              <w:t>(Zimmermann &amp; Fimm 2002)</w:t>
            </w:r>
            <w:r>
              <w:rPr>
                <w:lang w:val="en-US"/>
              </w:rPr>
              <w:fldChar w:fldCharType="end"/>
            </w:r>
            <w:r w:rsidRPr="00AA4D04">
              <w:rPr>
                <w:lang w:val="en-US"/>
              </w:rPr>
              <w:t xml:space="preserve">, </w:t>
            </w:r>
            <w:r w:rsidRPr="007A5E28">
              <w:rPr>
                <w:b/>
                <w:lang w:val="en-US"/>
              </w:rPr>
              <w:t>Dutch reading test</w:t>
            </w:r>
            <w:r w:rsidRPr="00AA4D04">
              <w:rPr>
                <w:lang w:val="en-US"/>
              </w:rPr>
              <w:t xml:space="preserve"> (National Adult Reading Test score (NART),</w:t>
            </w:r>
            <w:r>
              <w:rPr>
                <w:lang w:val="en-US"/>
              </w:rPr>
              <w:t xml:space="preserve"> </w:t>
            </w:r>
            <w:r w:rsidRPr="00AA4D04">
              <w:rPr>
                <w:lang w:val="en-US"/>
              </w:rPr>
              <w:t>Dutch v</w:t>
            </w:r>
            <w:r>
              <w:rPr>
                <w:lang w:val="en-US"/>
              </w:rPr>
              <w:t xml:space="preserve">ersion, </w:t>
            </w:r>
            <w:r>
              <w:rPr>
                <w:lang w:val="en-US"/>
              </w:rPr>
              <w:fldChar w:fldCharType="begin" w:fldLock="1"/>
            </w:r>
            <w:r>
              <w:rPr>
                <w:lang w:val="en-US"/>
              </w:rPr>
              <w:instrText>ADDIN CSL_CITATION {"citationItems":[{"id":"ITEM-1","itemData":{"abstract":"Schmand B, Lindeboom J, Van Harskamp F (1992) De nederlandse leestest voor volwassenen. [the dutch adult reading test.]. Lisse, The Netherlands: Swets &amp; Zeitlinger.","author":[{"dropping-particle":"","family":"Schmand","given":"B","non-dropping-particle":"","parse-names":false,"suffix":""},{"dropping-particle":"","family":"Lindeboom","given":"J","non-dropping-particle":"","parse-names":false,"suffix":""},{"dropping-particle":"","family":"Harskamp","given":"F","non-dropping-particle":"Van","parse-names":false,"suffix":""}],"id":"ITEM-1","issued":{"date-parts":[["1992"]]},"title":"De nederlandse leestest voor volwassenen. [the dutch adult reading test.]","type":"article-journal"},"uris":["http://www.mendeley.com/documents/?uuid=e33e324e-7da3-4a2e-b094-90d256a1f68a"]}],"mendeley":{"formattedCitation":"(Schmand &lt;i&gt;et al.&lt;/i&gt; 1992)","manualFormatting":"Schmand et al. 1992","plainTextFormattedCitation":"(Schmand et al. 1992)","previouslyFormattedCitation":"(Schmand &lt;i&gt;et al.&lt;/i&gt; 1992)"},"properties":{"noteIndex":0},"schema":"https://github.com/citation-style-language/schema/raw/master/csl-citation.json"}</w:instrText>
            </w:r>
            <w:r>
              <w:rPr>
                <w:lang w:val="en-US"/>
              </w:rPr>
              <w:fldChar w:fldCharType="separate"/>
            </w:r>
            <w:r w:rsidRPr="00BE7759">
              <w:rPr>
                <w:noProof/>
                <w:lang w:val="en-US"/>
              </w:rPr>
              <w:t xml:space="preserve">Schmand </w:t>
            </w:r>
            <w:r w:rsidRPr="00BE7759">
              <w:rPr>
                <w:i/>
                <w:noProof/>
                <w:lang w:val="en-US"/>
              </w:rPr>
              <w:t>et al.</w:t>
            </w:r>
            <w:r w:rsidRPr="00BE7759">
              <w:rPr>
                <w:noProof/>
                <w:lang w:val="en-US"/>
              </w:rPr>
              <w:t xml:space="preserve"> 1992</w:t>
            </w:r>
            <w:r>
              <w:rPr>
                <w:lang w:val="en-US"/>
              </w:rPr>
              <w:fldChar w:fldCharType="end"/>
            </w:r>
            <w:r>
              <w:rPr>
                <w:lang w:val="en-US"/>
              </w:rPr>
              <w:t xml:space="preserve">), </w:t>
            </w:r>
            <w:r w:rsidRPr="007A5E28">
              <w:rPr>
                <w:b/>
                <w:lang w:val="en-US"/>
              </w:rPr>
              <w:t>the probabilistic reversal learning task</w:t>
            </w:r>
            <w:r>
              <w:rPr>
                <w:lang w:val="en-US"/>
              </w:rPr>
              <w:t xml:space="preserve"> </w:t>
            </w:r>
            <w:r>
              <w:rPr>
                <w:lang w:val="en-US"/>
              </w:rPr>
              <w:fldChar w:fldCharType="begin" w:fldLock="1"/>
            </w:r>
            <w:r>
              <w:rPr>
                <w:lang w:val="en-US"/>
              </w:rPr>
              <w:instrText>ADDIN CSL_CITATION {"citationItems":[{"id":"ITEM-1","itemData":{"DOI":"10.1016/J.NEURON.2013.08.030","ISSN":"0896-6273","abstract":"Serotonin and dopamine are speculated to subserve motivationally opponent functions, but this hypothesis has not been directly tested. We studied the role of these neurotransmitters in probabilistic reversal learning in nearly 700 individuals as a function of two polymorphisms in the genes encoding the serotonin and dopamine transporters (SERT: 5HTTLPR plus rs25531; DAT1 3′UTR VNTR). A double dissociation was observed. The SERT polymorphism altered behavioral adaptation after losses, with increased lose-shift associated with L′ homozygosity, while leaving unaffected perseveration after reversal. In contrast, the DAT1 genotype affected the influence of prior choices on perseveration, while leaving lose-shifting unaltered. A model of reinforcement learning captured the dose-dependent effect of DAT1 genotype, such that an increasing number of 9R-alleles resulted in a stronger reliance on previous experience and therefore reluctance to update learned associations. These data provide direct evidence for doubly dissociable effects of serotonin and dopamine systems.","author":[{"dropping-particle":"","family":"Ouden","given":"Hanneke E.M.","non-dropping-particle":"den","parse-names":false,"suffix":""},{"dropping-particle":"","family":"Daw","given":"Nathaniel D.","non-dropping-particle":"","parse-names":false,"suffix":""},{"dropping-particle":"","family":"Fernandez","given":"Guillén","non-dropping-particle":"","parse-names":false,"suffix":""},{"dropping-particle":"","family":"Elshout","given":"Joris A.","non-dropping-particle":"","parse-names":false,"suffix":""},{"dropping-particle":"","family":"Rijpkema","given":"Mark","non-dropping-particle":"","parse-names":false,"suffix":""},{"dropping-particle":"","family":"Hoogman","given":"Martine","non-dropping-particle":"","parse-names":false,"suffix":""},{"dropping-particle":"","family":"Franke","given":"Barbara","non-dropping-particle":"","parse-names":false,"suffix":""},{"dropping-particle":"","family":"Cools","given":"Roshan","non-dropping-particle":"","parse-names":false,"suffix":""}],"container-title":"Neuron","id":"ITEM-1","issue":"4","issued":{"date-parts":[["2013","11","20"]]},"page":"1090-1100","title":"Dissociable Effects of Dopamine and Serotonin on Reversal Learning","type":"article-journal","volume":"80"},"uris":["http://www.mendeley.com/documents/?uuid=ce6e03b9-46e2-37c5-8f09-5608a5f27781"]}],"mendeley":{"formattedCitation":"(den Ouden &lt;i&gt;et al.&lt;/i&gt; 2013)","plainTextFormattedCitation":"(den Ouden et al. 2013)","previouslyFormattedCitation":"(den Ouden &lt;i&gt;et al.&lt;/i&gt; 2013)"},"properties":{"noteIndex":0},"schema":"https://github.com/citation-style-language/schema/raw/master/csl-citation.json"}</w:instrText>
            </w:r>
            <w:r>
              <w:rPr>
                <w:lang w:val="en-US"/>
              </w:rPr>
              <w:fldChar w:fldCharType="separate"/>
            </w:r>
            <w:r w:rsidRPr="00FE1C3C">
              <w:rPr>
                <w:noProof/>
                <w:lang w:val="en-US"/>
              </w:rPr>
              <w:t xml:space="preserve">(den Ouden </w:t>
            </w:r>
            <w:r w:rsidRPr="00FE1C3C">
              <w:rPr>
                <w:i/>
                <w:noProof/>
                <w:lang w:val="en-US"/>
              </w:rPr>
              <w:t>et al.</w:t>
            </w:r>
            <w:r w:rsidRPr="00FE1C3C">
              <w:rPr>
                <w:noProof/>
                <w:lang w:val="en-US"/>
              </w:rPr>
              <w:t xml:space="preserve"> 2013)</w:t>
            </w:r>
            <w:r>
              <w:rPr>
                <w:lang w:val="en-US"/>
              </w:rPr>
              <w:fldChar w:fldCharType="end"/>
            </w:r>
            <w:r>
              <w:rPr>
                <w:lang w:val="en-US"/>
              </w:rPr>
              <w:t xml:space="preserve"> </w:t>
            </w:r>
            <w:r w:rsidRPr="00AA4D04">
              <w:rPr>
                <w:lang w:val="en-US"/>
              </w:rPr>
              <w:t xml:space="preserve">the motor-screening, </w:t>
            </w:r>
            <w:r w:rsidRPr="007A5E28">
              <w:rPr>
                <w:b/>
                <w:lang w:val="en-US"/>
              </w:rPr>
              <w:t>spatial working memory</w:t>
            </w:r>
            <w:r w:rsidRPr="00AA4D04">
              <w:rPr>
                <w:lang w:val="en-US"/>
              </w:rPr>
              <w:t>, and intra-extra dimensional set shift tasks from the Cambridge Neuropsychological Test Automated Battery (CANTA</w:t>
            </w:r>
            <w:r>
              <w:rPr>
                <w:lang w:val="en-US"/>
              </w:rPr>
              <w:t xml:space="preserve">B; </w:t>
            </w:r>
            <w:r>
              <w:rPr>
                <w:lang w:val="en-US"/>
              </w:rPr>
              <w:fldChar w:fldCharType="begin" w:fldLock="1"/>
            </w:r>
            <w:r>
              <w:rPr>
                <w:lang w:val="en-US"/>
              </w:rPr>
              <w:instrText>ADDIN CSL_CITATION {"citationItems":[{"id":"ITEM-1","itemData":{"ISSN":"0141-0768","PMID":"1629849","author":[{"dropping-particle":"","family":"Sahakian","given":"B J","non-dropping-particle":"","parse-names":false,"suffix":""},{"dropping-particle":"","family":"Owen","given":"A M","non-dropping-particle":"","parse-names":false,"suffix":""}],"container-title":"Journal of the Royal Society of Medicine","id":"ITEM-1","issue":"7","issued":{"date-parts":[["1992","7"]]},"page":"399-402","title":"Computerized assessment in neuropsychiatry using CANTAB: discussion paper.","type":"article-journal","volume":"85"},"uris":["http://www.mendeley.com/documents/?uuid=bc4b26b9-3dce-3a8d-8aaf-d53e125ddb02"]}],"mendeley":{"formattedCitation":"(Sahakian &amp; Owen 1992)","manualFormatting":"Sahakian &amp; Owen 1992)","plainTextFormattedCitation":"(Sahakian &amp; Owen 1992)","previouslyFormattedCitation":"(Sahakian &amp; Owen 1992)"},"properties":{"noteIndex":0},"schema":"https://github.com/citation-style-language/schema/raw/master/csl-citation.json"}</w:instrText>
            </w:r>
            <w:r>
              <w:rPr>
                <w:lang w:val="en-US"/>
              </w:rPr>
              <w:fldChar w:fldCharType="separate"/>
            </w:r>
            <w:r w:rsidRPr="00BE7759">
              <w:rPr>
                <w:noProof/>
                <w:lang w:val="en-US"/>
              </w:rPr>
              <w:t>Sahakian &amp; Owen 1992)</w:t>
            </w:r>
            <w:r>
              <w:rPr>
                <w:lang w:val="en-US"/>
              </w:rPr>
              <w:fldChar w:fldCharType="end"/>
            </w:r>
            <w:r>
              <w:rPr>
                <w:lang w:val="en-US"/>
              </w:rPr>
              <w:t xml:space="preserve">, </w:t>
            </w:r>
            <w:r w:rsidRPr="00AA4D04">
              <w:rPr>
                <w:lang w:val="en-US"/>
              </w:rPr>
              <w:t>an attentional bias</w:t>
            </w:r>
            <w:r>
              <w:rPr>
                <w:lang w:val="en-US"/>
              </w:rPr>
              <w:t xml:space="preserve"> </w:t>
            </w:r>
            <w:r w:rsidRPr="00AA4D04">
              <w:rPr>
                <w:lang w:val="en-US"/>
              </w:rPr>
              <w:t>and emotion recognition task</w:t>
            </w:r>
            <w:r>
              <w:rPr>
                <w:lang w:val="en-US"/>
              </w:rPr>
              <w:t xml:space="preserve"> </w:t>
            </w:r>
            <w:r>
              <w:rPr>
                <w:lang w:val="en-US"/>
              </w:rPr>
              <w:fldChar w:fldCharType="begin" w:fldLock="1"/>
            </w:r>
            <w:r>
              <w:rPr>
                <w:lang w:val="en-US"/>
              </w:rPr>
              <w:instrText>ADDIN CSL_CITATION {"citationItems":[{"id":"ITEM-1","itemData":{"DOI":"10.1016/J.PSYCHRES.2014.04.002","ISSN":"0165-1781","abstract":"Cognitive theories of depression propose that depressed individuals preferentially attend to negative information and that such cognitive biases constitute important vulnerability and maintenance factors for the disorder. Most studies examined this bias by registration of response latencies. The present study employed a direct and continuous measurement of attentional processing for emotional stimuli by recording eye movements. Currently depressed (CD), remitted depressed (RD) and healthy control (HC) participants viewed slides presenting sad, angry, happy and neutral facial expressions. For each expression, four components of visual attention were analyzed: first fixation, maintained fixation, relative fixation frequency and glance duration. Results showed that healthy controls were characterized by longer gaze duration for happy faces compared to currently depressed individuals but not compared to remitted depressed individuals. Both patient groups (CD, RD) demonstrated longer maintained fixation (dwelling time) on all emotional faces compared to healthy controls. The present findings are in line with the presumption that depression is associated with a loss of elaborative processing of positive stimuli that characterizes healthy controls. Importantly, successful remission of depression (RD group) may result in positive attentional processing as no group differences were found between healthy controls and remitted patients on glance duration for happy faces.","author":[{"dropping-particle":"","family":"Isaac","given":"Linda","non-dropping-particle":"","parse-names":false,"suffix":""},{"dropping-particle":"","family":"Vrijsen","given":"Janna N.","non-dropping-particle":"","parse-names":false,"suffix":""},{"dropping-particle":"","family":"Rinck","given":"Mike","non-dropping-particle":"","parse-names":false,"suffix":""},{"dropping-particle":"","family":"Speckens","given":"Anne","non-dropping-particle":"","parse-names":false,"suffix":""},{"dropping-particle":"","family":"Becker","given":"Eni S.","non-dropping-particle":"","parse-names":false,"suffix":""}],"container-title":"Psychiatry Research","id":"ITEM-1","issue":"1-2","issued":{"date-parts":[["2014","8","15"]]},"page":"79-86","title":"Shorter gaze duration for happy faces in current but not remitted depression: Evidence from eye movements","type":"article-journal","volume":"218"},"uris":["http://www.mendeley.com/documents/?uuid=94dd3dc3-7728-304a-aad4-86789e605782"]}],"mendeley":{"formattedCitation":"(Isaac &lt;i&gt;et al.&lt;/i&gt; 2014)","plainTextFormattedCitation":"(Isaac et al. 2014)","previouslyFormattedCitation":"(Isaac &lt;i&gt;et al.&lt;/i&gt; 2014)"},"properties":{"noteIndex":0},"schema":"https://github.com/citation-style-language/schema/raw/master/csl-citation.json"}</w:instrText>
            </w:r>
            <w:r>
              <w:rPr>
                <w:lang w:val="en-US"/>
              </w:rPr>
              <w:fldChar w:fldCharType="separate"/>
            </w:r>
            <w:r w:rsidRPr="00BE7759">
              <w:rPr>
                <w:noProof/>
                <w:lang w:val="en-US"/>
              </w:rPr>
              <w:t xml:space="preserve">(Isaac </w:t>
            </w:r>
            <w:r w:rsidRPr="00BE7759">
              <w:rPr>
                <w:i/>
                <w:noProof/>
                <w:lang w:val="en-US"/>
              </w:rPr>
              <w:t>et al.</w:t>
            </w:r>
            <w:r w:rsidRPr="00BE7759">
              <w:rPr>
                <w:noProof/>
                <w:lang w:val="en-US"/>
              </w:rPr>
              <w:t xml:space="preserve"> 2014)</w:t>
            </w:r>
            <w:r>
              <w:rPr>
                <w:lang w:val="en-US"/>
              </w:rPr>
              <w:fldChar w:fldCharType="end"/>
            </w:r>
            <w:r>
              <w:rPr>
                <w:lang w:val="en-US"/>
              </w:rPr>
              <w:t xml:space="preserve"> </w:t>
            </w:r>
            <w:r w:rsidRPr="00AA4D04">
              <w:rPr>
                <w:lang w:val="en-US"/>
              </w:rPr>
              <w:t>using an eye-tracker system</w:t>
            </w:r>
          </w:p>
          <w:p w14:paraId="6EAA39E0" w14:textId="04A532FE" w:rsidR="00615D05" w:rsidRPr="00AA4D04" w:rsidRDefault="00615D05" w:rsidP="00615D05">
            <w:pPr>
              <w:pStyle w:val="Geenafstand"/>
              <w:spacing w:line="480" w:lineRule="auto"/>
              <w:rPr>
                <w:lang w:val="en-US"/>
              </w:rPr>
            </w:pPr>
            <w:r w:rsidRPr="005B0A15">
              <w:rPr>
                <w:u w:val="single"/>
                <w:lang w:val="en-US"/>
              </w:rPr>
              <w:t>Questionnaires:</w:t>
            </w:r>
            <w:r>
              <w:rPr>
                <w:lang w:val="en-US"/>
              </w:rPr>
              <w:t xml:space="preserve"> </w:t>
            </w:r>
            <w:r w:rsidRPr="00AA4D04">
              <w:rPr>
                <w:lang w:val="en-US"/>
              </w:rPr>
              <w:t xml:space="preserve">one question about the relation between self-image and the disorder, </w:t>
            </w:r>
            <w:r>
              <w:rPr>
                <w:lang w:val="en-US"/>
              </w:rPr>
              <w:t xml:space="preserve">a </w:t>
            </w:r>
            <w:r w:rsidRPr="00033766">
              <w:rPr>
                <w:lang w:val="en-US"/>
              </w:rPr>
              <w:t>food intake questionnaire</w:t>
            </w:r>
            <w:r w:rsidRPr="00AA4D04">
              <w:rPr>
                <w:lang w:val="en-US"/>
              </w:rPr>
              <w:t>, B</w:t>
            </w:r>
            <w:r w:rsidRPr="005B0A15">
              <w:rPr>
                <w:lang w:val="en-US"/>
              </w:rPr>
              <w:t>ehavior Rating Inventory of Executive Functioning –Adult version</w:t>
            </w:r>
            <w:r>
              <w:rPr>
                <w:lang w:val="en-US"/>
              </w:rPr>
              <w:t xml:space="preserve"> </w:t>
            </w:r>
            <w:r>
              <w:rPr>
                <w:lang w:val="en-US"/>
              </w:rPr>
              <w:fldChar w:fldCharType="begin" w:fldLock="1"/>
            </w:r>
            <w:r w:rsidR="00BC11EF">
              <w:rPr>
                <w:lang w:val="en-US"/>
              </w:rPr>
              <w:instrText>ADDIN CSL_CITATION {"citationItems":[{"id":"ITEM-1","itemData":{"DOI":"10.1371/journal.pone.0137628","ISSN":"1932-6203","abstract":"Although there is evidence of a distinct profile of executive dysfunction in Williams syndrome (WS), a rare genetically based neurodevelopmental disorder, the utility of informant reports of everyday executive function (EF) impairments and their relation to intelligence is not yet clear. Here we aimed to evaluate the functional impact of executive dysfunction in adults with WS and to establish the validity of child and adult versions of the most commonly used rating scale for EF assessment, the Behaviour Rating Inventory of Executive Function (BRIEF). We were also interested in whether distinct components of everyday EF relate to intelligence in WS. Parent report child (BRIEF-C) and adult (BRIEF-A) ratings were collected on 20 adults with WS (aged 18.5 to 53 years), with a mean IQ of 60.95 (SD = 17.67). Neuropsychological measures of EF included: The Shape School Test (Espy, 2007); select subdomains of EF from the Woodcock-Johnson III Tests of Cognitive Abilities, Australian Adaptation (WJ III COG); and select subdomains from the Vineland Adaptive Behaviour Scales, Second Edition—Parent Survey (Vineland-II). Results showed that the BRIEF-A, but not the BRIEF-C, was the most highly correlated with neuropsychological measures of EF, suggesting that it was a valid measure of the profile of EF impairments in adults with WS. The profile of everyday EF dysfunction revealed relative impairments in monitoring, working memory, planning and organisation in WS. In addition, both neuropsychological and rating scale measures showed an association between the shifting component of EF and intelligence. These findings indicate that the BRIEF-A is a valid measure of the multidimensional nature of real-world impairments in EF, and highlight its utility as a less labor intensive and low-cost screening tool for measuring specific EF impairments that could become the focus of targeted intervention in adults with WS.","author":[{"dropping-particle":"","family":"Hocking","given":"Darren R.","non-dropping-particle":"","parse-names":false,"suffix":""},{"dropping-particle":"","family":"Reeve","given":"Jessica","non-dropping-particle":"","parse-names":false,"suffix":""},{"dropping-particle":"","family":"Porter","given":"Melanie A.","non-dropping-particle":"","parse-names":false,"suffix":""}],"container-title":"PLOS ONE","id":"ITEM-1","issue":"9","issued":{"date-parts":[["2015","9","10"]]},"page":"e0137628","publisher":"Public Library of Science","title":"Characterising the Profile of Everyday Executive Functioning and Relation to IQ in Adults with Williams Syndrome: Is the BRIEF Adult Version a Valid Rating Scale?","type":"article-journal","volume":"10"},"uris":["http://www.mendeley.com/documents/?uuid=b522395f-c285-387c-b661-ecbed10d2311"]}],"mendeley":{"formattedCitation":"(Hocking &lt;i&gt;et al.&lt;/i&gt; 2015)","plainTextFormattedCitation":"(Hocking et al. 2015)","previouslyFormattedCitation":"(Hocking &lt;i&gt;et al.&lt;/i&gt; 2015)"},"properties":{"noteIndex":0},"schema":"https://github.com/citation-style-language/schema/raw/master/csl-citation.json"}</w:instrText>
            </w:r>
            <w:r>
              <w:rPr>
                <w:lang w:val="en-US"/>
              </w:rPr>
              <w:fldChar w:fldCharType="separate"/>
            </w:r>
            <w:r w:rsidRPr="004B51A9">
              <w:rPr>
                <w:noProof/>
                <w:lang w:val="en-US"/>
              </w:rPr>
              <w:t xml:space="preserve">(Hocking </w:t>
            </w:r>
            <w:r w:rsidRPr="004B51A9">
              <w:rPr>
                <w:i/>
                <w:noProof/>
                <w:lang w:val="en-US"/>
              </w:rPr>
              <w:t>et al.</w:t>
            </w:r>
            <w:r w:rsidRPr="004B51A9">
              <w:rPr>
                <w:noProof/>
                <w:lang w:val="en-US"/>
              </w:rPr>
              <w:t xml:space="preserve"> 2015)</w:t>
            </w:r>
            <w:r>
              <w:rPr>
                <w:lang w:val="en-US"/>
              </w:rPr>
              <w:fldChar w:fldCharType="end"/>
            </w:r>
            <w:r w:rsidRPr="00AA4D04">
              <w:rPr>
                <w:lang w:val="en-US"/>
              </w:rPr>
              <w:t>, NEMESIS</w:t>
            </w:r>
            <w:r>
              <w:rPr>
                <w:lang w:val="en-US"/>
              </w:rPr>
              <w:t>-</w:t>
            </w:r>
            <w:r w:rsidRPr="00033766">
              <w:rPr>
                <w:lang w:val="en-US"/>
              </w:rPr>
              <w:t>childhood trauma questionnaire</w:t>
            </w:r>
            <w:r>
              <w:rPr>
                <w:lang w:val="en-US"/>
              </w:rPr>
              <w:t xml:space="preserve"> </w:t>
            </w:r>
            <w:r>
              <w:rPr>
                <w:lang w:val="en-US"/>
              </w:rPr>
              <w:fldChar w:fldCharType="begin" w:fldLock="1"/>
            </w:r>
            <w:r>
              <w:rPr>
                <w:lang w:val="en-US"/>
              </w:rPr>
              <w:instrText>ADDIN CSL_CITATION {"citationItems":[{"id":"ITEM-1","itemData":{"ISBN":"9789052536637","author":[{"dropping-particle":"","family":"Graaf","given":"Ron","non-dropping-particle":"de","parse-names":false,"suffix":""},{"dropping-particle":"","family":"Have","given":"Magreet","non-dropping-particle":"ten","parse-names":false,"suffix":""},{"dropping-particle":"","family":"Dorsselaer","given":"Saskia","non-dropping-particle":"van","parse-names":false,"suffix":""}],"id":"ITEM-1","issued":{"date-parts":[["2010"]]},"title":"De psychische gezondheid van de Nederlandse bevolking NEMESIS-2: Opzet en eerste resultaten","type":"report"},"uris":["http://www.mendeley.com/documents/?uuid=f903d3ab-3ad6-33bf-8975-064f66538dca"]}],"mendeley":{"formattedCitation":"(de Graaf &lt;i&gt;et al.&lt;/i&gt; 2010)","plainTextFormattedCitation":"(de Graaf et al. 2010)","previouslyFormattedCitation":"(de Graaf &lt;i&gt;et al.&lt;/i&gt; 2010)"},"properties":{"noteIndex":0},"schema":"https://github.com/citation-style-language/schema/raw/master/csl-citation.json"}</w:instrText>
            </w:r>
            <w:r>
              <w:rPr>
                <w:lang w:val="en-US"/>
              </w:rPr>
              <w:fldChar w:fldCharType="separate"/>
            </w:r>
            <w:r w:rsidRPr="004B51A9">
              <w:rPr>
                <w:noProof/>
                <w:lang w:val="en-US"/>
              </w:rPr>
              <w:t xml:space="preserve">(de Graaf </w:t>
            </w:r>
            <w:r w:rsidRPr="004B51A9">
              <w:rPr>
                <w:i/>
                <w:noProof/>
                <w:lang w:val="en-US"/>
              </w:rPr>
              <w:t>et al.</w:t>
            </w:r>
            <w:r w:rsidRPr="004B51A9">
              <w:rPr>
                <w:noProof/>
                <w:lang w:val="en-US"/>
              </w:rPr>
              <w:t xml:space="preserve"> 2010)</w:t>
            </w:r>
            <w:r>
              <w:rPr>
                <w:lang w:val="en-US"/>
              </w:rPr>
              <w:fldChar w:fldCharType="end"/>
            </w:r>
            <w:r>
              <w:rPr>
                <w:lang w:val="en-US"/>
              </w:rPr>
              <w:t xml:space="preserve">, </w:t>
            </w:r>
            <w:r w:rsidRPr="00AA4D04">
              <w:rPr>
                <w:lang w:val="en-US"/>
              </w:rPr>
              <w:t>P</w:t>
            </w:r>
            <w:r w:rsidRPr="005B0A15">
              <w:rPr>
                <w:lang w:val="en-US"/>
              </w:rPr>
              <w:t>erseverative Thinking Questionnaire</w:t>
            </w:r>
            <w:r>
              <w:rPr>
                <w:lang w:val="en-US"/>
              </w:rPr>
              <w:t xml:space="preserve"> </w:t>
            </w:r>
            <w:r>
              <w:rPr>
                <w:lang w:val="en-US"/>
              </w:rPr>
              <w:fldChar w:fldCharType="begin" w:fldLock="1"/>
            </w:r>
            <w:r>
              <w:rPr>
                <w:lang w:val="en-US"/>
              </w:rPr>
              <w:instrText>ADDIN CSL_CITATION {"citationItems":[{"id":"ITEM-1","itemData":{"author":[{"dropping-particle":"","family":"Ehring","given":"Thomas","non-dropping-particle":"","parse-names":false,"suffix":""},{"dropping-particle":"","family":"Zetsche","given":"Ulrike","non-dropping-particle":"","parse-names":false,"suffix":""},{"dropping-particle":"","family":"Weidacker","given":"Kathrin","non-dropping-particle":"","parse-names":false,"suffix":""},{"dropping-particle":"","family":"Wahl","given":"Karina","non-dropping-particle":"","parse-names":false,"suffix":""},{"dropping-particle":"","family":"Schönfeld","given":"Sabine","non-dropping-particle":"","parse-names":false,"suffix":""},{"dropping-particle":"","family":"Ehlers","given":"Anke","non-dropping-particle":"","parse-names":false,"suffix":""}],"container-title":"Journal of Behavior Therapy and Experimental Psychiatry","id":"ITEM-1","issued":{"date-parts":[["2011"]]},"page":"225-232","title":"The Perseverative Thinking Questionnaire (PTQ): Validation of a content-independent measure of repetitive negative thinking","type":"article-journal","volume":"42"},"uris":["http://www.mendeley.com/documents/?uuid=500b4c31-52fe-4431-a244-b849db210e32"]}],"mendeley":{"formattedCitation":"(Ehring &lt;i&gt;et al.&lt;/i&gt; 2011)","plainTextFormattedCitation":"(Ehring et al. 2011)","previouslyFormattedCitation":"(Ehring &lt;i&gt;et al.&lt;/i&gt; 2011)"},"properties":{"noteIndex":0},"schema":"https://github.com/citation-style-language/schema/raw/master/csl-citation.json"}</w:instrText>
            </w:r>
            <w:r>
              <w:rPr>
                <w:lang w:val="en-US"/>
              </w:rPr>
              <w:fldChar w:fldCharType="separate"/>
            </w:r>
            <w:r w:rsidRPr="004B51A9">
              <w:rPr>
                <w:noProof/>
                <w:lang w:val="en-US"/>
              </w:rPr>
              <w:t xml:space="preserve">(Ehring </w:t>
            </w:r>
            <w:r w:rsidRPr="004B51A9">
              <w:rPr>
                <w:i/>
                <w:noProof/>
                <w:lang w:val="en-US"/>
              </w:rPr>
              <w:t>et al.</w:t>
            </w:r>
            <w:r w:rsidRPr="004B51A9">
              <w:rPr>
                <w:noProof/>
                <w:lang w:val="en-US"/>
              </w:rPr>
              <w:t xml:space="preserve"> 2011)</w:t>
            </w:r>
            <w:r>
              <w:rPr>
                <w:lang w:val="en-US"/>
              </w:rPr>
              <w:fldChar w:fldCharType="end"/>
            </w:r>
            <w:r>
              <w:rPr>
                <w:lang w:val="en-US"/>
              </w:rPr>
              <w:t xml:space="preserve"> and</w:t>
            </w:r>
            <w:r w:rsidRPr="00AA4D04">
              <w:rPr>
                <w:lang w:val="en-US"/>
              </w:rPr>
              <w:t xml:space="preserve"> T</w:t>
            </w:r>
            <w:r w:rsidRPr="005B0A15">
              <w:rPr>
                <w:lang w:val="en-US"/>
              </w:rPr>
              <w:t>oronto Alexithymia Scale-20</w:t>
            </w:r>
            <w:r>
              <w:rPr>
                <w:lang w:val="en-US"/>
              </w:rPr>
              <w:t xml:space="preserve"> </w:t>
            </w:r>
            <w:r>
              <w:rPr>
                <w:lang w:val="en-US"/>
              </w:rPr>
              <w:fldChar w:fldCharType="begin" w:fldLock="1"/>
            </w:r>
            <w:r>
              <w:rPr>
                <w:lang w:val="en-US"/>
              </w:rPr>
              <w:instrText>ADDIN CSL_CITATION {"citationItems":[{"id":"ITEM-1","itemData":{"DOI":"10.1016/0022-3999(94)90005-1","ISSN":"0022-3999","abstract":"Addressing shortcomings of the self-report Toronto Alexithymia Scale (TAS), two studies were conducted to reconstruct the item domain of the scale. The first study resulted in the development of a new twenty-item version of the scale—the TAS-20. The TAS-20 demonstrated good internal consistency and test-retest reliability, and a three-factor structure theoretically congruent with the alexithymia construct. The stability and replicability of this three-factor structure were demonstrated in the second study with both clinical and nonclinical populations by the use of confirmatory factor analysis.","author":[{"dropping-particle":"","family":"Bagby","given":"R.Michael","non-dropping-particle":"","parse-names":false,"suffix":""},{"dropping-particle":"","family":"Parker","given":"James D.A.","non-dropping-particle":"","parse-names":false,"suffix":""},{"dropping-particle":"","family":"Taylor","given":"Graeme J.","non-dropping-particle":"","parse-names":false,"suffix":""}],"container-title":"Journal of Psychosomatic Research","id":"ITEM-1","issue":"1","issued":{"date-parts":[["1994","1","1"]]},"page":"23-32","title":"The twenty-item Toronto Alexithymia scale—I. Item selection and cross-validation of the factor structure","type":"article-journal","volume":"38"},"uris":["http://www.mendeley.com/documents/?uuid=986bce21-560a-3abc-bc79-6d29366ee002"]}],"mendeley":{"formattedCitation":"(Bagby &lt;i&gt;et al.&lt;/i&gt; 1994)","plainTextFormattedCitation":"(Bagby et al. 1994)","previouslyFormattedCitation":"(Bagby &lt;i&gt;et al.&lt;/i&gt; 1994)"},"properties":{"noteIndex":0},"schema":"https://github.com/citation-style-language/schema/raw/master/csl-citation.json"}</w:instrText>
            </w:r>
            <w:r>
              <w:rPr>
                <w:lang w:val="en-US"/>
              </w:rPr>
              <w:fldChar w:fldCharType="separate"/>
            </w:r>
            <w:r w:rsidRPr="004B51A9">
              <w:rPr>
                <w:noProof/>
                <w:lang w:val="en-US"/>
              </w:rPr>
              <w:t xml:space="preserve">(Bagby </w:t>
            </w:r>
            <w:r w:rsidRPr="004B51A9">
              <w:rPr>
                <w:i/>
                <w:noProof/>
                <w:lang w:val="en-US"/>
              </w:rPr>
              <w:t>et al.</w:t>
            </w:r>
            <w:r w:rsidRPr="004B51A9">
              <w:rPr>
                <w:noProof/>
                <w:lang w:val="en-US"/>
              </w:rPr>
              <w:t xml:space="preserve"> 1994)</w:t>
            </w:r>
            <w:r>
              <w:rPr>
                <w:lang w:val="en-US"/>
              </w:rPr>
              <w:fldChar w:fldCharType="end"/>
            </w:r>
            <w:r w:rsidRPr="00AA4D04">
              <w:rPr>
                <w:lang w:val="en-US"/>
              </w:rPr>
              <w:t xml:space="preserve">, </w:t>
            </w:r>
          </w:p>
          <w:p w14:paraId="137B25E9" w14:textId="77777777" w:rsidR="00615D05" w:rsidRPr="00033766" w:rsidRDefault="00615D05" w:rsidP="00615D05">
            <w:pPr>
              <w:pStyle w:val="Geenafstand"/>
              <w:spacing w:line="480" w:lineRule="auto"/>
              <w:rPr>
                <w:u w:val="single"/>
                <w:lang w:val="en-US"/>
              </w:rPr>
            </w:pPr>
            <w:r w:rsidRPr="00033766">
              <w:rPr>
                <w:u w:val="single"/>
                <w:lang w:val="en-US"/>
              </w:rPr>
              <w:t>Biological measures</w:t>
            </w:r>
            <w:r>
              <w:rPr>
                <w:u w:val="single"/>
                <w:lang w:val="en-US"/>
              </w:rPr>
              <w:t>:</w:t>
            </w:r>
            <w:r w:rsidRPr="00033766">
              <w:rPr>
                <w:lang w:val="en-US"/>
              </w:rPr>
              <w:t xml:space="preserve"> </w:t>
            </w:r>
            <w:r w:rsidRPr="00AA4D04">
              <w:rPr>
                <w:lang w:val="en-US"/>
              </w:rPr>
              <w:t>Hair sample</w:t>
            </w:r>
            <w:r>
              <w:rPr>
                <w:lang w:val="en-US"/>
              </w:rPr>
              <w:t xml:space="preserve"> for cortisol</w:t>
            </w:r>
            <w:r w:rsidRPr="00AA4D04">
              <w:rPr>
                <w:lang w:val="en-US"/>
              </w:rPr>
              <w:t>, stool sample</w:t>
            </w:r>
            <w:r>
              <w:rPr>
                <w:lang w:val="en-US"/>
              </w:rPr>
              <w:t xml:space="preserve"> for microbiome</w:t>
            </w:r>
          </w:p>
        </w:tc>
      </w:tr>
      <w:tr w:rsidR="00615D05" w:rsidRPr="00AF2570" w14:paraId="5741BC96" w14:textId="77777777" w:rsidTr="00615D05">
        <w:tc>
          <w:tcPr>
            <w:tcW w:w="2802" w:type="dxa"/>
          </w:tcPr>
          <w:p w14:paraId="613CC29E" w14:textId="77777777" w:rsidR="00615D05" w:rsidRDefault="00615D05" w:rsidP="00615D05">
            <w:pPr>
              <w:pStyle w:val="Geenafstand"/>
              <w:spacing w:line="480" w:lineRule="auto"/>
              <w:rPr>
                <w:lang w:val="en-US"/>
              </w:rPr>
            </w:pPr>
            <w:r>
              <w:rPr>
                <w:lang w:val="en-US"/>
              </w:rPr>
              <w:t>Magnetic resonance imaging (MRI)</w:t>
            </w:r>
            <w:r w:rsidRPr="00AA4D04">
              <w:rPr>
                <w:lang w:val="en-US"/>
              </w:rPr>
              <w:t xml:space="preserve"> session</w:t>
            </w:r>
          </w:p>
        </w:tc>
        <w:tc>
          <w:tcPr>
            <w:tcW w:w="12361" w:type="dxa"/>
          </w:tcPr>
          <w:p w14:paraId="73030E1F" w14:textId="77777777" w:rsidR="00615D05" w:rsidRDefault="00615D05" w:rsidP="00615D05">
            <w:pPr>
              <w:pStyle w:val="Geenafstand"/>
              <w:spacing w:line="480" w:lineRule="auto"/>
              <w:rPr>
                <w:lang w:val="en-US"/>
              </w:rPr>
            </w:pPr>
            <w:r>
              <w:rPr>
                <w:lang w:val="en-US"/>
              </w:rPr>
              <w:t>Anatomical scan; functional MRI scans</w:t>
            </w:r>
          </w:p>
        </w:tc>
      </w:tr>
    </w:tbl>
    <w:p w14:paraId="3A77C65B" w14:textId="59156512" w:rsidR="00615D05" w:rsidRPr="00615D05" w:rsidRDefault="00615D05">
      <w:pPr>
        <w:rPr>
          <w:sz w:val="20"/>
          <w:lang w:val="en-US"/>
        </w:rPr>
      </w:pPr>
      <w:r w:rsidRPr="00615D05">
        <w:rPr>
          <w:sz w:val="20"/>
          <w:lang w:val="en-US"/>
        </w:rPr>
        <w:t>* Measures in bold were used in the current study.</w:t>
      </w:r>
    </w:p>
    <w:p w14:paraId="3C3D39EA" w14:textId="77777777" w:rsidR="00615D05" w:rsidRPr="001F7896" w:rsidRDefault="00615D05">
      <w:pPr>
        <w:rPr>
          <w:lang w:val="en-US"/>
        </w:rPr>
      </w:pPr>
    </w:p>
    <w:p w14:paraId="77140F25" w14:textId="5265FFBB" w:rsidR="006F7EB3" w:rsidRPr="004A0537" w:rsidRDefault="006F7EB3" w:rsidP="006F7EB3">
      <w:pPr>
        <w:pStyle w:val="Geenafstand"/>
        <w:spacing w:line="480" w:lineRule="auto"/>
        <w:rPr>
          <w:lang w:val="en-US"/>
        </w:rPr>
        <w:sectPr w:rsidR="006F7EB3" w:rsidRPr="004A0537" w:rsidSect="004A2153">
          <w:pgSz w:w="16838" w:h="11906" w:orient="landscape"/>
          <w:pgMar w:top="1418" w:right="1418" w:bottom="1418" w:left="1418" w:header="709" w:footer="709" w:gutter="0"/>
          <w:lnNumType w:countBy="1" w:restart="continuous"/>
          <w:cols w:space="708"/>
          <w:docGrid w:linePitch="360"/>
        </w:sectPr>
      </w:pPr>
    </w:p>
    <w:p w14:paraId="4F0CA2CD" w14:textId="3BFADD4C" w:rsidR="006F7EB3" w:rsidRPr="00615D05" w:rsidRDefault="006F7EB3" w:rsidP="006F7EB3">
      <w:pPr>
        <w:pStyle w:val="Geenafstand"/>
        <w:spacing w:line="480" w:lineRule="auto"/>
        <w:rPr>
          <w:sz w:val="24"/>
          <w:lang w:val="en-US"/>
        </w:rPr>
      </w:pPr>
      <w:r w:rsidRPr="003466DB">
        <w:rPr>
          <w:b/>
          <w:sz w:val="20"/>
          <w:szCs w:val="18"/>
          <w:lang w:val="en-US"/>
        </w:rPr>
        <w:lastRenderedPageBreak/>
        <w:t xml:space="preserve">Table </w:t>
      </w:r>
      <w:r w:rsidR="00DE7EBE" w:rsidRPr="003466DB">
        <w:rPr>
          <w:b/>
          <w:sz w:val="20"/>
          <w:szCs w:val="18"/>
          <w:lang w:val="en-US"/>
        </w:rPr>
        <w:t>S</w:t>
      </w:r>
      <w:r w:rsidRPr="003466DB">
        <w:rPr>
          <w:b/>
          <w:sz w:val="20"/>
          <w:szCs w:val="18"/>
          <w:lang w:val="en-US"/>
        </w:rPr>
        <w:t>2. Overview diagnoses MIND-Set patients.</w:t>
      </w:r>
      <w:r w:rsidR="00460888" w:rsidRPr="003466DB">
        <w:rPr>
          <w:b/>
          <w:sz w:val="20"/>
          <w:szCs w:val="18"/>
          <w:lang w:val="en-US"/>
        </w:rPr>
        <w:t xml:space="preserve"> </w:t>
      </w:r>
      <w:r w:rsidR="00460888" w:rsidRPr="003466DB">
        <w:rPr>
          <w:sz w:val="20"/>
          <w:szCs w:val="20"/>
          <w:lang w:val="en-US"/>
        </w:rPr>
        <w:t>The numbers show that there was no bias towards one disorder in the patients who did not want to participant in the study.</w:t>
      </w:r>
    </w:p>
    <w:tbl>
      <w:tblPr>
        <w:tblStyle w:val="Lichtearcering2"/>
        <w:tblW w:w="7905" w:type="dxa"/>
        <w:tblLook w:val="04A0" w:firstRow="1" w:lastRow="0" w:firstColumn="1" w:lastColumn="0" w:noHBand="0" w:noVBand="1"/>
      </w:tblPr>
      <w:tblGrid>
        <w:gridCol w:w="2235"/>
        <w:gridCol w:w="1397"/>
        <w:gridCol w:w="2713"/>
        <w:gridCol w:w="1560"/>
      </w:tblGrid>
      <w:tr w:rsidR="006F7EB3" w:rsidRPr="00A14D52" w14:paraId="03495561" w14:textId="77777777" w:rsidTr="00DB6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2CE69D7" w14:textId="77777777" w:rsidR="006F7EB3" w:rsidRPr="00A14D52" w:rsidRDefault="006F7EB3" w:rsidP="00DB6B66">
            <w:pPr>
              <w:pStyle w:val="Geenafstand"/>
              <w:spacing w:line="480" w:lineRule="auto"/>
              <w:rPr>
                <w:lang w:val="en-US"/>
              </w:rPr>
            </w:pPr>
          </w:p>
        </w:tc>
        <w:tc>
          <w:tcPr>
            <w:tcW w:w="1397" w:type="dxa"/>
          </w:tcPr>
          <w:p w14:paraId="33BF2F01" w14:textId="77777777" w:rsidR="006F7EB3" w:rsidRDefault="006F7EB3" w:rsidP="00DB6B66">
            <w:pPr>
              <w:pStyle w:val="Geenafstand"/>
              <w:spacing w:line="480" w:lineRule="auto"/>
              <w:jc w:val="center"/>
              <w:cnfStyle w:val="100000000000" w:firstRow="1" w:lastRow="0" w:firstColumn="0" w:lastColumn="0" w:oddVBand="0" w:evenVBand="0" w:oddHBand="0" w:evenHBand="0" w:firstRowFirstColumn="0" w:firstRowLastColumn="0" w:lastRowFirstColumn="0" w:lastRowLastColumn="0"/>
              <w:rPr>
                <w:lang w:val="en-US"/>
              </w:rPr>
            </w:pPr>
            <w:r w:rsidRPr="00A14D52">
              <w:rPr>
                <w:lang w:val="en-US"/>
              </w:rPr>
              <w:t>Total sample (%)</w:t>
            </w:r>
          </w:p>
          <w:p w14:paraId="487B014B" w14:textId="77777777" w:rsidR="006F7EB3" w:rsidRPr="00A14D52" w:rsidRDefault="006F7EB3" w:rsidP="00DB6B66">
            <w:pPr>
              <w:pStyle w:val="Geenafstand"/>
              <w:spacing w:line="480" w:lineRule="auto"/>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N=311</w:t>
            </w:r>
          </w:p>
        </w:tc>
        <w:tc>
          <w:tcPr>
            <w:tcW w:w="2713" w:type="dxa"/>
          </w:tcPr>
          <w:p w14:paraId="31ED8279" w14:textId="77777777" w:rsidR="006F7EB3" w:rsidRDefault="006F7EB3" w:rsidP="00DB6B66">
            <w:pPr>
              <w:pStyle w:val="Geenafstand"/>
              <w:spacing w:line="480" w:lineRule="auto"/>
              <w:jc w:val="center"/>
              <w:cnfStyle w:val="100000000000" w:firstRow="1" w:lastRow="0" w:firstColumn="0" w:lastColumn="0" w:oddVBand="0" w:evenVBand="0" w:oddHBand="0" w:evenHBand="0" w:firstRowFirstColumn="0" w:firstRowLastColumn="0" w:lastRowFirstColumn="0" w:lastRowLastColumn="0"/>
              <w:rPr>
                <w:lang w:val="en-US"/>
              </w:rPr>
            </w:pPr>
            <w:r w:rsidRPr="00A14D52">
              <w:rPr>
                <w:lang w:val="en-US"/>
              </w:rPr>
              <w:t>No neuropsychological assessment (%)</w:t>
            </w:r>
          </w:p>
          <w:p w14:paraId="7FB328D4" w14:textId="5F193735" w:rsidR="006F7EB3" w:rsidRPr="00A14D52" w:rsidRDefault="006F7EB3" w:rsidP="00DB6B66">
            <w:pPr>
              <w:pStyle w:val="Geenafstand"/>
              <w:spacing w:line="480" w:lineRule="auto"/>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N=9</w:t>
            </w:r>
            <w:r w:rsidR="000B5E6C">
              <w:rPr>
                <w:lang w:val="en-US"/>
              </w:rPr>
              <w:t>4</w:t>
            </w:r>
          </w:p>
        </w:tc>
        <w:tc>
          <w:tcPr>
            <w:tcW w:w="1560" w:type="dxa"/>
          </w:tcPr>
          <w:p w14:paraId="17325B28" w14:textId="77777777" w:rsidR="006F7EB3" w:rsidRDefault="006F7EB3" w:rsidP="00DB6B66">
            <w:pPr>
              <w:pStyle w:val="Geenafstand"/>
              <w:spacing w:line="480" w:lineRule="auto"/>
              <w:jc w:val="center"/>
              <w:cnfStyle w:val="100000000000" w:firstRow="1" w:lastRow="0" w:firstColumn="0" w:lastColumn="0" w:oddVBand="0" w:evenVBand="0" w:oddHBand="0" w:evenHBand="0" w:firstRowFirstColumn="0" w:firstRowLastColumn="0" w:lastRowFirstColumn="0" w:lastRowLastColumn="0"/>
              <w:rPr>
                <w:lang w:val="en-US"/>
              </w:rPr>
            </w:pPr>
            <w:r w:rsidRPr="00A14D52">
              <w:rPr>
                <w:lang w:val="en-US"/>
              </w:rPr>
              <w:t>Current sample (%)</w:t>
            </w:r>
          </w:p>
          <w:p w14:paraId="01DFD70A" w14:textId="25B7ABAF" w:rsidR="006F7EB3" w:rsidRPr="00A14D52" w:rsidRDefault="006F7EB3" w:rsidP="00DB6B66">
            <w:pPr>
              <w:pStyle w:val="Geenafstand"/>
              <w:spacing w:line="480" w:lineRule="auto"/>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N=21</w:t>
            </w:r>
            <w:r w:rsidR="003F3428">
              <w:rPr>
                <w:lang w:val="en-US"/>
              </w:rPr>
              <w:t>7</w:t>
            </w:r>
          </w:p>
        </w:tc>
      </w:tr>
      <w:tr w:rsidR="006F7EB3" w:rsidRPr="00A14D52" w14:paraId="56FF643B" w14:textId="77777777" w:rsidTr="00DB6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2F5D2D4E" w14:textId="77777777" w:rsidR="006F7EB3" w:rsidRPr="00A14D52" w:rsidRDefault="006F7EB3" w:rsidP="00DB6B66">
            <w:pPr>
              <w:pStyle w:val="Geenafstand"/>
              <w:spacing w:line="480" w:lineRule="auto"/>
              <w:rPr>
                <w:lang w:val="en-US"/>
              </w:rPr>
            </w:pPr>
            <w:r w:rsidRPr="00A14D52">
              <w:rPr>
                <w:lang w:val="en-US"/>
              </w:rPr>
              <w:t>Current depression</w:t>
            </w:r>
          </w:p>
        </w:tc>
        <w:tc>
          <w:tcPr>
            <w:tcW w:w="1397" w:type="dxa"/>
            <w:shd w:val="clear" w:color="auto" w:fill="auto"/>
          </w:tcPr>
          <w:p w14:paraId="249FC341" w14:textId="77777777" w:rsidR="006F7EB3" w:rsidRPr="00A14D52" w:rsidRDefault="006F7EB3" w:rsidP="00DB6B66">
            <w:pPr>
              <w:pStyle w:val="Geenafstand"/>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133 (43)</w:t>
            </w:r>
          </w:p>
        </w:tc>
        <w:tc>
          <w:tcPr>
            <w:tcW w:w="2713" w:type="dxa"/>
            <w:shd w:val="clear" w:color="auto" w:fill="auto"/>
          </w:tcPr>
          <w:p w14:paraId="2012501C" w14:textId="77777777" w:rsidR="006F7EB3" w:rsidRPr="00A14D52" w:rsidRDefault="006F7EB3" w:rsidP="00DB6B66">
            <w:pPr>
              <w:pStyle w:val="Geenafstand"/>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32 (</w:t>
            </w:r>
            <w:r w:rsidRPr="00A14D52">
              <w:rPr>
                <w:lang w:val="en-US"/>
              </w:rPr>
              <w:t>34</w:t>
            </w:r>
            <w:r>
              <w:rPr>
                <w:lang w:val="en-US"/>
              </w:rPr>
              <w:t>)</w:t>
            </w:r>
          </w:p>
        </w:tc>
        <w:tc>
          <w:tcPr>
            <w:tcW w:w="1560" w:type="dxa"/>
            <w:shd w:val="clear" w:color="auto" w:fill="auto"/>
          </w:tcPr>
          <w:p w14:paraId="7997FE30" w14:textId="77777777" w:rsidR="006F7EB3" w:rsidRPr="00A14D52" w:rsidRDefault="006F7EB3" w:rsidP="00DB6B66">
            <w:pPr>
              <w:pStyle w:val="Geenafstand"/>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101 (</w:t>
            </w:r>
            <w:r w:rsidRPr="00A14D52">
              <w:rPr>
                <w:lang w:val="en-US"/>
              </w:rPr>
              <w:t>4</w:t>
            </w:r>
            <w:r>
              <w:rPr>
                <w:lang w:val="en-US"/>
              </w:rPr>
              <w:t>6)</w:t>
            </w:r>
          </w:p>
        </w:tc>
      </w:tr>
      <w:tr w:rsidR="006F7EB3" w:rsidRPr="00A14D52" w14:paraId="39BC7711" w14:textId="77777777" w:rsidTr="00DB6B66">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1EB521BF" w14:textId="77777777" w:rsidR="006F7EB3" w:rsidRPr="00A14D52" w:rsidRDefault="006F7EB3" w:rsidP="00DB6B66">
            <w:pPr>
              <w:pStyle w:val="Geenafstand"/>
              <w:spacing w:line="480" w:lineRule="auto"/>
              <w:rPr>
                <w:lang w:val="en-US"/>
              </w:rPr>
            </w:pPr>
            <w:r w:rsidRPr="00A14D52">
              <w:rPr>
                <w:lang w:val="en-US"/>
              </w:rPr>
              <w:t>Remitted depression</w:t>
            </w:r>
          </w:p>
        </w:tc>
        <w:tc>
          <w:tcPr>
            <w:tcW w:w="1397" w:type="dxa"/>
            <w:shd w:val="clear" w:color="auto" w:fill="auto"/>
          </w:tcPr>
          <w:p w14:paraId="25DC6EF6" w14:textId="77777777" w:rsidR="006F7EB3" w:rsidRPr="00A14D52" w:rsidRDefault="006F7EB3" w:rsidP="00DB6B66">
            <w:pPr>
              <w:pStyle w:val="Geenafstand"/>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165 (</w:t>
            </w:r>
            <w:r w:rsidRPr="00A14D52">
              <w:rPr>
                <w:lang w:val="en-US"/>
              </w:rPr>
              <w:t>53</w:t>
            </w:r>
            <w:r>
              <w:rPr>
                <w:lang w:val="en-US"/>
              </w:rPr>
              <w:t>)</w:t>
            </w:r>
          </w:p>
        </w:tc>
        <w:tc>
          <w:tcPr>
            <w:tcW w:w="2713" w:type="dxa"/>
            <w:shd w:val="clear" w:color="auto" w:fill="auto"/>
          </w:tcPr>
          <w:p w14:paraId="14998D4A" w14:textId="77777777" w:rsidR="006F7EB3" w:rsidRPr="00A14D52" w:rsidRDefault="006F7EB3" w:rsidP="00DB6B66">
            <w:pPr>
              <w:pStyle w:val="Geenafstand"/>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43 (</w:t>
            </w:r>
            <w:r w:rsidRPr="00A14D52">
              <w:rPr>
                <w:lang w:val="en-US"/>
              </w:rPr>
              <w:t>46</w:t>
            </w:r>
            <w:r>
              <w:rPr>
                <w:lang w:val="en-US"/>
              </w:rPr>
              <w:t>)</w:t>
            </w:r>
          </w:p>
        </w:tc>
        <w:tc>
          <w:tcPr>
            <w:tcW w:w="1560" w:type="dxa"/>
            <w:shd w:val="clear" w:color="auto" w:fill="auto"/>
          </w:tcPr>
          <w:p w14:paraId="61CE1304" w14:textId="77777777" w:rsidR="006F7EB3" w:rsidRPr="00A14D52" w:rsidRDefault="006F7EB3" w:rsidP="00DB6B66">
            <w:pPr>
              <w:pStyle w:val="Geenafstand"/>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122 (</w:t>
            </w:r>
            <w:r w:rsidRPr="00A14D52">
              <w:rPr>
                <w:lang w:val="en-US"/>
              </w:rPr>
              <w:t>56</w:t>
            </w:r>
            <w:r>
              <w:rPr>
                <w:lang w:val="en-US"/>
              </w:rPr>
              <w:t>)</w:t>
            </w:r>
          </w:p>
        </w:tc>
      </w:tr>
      <w:tr w:rsidR="006F7EB3" w:rsidRPr="00A14D52" w14:paraId="2668FC97" w14:textId="77777777" w:rsidTr="00DB6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0E308F43" w14:textId="77777777" w:rsidR="006F7EB3" w:rsidRPr="00A14D52" w:rsidRDefault="006F7EB3" w:rsidP="00DB6B66">
            <w:pPr>
              <w:pStyle w:val="Geenafstand"/>
              <w:spacing w:line="480" w:lineRule="auto"/>
              <w:rPr>
                <w:lang w:val="en-US"/>
              </w:rPr>
            </w:pPr>
            <w:r w:rsidRPr="00A14D52">
              <w:rPr>
                <w:lang w:val="en-US"/>
              </w:rPr>
              <w:t>Anxiety disorder</w:t>
            </w:r>
          </w:p>
        </w:tc>
        <w:tc>
          <w:tcPr>
            <w:tcW w:w="1397" w:type="dxa"/>
            <w:shd w:val="clear" w:color="auto" w:fill="auto"/>
          </w:tcPr>
          <w:p w14:paraId="77F4A6C6" w14:textId="77777777" w:rsidR="006F7EB3" w:rsidRPr="00A14D52" w:rsidRDefault="006F7EB3" w:rsidP="00DB6B66">
            <w:pPr>
              <w:pStyle w:val="Geenafstand"/>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95 (</w:t>
            </w:r>
            <w:r w:rsidRPr="00A14D52">
              <w:rPr>
                <w:lang w:val="en-US"/>
              </w:rPr>
              <w:t>31</w:t>
            </w:r>
            <w:r>
              <w:rPr>
                <w:lang w:val="en-US"/>
              </w:rPr>
              <w:t>)</w:t>
            </w:r>
          </w:p>
        </w:tc>
        <w:tc>
          <w:tcPr>
            <w:tcW w:w="2713" w:type="dxa"/>
            <w:shd w:val="clear" w:color="auto" w:fill="auto"/>
          </w:tcPr>
          <w:p w14:paraId="7FAEE4EC" w14:textId="77777777" w:rsidR="006F7EB3" w:rsidRPr="00A14D52" w:rsidRDefault="006F7EB3" w:rsidP="00DB6B66">
            <w:pPr>
              <w:pStyle w:val="Geenafstand"/>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28 (</w:t>
            </w:r>
            <w:r w:rsidRPr="00A14D52">
              <w:rPr>
                <w:lang w:val="en-US"/>
              </w:rPr>
              <w:t>30</w:t>
            </w:r>
            <w:r>
              <w:rPr>
                <w:lang w:val="en-US"/>
              </w:rPr>
              <w:t>)</w:t>
            </w:r>
          </w:p>
        </w:tc>
        <w:tc>
          <w:tcPr>
            <w:tcW w:w="1560" w:type="dxa"/>
            <w:shd w:val="clear" w:color="auto" w:fill="auto"/>
          </w:tcPr>
          <w:p w14:paraId="7391409F" w14:textId="77777777" w:rsidR="006F7EB3" w:rsidRPr="00A14D52" w:rsidRDefault="006F7EB3" w:rsidP="00DB6B66">
            <w:pPr>
              <w:pStyle w:val="Geenafstand"/>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67 (</w:t>
            </w:r>
            <w:r w:rsidRPr="00A14D52">
              <w:rPr>
                <w:lang w:val="en-US"/>
              </w:rPr>
              <w:t>31</w:t>
            </w:r>
            <w:r>
              <w:rPr>
                <w:lang w:val="en-US"/>
              </w:rPr>
              <w:t>)</w:t>
            </w:r>
          </w:p>
        </w:tc>
      </w:tr>
      <w:tr w:rsidR="006F7EB3" w:rsidRPr="00A14D52" w14:paraId="2A2E213C" w14:textId="77777777" w:rsidTr="00DB6B66">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24AEE4D4" w14:textId="77777777" w:rsidR="006F7EB3" w:rsidRPr="00A14D52" w:rsidRDefault="006F7EB3" w:rsidP="00DB6B66">
            <w:pPr>
              <w:pStyle w:val="Geenafstand"/>
              <w:spacing w:line="480" w:lineRule="auto"/>
              <w:rPr>
                <w:lang w:val="en-US"/>
              </w:rPr>
            </w:pPr>
            <w:r w:rsidRPr="00A14D52">
              <w:rPr>
                <w:lang w:val="en-US"/>
              </w:rPr>
              <w:t>Addictive disorder</w:t>
            </w:r>
          </w:p>
        </w:tc>
        <w:tc>
          <w:tcPr>
            <w:tcW w:w="1397" w:type="dxa"/>
            <w:shd w:val="clear" w:color="auto" w:fill="auto"/>
          </w:tcPr>
          <w:p w14:paraId="648D66CA" w14:textId="77777777" w:rsidR="006F7EB3" w:rsidRPr="00A14D52" w:rsidRDefault="006F7EB3" w:rsidP="00DB6B66">
            <w:pPr>
              <w:pStyle w:val="Geenafstand"/>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61 (20)</w:t>
            </w:r>
          </w:p>
        </w:tc>
        <w:tc>
          <w:tcPr>
            <w:tcW w:w="2713" w:type="dxa"/>
            <w:shd w:val="clear" w:color="auto" w:fill="auto"/>
          </w:tcPr>
          <w:p w14:paraId="1FAD420E" w14:textId="77777777" w:rsidR="006F7EB3" w:rsidRPr="00A14D52" w:rsidRDefault="006F7EB3" w:rsidP="00DB6B66">
            <w:pPr>
              <w:pStyle w:val="Geenafstand"/>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22 (</w:t>
            </w:r>
            <w:r w:rsidRPr="00A14D52">
              <w:rPr>
                <w:lang w:val="en-US"/>
              </w:rPr>
              <w:t>24</w:t>
            </w:r>
            <w:r>
              <w:rPr>
                <w:lang w:val="en-US"/>
              </w:rPr>
              <w:t>)</w:t>
            </w:r>
          </w:p>
        </w:tc>
        <w:tc>
          <w:tcPr>
            <w:tcW w:w="1560" w:type="dxa"/>
            <w:shd w:val="clear" w:color="auto" w:fill="auto"/>
          </w:tcPr>
          <w:p w14:paraId="54CBD16D" w14:textId="77777777" w:rsidR="006F7EB3" w:rsidRPr="00A14D52" w:rsidRDefault="006F7EB3" w:rsidP="00DB6B66">
            <w:pPr>
              <w:pStyle w:val="Geenafstand"/>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39 (</w:t>
            </w:r>
            <w:r w:rsidRPr="00A14D52">
              <w:rPr>
                <w:lang w:val="en-US"/>
              </w:rPr>
              <w:t>18</w:t>
            </w:r>
            <w:r>
              <w:rPr>
                <w:lang w:val="en-US"/>
              </w:rPr>
              <w:t>)</w:t>
            </w:r>
          </w:p>
        </w:tc>
      </w:tr>
      <w:tr w:rsidR="006F7EB3" w:rsidRPr="00A14D52" w14:paraId="249F42B5" w14:textId="77777777" w:rsidTr="00DB6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46BDBE15" w14:textId="77777777" w:rsidR="006F7EB3" w:rsidRPr="00A14D52" w:rsidRDefault="006F7EB3" w:rsidP="00DB6B66">
            <w:pPr>
              <w:pStyle w:val="Geenafstand"/>
              <w:spacing w:line="480" w:lineRule="auto"/>
              <w:rPr>
                <w:lang w:val="en-US"/>
              </w:rPr>
            </w:pPr>
            <w:r w:rsidRPr="00A14D52">
              <w:rPr>
                <w:lang w:val="en-US"/>
              </w:rPr>
              <w:t>ADHD</w:t>
            </w:r>
          </w:p>
        </w:tc>
        <w:tc>
          <w:tcPr>
            <w:tcW w:w="1397" w:type="dxa"/>
            <w:shd w:val="clear" w:color="auto" w:fill="auto"/>
          </w:tcPr>
          <w:p w14:paraId="783209D0" w14:textId="77777777" w:rsidR="006F7EB3" w:rsidRPr="00A14D52" w:rsidRDefault="006F7EB3" w:rsidP="00DB6B66">
            <w:pPr>
              <w:pStyle w:val="Geenafstand"/>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96 (</w:t>
            </w:r>
            <w:r w:rsidRPr="00A14D52">
              <w:rPr>
                <w:lang w:val="en-US"/>
              </w:rPr>
              <w:t>31</w:t>
            </w:r>
            <w:r>
              <w:rPr>
                <w:lang w:val="en-US"/>
              </w:rPr>
              <w:t>)</w:t>
            </w:r>
          </w:p>
        </w:tc>
        <w:tc>
          <w:tcPr>
            <w:tcW w:w="2713" w:type="dxa"/>
            <w:shd w:val="clear" w:color="auto" w:fill="auto"/>
          </w:tcPr>
          <w:p w14:paraId="32AF56C4" w14:textId="77777777" w:rsidR="006F7EB3" w:rsidRPr="00A14D52" w:rsidRDefault="006F7EB3" w:rsidP="00DB6B66">
            <w:pPr>
              <w:pStyle w:val="Geenafstand"/>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19 (</w:t>
            </w:r>
            <w:r w:rsidRPr="00A14D52">
              <w:rPr>
                <w:lang w:val="en-US"/>
              </w:rPr>
              <w:t>20</w:t>
            </w:r>
            <w:r>
              <w:rPr>
                <w:lang w:val="en-US"/>
              </w:rPr>
              <w:t>)</w:t>
            </w:r>
          </w:p>
        </w:tc>
        <w:tc>
          <w:tcPr>
            <w:tcW w:w="1560" w:type="dxa"/>
            <w:shd w:val="clear" w:color="auto" w:fill="auto"/>
          </w:tcPr>
          <w:p w14:paraId="0BA06DC1" w14:textId="77777777" w:rsidR="006F7EB3" w:rsidRPr="00A14D52" w:rsidRDefault="006F7EB3" w:rsidP="00DB6B66">
            <w:pPr>
              <w:pStyle w:val="Geenafstand"/>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77 (</w:t>
            </w:r>
            <w:r w:rsidRPr="00A14D52">
              <w:rPr>
                <w:lang w:val="en-US"/>
              </w:rPr>
              <w:t>35</w:t>
            </w:r>
            <w:r>
              <w:rPr>
                <w:lang w:val="en-US"/>
              </w:rPr>
              <w:t>)</w:t>
            </w:r>
          </w:p>
        </w:tc>
      </w:tr>
      <w:tr w:rsidR="006F7EB3" w:rsidRPr="00A14D52" w14:paraId="2DE4650A" w14:textId="77777777" w:rsidTr="00DB6B66">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0CCED912" w14:textId="77777777" w:rsidR="006F7EB3" w:rsidRPr="00A14D52" w:rsidRDefault="006F7EB3" w:rsidP="00DB6B66">
            <w:pPr>
              <w:pStyle w:val="Geenafstand"/>
              <w:spacing w:line="480" w:lineRule="auto"/>
              <w:rPr>
                <w:lang w:val="en-US"/>
              </w:rPr>
            </w:pPr>
            <w:r w:rsidRPr="00A14D52">
              <w:rPr>
                <w:lang w:val="en-US"/>
              </w:rPr>
              <w:t>ASD</w:t>
            </w:r>
          </w:p>
        </w:tc>
        <w:tc>
          <w:tcPr>
            <w:tcW w:w="1397" w:type="dxa"/>
            <w:shd w:val="clear" w:color="auto" w:fill="auto"/>
          </w:tcPr>
          <w:p w14:paraId="766A4DAB" w14:textId="77777777" w:rsidR="006F7EB3" w:rsidRPr="00A14D52" w:rsidRDefault="006F7EB3" w:rsidP="00DB6B66">
            <w:pPr>
              <w:pStyle w:val="Geenafstand"/>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65 (</w:t>
            </w:r>
            <w:r w:rsidRPr="00A14D52">
              <w:rPr>
                <w:lang w:val="en-US"/>
              </w:rPr>
              <w:t>21</w:t>
            </w:r>
            <w:r>
              <w:rPr>
                <w:lang w:val="en-US"/>
              </w:rPr>
              <w:t>)</w:t>
            </w:r>
          </w:p>
        </w:tc>
        <w:tc>
          <w:tcPr>
            <w:tcW w:w="2713" w:type="dxa"/>
            <w:shd w:val="clear" w:color="auto" w:fill="auto"/>
          </w:tcPr>
          <w:p w14:paraId="673299EC" w14:textId="77777777" w:rsidR="006F7EB3" w:rsidRPr="00A14D52" w:rsidRDefault="006F7EB3" w:rsidP="00DB6B66">
            <w:pPr>
              <w:pStyle w:val="Geenafstand"/>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8 (</w:t>
            </w:r>
            <w:r w:rsidRPr="00A14D52">
              <w:rPr>
                <w:lang w:val="en-US"/>
              </w:rPr>
              <w:t>9</w:t>
            </w:r>
            <w:r>
              <w:rPr>
                <w:lang w:val="en-US"/>
              </w:rPr>
              <w:t>)</w:t>
            </w:r>
          </w:p>
        </w:tc>
        <w:tc>
          <w:tcPr>
            <w:tcW w:w="1560" w:type="dxa"/>
            <w:shd w:val="clear" w:color="auto" w:fill="auto"/>
          </w:tcPr>
          <w:p w14:paraId="1B47D5DE" w14:textId="77777777" w:rsidR="006F7EB3" w:rsidRPr="00A14D52" w:rsidRDefault="006F7EB3" w:rsidP="00DB6B66">
            <w:pPr>
              <w:pStyle w:val="Geenafstand"/>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57 (</w:t>
            </w:r>
            <w:r w:rsidRPr="00A14D52">
              <w:rPr>
                <w:lang w:val="en-US"/>
              </w:rPr>
              <w:t>26</w:t>
            </w:r>
            <w:r>
              <w:rPr>
                <w:lang w:val="en-US"/>
              </w:rPr>
              <w:t>)</w:t>
            </w:r>
          </w:p>
        </w:tc>
      </w:tr>
      <w:tr w:rsidR="006F7EB3" w:rsidRPr="00A14D52" w14:paraId="367985C1" w14:textId="77777777" w:rsidTr="00DB6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2E04FDBC" w14:textId="77777777" w:rsidR="006F7EB3" w:rsidRPr="00A14D52" w:rsidRDefault="006F7EB3" w:rsidP="00DB6B66">
            <w:pPr>
              <w:pStyle w:val="Geenafstand"/>
              <w:spacing w:line="480" w:lineRule="auto"/>
              <w:rPr>
                <w:lang w:val="en-US"/>
              </w:rPr>
            </w:pPr>
            <w:r>
              <w:rPr>
                <w:lang w:val="en-US"/>
              </w:rPr>
              <w:t>No current disorder*</w:t>
            </w:r>
          </w:p>
        </w:tc>
        <w:tc>
          <w:tcPr>
            <w:tcW w:w="1397" w:type="dxa"/>
            <w:shd w:val="clear" w:color="auto" w:fill="auto"/>
          </w:tcPr>
          <w:p w14:paraId="1086EB9E" w14:textId="77777777" w:rsidR="006F7EB3" w:rsidRPr="00A14D52" w:rsidRDefault="006F7EB3" w:rsidP="00DB6B66">
            <w:pPr>
              <w:pStyle w:val="Geenafstand"/>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16 (5)</w:t>
            </w:r>
          </w:p>
        </w:tc>
        <w:tc>
          <w:tcPr>
            <w:tcW w:w="2713" w:type="dxa"/>
            <w:shd w:val="clear" w:color="auto" w:fill="auto"/>
          </w:tcPr>
          <w:p w14:paraId="2309C978" w14:textId="5166F598" w:rsidR="006F7EB3" w:rsidRPr="00A14D52" w:rsidRDefault="000B5E6C" w:rsidP="00DB6B66">
            <w:pPr>
              <w:pStyle w:val="Geenafstand"/>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5</w:t>
            </w:r>
            <w:r w:rsidR="006F7EB3">
              <w:rPr>
                <w:lang w:val="en-US"/>
              </w:rPr>
              <w:t xml:space="preserve"> (</w:t>
            </w:r>
            <w:r>
              <w:rPr>
                <w:lang w:val="en-US"/>
              </w:rPr>
              <w:t>5</w:t>
            </w:r>
            <w:r w:rsidR="006F7EB3">
              <w:rPr>
                <w:lang w:val="en-US"/>
              </w:rPr>
              <w:t>)</w:t>
            </w:r>
          </w:p>
        </w:tc>
        <w:tc>
          <w:tcPr>
            <w:tcW w:w="1560" w:type="dxa"/>
            <w:shd w:val="clear" w:color="auto" w:fill="auto"/>
          </w:tcPr>
          <w:p w14:paraId="4982B57E" w14:textId="77777777" w:rsidR="006F7EB3" w:rsidRPr="00A14D52" w:rsidRDefault="006F7EB3" w:rsidP="00DB6B66">
            <w:pPr>
              <w:pStyle w:val="Geenafstand"/>
              <w:spacing w:line="480" w:lineRule="auto"/>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12 (6)</w:t>
            </w:r>
          </w:p>
        </w:tc>
      </w:tr>
    </w:tbl>
    <w:p w14:paraId="4B880F25" w14:textId="2C83D436" w:rsidR="006176B9" w:rsidRPr="006176B9" w:rsidRDefault="006F7EB3" w:rsidP="006176B9">
      <w:pPr>
        <w:pStyle w:val="Geenafstand"/>
        <w:spacing w:line="480" w:lineRule="auto"/>
        <w:rPr>
          <w:sz w:val="18"/>
          <w:lang w:val="en-US"/>
        </w:rPr>
      </w:pPr>
      <w:r w:rsidRPr="00615D05">
        <w:rPr>
          <w:sz w:val="20"/>
          <w:lang w:val="en-US"/>
        </w:rPr>
        <w:t xml:space="preserve">*We included 16 patients in the total sample for which the diagnosis was undefined, but there was </w:t>
      </w:r>
      <w:r w:rsidR="003D2D31" w:rsidRPr="00615D05">
        <w:rPr>
          <w:sz w:val="20"/>
          <w:lang w:val="en-US"/>
        </w:rPr>
        <w:t xml:space="preserve">strong </w:t>
      </w:r>
      <w:r w:rsidRPr="00615D05">
        <w:rPr>
          <w:sz w:val="20"/>
          <w:lang w:val="en-US"/>
        </w:rPr>
        <w:t>suspicion of ADHD or ASD at the time of inclusion, and were therefore reported as having no current disorder. Twelve of them participated in the neuropsychological assessment.</w:t>
      </w:r>
      <w:r w:rsidR="006176B9">
        <w:rPr>
          <w:b/>
          <w:sz w:val="18"/>
          <w:szCs w:val="18"/>
          <w:lang w:val="en-US"/>
        </w:rPr>
        <w:br w:type="page"/>
      </w:r>
    </w:p>
    <w:p w14:paraId="4241FD7E" w14:textId="3B9C141F" w:rsidR="006F7EB3" w:rsidRPr="00615D05" w:rsidRDefault="006F7EB3" w:rsidP="006F7EB3">
      <w:pPr>
        <w:pStyle w:val="Geenafstand"/>
        <w:spacing w:line="480" w:lineRule="auto"/>
        <w:rPr>
          <w:b/>
          <w:sz w:val="20"/>
          <w:szCs w:val="18"/>
          <w:lang w:val="en-US"/>
        </w:rPr>
      </w:pPr>
      <w:r w:rsidRPr="00615D05">
        <w:rPr>
          <w:b/>
          <w:sz w:val="20"/>
          <w:szCs w:val="18"/>
          <w:lang w:val="en-US"/>
        </w:rPr>
        <w:lastRenderedPageBreak/>
        <w:t xml:space="preserve">Table </w:t>
      </w:r>
      <w:r w:rsidR="00DE7EBE">
        <w:rPr>
          <w:b/>
          <w:sz w:val="20"/>
          <w:szCs w:val="18"/>
          <w:lang w:val="en-US"/>
        </w:rPr>
        <w:t>S</w:t>
      </w:r>
      <w:r w:rsidRPr="00615D05">
        <w:rPr>
          <w:b/>
          <w:sz w:val="20"/>
          <w:szCs w:val="18"/>
          <w:lang w:val="en-US"/>
        </w:rPr>
        <w:t xml:space="preserve">3. Significance levels </w:t>
      </w:r>
      <w:r w:rsidR="00A824E6" w:rsidRPr="00615D05">
        <w:rPr>
          <w:b/>
          <w:sz w:val="20"/>
          <w:szCs w:val="18"/>
          <w:lang w:val="en-US"/>
        </w:rPr>
        <w:t xml:space="preserve">from partial Spearman correlations </w:t>
      </w:r>
      <w:r w:rsidRPr="00615D05">
        <w:rPr>
          <w:b/>
          <w:sz w:val="20"/>
          <w:szCs w:val="18"/>
          <w:lang w:val="en-US"/>
        </w:rPr>
        <w:t>between the questionnaire scores and the outcome measures.</w:t>
      </w:r>
    </w:p>
    <w:tbl>
      <w:tblPr>
        <w:tblStyle w:val="Tabelraster"/>
        <w:tblW w:w="9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417"/>
        <w:gridCol w:w="1417"/>
        <w:gridCol w:w="1417"/>
        <w:gridCol w:w="1417"/>
        <w:gridCol w:w="1477"/>
        <w:gridCol w:w="1295"/>
      </w:tblGrid>
      <w:tr w:rsidR="006F7EB3" w14:paraId="7F346BCF" w14:textId="77777777" w:rsidTr="00DB6B66">
        <w:tc>
          <w:tcPr>
            <w:tcW w:w="988" w:type="dxa"/>
            <w:tcBorders>
              <w:top w:val="single" w:sz="4" w:space="0" w:color="auto"/>
              <w:bottom w:val="single" w:sz="4" w:space="0" w:color="auto"/>
              <w:right w:val="single" w:sz="4" w:space="0" w:color="auto"/>
            </w:tcBorders>
          </w:tcPr>
          <w:p w14:paraId="78A6A6EF" w14:textId="77777777" w:rsidR="006F7EB3" w:rsidRPr="00915037" w:rsidRDefault="006F7EB3" w:rsidP="00DB6B66">
            <w:pPr>
              <w:pStyle w:val="Geenafstand"/>
              <w:spacing w:line="480" w:lineRule="auto"/>
              <w:rPr>
                <w:lang w:val="en-US"/>
              </w:rPr>
            </w:pPr>
          </w:p>
        </w:tc>
        <w:tc>
          <w:tcPr>
            <w:tcW w:w="1417" w:type="dxa"/>
            <w:tcBorders>
              <w:top w:val="single" w:sz="4" w:space="0" w:color="auto"/>
              <w:left w:val="single" w:sz="4" w:space="0" w:color="auto"/>
              <w:bottom w:val="single" w:sz="4" w:space="0" w:color="auto"/>
            </w:tcBorders>
          </w:tcPr>
          <w:p w14:paraId="2C5F08B3" w14:textId="77777777" w:rsidR="006F7EB3" w:rsidRPr="00A9317E" w:rsidRDefault="006F7EB3" w:rsidP="00DB6B66">
            <w:pPr>
              <w:pStyle w:val="Geenafstand"/>
              <w:spacing w:line="480" w:lineRule="auto"/>
              <w:rPr>
                <w:b/>
                <w:lang w:val="en-US"/>
              </w:rPr>
            </w:pPr>
            <w:r w:rsidRPr="00A9317E">
              <w:rPr>
                <w:b/>
                <w:lang w:val="en-US"/>
              </w:rPr>
              <w:t>Prob switch rate</w:t>
            </w:r>
          </w:p>
        </w:tc>
        <w:tc>
          <w:tcPr>
            <w:tcW w:w="1417" w:type="dxa"/>
            <w:tcBorders>
              <w:top w:val="single" w:sz="4" w:space="0" w:color="auto"/>
              <w:bottom w:val="single" w:sz="4" w:space="0" w:color="auto"/>
            </w:tcBorders>
          </w:tcPr>
          <w:p w14:paraId="54DD87D4" w14:textId="77777777" w:rsidR="006F7EB3" w:rsidRPr="00A9317E" w:rsidRDefault="006F7EB3" w:rsidP="00DB6B66">
            <w:pPr>
              <w:pStyle w:val="Geenafstand"/>
              <w:spacing w:line="480" w:lineRule="auto"/>
              <w:rPr>
                <w:b/>
                <w:lang w:val="en-US"/>
              </w:rPr>
            </w:pPr>
            <w:r w:rsidRPr="00A9317E">
              <w:rPr>
                <w:b/>
                <w:lang w:val="en-US"/>
              </w:rPr>
              <w:t>Win-stay rate</w:t>
            </w:r>
          </w:p>
        </w:tc>
        <w:tc>
          <w:tcPr>
            <w:tcW w:w="1417" w:type="dxa"/>
            <w:tcBorders>
              <w:top w:val="single" w:sz="4" w:space="0" w:color="auto"/>
              <w:bottom w:val="single" w:sz="4" w:space="0" w:color="auto"/>
            </w:tcBorders>
          </w:tcPr>
          <w:p w14:paraId="51B0B0D2" w14:textId="77777777" w:rsidR="006F7EB3" w:rsidRPr="00A9317E" w:rsidRDefault="006F7EB3" w:rsidP="00DB6B66">
            <w:pPr>
              <w:pStyle w:val="Geenafstand"/>
              <w:spacing w:line="480" w:lineRule="auto"/>
              <w:rPr>
                <w:b/>
                <w:lang w:val="en-US"/>
              </w:rPr>
            </w:pPr>
            <w:r w:rsidRPr="00A9317E">
              <w:rPr>
                <w:b/>
                <w:lang w:val="en-US"/>
              </w:rPr>
              <w:t>Lose-shift rate</w:t>
            </w:r>
          </w:p>
        </w:tc>
        <w:tc>
          <w:tcPr>
            <w:tcW w:w="1417" w:type="dxa"/>
            <w:tcBorders>
              <w:top w:val="single" w:sz="4" w:space="0" w:color="auto"/>
              <w:bottom w:val="single" w:sz="4" w:space="0" w:color="auto"/>
            </w:tcBorders>
          </w:tcPr>
          <w:p w14:paraId="027C5C35" w14:textId="77777777" w:rsidR="006F7EB3" w:rsidRPr="00A9317E" w:rsidRDefault="006F7EB3" w:rsidP="00DB6B66">
            <w:pPr>
              <w:pStyle w:val="Geenafstand"/>
              <w:spacing w:line="480" w:lineRule="auto"/>
              <w:rPr>
                <w:b/>
                <w:lang w:val="en-US"/>
              </w:rPr>
            </w:pPr>
            <w:r w:rsidRPr="00A9317E">
              <w:rPr>
                <w:b/>
                <w:lang w:val="en-US"/>
              </w:rPr>
              <w:t>Reward learning rate</w:t>
            </w:r>
          </w:p>
        </w:tc>
        <w:tc>
          <w:tcPr>
            <w:tcW w:w="1477" w:type="dxa"/>
            <w:tcBorders>
              <w:top w:val="single" w:sz="4" w:space="0" w:color="auto"/>
              <w:bottom w:val="single" w:sz="4" w:space="0" w:color="auto"/>
            </w:tcBorders>
          </w:tcPr>
          <w:p w14:paraId="77EA10A7" w14:textId="77777777" w:rsidR="006F7EB3" w:rsidRPr="00A9317E" w:rsidRDefault="006F7EB3" w:rsidP="00DB6B66">
            <w:pPr>
              <w:pStyle w:val="Geenafstand"/>
              <w:spacing w:line="480" w:lineRule="auto"/>
              <w:rPr>
                <w:b/>
                <w:lang w:val="en-US"/>
              </w:rPr>
            </w:pPr>
            <w:r w:rsidRPr="00A9317E">
              <w:rPr>
                <w:b/>
                <w:lang w:val="en-US"/>
              </w:rPr>
              <w:t>Punishment learning rate</w:t>
            </w:r>
          </w:p>
        </w:tc>
        <w:tc>
          <w:tcPr>
            <w:tcW w:w="1295" w:type="dxa"/>
            <w:tcBorders>
              <w:top w:val="single" w:sz="4" w:space="0" w:color="auto"/>
              <w:bottom w:val="single" w:sz="4" w:space="0" w:color="auto"/>
            </w:tcBorders>
          </w:tcPr>
          <w:p w14:paraId="698DC7BC" w14:textId="77777777" w:rsidR="006F7EB3" w:rsidRPr="00A9317E" w:rsidRDefault="006F7EB3" w:rsidP="00DB6B66">
            <w:pPr>
              <w:pStyle w:val="Geenafstand"/>
              <w:spacing w:line="480" w:lineRule="auto"/>
              <w:rPr>
                <w:b/>
                <w:lang w:val="en-US"/>
              </w:rPr>
            </w:pPr>
            <w:r w:rsidRPr="00A9317E">
              <w:rPr>
                <w:b/>
                <w:lang w:val="en-US"/>
              </w:rPr>
              <w:t>Decision variability</w:t>
            </w:r>
          </w:p>
        </w:tc>
      </w:tr>
      <w:tr w:rsidR="006F7EB3" w14:paraId="5BEB63C5" w14:textId="77777777" w:rsidTr="00DB6B66">
        <w:tc>
          <w:tcPr>
            <w:tcW w:w="988" w:type="dxa"/>
            <w:tcBorders>
              <w:top w:val="single" w:sz="4" w:space="0" w:color="auto"/>
              <w:right w:val="single" w:sz="4" w:space="0" w:color="auto"/>
            </w:tcBorders>
          </w:tcPr>
          <w:p w14:paraId="1918CF59" w14:textId="77777777" w:rsidR="006F7EB3" w:rsidRPr="00A9317E" w:rsidRDefault="006F7EB3" w:rsidP="00DB6B66">
            <w:pPr>
              <w:pStyle w:val="Geenafstand"/>
              <w:spacing w:line="480" w:lineRule="auto"/>
              <w:rPr>
                <w:b/>
                <w:lang w:val="en-US"/>
              </w:rPr>
            </w:pPr>
            <w:r w:rsidRPr="00A9317E">
              <w:rPr>
                <w:b/>
                <w:lang w:val="en-US"/>
              </w:rPr>
              <w:t>IDS-SR</w:t>
            </w:r>
          </w:p>
        </w:tc>
        <w:tc>
          <w:tcPr>
            <w:tcW w:w="1417" w:type="dxa"/>
            <w:tcBorders>
              <w:top w:val="single" w:sz="4" w:space="0" w:color="auto"/>
              <w:left w:val="single" w:sz="4" w:space="0" w:color="auto"/>
            </w:tcBorders>
          </w:tcPr>
          <w:p w14:paraId="67D75994" w14:textId="77777777" w:rsidR="006F7EB3" w:rsidRDefault="006F7EB3" w:rsidP="00DB6B66">
            <w:pPr>
              <w:pStyle w:val="Geenafstand"/>
              <w:spacing w:line="480" w:lineRule="auto"/>
              <w:rPr>
                <w:lang w:val="en-US"/>
              </w:rPr>
            </w:pPr>
            <w:r w:rsidRPr="00C1366E">
              <w:rPr>
                <w:i/>
                <w:lang w:val="en-US"/>
              </w:rPr>
              <w:t>p</w:t>
            </w:r>
            <w:r>
              <w:rPr>
                <w:lang w:val="en-US"/>
              </w:rPr>
              <w:t>=.489</w:t>
            </w:r>
          </w:p>
        </w:tc>
        <w:tc>
          <w:tcPr>
            <w:tcW w:w="1417" w:type="dxa"/>
            <w:tcBorders>
              <w:top w:val="single" w:sz="4" w:space="0" w:color="auto"/>
            </w:tcBorders>
          </w:tcPr>
          <w:p w14:paraId="4B947136" w14:textId="77777777" w:rsidR="006F7EB3" w:rsidRDefault="006F7EB3" w:rsidP="00DB6B66">
            <w:pPr>
              <w:pStyle w:val="Geenafstand"/>
              <w:spacing w:line="480" w:lineRule="auto"/>
              <w:rPr>
                <w:lang w:val="en-US"/>
              </w:rPr>
            </w:pPr>
            <w:r w:rsidRPr="00C1366E">
              <w:rPr>
                <w:i/>
                <w:lang w:val="en-US"/>
              </w:rPr>
              <w:t>p</w:t>
            </w:r>
            <w:r>
              <w:rPr>
                <w:lang w:val="en-US"/>
              </w:rPr>
              <w:t>=.793</w:t>
            </w:r>
          </w:p>
        </w:tc>
        <w:tc>
          <w:tcPr>
            <w:tcW w:w="1417" w:type="dxa"/>
            <w:tcBorders>
              <w:top w:val="single" w:sz="4" w:space="0" w:color="auto"/>
            </w:tcBorders>
          </w:tcPr>
          <w:p w14:paraId="18C7F46B" w14:textId="77777777" w:rsidR="006F7EB3" w:rsidRDefault="006F7EB3" w:rsidP="00DB6B66">
            <w:pPr>
              <w:pStyle w:val="Geenafstand"/>
              <w:spacing w:line="480" w:lineRule="auto"/>
              <w:rPr>
                <w:lang w:val="en-US"/>
              </w:rPr>
            </w:pPr>
            <w:r w:rsidRPr="00C1366E">
              <w:rPr>
                <w:i/>
                <w:lang w:val="en-US"/>
              </w:rPr>
              <w:t>p</w:t>
            </w:r>
            <w:r>
              <w:rPr>
                <w:lang w:val="en-US"/>
              </w:rPr>
              <w:t>=.741</w:t>
            </w:r>
          </w:p>
        </w:tc>
        <w:tc>
          <w:tcPr>
            <w:tcW w:w="1417" w:type="dxa"/>
            <w:tcBorders>
              <w:top w:val="single" w:sz="4" w:space="0" w:color="auto"/>
            </w:tcBorders>
          </w:tcPr>
          <w:p w14:paraId="49F87181" w14:textId="77777777" w:rsidR="006F7EB3" w:rsidRPr="00915037" w:rsidRDefault="006F7EB3" w:rsidP="00DB6B66">
            <w:pPr>
              <w:pStyle w:val="Geenafstand"/>
              <w:spacing w:line="480" w:lineRule="auto"/>
              <w:rPr>
                <w:lang w:val="en-US"/>
              </w:rPr>
            </w:pPr>
            <w:r w:rsidRPr="00C1366E">
              <w:rPr>
                <w:i/>
                <w:lang w:val="en-US"/>
              </w:rPr>
              <w:t>p</w:t>
            </w:r>
            <w:r>
              <w:rPr>
                <w:lang w:val="en-US"/>
              </w:rPr>
              <w:t>=.129</w:t>
            </w:r>
          </w:p>
        </w:tc>
        <w:tc>
          <w:tcPr>
            <w:tcW w:w="1477" w:type="dxa"/>
            <w:tcBorders>
              <w:top w:val="single" w:sz="4" w:space="0" w:color="auto"/>
            </w:tcBorders>
          </w:tcPr>
          <w:p w14:paraId="5B274A63" w14:textId="77777777" w:rsidR="006F7EB3" w:rsidRPr="00915037" w:rsidRDefault="006F7EB3" w:rsidP="00DB6B66">
            <w:pPr>
              <w:pStyle w:val="Geenafstand"/>
              <w:spacing w:line="480" w:lineRule="auto"/>
              <w:rPr>
                <w:lang w:val="en-US"/>
              </w:rPr>
            </w:pPr>
            <w:r w:rsidRPr="00C1366E">
              <w:rPr>
                <w:i/>
                <w:lang w:val="en-US"/>
              </w:rPr>
              <w:t>p</w:t>
            </w:r>
            <w:r>
              <w:rPr>
                <w:lang w:val="en-US"/>
              </w:rPr>
              <w:t>=.094</w:t>
            </w:r>
          </w:p>
        </w:tc>
        <w:tc>
          <w:tcPr>
            <w:tcW w:w="1295" w:type="dxa"/>
            <w:tcBorders>
              <w:top w:val="single" w:sz="4" w:space="0" w:color="auto"/>
            </w:tcBorders>
          </w:tcPr>
          <w:p w14:paraId="0D5DA0B8" w14:textId="77777777" w:rsidR="006F7EB3" w:rsidRPr="00915037" w:rsidRDefault="006F7EB3" w:rsidP="00DB6B66">
            <w:pPr>
              <w:pStyle w:val="Geenafstand"/>
              <w:spacing w:line="480" w:lineRule="auto"/>
              <w:rPr>
                <w:lang w:val="en-US"/>
              </w:rPr>
            </w:pPr>
            <w:r w:rsidRPr="00C1366E">
              <w:rPr>
                <w:i/>
                <w:lang w:val="en-US"/>
              </w:rPr>
              <w:t>p</w:t>
            </w:r>
            <w:r>
              <w:rPr>
                <w:lang w:val="en-US"/>
              </w:rPr>
              <w:t>=.186</w:t>
            </w:r>
          </w:p>
        </w:tc>
      </w:tr>
      <w:tr w:rsidR="006F7EB3" w14:paraId="67FD0BC6" w14:textId="77777777" w:rsidTr="00DB6B66">
        <w:tc>
          <w:tcPr>
            <w:tcW w:w="988" w:type="dxa"/>
            <w:tcBorders>
              <w:right w:val="single" w:sz="4" w:space="0" w:color="auto"/>
            </w:tcBorders>
          </w:tcPr>
          <w:p w14:paraId="705F6DDB" w14:textId="77777777" w:rsidR="006F7EB3" w:rsidRPr="00A9317E" w:rsidRDefault="006F7EB3" w:rsidP="00DB6B66">
            <w:pPr>
              <w:pStyle w:val="Geenafstand"/>
              <w:spacing w:line="480" w:lineRule="auto"/>
              <w:rPr>
                <w:b/>
                <w:lang w:val="en-US"/>
              </w:rPr>
            </w:pPr>
            <w:r w:rsidRPr="00A9317E">
              <w:rPr>
                <w:b/>
                <w:lang w:val="en-US"/>
              </w:rPr>
              <w:t>ASI</w:t>
            </w:r>
          </w:p>
        </w:tc>
        <w:tc>
          <w:tcPr>
            <w:tcW w:w="1417" w:type="dxa"/>
            <w:tcBorders>
              <w:left w:val="single" w:sz="4" w:space="0" w:color="auto"/>
            </w:tcBorders>
          </w:tcPr>
          <w:p w14:paraId="18065CFA" w14:textId="77777777" w:rsidR="006F7EB3" w:rsidRDefault="006F7EB3" w:rsidP="00DB6B66">
            <w:pPr>
              <w:pStyle w:val="Geenafstand"/>
              <w:spacing w:line="480" w:lineRule="auto"/>
              <w:rPr>
                <w:lang w:val="en-US"/>
              </w:rPr>
            </w:pPr>
            <w:r w:rsidRPr="00C1366E">
              <w:rPr>
                <w:i/>
                <w:lang w:val="en-US"/>
              </w:rPr>
              <w:t>p</w:t>
            </w:r>
            <w:r>
              <w:rPr>
                <w:lang w:val="en-US"/>
              </w:rPr>
              <w:t>=.870</w:t>
            </w:r>
          </w:p>
        </w:tc>
        <w:tc>
          <w:tcPr>
            <w:tcW w:w="1417" w:type="dxa"/>
          </w:tcPr>
          <w:p w14:paraId="4729A462" w14:textId="77777777" w:rsidR="006F7EB3" w:rsidRDefault="006F7EB3" w:rsidP="00DB6B66">
            <w:pPr>
              <w:pStyle w:val="Geenafstand"/>
              <w:spacing w:line="480" w:lineRule="auto"/>
              <w:rPr>
                <w:lang w:val="en-US"/>
              </w:rPr>
            </w:pPr>
            <w:r w:rsidRPr="00C1366E">
              <w:rPr>
                <w:i/>
                <w:lang w:val="en-US"/>
              </w:rPr>
              <w:t>p</w:t>
            </w:r>
            <w:r>
              <w:rPr>
                <w:lang w:val="en-US"/>
              </w:rPr>
              <w:t>=.299</w:t>
            </w:r>
          </w:p>
        </w:tc>
        <w:tc>
          <w:tcPr>
            <w:tcW w:w="1417" w:type="dxa"/>
          </w:tcPr>
          <w:p w14:paraId="23941AF8" w14:textId="77777777" w:rsidR="006F7EB3" w:rsidRDefault="006F7EB3" w:rsidP="00DB6B66">
            <w:pPr>
              <w:pStyle w:val="Geenafstand"/>
              <w:spacing w:line="480" w:lineRule="auto"/>
              <w:rPr>
                <w:lang w:val="en-US"/>
              </w:rPr>
            </w:pPr>
            <w:r w:rsidRPr="00C1366E">
              <w:rPr>
                <w:i/>
                <w:lang w:val="en-US"/>
              </w:rPr>
              <w:t>p</w:t>
            </w:r>
            <w:r>
              <w:rPr>
                <w:lang w:val="en-US"/>
              </w:rPr>
              <w:t>=.754</w:t>
            </w:r>
          </w:p>
        </w:tc>
        <w:tc>
          <w:tcPr>
            <w:tcW w:w="1417" w:type="dxa"/>
          </w:tcPr>
          <w:p w14:paraId="03DB6DFF" w14:textId="77777777" w:rsidR="006F7EB3" w:rsidRPr="00915037" w:rsidRDefault="006F7EB3" w:rsidP="00DB6B66">
            <w:pPr>
              <w:pStyle w:val="Geenafstand"/>
              <w:spacing w:line="480" w:lineRule="auto"/>
              <w:rPr>
                <w:lang w:val="en-US"/>
              </w:rPr>
            </w:pPr>
            <w:r w:rsidRPr="00C1366E">
              <w:rPr>
                <w:i/>
                <w:lang w:val="en-US"/>
              </w:rPr>
              <w:t>p</w:t>
            </w:r>
            <w:r>
              <w:rPr>
                <w:lang w:val="en-US"/>
              </w:rPr>
              <w:t>=.242</w:t>
            </w:r>
          </w:p>
        </w:tc>
        <w:tc>
          <w:tcPr>
            <w:tcW w:w="1477" w:type="dxa"/>
          </w:tcPr>
          <w:p w14:paraId="14177135" w14:textId="77777777" w:rsidR="006F7EB3" w:rsidRPr="00915037" w:rsidRDefault="006F7EB3" w:rsidP="00DB6B66">
            <w:pPr>
              <w:pStyle w:val="Geenafstand"/>
              <w:spacing w:line="480" w:lineRule="auto"/>
              <w:rPr>
                <w:lang w:val="en-US"/>
              </w:rPr>
            </w:pPr>
            <w:r w:rsidRPr="00C1366E">
              <w:rPr>
                <w:i/>
                <w:lang w:val="en-US"/>
              </w:rPr>
              <w:t>p</w:t>
            </w:r>
            <w:r>
              <w:rPr>
                <w:lang w:val="en-US"/>
              </w:rPr>
              <w:t>=.180</w:t>
            </w:r>
          </w:p>
        </w:tc>
        <w:tc>
          <w:tcPr>
            <w:tcW w:w="1295" w:type="dxa"/>
          </w:tcPr>
          <w:p w14:paraId="625EC01D" w14:textId="77777777" w:rsidR="006F7EB3" w:rsidRPr="00915037" w:rsidRDefault="006F7EB3" w:rsidP="00DB6B66">
            <w:pPr>
              <w:pStyle w:val="Geenafstand"/>
              <w:spacing w:line="480" w:lineRule="auto"/>
              <w:rPr>
                <w:lang w:val="en-US"/>
              </w:rPr>
            </w:pPr>
            <w:r w:rsidRPr="00C1366E">
              <w:rPr>
                <w:i/>
                <w:lang w:val="en-US"/>
              </w:rPr>
              <w:t>p</w:t>
            </w:r>
            <w:r>
              <w:rPr>
                <w:lang w:val="en-US"/>
              </w:rPr>
              <w:t>=.729</w:t>
            </w:r>
          </w:p>
        </w:tc>
      </w:tr>
      <w:tr w:rsidR="006F7EB3" w14:paraId="6DA557A1" w14:textId="77777777" w:rsidTr="00DB6B66">
        <w:tc>
          <w:tcPr>
            <w:tcW w:w="988" w:type="dxa"/>
            <w:tcBorders>
              <w:right w:val="single" w:sz="4" w:space="0" w:color="auto"/>
            </w:tcBorders>
          </w:tcPr>
          <w:p w14:paraId="71B992B4" w14:textId="77777777" w:rsidR="006F7EB3" w:rsidRPr="00A9317E" w:rsidRDefault="006F7EB3" w:rsidP="00DB6B66">
            <w:pPr>
              <w:pStyle w:val="Geenafstand"/>
              <w:spacing w:line="480" w:lineRule="auto"/>
              <w:rPr>
                <w:b/>
                <w:lang w:val="en-US"/>
              </w:rPr>
            </w:pPr>
            <w:r w:rsidRPr="00A9317E">
              <w:rPr>
                <w:b/>
                <w:lang w:val="en-US"/>
              </w:rPr>
              <w:t>CAARS</w:t>
            </w:r>
          </w:p>
        </w:tc>
        <w:tc>
          <w:tcPr>
            <w:tcW w:w="1417" w:type="dxa"/>
            <w:tcBorders>
              <w:left w:val="single" w:sz="4" w:space="0" w:color="auto"/>
            </w:tcBorders>
          </w:tcPr>
          <w:p w14:paraId="773DF32E" w14:textId="77777777" w:rsidR="006F7EB3" w:rsidRDefault="006F7EB3" w:rsidP="00DB6B66">
            <w:pPr>
              <w:pStyle w:val="Geenafstand"/>
              <w:spacing w:line="480" w:lineRule="auto"/>
              <w:rPr>
                <w:lang w:val="en-US"/>
              </w:rPr>
            </w:pPr>
            <w:r w:rsidRPr="00C1366E">
              <w:rPr>
                <w:i/>
                <w:lang w:val="en-US"/>
              </w:rPr>
              <w:t>p</w:t>
            </w:r>
            <w:r>
              <w:rPr>
                <w:lang w:val="en-US"/>
              </w:rPr>
              <w:t>=.561</w:t>
            </w:r>
          </w:p>
        </w:tc>
        <w:tc>
          <w:tcPr>
            <w:tcW w:w="1417" w:type="dxa"/>
          </w:tcPr>
          <w:p w14:paraId="1EA72C37" w14:textId="77777777" w:rsidR="006F7EB3" w:rsidRDefault="006F7EB3" w:rsidP="00DB6B66">
            <w:pPr>
              <w:pStyle w:val="Geenafstand"/>
              <w:spacing w:line="480" w:lineRule="auto"/>
              <w:rPr>
                <w:lang w:val="en-US"/>
              </w:rPr>
            </w:pPr>
            <w:r w:rsidRPr="00C1366E">
              <w:rPr>
                <w:i/>
                <w:lang w:val="en-US"/>
              </w:rPr>
              <w:t>p</w:t>
            </w:r>
            <w:r>
              <w:rPr>
                <w:lang w:val="en-US"/>
              </w:rPr>
              <w:t>=.883</w:t>
            </w:r>
          </w:p>
        </w:tc>
        <w:tc>
          <w:tcPr>
            <w:tcW w:w="1417" w:type="dxa"/>
          </w:tcPr>
          <w:p w14:paraId="0E58013E" w14:textId="77777777" w:rsidR="006F7EB3" w:rsidRDefault="006F7EB3" w:rsidP="00DB6B66">
            <w:pPr>
              <w:pStyle w:val="Geenafstand"/>
              <w:spacing w:line="480" w:lineRule="auto"/>
              <w:rPr>
                <w:lang w:val="en-US"/>
              </w:rPr>
            </w:pPr>
            <w:r w:rsidRPr="00C1366E">
              <w:rPr>
                <w:i/>
                <w:lang w:val="en-US"/>
              </w:rPr>
              <w:t>p</w:t>
            </w:r>
            <w:r>
              <w:rPr>
                <w:lang w:val="en-US"/>
              </w:rPr>
              <w:t>=.754</w:t>
            </w:r>
          </w:p>
        </w:tc>
        <w:tc>
          <w:tcPr>
            <w:tcW w:w="1417" w:type="dxa"/>
          </w:tcPr>
          <w:p w14:paraId="61345108" w14:textId="77777777" w:rsidR="006F7EB3" w:rsidRPr="00915037" w:rsidRDefault="006F7EB3" w:rsidP="00DB6B66">
            <w:pPr>
              <w:pStyle w:val="Geenafstand"/>
              <w:spacing w:line="480" w:lineRule="auto"/>
              <w:rPr>
                <w:lang w:val="en-US"/>
              </w:rPr>
            </w:pPr>
            <w:r w:rsidRPr="00C1366E">
              <w:rPr>
                <w:i/>
                <w:lang w:val="en-US"/>
              </w:rPr>
              <w:t>p</w:t>
            </w:r>
            <w:r>
              <w:rPr>
                <w:lang w:val="en-US"/>
              </w:rPr>
              <w:t>=.163</w:t>
            </w:r>
          </w:p>
        </w:tc>
        <w:tc>
          <w:tcPr>
            <w:tcW w:w="1477" w:type="dxa"/>
          </w:tcPr>
          <w:p w14:paraId="2F1591E0" w14:textId="77777777" w:rsidR="006F7EB3" w:rsidRPr="00915037" w:rsidRDefault="006F7EB3" w:rsidP="00DB6B66">
            <w:pPr>
              <w:pStyle w:val="Geenafstand"/>
              <w:spacing w:line="480" w:lineRule="auto"/>
              <w:rPr>
                <w:lang w:val="en-US"/>
              </w:rPr>
            </w:pPr>
            <w:r w:rsidRPr="00C1366E">
              <w:rPr>
                <w:i/>
                <w:lang w:val="en-US"/>
              </w:rPr>
              <w:t>p</w:t>
            </w:r>
            <w:r>
              <w:rPr>
                <w:lang w:val="en-US"/>
              </w:rPr>
              <w:t>=.102</w:t>
            </w:r>
          </w:p>
        </w:tc>
        <w:tc>
          <w:tcPr>
            <w:tcW w:w="1295" w:type="dxa"/>
          </w:tcPr>
          <w:p w14:paraId="6989FC6A" w14:textId="77777777" w:rsidR="006F7EB3" w:rsidRPr="00915037" w:rsidRDefault="006F7EB3" w:rsidP="00DB6B66">
            <w:pPr>
              <w:pStyle w:val="Geenafstand"/>
              <w:spacing w:line="480" w:lineRule="auto"/>
              <w:rPr>
                <w:lang w:val="en-US"/>
              </w:rPr>
            </w:pPr>
            <w:r w:rsidRPr="00C1366E">
              <w:rPr>
                <w:i/>
                <w:lang w:val="en-US"/>
              </w:rPr>
              <w:t>p</w:t>
            </w:r>
            <w:r>
              <w:rPr>
                <w:lang w:val="en-US"/>
              </w:rPr>
              <w:t>=.275</w:t>
            </w:r>
          </w:p>
        </w:tc>
      </w:tr>
      <w:tr w:rsidR="006F7EB3" w14:paraId="6E903E5E" w14:textId="77777777" w:rsidTr="00DB6B66">
        <w:tc>
          <w:tcPr>
            <w:tcW w:w="988" w:type="dxa"/>
            <w:tcBorders>
              <w:bottom w:val="single" w:sz="4" w:space="0" w:color="auto"/>
              <w:right w:val="single" w:sz="4" w:space="0" w:color="auto"/>
            </w:tcBorders>
          </w:tcPr>
          <w:p w14:paraId="7B1FB59E" w14:textId="77777777" w:rsidR="006F7EB3" w:rsidRPr="00A9317E" w:rsidRDefault="006F7EB3" w:rsidP="00DB6B66">
            <w:pPr>
              <w:pStyle w:val="Geenafstand"/>
              <w:spacing w:line="480" w:lineRule="auto"/>
              <w:rPr>
                <w:b/>
                <w:lang w:val="en-US"/>
              </w:rPr>
            </w:pPr>
            <w:r w:rsidRPr="00A9317E">
              <w:rPr>
                <w:b/>
                <w:lang w:val="en-US"/>
              </w:rPr>
              <w:t>AQ-50</w:t>
            </w:r>
          </w:p>
        </w:tc>
        <w:tc>
          <w:tcPr>
            <w:tcW w:w="1417" w:type="dxa"/>
            <w:tcBorders>
              <w:left w:val="single" w:sz="4" w:space="0" w:color="auto"/>
              <w:bottom w:val="single" w:sz="4" w:space="0" w:color="auto"/>
            </w:tcBorders>
          </w:tcPr>
          <w:p w14:paraId="0A87719A" w14:textId="77777777" w:rsidR="006F7EB3" w:rsidRDefault="006F7EB3" w:rsidP="00DB6B66">
            <w:pPr>
              <w:pStyle w:val="Geenafstand"/>
              <w:spacing w:line="480" w:lineRule="auto"/>
              <w:rPr>
                <w:lang w:val="en-US"/>
              </w:rPr>
            </w:pPr>
            <w:r w:rsidRPr="00C1366E">
              <w:rPr>
                <w:i/>
                <w:lang w:val="en-US"/>
              </w:rPr>
              <w:t>p</w:t>
            </w:r>
            <w:r>
              <w:rPr>
                <w:lang w:val="en-US"/>
              </w:rPr>
              <w:t>=.142</w:t>
            </w:r>
          </w:p>
        </w:tc>
        <w:tc>
          <w:tcPr>
            <w:tcW w:w="1417" w:type="dxa"/>
            <w:tcBorders>
              <w:bottom w:val="single" w:sz="4" w:space="0" w:color="auto"/>
            </w:tcBorders>
          </w:tcPr>
          <w:p w14:paraId="091DD686" w14:textId="77777777" w:rsidR="006F7EB3" w:rsidRDefault="006F7EB3" w:rsidP="00DB6B66">
            <w:pPr>
              <w:pStyle w:val="Geenafstand"/>
              <w:spacing w:line="480" w:lineRule="auto"/>
              <w:rPr>
                <w:lang w:val="en-US"/>
              </w:rPr>
            </w:pPr>
            <w:r w:rsidRPr="00C1366E">
              <w:rPr>
                <w:i/>
                <w:lang w:val="en-US"/>
              </w:rPr>
              <w:t>p</w:t>
            </w:r>
            <w:r>
              <w:rPr>
                <w:lang w:val="en-US"/>
              </w:rPr>
              <w:t>=.849</w:t>
            </w:r>
          </w:p>
        </w:tc>
        <w:tc>
          <w:tcPr>
            <w:tcW w:w="1417" w:type="dxa"/>
            <w:tcBorders>
              <w:bottom w:val="single" w:sz="4" w:space="0" w:color="auto"/>
            </w:tcBorders>
          </w:tcPr>
          <w:p w14:paraId="58BB8149" w14:textId="77777777" w:rsidR="006F7EB3" w:rsidRDefault="006F7EB3" w:rsidP="00DB6B66">
            <w:pPr>
              <w:pStyle w:val="Geenafstand"/>
              <w:spacing w:line="480" w:lineRule="auto"/>
              <w:rPr>
                <w:lang w:val="en-US"/>
              </w:rPr>
            </w:pPr>
            <w:r w:rsidRPr="00C1366E">
              <w:rPr>
                <w:i/>
                <w:lang w:val="en-US"/>
              </w:rPr>
              <w:t>p</w:t>
            </w:r>
            <w:r>
              <w:rPr>
                <w:lang w:val="en-US"/>
              </w:rPr>
              <w:t>=.257</w:t>
            </w:r>
          </w:p>
        </w:tc>
        <w:tc>
          <w:tcPr>
            <w:tcW w:w="1417" w:type="dxa"/>
            <w:tcBorders>
              <w:bottom w:val="single" w:sz="4" w:space="0" w:color="auto"/>
            </w:tcBorders>
          </w:tcPr>
          <w:p w14:paraId="2C5BA69C" w14:textId="77777777" w:rsidR="006F7EB3" w:rsidRPr="00915037" w:rsidRDefault="006F7EB3" w:rsidP="00DB6B66">
            <w:pPr>
              <w:pStyle w:val="Geenafstand"/>
              <w:spacing w:line="480" w:lineRule="auto"/>
              <w:rPr>
                <w:lang w:val="en-US"/>
              </w:rPr>
            </w:pPr>
            <w:r w:rsidRPr="00C1366E">
              <w:rPr>
                <w:i/>
                <w:lang w:val="en-US"/>
              </w:rPr>
              <w:t>p</w:t>
            </w:r>
            <w:r>
              <w:rPr>
                <w:lang w:val="en-US"/>
              </w:rPr>
              <w:t>=.696</w:t>
            </w:r>
          </w:p>
        </w:tc>
        <w:tc>
          <w:tcPr>
            <w:tcW w:w="1477" w:type="dxa"/>
            <w:tcBorders>
              <w:bottom w:val="single" w:sz="4" w:space="0" w:color="auto"/>
            </w:tcBorders>
          </w:tcPr>
          <w:p w14:paraId="53138763" w14:textId="77777777" w:rsidR="006F7EB3" w:rsidRPr="00915037" w:rsidRDefault="006F7EB3" w:rsidP="00DB6B66">
            <w:pPr>
              <w:pStyle w:val="Geenafstand"/>
              <w:spacing w:line="480" w:lineRule="auto"/>
              <w:rPr>
                <w:lang w:val="en-US"/>
              </w:rPr>
            </w:pPr>
            <w:r w:rsidRPr="00C1366E">
              <w:rPr>
                <w:i/>
                <w:lang w:val="en-US"/>
              </w:rPr>
              <w:t>p</w:t>
            </w:r>
            <w:r>
              <w:rPr>
                <w:lang w:val="en-US"/>
              </w:rPr>
              <w:t>=.636</w:t>
            </w:r>
          </w:p>
        </w:tc>
        <w:tc>
          <w:tcPr>
            <w:tcW w:w="1295" w:type="dxa"/>
            <w:tcBorders>
              <w:bottom w:val="single" w:sz="4" w:space="0" w:color="auto"/>
            </w:tcBorders>
          </w:tcPr>
          <w:p w14:paraId="2F3DBD34" w14:textId="77777777" w:rsidR="006F7EB3" w:rsidRPr="00915037" w:rsidRDefault="006F7EB3" w:rsidP="00DB6B66">
            <w:pPr>
              <w:pStyle w:val="Geenafstand"/>
              <w:spacing w:line="480" w:lineRule="auto"/>
              <w:rPr>
                <w:lang w:val="en-US"/>
              </w:rPr>
            </w:pPr>
            <w:r w:rsidRPr="00C1366E">
              <w:rPr>
                <w:i/>
                <w:lang w:val="en-US"/>
              </w:rPr>
              <w:t>p</w:t>
            </w:r>
            <w:r>
              <w:rPr>
                <w:lang w:val="en-US"/>
              </w:rPr>
              <w:t>=.658</w:t>
            </w:r>
          </w:p>
        </w:tc>
      </w:tr>
    </w:tbl>
    <w:p w14:paraId="5456AB86" w14:textId="77777777" w:rsidR="006176B9" w:rsidRDefault="006176B9">
      <w:pPr>
        <w:rPr>
          <w:b/>
          <w:sz w:val="18"/>
          <w:szCs w:val="18"/>
          <w:lang w:val="en-US"/>
        </w:rPr>
      </w:pPr>
      <w:r>
        <w:rPr>
          <w:b/>
          <w:sz w:val="18"/>
          <w:szCs w:val="18"/>
          <w:lang w:val="en-US"/>
        </w:rPr>
        <w:br w:type="page"/>
      </w:r>
    </w:p>
    <w:p w14:paraId="7680880C" w14:textId="0FEB486E" w:rsidR="006F7EB3" w:rsidRPr="00615D05" w:rsidRDefault="006F7EB3" w:rsidP="006F7EB3">
      <w:pPr>
        <w:pStyle w:val="Geenafstand"/>
        <w:spacing w:line="480" w:lineRule="auto"/>
        <w:rPr>
          <w:sz w:val="24"/>
          <w:lang w:val="en-US"/>
        </w:rPr>
      </w:pPr>
      <w:r w:rsidRPr="00615D05">
        <w:rPr>
          <w:b/>
          <w:sz w:val="20"/>
          <w:szCs w:val="18"/>
          <w:lang w:val="en-US"/>
        </w:rPr>
        <w:lastRenderedPageBreak/>
        <w:t xml:space="preserve">Table </w:t>
      </w:r>
      <w:r w:rsidR="00DE7EBE">
        <w:rPr>
          <w:b/>
          <w:sz w:val="20"/>
          <w:szCs w:val="18"/>
          <w:lang w:val="en-US"/>
        </w:rPr>
        <w:t>S</w:t>
      </w:r>
      <w:r w:rsidRPr="00615D05">
        <w:rPr>
          <w:b/>
          <w:sz w:val="20"/>
          <w:szCs w:val="18"/>
          <w:lang w:val="en-US"/>
        </w:rPr>
        <w:t>4. Patient sample based on other diagnoses absent or present.</w:t>
      </w:r>
    </w:p>
    <w:tbl>
      <w:tblPr>
        <w:tblStyle w:val="Tabelraster"/>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585"/>
        <w:gridCol w:w="1813"/>
        <w:gridCol w:w="1821"/>
        <w:gridCol w:w="1821"/>
      </w:tblGrid>
      <w:tr w:rsidR="006F7EB3" w14:paraId="69A28429" w14:textId="77777777" w:rsidTr="00DB6B66">
        <w:tc>
          <w:tcPr>
            <w:tcW w:w="2340" w:type="dxa"/>
            <w:tcBorders>
              <w:top w:val="single" w:sz="4" w:space="0" w:color="auto"/>
              <w:bottom w:val="single" w:sz="4" w:space="0" w:color="auto"/>
              <w:right w:val="single" w:sz="4" w:space="0" w:color="auto"/>
            </w:tcBorders>
          </w:tcPr>
          <w:p w14:paraId="3BF03948" w14:textId="77777777" w:rsidR="006F7EB3" w:rsidRDefault="006F7EB3" w:rsidP="00DB6B66">
            <w:pPr>
              <w:pStyle w:val="Geenafstand"/>
              <w:spacing w:line="480" w:lineRule="auto"/>
              <w:rPr>
                <w:lang w:val="en-US"/>
              </w:rPr>
            </w:pPr>
          </w:p>
        </w:tc>
        <w:tc>
          <w:tcPr>
            <w:tcW w:w="1585" w:type="dxa"/>
            <w:tcBorders>
              <w:top w:val="single" w:sz="4" w:space="0" w:color="auto"/>
              <w:left w:val="single" w:sz="4" w:space="0" w:color="auto"/>
              <w:bottom w:val="single" w:sz="4" w:space="0" w:color="auto"/>
            </w:tcBorders>
          </w:tcPr>
          <w:p w14:paraId="09D261FE" w14:textId="77777777" w:rsidR="006F7EB3" w:rsidRPr="00A9317E" w:rsidRDefault="006F7EB3" w:rsidP="00DB6B66">
            <w:pPr>
              <w:pStyle w:val="Geenafstand"/>
              <w:spacing w:line="480" w:lineRule="auto"/>
              <w:rPr>
                <w:b/>
                <w:lang w:val="en-US"/>
              </w:rPr>
            </w:pPr>
            <w:r w:rsidRPr="00A9317E">
              <w:rPr>
                <w:b/>
                <w:lang w:val="en-US"/>
              </w:rPr>
              <w:t>Anxiety</w:t>
            </w:r>
          </w:p>
        </w:tc>
        <w:tc>
          <w:tcPr>
            <w:tcW w:w="1813" w:type="dxa"/>
            <w:tcBorders>
              <w:top w:val="single" w:sz="4" w:space="0" w:color="auto"/>
              <w:bottom w:val="single" w:sz="4" w:space="0" w:color="auto"/>
            </w:tcBorders>
          </w:tcPr>
          <w:p w14:paraId="6705F0CA" w14:textId="77777777" w:rsidR="006F7EB3" w:rsidRPr="00A9317E" w:rsidRDefault="006F7EB3" w:rsidP="00DB6B66">
            <w:pPr>
              <w:pStyle w:val="Geenafstand"/>
              <w:spacing w:line="480" w:lineRule="auto"/>
              <w:rPr>
                <w:b/>
                <w:lang w:val="en-US"/>
              </w:rPr>
            </w:pPr>
            <w:r w:rsidRPr="00A9317E">
              <w:rPr>
                <w:b/>
                <w:lang w:val="en-US"/>
              </w:rPr>
              <w:t>Addiction</w:t>
            </w:r>
          </w:p>
        </w:tc>
        <w:tc>
          <w:tcPr>
            <w:tcW w:w="1821" w:type="dxa"/>
            <w:tcBorders>
              <w:top w:val="single" w:sz="4" w:space="0" w:color="auto"/>
              <w:bottom w:val="single" w:sz="4" w:space="0" w:color="auto"/>
            </w:tcBorders>
          </w:tcPr>
          <w:p w14:paraId="69F352F7" w14:textId="77777777" w:rsidR="006F7EB3" w:rsidRPr="00A9317E" w:rsidRDefault="006F7EB3" w:rsidP="00DB6B66">
            <w:pPr>
              <w:pStyle w:val="Geenafstand"/>
              <w:spacing w:line="480" w:lineRule="auto"/>
              <w:rPr>
                <w:b/>
                <w:lang w:val="en-US"/>
              </w:rPr>
            </w:pPr>
            <w:r w:rsidRPr="00A9317E">
              <w:rPr>
                <w:b/>
                <w:lang w:val="en-US"/>
              </w:rPr>
              <w:t>ADHD</w:t>
            </w:r>
          </w:p>
        </w:tc>
        <w:tc>
          <w:tcPr>
            <w:tcW w:w="1821" w:type="dxa"/>
            <w:tcBorders>
              <w:top w:val="single" w:sz="4" w:space="0" w:color="auto"/>
              <w:bottom w:val="single" w:sz="4" w:space="0" w:color="auto"/>
            </w:tcBorders>
          </w:tcPr>
          <w:p w14:paraId="36C2C8EA" w14:textId="77777777" w:rsidR="006F7EB3" w:rsidRPr="00A9317E" w:rsidRDefault="006F7EB3" w:rsidP="00DB6B66">
            <w:pPr>
              <w:pStyle w:val="Geenafstand"/>
              <w:spacing w:line="480" w:lineRule="auto"/>
              <w:rPr>
                <w:b/>
                <w:lang w:val="en-US"/>
              </w:rPr>
            </w:pPr>
            <w:r w:rsidRPr="00A9317E">
              <w:rPr>
                <w:b/>
                <w:lang w:val="en-US"/>
              </w:rPr>
              <w:t>ASD</w:t>
            </w:r>
          </w:p>
        </w:tc>
      </w:tr>
      <w:tr w:rsidR="006F7EB3" w14:paraId="0EDD912B" w14:textId="77777777" w:rsidTr="00DB6B66">
        <w:tc>
          <w:tcPr>
            <w:tcW w:w="2340" w:type="dxa"/>
            <w:tcBorders>
              <w:top w:val="single" w:sz="4" w:space="0" w:color="auto"/>
              <w:right w:val="single" w:sz="4" w:space="0" w:color="auto"/>
            </w:tcBorders>
          </w:tcPr>
          <w:p w14:paraId="1AB4F9DB" w14:textId="77777777" w:rsidR="006F7EB3" w:rsidRPr="00A9317E" w:rsidRDefault="006F7EB3" w:rsidP="00DB6B66">
            <w:pPr>
              <w:pStyle w:val="Geenafstand"/>
              <w:spacing w:line="480" w:lineRule="auto"/>
              <w:rPr>
                <w:b/>
                <w:lang w:val="en-US"/>
              </w:rPr>
            </w:pPr>
            <w:r w:rsidRPr="00A9317E">
              <w:rPr>
                <w:b/>
                <w:lang w:val="en-US"/>
              </w:rPr>
              <w:t>Probabilistic switch rate</w:t>
            </w:r>
          </w:p>
        </w:tc>
        <w:tc>
          <w:tcPr>
            <w:tcW w:w="1585" w:type="dxa"/>
            <w:tcBorders>
              <w:top w:val="single" w:sz="4" w:space="0" w:color="auto"/>
              <w:left w:val="single" w:sz="4" w:space="0" w:color="auto"/>
            </w:tcBorders>
          </w:tcPr>
          <w:p w14:paraId="2BE1FBAF" w14:textId="77777777" w:rsidR="006F7EB3" w:rsidRDefault="006F7EB3" w:rsidP="00DB6B66">
            <w:pPr>
              <w:pStyle w:val="Geenafstand"/>
              <w:spacing w:line="480" w:lineRule="auto"/>
              <w:rPr>
                <w:lang w:val="en-US"/>
              </w:rPr>
            </w:pPr>
            <w:r w:rsidRPr="00FE476B">
              <w:rPr>
                <w:i/>
                <w:lang w:val="en-US"/>
              </w:rPr>
              <w:t>F</w:t>
            </w:r>
            <w:r w:rsidRPr="00965221">
              <w:rPr>
                <w:lang w:val="en-US"/>
              </w:rPr>
              <w:t>(</w:t>
            </w:r>
            <w:r>
              <w:rPr>
                <w:lang w:val="en-US"/>
              </w:rPr>
              <w:t>2,286)=.47</w:t>
            </w:r>
            <w:r w:rsidRPr="00D52C34">
              <w:rPr>
                <w:lang w:val="en-US"/>
              </w:rPr>
              <w:t xml:space="preserve">, </w:t>
            </w:r>
            <w:r w:rsidRPr="00FE476B">
              <w:rPr>
                <w:i/>
                <w:lang w:val="en-US"/>
              </w:rPr>
              <w:t>p</w:t>
            </w:r>
            <w:r w:rsidRPr="00D52C34">
              <w:rPr>
                <w:lang w:val="en-US"/>
              </w:rPr>
              <w:t>=.</w:t>
            </w:r>
            <w:r>
              <w:rPr>
                <w:lang w:val="en-US"/>
              </w:rPr>
              <w:t>623</w:t>
            </w:r>
          </w:p>
        </w:tc>
        <w:tc>
          <w:tcPr>
            <w:tcW w:w="1813" w:type="dxa"/>
            <w:tcBorders>
              <w:top w:val="single" w:sz="4" w:space="0" w:color="auto"/>
            </w:tcBorders>
          </w:tcPr>
          <w:p w14:paraId="17813A19" w14:textId="77777777" w:rsidR="006F7EB3" w:rsidRDefault="006F7EB3" w:rsidP="00DB6B66">
            <w:pPr>
              <w:pStyle w:val="Geenafstand"/>
              <w:spacing w:line="480" w:lineRule="auto"/>
              <w:rPr>
                <w:lang w:val="en-US"/>
              </w:rPr>
            </w:pPr>
            <w:r w:rsidRPr="00FE476B">
              <w:rPr>
                <w:i/>
                <w:lang w:val="en-US"/>
              </w:rPr>
              <w:t>F</w:t>
            </w:r>
            <w:r w:rsidRPr="00965221">
              <w:rPr>
                <w:lang w:val="en-US"/>
              </w:rPr>
              <w:t>(</w:t>
            </w:r>
            <w:r>
              <w:rPr>
                <w:lang w:val="en-US"/>
              </w:rPr>
              <w:t>2,277)=.40</w:t>
            </w:r>
            <w:r w:rsidRPr="00D52C34">
              <w:rPr>
                <w:lang w:val="en-US"/>
              </w:rPr>
              <w:t xml:space="preserve">, </w:t>
            </w:r>
            <w:r w:rsidRPr="00FE476B">
              <w:rPr>
                <w:i/>
                <w:lang w:val="en-US"/>
              </w:rPr>
              <w:t>p</w:t>
            </w:r>
            <w:r w:rsidRPr="00D52C34">
              <w:rPr>
                <w:lang w:val="en-US"/>
              </w:rPr>
              <w:t>=.</w:t>
            </w:r>
            <w:r>
              <w:rPr>
                <w:lang w:val="en-US"/>
              </w:rPr>
              <w:t>670</w:t>
            </w:r>
          </w:p>
        </w:tc>
        <w:tc>
          <w:tcPr>
            <w:tcW w:w="1821" w:type="dxa"/>
            <w:tcBorders>
              <w:top w:val="single" w:sz="4" w:space="0" w:color="auto"/>
            </w:tcBorders>
          </w:tcPr>
          <w:p w14:paraId="539E9C89" w14:textId="77777777" w:rsidR="006F7EB3" w:rsidRDefault="006F7EB3" w:rsidP="00DB6B66">
            <w:pPr>
              <w:pStyle w:val="Geenafstand"/>
              <w:spacing w:line="480" w:lineRule="auto"/>
              <w:rPr>
                <w:lang w:val="en-US"/>
              </w:rPr>
            </w:pPr>
            <w:r w:rsidRPr="00FE476B">
              <w:rPr>
                <w:i/>
                <w:lang w:val="en-US"/>
              </w:rPr>
              <w:t>F</w:t>
            </w:r>
            <w:r w:rsidRPr="00965221">
              <w:rPr>
                <w:lang w:val="en-US"/>
              </w:rPr>
              <w:t>(</w:t>
            </w:r>
            <w:r>
              <w:rPr>
                <w:lang w:val="en-US"/>
              </w:rPr>
              <w:t>2,280)=2.89</w:t>
            </w:r>
            <w:r w:rsidRPr="00D52C34">
              <w:rPr>
                <w:lang w:val="en-US"/>
              </w:rPr>
              <w:t xml:space="preserve">, </w:t>
            </w:r>
            <w:r w:rsidRPr="00FE476B">
              <w:rPr>
                <w:i/>
                <w:lang w:val="en-US"/>
              </w:rPr>
              <w:t>p</w:t>
            </w:r>
            <w:r w:rsidRPr="00D52C34">
              <w:rPr>
                <w:lang w:val="en-US"/>
              </w:rPr>
              <w:t>=.</w:t>
            </w:r>
            <w:r>
              <w:rPr>
                <w:lang w:val="en-US"/>
              </w:rPr>
              <w:t>057</w:t>
            </w:r>
          </w:p>
        </w:tc>
        <w:tc>
          <w:tcPr>
            <w:tcW w:w="1821" w:type="dxa"/>
            <w:tcBorders>
              <w:top w:val="single" w:sz="4" w:space="0" w:color="auto"/>
            </w:tcBorders>
          </w:tcPr>
          <w:p w14:paraId="06E80A3E" w14:textId="77777777" w:rsidR="006F7EB3" w:rsidRDefault="006F7EB3" w:rsidP="00DB6B66">
            <w:pPr>
              <w:pStyle w:val="Geenafstand"/>
              <w:spacing w:line="480" w:lineRule="auto"/>
              <w:rPr>
                <w:lang w:val="en-US"/>
              </w:rPr>
            </w:pPr>
            <w:r w:rsidRPr="00FE476B">
              <w:rPr>
                <w:i/>
                <w:lang w:val="en-US"/>
              </w:rPr>
              <w:t>F</w:t>
            </w:r>
            <w:r w:rsidRPr="00965221">
              <w:rPr>
                <w:lang w:val="en-US"/>
              </w:rPr>
              <w:t>(</w:t>
            </w:r>
            <w:r>
              <w:rPr>
                <w:lang w:val="en-US"/>
              </w:rPr>
              <w:t>2,280)=3.96</w:t>
            </w:r>
            <w:r w:rsidRPr="00D52C34">
              <w:rPr>
                <w:lang w:val="en-US"/>
              </w:rPr>
              <w:t xml:space="preserve">, </w:t>
            </w:r>
            <w:r w:rsidRPr="00FE476B">
              <w:rPr>
                <w:i/>
                <w:lang w:val="en-US"/>
              </w:rPr>
              <w:t>p</w:t>
            </w:r>
            <w:r w:rsidRPr="00D52C34">
              <w:rPr>
                <w:lang w:val="en-US"/>
              </w:rPr>
              <w:t>=.</w:t>
            </w:r>
            <w:r>
              <w:rPr>
                <w:lang w:val="en-US"/>
              </w:rPr>
              <w:t>020*</w:t>
            </w:r>
          </w:p>
        </w:tc>
      </w:tr>
      <w:tr w:rsidR="006F7EB3" w14:paraId="1F6B09AA" w14:textId="77777777" w:rsidTr="00DB6B66">
        <w:tc>
          <w:tcPr>
            <w:tcW w:w="2340" w:type="dxa"/>
            <w:tcBorders>
              <w:right w:val="single" w:sz="4" w:space="0" w:color="auto"/>
            </w:tcBorders>
          </w:tcPr>
          <w:p w14:paraId="6516CB47" w14:textId="77777777" w:rsidR="006F7EB3" w:rsidRPr="00A9317E" w:rsidRDefault="006F7EB3" w:rsidP="00DB6B66">
            <w:pPr>
              <w:pStyle w:val="Geenafstand"/>
              <w:spacing w:line="480" w:lineRule="auto"/>
              <w:rPr>
                <w:b/>
                <w:lang w:val="en-US"/>
              </w:rPr>
            </w:pPr>
            <w:r w:rsidRPr="00A9317E">
              <w:rPr>
                <w:b/>
                <w:lang w:val="en-US"/>
              </w:rPr>
              <w:t>Error type</w:t>
            </w:r>
          </w:p>
        </w:tc>
        <w:tc>
          <w:tcPr>
            <w:tcW w:w="1585" w:type="dxa"/>
            <w:tcBorders>
              <w:left w:val="single" w:sz="4" w:space="0" w:color="auto"/>
            </w:tcBorders>
          </w:tcPr>
          <w:p w14:paraId="36814686" w14:textId="77777777" w:rsidR="006F7EB3" w:rsidRDefault="006F7EB3" w:rsidP="00DB6B66">
            <w:pPr>
              <w:pStyle w:val="Geenafstand"/>
              <w:spacing w:line="480" w:lineRule="auto"/>
              <w:rPr>
                <w:lang w:val="en-US"/>
              </w:rPr>
            </w:pPr>
            <w:r w:rsidRPr="006E6523">
              <w:rPr>
                <w:i/>
                <w:lang w:val="en-US"/>
              </w:rPr>
              <w:t>F</w:t>
            </w:r>
            <w:r w:rsidRPr="00965221">
              <w:rPr>
                <w:lang w:val="en-US"/>
              </w:rPr>
              <w:t>(</w:t>
            </w:r>
            <w:r>
              <w:rPr>
                <w:lang w:val="en-US"/>
              </w:rPr>
              <w:t>2,286)=.82</w:t>
            </w:r>
            <w:r w:rsidRPr="00D52C34">
              <w:rPr>
                <w:lang w:val="en-US"/>
              </w:rPr>
              <w:t xml:space="preserve">, </w:t>
            </w:r>
            <w:r w:rsidRPr="006E6523">
              <w:rPr>
                <w:i/>
                <w:lang w:val="en-US"/>
              </w:rPr>
              <w:t>p</w:t>
            </w:r>
            <w:r w:rsidRPr="00D52C34">
              <w:rPr>
                <w:lang w:val="en-US"/>
              </w:rPr>
              <w:t>=.</w:t>
            </w:r>
            <w:r>
              <w:rPr>
                <w:lang w:val="en-US"/>
              </w:rPr>
              <w:t>443</w:t>
            </w:r>
          </w:p>
        </w:tc>
        <w:tc>
          <w:tcPr>
            <w:tcW w:w="1813" w:type="dxa"/>
          </w:tcPr>
          <w:p w14:paraId="187B5375" w14:textId="77777777" w:rsidR="006F7EB3" w:rsidRDefault="006F7EB3" w:rsidP="00DB6B66">
            <w:pPr>
              <w:pStyle w:val="Geenafstand"/>
              <w:spacing w:line="480" w:lineRule="auto"/>
              <w:rPr>
                <w:lang w:val="en-US"/>
              </w:rPr>
            </w:pPr>
            <w:r w:rsidRPr="006E6523">
              <w:rPr>
                <w:i/>
                <w:lang w:val="en-US"/>
              </w:rPr>
              <w:t>F</w:t>
            </w:r>
            <w:r w:rsidRPr="00965221">
              <w:rPr>
                <w:lang w:val="en-US"/>
              </w:rPr>
              <w:t>(</w:t>
            </w:r>
            <w:r>
              <w:rPr>
                <w:lang w:val="en-US"/>
              </w:rPr>
              <w:t>2,277)=.10</w:t>
            </w:r>
            <w:r w:rsidRPr="00D52C34">
              <w:rPr>
                <w:lang w:val="en-US"/>
              </w:rPr>
              <w:t xml:space="preserve">, </w:t>
            </w:r>
            <w:r w:rsidRPr="006E6523">
              <w:rPr>
                <w:i/>
                <w:lang w:val="en-US"/>
              </w:rPr>
              <w:t>p</w:t>
            </w:r>
            <w:r w:rsidRPr="00D52C34">
              <w:rPr>
                <w:lang w:val="en-US"/>
              </w:rPr>
              <w:t>=.</w:t>
            </w:r>
            <w:r>
              <w:rPr>
                <w:lang w:val="en-US"/>
              </w:rPr>
              <w:t>909</w:t>
            </w:r>
          </w:p>
        </w:tc>
        <w:tc>
          <w:tcPr>
            <w:tcW w:w="1821" w:type="dxa"/>
          </w:tcPr>
          <w:p w14:paraId="4E3D5BA3" w14:textId="77777777" w:rsidR="006F7EB3" w:rsidRDefault="006F7EB3" w:rsidP="00DB6B66">
            <w:pPr>
              <w:pStyle w:val="Geenafstand"/>
              <w:spacing w:line="480" w:lineRule="auto"/>
              <w:rPr>
                <w:lang w:val="en-US"/>
              </w:rPr>
            </w:pPr>
            <w:r w:rsidRPr="006E6523">
              <w:rPr>
                <w:i/>
                <w:lang w:val="en-US"/>
              </w:rPr>
              <w:t>F</w:t>
            </w:r>
            <w:r w:rsidRPr="00965221">
              <w:rPr>
                <w:lang w:val="en-US"/>
              </w:rPr>
              <w:t>(</w:t>
            </w:r>
            <w:r>
              <w:rPr>
                <w:lang w:val="en-US"/>
              </w:rPr>
              <w:t>2,280)=.31</w:t>
            </w:r>
            <w:r w:rsidRPr="00D52C34">
              <w:rPr>
                <w:lang w:val="en-US"/>
              </w:rPr>
              <w:t xml:space="preserve">, </w:t>
            </w:r>
            <w:r w:rsidRPr="006E6523">
              <w:rPr>
                <w:i/>
                <w:lang w:val="en-US"/>
              </w:rPr>
              <w:t>p</w:t>
            </w:r>
            <w:r w:rsidRPr="00D52C34">
              <w:rPr>
                <w:lang w:val="en-US"/>
              </w:rPr>
              <w:t>=.</w:t>
            </w:r>
            <w:r>
              <w:rPr>
                <w:lang w:val="en-US"/>
              </w:rPr>
              <w:t>736</w:t>
            </w:r>
          </w:p>
        </w:tc>
        <w:tc>
          <w:tcPr>
            <w:tcW w:w="1821" w:type="dxa"/>
          </w:tcPr>
          <w:p w14:paraId="22F15588" w14:textId="77777777" w:rsidR="006F7EB3" w:rsidRDefault="006F7EB3" w:rsidP="00DB6B66">
            <w:pPr>
              <w:pStyle w:val="Geenafstand"/>
              <w:spacing w:line="480" w:lineRule="auto"/>
              <w:rPr>
                <w:lang w:val="en-US"/>
              </w:rPr>
            </w:pPr>
            <w:r w:rsidRPr="006E6523">
              <w:rPr>
                <w:i/>
                <w:lang w:val="en-US"/>
              </w:rPr>
              <w:t>F</w:t>
            </w:r>
            <w:r w:rsidRPr="00965221">
              <w:rPr>
                <w:lang w:val="en-US"/>
              </w:rPr>
              <w:t>(</w:t>
            </w:r>
            <w:r>
              <w:rPr>
                <w:lang w:val="en-US"/>
              </w:rPr>
              <w:t>2,280)=.123</w:t>
            </w:r>
            <w:r w:rsidRPr="00D52C34">
              <w:rPr>
                <w:lang w:val="en-US"/>
              </w:rPr>
              <w:t xml:space="preserve">, </w:t>
            </w:r>
            <w:r w:rsidRPr="006E6523">
              <w:rPr>
                <w:i/>
                <w:lang w:val="en-US"/>
              </w:rPr>
              <w:t>p</w:t>
            </w:r>
            <w:r w:rsidRPr="00D52C34">
              <w:rPr>
                <w:lang w:val="en-US"/>
              </w:rPr>
              <w:t>=.</w:t>
            </w:r>
            <w:r>
              <w:rPr>
                <w:lang w:val="en-US"/>
              </w:rPr>
              <w:t>885</w:t>
            </w:r>
          </w:p>
        </w:tc>
      </w:tr>
      <w:tr w:rsidR="006F7EB3" w14:paraId="68DCD418" w14:textId="77777777" w:rsidTr="00DB6B66">
        <w:tc>
          <w:tcPr>
            <w:tcW w:w="2340" w:type="dxa"/>
            <w:tcBorders>
              <w:right w:val="single" w:sz="4" w:space="0" w:color="auto"/>
            </w:tcBorders>
          </w:tcPr>
          <w:p w14:paraId="685E8EA1" w14:textId="77777777" w:rsidR="006F7EB3" w:rsidRPr="00A9317E" w:rsidRDefault="006F7EB3" w:rsidP="00DB6B66">
            <w:pPr>
              <w:pStyle w:val="Geenafstand"/>
              <w:spacing w:line="480" w:lineRule="auto"/>
              <w:rPr>
                <w:b/>
                <w:lang w:val="en-US"/>
              </w:rPr>
            </w:pPr>
            <w:r w:rsidRPr="00A9317E">
              <w:rPr>
                <w:b/>
                <w:lang w:val="en-US"/>
              </w:rPr>
              <w:t>Learning rate</w:t>
            </w:r>
          </w:p>
        </w:tc>
        <w:tc>
          <w:tcPr>
            <w:tcW w:w="1585" w:type="dxa"/>
            <w:tcBorders>
              <w:left w:val="single" w:sz="4" w:space="0" w:color="auto"/>
            </w:tcBorders>
          </w:tcPr>
          <w:p w14:paraId="0E92A875" w14:textId="77777777" w:rsidR="006F7EB3" w:rsidRDefault="006F7EB3" w:rsidP="00DB6B66">
            <w:pPr>
              <w:pStyle w:val="Geenafstand"/>
              <w:spacing w:line="480" w:lineRule="auto"/>
              <w:rPr>
                <w:lang w:val="en-US"/>
              </w:rPr>
            </w:pPr>
            <w:r w:rsidRPr="006E6523">
              <w:rPr>
                <w:i/>
                <w:lang w:val="en-US"/>
              </w:rPr>
              <w:t>F</w:t>
            </w:r>
            <w:r w:rsidRPr="00965221">
              <w:rPr>
                <w:lang w:val="en-US"/>
              </w:rPr>
              <w:t>(</w:t>
            </w:r>
            <w:r>
              <w:rPr>
                <w:lang w:val="en-US"/>
              </w:rPr>
              <w:t>2,286)=.36</w:t>
            </w:r>
            <w:r w:rsidRPr="00D52C34">
              <w:rPr>
                <w:lang w:val="en-US"/>
              </w:rPr>
              <w:t xml:space="preserve">, </w:t>
            </w:r>
            <w:r w:rsidRPr="006E6523">
              <w:rPr>
                <w:i/>
                <w:lang w:val="en-US"/>
              </w:rPr>
              <w:t>p</w:t>
            </w:r>
            <w:r w:rsidRPr="00D52C34">
              <w:rPr>
                <w:lang w:val="en-US"/>
              </w:rPr>
              <w:t>=.</w:t>
            </w:r>
            <w:r>
              <w:rPr>
                <w:lang w:val="en-US"/>
              </w:rPr>
              <w:t>695</w:t>
            </w:r>
          </w:p>
        </w:tc>
        <w:tc>
          <w:tcPr>
            <w:tcW w:w="1813" w:type="dxa"/>
          </w:tcPr>
          <w:p w14:paraId="2B554E8C" w14:textId="77777777" w:rsidR="006F7EB3" w:rsidRDefault="006F7EB3" w:rsidP="00DB6B66">
            <w:pPr>
              <w:pStyle w:val="Geenafstand"/>
              <w:spacing w:line="480" w:lineRule="auto"/>
              <w:rPr>
                <w:lang w:val="en-US"/>
              </w:rPr>
            </w:pPr>
            <w:r w:rsidRPr="006E6523">
              <w:rPr>
                <w:i/>
                <w:lang w:val="en-US"/>
              </w:rPr>
              <w:t>F</w:t>
            </w:r>
            <w:r w:rsidRPr="00965221">
              <w:rPr>
                <w:lang w:val="en-US"/>
              </w:rPr>
              <w:t>(</w:t>
            </w:r>
            <w:r>
              <w:rPr>
                <w:lang w:val="en-US"/>
              </w:rPr>
              <w:t>2,277)=.58</w:t>
            </w:r>
            <w:r w:rsidRPr="00D52C34">
              <w:rPr>
                <w:lang w:val="en-US"/>
              </w:rPr>
              <w:t xml:space="preserve">, </w:t>
            </w:r>
            <w:r w:rsidRPr="006E6523">
              <w:rPr>
                <w:i/>
                <w:lang w:val="en-US"/>
              </w:rPr>
              <w:t>p</w:t>
            </w:r>
            <w:r w:rsidRPr="00D52C34">
              <w:rPr>
                <w:lang w:val="en-US"/>
              </w:rPr>
              <w:t>=.</w:t>
            </w:r>
            <w:r>
              <w:rPr>
                <w:lang w:val="en-US"/>
              </w:rPr>
              <w:t>563</w:t>
            </w:r>
          </w:p>
        </w:tc>
        <w:tc>
          <w:tcPr>
            <w:tcW w:w="1821" w:type="dxa"/>
          </w:tcPr>
          <w:p w14:paraId="02B313A0" w14:textId="77777777" w:rsidR="006F7EB3" w:rsidRDefault="006F7EB3" w:rsidP="00DB6B66">
            <w:pPr>
              <w:pStyle w:val="Geenafstand"/>
              <w:spacing w:line="480" w:lineRule="auto"/>
              <w:rPr>
                <w:lang w:val="en-US"/>
              </w:rPr>
            </w:pPr>
            <w:r w:rsidRPr="006E6523">
              <w:rPr>
                <w:i/>
                <w:lang w:val="en-US"/>
              </w:rPr>
              <w:t>F</w:t>
            </w:r>
            <w:r w:rsidRPr="00965221">
              <w:rPr>
                <w:lang w:val="en-US"/>
              </w:rPr>
              <w:t>(</w:t>
            </w:r>
            <w:r>
              <w:rPr>
                <w:lang w:val="en-US"/>
              </w:rPr>
              <w:t>2,280)=.42</w:t>
            </w:r>
            <w:r w:rsidRPr="00D52C34">
              <w:rPr>
                <w:lang w:val="en-US"/>
              </w:rPr>
              <w:t xml:space="preserve">, </w:t>
            </w:r>
            <w:r w:rsidRPr="006E6523">
              <w:rPr>
                <w:i/>
                <w:lang w:val="en-US"/>
              </w:rPr>
              <w:t>p</w:t>
            </w:r>
            <w:r w:rsidRPr="00D52C34">
              <w:rPr>
                <w:lang w:val="en-US"/>
              </w:rPr>
              <w:t>=.</w:t>
            </w:r>
            <w:r>
              <w:rPr>
                <w:lang w:val="en-US"/>
              </w:rPr>
              <w:t>658</w:t>
            </w:r>
          </w:p>
        </w:tc>
        <w:tc>
          <w:tcPr>
            <w:tcW w:w="1821" w:type="dxa"/>
          </w:tcPr>
          <w:p w14:paraId="2B048E88" w14:textId="77777777" w:rsidR="006F7EB3" w:rsidRDefault="006F7EB3" w:rsidP="00DB6B66">
            <w:pPr>
              <w:pStyle w:val="Geenafstand"/>
              <w:spacing w:line="480" w:lineRule="auto"/>
              <w:rPr>
                <w:lang w:val="en-US"/>
              </w:rPr>
            </w:pPr>
            <w:r w:rsidRPr="006E6523">
              <w:rPr>
                <w:i/>
                <w:lang w:val="en-US"/>
              </w:rPr>
              <w:t>F</w:t>
            </w:r>
            <w:r w:rsidRPr="00965221">
              <w:rPr>
                <w:lang w:val="en-US"/>
              </w:rPr>
              <w:t>(</w:t>
            </w:r>
            <w:r>
              <w:rPr>
                <w:lang w:val="en-US"/>
              </w:rPr>
              <w:t>2,280)=.50</w:t>
            </w:r>
            <w:r w:rsidRPr="00D52C34">
              <w:rPr>
                <w:lang w:val="en-US"/>
              </w:rPr>
              <w:t xml:space="preserve">, </w:t>
            </w:r>
            <w:r w:rsidRPr="006E6523">
              <w:rPr>
                <w:i/>
                <w:lang w:val="en-US"/>
              </w:rPr>
              <w:t>p</w:t>
            </w:r>
            <w:r w:rsidRPr="00D52C34">
              <w:rPr>
                <w:lang w:val="en-US"/>
              </w:rPr>
              <w:t>=.</w:t>
            </w:r>
            <w:r>
              <w:rPr>
                <w:lang w:val="en-US"/>
              </w:rPr>
              <w:t>610</w:t>
            </w:r>
          </w:p>
        </w:tc>
      </w:tr>
      <w:tr w:rsidR="006F7EB3" w14:paraId="49B773D7" w14:textId="77777777" w:rsidTr="00DB6B66">
        <w:tc>
          <w:tcPr>
            <w:tcW w:w="2340" w:type="dxa"/>
            <w:tcBorders>
              <w:bottom w:val="single" w:sz="4" w:space="0" w:color="auto"/>
              <w:right w:val="single" w:sz="4" w:space="0" w:color="auto"/>
            </w:tcBorders>
          </w:tcPr>
          <w:p w14:paraId="7AC181A5" w14:textId="77777777" w:rsidR="006F7EB3" w:rsidRPr="00A9317E" w:rsidRDefault="006F7EB3" w:rsidP="00DB6B66">
            <w:pPr>
              <w:pStyle w:val="Geenafstand"/>
              <w:spacing w:line="480" w:lineRule="auto"/>
              <w:rPr>
                <w:b/>
                <w:lang w:val="en-US"/>
              </w:rPr>
            </w:pPr>
            <w:r w:rsidRPr="00A9317E">
              <w:rPr>
                <w:b/>
                <w:lang w:val="en-US"/>
              </w:rPr>
              <w:t>Decision variability</w:t>
            </w:r>
          </w:p>
        </w:tc>
        <w:tc>
          <w:tcPr>
            <w:tcW w:w="1585" w:type="dxa"/>
            <w:tcBorders>
              <w:left w:val="single" w:sz="4" w:space="0" w:color="auto"/>
              <w:bottom w:val="single" w:sz="4" w:space="0" w:color="auto"/>
            </w:tcBorders>
          </w:tcPr>
          <w:p w14:paraId="6C978A7A" w14:textId="77777777" w:rsidR="006F7EB3" w:rsidRDefault="006F7EB3" w:rsidP="00DB6B66">
            <w:pPr>
              <w:pStyle w:val="Geenafstand"/>
              <w:spacing w:line="480" w:lineRule="auto"/>
              <w:rPr>
                <w:lang w:val="en-US"/>
              </w:rPr>
            </w:pPr>
            <w:r w:rsidRPr="006E6523">
              <w:rPr>
                <w:i/>
                <w:lang w:val="en-US"/>
              </w:rPr>
              <w:t>F</w:t>
            </w:r>
            <w:r w:rsidRPr="00965221">
              <w:rPr>
                <w:lang w:val="en-US"/>
              </w:rPr>
              <w:t>(</w:t>
            </w:r>
            <w:r>
              <w:rPr>
                <w:lang w:val="en-US"/>
              </w:rPr>
              <w:t>2,286)=1.28</w:t>
            </w:r>
            <w:r w:rsidRPr="00D52C34">
              <w:rPr>
                <w:lang w:val="en-US"/>
              </w:rPr>
              <w:t xml:space="preserve">, </w:t>
            </w:r>
            <w:r w:rsidRPr="006E6523">
              <w:rPr>
                <w:i/>
                <w:lang w:val="en-US"/>
              </w:rPr>
              <w:t>p</w:t>
            </w:r>
            <w:r w:rsidRPr="00D52C34">
              <w:rPr>
                <w:lang w:val="en-US"/>
              </w:rPr>
              <w:t>=.</w:t>
            </w:r>
            <w:r>
              <w:rPr>
                <w:lang w:val="en-US"/>
              </w:rPr>
              <w:t>281</w:t>
            </w:r>
          </w:p>
        </w:tc>
        <w:tc>
          <w:tcPr>
            <w:tcW w:w="1813" w:type="dxa"/>
            <w:tcBorders>
              <w:bottom w:val="single" w:sz="4" w:space="0" w:color="auto"/>
            </w:tcBorders>
          </w:tcPr>
          <w:p w14:paraId="0CA86E1F" w14:textId="77777777" w:rsidR="006F7EB3" w:rsidRDefault="006F7EB3" w:rsidP="00DB6B66">
            <w:pPr>
              <w:pStyle w:val="Geenafstand"/>
              <w:spacing w:line="480" w:lineRule="auto"/>
              <w:rPr>
                <w:lang w:val="en-US"/>
              </w:rPr>
            </w:pPr>
            <w:r w:rsidRPr="006E6523">
              <w:rPr>
                <w:i/>
                <w:lang w:val="en-US"/>
              </w:rPr>
              <w:t>F</w:t>
            </w:r>
            <w:r w:rsidRPr="00965221">
              <w:rPr>
                <w:lang w:val="en-US"/>
              </w:rPr>
              <w:t>(</w:t>
            </w:r>
            <w:r>
              <w:rPr>
                <w:lang w:val="en-US"/>
              </w:rPr>
              <w:t>2,277)=.39</w:t>
            </w:r>
            <w:r w:rsidRPr="00D52C34">
              <w:rPr>
                <w:lang w:val="en-US"/>
              </w:rPr>
              <w:t xml:space="preserve">, </w:t>
            </w:r>
            <w:r w:rsidRPr="006E6523">
              <w:rPr>
                <w:i/>
                <w:lang w:val="en-US"/>
              </w:rPr>
              <w:t>p</w:t>
            </w:r>
            <w:r w:rsidRPr="00D52C34">
              <w:rPr>
                <w:lang w:val="en-US"/>
              </w:rPr>
              <w:t>=.</w:t>
            </w:r>
            <w:r>
              <w:rPr>
                <w:lang w:val="en-US"/>
              </w:rPr>
              <w:t>681</w:t>
            </w:r>
          </w:p>
        </w:tc>
        <w:tc>
          <w:tcPr>
            <w:tcW w:w="1821" w:type="dxa"/>
            <w:tcBorders>
              <w:bottom w:val="single" w:sz="4" w:space="0" w:color="auto"/>
            </w:tcBorders>
          </w:tcPr>
          <w:p w14:paraId="34956238" w14:textId="77777777" w:rsidR="006F7EB3" w:rsidRDefault="006F7EB3" w:rsidP="00DB6B66">
            <w:pPr>
              <w:pStyle w:val="Geenafstand"/>
              <w:spacing w:line="480" w:lineRule="auto"/>
              <w:rPr>
                <w:lang w:val="en-US"/>
              </w:rPr>
            </w:pPr>
            <w:r w:rsidRPr="006E6523">
              <w:rPr>
                <w:i/>
                <w:lang w:val="en-US"/>
              </w:rPr>
              <w:t>F</w:t>
            </w:r>
            <w:r w:rsidRPr="00965221">
              <w:rPr>
                <w:lang w:val="en-US"/>
              </w:rPr>
              <w:t>(</w:t>
            </w:r>
            <w:r>
              <w:rPr>
                <w:lang w:val="en-US"/>
              </w:rPr>
              <w:t>2,280)=.54</w:t>
            </w:r>
            <w:r w:rsidRPr="00D52C34">
              <w:rPr>
                <w:lang w:val="en-US"/>
              </w:rPr>
              <w:t xml:space="preserve">, </w:t>
            </w:r>
            <w:r w:rsidRPr="006E6523">
              <w:rPr>
                <w:i/>
                <w:lang w:val="en-US"/>
              </w:rPr>
              <w:t>p</w:t>
            </w:r>
            <w:r w:rsidRPr="00D52C34">
              <w:rPr>
                <w:lang w:val="en-US"/>
              </w:rPr>
              <w:t>=.</w:t>
            </w:r>
            <w:r>
              <w:rPr>
                <w:lang w:val="en-US"/>
              </w:rPr>
              <w:t>582</w:t>
            </w:r>
          </w:p>
        </w:tc>
        <w:tc>
          <w:tcPr>
            <w:tcW w:w="1821" w:type="dxa"/>
            <w:tcBorders>
              <w:bottom w:val="single" w:sz="4" w:space="0" w:color="auto"/>
            </w:tcBorders>
          </w:tcPr>
          <w:p w14:paraId="61E5D8B5" w14:textId="77777777" w:rsidR="006F7EB3" w:rsidRDefault="006F7EB3" w:rsidP="00DB6B66">
            <w:pPr>
              <w:pStyle w:val="Geenafstand"/>
              <w:spacing w:line="480" w:lineRule="auto"/>
              <w:rPr>
                <w:lang w:val="en-US"/>
              </w:rPr>
            </w:pPr>
            <w:r w:rsidRPr="006E6523">
              <w:rPr>
                <w:i/>
                <w:lang w:val="en-US"/>
              </w:rPr>
              <w:t>F</w:t>
            </w:r>
            <w:r w:rsidRPr="00965221">
              <w:rPr>
                <w:lang w:val="en-US"/>
              </w:rPr>
              <w:t>(</w:t>
            </w:r>
            <w:r>
              <w:rPr>
                <w:lang w:val="en-US"/>
              </w:rPr>
              <w:t>2,280)=.44</w:t>
            </w:r>
            <w:r w:rsidRPr="00D52C34">
              <w:rPr>
                <w:lang w:val="en-US"/>
              </w:rPr>
              <w:t xml:space="preserve">, </w:t>
            </w:r>
            <w:r w:rsidRPr="006E6523">
              <w:rPr>
                <w:i/>
                <w:lang w:val="en-US"/>
              </w:rPr>
              <w:t>p</w:t>
            </w:r>
            <w:r w:rsidRPr="00D52C34">
              <w:rPr>
                <w:lang w:val="en-US"/>
              </w:rPr>
              <w:t>=.</w:t>
            </w:r>
            <w:r>
              <w:rPr>
                <w:lang w:val="en-US"/>
              </w:rPr>
              <w:t>642</w:t>
            </w:r>
          </w:p>
        </w:tc>
      </w:tr>
    </w:tbl>
    <w:p w14:paraId="1DE3E203" w14:textId="1B5F618B" w:rsidR="00460888" w:rsidRDefault="006F7EB3" w:rsidP="006F7EB3">
      <w:pPr>
        <w:pStyle w:val="Geenafstand"/>
        <w:spacing w:line="480" w:lineRule="auto"/>
        <w:rPr>
          <w:sz w:val="20"/>
          <w:szCs w:val="18"/>
          <w:lang w:val="en-US"/>
        </w:rPr>
      </w:pPr>
      <w:r w:rsidRPr="00615D05">
        <w:rPr>
          <w:sz w:val="20"/>
          <w:szCs w:val="18"/>
          <w:lang w:val="en-US"/>
        </w:rPr>
        <w:t>The * indicates uncorrected p&lt;0.05.</w:t>
      </w:r>
    </w:p>
    <w:p w14:paraId="352DCA5E" w14:textId="77777777" w:rsidR="00460888" w:rsidRDefault="00460888">
      <w:pPr>
        <w:rPr>
          <w:sz w:val="20"/>
          <w:szCs w:val="18"/>
          <w:lang w:val="en-US"/>
        </w:rPr>
      </w:pPr>
      <w:r>
        <w:rPr>
          <w:sz w:val="20"/>
          <w:szCs w:val="18"/>
          <w:lang w:val="en-US"/>
        </w:rPr>
        <w:br w:type="page"/>
      </w:r>
    </w:p>
    <w:p w14:paraId="6CF7190F" w14:textId="77777777" w:rsidR="00460888" w:rsidRPr="00460888" w:rsidRDefault="00460888" w:rsidP="00460888">
      <w:pPr>
        <w:pStyle w:val="Tekstzonderopmaak"/>
        <w:spacing w:line="480" w:lineRule="auto"/>
        <w:rPr>
          <w:b/>
          <w:sz w:val="20"/>
          <w:szCs w:val="20"/>
          <w:lang w:val="en-US"/>
        </w:rPr>
      </w:pPr>
      <w:r w:rsidRPr="003466DB">
        <w:rPr>
          <w:b/>
          <w:sz w:val="20"/>
          <w:szCs w:val="20"/>
          <w:lang w:val="en-US"/>
        </w:rPr>
        <w:lastRenderedPageBreak/>
        <w:t>Table S5. Comparison values with other studies.</w:t>
      </w:r>
    </w:p>
    <w:tbl>
      <w:tblPr>
        <w:tblStyle w:val="Tabelraster"/>
        <w:tblW w:w="12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2"/>
        <w:gridCol w:w="2218"/>
        <w:gridCol w:w="2049"/>
        <w:gridCol w:w="2562"/>
        <w:gridCol w:w="3072"/>
      </w:tblGrid>
      <w:tr w:rsidR="00460888" w:rsidRPr="0049111F" w14:paraId="735AC153" w14:textId="77777777" w:rsidTr="00460888">
        <w:trPr>
          <w:trHeight w:val="416"/>
        </w:trPr>
        <w:tc>
          <w:tcPr>
            <w:tcW w:w="2562" w:type="dxa"/>
            <w:tcBorders>
              <w:top w:val="single" w:sz="4" w:space="0" w:color="auto"/>
              <w:bottom w:val="single" w:sz="4" w:space="0" w:color="auto"/>
              <w:right w:val="single" w:sz="4" w:space="0" w:color="auto"/>
            </w:tcBorders>
          </w:tcPr>
          <w:p w14:paraId="5E893927" w14:textId="77777777" w:rsidR="00460888" w:rsidRPr="00965442" w:rsidRDefault="00460888" w:rsidP="00460888">
            <w:pPr>
              <w:pStyle w:val="Tekstzonderopmaak"/>
              <w:spacing w:line="480" w:lineRule="auto"/>
              <w:rPr>
                <w:lang w:val="en-US"/>
              </w:rPr>
            </w:pPr>
          </w:p>
        </w:tc>
        <w:tc>
          <w:tcPr>
            <w:tcW w:w="2218" w:type="dxa"/>
            <w:tcBorders>
              <w:top w:val="single" w:sz="4" w:space="0" w:color="auto"/>
              <w:left w:val="single" w:sz="4" w:space="0" w:color="auto"/>
              <w:bottom w:val="single" w:sz="4" w:space="0" w:color="auto"/>
            </w:tcBorders>
          </w:tcPr>
          <w:p w14:paraId="51626BCD" w14:textId="77777777" w:rsidR="00460888" w:rsidRPr="00965442" w:rsidRDefault="00460888" w:rsidP="00460888">
            <w:pPr>
              <w:pStyle w:val="Tekstzonderopmaak"/>
              <w:spacing w:line="480" w:lineRule="auto"/>
              <w:jc w:val="center"/>
              <w:rPr>
                <w:lang w:val="en-US"/>
              </w:rPr>
            </w:pPr>
            <w:r w:rsidRPr="00965442">
              <w:rPr>
                <w:lang w:val="en-US"/>
              </w:rPr>
              <w:t>Win-stay</w:t>
            </w:r>
          </w:p>
          <w:p w14:paraId="47CE811F" w14:textId="77777777" w:rsidR="00460888" w:rsidRPr="00965442" w:rsidRDefault="00460888" w:rsidP="00460888">
            <w:pPr>
              <w:pStyle w:val="Tekstzonderopmaak"/>
              <w:spacing w:line="480" w:lineRule="auto"/>
              <w:jc w:val="center"/>
              <w:rPr>
                <w:lang w:val="en-US"/>
              </w:rPr>
            </w:pPr>
            <w:r w:rsidRPr="00965442">
              <w:rPr>
                <w:lang w:val="en-US"/>
              </w:rPr>
              <w:t>mean, SD</w:t>
            </w:r>
          </w:p>
        </w:tc>
        <w:tc>
          <w:tcPr>
            <w:tcW w:w="2049" w:type="dxa"/>
            <w:tcBorders>
              <w:top w:val="single" w:sz="4" w:space="0" w:color="auto"/>
              <w:bottom w:val="single" w:sz="4" w:space="0" w:color="auto"/>
            </w:tcBorders>
          </w:tcPr>
          <w:p w14:paraId="583C6072" w14:textId="77777777" w:rsidR="00460888" w:rsidRPr="00965442" w:rsidRDefault="00460888" w:rsidP="00460888">
            <w:pPr>
              <w:pStyle w:val="Tekstzonderopmaak"/>
              <w:spacing w:line="480" w:lineRule="auto"/>
              <w:jc w:val="center"/>
              <w:rPr>
                <w:lang w:val="en-US"/>
              </w:rPr>
            </w:pPr>
            <w:r w:rsidRPr="00965442">
              <w:rPr>
                <w:lang w:val="en-US"/>
              </w:rPr>
              <w:t>Lose-shift</w:t>
            </w:r>
          </w:p>
          <w:p w14:paraId="1F4CDB9E" w14:textId="77777777" w:rsidR="00460888" w:rsidRPr="00965442" w:rsidRDefault="00460888" w:rsidP="00460888">
            <w:pPr>
              <w:pStyle w:val="Tekstzonderopmaak"/>
              <w:spacing w:line="480" w:lineRule="auto"/>
              <w:jc w:val="center"/>
              <w:rPr>
                <w:lang w:val="en-US"/>
              </w:rPr>
            </w:pPr>
            <w:r w:rsidRPr="00965442">
              <w:rPr>
                <w:lang w:val="en-US"/>
              </w:rPr>
              <w:t>mean, SD</w:t>
            </w:r>
          </w:p>
        </w:tc>
        <w:tc>
          <w:tcPr>
            <w:tcW w:w="2562" w:type="dxa"/>
            <w:tcBorders>
              <w:top w:val="single" w:sz="4" w:space="0" w:color="auto"/>
              <w:bottom w:val="single" w:sz="4" w:space="0" w:color="auto"/>
            </w:tcBorders>
          </w:tcPr>
          <w:p w14:paraId="0330912D" w14:textId="77777777" w:rsidR="00460888" w:rsidRDefault="00460888" w:rsidP="00460888">
            <w:pPr>
              <w:pStyle w:val="Tekstzonderopmaak"/>
              <w:spacing w:line="480" w:lineRule="auto"/>
              <w:jc w:val="center"/>
              <w:rPr>
                <w:lang w:val="en-US"/>
              </w:rPr>
            </w:pPr>
            <w:r w:rsidRPr="00965442">
              <w:rPr>
                <w:lang w:val="en-US"/>
              </w:rPr>
              <w:t>Reward learning rate</w:t>
            </w:r>
          </w:p>
          <w:p w14:paraId="62920CF2" w14:textId="1F904F3E" w:rsidR="00460888" w:rsidRPr="00965442" w:rsidRDefault="00460888" w:rsidP="00460888">
            <w:pPr>
              <w:pStyle w:val="Tekstzonderopmaak"/>
              <w:spacing w:line="480" w:lineRule="auto"/>
              <w:jc w:val="center"/>
              <w:rPr>
                <w:lang w:val="en-US"/>
              </w:rPr>
            </w:pPr>
            <w:r>
              <w:rPr>
                <w:lang w:val="en-US"/>
              </w:rPr>
              <w:t>mean, SD</w:t>
            </w:r>
          </w:p>
        </w:tc>
        <w:tc>
          <w:tcPr>
            <w:tcW w:w="3072" w:type="dxa"/>
            <w:tcBorders>
              <w:top w:val="single" w:sz="4" w:space="0" w:color="auto"/>
              <w:bottom w:val="single" w:sz="4" w:space="0" w:color="auto"/>
            </w:tcBorders>
          </w:tcPr>
          <w:p w14:paraId="7AE60D15" w14:textId="77777777" w:rsidR="00460888" w:rsidRDefault="00460888" w:rsidP="00460888">
            <w:pPr>
              <w:pStyle w:val="Tekstzonderopmaak"/>
              <w:spacing w:line="480" w:lineRule="auto"/>
              <w:jc w:val="center"/>
              <w:rPr>
                <w:lang w:val="en-US"/>
              </w:rPr>
            </w:pPr>
            <w:r w:rsidRPr="00965442">
              <w:rPr>
                <w:lang w:val="en-US"/>
              </w:rPr>
              <w:t>Punishment learning rate</w:t>
            </w:r>
          </w:p>
          <w:p w14:paraId="180783DF" w14:textId="6D1ECCDB" w:rsidR="00460888" w:rsidRPr="00965442" w:rsidRDefault="00460888" w:rsidP="00460888">
            <w:pPr>
              <w:pStyle w:val="Tekstzonderopmaak"/>
              <w:spacing w:line="480" w:lineRule="auto"/>
              <w:jc w:val="center"/>
              <w:rPr>
                <w:lang w:val="en-US"/>
              </w:rPr>
            </w:pPr>
            <w:r>
              <w:rPr>
                <w:lang w:val="en-US"/>
              </w:rPr>
              <w:t>mean, SD</w:t>
            </w:r>
          </w:p>
        </w:tc>
      </w:tr>
      <w:tr w:rsidR="00460888" w:rsidRPr="00965442" w14:paraId="7BED9C83" w14:textId="77777777" w:rsidTr="00460888">
        <w:trPr>
          <w:trHeight w:val="653"/>
        </w:trPr>
        <w:tc>
          <w:tcPr>
            <w:tcW w:w="2562" w:type="dxa"/>
            <w:tcBorders>
              <w:top w:val="single" w:sz="4" w:space="0" w:color="auto"/>
              <w:right w:val="single" w:sz="4" w:space="0" w:color="auto"/>
            </w:tcBorders>
            <w:shd w:val="clear" w:color="auto" w:fill="D9D9D9" w:themeFill="background1" w:themeFillShade="D9"/>
          </w:tcPr>
          <w:p w14:paraId="7BB779A5" w14:textId="77777777" w:rsidR="00460888" w:rsidRPr="00965442" w:rsidRDefault="00460888" w:rsidP="00460888">
            <w:pPr>
              <w:pStyle w:val="Tekstzonderopmaak"/>
              <w:spacing w:line="480" w:lineRule="auto"/>
              <w:rPr>
                <w:lang w:val="en-US"/>
              </w:rPr>
            </w:pPr>
            <w:r w:rsidRPr="00965442">
              <w:rPr>
                <w:lang w:val="en-US"/>
              </w:rPr>
              <w:t>Brolsma (Current study)</w:t>
            </w:r>
          </w:p>
        </w:tc>
        <w:tc>
          <w:tcPr>
            <w:tcW w:w="2218" w:type="dxa"/>
            <w:tcBorders>
              <w:top w:val="single" w:sz="4" w:space="0" w:color="auto"/>
              <w:left w:val="single" w:sz="4" w:space="0" w:color="auto"/>
            </w:tcBorders>
            <w:shd w:val="clear" w:color="auto" w:fill="D9D9D9" w:themeFill="background1" w:themeFillShade="D9"/>
            <w:vAlign w:val="center"/>
          </w:tcPr>
          <w:p w14:paraId="48C2AFBE" w14:textId="77777777" w:rsidR="00460888" w:rsidRPr="00965442" w:rsidRDefault="00460888" w:rsidP="00460888">
            <w:pPr>
              <w:pStyle w:val="Tekstzonderopmaak"/>
              <w:spacing w:line="480" w:lineRule="auto"/>
              <w:jc w:val="center"/>
              <w:rPr>
                <w:lang w:val="en-US"/>
              </w:rPr>
            </w:pPr>
            <w:r w:rsidRPr="00965442">
              <w:rPr>
                <w:lang w:val="en-US"/>
              </w:rPr>
              <w:t>HC: 0.84, 0.14</w:t>
            </w:r>
          </w:p>
          <w:p w14:paraId="6FDCEF27" w14:textId="77777777" w:rsidR="00460888" w:rsidRPr="00965442" w:rsidRDefault="00460888" w:rsidP="00460888">
            <w:pPr>
              <w:pStyle w:val="Tekstzonderopmaak"/>
              <w:spacing w:line="480" w:lineRule="auto"/>
              <w:jc w:val="center"/>
              <w:rPr>
                <w:lang w:val="en-US"/>
              </w:rPr>
            </w:pPr>
            <w:r w:rsidRPr="00965442">
              <w:rPr>
                <w:lang w:val="en-US"/>
              </w:rPr>
              <w:t>MDD: 0.85, 0.13</w:t>
            </w:r>
          </w:p>
        </w:tc>
        <w:tc>
          <w:tcPr>
            <w:tcW w:w="2049" w:type="dxa"/>
            <w:tcBorders>
              <w:top w:val="single" w:sz="4" w:space="0" w:color="auto"/>
            </w:tcBorders>
            <w:shd w:val="clear" w:color="auto" w:fill="D9D9D9" w:themeFill="background1" w:themeFillShade="D9"/>
            <w:vAlign w:val="center"/>
          </w:tcPr>
          <w:p w14:paraId="09CF90ED" w14:textId="77777777" w:rsidR="00460888" w:rsidRPr="00965442" w:rsidRDefault="00460888" w:rsidP="00460888">
            <w:pPr>
              <w:pStyle w:val="Tekstzonderopmaak"/>
              <w:spacing w:line="480" w:lineRule="auto"/>
              <w:jc w:val="center"/>
              <w:rPr>
                <w:lang w:val="en-US"/>
              </w:rPr>
            </w:pPr>
            <w:r w:rsidRPr="00965442">
              <w:rPr>
                <w:lang w:val="en-US"/>
              </w:rPr>
              <w:t>HC: 0.52, 0.21</w:t>
            </w:r>
          </w:p>
          <w:p w14:paraId="7AF77AFB" w14:textId="77777777" w:rsidR="00460888" w:rsidRPr="00965442" w:rsidRDefault="00460888" w:rsidP="00460888">
            <w:pPr>
              <w:pStyle w:val="Tekstzonderopmaak"/>
              <w:spacing w:line="480" w:lineRule="auto"/>
              <w:jc w:val="center"/>
              <w:rPr>
                <w:lang w:val="en-US"/>
              </w:rPr>
            </w:pPr>
            <w:r w:rsidRPr="00965442">
              <w:rPr>
                <w:lang w:val="en-US"/>
              </w:rPr>
              <w:t>MDD: 0.53, 0.22</w:t>
            </w:r>
          </w:p>
        </w:tc>
        <w:tc>
          <w:tcPr>
            <w:tcW w:w="2562" w:type="dxa"/>
            <w:tcBorders>
              <w:top w:val="single" w:sz="4" w:space="0" w:color="auto"/>
            </w:tcBorders>
            <w:shd w:val="clear" w:color="auto" w:fill="D9D9D9" w:themeFill="background1" w:themeFillShade="D9"/>
            <w:vAlign w:val="center"/>
          </w:tcPr>
          <w:p w14:paraId="0335F9CE" w14:textId="77777777" w:rsidR="00460888" w:rsidRPr="00965442" w:rsidRDefault="00460888" w:rsidP="00460888">
            <w:pPr>
              <w:pStyle w:val="Tekstzonderopmaak"/>
              <w:spacing w:line="480" w:lineRule="auto"/>
              <w:jc w:val="center"/>
              <w:rPr>
                <w:lang w:val="en-US"/>
              </w:rPr>
            </w:pPr>
            <w:r w:rsidRPr="00965442">
              <w:rPr>
                <w:lang w:val="en-US"/>
              </w:rPr>
              <w:t>HC: 0.43, 0.27</w:t>
            </w:r>
          </w:p>
          <w:p w14:paraId="48BD08CF" w14:textId="77777777" w:rsidR="00460888" w:rsidRPr="00965442" w:rsidRDefault="00460888" w:rsidP="00460888">
            <w:pPr>
              <w:pStyle w:val="Tekstzonderopmaak"/>
              <w:spacing w:line="480" w:lineRule="auto"/>
              <w:jc w:val="center"/>
              <w:rPr>
                <w:lang w:val="en-US"/>
              </w:rPr>
            </w:pPr>
            <w:r w:rsidRPr="00965442">
              <w:rPr>
                <w:lang w:val="en-US"/>
              </w:rPr>
              <w:t>MDD: 0.50, 0.26</w:t>
            </w:r>
          </w:p>
        </w:tc>
        <w:tc>
          <w:tcPr>
            <w:tcW w:w="3072" w:type="dxa"/>
            <w:tcBorders>
              <w:top w:val="single" w:sz="4" w:space="0" w:color="auto"/>
            </w:tcBorders>
            <w:shd w:val="clear" w:color="auto" w:fill="D9D9D9" w:themeFill="background1" w:themeFillShade="D9"/>
            <w:vAlign w:val="center"/>
          </w:tcPr>
          <w:p w14:paraId="1707D727" w14:textId="77777777" w:rsidR="00460888" w:rsidRPr="00965442" w:rsidRDefault="00460888" w:rsidP="00460888">
            <w:pPr>
              <w:pStyle w:val="Tekstzonderopmaak"/>
              <w:spacing w:line="480" w:lineRule="auto"/>
              <w:jc w:val="center"/>
              <w:rPr>
                <w:lang w:val="en-US"/>
              </w:rPr>
            </w:pPr>
            <w:r w:rsidRPr="00965442">
              <w:rPr>
                <w:lang w:val="en-US"/>
              </w:rPr>
              <w:t>HC: 0.36, 0.33</w:t>
            </w:r>
          </w:p>
          <w:p w14:paraId="22D5B781" w14:textId="77777777" w:rsidR="00460888" w:rsidRPr="00965442" w:rsidRDefault="00460888" w:rsidP="00460888">
            <w:pPr>
              <w:pStyle w:val="Tekstzonderopmaak"/>
              <w:spacing w:line="480" w:lineRule="auto"/>
              <w:jc w:val="center"/>
              <w:rPr>
                <w:lang w:val="en-US"/>
              </w:rPr>
            </w:pPr>
            <w:r w:rsidRPr="00965442">
              <w:rPr>
                <w:lang w:val="en-US"/>
              </w:rPr>
              <w:t>MDD: 0.45, 0.35</w:t>
            </w:r>
          </w:p>
        </w:tc>
      </w:tr>
      <w:tr w:rsidR="00460888" w:rsidRPr="00965442" w14:paraId="696F4E3F" w14:textId="77777777" w:rsidTr="00460888">
        <w:trPr>
          <w:trHeight w:val="261"/>
        </w:trPr>
        <w:tc>
          <w:tcPr>
            <w:tcW w:w="2562" w:type="dxa"/>
            <w:tcBorders>
              <w:right w:val="single" w:sz="4" w:space="0" w:color="auto"/>
            </w:tcBorders>
          </w:tcPr>
          <w:p w14:paraId="659A46D2" w14:textId="77777777" w:rsidR="00460888" w:rsidRPr="00965442" w:rsidRDefault="00460888" w:rsidP="00460888">
            <w:pPr>
              <w:pStyle w:val="Tekstzonderopmaak"/>
              <w:spacing w:line="480" w:lineRule="auto"/>
              <w:rPr>
                <w:lang w:val="en-US"/>
              </w:rPr>
            </w:pPr>
            <w:r w:rsidRPr="00965442">
              <w:rPr>
                <w:lang w:val="en-US"/>
              </w:rPr>
              <w:fldChar w:fldCharType="begin" w:fldLock="1"/>
            </w:r>
            <w:r w:rsidRPr="00965442">
              <w:rPr>
                <w:lang w:val="en-US"/>
              </w:rPr>
              <w:instrText>ADDIN CSL_CITATION {"citationItems":[{"id":"ITEM-1","itemData":{"DOI":"10.1176/appi.ajp.2009.09030407","ISSN":"1535-7228","PMID":"20231320","abstract":"OBJECTIVE Suicide rates are high in old age, and the contribution of cognitive risk factors remains poorly understood. Suicide may be viewed as an outcome of an altered decision process. The authors hypothesized that impairment in reward/punishment-based learning, a component of affective decision making, is associated with attempted suicide in late-life depression. They expected that suicide attempters would discount past reward/punishment history, focusing excessively on the most recent rewards and punishments. The authors further hypothesized that this impairment could be dissociated from executive abilities, such as forward planning. METHOD The authors assessed reward/punishment-based learning using the probabilistic reversal learning task in 65 individuals age 60 and older: suicide attempters, suicide ideators, nonsuicidal depressed elderly, and nondepressed comparison subjects. The authors used a reinforcement learning computational model to decompose reward/punishment processing over time. The Stockings of Cambridge test served as a control measure of executive function. RESULTS Suicide attempters but not suicide ideators showed impaired probabilistic reversal learning compared to both nonsuicidal depressed elderly and nondepressed comparison subjects, after controlling for effects of education, global cognitive function, and substance use. Model-based analyses revealed that suicide attempters discounted previous history to a higher degree relative to comparison subjects, basing their choice largely on reward/punishment received on the last trial. Groups did not differ in their performance on the Stockings of Cambridge test. CONCLUSIONS Older suicide attempters display impaired reward/punishment-based learning. The authors propose a hypothesis that older suicide attempters make overly present-focused decisions, ignoring past experiences. Modification of this \"myopia for the past\" may have therapeutic potential.","author":[{"dropping-particle":"","family":"Dombrovski","given":"Alexandre Y","non-dropping-particle":"","parse-names":false,"suffix":""},{"dropping-particle":"","family":"Clark","given":"Luke","non-dropping-particle":"","parse-names":false,"suffix":""},{"dropping-particle":"","family":"Siegle","given":"Greg J","non-dropping-particle":"","parse-names":false,"suffix":""},{"dropping-particle":"","family":"Butters","given":"Meryl A","non-dropping-particle":"","parse-names":false,"suffix":""},{"dropping-particle":"","family":"Ichikawa","given":"Naho","non-dropping-particle":"","parse-names":false,"suffix":""},{"dropping-particle":"","family":"Sahakian","given":"Barbara J","non-dropping-particle":"","parse-names":false,"suffix":""},{"dropping-particle":"","family":"Szanto","given":"Katalin","non-dropping-particle":"","parse-names":false,"suffix":""}],"container-title":"The American journal of psychiatry","id":"ITEM-1","issue":"6","issued":{"date-parts":[["2010","6"]]},"page":"699-707","title":"Reward/Punishment reversal learning in older suicide attempters.","type":"article-journal","volume":"167"},"uris":["http://www.mendeley.com/documents/?uuid=647e1cd5-b905-3508-a5ce-fb3e7d67a532"]}],"mendeley":{"formattedCitation":"(Dombrovski &lt;i&gt;et al.&lt;/i&gt; 2010)","manualFormatting":"Dombrovski et al. 2010","plainTextFormattedCitation":"(Dombrovski et al. 2010)","previouslyFormattedCitation":"(Dombrovski &lt;i&gt;et al.&lt;/i&gt; 2010)"},"properties":{"noteIndex":0},"schema":"https://github.com/citation-style-language/schema/raw/master/csl-citation.json"}</w:instrText>
            </w:r>
            <w:r w:rsidRPr="00965442">
              <w:rPr>
                <w:lang w:val="en-US"/>
              </w:rPr>
              <w:fldChar w:fldCharType="separate"/>
            </w:r>
            <w:r w:rsidRPr="00965442">
              <w:rPr>
                <w:noProof/>
                <w:lang w:val="en-US"/>
              </w:rPr>
              <w:t xml:space="preserve">Dombrovski </w:t>
            </w:r>
            <w:r w:rsidRPr="00965442">
              <w:rPr>
                <w:i/>
                <w:noProof/>
                <w:lang w:val="en-US"/>
              </w:rPr>
              <w:t>et al.</w:t>
            </w:r>
            <w:r w:rsidRPr="00965442">
              <w:rPr>
                <w:noProof/>
                <w:lang w:val="en-US"/>
              </w:rPr>
              <w:t xml:space="preserve"> 2010</w:t>
            </w:r>
            <w:r w:rsidRPr="00965442">
              <w:rPr>
                <w:lang w:val="en-US"/>
              </w:rPr>
              <w:fldChar w:fldCharType="end"/>
            </w:r>
          </w:p>
        </w:tc>
        <w:tc>
          <w:tcPr>
            <w:tcW w:w="2218" w:type="dxa"/>
            <w:tcBorders>
              <w:left w:val="single" w:sz="4" w:space="0" w:color="auto"/>
            </w:tcBorders>
          </w:tcPr>
          <w:p w14:paraId="6A9BE298" w14:textId="77777777" w:rsidR="00460888" w:rsidRPr="00965442" w:rsidRDefault="00460888" w:rsidP="00460888">
            <w:pPr>
              <w:pStyle w:val="Tekstzonderopmaak"/>
              <w:spacing w:line="480" w:lineRule="auto"/>
              <w:jc w:val="center"/>
              <w:rPr>
                <w:lang w:val="en-US"/>
              </w:rPr>
            </w:pPr>
            <w:r w:rsidRPr="00965442">
              <w:rPr>
                <w:lang w:val="en-US"/>
              </w:rPr>
              <w:t>-</w:t>
            </w:r>
          </w:p>
        </w:tc>
        <w:tc>
          <w:tcPr>
            <w:tcW w:w="2049" w:type="dxa"/>
          </w:tcPr>
          <w:p w14:paraId="7950C82B" w14:textId="77777777" w:rsidR="00460888" w:rsidRPr="00965442" w:rsidRDefault="00460888" w:rsidP="00460888">
            <w:pPr>
              <w:pStyle w:val="Tekstzonderopmaak"/>
              <w:spacing w:line="480" w:lineRule="auto"/>
              <w:jc w:val="center"/>
              <w:rPr>
                <w:lang w:val="en-US"/>
              </w:rPr>
            </w:pPr>
            <w:r w:rsidRPr="00965442">
              <w:rPr>
                <w:lang w:val="en-US"/>
              </w:rPr>
              <w:t>-</w:t>
            </w:r>
          </w:p>
        </w:tc>
        <w:tc>
          <w:tcPr>
            <w:tcW w:w="2562" w:type="dxa"/>
          </w:tcPr>
          <w:p w14:paraId="2B1C097E" w14:textId="77777777" w:rsidR="00460888" w:rsidRPr="00965442" w:rsidRDefault="00460888" w:rsidP="00460888">
            <w:pPr>
              <w:pStyle w:val="Tekstzonderopmaak"/>
              <w:spacing w:line="480" w:lineRule="auto"/>
              <w:jc w:val="center"/>
              <w:rPr>
                <w:lang w:val="en-US"/>
              </w:rPr>
            </w:pPr>
            <w:r w:rsidRPr="00965442">
              <w:rPr>
                <w:lang w:val="en-US"/>
              </w:rPr>
              <w:t>HC: 0.42, 0.37</w:t>
            </w:r>
          </w:p>
        </w:tc>
        <w:tc>
          <w:tcPr>
            <w:tcW w:w="3072" w:type="dxa"/>
          </w:tcPr>
          <w:p w14:paraId="6DA4E197" w14:textId="77777777" w:rsidR="00460888" w:rsidRPr="00965442" w:rsidRDefault="00460888" w:rsidP="00460888">
            <w:pPr>
              <w:pStyle w:val="Tekstzonderopmaak"/>
              <w:spacing w:line="480" w:lineRule="auto"/>
              <w:jc w:val="center"/>
              <w:rPr>
                <w:lang w:val="en-US"/>
              </w:rPr>
            </w:pPr>
            <w:r w:rsidRPr="00965442">
              <w:rPr>
                <w:lang w:val="en-US"/>
              </w:rPr>
              <w:t>HC: ~0.16</w:t>
            </w:r>
          </w:p>
        </w:tc>
      </w:tr>
      <w:tr w:rsidR="00460888" w:rsidRPr="00965442" w14:paraId="48AF116A" w14:textId="77777777" w:rsidTr="00460888">
        <w:trPr>
          <w:trHeight w:val="261"/>
        </w:trPr>
        <w:tc>
          <w:tcPr>
            <w:tcW w:w="2562" w:type="dxa"/>
            <w:tcBorders>
              <w:right w:val="single" w:sz="4" w:space="0" w:color="auto"/>
            </w:tcBorders>
            <w:shd w:val="clear" w:color="auto" w:fill="D9D9D9" w:themeFill="background1" w:themeFillShade="D9"/>
          </w:tcPr>
          <w:p w14:paraId="6E19B268" w14:textId="77777777" w:rsidR="00460888" w:rsidRPr="00965442" w:rsidRDefault="00460888" w:rsidP="00460888">
            <w:pPr>
              <w:pStyle w:val="Tekstzonderopmaak"/>
              <w:spacing w:line="480" w:lineRule="auto"/>
              <w:rPr>
                <w:lang w:val="en-US"/>
              </w:rPr>
            </w:pPr>
            <w:r w:rsidRPr="00965442">
              <w:rPr>
                <w:lang w:val="en-US"/>
              </w:rPr>
              <w:fldChar w:fldCharType="begin" w:fldLock="1"/>
            </w:r>
            <w:r w:rsidRPr="00965442">
              <w:rPr>
                <w:lang w:val="en-US"/>
              </w:rPr>
              <w:instrText>ADDIN CSL_CITATION {"citationItems":[{"id":"ITEM-1","itemData":{"DOI":"10.1016/J.NEURON.2013.08.030","ISSN":"0896-6273","abstract":"Serotonin and dopamine are speculated to subserve motivationally opponent functions, but this hypothesis has not been directly tested. We studied the role of these neurotransmitters in probabilistic reversal learning in nearly 700 individuals as a function of two polymorphisms in the genes encoding the serotonin and dopamine transporters (SERT: 5HTTLPR plus rs25531; DAT1 3′UTR VNTR). A double dissociation was observed. The SERT polymorphism altered behavioral adaptation after losses, with increased lose-shift associated with L′ homozygosity, while leaving unaffected perseveration after reversal. In contrast, the DAT1 genotype affected the influence of prior choices on perseveration, while leaving lose-shifting unaltered. A model of reinforcement learning captured the dose-dependent effect of DAT1 genotype, such that an increasing number of 9R-alleles resulted in a stronger reliance on previous experience and therefore reluctance to update learned associations. These data provide direct evidence for doubly dissociable effects of serotonin and dopamine systems.","author":[{"dropping-particle":"","family":"Ouden","given":"Hanneke E.M.","non-dropping-particle":"den","parse-names":false,"suffix":""},{"dropping-particle":"","family":"Daw","given":"Nathaniel D.","non-dropping-particle":"","parse-names":false,"suffix":""},{"dropping-particle":"","family":"Fernandez","given":"Guillén","non-dropping-particle":"","parse-names":false,"suffix":""},{"dropping-particle":"","family":"Elshout","given":"Joris A.","non-dropping-particle":"","parse-names":false,"suffix":""},{"dropping-particle":"","family":"Rijpkema","given":"Mark","non-dropping-particle":"","parse-names":false,"suffix":""},{"dropping-particle":"","family":"Hoogman","given":"Martine","non-dropping-particle":"","parse-names":false,"suffix":""},{"dropping-particle":"","family":"Franke","given":"Barbara","non-dropping-particle":"","parse-names":false,"suffix":""},{"dropping-particle":"","family":"Cools","given":"Roshan","non-dropping-particle":"","parse-names":false,"suffix":""}],"container-title":"Neuron","id":"ITEM-1","issue":"4","issued":{"date-parts":[["2013","11","20"]]},"page":"1090-1100","title":"Dissociable Effects of Dopamine and Serotonin on Reversal Learning","type":"article-journal","volume":"80"},"uris":["http://www.mendeley.com/documents/?uuid=ce6e03b9-46e2-37c5-8f09-5608a5f27781"]}],"mendeley":{"formattedCitation":"(den Ouden &lt;i&gt;et al.&lt;/i&gt; 2013)","manualFormatting":"den Ouden et al. 2013","plainTextFormattedCitation":"(den Ouden et al. 2013)","previouslyFormattedCitation":"(den Ouden &lt;i&gt;et al.&lt;/i&gt; 2013)"},"properties":{"noteIndex":0},"schema":"https://github.com/citation-style-language/schema/raw/master/csl-citation.json"}</w:instrText>
            </w:r>
            <w:r w:rsidRPr="00965442">
              <w:rPr>
                <w:lang w:val="en-US"/>
              </w:rPr>
              <w:fldChar w:fldCharType="separate"/>
            </w:r>
            <w:r w:rsidRPr="00965442">
              <w:rPr>
                <w:noProof/>
                <w:lang w:val="en-US"/>
              </w:rPr>
              <w:t xml:space="preserve">den Ouden </w:t>
            </w:r>
            <w:r w:rsidRPr="00965442">
              <w:rPr>
                <w:i/>
                <w:noProof/>
                <w:lang w:val="en-US"/>
              </w:rPr>
              <w:t>et al.</w:t>
            </w:r>
            <w:r w:rsidRPr="00965442">
              <w:rPr>
                <w:noProof/>
                <w:lang w:val="en-US"/>
              </w:rPr>
              <w:t xml:space="preserve"> 2013</w:t>
            </w:r>
            <w:r w:rsidRPr="00965442">
              <w:rPr>
                <w:lang w:val="en-US"/>
              </w:rPr>
              <w:fldChar w:fldCharType="end"/>
            </w:r>
          </w:p>
        </w:tc>
        <w:tc>
          <w:tcPr>
            <w:tcW w:w="2218" w:type="dxa"/>
            <w:tcBorders>
              <w:left w:val="single" w:sz="4" w:space="0" w:color="auto"/>
            </w:tcBorders>
            <w:shd w:val="clear" w:color="auto" w:fill="D9D9D9" w:themeFill="background1" w:themeFillShade="D9"/>
          </w:tcPr>
          <w:p w14:paraId="6ADE32B8" w14:textId="77777777" w:rsidR="00460888" w:rsidRPr="00965442" w:rsidRDefault="00460888" w:rsidP="00460888">
            <w:pPr>
              <w:pStyle w:val="Tekstzonderopmaak"/>
              <w:spacing w:line="480" w:lineRule="auto"/>
              <w:jc w:val="center"/>
              <w:rPr>
                <w:lang w:val="en-US"/>
              </w:rPr>
            </w:pPr>
            <w:r w:rsidRPr="00965442">
              <w:rPr>
                <w:lang w:val="en-US"/>
              </w:rPr>
              <w:t>HC: 0.81, 0.16</w:t>
            </w:r>
          </w:p>
        </w:tc>
        <w:tc>
          <w:tcPr>
            <w:tcW w:w="2049" w:type="dxa"/>
            <w:shd w:val="clear" w:color="auto" w:fill="D9D9D9" w:themeFill="background1" w:themeFillShade="D9"/>
          </w:tcPr>
          <w:p w14:paraId="694CAF42" w14:textId="77777777" w:rsidR="00460888" w:rsidRPr="00965442" w:rsidRDefault="00460888" w:rsidP="00460888">
            <w:pPr>
              <w:pStyle w:val="Tekstzonderopmaak"/>
              <w:spacing w:line="480" w:lineRule="auto"/>
              <w:jc w:val="center"/>
              <w:rPr>
                <w:lang w:val="en-US"/>
              </w:rPr>
            </w:pPr>
            <w:r w:rsidRPr="00965442">
              <w:rPr>
                <w:lang w:val="en-US"/>
              </w:rPr>
              <w:t>HC: 0.57, 0.22</w:t>
            </w:r>
          </w:p>
        </w:tc>
        <w:tc>
          <w:tcPr>
            <w:tcW w:w="2562" w:type="dxa"/>
            <w:shd w:val="clear" w:color="auto" w:fill="D9D9D9" w:themeFill="background1" w:themeFillShade="D9"/>
          </w:tcPr>
          <w:p w14:paraId="3DEC5EE7" w14:textId="77777777" w:rsidR="00460888" w:rsidRPr="00965442" w:rsidRDefault="00460888" w:rsidP="00460888">
            <w:pPr>
              <w:pStyle w:val="Tekstzonderopmaak"/>
              <w:spacing w:line="480" w:lineRule="auto"/>
              <w:jc w:val="center"/>
              <w:rPr>
                <w:lang w:val="en-US"/>
              </w:rPr>
            </w:pPr>
            <w:r w:rsidRPr="00965442">
              <w:rPr>
                <w:lang w:val="en-US"/>
              </w:rPr>
              <w:t>-</w:t>
            </w:r>
          </w:p>
        </w:tc>
        <w:tc>
          <w:tcPr>
            <w:tcW w:w="3072" w:type="dxa"/>
            <w:shd w:val="clear" w:color="auto" w:fill="D9D9D9" w:themeFill="background1" w:themeFillShade="D9"/>
          </w:tcPr>
          <w:p w14:paraId="30019B49" w14:textId="77777777" w:rsidR="00460888" w:rsidRPr="00965442" w:rsidRDefault="00460888" w:rsidP="00460888">
            <w:pPr>
              <w:pStyle w:val="Tekstzonderopmaak"/>
              <w:spacing w:line="480" w:lineRule="auto"/>
              <w:jc w:val="center"/>
              <w:rPr>
                <w:lang w:val="en-US"/>
              </w:rPr>
            </w:pPr>
            <w:r w:rsidRPr="00965442">
              <w:rPr>
                <w:lang w:val="en-US"/>
              </w:rPr>
              <w:t>-</w:t>
            </w:r>
          </w:p>
        </w:tc>
      </w:tr>
      <w:tr w:rsidR="00460888" w:rsidRPr="00965442" w14:paraId="13080210" w14:textId="77777777" w:rsidTr="00460888">
        <w:trPr>
          <w:trHeight w:val="261"/>
        </w:trPr>
        <w:tc>
          <w:tcPr>
            <w:tcW w:w="2562" w:type="dxa"/>
            <w:tcBorders>
              <w:right w:val="single" w:sz="4" w:space="0" w:color="auto"/>
            </w:tcBorders>
          </w:tcPr>
          <w:p w14:paraId="7F3BFDCC" w14:textId="77777777" w:rsidR="00460888" w:rsidRPr="00965442" w:rsidRDefault="00460888" w:rsidP="00460888">
            <w:pPr>
              <w:pStyle w:val="Tekstzonderopmaak"/>
              <w:spacing w:line="480" w:lineRule="auto"/>
              <w:rPr>
                <w:lang w:val="en-US"/>
              </w:rPr>
            </w:pPr>
            <w:r w:rsidRPr="00965442">
              <w:rPr>
                <w:lang w:val="en-US"/>
              </w:rPr>
              <w:fldChar w:fldCharType="begin" w:fldLock="1"/>
            </w:r>
            <w:r w:rsidRPr="00965442">
              <w:rPr>
                <w:lang w:val="en-US"/>
              </w:rPr>
              <w:instrText>ADDIN CSL_CITATION {"citationItems":[{"id":"ITEM-1","itemData":{"DOI":"10.1093/schbul/sbv075","ISSN":"1745-1701","PMID":"26049083","abstract":"Reinforcement learning deficits have been associated with schizophrenia (SZ). However, the pathophysiology that gives rise to these abnormalities remains unclear. To address this question, SZ patients (N = 58) and controls (CN; N = 36) completed a probabilistic reversal-learning paradigm during functional magnetic resonance imaging scanning. During the task, participants choose between 2 stimuli. Initially, 1 stimulus was frequently rewarded (80%); the other was infrequently rewarded (20%). The reward contingencies reversed periodically because the participant learned the more rewarded stimulus. The results indicated that SZ patients achieved fewer reversals than CN, and demonstrated decreased winstay-loseshift decision-making behavior. On loseshift compared to winstay trials, SZ patients showed reduced Blood Oxygen Level Dependent activation compared to CN in a network of brain regions widely associated with cognitive control, and striatal regions. Importantly, relationships between group membership and behavior were mediated by alterations in the activity of cognitive control regions, but not striatum. These findings indicate an important role for the cognitive control network in mediating the use and updating of value representations in SZ. Such results provide biological targets for further inquiry because researchers attempt to better characterize decision-making neural circuitry in SZ as a means to discover new pathways for interventions.","author":[{"dropping-particle":"","family":"Culbreth","given":"Adam J","non-dropping-particle":"","parse-names":false,"suffix":""},{"dropping-particle":"","family":"Gold","given":"James M","non-dropping-particle":"","parse-names":false,"suffix":""},{"dropping-particle":"","family":"Cools","given":"Roshan","non-dropping-particle":"","parse-names":false,"suffix":""},{"dropping-particle":"","family":"Barch","given":"Deanna M","non-dropping-particle":"","parse-names":false,"suffix":""}],"container-title":"Schizophrenia bulletin","id":"ITEM-1","issue":"2","issued":{"date-parts":[["2016","3"]]},"page":"484-93","title":"Impaired Activation in Cognitive Control Regions Predicts Reversal Learning in Schizophrenia.","type":"article-journal","volume":"42"},"uris":["http://www.mendeley.com/documents/?uuid=d36c9bbf-cafd-3af1-a092-a1357b66079c"]}],"mendeley":{"formattedCitation":"(Culbreth &lt;i&gt;et al.&lt;/i&gt; 2016)","manualFormatting":"Culbreth et al. 2016","plainTextFormattedCitation":"(Culbreth et al. 2016)","previouslyFormattedCitation":"(Culbreth &lt;i&gt;et al.&lt;/i&gt; 2016)"},"properties":{"noteIndex":0},"schema":"https://github.com/citation-style-language/schema/raw/master/csl-citation.json"}</w:instrText>
            </w:r>
            <w:r w:rsidRPr="00965442">
              <w:rPr>
                <w:lang w:val="en-US"/>
              </w:rPr>
              <w:fldChar w:fldCharType="separate"/>
            </w:r>
            <w:r w:rsidRPr="00965442">
              <w:rPr>
                <w:noProof/>
                <w:lang w:val="en-US"/>
              </w:rPr>
              <w:t xml:space="preserve">Culbreth </w:t>
            </w:r>
            <w:r w:rsidRPr="00965442">
              <w:rPr>
                <w:i/>
                <w:noProof/>
                <w:lang w:val="en-US"/>
              </w:rPr>
              <w:t>et al.</w:t>
            </w:r>
            <w:r w:rsidRPr="00965442">
              <w:rPr>
                <w:noProof/>
                <w:lang w:val="en-US"/>
              </w:rPr>
              <w:t xml:space="preserve"> 2016</w:t>
            </w:r>
            <w:r w:rsidRPr="00965442">
              <w:rPr>
                <w:lang w:val="en-US"/>
              </w:rPr>
              <w:fldChar w:fldCharType="end"/>
            </w:r>
          </w:p>
        </w:tc>
        <w:tc>
          <w:tcPr>
            <w:tcW w:w="2218" w:type="dxa"/>
            <w:tcBorders>
              <w:left w:val="single" w:sz="4" w:space="0" w:color="auto"/>
            </w:tcBorders>
          </w:tcPr>
          <w:p w14:paraId="3B8489B3" w14:textId="77777777" w:rsidR="00460888" w:rsidRPr="00965442" w:rsidRDefault="00460888" w:rsidP="00460888">
            <w:pPr>
              <w:pStyle w:val="Tekstzonderopmaak"/>
              <w:spacing w:line="480" w:lineRule="auto"/>
              <w:jc w:val="center"/>
              <w:rPr>
                <w:lang w:val="en-US"/>
              </w:rPr>
            </w:pPr>
            <w:r w:rsidRPr="00965442">
              <w:rPr>
                <w:lang w:val="en-US"/>
              </w:rPr>
              <w:t>HC: 0.8, 02</w:t>
            </w:r>
          </w:p>
        </w:tc>
        <w:tc>
          <w:tcPr>
            <w:tcW w:w="2049" w:type="dxa"/>
          </w:tcPr>
          <w:p w14:paraId="66A364FA" w14:textId="77777777" w:rsidR="00460888" w:rsidRPr="00965442" w:rsidRDefault="00460888" w:rsidP="00460888">
            <w:pPr>
              <w:pStyle w:val="Tekstzonderopmaak"/>
              <w:spacing w:line="480" w:lineRule="auto"/>
              <w:jc w:val="center"/>
              <w:rPr>
                <w:lang w:val="en-US"/>
              </w:rPr>
            </w:pPr>
            <w:r w:rsidRPr="00965442">
              <w:rPr>
                <w:lang w:val="en-US"/>
              </w:rPr>
              <w:t>HC: 0.4, 0.1</w:t>
            </w:r>
          </w:p>
        </w:tc>
        <w:tc>
          <w:tcPr>
            <w:tcW w:w="2562" w:type="dxa"/>
          </w:tcPr>
          <w:p w14:paraId="2565B991" w14:textId="77777777" w:rsidR="00460888" w:rsidRPr="00965442" w:rsidRDefault="00460888" w:rsidP="00460888">
            <w:pPr>
              <w:pStyle w:val="Tekstzonderopmaak"/>
              <w:spacing w:line="480" w:lineRule="auto"/>
              <w:jc w:val="center"/>
              <w:rPr>
                <w:lang w:val="en-US"/>
              </w:rPr>
            </w:pPr>
            <w:r w:rsidRPr="00965442">
              <w:rPr>
                <w:lang w:val="en-US"/>
              </w:rPr>
              <w:t>-</w:t>
            </w:r>
          </w:p>
        </w:tc>
        <w:tc>
          <w:tcPr>
            <w:tcW w:w="3072" w:type="dxa"/>
          </w:tcPr>
          <w:p w14:paraId="4A8CB4FC" w14:textId="77777777" w:rsidR="00460888" w:rsidRPr="00965442" w:rsidRDefault="00460888" w:rsidP="00460888">
            <w:pPr>
              <w:pStyle w:val="Tekstzonderopmaak"/>
              <w:spacing w:line="480" w:lineRule="auto"/>
              <w:jc w:val="center"/>
              <w:rPr>
                <w:lang w:val="en-US"/>
              </w:rPr>
            </w:pPr>
            <w:r w:rsidRPr="00965442">
              <w:rPr>
                <w:lang w:val="en-US"/>
              </w:rPr>
              <w:t>-</w:t>
            </w:r>
          </w:p>
        </w:tc>
      </w:tr>
    </w:tbl>
    <w:p w14:paraId="3543E379" w14:textId="58B9D7C4" w:rsidR="00460888" w:rsidRPr="00460888" w:rsidRDefault="00460888" w:rsidP="00460888">
      <w:pPr>
        <w:pStyle w:val="Tekstzonderopmaak"/>
        <w:spacing w:line="480" w:lineRule="auto"/>
        <w:rPr>
          <w:sz w:val="20"/>
          <w:szCs w:val="20"/>
          <w:lang w:val="en-US"/>
        </w:rPr>
      </w:pPr>
      <w:r w:rsidRPr="00460888">
        <w:rPr>
          <w:sz w:val="20"/>
          <w:szCs w:val="20"/>
          <w:lang w:val="en-US"/>
        </w:rPr>
        <w:t>~ Mean and SD not available, mean estimated from bar plots.</w:t>
      </w:r>
    </w:p>
    <w:p w14:paraId="71C7DC67" w14:textId="77777777" w:rsidR="006F7EB3" w:rsidRPr="00615D05" w:rsidRDefault="006F7EB3" w:rsidP="00460888">
      <w:pPr>
        <w:pStyle w:val="Geenafstand"/>
        <w:spacing w:line="480" w:lineRule="auto"/>
        <w:rPr>
          <w:sz w:val="20"/>
          <w:szCs w:val="18"/>
          <w:lang w:val="en-US"/>
        </w:rPr>
      </w:pPr>
    </w:p>
    <w:p w14:paraId="1CE3D26C" w14:textId="0C636031" w:rsidR="004A0537" w:rsidRPr="006F7EB3" w:rsidRDefault="006F7EB3" w:rsidP="00460888">
      <w:pPr>
        <w:tabs>
          <w:tab w:val="left" w:pos="8085"/>
        </w:tabs>
        <w:spacing w:line="480" w:lineRule="auto"/>
        <w:rPr>
          <w:lang w:val="en-US"/>
        </w:rPr>
        <w:sectPr w:rsidR="004A0537" w:rsidRPr="006F7EB3" w:rsidSect="004A0537">
          <w:pgSz w:w="16838" w:h="11906" w:orient="landscape"/>
          <w:pgMar w:top="1418" w:right="1418" w:bottom="1418" w:left="1418" w:header="709" w:footer="709" w:gutter="0"/>
          <w:lnNumType w:countBy="1" w:restart="continuous"/>
          <w:cols w:space="708"/>
          <w:docGrid w:linePitch="360"/>
        </w:sectPr>
      </w:pPr>
      <w:r>
        <w:rPr>
          <w:lang w:val="en-US"/>
        </w:rPr>
        <w:tab/>
      </w:r>
      <w:bookmarkStart w:id="20" w:name="_GoBack"/>
      <w:bookmarkEnd w:id="20"/>
    </w:p>
    <w:p w14:paraId="08BC7610" w14:textId="77777777" w:rsidR="00C314F3" w:rsidRPr="000444B5" w:rsidRDefault="00C314F3" w:rsidP="00C314F3">
      <w:pPr>
        <w:spacing w:after="0" w:line="480" w:lineRule="auto"/>
        <w:outlineLvl w:val="0"/>
        <w:rPr>
          <w:rFonts w:ascii="Calibri" w:eastAsia="Calibri" w:hAnsi="Calibri" w:cs="Times New Roman"/>
          <w:sz w:val="28"/>
          <w:szCs w:val="28"/>
          <w:lang w:val="en-US"/>
        </w:rPr>
      </w:pPr>
      <w:bookmarkStart w:id="21" w:name="_Toc38977700"/>
      <w:bookmarkStart w:id="22" w:name="_Hlk38977964"/>
      <w:r w:rsidRPr="000444B5">
        <w:rPr>
          <w:rFonts w:ascii="Calibri" w:eastAsia="Calibri" w:hAnsi="Calibri" w:cs="Times New Roman"/>
          <w:sz w:val="28"/>
          <w:szCs w:val="28"/>
          <w:lang w:val="en-US"/>
        </w:rPr>
        <w:lastRenderedPageBreak/>
        <w:t>References</w:t>
      </w:r>
      <w:bookmarkEnd w:id="21"/>
    </w:p>
    <w:p w14:paraId="1990C1A6" w14:textId="1809AF69" w:rsidR="00BC11EF" w:rsidRPr="007839E0" w:rsidRDefault="00C314F3" w:rsidP="00BC11EF">
      <w:pPr>
        <w:widowControl w:val="0"/>
        <w:autoSpaceDE w:val="0"/>
        <w:autoSpaceDN w:val="0"/>
        <w:adjustRightInd w:val="0"/>
        <w:spacing w:after="0" w:line="480" w:lineRule="auto"/>
        <w:rPr>
          <w:rFonts w:ascii="Calibri" w:hAnsi="Calibri" w:cs="Calibri"/>
          <w:noProof/>
          <w:szCs w:val="24"/>
          <w:lang w:val="en-US"/>
        </w:rPr>
      </w:pPr>
      <w:r w:rsidRPr="000444B5">
        <w:rPr>
          <w:rFonts w:ascii="Calibri" w:eastAsia="Calibri" w:hAnsi="Calibri" w:cs="Times New Roman"/>
          <w:lang w:val="en-US"/>
        </w:rPr>
        <w:fldChar w:fldCharType="begin" w:fldLock="1"/>
      </w:r>
      <w:r w:rsidRPr="000444B5">
        <w:rPr>
          <w:rFonts w:ascii="Calibri" w:eastAsia="Calibri" w:hAnsi="Calibri" w:cs="Times New Roman"/>
          <w:lang w:val="en-US"/>
        </w:rPr>
        <w:instrText xml:space="preserve">ADDIN Mendeley Bibliography CSL_BIBLIOGRAPHY </w:instrText>
      </w:r>
      <w:r w:rsidRPr="000444B5">
        <w:rPr>
          <w:rFonts w:ascii="Calibri" w:eastAsia="Calibri" w:hAnsi="Calibri" w:cs="Times New Roman"/>
          <w:lang w:val="en-US"/>
        </w:rPr>
        <w:fldChar w:fldCharType="separate"/>
      </w:r>
      <w:r w:rsidR="00BC11EF" w:rsidRPr="00BC11EF">
        <w:rPr>
          <w:rFonts w:ascii="Calibri" w:hAnsi="Calibri" w:cs="Calibri"/>
          <w:b/>
          <w:bCs/>
          <w:noProof/>
          <w:szCs w:val="24"/>
          <w:lang w:val="en-GB"/>
        </w:rPr>
        <w:t>Bagby RM, Parker JDA, Taylor GJ</w:t>
      </w:r>
      <w:r w:rsidR="00BC11EF" w:rsidRPr="00BC11EF">
        <w:rPr>
          <w:rFonts w:ascii="Calibri" w:hAnsi="Calibri" w:cs="Calibri"/>
          <w:noProof/>
          <w:szCs w:val="24"/>
          <w:lang w:val="en-GB"/>
        </w:rPr>
        <w:t xml:space="preserve"> (1994). </w:t>
      </w:r>
      <w:r w:rsidR="00BC11EF" w:rsidRPr="007839E0">
        <w:rPr>
          <w:rFonts w:ascii="Calibri" w:hAnsi="Calibri" w:cs="Calibri"/>
          <w:noProof/>
          <w:szCs w:val="24"/>
          <w:lang w:val="en-US"/>
        </w:rPr>
        <w:t xml:space="preserve">The twenty-item Toronto Alexithymia scale—I. Item selection and cross-validation of the factor structure. </w:t>
      </w:r>
      <w:r w:rsidR="00BC11EF" w:rsidRPr="007839E0">
        <w:rPr>
          <w:rFonts w:ascii="Calibri" w:hAnsi="Calibri" w:cs="Calibri"/>
          <w:i/>
          <w:iCs/>
          <w:noProof/>
          <w:szCs w:val="24"/>
          <w:lang w:val="en-US"/>
        </w:rPr>
        <w:t>Journal of Psychosomatic Research</w:t>
      </w:r>
      <w:r w:rsidR="00BC11EF" w:rsidRPr="007839E0">
        <w:rPr>
          <w:rFonts w:ascii="Calibri" w:hAnsi="Calibri" w:cs="Calibri"/>
          <w:noProof/>
          <w:szCs w:val="24"/>
          <w:lang w:val="en-US"/>
        </w:rPr>
        <w:t xml:space="preserve"> </w:t>
      </w:r>
      <w:r w:rsidR="00BC11EF" w:rsidRPr="007839E0">
        <w:rPr>
          <w:rFonts w:ascii="Calibri" w:hAnsi="Calibri" w:cs="Calibri"/>
          <w:b/>
          <w:bCs/>
          <w:noProof/>
          <w:szCs w:val="24"/>
          <w:lang w:val="en-US"/>
        </w:rPr>
        <w:t>38</w:t>
      </w:r>
      <w:r w:rsidR="00BC11EF" w:rsidRPr="007839E0">
        <w:rPr>
          <w:rFonts w:ascii="Calibri" w:hAnsi="Calibri" w:cs="Calibri"/>
          <w:noProof/>
          <w:szCs w:val="24"/>
          <w:lang w:val="en-US"/>
        </w:rPr>
        <w:t>, 23–32.</w:t>
      </w:r>
    </w:p>
    <w:p w14:paraId="6161BF2A" w14:textId="77777777" w:rsidR="00BC11EF" w:rsidRPr="007839E0" w:rsidRDefault="00BC11EF" w:rsidP="00BC11EF">
      <w:pPr>
        <w:widowControl w:val="0"/>
        <w:autoSpaceDE w:val="0"/>
        <w:autoSpaceDN w:val="0"/>
        <w:adjustRightInd w:val="0"/>
        <w:spacing w:after="0" w:line="480" w:lineRule="auto"/>
        <w:rPr>
          <w:rFonts w:ascii="Calibri" w:hAnsi="Calibri" w:cs="Calibri"/>
          <w:noProof/>
          <w:szCs w:val="24"/>
          <w:lang w:val="en-US"/>
        </w:rPr>
      </w:pPr>
      <w:r w:rsidRPr="007839E0">
        <w:rPr>
          <w:rFonts w:ascii="Calibri" w:hAnsi="Calibri" w:cs="Calibri"/>
          <w:b/>
          <w:bCs/>
          <w:noProof/>
          <w:szCs w:val="24"/>
          <w:lang w:val="en-US"/>
        </w:rPr>
        <w:t>Baron-Cohen S, Wheelwright S, Skinner R, Martin J, Clubley E</w:t>
      </w:r>
      <w:r w:rsidRPr="007839E0">
        <w:rPr>
          <w:rFonts w:ascii="Calibri" w:hAnsi="Calibri" w:cs="Calibri"/>
          <w:noProof/>
          <w:szCs w:val="24"/>
          <w:lang w:val="en-US"/>
        </w:rPr>
        <w:t xml:space="preserve"> (2001). The Autism-Spectrum Quotient (AQ): Evidence from Asperger Syndrome/High-Functioning Autism, Males and Females, Scientists and Mathematicians. </w:t>
      </w:r>
      <w:r w:rsidRPr="007839E0">
        <w:rPr>
          <w:rFonts w:ascii="Calibri" w:hAnsi="Calibri" w:cs="Calibri"/>
          <w:i/>
          <w:iCs/>
          <w:noProof/>
          <w:szCs w:val="24"/>
          <w:lang w:val="en-US"/>
        </w:rPr>
        <w:t>Journal of Autism and Developmental Disorders</w:t>
      </w:r>
      <w:r w:rsidRPr="007839E0">
        <w:rPr>
          <w:rFonts w:ascii="Calibri" w:hAnsi="Calibri" w:cs="Calibri"/>
          <w:noProof/>
          <w:szCs w:val="24"/>
          <w:lang w:val="en-US"/>
        </w:rPr>
        <w:t xml:space="preserve"> </w:t>
      </w:r>
      <w:r w:rsidRPr="007839E0">
        <w:rPr>
          <w:rFonts w:ascii="Calibri" w:hAnsi="Calibri" w:cs="Calibri"/>
          <w:b/>
          <w:bCs/>
          <w:noProof/>
          <w:szCs w:val="24"/>
          <w:lang w:val="en-US"/>
        </w:rPr>
        <w:t>31</w:t>
      </w:r>
      <w:r w:rsidRPr="007839E0">
        <w:rPr>
          <w:rFonts w:ascii="Calibri" w:hAnsi="Calibri" w:cs="Calibri"/>
          <w:noProof/>
          <w:szCs w:val="24"/>
          <w:lang w:val="en-US"/>
        </w:rPr>
        <w:t>, 5–17.</w:t>
      </w:r>
    </w:p>
    <w:p w14:paraId="7DEFA17E" w14:textId="77777777" w:rsidR="00BC11EF" w:rsidRPr="007839E0" w:rsidRDefault="00BC11EF" w:rsidP="00BC11EF">
      <w:pPr>
        <w:widowControl w:val="0"/>
        <w:autoSpaceDE w:val="0"/>
        <w:autoSpaceDN w:val="0"/>
        <w:adjustRightInd w:val="0"/>
        <w:spacing w:after="0" w:line="480" w:lineRule="auto"/>
        <w:rPr>
          <w:rFonts w:ascii="Calibri" w:hAnsi="Calibri" w:cs="Calibri"/>
          <w:noProof/>
          <w:szCs w:val="24"/>
          <w:lang w:val="en-US"/>
        </w:rPr>
      </w:pPr>
      <w:r w:rsidRPr="007839E0">
        <w:rPr>
          <w:rFonts w:ascii="Calibri" w:hAnsi="Calibri" w:cs="Calibri"/>
          <w:b/>
          <w:bCs/>
          <w:noProof/>
          <w:szCs w:val="24"/>
          <w:lang w:val="en-US"/>
        </w:rPr>
        <w:t>Chwastiak LA, Von Korff M</w:t>
      </w:r>
      <w:r w:rsidRPr="007839E0">
        <w:rPr>
          <w:rFonts w:ascii="Calibri" w:hAnsi="Calibri" w:cs="Calibri"/>
          <w:noProof/>
          <w:szCs w:val="24"/>
          <w:lang w:val="en-US"/>
        </w:rPr>
        <w:t xml:space="preserve"> (2003). Disability in depression and back pain: Evaluation of the World Health Organization Disability Assessment Schedule (WHO DAS II) in a primary care setting. </w:t>
      </w:r>
      <w:r w:rsidRPr="007839E0">
        <w:rPr>
          <w:rFonts w:ascii="Calibri" w:hAnsi="Calibri" w:cs="Calibri"/>
          <w:i/>
          <w:iCs/>
          <w:noProof/>
          <w:szCs w:val="24"/>
          <w:lang w:val="en-US"/>
        </w:rPr>
        <w:t>Journal of Clinical Epidemiology</w:t>
      </w:r>
      <w:r w:rsidRPr="007839E0">
        <w:rPr>
          <w:rFonts w:ascii="Calibri" w:hAnsi="Calibri" w:cs="Calibri"/>
          <w:noProof/>
          <w:szCs w:val="24"/>
          <w:lang w:val="en-US"/>
        </w:rPr>
        <w:t xml:space="preserve"> </w:t>
      </w:r>
      <w:r w:rsidRPr="007839E0">
        <w:rPr>
          <w:rFonts w:ascii="Calibri" w:hAnsi="Calibri" w:cs="Calibri"/>
          <w:b/>
          <w:bCs/>
          <w:noProof/>
          <w:szCs w:val="24"/>
          <w:lang w:val="en-US"/>
        </w:rPr>
        <w:t>56</w:t>
      </w:r>
      <w:r w:rsidRPr="007839E0">
        <w:rPr>
          <w:rFonts w:ascii="Calibri" w:hAnsi="Calibri" w:cs="Calibri"/>
          <w:noProof/>
          <w:szCs w:val="24"/>
          <w:lang w:val="en-US"/>
        </w:rPr>
        <w:t>, 507–514.</w:t>
      </w:r>
    </w:p>
    <w:p w14:paraId="6D136CE9" w14:textId="77777777" w:rsidR="00BC11EF" w:rsidRPr="007839E0" w:rsidRDefault="00BC11EF" w:rsidP="00BC11EF">
      <w:pPr>
        <w:widowControl w:val="0"/>
        <w:autoSpaceDE w:val="0"/>
        <w:autoSpaceDN w:val="0"/>
        <w:adjustRightInd w:val="0"/>
        <w:spacing w:after="0" w:line="480" w:lineRule="auto"/>
        <w:rPr>
          <w:rFonts w:ascii="Calibri" w:hAnsi="Calibri" w:cs="Calibri"/>
          <w:noProof/>
          <w:szCs w:val="24"/>
          <w:lang w:val="en-US"/>
        </w:rPr>
      </w:pPr>
      <w:r w:rsidRPr="007839E0">
        <w:rPr>
          <w:rFonts w:ascii="Calibri" w:hAnsi="Calibri" w:cs="Calibri"/>
          <w:b/>
          <w:bCs/>
          <w:noProof/>
          <w:szCs w:val="24"/>
          <w:lang w:val="en-US"/>
        </w:rPr>
        <w:t>Conners C, Erhardt D, Sparrow E</w:t>
      </w:r>
      <w:r w:rsidRPr="007839E0">
        <w:rPr>
          <w:rFonts w:ascii="Calibri" w:hAnsi="Calibri" w:cs="Calibri"/>
          <w:noProof/>
          <w:szCs w:val="24"/>
          <w:lang w:val="en-US"/>
        </w:rPr>
        <w:t xml:space="preserve"> (1999). </w:t>
      </w:r>
      <w:r w:rsidRPr="007839E0">
        <w:rPr>
          <w:rFonts w:ascii="Calibri" w:hAnsi="Calibri" w:cs="Calibri"/>
          <w:i/>
          <w:iCs/>
          <w:noProof/>
          <w:szCs w:val="24"/>
          <w:lang w:val="en-US"/>
        </w:rPr>
        <w:t>Adult ADHD rating scales: Technical manual.</w:t>
      </w:r>
    </w:p>
    <w:p w14:paraId="1D461684" w14:textId="77777777" w:rsidR="00BC11EF" w:rsidRPr="007839E0" w:rsidRDefault="00BC11EF" w:rsidP="00BC11EF">
      <w:pPr>
        <w:widowControl w:val="0"/>
        <w:autoSpaceDE w:val="0"/>
        <w:autoSpaceDN w:val="0"/>
        <w:adjustRightInd w:val="0"/>
        <w:spacing w:after="0" w:line="480" w:lineRule="auto"/>
        <w:rPr>
          <w:rFonts w:ascii="Calibri" w:hAnsi="Calibri" w:cs="Calibri"/>
          <w:noProof/>
          <w:szCs w:val="24"/>
          <w:lang w:val="en-US"/>
        </w:rPr>
      </w:pPr>
      <w:r w:rsidRPr="007839E0">
        <w:rPr>
          <w:rFonts w:ascii="Calibri" w:hAnsi="Calibri" w:cs="Calibri"/>
          <w:b/>
          <w:bCs/>
          <w:noProof/>
          <w:szCs w:val="24"/>
          <w:lang w:val="en-US"/>
        </w:rPr>
        <w:t>Culbreth AJ, Gold JM, Cools R, Barch DM</w:t>
      </w:r>
      <w:r w:rsidRPr="007839E0">
        <w:rPr>
          <w:rFonts w:ascii="Calibri" w:hAnsi="Calibri" w:cs="Calibri"/>
          <w:noProof/>
          <w:szCs w:val="24"/>
          <w:lang w:val="en-US"/>
        </w:rPr>
        <w:t xml:space="preserve"> (2016). Impaired Activation in Cognitive Control Regions Predicts Reversal Learning in Schizophrenia. </w:t>
      </w:r>
      <w:r w:rsidRPr="007839E0">
        <w:rPr>
          <w:rFonts w:ascii="Calibri" w:hAnsi="Calibri" w:cs="Calibri"/>
          <w:i/>
          <w:iCs/>
          <w:noProof/>
          <w:szCs w:val="24"/>
          <w:lang w:val="en-US"/>
        </w:rPr>
        <w:t>Schizophrenia bulletin</w:t>
      </w:r>
      <w:r w:rsidRPr="007839E0">
        <w:rPr>
          <w:rFonts w:ascii="Calibri" w:hAnsi="Calibri" w:cs="Calibri"/>
          <w:noProof/>
          <w:szCs w:val="24"/>
          <w:lang w:val="en-US"/>
        </w:rPr>
        <w:t xml:space="preserve"> </w:t>
      </w:r>
      <w:r w:rsidRPr="007839E0">
        <w:rPr>
          <w:rFonts w:ascii="Calibri" w:hAnsi="Calibri" w:cs="Calibri"/>
          <w:b/>
          <w:bCs/>
          <w:noProof/>
          <w:szCs w:val="24"/>
          <w:lang w:val="en-US"/>
        </w:rPr>
        <w:t>42</w:t>
      </w:r>
      <w:r w:rsidRPr="007839E0">
        <w:rPr>
          <w:rFonts w:ascii="Calibri" w:hAnsi="Calibri" w:cs="Calibri"/>
          <w:noProof/>
          <w:szCs w:val="24"/>
          <w:lang w:val="en-US"/>
        </w:rPr>
        <w:t>, 484–93.</w:t>
      </w:r>
    </w:p>
    <w:p w14:paraId="24DA80C6" w14:textId="77777777" w:rsidR="00BC11EF" w:rsidRPr="007839E0" w:rsidRDefault="00BC11EF" w:rsidP="00BC11EF">
      <w:pPr>
        <w:widowControl w:val="0"/>
        <w:autoSpaceDE w:val="0"/>
        <w:autoSpaceDN w:val="0"/>
        <w:adjustRightInd w:val="0"/>
        <w:spacing w:after="0" w:line="480" w:lineRule="auto"/>
        <w:rPr>
          <w:rFonts w:ascii="Calibri" w:hAnsi="Calibri" w:cs="Calibri"/>
          <w:noProof/>
          <w:szCs w:val="24"/>
          <w:lang w:val="en-US"/>
        </w:rPr>
      </w:pPr>
      <w:r w:rsidRPr="007839E0">
        <w:rPr>
          <w:rFonts w:ascii="Calibri" w:hAnsi="Calibri" w:cs="Calibri"/>
          <w:b/>
          <w:bCs/>
          <w:noProof/>
          <w:szCs w:val="24"/>
          <w:lang w:val="en-US"/>
        </w:rPr>
        <w:t>Dombrovski AY, Clark L, Siegle GJ, Butters MA, Ichikawa N, Sahakian BJ, Szanto K</w:t>
      </w:r>
      <w:r w:rsidRPr="007839E0">
        <w:rPr>
          <w:rFonts w:ascii="Calibri" w:hAnsi="Calibri" w:cs="Calibri"/>
          <w:noProof/>
          <w:szCs w:val="24"/>
          <w:lang w:val="en-US"/>
        </w:rPr>
        <w:t xml:space="preserve"> (2010). Reward/Punishment reversal learning in older suicide attempters. </w:t>
      </w:r>
      <w:r w:rsidRPr="007839E0">
        <w:rPr>
          <w:rFonts w:ascii="Calibri" w:hAnsi="Calibri" w:cs="Calibri"/>
          <w:i/>
          <w:iCs/>
          <w:noProof/>
          <w:szCs w:val="24"/>
          <w:lang w:val="en-US"/>
        </w:rPr>
        <w:t>The American journal of psychiatry</w:t>
      </w:r>
      <w:r w:rsidRPr="007839E0">
        <w:rPr>
          <w:rFonts w:ascii="Calibri" w:hAnsi="Calibri" w:cs="Calibri"/>
          <w:noProof/>
          <w:szCs w:val="24"/>
          <w:lang w:val="en-US"/>
        </w:rPr>
        <w:t xml:space="preserve"> </w:t>
      </w:r>
      <w:r w:rsidRPr="007839E0">
        <w:rPr>
          <w:rFonts w:ascii="Calibri" w:hAnsi="Calibri" w:cs="Calibri"/>
          <w:b/>
          <w:bCs/>
          <w:noProof/>
          <w:szCs w:val="24"/>
          <w:lang w:val="en-US"/>
        </w:rPr>
        <w:t>167</w:t>
      </w:r>
      <w:r w:rsidRPr="007839E0">
        <w:rPr>
          <w:rFonts w:ascii="Calibri" w:hAnsi="Calibri" w:cs="Calibri"/>
          <w:noProof/>
          <w:szCs w:val="24"/>
          <w:lang w:val="en-US"/>
        </w:rPr>
        <w:t>, 699–707.</w:t>
      </w:r>
    </w:p>
    <w:p w14:paraId="6D8AF5F5" w14:textId="77777777" w:rsidR="00BC11EF" w:rsidRPr="007839E0" w:rsidRDefault="00BC11EF" w:rsidP="00BC11EF">
      <w:pPr>
        <w:widowControl w:val="0"/>
        <w:autoSpaceDE w:val="0"/>
        <w:autoSpaceDN w:val="0"/>
        <w:adjustRightInd w:val="0"/>
        <w:spacing w:after="0" w:line="480" w:lineRule="auto"/>
        <w:rPr>
          <w:rFonts w:ascii="Calibri" w:hAnsi="Calibri" w:cs="Calibri"/>
          <w:noProof/>
          <w:szCs w:val="24"/>
          <w:lang w:val="en-US"/>
        </w:rPr>
      </w:pPr>
      <w:r w:rsidRPr="00BC11EF">
        <w:rPr>
          <w:rFonts w:ascii="Calibri" w:hAnsi="Calibri" w:cs="Calibri"/>
          <w:b/>
          <w:bCs/>
          <w:noProof/>
          <w:szCs w:val="24"/>
        </w:rPr>
        <w:t>Ehring T, Zetsche U, Weidacker K, Wahl K, Schönfeld S, Ehlers A</w:t>
      </w:r>
      <w:r w:rsidRPr="00BC11EF">
        <w:rPr>
          <w:rFonts w:ascii="Calibri" w:hAnsi="Calibri" w:cs="Calibri"/>
          <w:noProof/>
          <w:szCs w:val="24"/>
        </w:rPr>
        <w:t xml:space="preserve"> (2011). </w:t>
      </w:r>
      <w:r w:rsidRPr="007839E0">
        <w:rPr>
          <w:rFonts w:ascii="Calibri" w:hAnsi="Calibri" w:cs="Calibri"/>
          <w:noProof/>
          <w:szCs w:val="24"/>
          <w:lang w:val="en-US"/>
        </w:rPr>
        <w:t xml:space="preserve">The Perseverative Thinking Questionnaire (PTQ): Validation of a content-independent measure of repetitive negative thinking. </w:t>
      </w:r>
      <w:r w:rsidRPr="007839E0">
        <w:rPr>
          <w:rFonts w:ascii="Calibri" w:hAnsi="Calibri" w:cs="Calibri"/>
          <w:i/>
          <w:iCs/>
          <w:noProof/>
          <w:szCs w:val="24"/>
          <w:lang w:val="en-US"/>
        </w:rPr>
        <w:t>Journal of Behavior Therapy and Experimental Psychiatry</w:t>
      </w:r>
      <w:r w:rsidRPr="007839E0">
        <w:rPr>
          <w:rFonts w:ascii="Calibri" w:hAnsi="Calibri" w:cs="Calibri"/>
          <w:noProof/>
          <w:szCs w:val="24"/>
          <w:lang w:val="en-US"/>
        </w:rPr>
        <w:t xml:space="preserve"> </w:t>
      </w:r>
      <w:r w:rsidRPr="007839E0">
        <w:rPr>
          <w:rFonts w:ascii="Calibri" w:hAnsi="Calibri" w:cs="Calibri"/>
          <w:b/>
          <w:bCs/>
          <w:noProof/>
          <w:szCs w:val="24"/>
          <w:lang w:val="en-US"/>
        </w:rPr>
        <w:t>42</w:t>
      </w:r>
      <w:r w:rsidRPr="007839E0">
        <w:rPr>
          <w:rFonts w:ascii="Calibri" w:hAnsi="Calibri" w:cs="Calibri"/>
          <w:noProof/>
          <w:szCs w:val="24"/>
          <w:lang w:val="en-US"/>
        </w:rPr>
        <w:t>, 225–232.</w:t>
      </w:r>
    </w:p>
    <w:p w14:paraId="070AA388" w14:textId="77777777" w:rsidR="00BC11EF" w:rsidRPr="007839E0" w:rsidRDefault="00BC11EF" w:rsidP="00BC11EF">
      <w:pPr>
        <w:widowControl w:val="0"/>
        <w:autoSpaceDE w:val="0"/>
        <w:autoSpaceDN w:val="0"/>
        <w:adjustRightInd w:val="0"/>
        <w:spacing w:after="0" w:line="480" w:lineRule="auto"/>
        <w:rPr>
          <w:rFonts w:ascii="Calibri" w:hAnsi="Calibri" w:cs="Calibri"/>
          <w:noProof/>
          <w:szCs w:val="24"/>
          <w:lang w:val="en-US"/>
        </w:rPr>
      </w:pPr>
      <w:r w:rsidRPr="007839E0">
        <w:rPr>
          <w:rFonts w:ascii="Calibri" w:hAnsi="Calibri" w:cs="Calibri"/>
          <w:b/>
          <w:bCs/>
          <w:noProof/>
          <w:szCs w:val="24"/>
          <w:lang w:val="en-US"/>
        </w:rPr>
        <w:t>First MB, Spitzer RL, Gibbon M, Williams JBW</w:t>
      </w:r>
      <w:r w:rsidRPr="007839E0">
        <w:rPr>
          <w:rFonts w:ascii="Calibri" w:hAnsi="Calibri" w:cs="Calibri"/>
          <w:noProof/>
          <w:szCs w:val="24"/>
          <w:lang w:val="en-US"/>
        </w:rPr>
        <w:t xml:space="preserve"> (1996). Structured clinical interview for DSM-IV axis I disorders research version (SCID-I).</w:t>
      </w:r>
    </w:p>
    <w:p w14:paraId="3E303EB2" w14:textId="77777777" w:rsidR="00BC11EF" w:rsidRPr="007839E0" w:rsidRDefault="00BC11EF" w:rsidP="00BC11EF">
      <w:pPr>
        <w:widowControl w:val="0"/>
        <w:autoSpaceDE w:val="0"/>
        <w:autoSpaceDN w:val="0"/>
        <w:adjustRightInd w:val="0"/>
        <w:spacing w:after="0" w:line="480" w:lineRule="auto"/>
        <w:rPr>
          <w:rFonts w:ascii="Calibri" w:hAnsi="Calibri" w:cs="Calibri"/>
          <w:noProof/>
          <w:szCs w:val="24"/>
          <w:lang w:val="en-US"/>
        </w:rPr>
      </w:pPr>
      <w:r w:rsidRPr="007839E0">
        <w:rPr>
          <w:rFonts w:ascii="Calibri" w:hAnsi="Calibri" w:cs="Calibri"/>
          <w:b/>
          <w:bCs/>
          <w:noProof/>
          <w:szCs w:val="24"/>
          <w:lang w:val="en-US"/>
        </w:rPr>
        <w:t>Frank MJ, Moustafa AA, Haughey HM, Curran T, Hutchison KE</w:t>
      </w:r>
      <w:r w:rsidRPr="007839E0">
        <w:rPr>
          <w:rFonts w:ascii="Calibri" w:hAnsi="Calibri" w:cs="Calibri"/>
          <w:noProof/>
          <w:szCs w:val="24"/>
          <w:lang w:val="en-US"/>
        </w:rPr>
        <w:t xml:space="preserve"> (2007). Genetic triple dissociation reveals multiple roles for dopamine in reinforcement learning. </w:t>
      </w:r>
      <w:r w:rsidRPr="007839E0">
        <w:rPr>
          <w:rFonts w:ascii="Calibri" w:hAnsi="Calibri" w:cs="Calibri"/>
          <w:i/>
          <w:iCs/>
          <w:noProof/>
          <w:szCs w:val="24"/>
          <w:lang w:val="en-US"/>
        </w:rPr>
        <w:t>Proceedings of the National Academy of Sciences of the United States of America</w:t>
      </w:r>
      <w:r w:rsidRPr="007839E0">
        <w:rPr>
          <w:rFonts w:ascii="Calibri" w:hAnsi="Calibri" w:cs="Calibri"/>
          <w:noProof/>
          <w:szCs w:val="24"/>
          <w:lang w:val="en-US"/>
        </w:rPr>
        <w:t xml:space="preserve"> </w:t>
      </w:r>
      <w:r w:rsidRPr="007839E0">
        <w:rPr>
          <w:rFonts w:ascii="Calibri" w:hAnsi="Calibri" w:cs="Calibri"/>
          <w:b/>
          <w:bCs/>
          <w:noProof/>
          <w:szCs w:val="24"/>
          <w:lang w:val="en-US"/>
        </w:rPr>
        <w:t>104</w:t>
      </w:r>
      <w:r w:rsidRPr="007839E0">
        <w:rPr>
          <w:rFonts w:ascii="Calibri" w:hAnsi="Calibri" w:cs="Calibri"/>
          <w:noProof/>
          <w:szCs w:val="24"/>
          <w:lang w:val="en-US"/>
        </w:rPr>
        <w:t>, 16311–6.</w:t>
      </w:r>
    </w:p>
    <w:p w14:paraId="5BE20589" w14:textId="77777777" w:rsidR="00BC11EF" w:rsidRPr="00BC11EF" w:rsidRDefault="00BC11EF" w:rsidP="00BC11EF">
      <w:pPr>
        <w:widowControl w:val="0"/>
        <w:autoSpaceDE w:val="0"/>
        <w:autoSpaceDN w:val="0"/>
        <w:adjustRightInd w:val="0"/>
        <w:spacing w:after="0" w:line="480" w:lineRule="auto"/>
        <w:rPr>
          <w:rFonts w:ascii="Calibri" w:hAnsi="Calibri" w:cs="Calibri"/>
          <w:noProof/>
          <w:szCs w:val="24"/>
        </w:rPr>
      </w:pPr>
      <w:r w:rsidRPr="00BC11EF">
        <w:rPr>
          <w:rFonts w:ascii="Calibri" w:hAnsi="Calibri" w:cs="Calibri"/>
          <w:b/>
          <w:bCs/>
          <w:noProof/>
          <w:szCs w:val="24"/>
        </w:rPr>
        <w:t>de Graaf R, ten Have M, van Dorsselaer S</w:t>
      </w:r>
      <w:r w:rsidRPr="00BC11EF">
        <w:rPr>
          <w:rFonts w:ascii="Calibri" w:hAnsi="Calibri" w:cs="Calibri"/>
          <w:noProof/>
          <w:szCs w:val="24"/>
        </w:rPr>
        <w:t xml:space="preserve"> (2010). </w:t>
      </w:r>
      <w:r w:rsidRPr="00BC11EF">
        <w:rPr>
          <w:rFonts w:ascii="Calibri" w:hAnsi="Calibri" w:cs="Calibri"/>
          <w:i/>
          <w:iCs/>
          <w:noProof/>
          <w:szCs w:val="24"/>
        </w:rPr>
        <w:t>De psychische gezondheid van de Nederlandse bevolking NEMESIS-2: Opzet en eerste resultaten</w:t>
      </w:r>
    </w:p>
    <w:p w14:paraId="08FB2E91" w14:textId="77777777" w:rsidR="00BC11EF" w:rsidRPr="007839E0" w:rsidRDefault="00BC11EF" w:rsidP="00BC11EF">
      <w:pPr>
        <w:widowControl w:val="0"/>
        <w:autoSpaceDE w:val="0"/>
        <w:autoSpaceDN w:val="0"/>
        <w:adjustRightInd w:val="0"/>
        <w:spacing w:after="0" w:line="480" w:lineRule="auto"/>
        <w:rPr>
          <w:rFonts w:ascii="Calibri" w:hAnsi="Calibri" w:cs="Calibri"/>
          <w:noProof/>
          <w:szCs w:val="24"/>
          <w:lang w:val="en-US"/>
        </w:rPr>
      </w:pPr>
      <w:r w:rsidRPr="007839E0">
        <w:rPr>
          <w:rFonts w:ascii="Calibri" w:hAnsi="Calibri" w:cs="Calibri"/>
          <w:b/>
          <w:bCs/>
          <w:noProof/>
          <w:szCs w:val="24"/>
          <w:lang w:val="en-US"/>
        </w:rPr>
        <w:t>Hammen C, Zupan BA</w:t>
      </w:r>
      <w:r w:rsidRPr="007839E0">
        <w:rPr>
          <w:rFonts w:ascii="Calibri" w:hAnsi="Calibri" w:cs="Calibri"/>
          <w:noProof/>
          <w:szCs w:val="24"/>
          <w:lang w:val="en-US"/>
        </w:rPr>
        <w:t xml:space="preserve"> (1984). Self-schemas, depression, and the processing of personal information </w:t>
      </w:r>
      <w:r w:rsidRPr="007839E0">
        <w:rPr>
          <w:rFonts w:ascii="Calibri" w:hAnsi="Calibri" w:cs="Calibri"/>
          <w:noProof/>
          <w:szCs w:val="24"/>
          <w:lang w:val="en-US"/>
        </w:rPr>
        <w:lastRenderedPageBreak/>
        <w:t xml:space="preserve">in children. </w:t>
      </w:r>
      <w:r w:rsidRPr="007839E0">
        <w:rPr>
          <w:rFonts w:ascii="Calibri" w:hAnsi="Calibri" w:cs="Calibri"/>
          <w:i/>
          <w:iCs/>
          <w:noProof/>
          <w:szCs w:val="24"/>
          <w:lang w:val="en-US"/>
        </w:rPr>
        <w:t>Journal of Experimental Child Psychology</w:t>
      </w:r>
      <w:r w:rsidRPr="007839E0">
        <w:rPr>
          <w:rFonts w:ascii="Calibri" w:hAnsi="Calibri" w:cs="Calibri"/>
          <w:noProof/>
          <w:szCs w:val="24"/>
          <w:lang w:val="en-US"/>
        </w:rPr>
        <w:t xml:space="preserve"> </w:t>
      </w:r>
      <w:r w:rsidRPr="007839E0">
        <w:rPr>
          <w:rFonts w:ascii="Calibri" w:hAnsi="Calibri" w:cs="Calibri"/>
          <w:b/>
          <w:bCs/>
          <w:noProof/>
          <w:szCs w:val="24"/>
          <w:lang w:val="en-US"/>
        </w:rPr>
        <w:t>37</w:t>
      </w:r>
      <w:r w:rsidRPr="007839E0">
        <w:rPr>
          <w:rFonts w:ascii="Calibri" w:hAnsi="Calibri" w:cs="Calibri"/>
          <w:noProof/>
          <w:szCs w:val="24"/>
          <w:lang w:val="en-US"/>
        </w:rPr>
        <w:t>, 598–608.</w:t>
      </w:r>
    </w:p>
    <w:p w14:paraId="27362354" w14:textId="087B80E8" w:rsidR="00BC11EF" w:rsidRPr="007839E0" w:rsidRDefault="00BC11EF" w:rsidP="00BC11EF">
      <w:pPr>
        <w:widowControl w:val="0"/>
        <w:autoSpaceDE w:val="0"/>
        <w:autoSpaceDN w:val="0"/>
        <w:adjustRightInd w:val="0"/>
        <w:spacing w:after="0" w:line="480" w:lineRule="auto"/>
        <w:rPr>
          <w:rFonts w:ascii="Calibri" w:hAnsi="Calibri" w:cs="Calibri"/>
          <w:noProof/>
          <w:szCs w:val="24"/>
          <w:lang w:val="en-US"/>
        </w:rPr>
      </w:pPr>
      <w:r w:rsidRPr="007839E0">
        <w:rPr>
          <w:rFonts w:ascii="Calibri" w:hAnsi="Calibri" w:cs="Calibri"/>
          <w:b/>
          <w:bCs/>
          <w:noProof/>
          <w:szCs w:val="24"/>
          <w:lang w:val="en-US"/>
        </w:rPr>
        <w:t>Hocking DR, Reeve J, Porter MA</w:t>
      </w:r>
      <w:r w:rsidRPr="007839E0">
        <w:rPr>
          <w:rFonts w:ascii="Calibri" w:hAnsi="Calibri" w:cs="Calibri"/>
          <w:noProof/>
          <w:szCs w:val="24"/>
          <w:lang w:val="en-US"/>
        </w:rPr>
        <w:t xml:space="preserve"> (2015). Characterising the Profile of Everyday Executive Functioning and Relation to IQ in Adults with Williams Syndrome: Is the BRIEF Adult Version a Valid Rating Scale? </w:t>
      </w:r>
      <w:r w:rsidRPr="007839E0">
        <w:rPr>
          <w:rFonts w:ascii="Calibri" w:hAnsi="Calibri" w:cs="Calibri"/>
          <w:i/>
          <w:iCs/>
          <w:noProof/>
          <w:szCs w:val="24"/>
          <w:lang w:val="en-US"/>
        </w:rPr>
        <w:t>PLOS ONE</w:t>
      </w:r>
      <w:r w:rsidRPr="007839E0">
        <w:rPr>
          <w:rFonts w:ascii="Calibri" w:hAnsi="Calibri" w:cs="Calibri"/>
          <w:noProof/>
          <w:szCs w:val="24"/>
          <w:lang w:val="en-US"/>
        </w:rPr>
        <w:t xml:space="preserve"> </w:t>
      </w:r>
      <w:r w:rsidRPr="007839E0">
        <w:rPr>
          <w:rFonts w:ascii="Calibri" w:hAnsi="Calibri" w:cs="Calibri"/>
          <w:b/>
          <w:bCs/>
          <w:noProof/>
          <w:szCs w:val="24"/>
          <w:lang w:val="en-US"/>
        </w:rPr>
        <w:t>10</w:t>
      </w:r>
      <w:r w:rsidRPr="007839E0">
        <w:rPr>
          <w:rFonts w:ascii="Calibri" w:hAnsi="Calibri" w:cs="Calibri"/>
          <w:noProof/>
          <w:szCs w:val="24"/>
          <w:lang w:val="en-US"/>
        </w:rPr>
        <w:t>, e0137628.</w:t>
      </w:r>
    </w:p>
    <w:p w14:paraId="62F61F43" w14:textId="77777777" w:rsidR="00BC11EF" w:rsidRPr="007839E0" w:rsidRDefault="00BC11EF" w:rsidP="00BC11EF">
      <w:pPr>
        <w:widowControl w:val="0"/>
        <w:autoSpaceDE w:val="0"/>
        <w:autoSpaceDN w:val="0"/>
        <w:adjustRightInd w:val="0"/>
        <w:spacing w:after="0" w:line="480" w:lineRule="auto"/>
        <w:rPr>
          <w:rFonts w:ascii="Calibri" w:hAnsi="Calibri" w:cs="Calibri"/>
          <w:noProof/>
          <w:szCs w:val="24"/>
          <w:lang w:val="en-US"/>
        </w:rPr>
      </w:pPr>
      <w:r w:rsidRPr="007839E0">
        <w:rPr>
          <w:rFonts w:ascii="Calibri" w:hAnsi="Calibri" w:cs="Calibri"/>
          <w:b/>
          <w:bCs/>
          <w:noProof/>
          <w:szCs w:val="24"/>
          <w:lang w:val="en-US"/>
        </w:rPr>
        <w:t>Hoekstra RA, Bartels M, Cath DC, Boomsma DI</w:t>
      </w:r>
      <w:r w:rsidRPr="007839E0">
        <w:rPr>
          <w:rFonts w:ascii="Calibri" w:hAnsi="Calibri" w:cs="Calibri"/>
          <w:noProof/>
          <w:szCs w:val="24"/>
          <w:lang w:val="en-US"/>
        </w:rPr>
        <w:t xml:space="preserve"> (2008). Factor structure, reliability and criterion validity of the Autism-Spectrum Quotient (AQ): a study in Dutch population and patient groups. </w:t>
      </w:r>
      <w:r w:rsidRPr="007839E0">
        <w:rPr>
          <w:rFonts w:ascii="Calibri" w:hAnsi="Calibri" w:cs="Calibri"/>
          <w:i/>
          <w:iCs/>
          <w:noProof/>
          <w:szCs w:val="24"/>
          <w:lang w:val="en-US"/>
        </w:rPr>
        <w:t>Journal of autism and developmental disorders</w:t>
      </w:r>
      <w:r w:rsidRPr="007839E0">
        <w:rPr>
          <w:rFonts w:ascii="Calibri" w:hAnsi="Calibri" w:cs="Calibri"/>
          <w:noProof/>
          <w:szCs w:val="24"/>
          <w:lang w:val="en-US"/>
        </w:rPr>
        <w:t xml:space="preserve"> </w:t>
      </w:r>
      <w:r w:rsidRPr="007839E0">
        <w:rPr>
          <w:rFonts w:ascii="Calibri" w:hAnsi="Calibri" w:cs="Calibri"/>
          <w:b/>
          <w:bCs/>
          <w:noProof/>
          <w:szCs w:val="24"/>
          <w:lang w:val="en-US"/>
        </w:rPr>
        <w:t>38</w:t>
      </w:r>
      <w:r w:rsidRPr="007839E0">
        <w:rPr>
          <w:rFonts w:ascii="Calibri" w:hAnsi="Calibri" w:cs="Calibri"/>
          <w:noProof/>
          <w:szCs w:val="24"/>
          <w:lang w:val="en-US"/>
        </w:rPr>
        <w:t>, 1555–66.</w:t>
      </w:r>
    </w:p>
    <w:p w14:paraId="171A2DB3" w14:textId="77777777" w:rsidR="00BC11EF" w:rsidRPr="007839E0" w:rsidRDefault="00BC11EF" w:rsidP="00BC11EF">
      <w:pPr>
        <w:widowControl w:val="0"/>
        <w:autoSpaceDE w:val="0"/>
        <w:autoSpaceDN w:val="0"/>
        <w:adjustRightInd w:val="0"/>
        <w:spacing w:after="0" w:line="480" w:lineRule="auto"/>
        <w:rPr>
          <w:rFonts w:ascii="Calibri" w:hAnsi="Calibri" w:cs="Calibri"/>
          <w:noProof/>
          <w:szCs w:val="24"/>
          <w:lang w:val="en-US"/>
        </w:rPr>
      </w:pPr>
      <w:r w:rsidRPr="007839E0">
        <w:rPr>
          <w:rFonts w:ascii="Calibri" w:hAnsi="Calibri" w:cs="Calibri"/>
          <w:b/>
          <w:bCs/>
          <w:noProof/>
          <w:szCs w:val="24"/>
          <w:lang w:val="en-US"/>
        </w:rPr>
        <w:t>Huys QJ, Pizzagalli DA, Bogdan R, Dayan P</w:t>
      </w:r>
      <w:r w:rsidRPr="007839E0">
        <w:rPr>
          <w:rFonts w:ascii="Calibri" w:hAnsi="Calibri" w:cs="Calibri"/>
          <w:noProof/>
          <w:szCs w:val="24"/>
          <w:lang w:val="en-US"/>
        </w:rPr>
        <w:t xml:space="preserve"> (2013). Mapping anhedonia onto reinforcement learning: a behavioural meta-analysis. </w:t>
      </w:r>
      <w:r w:rsidRPr="007839E0">
        <w:rPr>
          <w:rFonts w:ascii="Calibri" w:hAnsi="Calibri" w:cs="Calibri"/>
          <w:i/>
          <w:iCs/>
          <w:noProof/>
          <w:szCs w:val="24"/>
          <w:lang w:val="en-US"/>
        </w:rPr>
        <w:t>Biology of mood &amp; anxiety disorders</w:t>
      </w:r>
      <w:r w:rsidRPr="007839E0">
        <w:rPr>
          <w:rFonts w:ascii="Calibri" w:hAnsi="Calibri" w:cs="Calibri"/>
          <w:noProof/>
          <w:szCs w:val="24"/>
          <w:lang w:val="en-US"/>
        </w:rPr>
        <w:t xml:space="preserve"> </w:t>
      </w:r>
      <w:r w:rsidRPr="007839E0">
        <w:rPr>
          <w:rFonts w:ascii="Calibri" w:hAnsi="Calibri" w:cs="Calibri"/>
          <w:b/>
          <w:bCs/>
          <w:noProof/>
          <w:szCs w:val="24"/>
          <w:lang w:val="en-US"/>
        </w:rPr>
        <w:t>3</w:t>
      </w:r>
      <w:r w:rsidRPr="007839E0">
        <w:rPr>
          <w:rFonts w:ascii="Calibri" w:hAnsi="Calibri" w:cs="Calibri"/>
          <w:noProof/>
          <w:szCs w:val="24"/>
          <w:lang w:val="en-US"/>
        </w:rPr>
        <w:t>, 12.</w:t>
      </w:r>
    </w:p>
    <w:p w14:paraId="6257F621" w14:textId="77777777" w:rsidR="00BC11EF" w:rsidRPr="007839E0" w:rsidRDefault="00BC11EF" w:rsidP="00BC11EF">
      <w:pPr>
        <w:widowControl w:val="0"/>
        <w:autoSpaceDE w:val="0"/>
        <w:autoSpaceDN w:val="0"/>
        <w:adjustRightInd w:val="0"/>
        <w:spacing w:after="0" w:line="480" w:lineRule="auto"/>
        <w:rPr>
          <w:rFonts w:ascii="Calibri" w:hAnsi="Calibri" w:cs="Calibri"/>
          <w:noProof/>
          <w:szCs w:val="24"/>
          <w:lang w:val="en-US"/>
        </w:rPr>
      </w:pPr>
      <w:r w:rsidRPr="007839E0">
        <w:rPr>
          <w:rFonts w:ascii="Calibri" w:hAnsi="Calibri" w:cs="Calibri"/>
          <w:b/>
          <w:bCs/>
          <w:noProof/>
          <w:szCs w:val="24"/>
          <w:lang w:val="en-US"/>
        </w:rPr>
        <w:t>Isaac L, Vrijsen JN, Rinck M, Speckens A, Becker ES</w:t>
      </w:r>
      <w:r w:rsidRPr="007839E0">
        <w:rPr>
          <w:rFonts w:ascii="Calibri" w:hAnsi="Calibri" w:cs="Calibri"/>
          <w:noProof/>
          <w:szCs w:val="24"/>
          <w:lang w:val="en-US"/>
        </w:rPr>
        <w:t xml:space="preserve"> (2014). Shorter gaze duration for happy faces in current but not remitted depression: Evidence from eye movements. </w:t>
      </w:r>
      <w:r w:rsidRPr="007839E0">
        <w:rPr>
          <w:rFonts w:ascii="Calibri" w:hAnsi="Calibri" w:cs="Calibri"/>
          <w:i/>
          <w:iCs/>
          <w:noProof/>
          <w:szCs w:val="24"/>
          <w:lang w:val="en-US"/>
        </w:rPr>
        <w:t>Psychiatry Research</w:t>
      </w:r>
      <w:r w:rsidRPr="007839E0">
        <w:rPr>
          <w:rFonts w:ascii="Calibri" w:hAnsi="Calibri" w:cs="Calibri"/>
          <w:noProof/>
          <w:szCs w:val="24"/>
          <w:lang w:val="en-US"/>
        </w:rPr>
        <w:t xml:space="preserve"> </w:t>
      </w:r>
      <w:r w:rsidRPr="007839E0">
        <w:rPr>
          <w:rFonts w:ascii="Calibri" w:hAnsi="Calibri" w:cs="Calibri"/>
          <w:b/>
          <w:bCs/>
          <w:noProof/>
          <w:szCs w:val="24"/>
          <w:lang w:val="en-US"/>
        </w:rPr>
        <w:t>218</w:t>
      </w:r>
      <w:r w:rsidRPr="007839E0">
        <w:rPr>
          <w:rFonts w:ascii="Calibri" w:hAnsi="Calibri" w:cs="Calibri"/>
          <w:noProof/>
          <w:szCs w:val="24"/>
          <w:lang w:val="en-US"/>
        </w:rPr>
        <w:t>, 79–86.</w:t>
      </w:r>
    </w:p>
    <w:p w14:paraId="638A427A" w14:textId="77777777" w:rsidR="00BC11EF" w:rsidRPr="007839E0" w:rsidRDefault="00BC11EF" w:rsidP="00BC11EF">
      <w:pPr>
        <w:widowControl w:val="0"/>
        <w:autoSpaceDE w:val="0"/>
        <w:autoSpaceDN w:val="0"/>
        <w:adjustRightInd w:val="0"/>
        <w:spacing w:after="0" w:line="480" w:lineRule="auto"/>
        <w:rPr>
          <w:rFonts w:ascii="Calibri" w:hAnsi="Calibri" w:cs="Calibri"/>
          <w:noProof/>
          <w:szCs w:val="24"/>
          <w:lang w:val="en-US"/>
        </w:rPr>
      </w:pPr>
      <w:r w:rsidRPr="007839E0">
        <w:rPr>
          <w:rFonts w:ascii="Calibri" w:hAnsi="Calibri" w:cs="Calibri"/>
          <w:b/>
          <w:bCs/>
          <w:noProof/>
          <w:szCs w:val="24"/>
          <w:lang w:val="en-US"/>
        </w:rPr>
        <w:t>Kooij JJS, Francken MH</w:t>
      </w:r>
      <w:r w:rsidRPr="007839E0">
        <w:rPr>
          <w:rFonts w:ascii="Calibri" w:hAnsi="Calibri" w:cs="Calibri"/>
          <w:noProof/>
          <w:szCs w:val="24"/>
          <w:lang w:val="en-US"/>
        </w:rPr>
        <w:t xml:space="preserve"> (2010). Diagnostic interview for ADHD in adults 2.0 (DIVA 2.0).</w:t>
      </w:r>
    </w:p>
    <w:p w14:paraId="4A253124" w14:textId="77777777" w:rsidR="00BC11EF" w:rsidRPr="007839E0" w:rsidRDefault="00BC11EF" w:rsidP="00BC11EF">
      <w:pPr>
        <w:widowControl w:val="0"/>
        <w:autoSpaceDE w:val="0"/>
        <w:autoSpaceDN w:val="0"/>
        <w:adjustRightInd w:val="0"/>
        <w:spacing w:after="0" w:line="480" w:lineRule="auto"/>
        <w:rPr>
          <w:rFonts w:ascii="Calibri" w:hAnsi="Calibri" w:cs="Calibri"/>
          <w:noProof/>
          <w:szCs w:val="24"/>
          <w:lang w:val="en-US"/>
        </w:rPr>
      </w:pPr>
      <w:r w:rsidRPr="00BC11EF">
        <w:rPr>
          <w:rFonts w:ascii="Calibri" w:hAnsi="Calibri" w:cs="Calibri"/>
          <w:b/>
          <w:bCs/>
          <w:noProof/>
          <w:szCs w:val="24"/>
        </w:rPr>
        <w:t>Kriegsman DMW, Penninx BWJH, Van Eijk JTM, Boeke AJP, Deeg DJH</w:t>
      </w:r>
      <w:r w:rsidRPr="00BC11EF">
        <w:rPr>
          <w:rFonts w:ascii="Calibri" w:hAnsi="Calibri" w:cs="Calibri"/>
          <w:noProof/>
          <w:szCs w:val="24"/>
        </w:rPr>
        <w:t xml:space="preserve"> (1996). </w:t>
      </w:r>
      <w:r w:rsidRPr="007839E0">
        <w:rPr>
          <w:rFonts w:ascii="Calibri" w:hAnsi="Calibri" w:cs="Calibri"/>
          <w:noProof/>
          <w:szCs w:val="24"/>
          <w:lang w:val="en-US"/>
        </w:rPr>
        <w:t xml:space="preserve">Self-reports and general practitioner information on the presence of chronic diseases in community dwelling elderly: A study on the accuracy of patients’ self-reports and on determinants of inaccuracy. </w:t>
      </w:r>
      <w:r w:rsidRPr="007839E0">
        <w:rPr>
          <w:rFonts w:ascii="Calibri" w:hAnsi="Calibri" w:cs="Calibri"/>
          <w:i/>
          <w:iCs/>
          <w:noProof/>
          <w:szCs w:val="24"/>
          <w:lang w:val="en-US"/>
        </w:rPr>
        <w:t>Journal of Clinical Epidemiology</w:t>
      </w:r>
      <w:r w:rsidRPr="007839E0">
        <w:rPr>
          <w:rFonts w:ascii="Calibri" w:hAnsi="Calibri" w:cs="Calibri"/>
          <w:noProof/>
          <w:szCs w:val="24"/>
          <w:lang w:val="en-US"/>
        </w:rPr>
        <w:t xml:space="preserve"> </w:t>
      </w:r>
      <w:r w:rsidRPr="007839E0">
        <w:rPr>
          <w:rFonts w:ascii="Calibri" w:hAnsi="Calibri" w:cs="Calibri"/>
          <w:b/>
          <w:bCs/>
          <w:noProof/>
          <w:szCs w:val="24"/>
          <w:lang w:val="en-US"/>
        </w:rPr>
        <w:t>49</w:t>
      </w:r>
      <w:r w:rsidRPr="007839E0">
        <w:rPr>
          <w:rFonts w:ascii="Calibri" w:hAnsi="Calibri" w:cs="Calibri"/>
          <w:noProof/>
          <w:szCs w:val="24"/>
          <w:lang w:val="en-US"/>
        </w:rPr>
        <w:t>, 1407–1417.</w:t>
      </w:r>
    </w:p>
    <w:p w14:paraId="0FDAFE5C" w14:textId="77777777" w:rsidR="00BC11EF" w:rsidRPr="007839E0" w:rsidRDefault="00BC11EF" w:rsidP="00BC11EF">
      <w:pPr>
        <w:widowControl w:val="0"/>
        <w:autoSpaceDE w:val="0"/>
        <w:autoSpaceDN w:val="0"/>
        <w:adjustRightInd w:val="0"/>
        <w:spacing w:after="0" w:line="480" w:lineRule="auto"/>
        <w:rPr>
          <w:rFonts w:ascii="Calibri" w:hAnsi="Calibri" w:cs="Calibri"/>
          <w:noProof/>
          <w:szCs w:val="24"/>
          <w:lang w:val="en-US"/>
        </w:rPr>
      </w:pPr>
      <w:r w:rsidRPr="007839E0">
        <w:rPr>
          <w:rFonts w:ascii="Calibri" w:hAnsi="Calibri" w:cs="Calibri"/>
          <w:b/>
          <w:bCs/>
          <w:noProof/>
          <w:szCs w:val="24"/>
          <w:lang w:val="en-US"/>
        </w:rPr>
        <w:t>Krueger RF, Derringer J, Markon KE, Watson D, Skodol AE</w:t>
      </w:r>
      <w:r w:rsidRPr="007839E0">
        <w:rPr>
          <w:rFonts w:ascii="Calibri" w:hAnsi="Calibri" w:cs="Calibri"/>
          <w:noProof/>
          <w:szCs w:val="24"/>
          <w:lang w:val="en-US"/>
        </w:rPr>
        <w:t xml:space="preserve"> (2012). Initial construction of a maladaptive personality trait model and inventory for DSM-5. </w:t>
      </w:r>
      <w:r w:rsidRPr="007839E0">
        <w:rPr>
          <w:rFonts w:ascii="Calibri" w:hAnsi="Calibri" w:cs="Calibri"/>
          <w:i/>
          <w:iCs/>
          <w:noProof/>
          <w:szCs w:val="24"/>
          <w:lang w:val="en-US"/>
        </w:rPr>
        <w:t>Psychological Medicine</w:t>
      </w:r>
      <w:r w:rsidRPr="007839E0">
        <w:rPr>
          <w:rFonts w:ascii="Calibri" w:hAnsi="Calibri" w:cs="Calibri"/>
          <w:noProof/>
          <w:szCs w:val="24"/>
          <w:lang w:val="en-US"/>
        </w:rPr>
        <w:t xml:space="preserve"> </w:t>
      </w:r>
      <w:r w:rsidRPr="007839E0">
        <w:rPr>
          <w:rFonts w:ascii="Calibri" w:hAnsi="Calibri" w:cs="Calibri"/>
          <w:b/>
          <w:bCs/>
          <w:noProof/>
          <w:szCs w:val="24"/>
          <w:lang w:val="en-US"/>
        </w:rPr>
        <w:t>42</w:t>
      </w:r>
      <w:r w:rsidRPr="007839E0">
        <w:rPr>
          <w:rFonts w:ascii="Calibri" w:hAnsi="Calibri" w:cs="Calibri"/>
          <w:noProof/>
          <w:szCs w:val="24"/>
          <w:lang w:val="en-US"/>
        </w:rPr>
        <w:t>, 1879–1890.</w:t>
      </w:r>
    </w:p>
    <w:p w14:paraId="5F5CBF73" w14:textId="77777777" w:rsidR="00BC11EF" w:rsidRPr="007839E0" w:rsidRDefault="00BC11EF" w:rsidP="00BC11EF">
      <w:pPr>
        <w:widowControl w:val="0"/>
        <w:autoSpaceDE w:val="0"/>
        <w:autoSpaceDN w:val="0"/>
        <w:adjustRightInd w:val="0"/>
        <w:spacing w:after="0" w:line="480" w:lineRule="auto"/>
        <w:rPr>
          <w:rFonts w:ascii="Calibri" w:hAnsi="Calibri" w:cs="Calibri"/>
          <w:noProof/>
          <w:szCs w:val="24"/>
          <w:lang w:val="en-US"/>
        </w:rPr>
      </w:pPr>
      <w:r w:rsidRPr="007839E0">
        <w:rPr>
          <w:rFonts w:ascii="Calibri" w:hAnsi="Calibri" w:cs="Calibri"/>
          <w:b/>
          <w:bCs/>
          <w:noProof/>
          <w:szCs w:val="24"/>
          <w:lang w:val="en-US"/>
        </w:rPr>
        <w:t>Lambert MJ, Burlingame GM, Umphress V, Hansen NB, Vermeersch DA, Clouse GC, Yanchar SC</w:t>
      </w:r>
      <w:r w:rsidRPr="007839E0">
        <w:rPr>
          <w:rFonts w:ascii="Calibri" w:hAnsi="Calibri" w:cs="Calibri"/>
          <w:noProof/>
          <w:szCs w:val="24"/>
          <w:lang w:val="en-US"/>
        </w:rPr>
        <w:t xml:space="preserve"> (1996). The Reliability and Validity of the Outcome Questionnaire. </w:t>
      </w:r>
      <w:r w:rsidRPr="007839E0">
        <w:rPr>
          <w:rFonts w:ascii="Calibri" w:hAnsi="Calibri" w:cs="Calibri"/>
          <w:i/>
          <w:iCs/>
          <w:noProof/>
          <w:szCs w:val="24"/>
          <w:lang w:val="en-US"/>
        </w:rPr>
        <w:t>Clinical Psychology &amp; Psychotherapy</w:t>
      </w:r>
      <w:r w:rsidRPr="007839E0">
        <w:rPr>
          <w:rFonts w:ascii="Calibri" w:hAnsi="Calibri" w:cs="Calibri"/>
          <w:noProof/>
          <w:szCs w:val="24"/>
          <w:lang w:val="en-US"/>
        </w:rPr>
        <w:t xml:space="preserve"> </w:t>
      </w:r>
      <w:r w:rsidRPr="007839E0">
        <w:rPr>
          <w:rFonts w:ascii="Calibri" w:hAnsi="Calibri" w:cs="Calibri"/>
          <w:b/>
          <w:bCs/>
          <w:noProof/>
          <w:szCs w:val="24"/>
          <w:lang w:val="en-US"/>
        </w:rPr>
        <w:t>3</w:t>
      </w:r>
      <w:r w:rsidRPr="007839E0">
        <w:rPr>
          <w:rFonts w:ascii="Calibri" w:hAnsi="Calibri" w:cs="Calibri"/>
          <w:noProof/>
          <w:szCs w:val="24"/>
          <w:lang w:val="en-US"/>
        </w:rPr>
        <w:t>, 249–258.</w:t>
      </w:r>
    </w:p>
    <w:p w14:paraId="0429892E" w14:textId="66758646" w:rsidR="00BC11EF" w:rsidRPr="007839E0" w:rsidRDefault="00BC11EF" w:rsidP="00BC11EF">
      <w:pPr>
        <w:widowControl w:val="0"/>
        <w:autoSpaceDE w:val="0"/>
        <w:autoSpaceDN w:val="0"/>
        <w:adjustRightInd w:val="0"/>
        <w:spacing w:after="0" w:line="480" w:lineRule="auto"/>
        <w:rPr>
          <w:rFonts w:ascii="Calibri" w:hAnsi="Calibri" w:cs="Calibri"/>
          <w:noProof/>
          <w:szCs w:val="24"/>
          <w:lang w:val="en-US"/>
        </w:rPr>
      </w:pPr>
      <w:r w:rsidRPr="007839E0">
        <w:rPr>
          <w:rFonts w:ascii="Calibri" w:hAnsi="Calibri" w:cs="Calibri"/>
          <w:b/>
          <w:bCs/>
          <w:noProof/>
          <w:szCs w:val="24"/>
          <w:lang w:val="en-US"/>
        </w:rPr>
        <w:t xml:space="preserve">Minami T, Davies DR, Tierney SC, Bettmann JE, McAward SM, Averill LA, </w:t>
      </w:r>
      <w:r w:rsidR="0049111F">
        <w:rPr>
          <w:rFonts w:ascii="Calibri" w:hAnsi="Calibri" w:cs="Calibri"/>
          <w:b/>
          <w:bCs/>
          <w:noProof/>
          <w:szCs w:val="24"/>
          <w:lang w:val="en-US"/>
        </w:rPr>
        <w:t>...</w:t>
      </w:r>
      <w:r w:rsidRPr="007839E0">
        <w:rPr>
          <w:rFonts w:ascii="Calibri" w:hAnsi="Calibri" w:cs="Calibri"/>
          <w:b/>
          <w:bCs/>
          <w:noProof/>
          <w:szCs w:val="24"/>
          <w:lang w:val="en-US"/>
        </w:rPr>
        <w:t xml:space="preserve"> Wampold BE</w:t>
      </w:r>
      <w:r w:rsidRPr="007839E0">
        <w:rPr>
          <w:rFonts w:ascii="Calibri" w:hAnsi="Calibri" w:cs="Calibri"/>
          <w:noProof/>
          <w:szCs w:val="24"/>
          <w:lang w:val="en-US"/>
        </w:rPr>
        <w:t xml:space="preserve"> (2009). Preliminary Evidence on the Effectiveness of Psychological Treatments Delivered at a University Counseling Center. </w:t>
      </w:r>
      <w:r w:rsidRPr="007839E0">
        <w:rPr>
          <w:rFonts w:ascii="Calibri" w:hAnsi="Calibri" w:cs="Calibri"/>
          <w:i/>
          <w:iCs/>
          <w:noProof/>
          <w:szCs w:val="24"/>
          <w:lang w:val="en-US"/>
        </w:rPr>
        <w:t>Journal of Counseling Psychology</w:t>
      </w:r>
      <w:r w:rsidRPr="007839E0">
        <w:rPr>
          <w:rFonts w:ascii="Calibri" w:hAnsi="Calibri" w:cs="Calibri"/>
          <w:noProof/>
          <w:szCs w:val="24"/>
          <w:lang w:val="en-US"/>
        </w:rPr>
        <w:t xml:space="preserve"> </w:t>
      </w:r>
      <w:r w:rsidRPr="007839E0">
        <w:rPr>
          <w:rFonts w:ascii="Calibri" w:hAnsi="Calibri" w:cs="Calibri"/>
          <w:b/>
          <w:bCs/>
          <w:noProof/>
          <w:szCs w:val="24"/>
          <w:lang w:val="en-US"/>
        </w:rPr>
        <w:t>56</w:t>
      </w:r>
      <w:r w:rsidRPr="007839E0">
        <w:rPr>
          <w:rFonts w:ascii="Calibri" w:hAnsi="Calibri" w:cs="Calibri"/>
          <w:noProof/>
          <w:szCs w:val="24"/>
          <w:lang w:val="en-US"/>
        </w:rPr>
        <w:t>, 309–320.</w:t>
      </w:r>
    </w:p>
    <w:p w14:paraId="48805A7D" w14:textId="77777777" w:rsidR="00BC11EF" w:rsidRPr="007839E0" w:rsidRDefault="00BC11EF" w:rsidP="00BC11EF">
      <w:pPr>
        <w:widowControl w:val="0"/>
        <w:autoSpaceDE w:val="0"/>
        <w:autoSpaceDN w:val="0"/>
        <w:adjustRightInd w:val="0"/>
        <w:spacing w:after="0" w:line="480" w:lineRule="auto"/>
        <w:rPr>
          <w:rFonts w:ascii="Calibri" w:hAnsi="Calibri" w:cs="Calibri"/>
          <w:noProof/>
          <w:szCs w:val="24"/>
          <w:lang w:val="en-US"/>
        </w:rPr>
      </w:pPr>
      <w:r w:rsidRPr="007839E0">
        <w:rPr>
          <w:rFonts w:ascii="Calibri" w:hAnsi="Calibri" w:cs="Calibri"/>
          <w:b/>
          <w:bCs/>
          <w:noProof/>
          <w:szCs w:val="24"/>
          <w:lang w:val="en-US"/>
        </w:rPr>
        <w:lastRenderedPageBreak/>
        <w:t>National Institute of Mental Health</w:t>
      </w:r>
      <w:r w:rsidRPr="007839E0">
        <w:rPr>
          <w:rFonts w:ascii="Calibri" w:hAnsi="Calibri" w:cs="Calibri"/>
          <w:noProof/>
          <w:szCs w:val="24"/>
          <w:lang w:val="en-US"/>
        </w:rPr>
        <w:t xml:space="preserve"> (1992). </w:t>
      </w:r>
      <w:r w:rsidRPr="007839E0">
        <w:rPr>
          <w:rFonts w:ascii="Calibri" w:hAnsi="Calibri" w:cs="Calibri"/>
          <w:i/>
          <w:iCs/>
          <w:noProof/>
          <w:szCs w:val="24"/>
          <w:lang w:val="en-US"/>
        </w:rPr>
        <w:t>Family Interview for Genetic Studies.</w:t>
      </w:r>
    </w:p>
    <w:p w14:paraId="7F1C50C3" w14:textId="18E49057" w:rsidR="00BC11EF" w:rsidRPr="007839E0" w:rsidRDefault="00BC11EF" w:rsidP="00BC11EF">
      <w:pPr>
        <w:widowControl w:val="0"/>
        <w:autoSpaceDE w:val="0"/>
        <w:autoSpaceDN w:val="0"/>
        <w:adjustRightInd w:val="0"/>
        <w:spacing w:after="0" w:line="480" w:lineRule="auto"/>
        <w:rPr>
          <w:rFonts w:ascii="Calibri" w:hAnsi="Calibri" w:cs="Calibri"/>
          <w:noProof/>
          <w:szCs w:val="24"/>
          <w:lang w:val="en-US"/>
        </w:rPr>
      </w:pPr>
      <w:r w:rsidRPr="00BC11EF">
        <w:rPr>
          <w:rFonts w:ascii="Calibri" w:hAnsi="Calibri" w:cs="Calibri"/>
          <w:b/>
          <w:bCs/>
          <w:noProof/>
          <w:szCs w:val="24"/>
        </w:rPr>
        <w:t xml:space="preserve">den Ouden HEM, Daw ND, Fernandez G, Elshout JA, Rijpkema M, Hoogman M, </w:t>
      </w:r>
      <w:r w:rsidR="0049111F">
        <w:rPr>
          <w:rFonts w:ascii="Calibri" w:hAnsi="Calibri" w:cs="Calibri"/>
          <w:b/>
          <w:bCs/>
          <w:noProof/>
          <w:szCs w:val="24"/>
        </w:rPr>
        <w:t>…</w:t>
      </w:r>
      <w:r w:rsidRPr="00BC11EF">
        <w:rPr>
          <w:rFonts w:ascii="Calibri" w:hAnsi="Calibri" w:cs="Calibri"/>
          <w:b/>
          <w:bCs/>
          <w:noProof/>
          <w:szCs w:val="24"/>
        </w:rPr>
        <w:t xml:space="preserve"> Cools R</w:t>
      </w:r>
      <w:r w:rsidRPr="00BC11EF">
        <w:rPr>
          <w:rFonts w:ascii="Calibri" w:hAnsi="Calibri" w:cs="Calibri"/>
          <w:noProof/>
          <w:szCs w:val="24"/>
        </w:rPr>
        <w:t xml:space="preserve"> (2013). </w:t>
      </w:r>
      <w:r w:rsidRPr="007839E0">
        <w:rPr>
          <w:rFonts w:ascii="Calibri" w:hAnsi="Calibri" w:cs="Calibri"/>
          <w:noProof/>
          <w:szCs w:val="24"/>
          <w:lang w:val="en-US"/>
        </w:rPr>
        <w:t xml:space="preserve">Dissociable Effects of Dopamine and Serotonin on Reversal Learning. </w:t>
      </w:r>
      <w:r w:rsidRPr="007839E0">
        <w:rPr>
          <w:rFonts w:ascii="Calibri" w:hAnsi="Calibri" w:cs="Calibri"/>
          <w:i/>
          <w:iCs/>
          <w:noProof/>
          <w:szCs w:val="24"/>
          <w:lang w:val="en-US"/>
        </w:rPr>
        <w:t>Neuron</w:t>
      </w:r>
      <w:r w:rsidRPr="007839E0">
        <w:rPr>
          <w:rFonts w:ascii="Calibri" w:hAnsi="Calibri" w:cs="Calibri"/>
          <w:noProof/>
          <w:szCs w:val="24"/>
          <w:lang w:val="en-US"/>
        </w:rPr>
        <w:t xml:space="preserve"> </w:t>
      </w:r>
      <w:r w:rsidRPr="007839E0">
        <w:rPr>
          <w:rFonts w:ascii="Calibri" w:hAnsi="Calibri" w:cs="Calibri"/>
          <w:b/>
          <w:bCs/>
          <w:noProof/>
          <w:szCs w:val="24"/>
          <w:lang w:val="en-US"/>
        </w:rPr>
        <w:t>80</w:t>
      </w:r>
      <w:r w:rsidRPr="007839E0">
        <w:rPr>
          <w:rFonts w:ascii="Calibri" w:hAnsi="Calibri" w:cs="Calibri"/>
          <w:noProof/>
          <w:szCs w:val="24"/>
          <w:lang w:val="en-US"/>
        </w:rPr>
        <w:t>, 1090–1100.</w:t>
      </w:r>
    </w:p>
    <w:p w14:paraId="7C53437E" w14:textId="55754A5F" w:rsidR="00BC11EF" w:rsidRPr="00BC11EF" w:rsidRDefault="00BC11EF" w:rsidP="00BC11EF">
      <w:pPr>
        <w:widowControl w:val="0"/>
        <w:autoSpaceDE w:val="0"/>
        <w:autoSpaceDN w:val="0"/>
        <w:adjustRightInd w:val="0"/>
        <w:spacing w:after="0" w:line="480" w:lineRule="auto"/>
        <w:rPr>
          <w:rFonts w:ascii="Calibri" w:hAnsi="Calibri" w:cs="Calibri"/>
          <w:noProof/>
          <w:szCs w:val="24"/>
          <w:lang w:val="en-GB"/>
        </w:rPr>
      </w:pPr>
      <w:r w:rsidRPr="007839E0">
        <w:rPr>
          <w:rFonts w:ascii="Calibri" w:hAnsi="Calibri" w:cs="Calibri"/>
          <w:b/>
          <w:bCs/>
          <w:noProof/>
          <w:szCs w:val="24"/>
          <w:lang w:val="en-US"/>
        </w:rPr>
        <w:t>Piray P, Ly V, Roelofs K, Cools R, Toni I</w:t>
      </w:r>
      <w:r w:rsidRPr="007839E0">
        <w:rPr>
          <w:rFonts w:ascii="Calibri" w:hAnsi="Calibri" w:cs="Calibri"/>
          <w:noProof/>
          <w:szCs w:val="24"/>
          <w:lang w:val="en-US"/>
        </w:rPr>
        <w:t xml:space="preserve"> (2019). Emotionally Aversive Cues Suppress Neural Systems Underlying Optimal Learning in Socially Anxious Individuals. </w:t>
      </w:r>
      <w:r w:rsidRPr="00BC11EF">
        <w:rPr>
          <w:rFonts w:ascii="Calibri" w:hAnsi="Calibri" w:cs="Calibri"/>
          <w:i/>
          <w:iCs/>
          <w:noProof/>
          <w:szCs w:val="24"/>
          <w:lang w:val="en-GB"/>
        </w:rPr>
        <w:t>Journal of neuroscience</w:t>
      </w:r>
      <w:r w:rsidRPr="00BC11EF">
        <w:rPr>
          <w:rFonts w:ascii="Calibri" w:hAnsi="Calibri" w:cs="Calibri"/>
          <w:noProof/>
          <w:szCs w:val="24"/>
          <w:lang w:val="en-GB"/>
        </w:rPr>
        <w:t xml:space="preserve"> </w:t>
      </w:r>
      <w:r w:rsidRPr="00BC11EF">
        <w:rPr>
          <w:rFonts w:ascii="Calibri" w:hAnsi="Calibri" w:cs="Calibri"/>
          <w:b/>
          <w:bCs/>
          <w:noProof/>
          <w:szCs w:val="24"/>
          <w:lang w:val="en-GB"/>
        </w:rPr>
        <w:t>39</w:t>
      </w:r>
      <w:r w:rsidRPr="00BC11EF">
        <w:rPr>
          <w:rFonts w:ascii="Calibri" w:hAnsi="Calibri" w:cs="Calibri"/>
          <w:noProof/>
          <w:szCs w:val="24"/>
          <w:lang w:val="en-GB"/>
        </w:rPr>
        <w:t>, 1445–1456.</w:t>
      </w:r>
    </w:p>
    <w:p w14:paraId="21514651" w14:textId="77777777" w:rsidR="00BC11EF" w:rsidRPr="007839E0" w:rsidRDefault="00BC11EF" w:rsidP="00BC11EF">
      <w:pPr>
        <w:widowControl w:val="0"/>
        <w:autoSpaceDE w:val="0"/>
        <w:autoSpaceDN w:val="0"/>
        <w:adjustRightInd w:val="0"/>
        <w:spacing w:after="0" w:line="480" w:lineRule="auto"/>
        <w:rPr>
          <w:rFonts w:ascii="Calibri" w:hAnsi="Calibri" w:cs="Calibri"/>
          <w:noProof/>
          <w:szCs w:val="24"/>
          <w:lang w:val="en-US"/>
        </w:rPr>
      </w:pPr>
      <w:r w:rsidRPr="007839E0">
        <w:rPr>
          <w:rFonts w:ascii="Calibri" w:hAnsi="Calibri" w:cs="Calibri"/>
          <w:b/>
          <w:bCs/>
          <w:noProof/>
          <w:szCs w:val="24"/>
          <w:lang w:val="en-US"/>
        </w:rPr>
        <w:t>Robinson OJ, Chase HW</w:t>
      </w:r>
      <w:r w:rsidRPr="007839E0">
        <w:rPr>
          <w:rFonts w:ascii="Calibri" w:hAnsi="Calibri" w:cs="Calibri"/>
          <w:noProof/>
          <w:szCs w:val="24"/>
          <w:lang w:val="en-US"/>
        </w:rPr>
        <w:t xml:space="preserve"> (2017). Learning and Choice in Mood Disorders: Searching for the Computational Parameters of Anhedonia. </w:t>
      </w:r>
      <w:r w:rsidRPr="007839E0">
        <w:rPr>
          <w:rFonts w:ascii="Calibri" w:hAnsi="Calibri" w:cs="Calibri"/>
          <w:i/>
          <w:iCs/>
          <w:noProof/>
          <w:szCs w:val="24"/>
          <w:lang w:val="en-US"/>
        </w:rPr>
        <w:t>Computational psychiatry</w:t>
      </w:r>
      <w:r w:rsidRPr="007839E0">
        <w:rPr>
          <w:rFonts w:ascii="Calibri" w:hAnsi="Calibri" w:cs="Calibri"/>
          <w:noProof/>
          <w:szCs w:val="24"/>
          <w:lang w:val="en-US"/>
        </w:rPr>
        <w:t xml:space="preserve"> </w:t>
      </w:r>
      <w:r w:rsidRPr="007839E0">
        <w:rPr>
          <w:rFonts w:ascii="Calibri" w:hAnsi="Calibri" w:cs="Calibri"/>
          <w:b/>
          <w:bCs/>
          <w:noProof/>
          <w:szCs w:val="24"/>
          <w:lang w:val="en-US"/>
        </w:rPr>
        <w:t>1</w:t>
      </w:r>
      <w:r w:rsidRPr="007839E0">
        <w:rPr>
          <w:rFonts w:ascii="Calibri" w:hAnsi="Calibri" w:cs="Calibri"/>
          <w:noProof/>
          <w:szCs w:val="24"/>
          <w:lang w:val="en-US"/>
        </w:rPr>
        <w:t>, 208–233.</w:t>
      </w:r>
    </w:p>
    <w:p w14:paraId="4603498C" w14:textId="77777777" w:rsidR="00BC11EF" w:rsidRPr="007839E0" w:rsidRDefault="00BC11EF" w:rsidP="00BC11EF">
      <w:pPr>
        <w:widowControl w:val="0"/>
        <w:autoSpaceDE w:val="0"/>
        <w:autoSpaceDN w:val="0"/>
        <w:adjustRightInd w:val="0"/>
        <w:spacing w:after="0" w:line="480" w:lineRule="auto"/>
        <w:rPr>
          <w:rFonts w:ascii="Calibri" w:hAnsi="Calibri" w:cs="Calibri"/>
          <w:noProof/>
          <w:szCs w:val="24"/>
          <w:lang w:val="en-US"/>
        </w:rPr>
      </w:pPr>
      <w:r w:rsidRPr="007839E0">
        <w:rPr>
          <w:rFonts w:ascii="Calibri" w:hAnsi="Calibri" w:cs="Calibri"/>
          <w:b/>
          <w:bCs/>
          <w:noProof/>
          <w:szCs w:val="24"/>
          <w:lang w:val="en-US"/>
        </w:rPr>
        <w:t>Rodriguez BF, Bruce SE, Pagano ME, Spencer MA, Keller MB</w:t>
      </w:r>
      <w:r w:rsidRPr="007839E0">
        <w:rPr>
          <w:rFonts w:ascii="Calibri" w:hAnsi="Calibri" w:cs="Calibri"/>
          <w:noProof/>
          <w:szCs w:val="24"/>
          <w:lang w:val="en-US"/>
        </w:rPr>
        <w:t xml:space="preserve"> (2004). Factor structure and stability of the Anxiety Sensitivity Index in a longitudinal study of anxiety disorder patients. </w:t>
      </w:r>
      <w:r w:rsidRPr="007839E0">
        <w:rPr>
          <w:rFonts w:ascii="Calibri" w:hAnsi="Calibri" w:cs="Calibri"/>
          <w:i/>
          <w:iCs/>
          <w:noProof/>
          <w:szCs w:val="24"/>
          <w:lang w:val="en-US"/>
        </w:rPr>
        <w:t>Behaviour Research and Therapy</w:t>
      </w:r>
      <w:r w:rsidRPr="007839E0">
        <w:rPr>
          <w:rFonts w:ascii="Calibri" w:hAnsi="Calibri" w:cs="Calibri"/>
          <w:noProof/>
          <w:szCs w:val="24"/>
          <w:lang w:val="en-US"/>
        </w:rPr>
        <w:t xml:space="preserve"> </w:t>
      </w:r>
      <w:r w:rsidRPr="007839E0">
        <w:rPr>
          <w:rFonts w:ascii="Calibri" w:hAnsi="Calibri" w:cs="Calibri"/>
          <w:b/>
          <w:bCs/>
          <w:noProof/>
          <w:szCs w:val="24"/>
          <w:lang w:val="en-US"/>
        </w:rPr>
        <w:t>42</w:t>
      </w:r>
      <w:r w:rsidRPr="007839E0">
        <w:rPr>
          <w:rFonts w:ascii="Calibri" w:hAnsi="Calibri" w:cs="Calibri"/>
          <w:noProof/>
          <w:szCs w:val="24"/>
          <w:lang w:val="en-US"/>
        </w:rPr>
        <w:t>, 79–91.</w:t>
      </w:r>
    </w:p>
    <w:p w14:paraId="07295B93" w14:textId="77777777" w:rsidR="00BC11EF" w:rsidRPr="007839E0" w:rsidRDefault="00BC11EF" w:rsidP="00BC11EF">
      <w:pPr>
        <w:widowControl w:val="0"/>
        <w:autoSpaceDE w:val="0"/>
        <w:autoSpaceDN w:val="0"/>
        <w:adjustRightInd w:val="0"/>
        <w:spacing w:after="0" w:line="480" w:lineRule="auto"/>
        <w:rPr>
          <w:rFonts w:ascii="Calibri" w:hAnsi="Calibri" w:cs="Calibri"/>
          <w:noProof/>
          <w:szCs w:val="24"/>
          <w:lang w:val="en-US"/>
        </w:rPr>
      </w:pPr>
      <w:r w:rsidRPr="007839E0">
        <w:rPr>
          <w:rFonts w:ascii="Calibri" w:hAnsi="Calibri" w:cs="Calibri"/>
          <w:b/>
          <w:bCs/>
          <w:noProof/>
          <w:szCs w:val="24"/>
          <w:lang w:val="en-US"/>
        </w:rPr>
        <w:t>Rush AJ, Gullion CM, Basco MR, Jarrett RB, Trivedi MH</w:t>
      </w:r>
      <w:r w:rsidRPr="007839E0">
        <w:rPr>
          <w:rFonts w:ascii="Calibri" w:hAnsi="Calibri" w:cs="Calibri"/>
          <w:noProof/>
          <w:szCs w:val="24"/>
          <w:lang w:val="en-US"/>
        </w:rPr>
        <w:t xml:space="preserve"> (1996). The Inventory of Depressive Symptomatology (IDS): psychometric properties. </w:t>
      </w:r>
      <w:r w:rsidRPr="007839E0">
        <w:rPr>
          <w:rFonts w:ascii="Calibri" w:hAnsi="Calibri" w:cs="Calibri"/>
          <w:i/>
          <w:iCs/>
          <w:noProof/>
          <w:szCs w:val="24"/>
          <w:lang w:val="en-US"/>
        </w:rPr>
        <w:t>Psychological Medicine</w:t>
      </w:r>
      <w:r w:rsidRPr="007839E0">
        <w:rPr>
          <w:rFonts w:ascii="Calibri" w:hAnsi="Calibri" w:cs="Calibri"/>
          <w:noProof/>
          <w:szCs w:val="24"/>
          <w:lang w:val="en-US"/>
        </w:rPr>
        <w:t xml:space="preserve"> </w:t>
      </w:r>
      <w:r w:rsidRPr="007839E0">
        <w:rPr>
          <w:rFonts w:ascii="Calibri" w:hAnsi="Calibri" w:cs="Calibri"/>
          <w:b/>
          <w:bCs/>
          <w:noProof/>
          <w:szCs w:val="24"/>
          <w:lang w:val="en-US"/>
        </w:rPr>
        <w:t>26</w:t>
      </w:r>
      <w:r w:rsidRPr="007839E0">
        <w:rPr>
          <w:rFonts w:ascii="Calibri" w:hAnsi="Calibri" w:cs="Calibri"/>
          <w:noProof/>
          <w:szCs w:val="24"/>
          <w:lang w:val="en-US"/>
        </w:rPr>
        <w:t>, 477.</w:t>
      </w:r>
    </w:p>
    <w:p w14:paraId="58AAD677" w14:textId="77777777" w:rsidR="00BC11EF" w:rsidRPr="007839E0" w:rsidRDefault="00BC11EF" w:rsidP="00BC11EF">
      <w:pPr>
        <w:widowControl w:val="0"/>
        <w:autoSpaceDE w:val="0"/>
        <w:autoSpaceDN w:val="0"/>
        <w:adjustRightInd w:val="0"/>
        <w:spacing w:after="0" w:line="480" w:lineRule="auto"/>
        <w:rPr>
          <w:rFonts w:ascii="Calibri" w:hAnsi="Calibri" w:cs="Calibri"/>
          <w:noProof/>
          <w:szCs w:val="24"/>
          <w:lang w:val="en-US"/>
        </w:rPr>
      </w:pPr>
      <w:r w:rsidRPr="007839E0">
        <w:rPr>
          <w:rFonts w:ascii="Calibri" w:hAnsi="Calibri" w:cs="Calibri"/>
          <w:b/>
          <w:bCs/>
          <w:noProof/>
          <w:szCs w:val="24"/>
          <w:lang w:val="en-US"/>
        </w:rPr>
        <w:t>Sahakian BJ, Owen AM</w:t>
      </w:r>
      <w:r w:rsidRPr="007839E0">
        <w:rPr>
          <w:rFonts w:ascii="Calibri" w:hAnsi="Calibri" w:cs="Calibri"/>
          <w:noProof/>
          <w:szCs w:val="24"/>
          <w:lang w:val="en-US"/>
        </w:rPr>
        <w:t xml:space="preserve"> (1992). Computerized assessment in neuropsychiatry using CANTAB: discussion paper. </w:t>
      </w:r>
      <w:r w:rsidRPr="007839E0">
        <w:rPr>
          <w:rFonts w:ascii="Calibri" w:hAnsi="Calibri" w:cs="Calibri"/>
          <w:i/>
          <w:iCs/>
          <w:noProof/>
          <w:szCs w:val="24"/>
          <w:lang w:val="en-US"/>
        </w:rPr>
        <w:t>Journal of the Royal Society of Medicine</w:t>
      </w:r>
      <w:r w:rsidRPr="007839E0">
        <w:rPr>
          <w:rFonts w:ascii="Calibri" w:hAnsi="Calibri" w:cs="Calibri"/>
          <w:noProof/>
          <w:szCs w:val="24"/>
          <w:lang w:val="en-US"/>
        </w:rPr>
        <w:t xml:space="preserve"> </w:t>
      </w:r>
      <w:r w:rsidRPr="007839E0">
        <w:rPr>
          <w:rFonts w:ascii="Calibri" w:hAnsi="Calibri" w:cs="Calibri"/>
          <w:b/>
          <w:bCs/>
          <w:noProof/>
          <w:szCs w:val="24"/>
          <w:lang w:val="en-US"/>
        </w:rPr>
        <w:t>85</w:t>
      </w:r>
      <w:r w:rsidRPr="007839E0">
        <w:rPr>
          <w:rFonts w:ascii="Calibri" w:hAnsi="Calibri" w:cs="Calibri"/>
          <w:noProof/>
          <w:szCs w:val="24"/>
          <w:lang w:val="en-US"/>
        </w:rPr>
        <w:t>, 399–402.</w:t>
      </w:r>
    </w:p>
    <w:p w14:paraId="2CF278AF" w14:textId="77777777" w:rsidR="00BC11EF" w:rsidRPr="00BC11EF" w:rsidRDefault="00BC11EF" w:rsidP="00BC11EF">
      <w:pPr>
        <w:widowControl w:val="0"/>
        <w:autoSpaceDE w:val="0"/>
        <w:autoSpaceDN w:val="0"/>
        <w:adjustRightInd w:val="0"/>
        <w:spacing w:after="0" w:line="480" w:lineRule="auto"/>
        <w:rPr>
          <w:rFonts w:ascii="Calibri" w:hAnsi="Calibri" w:cs="Calibri"/>
          <w:noProof/>
          <w:szCs w:val="24"/>
        </w:rPr>
      </w:pPr>
      <w:r w:rsidRPr="007839E0">
        <w:rPr>
          <w:rFonts w:ascii="Calibri" w:hAnsi="Calibri" w:cs="Calibri"/>
          <w:b/>
          <w:bCs/>
          <w:noProof/>
          <w:szCs w:val="24"/>
          <w:lang w:val="en-US"/>
        </w:rPr>
        <w:t>Schippers G, Broekman T, Buchholz A</w:t>
      </w:r>
      <w:r w:rsidRPr="007839E0">
        <w:rPr>
          <w:rFonts w:ascii="Calibri" w:hAnsi="Calibri" w:cs="Calibri"/>
          <w:noProof/>
          <w:szCs w:val="24"/>
          <w:lang w:val="en-US"/>
        </w:rPr>
        <w:t xml:space="preserve"> (2011). </w:t>
      </w:r>
      <w:r w:rsidRPr="00BC11EF">
        <w:rPr>
          <w:rFonts w:ascii="Calibri" w:hAnsi="Calibri" w:cs="Calibri"/>
          <w:noProof/>
          <w:szCs w:val="24"/>
        </w:rPr>
        <w:t>MATE 2.1. Manual and protocol.</w:t>
      </w:r>
    </w:p>
    <w:p w14:paraId="6D0CA92A" w14:textId="77777777" w:rsidR="00BC11EF" w:rsidRPr="007839E0" w:rsidRDefault="00BC11EF" w:rsidP="00BC11EF">
      <w:pPr>
        <w:widowControl w:val="0"/>
        <w:autoSpaceDE w:val="0"/>
        <w:autoSpaceDN w:val="0"/>
        <w:adjustRightInd w:val="0"/>
        <w:spacing w:after="0" w:line="480" w:lineRule="auto"/>
        <w:rPr>
          <w:rFonts w:ascii="Calibri" w:hAnsi="Calibri" w:cs="Calibri"/>
          <w:noProof/>
          <w:szCs w:val="24"/>
          <w:lang w:val="en-US"/>
        </w:rPr>
      </w:pPr>
      <w:r w:rsidRPr="00BC11EF">
        <w:rPr>
          <w:rFonts w:ascii="Calibri" w:hAnsi="Calibri" w:cs="Calibri"/>
          <w:b/>
          <w:bCs/>
          <w:noProof/>
          <w:szCs w:val="24"/>
        </w:rPr>
        <w:t>Schmand B, Lindeboom J, Van Harskamp F</w:t>
      </w:r>
      <w:r w:rsidRPr="00BC11EF">
        <w:rPr>
          <w:rFonts w:ascii="Calibri" w:hAnsi="Calibri" w:cs="Calibri"/>
          <w:noProof/>
          <w:szCs w:val="24"/>
        </w:rPr>
        <w:t xml:space="preserve"> (1992). De nederlandse leestest voor volwassenen. </w:t>
      </w:r>
      <w:r w:rsidRPr="007839E0">
        <w:rPr>
          <w:rFonts w:ascii="Calibri" w:hAnsi="Calibri" w:cs="Calibri"/>
          <w:noProof/>
          <w:szCs w:val="24"/>
          <w:lang w:val="en-US"/>
        </w:rPr>
        <w:t>[the dutch adult reading test.]</w:t>
      </w:r>
    </w:p>
    <w:p w14:paraId="19C29710" w14:textId="77777777" w:rsidR="00BC11EF" w:rsidRPr="007839E0" w:rsidRDefault="00BC11EF" w:rsidP="00BC11EF">
      <w:pPr>
        <w:widowControl w:val="0"/>
        <w:autoSpaceDE w:val="0"/>
        <w:autoSpaceDN w:val="0"/>
        <w:adjustRightInd w:val="0"/>
        <w:spacing w:after="0" w:line="480" w:lineRule="auto"/>
        <w:rPr>
          <w:rFonts w:ascii="Calibri" w:hAnsi="Calibri" w:cs="Calibri"/>
          <w:noProof/>
          <w:szCs w:val="24"/>
          <w:lang w:val="en-US"/>
        </w:rPr>
      </w:pPr>
      <w:r w:rsidRPr="007839E0">
        <w:rPr>
          <w:rFonts w:ascii="Calibri" w:hAnsi="Calibri" w:cs="Calibri"/>
          <w:b/>
          <w:bCs/>
          <w:noProof/>
          <w:szCs w:val="24"/>
          <w:lang w:val="en-US"/>
        </w:rPr>
        <w:t>Stronks K, Snijder MB, Peters RJ, Prins M, Schene AH, Zwinderman AH</w:t>
      </w:r>
      <w:r w:rsidRPr="007839E0">
        <w:rPr>
          <w:rFonts w:ascii="Calibri" w:hAnsi="Calibri" w:cs="Calibri"/>
          <w:noProof/>
          <w:szCs w:val="24"/>
          <w:lang w:val="en-US"/>
        </w:rPr>
        <w:t xml:space="preserve"> (2013). Unravelling the impact of ethnicity on health in Europe: the HELIUS study. </w:t>
      </w:r>
      <w:r w:rsidRPr="007839E0">
        <w:rPr>
          <w:rFonts w:ascii="Calibri" w:hAnsi="Calibri" w:cs="Calibri"/>
          <w:i/>
          <w:iCs/>
          <w:noProof/>
          <w:szCs w:val="24"/>
          <w:lang w:val="en-US"/>
        </w:rPr>
        <w:t>BMC Public Health</w:t>
      </w:r>
      <w:r w:rsidRPr="007839E0">
        <w:rPr>
          <w:rFonts w:ascii="Calibri" w:hAnsi="Calibri" w:cs="Calibri"/>
          <w:noProof/>
          <w:szCs w:val="24"/>
          <w:lang w:val="en-US"/>
        </w:rPr>
        <w:t xml:space="preserve"> </w:t>
      </w:r>
      <w:r w:rsidRPr="007839E0">
        <w:rPr>
          <w:rFonts w:ascii="Calibri" w:hAnsi="Calibri" w:cs="Calibri"/>
          <w:b/>
          <w:bCs/>
          <w:noProof/>
          <w:szCs w:val="24"/>
          <w:lang w:val="en-US"/>
        </w:rPr>
        <w:t>13</w:t>
      </w:r>
      <w:r w:rsidRPr="007839E0">
        <w:rPr>
          <w:rFonts w:ascii="Calibri" w:hAnsi="Calibri" w:cs="Calibri"/>
          <w:noProof/>
          <w:szCs w:val="24"/>
          <w:lang w:val="en-US"/>
        </w:rPr>
        <w:t>, 402.</w:t>
      </w:r>
    </w:p>
    <w:p w14:paraId="5929FC61" w14:textId="18BFC4A5" w:rsidR="00BC11EF" w:rsidRPr="00BC11EF" w:rsidRDefault="00BC11EF" w:rsidP="00BC11EF">
      <w:pPr>
        <w:widowControl w:val="0"/>
        <w:autoSpaceDE w:val="0"/>
        <w:autoSpaceDN w:val="0"/>
        <w:adjustRightInd w:val="0"/>
        <w:spacing w:after="0" w:line="480" w:lineRule="auto"/>
        <w:rPr>
          <w:rFonts w:ascii="Calibri" w:hAnsi="Calibri" w:cs="Calibri"/>
          <w:noProof/>
          <w:szCs w:val="24"/>
        </w:rPr>
      </w:pPr>
      <w:r w:rsidRPr="007839E0">
        <w:rPr>
          <w:rFonts w:ascii="Calibri" w:hAnsi="Calibri" w:cs="Calibri"/>
          <w:b/>
          <w:bCs/>
          <w:noProof/>
          <w:szCs w:val="24"/>
          <w:lang w:val="en-US"/>
        </w:rPr>
        <w:t xml:space="preserve">Ustun B, Adler LA, Rudin C, Faraone S V., Spencer TJ, Berglund P, </w:t>
      </w:r>
      <w:r w:rsidR="0049111F">
        <w:rPr>
          <w:rFonts w:ascii="Calibri" w:hAnsi="Calibri" w:cs="Calibri"/>
          <w:b/>
          <w:bCs/>
          <w:noProof/>
          <w:szCs w:val="24"/>
          <w:lang w:val="en-US"/>
        </w:rPr>
        <w:t>...</w:t>
      </w:r>
      <w:r w:rsidRPr="007839E0">
        <w:rPr>
          <w:rFonts w:ascii="Calibri" w:hAnsi="Calibri" w:cs="Calibri"/>
          <w:b/>
          <w:bCs/>
          <w:noProof/>
          <w:szCs w:val="24"/>
          <w:lang w:val="en-US"/>
        </w:rPr>
        <w:t xml:space="preserve"> Kessler RC</w:t>
      </w:r>
      <w:r w:rsidRPr="007839E0">
        <w:rPr>
          <w:rFonts w:ascii="Calibri" w:hAnsi="Calibri" w:cs="Calibri"/>
          <w:noProof/>
          <w:szCs w:val="24"/>
          <w:lang w:val="en-US"/>
        </w:rPr>
        <w:t xml:space="preserve"> (2017). The World Health Organization Adult Attention-Deficit/Hyperactivity Disorder Self-Report Screening Scale for DSM-5. </w:t>
      </w:r>
      <w:r w:rsidRPr="00BC11EF">
        <w:rPr>
          <w:rFonts w:ascii="Calibri" w:hAnsi="Calibri" w:cs="Calibri"/>
          <w:i/>
          <w:iCs/>
          <w:noProof/>
          <w:szCs w:val="24"/>
        </w:rPr>
        <w:t>JAMA Psychiatry</w:t>
      </w:r>
      <w:r w:rsidRPr="00BC11EF">
        <w:rPr>
          <w:rFonts w:ascii="Calibri" w:hAnsi="Calibri" w:cs="Calibri"/>
          <w:noProof/>
          <w:szCs w:val="24"/>
        </w:rPr>
        <w:t xml:space="preserve"> </w:t>
      </w:r>
      <w:r w:rsidRPr="00BC11EF">
        <w:rPr>
          <w:rFonts w:ascii="Calibri" w:hAnsi="Calibri" w:cs="Calibri"/>
          <w:b/>
          <w:bCs/>
          <w:noProof/>
          <w:szCs w:val="24"/>
        </w:rPr>
        <w:t>74</w:t>
      </w:r>
      <w:r w:rsidRPr="00BC11EF">
        <w:rPr>
          <w:rFonts w:ascii="Calibri" w:hAnsi="Calibri" w:cs="Calibri"/>
          <w:noProof/>
          <w:szCs w:val="24"/>
        </w:rPr>
        <w:t>, 520.</w:t>
      </w:r>
    </w:p>
    <w:p w14:paraId="3AC3FE97" w14:textId="77777777" w:rsidR="00BC11EF" w:rsidRPr="00BC11EF" w:rsidRDefault="00BC11EF" w:rsidP="00BC11EF">
      <w:pPr>
        <w:widowControl w:val="0"/>
        <w:autoSpaceDE w:val="0"/>
        <w:autoSpaceDN w:val="0"/>
        <w:adjustRightInd w:val="0"/>
        <w:spacing w:after="0" w:line="480" w:lineRule="auto"/>
        <w:rPr>
          <w:rFonts w:ascii="Calibri" w:hAnsi="Calibri" w:cs="Calibri"/>
          <w:noProof/>
          <w:szCs w:val="24"/>
        </w:rPr>
      </w:pPr>
      <w:r w:rsidRPr="00BC11EF">
        <w:rPr>
          <w:rFonts w:ascii="Calibri" w:hAnsi="Calibri" w:cs="Calibri"/>
          <w:b/>
          <w:bCs/>
          <w:noProof/>
          <w:szCs w:val="24"/>
        </w:rPr>
        <w:t>Vuijk R</w:t>
      </w:r>
      <w:r w:rsidRPr="00BC11EF">
        <w:rPr>
          <w:rFonts w:ascii="Calibri" w:hAnsi="Calibri" w:cs="Calibri"/>
          <w:noProof/>
          <w:szCs w:val="24"/>
        </w:rPr>
        <w:t xml:space="preserve"> (2016). </w:t>
      </w:r>
      <w:r w:rsidRPr="00BC11EF">
        <w:rPr>
          <w:rFonts w:ascii="Calibri" w:hAnsi="Calibri" w:cs="Calibri"/>
          <w:i/>
          <w:iCs/>
          <w:noProof/>
          <w:szCs w:val="24"/>
        </w:rPr>
        <w:t>Nederlands Interview ten behoeve van Diagnostiek Autismespectrumstoornis bij volwassenen (NIDA)</w:t>
      </w:r>
    </w:p>
    <w:p w14:paraId="0C0AA92C" w14:textId="77777777" w:rsidR="00BC11EF" w:rsidRPr="007839E0" w:rsidRDefault="00BC11EF" w:rsidP="00BC11EF">
      <w:pPr>
        <w:widowControl w:val="0"/>
        <w:autoSpaceDE w:val="0"/>
        <w:autoSpaceDN w:val="0"/>
        <w:adjustRightInd w:val="0"/>
        <w:spacing w:after="0" w:line="480" w:lineRule="auto"/>
        <w:rPr>
          <w:rFonts w:ascii="Calibri" w:hAnsi="Calibri" w:cs="Calibri"/>
          <w:noProof/>
          <w:szCs w:val="24"/>
          <w:lang w:val="en-US"/>
        </w:rPr>
      </w:pPr>
      <w:r w:rsidRPr="007839E0">
        <w:rPr>
          <w:rFonts w:ascii="Calibri" w:hAnsi="Calibri" w:cs="Calibri"/>
          <w:b/>
          <w:bCs/>
          <w:noProof/>
          <w:szCs w:val="24"/>
          <w:lang w:val="en-US"/>
        </w:rPr>
        <w:t>Ware JE, Sherbourne CD</w:t>
      </w:r>
      <w:r w:rsidRPr="007839E0">
        <w:rPr>
          <w:rFonts w:ascii="Calibri" w:hAnsi="Calibri" w:cs="Calibri"/>
          <w:noProof/>
          <w:szCs w:val="24"/>
          <w:lang w:val="en-US"/>
        </w:rPr>
        <w:t xml:space="preserve"> (1992). The MOS 36-Item Short-Form Health Survey (SF-36): I. Conceptual Framework and Item Selection. </w:t>
      </w:r>
      <w:r w:rsidRPr="007839E0">
        <w:rPr>
          <w:rFonts w:ascii="Calibri" w:hAnsi="Calibri" w:cs="Calibri"/>
          <w:i/>
          <w:iCs/>
          <w:noProof/>
          <w:szCs w:val="24"/>
          <w:lang w:val="en-US"/>
        </w:rPr>
        <w:t>Medical Care</w:t>
      </w:r>
      <w:r w:rsidRPr="007839E0">
        <w:rPr>
          <w:rFonts w:ascii="Calibri" w:hAnsi="Calibri" w:cs="Calibri"/>
          <w:noProof/>
          <w:szCs w:val="24"/>
          <w:lang w:val="en-US"/>
        </w:rPr>
        <w:t xml:space="preserve"> </w:t>
      </w:r>
      <w:r w:rsidRPr="007839E0">
        <w:rPr>
          <w:rFonts w:ascii="Calibri" w:hAnsi="Calibri" w:cs="Calibri"/>
          <w:b/>
          <w:bCs/>
          <w:noProof/>
          <w:szCs w:val="24"/>
          <w:lang w:val="en-US"/>
        </w:rPr>
        <w:t>30</w:t>
      </w:r>
      <w:r w:rsidRPr="007839E0">
        <w:rPr>
          <w:rFonts w:ascii="Calibri" w:hAnsi="Calibri" w:cs="Calibri"/>
          <w:noProof/>
          <w:szCs w:val="24"/>
          <w:lang w:val="en-US"/>
        </w:rPr>
        <w:t>, 473–483.</w:t>
      </w:r>
    </w:p>
    <w:p w14:paraId="1008A6F3" w14:textId="77777777" w:rsidR="00BC11EF" w:rsidRPr="00BC11EF" w:rsidRDefault="00BC11EF" w:rsidP="00BC11EF">
      <w:pPr>
        <w:widowControl w:val="0"/>
        <w:autoSpaceDE w:val="0"/>
        <w:autoSpaceDN w:val="0"/>
        <w:adjustRightInd w:val="0"/>
        <w:spacing w:after="0" w:line="480" w:lineRule="auto"/>
        <w:rPr>
          <w:rFonts w:ascii="Calibri" w:hAnsi="Calibri" w:cs="Calibri"/>
          <w:noProof/>
        </w:rPr>
      </w:pPr>
      <w:r w:rsidRPr="007839E0">
        <w:rPr>
          <w:rFonts w:ascii="Calibri" w:hAnsi="Calibri" w:cs="Calibri"/>
          <w:b/>
          <w:bCs/>
          <w:noProof/>
          <w:szCs w:val="24"/>
          <w:lang w:val="en-US"/>
        </w:rPr>
        <w:lastRenderedPageBreak/>
        <w:t>Zimmermann P, Fimm B</w:t>
      </w:r>
      <w:r w:rsidRPr="007839E0">
        <w:rPr>
          <w:rFonts w:ascii="Calibri" w:hAnsi="Calibri" w:cs="Calibri"/>
          <w:noProof/>
          <w:szCs w:val="24"/>
          <w:lang w:val="en-US"/>
        </w:rPr>
        <w:t xml:space="preserve"> (2002). A test battery for attentional performance. In </w:t>
      </w:r>
      <w:r w:rsidRPr="007839E0">
        <w:rPr>
          <w:rFonts w:ascii="Calibri" w:hAnsi="Calibri" w:cs="Calibri"/>
          <w:i/>
          <w:iCs/>
          <w:noProof/>
          <w:szCs w:val="24"/>
          <w:lang w:val="en-US"/>
        </w:rPr>
        <w:t>Applied Neuropsychology of Attention Theory, Diagnosis and Rehabilitation</w:t>
      </w:r>
      <w:r w:rsidRPr="007839E0">
        <w:rPr>
          <w:rFonts w:ascii="Calibri" w:hAnsi="Calibri" w:cs="Calibri"/>
          <w:noProof/>
          <w:szCs w:val="24"/>
          <w:lang w:val="en-US"/>
        </w:rPr>
        <w:t xml:space="preserve">, pp124–165. </w:t>
      </w:r>
      <w:r w:rsidRPr="00BC11EF">
        <w:rPr>
          <w:rFonts w:ascii="Calibri" w:hAnsi="Calibri" w:cs="Calibri"/>
          <w:noProof/>
          <w:szCs w:val="24"/>
        </w:rPr>
        <w:t>Psychology Press.</w:t>
      </w:r>
    </w:p>
    <w:p w14:paraId="3E36F466" w14:textId="77777777" w:rsidR="00C314F3" w:rsidRPr="00CB7A2B" w:rsidRDefault="00C314F3" w:rsidP="00C314F3">
      <w:pPr>
        <w:pStyle w:val="Geenafstand"/>
        <w:rPr>
          <w:lang w:val="en-US"/>
        </w:rPr>
      </w:pPr>
      <w:r w:rsidRPr="000444B5">
        <w:rPr>
          <w:rFonts w:ascii="Calibri" w:eastAsia="Calibri" w:hAnsi="Calibri" w:cs="Times New Roman"/>
          <w:lang w:val="en-US"/>
        </w:rPr>
        <w:fldChar w:fldCharType="end"/>
      </w:r>
    </w:p>
    <w:bookmarkEnd w:id="22"/>
    <w:p w14:paraId="44B05216" w14:textId="7F07D2D8" w:rsidR="00F43D69" w:rsidRDefault="00F43D69" w:rsidP="007F2759">
      <w:pPr>
        <w:widowControl w:val="0"/>
        <w:autoSpaceDE w:val="0"/>
        <w:autoSpaceDN w:val="0"/>
        <w:adjustRightInd w:val="0"/>
        <w:spacing w:after="0" w:line="480" w:lineRule="auto"/>
        <w:rPr>
          <w:lang w:val="en-US"/>
        </w:rPr>
      </w:pPr>
    </w:p>
    <w:sectPr w:rsidR="00F43D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FD129" w14:textId="77777777" w:rsidR="00AF4528" w:rsidRDefault="00AF4528">
      <w:pPr>
        <w:spacing w:after="0" w:line="240" w:lineRule="auto"/>
      </w:pPr>
      <w:r>
        <w:separator/>
      </w:r>
    </w:p>
  </w:endnote>
  <w:endnote w:type="continuationSeparator" w:id="0">
    <w:p w14:paraId="4C0DC69C" w14:textId="77777777" w:rsidR="00AF4528" w:rsidRDefault="00AF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78219"/>
      <w:docPartObj>
        <w:docPartGallery w:val="Page Numbers (Bottom of Page)"/>
        <w:docPartUnique/>
      </w:docPartObj>
    </w:sdtPr>
    <w:sdtEndPr/>
    <w:sdtContent>
      <w:p w14:paraId="0A903039" w14:textId="2509DB1F" w:rsidR="00DB6B66" w:rsidRDefault="00DB6B66">
        <w:pPr>
          <w:pStyle w:val="Voettekst"/>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896A6FD" w14:textId="77777777" w:rsidR="00DB6B66" w:rsidRDefault="00DB6B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45DE6" w14:textId="77777777" w:rsidR="00AF4528" w:rsidRDefault="00AF4528">
      <w:pPr>
        <w:spacing w:after="0" w:line="240" w:lineRule="auto"/>
      </w:pPr>
      <w:r>
        <w:separator/>
      </w:r>
    </w:p>
  </w:footnote>
  <w:footnote w:type="continuationSeparator" w:id="0">
    <w:p w14:paraId="3B9F4A5F" w14:textId="77777777" w:rsidR="00AF4528" w:rsidRDefault="00AF45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1sTQ0MjQxM7O0MLJU0lEKTi0uzszPAykwrAUAQECr2SwAAAA="/>
  </w:docVars>
  <w:rsids>
    <w:rsidRoot w:val="00160918"/>
    <w:rsid w:val="00006BCD"/>
    <w:rsid w:val="0002197F"/>
    <w:rsid w:val="00033766"/>
    <w:rsid w:val="0004004C"/>
    <w:rsid w:val="00055412"/>
    <w:rsid w:val="00056E1A"/>
    <w:rsid w:val="000949FA"/>
    <w:rsid w:val="000A24A6"/>
    <w:rsid w:val="000A6AD8"/>
    <w:rsid w:val="000B5019"/>
    <w:rsid w:val="000B5E6C"/>
    <w:rsid w:val="000C2DB1"/>
    <w:rsid w:val="000D61A5"/>
    <w:rsid w:val="001072DC"/>
    <w:rsid w:val="0011493B"/>
    <w:rsid w:val="00160918"/>
    <w:rsid w:val="001643DE"/>
    <w:rsid w:val="0017551F"/>
    <w:rsid w:val="001A14D8"/>
    <w:rsid w:val="001A3945"/>
    <w:rsid w:val="001D5DDF"/>
    <w:rsid w:val="001E7718"/>
    <w:rsid w:val="001F75BA"/>
    <w:rsid w:val="001F7896"/>
    <w:rsid w:val="002077EB"/>
    <w:rsid w:val="0023546C"/>
    <w:rsid w:val="00236035"/>
    <w:rsid w:val="00246EDF"/>
    <w:rsid w:val="0026554C"/>
    <w:rsid w:val="002659B5"/>
    <w:rsid w:val="00270376"/>
    <w:rsid w:val="002A06F5"/>
    <w:rsid w:val="002D0CE5"/>
    <w:rsid w:val="00336942"/>
    <w:rsid w:val="003407DC"/>
    <w:rsid w:val="003466DB"/>
    <w:rsid w:val="00355AB1"/>
    <w:rsid w:val="003707BF"/>
    <w:rsid w:val="00370C60"/>
    <w:rsid w:val="00377501"/>
    <w:rsid w:val="00380FD3"/>
    <w:rsid w:val="00383B44"/>
    <w:rsid w:val="00384F6C"/>
    <w:rsid w:val="00390937"/>
    <w:rsid w:val="003A5BA2"/>
    <w:rsid w:val="003C6497"/>
    <w:rsid w:val="003C68B9"/>
    <w:rsid w:val="003D185F"/>
    <w:rsid w:val="003D2D31"/>
    <w:rsid w:val="003D3F46"/>
    <w:rsid w:val="003D5A4E"/>
    <w:rsid w:val="003D7F32"/>
    <w:rsid w:val="003F3428"/>
    <w:rsid w:val="003F6332"/>
    <w:rsid w:val="00410A96"/>
    <w:rsid w:val="00412C25"/>
    <w:rsid w:val="00414DCC"/>
    <w:rsid w:val="0043206F"/>
    <w:rsid w:val="00432B17"/>
    <w:rsid w:val="00442D62"/>
    <w:rsid w:val="00443ED3"/>
    <w:rsid w:val="0044717B"/>
    <w:rsid w:val="004520DC"/>
    <w:rsid w:val="0045283E"/>
    <w:rsid w:val="00460888"/>
    <w:rsid w:val="00466D80"/>
    <w:rsid w:val="00467DFB"/>
    <w:rsid w:val="0048638C"/>
    <w:rsid w:val="0049111F"/>
    <w:rsid w:val="004A0537"/>
    <w:rsid w:val="004A0A07"/>
    <w:rsid w:val="004A102A"/>
    <w:rsid w:val="004A2153"/>
    <w:rsid w:val="004B51A9"/>
    <w:rsid w:val="004D6215"/>
    <w:rsid w:val="004E2692"/>
    <w:rsid w:val="00504212"/>
    <w:rsid w:val="00505331"/>
    <w:rsid w:val="00506C0F"/>
    <w:rsid w:val="00534644"/>
    <w:rsid w:val="005443E8"/>
    <w:rsid w:val="00546D7F"/>
    <w:rsid w:val="00561A2A"/>
    <w:rsid w:val="00563183"/>
    <w:rsid w:val="00563689"/>
    <w:rsid w:val="005811AF"/>
    <w:rsid w:val="005A2469"/>
    <w:rsid w:val="005A570E"/>
    <w:rsid w:val="005B0A15"/>
    <w:rsid w:val="005B7AF4"/>
    <w:rsid w:val="005C79BA"/>
    <w:rsid w:val="005D17C3"/>
    <w:rsid w:val="005D7496"/>
    <w:rsid w:val="005E1AC7"/>
    <w:rsid w:val="005E67B1"/>
    <w:rsid w:val="00615D05"/>
    <w:rsid w:val="00616C4A"/>
    <w:rsid w:val="00616D79"/>
    <w:rsid w:val="006176B9"/>
    <w:rsid w:val="00620CBC"/>
    <w:rsid w:val="00651B21"/>
    <w:rsid w:val="00682B70"/>
    <w:rsid w:val="00696AA2"/>
    <w:rsid w:val="006A3BE7"/>
    <w:rsid w:val="006C3472"/>
    <w:rsid w:val="006C5E0D"/>
    <w:rsid w:val="006D06CA"/>
    <w:rsid w:val="006D65B2"/>
    <w:rsid w:val="006D7F96"/>
    <w:rsid w:val="006E6523"/>
    <w:rsid w:val="006F7EB3"/>
    <w:rsid w:val="00712DBC"/>
    <w:rsid w:val="0072075F"/>
    <w:rsid w:val="00746C76"/>
    <w:rsid w:val="007471E2"/>
    <w:rsid w:val="00750878"/>
    <w:rsid w:val="007562FA"/>
    <w:rsid w:val="00781184"/>
    <w:rsid w:val="007839E0"/>
    <w:rsid w:val="00786C39"/>
    <w:rsid w:val="007A5E28"/>
    <w:rsid w:val="007A5EB5"/>
    <w:rsid w:val="007A7C04"/>
    <w:rsid w:val="007A7F78"/>
    <w:rsid w:val="007B199A"/>
    <w:rsid w:val="007B2661"/>
    <w:rsid w:val="007B5DDC"/>
    <w:rsid w:val="007D5777"/>
    <w:rsid w:val="007E5735"/>
    <w:rsid w:val="007E7259"/>
    <w:rsid w:val="007F2759"/>
    <w:rsid w:val="0081101B"/>
    <w:rsid w:val="008332AE"/>
    <w:rsid w:val="00840F75"/>
    <w:rsid w:val="00842C19"/>
    <w:rsid w:val="00843BCA"/>
    <w:rsid w:val="00843FCD"/>
    <w:rsid w:val="008513C0"/>
    <w:rsid w:val="008522C2"/>
    <w:rsid w:val="0086453F"/>
    <w:rsid w:val="00871AB4"/>
    <w:rsid w:val="00874747"/>
    <w:rsid w:val="00877BE3"/>
    <w:rsid w:val="00884041"/>
    <w:rsid w:val="008930A0"/>
    <w:rsid w:val="008B002F"/>
    <w:rsid w:val="008B0F14"/>
    <w:rsid w:val="008C3C63"/>
    <w:rsid w:val="008E1C05"/>
    <w:rsid w:val="00915037"/>
    <w:rsid w:val="0092021D"/>
    <w:rsid w:val="00935B2A"/>
    <w:rsid w:val="00947920"/>
    <w:rsid w:val="0094792B"/>
    <w:rsid w:val="00947AC3"/>
    <w:rsid w:val="00956577"/>
    <w:rsid w:val="009615FB"/>
    <w:rsid w:val="00962F5E"/>
    <w:rsid w:val="00965221"/>
    <w:rsid w:val="00966AA4"/>
    <w:rsid w:val="00977FC9"/>
    <w:rsid w:val="0099060F"/>
    <w:rsid w:val="00993E69"/>
    <w:rsid w:val="009A35BE"/>
    <w:rsid w:val="009A38F9"/>
    <w:rsid w:val="009B1300"/>
    <w:rsid w:val="009B48BF"/>
    <w:rsid w:val="009D67B0"/>
    <w:rsid w:val="009F4602"/>
    <w:rsid w:val="00A0401D"/>
    <w:rsid w:val="00A079C4"/>
    <w:rsid w:val="00A12CA7"/>
    <w:rsid w:val="00A156A6"/>
    <w:rsid w:val="00A304DB"/>
    <w:rsid w:val="00A31D7A"/>
    <w:rsid w:val="00A332A4"/>
    <w:rsid w:val="00A418B0"/>
    <w:rsid w:val="00A528E3"/>
    <w:rsid w:val="00A5718B"/>
    <w:rsid w:val="00A627BB"/>
    <w:rsid w:val="00A81BFD"/>
    <w:rsid w:val="00A81FA0"/>
    <w:rsid w:val="00A824E6"/>
    <w:rsid w:val="00A825F6"/>
    <w:rsid w:val="00A91493"/>
    <w:rsid w:val="00A92E86"/>
    <w:rsid w:val="00A9317E"/>
    <w:rsid w:val="00AB00AA"/>
    <w:rsid w:val="00AB5EA6"/>
    <w:rsid w:val="00AC7D55"/>
    <w:rsid w:val="00AD2B67"/>
    <w:rsid w:val="00AD6294"/>
    <w:rsid w:val="00AE3CC6"/>
    <w:rsid w:val="00AF2570"/>
    <w:rsid w:val="00AF3020"/>
    <w:rsid w:val="00AF353A"/>
    <w:rsid w:val="00AF4528"/>
    <w:rsid w:val="00AF5BEC"/>
    <w:rsid w:val="00B10D98"/>
    <w:rsid w:val="00B129DC"/>
    <w:rsid w:val="00B17BAA"/>
    <w:rsid w:val="00B34BFD"/>
    <w:rsid w:val="00B36953"/>
    <w:rsid w:val="00B416A9"/>
    <w:rsid w:val="00B44764"/>
    <w:rsid w:val="00B8699E"/>
    <w:rsid w:val="00B926D1"/>
    <w:rsid w:val="00BC07C5"/>
    <w:rsid w:val="00BC11EF"/>
    <w:rsid w:val="00BD606A"/>
    <w:rsid w:val="00BE7759"/>
    <w:rsid w:val="00BF7AEE"/>
    <w:rsid w:val="00C05C8E"/>
    <w:rsid w:val="00C07871"/>
    <w:rsid w:val="00C1366E"/>
    <w:rsid w:val="00C305B0"/>
    <w:rsid w:val="00C314F3"/>
    <w:rsid w:val="00C44E3E"/>
    <w:rsid w:val="00C61521"/>
    <w:rsid w:val="00C648D6"/>
    <w:rsid w:val="00C67317"/>
    <w:rsid w:val="00C71ECC"/>
    <w:rsid w:val="00C72704"/>
    <w:rsid w:val="00C730A2"/>
    <w:rsid w:val="00C7415A"/>
    <w:rsid w:val="00C75E91"/>
    <w:rsid w:val="00C765BB"/>
    <w:rsid w:val="00C816A3"/>
    <w:rsid w:val="00C82941"/>
    <w:rsid w:val="00C952EC"/>
    <w:rsid w:val="00CD0F79"/>
    <w:rsid w:val="00CE4385"/>
    <w:rsid w:val="00D01478"/>
    <w:rsid w:val="00D06A5F"/>
    <w:rsid w:val="00D102E9"/>
    <w:rsid w:val="00D216DF"/>
    <w:rsid w:val="00D2212C"/>
    <w:rsid w:val="00D42D52"/>
    <w:rsid w:val="00D52B11"/>
    <w:rsid w:val="00D611AC"/>
    <w:rsid w:val="00D709FF"/>
    <w:rsid w:val="00D7319F"/>
    <w:rsid w:val="00D840F2"/>
    <w:rsid w:val="00D94AC2"/>
    <w:rsid w:val="00DB6184"/>
    <w:rsid w:val="00DB6B66"/>
    <w:rsid w:val="00DE237B"/>
    <w:rsid w:val="00DE3597"/>
    <w:rsid w:val="00DE460E"/>
    <w:rsid w:val="00DE6327"/>
    <w:rsid w:val="00DE7EBE"/>
    <w:rsid w:val="00DF3922"/>
    <w:rsid w:val="00DF4BE0"/>
    <w:rsid w:val="00E44448"/>
    <w:rsid w:val="00E57358"/>
    <w:rsid w:val="00E62CAC"/>
    <w:rsid w:val="00E63E10"/>
    <w:rsid w:val="00E84242"/>
    <w:rsid w:val="00EA0E5A"/>
    <w:rsid w:val="00EA5A62"/>
    <w:rsid w:val="00EA6AB4"/>
    <w:rsid w:val="00ED74F3"/>
    <w:rsid w:val="00EF0547"/>
    <w:rsid w:val="00F04AB5"/>
    <w:rsid w:val="00F0786F"/>
    <w:rsid w:val="00F210A3"/>
    <w:rsid w:val="00F43D69"/>
    <w:rsid w:val="00F44949"/>
    <w:rsid w:val="00F65A9C"/>
    <w:rsid w:val="00F71C48"/>
    <w:rsid w:val="00F73423"/>
    <w:rsid w:val="00F757B1"/>
    <w:rsid w:val="00F80EEF"/>
    <w:rsid w:val="00F82737"/>
    <w:rsid w:val="00F9233B"/>
    <w:rsid w:val="00F95220"/>
    <w:rsid w:val="00FA2AA0"/>
    <w:rsid w:val="00FB5A69"/>
    <w:rsid w:val="00FC3AF3"/>
    <w:rsid w:val="00FC6DF6"/>
    <w:rsid w:val="00FE1C3C"/>
    <w:rsid w:val="00FE476B"/>
    <w:rsid w:val="00FE5FD9"/>
    <w:rsid w:val="00FF67B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3306CF"/>
  <w15:docId w15:val="{3C29C701-EC4A-4021-96FE-82322729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17BAA"/>
  </w:style>
  <w:style w:type="paragraph" w:styleId="Kop1">
    <w:name w:val="heading 1"/>
    <w:basedOn w:val="Geenafstand"/>
    <w:next w:val="Standaard"/>
    <w:link w:val="Kop1Char"/>
    <w:uiPriority w:val="9"/>
    <w:qFormat/>
    <w:rsid w:val="00F43D69"/>
    <w:pPr>
      <w:spacing w:line="480" w:lineRule="auto"/>
      <w:outlineLvl w:val="0"/>
    </w:pPr>
    <w:rPr>
      <w:sz w:val="28"/>
      <w:szCs w:val="28"/>
      <w:lang w:val="en-US"/>
    </w:rPr>
  </w:style>
  <w:style w:type="paragraph" w:styleId="Kop2">
    <w:name w:val="heading 2"/>
    <w:basedOn w:val="Geenafstand"/>
    <w:next w:val="Standaard"/>
    <w:link w:val="Kop2Char"/>
    <w:uiPriority w:val="9"/>
    <w:unhideWhenUsed/>
    <w:qFormat/>
    <w:rsid w:val="00AF2570"/>
    <w:pPr>
      <w:spacing w:line="480" w:lineRule="auto"/>
      <w:outlineLvl w:val="1"/>
    </w:pPr>
    <w:rPr>
      <w:u w:val="single"/>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0918"/>
    <w:pPr>
      <w:spacing w:after="0" w:line="240" w:lineRule="auto"/>
    </w:pPr>
  </w:style>
  <w:style w:type="character" w:styleId="Verwijzingopmerking">
    <w:name w:val="annotation reference"/>
    <w:basedOn w:val="Standaardalinea-lettertype"/>
    <w:uiPriority w:val="99"/>
    <w:semiHidden/>
    <w:unhideWhenUsed/>
    <w:rsid w:val="00160918"/>
    <w:rPr>
      <w:sz w:val="16"/>
      <w:szCs w:val="16"/>
    </w:rPr>
  </w:style>
  <w:style w:type="paragraph" w:styleId="Tekstopmerking">
    <w:name w:val="annotation text"/>
    <w:basedOn w:val="Standaard"/>
    <w:link w:val="TekstopmerkingChar"/>
    <w:uiPriority w:val="99"/>
    <w:semiHidden/>
    <w:unhideWhenUsed/>
    <w:rsid w:val="0016091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60918"/>
    <w:rPr>
      <w:sz w:val="20"/>
      <w:szCs w:val="20"/>
    </w:rPr>
  </w:style>
  <w:style w:type="paragraph" w:styleId="Voettekst">
    <w:name w:val="footer"/>
    <w:basedOn w:val="Standaard"/>
    <w:link w:val="VoettekstChar"/>
    <w:uiPriority w:val="99"/>
    <w:unhideWhenUsed/>
    <w:rsid w:val="001609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0918"/>
  </w:style>
  <w:style w:type="table" w:customStyle="1" w:styleId="Lichtearcering12">
    <w:name w:val="Lichte arcering12"/>
    <w:basedOn w:val="Standaardtabel"/>
    <w:uiPriority w:val="60"/>
    <w:rsid w:val="0016091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raster">
    <w:name w:val="Table Grid"/>
    <w:basedOn w:val="Standaardtabel"/>
    <w:uiPriority w:val="59"/>
    <w:unhideWhenUsed/>
    <w:rsid w:val="00160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6091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0918"/>
    <w:rPr>
      <w:rFonts w:ascii="Segoe UI" w:hAnsi="Segoe UI" w:cs="Segoe UI"/>
      <w:sz w:val="18"/>
      <w:szCs w:val="18"/>
    </w:rPr>
  </w:style>
  <w:style w:type="character" w:styleId="Regelnummer">
    <w:name w:val="line number"/>
    <w:basedOn w:val="Standaardalinea-lettertype"/>
    <w:uiPriority w:val="99"/>
    <w:semiHidden/>
    <w:unhideWhenUsed/>
    <w:rsid w:val="00160918"/>
  </w:style>
  <w:style w:type="table" w:customStyle="1" w:styleId="Lichtearcering2">
    <w:name w:val="Lichte arcering2"/>
    <w:basedOn w:val="Standaardtabel"/>
    <w:uiPriority w:val="60"/>
    <w:rsid w:val="005E1A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chtearcering3">
    <w:name w:val="Lichte arcering3"/>
    <w:basedOn w:val="Standaardtabel"/>
    <w:uiPriority w:val="60"/>
    <w:rsid w:val="00B17BA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chtearcering1">
    <w:name w:val="Lichte arcering1"/>
    <w:basedOn w:val="Standaardtabel"/>
    <w:uiPriority w:val="60"/>
    <w:rsid w:val="00B17BA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Onderwerpvanopmerking">
    <w:name w:val="annotation subject"/>
    <w:basedOn w:val="Tekstopmerking"/>
    <w:next w:val="Tekstopmerking"/>
    <w:link w:val="OnderwerpvanopmerkingChar"/>
    <w:uiPriority w:val="99"/>
    <w:semiHidden/>
    <w:unhideWhenUsed/>
    <w:rsid w:val="00A156A6"/>
    <w:rPr>
      <w:b/>
      <w:bCs/>
    </w:rPr>
  </w:style>
  <w:style w:type="character" w:customStyle="1" w:styleId="OnderwerpvanopmerkingChar">
    <w:name w:val="Onderwerp van opmerking Char"/>
    <w:basedOn w:val="TekstopmerkingChar"/>
    <w:link w:val="Onderwerpvanopmerking"/>
    <w:uiPriority w:val="99"/>
    <w:semiHidden/>
    <w:rsid w:val="00A156A6"/>
    <w:rPr>
      <w:b/>
      <w:bCs/>
      <w:sz w:val="20"/>
      <w:szCs w:val="20"/>
    </w:rPr>
  </w:style>
  <w:style w:type="character" w:customStyle="1" w:styleId="Kop1Char">
    <w:name w:val="Kop 1 Char"/>
    <w:basedOn w:val="Standaardalinea-lettertype"/>
    <w:link w:val="Kop1"/>
    <w:uiPriority w:val="9"/>
    <w:rsid w:val="00F43D69"/>
    <w:rPr>
      <w:sz w:val="28"/>
      <w:szCs w:val="28"/>
      <w:lang w:val="en-US"/>
    </w:rPr>
  </w:style>
  <w:style w:type="paragraph" w:styleId="Revisie">
    <w:name w:val="Revision"/>
    <w:hidden/>
    <w:uiPriority w:val="99"/>
    <w:semiHidden/>
    <w:rsid w:val="000C2DB1"/>
    <w:pPr>
      <w:spacing w:after="0" w:line="240" w:lineRule="auto"/>
    </w:pPr>
  </w:style>
  <w:style w:type="paragraph" w:styleId="Lijstalinea">
    <w:name w:val="List Paragraph"/>
    <w:basedOn w:val="Standaard"/>
    <w:uiPriority w:val="34"/>
    <w:qFormat/>
    <w:rsid w:val="00615D05"/>
    <w:pPr>
      <w:ind w:left="720"/>
      <w:contextualSpacing/>
    </w:pPr>
  </w:style>
  <w:style w:type="paragraph" w:styleId="Tekstzonderopmaak">
    <w:name w:val="Plain Text"/>
    <w:basedOn w:val="Standaard"/>
    <w:link w:val="TekstzonderopmaakChar"/>
    <w:uiPriority w:val="99"/>
    <w:unhideWhenUsed/>
    <w:rsid w:val="00DE7EBE"/>
    <w:pPr>
      <w:spacing w:after="0" w:line="240" w:lineRule="auto"/>
    </w:pPr>
    <w:rPr>
      <w:rFonts w:ascii="Calibri" w:hAnsi="Calibri" w:cs="Consolas"/>
      <w:szCs w:val="21"/>
    </w:rPr>
  </w:style>
  <w:style w:type="character" w:customStyle="1" w:styleId="TekstzonderopmaakChar">
    <w:name w:val="Tekst zonder opmaak Char"/>
    <w:basedOn w:val="Standaardalinea-lettertype"/>
    <w:link w:val="Tekstzonderopmaak"/>
    <w:uiPriority w:val="99"/>
    <w:rsid w:val="00DE7EBE"/>
    <w:rPr>
      <w:rFonts w:ascii="Calibri" w:hAnsi="Calibri" w:cs="Consolas"/>
      <w:szCs w:val="21"/>
    </w:rPr>
  </w:style>
  <w:style w:type="paragraph" w:styleId="Kopvaninhoudsopgave">
    <w:name w:val="TOC Heading"/>
    <w:basedOn w:val="Kop1"/>
    <w:next w:val="Standaard"/>
    <w:uiPriority w:val="39"/>
    <w:unhideWhenUsed/>
    <w:qFormat/>
    <w:rsid w:val="00AF2570"/>
    <w:pPr>
      <w:keepNext/>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Inhopg1">
    <w:name w:val="toc 1"/>
    <w:basedOn w:val="Standaard"/>
    <w:next w:val="Standaard"/>
    <w:autoRedefine/>
    <w:uiPriority w:val="39"/>
    <w:unhideWhenUsed/>
    <w:rsid w:val="00AF2570"/>
    <w:pPr>
      <w:spacing w:after="100"/>
    </w:pPr>
  </w:style>
  <w:style w:type="character" w:styleId="Hyperlink">
    <w:name w:val="Hyperlink"/>
    <w:basedOn w:val="Standaardalinea-lettertype"/>
    <w:uiPriority w:val="99"/>
    <w:unhideWhenUsed/>
    <w:rsid w:val="00AF2570"/>
    <w:rPr>
      <w:color w:val="0000FF" w:themeColor="hyperlink"/>
      <w:u w:val="single"/>
    </w:rPr>
  </w:style>
  <w:style w:type="character" w:customStyle="1" w:styleId="Kop2Char">
    <w:name w:val="Kop 2 Char"/>
    <w:basedOn w:val="Standaardalinea-lettertype"/>
    <w:link w:val="Kop2"/>
    <w:uiPriority w:val="9"/>
    <w:rsid w:val="00AF2570"/>
    <w:rPr>
      <w:u w:val="single"/>
      <w:lang w:val="en-US"/>
    </w:rPr>
  </w:style>
  <w:style w:type="paragraph" w:styleId="Inhopg2">
    <w:name w:val="toc 2"/>
    <w:basedOn w:val="Standaard"/>
    <w:next w:val="Standaard"/>
    <w:autoRedefine/>
    <w:uiPriority w:val="39"/>
    <w:unhideWhenUsed/>
    <w:rsid w:val="0046088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93E1B-3623-4EE4-A11C-B8729DC7A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17228</Words>
  <Characters>94759</Characters>
  <Application>Microsoft Office Word</Application>
  <DocSecurity>0</DocSecurity>
  <Lines>789</Lines>
  <Paragraphs>223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Brolsma, Sophie</dc:creator>
  <cp:keywords/>
  <dc:description/>
  <cp:lastModifiedBy>Sophie Brolsma</cp:lastModifiedBy>
  <cp:revision>3</cp:revision>
  <dcterms:created xsi:type="dcterms:W3CDTF">2020-04-28T14:47:00Z</dcterms:created>
  <dcterms:modified xsi:type="dcterms:W3CDTF">2020-04-28T14:48:00Z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http://www.zotero.org/styles/biological-psychiatry</vt:lpwstr>
  </property>
  <property fmtid="{D5CDD505-2E9C-101B-9397-08002B2CF9AE}" pid="11" name="Mendeley Recent Style Name 4_1">
    <vt:lpwstr>Biological Psychiatry</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http://www.zotero.org/styles/psychological-medicine</vt:lpwstr>
  </property>
  <property fmtid="{D5CDD505-2E9C-101B-9397-08002B2CF9AE}" pid="21" name="Mendeley Recent Style Name 9_1">
    <vt:lpwstr>Psychological Medicine</vt:lpwstr>
  </property>
  <property fmtid="{D5CDD505-2E9C-101B-9397-08002B2CF9AE}" pid="22" name="Mendeley Document_1">
    <vt:lpwstr>True</vt:lpwstr>
  </property>
  <property fmtid="{D5CDD505-2E9C-101B-9397-08002B2CF9AE}" pid="23" name="Mendeley Citation Style_1">
    <vt:lpwstr>http://www.zotero.org/styles/psychological-medicine</vt:lpwstr>
  </property>
  <property fmtid="{D5CDD505-2E9C-101B-9397-08002B2CF9AE}" pid="24" name="Mendeley Unique User Id_1">
    <vt:lpwstr>42a0dcb2-be85-3b80-aaea-ee344d698868</vt:lpwstr>
  </property>
</Properties>
</file>