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7633" w14:textId="5BCB83BA" w:rsidR="00C656E5" w:rsidRPr="00C656E5" w:rsidRDefault="00A4728C" w:rsidP="00C656E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656E5">
        <w:rPr>
          <w:rFonts w:ascii="Times New Roman" w:hAnsi="Times New Roman" w:cs="Times New Roman"/>
          <w:b/>
          <w:bCs/>
        </w:rPr>
        <w:t>Supplementary Materials</w:t>
      </w:r>
    </w:p>
    <w:p w14:paraId="0CB2E809" w14:textId="77777777" w:rsidR="00C656E5" w:rsidRPr="00C656E5" w:rsidRDefault="00C656E5" w:rsidP="00C656E5">
      <w:pPr>
        <w:jc w:val="center"/>
        <w:outlineLvl w:val="0"/>
        <w:rPr>
          <w:rFonts w:ascii="Times New Roman" w:hAnsi="Times New Roman" w:cs="Times New Roman"/>
          <w:b/>
        </w:rPr>
      </w:pPr>
      <w:r w:rsidRPr="00C656E5">
        <w:rPr>
          <w:rFonts w:ascii="Times New Roman" w:hAnsi="Times New Roman" w:cs="Times New Roman"/>
          <w:b/>
        </w:rPr>
        <w:t>Method</w:t>
      </w:r>
    </w:p>
    <w:p w14:paraId="467C54D2" w14:textId="77777777" w:rsidR="00C656E5" w:rsidRPr="00C656E5" w:rsidRDefault="00C656E5" w:rsidP="00C656E5">
      <w:pPr>
        <w:outlineLvl w:val="0"/>
        <w:rPr>
          <w:rFonts w:ascii="Times New Roman" w:hAnsi="Times New Roman" w:cs="Times New Roman"/>
          <w:b/>
        </w:rPr>
      </w:pPr>
    </w:p>
    <w:p w14:paraId="32D417E2" w14:textId="64510819" w:rsidR="00C656E5" w:rsidRDefault="00C656E5" w:rsidP="00C656E5">
      <w:pPr>
        <w:spacing w:line="480" w:lineRule="auto"/>
        <w:outlineLvl w:val="0"/>
        <w:rPr>
          <w:rFonts w:ascii="Times New Roman" w:hAnsi="Times New Roman" w:cs="Times New Roman"/>
        </w:rPr>
      </w:pPr>
      <w:r w:rsidRPr="00C656E5">
        <w:rPr>
          <w:rFonts w:ascii="Times New Roman" w:hAnsi="Times New Roman" w:cs="Times New Roman"/>
        </w:rPr>
        <w:tab/>
      </w:r>
      <w:r w:rsidRPr="00C656E5">
        <w:rPr>
          <w:rFonts w:ascii="Times New Roman" w:hAnsi="Times New Roman" w:cs="Times New Roman"/>
          <w:b/>
          <w:bCs/>
        </w:rPr>
        <w:t>Major depressive disorder severity.</w:t>
      </w:r>
      <w:r w:rsidRPr="00C656E5">
        <w:rPr>
          <w:rFonts w:ascii="Times New Roman" w:hAnsi="Times New Roman" w:cs="Times New Roman"/>
        </w:rPr>
        <w:t xml:space="preserve"> Using the DSM-III-R-defined CIDI-SF, respondents endorsed the presence of past 12-month MDD symptoms at T1 (i.e., depressed mood, loss of interest, fatigue, appetite change, difficulty sleeping, trouble concentrating, sense of worthlessness, suicidal thoughts). </w:t>
      </w:r>
      <w:r w:rsidR="00C17732">
        <w:rPr>
          <w:rFonts w:ascii="Times New Roman" w:hAnsi="Times New Roman" w:cs="Times New Roman"/>
        </w:rPr>
        <w:t xml:space="preserve">For each symptom, presence was coded as “1,” and absence as “0.” </w:t>
      </w:r>
      <w:r w:rsidRPr="00C656E5">
        <w:rPr>
          <w:rFonts w:ascii="Times New Roman" w:hAnsi="Times New Roman" w:cs="Times New Roman"/>
        </w:rPr>
        <w:t xml:space="preserve">Accordingly, MDD severity scores ranged from 0 = </w:t>
      </w:r>
      <w:r w:rsidRPr="00C656E5">
        <w:rPr>
          <w:rFonts w:ascii="Times New Roman" w:hAnsi="Times New Roman" w:cs="Times New Roman"/>
          <w:i/>
          <w:iCs/>
        </w:rPr>
        <w:t xml:space="preserve">no symptoms </w:t>
      </w:r>
      <w:r w:rsidRPr="00C656E5">
        <w:rPr>
          <w:rFonts w:ascii="Times New Roman" w:hAnsi="Times New Roman" w:cs="Times New Roman"/>
        </w:rPr>
        <w:t xml:space="preserve">to 7 = </w:t>
      </w:r>
      <w:r w:rsidRPr="00C656E5">
        <w:rPr>
          <w:rFonts w:ascii="Times New Roman" w:hAnsi="Times New Roman" w:cs="Times New Roman"/>
          <w:i/>
          <w:iCs/>
        </w:rPr>
        <w:t>presence of all symptoms</w:t>
      </w:r>
      <w:r w:rsidRPr="00C656E5">
        <w:rPr>
          <w:rFonts w:ascii="Times New Roman" w:hAnsi="Times New Roman" w:cs="Times New Roman"/>
        </w:rPr>
        <w:t>). The CIDI-SF has good internal consistency (.94 in this study), strong sensitivity (</w:t>
      </w:r>
      <w:r w:rsidRPr="00C656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89.6%), specificity (93.9%), and agreement (93.2%) relative </w:t>
      </w:r>
      <w:r w:rsidRPr="00C656E5">
        <w:rPr>
          <w:rFonts w:ascii="Times New Roman" w:hAnsi="Times New Roman" w:cs="Times New Roman"/>
        </w:rPr>
        <w:t xml:space="preserve">to the full CIDI </w:t>
      </w:r>
      <w:r w:rsidRPr="00C656E5">
        <w:rPr>
          <w:rFonts w:ascii="Times New Roman" w:hAnsi="Times New Roman" w:cs="Times New Roman"/>
        </w:rPr>
        <w:fldChar w:fldCharType="begin"/>
      </w:r>
      <w:r w:rsidRPr="00C656E5">
        <w:rPr>
          <w:rFonts w:ascii="Times New Roman" w:hAnsi="Times New Roman" w:cs="Times New Roman"/>
        </w:rPr>
        <w:instrText xml:space="preserve"> ADDIN EN.CITE &lt;EndNote&gt;&lt;Cite&gt;&lt;Author&gt;Kessler&lt;/Author&gt;&lt;Year&gt;1998&lt;/Year&gt;&lt;RecNum&gt;11531&lt;/RecNum&gt;&lt;DisplayText&gt;(Kessler&lt;style face="italic"&gt; et al.&lt;/style&gt;, 1998)&lt;/DisplayText&gt;&lt;record&gt;&lt;rec-number&gt;11531&lt;/rec-number&gt;&lt;foreign-keys&gt;&lt;key app="EN" db-id="dpp9fvd2hfdddmexsaav0xe05tfxsrxr925p" timestamp="1570447893" guid="07348e0d-66e4-4d94-90c7-30279655f00b"&gt;11531&lt;/key&gt;&lt;/foreign-keys&gt;&lt;ref-type name="Journal Article"&gt;17&lt;/ref-type&gt;&lt;contributors&gt;&lt;authors&gt;&lt;author&gt;Kessler, Ronald C.&lt;/author&gt;&lt;author&gt;Andrews, Gavin&lt;/author&gt;&lt;author&gt;Mroczek, Daniel&lt;/author&gt;&lt;author&gt;Ustun, Bedirhan&lt;/author&gt;&lt;author&gt;Wittchen, Hans-Ulrich&lt;/author&gt;&lt;/authors&gt;&lt;/contributors&gt;&lt;titles&gt;&lt;title&gt;The World Health Organization Composite International Diagnostic Interview short-form (CIDI-SF)&lt;/title&gt;&lt;secondary-title&gt;International Journal of Methods in Psychiatric Research&lt;/secondary-title&gt;&lt;/titles&gt;&lt;periodical&gt;&lt;full-title&gt;International Journal of Methods in Psychiatric Research&lt;/full-title&gt;&lt;/periodical&gt;&lt;pages&gt;171-185&lt;/pages&gt;&lt;volume&gt;7&lt;/volume&gt;&lt;number&gt;4&lt;/number&gt;&lt;keywords&gt;&lt;keyword&gt;Composite International Diagnostic Interior (CIDI)&lt;/keyword&gt;&lt;keyword&gt;psychiatric diagnosis&lt;/keyword&gt;&lt;keyword&gt;diagnostic interviews&lt;/keyword&gt;&lt;keyword&gt;psychometrics&lt;/keyword&gt;&lt;keyword&gt;screening scales&lt;/keyword&gt;&lt;/keywords&gt;&lt;dates&gt;&lt;year&gt;1998&lt;/year&gt;&lt;/dates&gt;&lt;publisher&gt;John Wiley &amp;amp; Sons, Ltd.&lt;/publisher&gt;&lt;isbn&gt;1557-0657&lt;/isbn&gt;&lt;urls&gt;&lt;related-urls&gt;&lt;url&gt;http://dx.doi.org/10.1002/mpr.47&lt;/url&gt;&lt;/related-urls&gt;&lt;/urls&gt;&lt;electronic-resource-num&gt;10.1002/mpr.47&lt;/electronic-resource-num&gt;&lt;/record&gt;&lt;/Cite&gt;&lt;/EndNote&gt;</w:instrText>
      </w:r>
      <w:r w:rsidRPr="00C656E5">
        <w:rPr>
          <w:rFonts w:ascii="Times New Roman" w:hAnsi="Times New Roman" w:cs="Times New Roman"/>
        </w:rPr>
        <w:fldChar w:fldCharType="separate"/>
      </w:r>
      <w:r w:rsidRPr="00C656E5">
        <w:rPr>
          <w:rFonts w:ascii="Times New Roman" w:hAnsi="Times New Roman" w:cs="Times New Roman"/>
          <w:noProof/>
        </w:rPr>
        <w:t>(Kessler</w:t>
      </w:r>
      <w:r w:rsidRPr="00C656E5">
        <w:rPr>
          <w:rFonts w:ascii="Times New Roman" w:hAnsi="Times New Roman" w:cs="Times New Roman"/>
          <w:i/>
          <w:noProof/>
        </w:rPr>
        <w:t xml:space="preserve"> et al.</w:t>
      </w:r>
      <w:r w:rsidRPr="00C656E5">
        <w:rPr>
          <w:rFonts w:ascii="Times New Roman" w:hAnsi="Times New Roman" w:cs="Times New Roman"/>
          <w:noProof/>
        </w:rPr>
        <w:t>, 1998)</w:t>
      </w:r>
      <w:r w:rsidRPr="00C656E5">
        <w:rPr>
          <w:rFonts w:ascii="Times New Roman" w:hAnsi="Times New Roman" w:cs="Times New Roman"/>
        </w:rPr>
        <w:fldChar w:fldCharType="end"/>
      </w:r>
      <w:r w:rsidRPr="00C656E5">
        <w:rPr>
          <w:rFonts w:ascii="Times New Roman" w:hAnsi="Times New Roman" w:cs="Times New Roman"/>
        </w:rPr>
        <w:t>.</w:t>
      </w:r>
    </w:p>
    <w:p w14:paraId="041BBFE6" w14:textId="77777777" w:rsidR="007C209A" w:rsidRDefault="007C209A" w:rsidP="00C656E5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2EADEA82" w14:textId="5D904E61" w:rsidR="007C209A" w:rsidRPr="00C656E5" w:rsidRDefault="007C209A" w:rsidP="00C656E5">
      <w:pPr>
        <w:spacing w:line="480" w:lineRule="auto"/>
        <w:outlineLvl w:val="0"/>
        <w:rPr>
          <w:rFonts w:ascii="Times New Roman" w:hAnsi="Times New Roman" w:cs="Times New Roman"/>
        </w:rPr>
        <w:sectPr w:rsidR="007C209A" w:rsidRPr="00C656E5" w:rsidSect="00C65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14ED45" w14:textId="60B584A0" w:rsidR="00A4728C" w:rsidRPr="00C656E5" w:rsidRDefault="00A4728C" w:rsidP="00A4728C">
      <w:pPr>
        <w:spacing w:line="480" w:lineRule="auto"/>
        <w:rPr>
          <w:rFonts w:ascii="Times New Roman" w:hAnsi="Times New Roman" w:cs="Times New Roman"/>
          <w:i/>
          <w:iCs/>
        </w:rPr>
      </w:pPr>
      <w:r w:rsidRPr="00C656E5">
        <w:rPr>
          <w:rFonts w:ascii="Times New Roman" w:hAnsi="Times New Roman" w:cs="Times New Roman"/>
        </w:rPr>
        <w:lastRenderedPageBreak/>
        <w:t xml:space="preserve">Table S1. </w:t>
      </w:r>
      <w:r w:rsidRPr="00C656E5">
        <w:rPr>
          <w:rFonts w:ascii="Times New Roman" w:hAnsi="Times New Roman" w:cs="Times New Roman"/>
          <w:i/>
          <w:iCs/>
        </w:rPr>
        <w:t>Between-person correlation matrix of study variables</w:t>
      </w:r>
    </w:p>
    <w:tbl>
      <w:tblPr>
        <w:tblW w:w="1381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85"/>
        <w:gridCol w:w="843"/>
      </w:tblGrid>
      <w:tr w:rsidR="00A4728C" w:rsidRPr="00C656E5" w14:paraId="182F7D8E" w14:textId="77777777" w:rsidTr="002229DD">
        <w:trPr>
          <w:trHeight w:val="280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DF4FD4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0630BC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888964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0BAD25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FE7340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98668C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A2CBEB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75E604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05F3A8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614374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65A7A9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DDD529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476CC5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24AA78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AC7C75" w14:textId="77777777" w:rsidR="00A4728C" w:rsidRPr="00C656E5" w:rsidRDefault="00A4728C" w:rsidP="002229D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6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2694B" w:rsidRPr="00C656E5" w14:paraId="08228029" w14:textId="77777777" w:rsidTr="00B3545C">
        <w:trPr>
          <w:trHeight w:val="28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F07D89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T1 GAD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0CDF83" w14:textId="28A217E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E79069" w14:textId="6A93ECC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9BF497" w14:textId="259F47D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34D00" w14:textId="298670B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ADD47D" w14:textId="779851C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BD90EF" w14:textId="3D54C1B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6DEC48" w14:textId="2262A4B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0E3642" w14:textId="146C862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447358" w14:textId="6F93CEA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9C9FD" w14:textId="19265B9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96D2A4" w14:textId="79F0778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1BAE5A" w14:textId="5D1140D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FC8530" w14:textId="146AB79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3A8E821E" w14:textId="3861A10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1AF69CD9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2E9B4E68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GAD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71BB763" w14:textId="0DE57E5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.32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570F02" w14:textId="2FCFC97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FE7827D" w14:textId="4E54641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85C92E" w14:textId="39535E4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A83C666" w14:textId="6B04FC6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C5F04FC" w14:textId="27906F2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44EE76E" w14:textId="6A284FF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111D0F" w14:textId="522B820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94A7D5" w14:textId="4B9C9C7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F778FB" w14:textId="69465E4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E936E3" w14:textId="5EC2912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FEB661F" w14:textId="1B09B71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4B9B44B" w14:textId="24A2F7D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63464CA1" w14:textId="47EE864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233BEF06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01EBFAF1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GAD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5069550" w14:textId="005AD84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.28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9B0CE1" w14:textId="6C91563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.34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F4A1D61" w14:textId="434F99A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9560602" w14:textId="045402B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312044" w14:textId="70C6591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AFAA9E" w14:textId="39FB17A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D31480B" w14:textId="68EF28B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A57CE7" w14:textId="0473C8E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5B57886" w14:textId="7D78201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DD4E8D" w14:textId="1140C95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1B2E98" w14:textId="21BAAB0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3D75FFA" w14:textId="076751D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889BCBA" w14:textId="49B6DDC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571A33A4" w14:textId="1690BD3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663F6FB3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4D4D87DB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INH (A)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3261ABC2" w14:textId="70D2D95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070B17" w14:textId="398D499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141547C" w14:textId="2690A07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52FECC" w14:textId="5F09463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05CBB9" w14:textId="0ED3865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A655C88" w14:textId="3EE2689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9BD601" w14:textId="6029CE7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E6D9CEE" w14:textId="4B1E302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2A5BFC" w14:textId="1599DF7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A17A066" w14:textId="2337252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7713855" w14:textId="62B3B51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8ACF1A" w14:textId="7E7ED4B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137D117" w14:textId="65DA306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055D457D" w14:textId="25F93E5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3D0D65A9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2AAD1513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INH (L)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D0E34B8" w14:textId="63E91CB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509673D" w14:textId="76123D0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CA5452" w14:textId="1EA6752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1119A5E" w14:textId="70E8502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-.22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B5BD40D" w14:textId="2785456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CE2D0A3" w14:textId="63D6238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46AD5DB" w14:textId="5FA0271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19B07D5" w14:textId="1D04E3B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881E9E" w14:textId="6227697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80B5BA2" w14:textId="6950F72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C718BA" w14:textId="239D6C5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F0C629D" w14:textId="7B3B0E3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692FE452" w14:textId="1F4D802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6D56FBF9" w14:textId="291ED7E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4F5E1107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4601D4F1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SET (A)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F530581" w14:textId="22E97F0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F070B8B" w14:textId="6BC4D4A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C5299A2" w14:textId="734C463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7DC8FED" w14:textId="3BE123D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.13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38A5A27" w14:textId="09C8347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-.08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B168F4" w14:textId="796089A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A1429DE" w14:textId="1013A63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296D93A" w14:textId="35C98C2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0186D06" w14:textId="566D2FA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41B48AF" w14:textId="67056E8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5C042AF" w14:textId="784415C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BCAF6A3" w14:textId="561ED7A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4649480" w14:textId="4381657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21A19857" w14:textId="1E0867C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761C13AB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66C0280F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SET (L)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4CDC494" w14:textId="72BAC12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FB48A5" w14:textId="791EA1E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71EA48E" w14:textId="5512800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D9BA16B" w14:textId="47296E3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68C6ACD" w14:textId="6090832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.45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EA07A7" w14:textId="774AE7F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-.22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4344897" w14:textId="48B84AF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D1A82A" w14:textId="3F9407B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2D2EE5" w14:textId="5338A80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6CE6A6" w14:textId="1C285B0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D957E1" w14:textId="7DA7745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0D2A07" w14:textId="780547F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3123FD5" w14:textId="316E858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1E27C0CC" w14:textId="5CDD50B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2E7324C3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2E2B84DA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T2 CEF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694713E" w14:textId="1B96B6C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7C92D65" w14:textId="248C51F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BDF3550" w14:textId="41C7809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0D0BB0" w14:textId="7A0757A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863FAB" w14:textId="42F43B1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1457011" w14:textId="3105159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-.21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E91A0F" w14:textId="3DCD617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.81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C99A224" w14:textId="499FCB4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CEE201C" w14:textId="1096EC1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652B4A2" w14:textId="7C06166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E8520A" w14:textId="0BA9614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A02366" w14:textId="516ADCE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4E7ACAC2" w14:textId="0221454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57C151FC" w14:textId="2CF9B1A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656E5" w14:paraId="7AF08B37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12561C1E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INH (A)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0C81651F" w14:textId="29ED935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110EE8" w14:textId="423C761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875C069" w14:textId="1D9BE83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86345BA" w14:textId="06B99A4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.17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76B249" w14:textId="2E8C986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A25975" w14:textId="63DBA4C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4ECD85" w14:textId="0B1FD8A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02F566F" w14:textId="59909AC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313C879" w14:textId="2926E05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FEB63A" w14:textId="7B1F168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A1BB0B" w14:textId="54772DA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916505" w14:textId="2A45D7D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2DDD4A5B" w14:textId="6FCD190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1D7A6139" w14:textId="08EC643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A78AD" w14:paraId="594FDD00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7919B011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INH (L)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69847C60" w14:textId="01F72AE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A466FD" w14:textId="4F35139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00FB1E8" w14:textId="55DF9A5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528DB62" w14:textId="40A5DD8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753117" w14:textId="1359CA2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.42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9E92E2E" w14:textId="3EF5E7A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19D40B3" w14:textId="55463E9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8C7F064" w14:textId="1B8EE64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5DEC3E" w14:textId="32BC659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3CDE0A" w14:textId="5D599F2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1F0577" w14:textId="2D15F84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E218C48" w14:textId="1CA97C6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480F8F21" w14:textId="5658831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17F2D130" w14:textId="72AF9E4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A78AD" w14:paraId="1466F44E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67DE3C8A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SET (A)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3C5576B" w14:textId="3D22D65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B7832E" w14:textId="43DEA38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F30575A" w14:textId="7E3102E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C93D0CB" w14:textId="362FDAD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.13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BDBEF4" w14:textId="76ACB9C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539439" w14:textId="7AC42D0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.11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6A12AA" w14:textId="213B7E3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-.26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5AFA4B" w14:textId="5425737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-.18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540F6B9" w14:textId="009239D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.56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845EB34" w14:textId="2D9413B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-.08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5CF51E" w14:textId="6722DE1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23467D3" w14:textId="0AADAA4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4F7FE118" w14:textId="0C35E56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77EB2E95" w14:textId="3EE2572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A78AD" w14:paraId="691231D5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4CB716A6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SET (L)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26ECAEA1" w14:textId="4D6EDC0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0F42589" w14:textId="080BB2F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50EAD0" w14:textId="1207049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4CF292" w14:textId="64EAFAF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02B00A" w14:textId="71F2BB3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1286A24" w14:textId="53007D6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67CC051" w14:textId="33E7224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.36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AEACA14" w14:textId="75AD3EC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3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C573542" w14:textId="563867E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8A31692" w14:textId="24C4782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.69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3A5A099" w14:textId="62981269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-.22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40F0B4F" w14:textId="3F3EEA3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3031CDF6" w14:textId="3EC70437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01B71E4D" w14:textId="43696EA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A78AD" w14:paraId="1F0402EA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  <w:hideMark/>
          </w:tcPr>
          <w:p w14:paraId="7A0EAB9E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T3 CEF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FDACB2E" w14:textId="66FD9D9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7B16413" w14:textId="3D1F192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5907DD" w14:textId="324857B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18F96C2" w14:textId="67F779D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-.07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C975269" w14:textId="08065DD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.04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41805A" w14:textId="54D8794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FE5EBF6" w14:textId="12DF540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9A3274" w14:textId="124F0163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.25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08E702B" w14:textId="4CF6A7E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-.12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3720E45" w14:textId="2537A3E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6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9A2F14" w14:textId="7F072E24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-.33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B0CED14" w14:textId="7E5BD1B6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.6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9EFF7CC" w14:textId="5747659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43" w:type="dxa"/>
            <w:vAlign w:val="center"/>
          </w:tcPr>
          <w:p w14:paraId="06023DA8" w14:textId="73F97C0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94B" w:rsidRPr="00CA78AD" w14:paraId="2E2F8867" w14:textId="77777777" w:rsidTr="00B3545C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77F09D47" w14:textId="77777777" w:rsidR="0042694B" w:rsidRPr="00126617" w:rsidRDefault="0042694B" w:rsidP="004269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iCs/>
                <w:color w:val="000000"/>
              </w:rPr>
              <w:t>T1 MDD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64CE9790" w14:textId="3F9DDF5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.17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499695E" w14:textId="268E5351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.11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C6C373A" w14:textId="28B5315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.09</w:t>
            </w:r>
            <w:r w:rsidRPr="001266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E8FA47C" w14:textId="6EAE2A4F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  <w:r w:rsidRPr="0012661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7A5D8A1" w14:textId="64FD11C0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0745913" w14:textId="2B9D65A8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-.01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8A1DC5" w14:textId="1DED508C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A4EFBF" w14:textId="43B5C102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58E62C7" w14:textId="33610D0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7057D0" w14:textId="212EF005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E5B981" w14:textId="45A6A1AE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0A55C5" w14:textId="45709D8A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</w:t>
            </w:r>
            <w:r w:rsidR="00E701AD" w:rsidRPr="001266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19891A1F" w14:textId="4B4B4D7B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843" w:type="dxa"/>
            <w:vAlign w:val="center"/>
          </w:tcPr>
          <w:p w14:paraId="3BBBC98A" w14:textId="2CE9516D" w:rsidR="0042694B" w:rsidRPr="00126617" w:rsidRDefault="0042694B" w:rsidP="004269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6935F4" w:rsidRPr="00CA78AD" w14:paraId="6DF28B76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7090A604" w14:textId="77777777" w:rsidR="006935F4" w:rsidRPr="00126617" w:rsidRDefault="006935F4" w:rsidP="006935F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83DD60B" w14:textId="46255A2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496817" w14:textId="33633108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2B438C" w14:textId="280BE6B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CB422D" w14:textId="390D033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B69CE8" w14:textId="0E58D081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CAE1A9E" w14:textId="3B57DD5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5.73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E3FEAEC" w14:textId="48F7CBD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246388" w14:textId="0798E9DB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00B45BB" w14:textId="6FD95C63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18.77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B7ECB03" w14:textId="00282FC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3EEEC8" w14:textId="52F764C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5.46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B5B4D72" w14:textId="0DA8659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48B6B946" w14:textId="413D34C7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843" w:type="dxa"/>
            <w:vAlign w:val="center"/>
          </w:tcPr>
          <w:p w14:paraId="24EE8860" w14:textId="00A69B6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6935F4" w:rsidRPr="00CA78AD" w14:paraId="1B06FCEF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0CDD1DBD" w14:textId="77777777" w:rsidR="006935F4" w:rsidRPr="00126617" w:rsidRDefault="006935F4" w:rsidP="006935F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i/>
                <w:color w:val="000000"/>
              </w:rPr>
              <w:t>SD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9CA967B" w14:textId="3C7DC7F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BFBB6B7" w14:textId="23462AC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9D4FA3" w14:textId="4D85841B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051327" w14:textId="5CB25C71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BCB16E" w14:textId="7F5E2A2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EFC950" w14:textId="4074F94A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40AE1BF" w14:textId="40A58AA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0833480" w14:textId="2C846B2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8203B7" w14:textId="6DE8BFD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D56EEE" w14:textId="3F80534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90D6613" w14:textId="1688CD5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119090" w14:textId="61BC4B8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56E3BDDA" w14:textId="460ABAC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843" w:type="dxa"/>
            <w:vAlign w:val="center"/>
          </w:tcPr>
          <w:p w14:paraId="79F7305B" w14:textId="6CCD1FD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</w:tr>
      <w:tr w:rsidR="006935F4" w:rsidRPr="00CA78AD" w14:paraId="66748997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7622299F" w14:textId="77777777" w:rsidR="006935F4" w:rsidRPr="00126617" w:rsidRDefault="006935F4" w:rsidP="006935F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Skewness 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7A3BFEF" w14:textId="380F8C92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070161" w14:textId="0E2D479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7CC99A4" w14:textId="6418F381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F2EF348" w14:textId="0F7EAB7A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-5.73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37FC4D" w14:textId="51E91B3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9D70C96" w14:textId="1E54F912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-2.98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A0A9EA7" w14:textId="0F2A598A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751D12" w14:textId="7D2695C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E9226B" w14:textId="3686843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-5.00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9DA2569" w14:textId="20EC034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0D9EC03" w14:textId="1694C4C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-3.24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3FF1C7" w14:textId="3DF2530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372B2C18" w14:textId="01F11A6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10.11</w:t>
            </w:r>
          </w:p>
        </w:tc>
        <w:tc>
          <w:tcPr>
            <w:tcW w:w="843" w:type="dxa"/>
            <w:vAlign w:val="center"/>
          </w:tcPr>
          <w:p w14:paraId="0E477588" w14:textId="6441E70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</w:tr>
      <w:tr w:rsidR="006935F4" w:rsidRPr="00CA78AD" w14:paraId="6CF7BD22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1FCF65FC" w14:textId="77777777" w:rsidR="006935F4" w:rsidRPr="00126617" w:rsidRDefault="006935F4" w:rsidP="006935F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6617">
              <w:rPr>
                <w:rFonts w:ascii="Times New Roman" w:eastAsia="Times New Roman" w:hAnsi="Times New Roman" w:cs="Times New Roman"/>
                <w:i/>
                <w:color w:val="000000"/>
              </w:rPr>
              <w:t>Kurtosis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2883F3F" w14:textId="5CA3437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-1.03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FEF57C2" w14:textId="75ADBFA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C06A1B1" w14:textId="365C3C1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575D2A7" w14:textId="3ADE189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69.88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41F11DC" w14:textId="3FAD69C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FCD973" w14:textId="04D61788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2ED0EB" w14:textId="608C21C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28.61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118D6E" w14:textId="62E7CA5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31.86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6B886E" w14:textId="58A7C7A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29.43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C5DCB23" w14:textId="3A78BB2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8.53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546DC1F" w14:textId="370F145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11.15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778C5E" w14:textId="0BC7EEB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12.13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750DCB3" w14:textId="3140BFA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227.00</w:t>
            </w:r>
          </w:p>
        </w:tc>
        <w:tc>
          <w:tcPr>
            <w:tcW w:w="843" w:type="dxa"/>
            <w:vAlign w:val="center"/>
          </w:tcPr>
          <w:p w14:paraId="442F7DBE" w14:textId="078D108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5.63</w:t>
            </w:r>
          </w:p>
        </w:tc>
      </w:tr>
      <w:tr w:rsidR="006935F4" w:rsidRPr="00CA78AD" w14:paraId="33F65D5E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771FBCC1" w14:textId="77777777" w:rsidR="006935F4" w:rsidRPr="00F826D5" w:rsidRDefault="006935F4" w:rsidP="006935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26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Minimum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7993E9D" w14:textId="68C3F2D0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03C24F" w14:textId="009F62F3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423028" w14:textId="0DC46DAB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3E5841" w14:textId="4F5F37E4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4CC9AC5" w14:textId="1D4F87D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85A3349" w14:textId="3C5B2638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6E4870" w14:textId="1E795CF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CDDF77B" w14:textId="022577BF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-0.72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A6C2132" w14:textId="3E9092B7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1424A24" w14:textId="3D11E3F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7230BC9" w14:textId="608C08F6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6880D83" w14:textId="06F4713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5C7B3F38" w14:textId="6B389FD1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843" w:type="dxa"/>
            <w:vAlign w:val="center"/>
          </w:tcPr>
          <w:p w14:paraId="7F351F15" w14:textId="2AA2B69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6935F4" w:rsidRPr="00CA78AD" w14:paraId="1B13F7C8" w14:textId="77777777" w:rsidTr="00D57D01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0D68B8FE" w14:textId="77777777" w:rsidR="006935F4" w:rsidRPr="00F826D5" w:rsidRDefault="006935F4" w:rsidP="006935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26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Maximum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058D9396" w14:textId="13C07B07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639485" w14:textId="5CA6D70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45808B" w14:textId="6436E3C9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B612041" w14:textId="6CC796E7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1F033B" w14:textId="350613E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8CBA8F4" w14:textId="4513FD73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81D6D29" w14:textId="2FA1CE71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F1938A" w14:textId="6928782B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B5E035" w14:textId="4AE851C7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67519A" w14:textId="1021581E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7B286FF" w14:textId="6CEF81ED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F19677" w14:textId="45637DB5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5.72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6D26250D" w14:textId="18671A02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5.86</w:t>
            </w:r>
          </w:p>
        </w:tc>
        <w:tc>
          <w:tcPr>
            <w:tcW w:w="843" w:type="dxa"/>
            <w:vAlign w:val="center"/>
          </w:tcPr>
          <w:p w14:paraId="6B684B0C" w14:textId="095AAD6C" w:rsidR="006935F4" w:rsidRPr="006935F4" w:rsidRDefault="006935F4" w:rsidP="006935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5F4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</w:tr>
      <w:tr w:rsidR="00A4728C" w:rsidRPr="00CA78AD" w14:paraId="7CE3665A" w14:textId="77777777" w:rsidTr="002229DD">
        <w:trPr>
          <w:trHeight w:val="280"/>
          <w:jc w:val="center"/>
        </w:trPr>
        <w:tc>
          <w:tcPr>
            <w:tcW w:w="1800" w:type="dxa"/>
            <w:shd w:val="clear" w:color="auto" w:fill="auto"/>
            <w:noWrap/>
          </w:tcPr>
          <w:p w14:paraId="68158733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14:paraId="1CF09DAD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55DDA9C6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33C6E60D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0744162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36FD4370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2D10FCD3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FBFFC05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03345610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09D65C3D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F9D3B05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4DEE1BC1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42AB89DD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14:paraId="49D4B974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3" w:type="dxa"/>
          </w:tcPr>
          <w:p w14:paraId="00DB6CA3" w14:textId="77777777" w:rsidR="00A4728C" w:rsidRPr="00CA78AD" w:rsidRDefault="00A4728C" w:rsidP="002229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ADA934B" w14:textId="77777777" w:rsidR="00A4728C" w:rsidRDefault="00A4728C" w:rsidP="00A47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T1 = time 1; T2 = time 2; GAD = generalized anxiety disorder; INH = inhibition; SET = set-shifting; A = accuracy; L = latency; CEF = common executive function.; MDD = major depressive disorder symptom severity. </w:t>
      </w:r>
    </w:p>
    <w:p w14:paraId="090DC1B4" w14:textId="6E51685A" w:rsidR="00A4728C" w:rsidRPr="00A4728C" w:rsidRDefault="00A4728C" w:rsidP="00A47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*</w:t>
      </w:r>
      <w:r w:rsidRPr="00EB1AC4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**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&lt; .001; </w:t>
      </w:r>
      <w:r w:rsidRPr="00EB1AC4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&lt; .01.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&lt; .05.</w:t>
      </w:r>
    </w:p>
    <w:sectPr w:rsidR="00A4728C" w:rsidRPr="00A4728C" w:rsidSect="00A47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C1FC8"/>
    <w:multiLevelType w:val="hybridMultilevel"/>
    <w:tmpl w:val="C6066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6"/>
    <w:rsid w:val="00071D9D"/>
    <w:rsid w:val="00075F1F"/>
    <w:rsid w:val="00087416"/>
    <w:rsid w:val="000A47E6"/>
    <w:rsid w:val="00126617"/>
    <w:rsid w:val="0019494E"/>
    <w:rsid w:val="0022573D"/>
    <w:rsid w:val="0025055B"/>
    <w:rsid w:val="002873C1"/>
    <w:rsid w:val="002E691D"/>
    <w:rsid w:val="003204F9"/>
    <w:rsid w:val="003313B0"/>
    <w:rsid w:val="00345CDA"/>
    <w:rsid w:val="00351AF4"/>
    <w:rsid w:val="003C02B8"/>
    <w:rsid w:val="003C3C00"/>
    <w:rsid w:val="003F400A"/>
    <w:rsid w:val="0042694B"/>
    <w:rsid w:val="004320C1"/>
    <w:rsid w:val="00434E9E"/>
    <w:rsid w:val="005201CE"/>
    <w:rsid w:val="005B031B"/>
    <w:rsid w:val="005C5CD6"/>
    <w:rsid w:val="00615B5E"/>
    <w:rsid w:val="00630B07"/>
    <w:rsid w:val="006935F4"/>
    <w:rsid w:val="006A3D3F"/>
    <w:rsid w:val="006C1FB9"/>
    <w:rsid w:val="0070068E"/>
    <w:rsid w:val="00716A37"/>
    <w:rsid w:val="007C209A"/>
    <w:rsid w:val="007C4451"/>
    <w:rsid w:val="007F2274"/>
    <w:rsid w:val="00822DD5"/>
    <w:rsid w:val="00893B3F"/>
    <w:rsid w:val="00974222"/>
    <w:rsid w:val="00985BB6"/>
    <w:rsid w:val="009F2387"/>
    <w:rsid w:val="009F679F"/>
    <w:rsid w:val="00A04B78"/>
    <w:rsid w:val="00A32DB3"/>
    <w:rsid w:val="00A4728C"/>
    <w:rsid w:val="00B334F0"/>
    <w:rsid w:val="00B73B49"/>
    <w:rsid w:val="00C17732"/>
    <w:rsid w:val="00C204B4"/>
    <w:rsid w:val="00C656E5"/>
    <w:rsid w:val="00C702E6"/>
    <w:rsid w:val="00C91E00"/>
    <w:rsid w:val="00CF55FA"/>
    <w:rsid w:val="00E24239"/>
    <w:rsid w:val="00E701AD"/>
    <w:rsid w:val="00E72B6E"/>
    <w:rsid w:val="00E73D95"/>
    <w:rsid w:val="00E751FF"/>
    <w:rsid w:val="00E75244"/>
    <w:rsid w:val="00E848F0"/>
    <w:rsid w:val="00EC2408"/>
    <w:rsid w:val="00ED18A0"/>
    <w:rsid w:val="00F90018"/>
    <w:rsid w:val="00F95611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9D96"/>
  <w15:chartTrackingRefBased/>
  <w15:docId w15:val="{026C3E34-7029-C84B-8F89-566101B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Zainal</dc:creator>
  <cp:keywords/>
  <dc:description/>
  <cp:lastModifiedBy>Hani Zainal</cp:lastModifiedBy>
  <cp:revision>12</cp:revision>
  <dcterms:created xsi:type="dcterms:W3CDTF">2019-11-05T17:20:00Z</dcterms:created>
  <dcterms:modified xsi:type="dcterms:W3CDTF">2019-12-21T16:56:00Z</dcterms:modified>
</cp:coreProperties>
</file>