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2142A" w14:textId="3FF69108" w:rsidR="0020589F" w:rsidRPr="0020589F" w:rsidRDefault="0020589F" w:rsidP="0020589F">
      <w:pPr>
        <w:spacing w:line="480" w:lineRule="auto"/>
        <w:jc w:val="center"/>
        <w:rPr>
          <w:b/>
        </w:rPr>
      </w:pPr>
      <w:r>
        <w:rPr>
          <w:b/>
        </w:rPr>
        <w:t>Supplementary Material for</w:t>
      </w:r>
      <w:r w:rsidRPr="0020589F">
        <w:rPr>
          <w:b/>
        </w:rPr>
        <w:t xml:space="preserve"> Profiles of Psychosocial and Clinical Functioning in Adolescence and Risk for Later Depression</w:t>
      </w:r>
      <w:r>
        <w:rPr>
          <w:b/>
        </w:rPr>
        <w:t>; Olino, Klein, &amp; Seeley</w:t>
      </w:r>
    </w:p>
    <w:p w14:paraId="2C412F03" w14:textId="2BA57BF9" w:rsidR="00F95B78" w:rsidRDefault="00F95B78" w:rsidP="0020589F">
      <w:pPr>
        <w:spacing w:line="480" w:lineRule="auto"/>
        <w:rPr>
          <w:i/>
        </w:rPr>
      </w:pPr>
      <w:r>
        <w:tab/>
        <w:t>We relied on a broad set of indicators of functioning to permit broad classes to be identified. As the initial focus of the study was on depression, we had many constructs reflecting vulnerability to depression. Indicators that were associated with externalizing vulnerability were also included as we tested associations with externalizing outcomes, as well.</w:t>
      </w:r>
    </w:p>
    <w:p w14:paraId="76ECD7D4" w14:textId="22798DC9" w:rsidR="0020589F" w:rsidRPr="0020589F" w:rsidRDefault="0020589F" w:rsidP="0020589F">
      <w:pPr>
        <w:spacing w:line="480" w:lineRule="auto"/>
      </w:pPr>
      <w:r>
        <w:rPr>
          <w:i/>
        </w:rPr>
        <w:t>Extended description of latent class indicators.</w:t>
      </w:r>
    </w:p>
    <w:p w14:paraId="24094D98" w14:textId="7126C1FC" w:rsidR="00CB7278" w:rsidRDefault="00CB7278" w:rsidP="001266DC">
      <w:pPr>
        <w:spacing w:line="480" w:lineRule="auto"/>
        <w:ind w:firstLine="720"/>
      </w:pPr>
      <w:r>
        <w:t>An extensive battery of psychosocial measures was administered to all participants at T</w:t>
      </w:r>
      <w:r>
        <w:rPr>
          <w:vertAlign w:val="subscript"/>
        </w:rPr>
        <w:t>1</w:t>
      </w:r>
      <w:r>
        <w:t xml:space="preserve"> </w:t>
      </w:r>
      <w:r>
        <w:fldChar w:fldCharType="begin">
          <w:fldData xml:space="preserve">PEVuZE5vdGU+PENpdGU+PEF1dGhvcj5MZXdpbnNvaG48L0F1dGhvcj48WWVhcj4xOTk0PC9ZZWFy
PjxSZWNOdW0+NjYxPC9SZWNOdW0+PERpc3BsYXlUZXh0PihMZXdpbnNvaG4gZXQgYWwuLCAxOTk0
YSwgTGV3aW5zb2huIGV0IGFsLiwgMjAwMyk8L0Rpc3BsYXlUZXh0PjxyZWNvcmQ+PHJlYy1udW1i
ZXI+NjYxPC9yZWMtbnVtYmVyPjxmb3JlaWduLWtleXM+PGtleSBhcHA9IkVOIiBkYi1pZD0ic3Qw
ZndkNXpkNTl3cGxlOWVlYXBlcng4c2VwMHZhYXg1NXQwIiB0aW1lc3RhbXA9IjAiPjY2MTwva2V5
PjwvZm9yZWlnbi1rZXlzPjxyZWYtdHlwZSBuYW1lPSJKb3VybmFsIEFydGljbGUiPjE3PC9yZWYt
dHlwZT48Y29udHJpYnV0b3JzPjxhdXRob3JzPjxhdXRob3I+TGV3aW5zb2huLCBQZXRlciBNLjwv
YXV0aG9yPjxhdXRob3I+Q2xhcmtlLCBHcmVnb3J5IE4uPC9hdXRob3I+PGF1dGhvcj5TZWVsZXks
IEpvaG4gUi48L2F1dGhvcj48YXV0aG9yPlJvaGRlLCBQYXVsPC9hdXRob3I+PC9hdXRob3JzPjwv
Y29udHJpYnV0b3JzPjx0aXRsZXM+PHRpdGxlPk1ham9yIGRlcHJlc3Npb24gaW4gY29tbXVuaXR5
IGFkb2xlc2NlbnRzOiBBZ2UgYXQgb25zZXQsIGVwaXNvZGUgZHVyYXRpb24sIGFuZCB0aW1lIHRv
IHJlY3VycmVuY2U8L3RpdGxlPjxzZWNvbmRhcnktdGl0bGU+Sm91cm5hbCBvZiB0aGUgQW1lcmlj
YW4gQWNhZGVteSBvZiBDaGlsZCAmYW1wOyBBZG9sZXNjZW50IFBzeWNoaWF0cnk8L3NlY29uZGFy
eS10aXRsZT48L3RpdGxlcz48cGVyaW9kaWNhbD48ZnVsbC10aXRsZT5Kb3VybmFsIG9mIHRoZSBB
bWVyaWNhbiBBY2FkZW15IG9mIENoaWxkICZhbXA7IEFkb2xlc2NlbnQgUHN5Y2hpYXRyeTwvZnVs
bC10aXRsZT48L3BlcmlvZGljYWw+PHBhZ2VzPjgwOS04MTg8L3BhZ2VzPjx2b2x1bWU+MzM8L3Zv
bHVtZT48bnVtYmVyPjY8L251bWJlcj48ZGF0ZXM+PHllYXI+MTk5NDwveWVhcj48cHViLWRhdGVz
PjxkYXRlPkp1bC1BdWc8L2RhdGU+PC9wdWItZGF0ZXM+PC9kYXRlcz48YWNjZXNzaW9uLW51bT5Q
ZWVyIFJldmlld2VkIEpvdXJuYWw6IDE5OTUtMDE5MjktMDAxPC9hY2Nlc3Npb24tbnVtPjx1cmxz
PjwvdXJscz48L3JlY29yZD48L0NpdGU+PENpdGU+PEF1dGhvcj5MZXdpbnNvaG48L0F1dGhvcj48
WWVhcj4yMDAzPC9ZZWFyPjxSZWNOdW0+MTg5PC9SZWNOdW0+PHJlY29yZD48cmVjLW51bWJlcj4x
ODk8L3JlYy1udW1iZXI+PGZvcmVpZ24ta2V5cz48a2V5IGFwcD0iRU4iIGRiLWlkPSJzdDBmd2Q1
emQ1OXdwbGU5ZWVhcGVyeDhzZXAwdmFheDU1dDAiIHRpbWVzdGFtcD0iMCI+MTg5PC9rZXk+PC9m
b3JlaWduLWtleXM+PHJlZi10eXBlIG5hbWU9IkpvdXJuYWwgQXJ0aWNsZSI+MTc8L3JlZi10eXBl
Pjxjb250cmlidXRvcnM+PGF1dGhvcnM+PGF1dGhvcj5MZXdpbnNvaG4sIFBldGVyIE0uPC9hdXRo
b3I+PGF1dGhvcj5Sb2hkZSwgUGF1bDwvYXV0aG9yPjxhdXRob3I+U2VlbGV5LCBKb2huIFIuPC9h
dXRob3I+PGF1dGhvcj5LbGVpbiwgRGFuaWVsIE4uPC9hdXRob3I+PGF1dGhvcj5Hb3RsaWIsIElh
biBILjwvYXV0aG9yPjwvYXV0aG9ycz48L2NvbnRyaWJ1dG9ycz48YXV0aC1hZGRyZXNzPkxld2lu
c29obiwgUGV0ZXIgTS46IHBldGVAb3JpLm9yZzwvYXV0aC1hZGRyZXNzPjx0aXRsZXM+PHRpdGxl
PlBzeWNob3NvY2lhbCBmdW5jdGlvbmluZyBvZiB5b3VuZyBhZHVsdHMgd2hvIGhhdmUgZXhwZXJp
ZW5jZWQgYW5kIHJlY292ZXJlZCBmcm9tIG1ham9yIGRlcHJlc3NpdmUgZGlzb3JkZXIgZHVyaW5n
IGFkb2xlc2NlbmNlPC90aXRsZT48c2Vjb25kYXJ5LXRpdGxlPkpvdXJuYWwgb2YgQWJub3JtYWwg
UHN5Y2hvbG9neTwvc2Vjb25kYXJ5LXRpdGxlPjwvdGl0bGVzPjxwZXJpb2RpY2FsPjxmdWxsLXRp
dGxlPkpvdXJuYWwgb2YgQWJub3JtYWwgUHN5Y2hvbG9neTwvZnVsbC10aXRsZT48L3BlcmlvZGlj
YWw+PHBhZ2VzPjM1My0zNjM8L3BhZ2VzPjx2b2x1bWU+MTEyPC92b2x1bWU+PG51bWJlcj4zPC9u
dW1iZXI+PGRhdGVzPjx5ZWFyPjIwMDM8L3llYXI+PHB1Yi1kYXRlcz48ZGF0ZT5BdWc8L2RhdGU+
PC9wdWItZGF0ZXM+PC9kYXRlcz48YWNjZXNzaW9uLW51bT5QZWVyIFJldmlld2VkIEpvdXJuYWw6
IDIwMDMtMDU5OTAtMDA0PC9hY2Nlc3Npb24tbnVtPjx1cmxzPjwvdXJscz48cmVtb3RlLWRhdGFi
YXNlLW5hbWU+UHN5Y0lORk88L3JlbW90ZS1kYXRhYmFzZS1uYW1lPjxyZW1vdGUtZGF0YWJhc2Ut
cHJvdmlkZXI+T3ZpZCBUZWNobm9sb2dpZXM8L3JlbW90ZS1kYXRhYmFzZS1wcm92aWRlcj48L3Jl
Y29yZD48L0NpdGU+PC9FbmROb3RlPn==
</w:fldData>
        </w:fldChar>
      </w:r>
      <w:r>
        <w:instrText xml:space="preserve"> ADDIN EN.CITE </w:instrText>
      </w:r>
      <w:r>
        <w:fldChar w:fldCharType="begin">
          <w:fldData xml:space="preserve">PEVuZE5vdGU+PENpdGU+PEF1dGhvcj5MZXdpbnNvaG48L0F1dGhvcj48WWVhcj4xOTk0PC9ZZWFy
PjxSZWNOdW0+NjYxPC9SZWNOdW0+PERpc3BsYXlUZXh0PihMZXdpbnNvaG4gZXQgYWwuLCAxOTk0
YSwgTGV3aW5zb2huIGV0IGFsLiwgMjAwMyk8L0Rpc3BsYXlUZXh0PjxyZWNvcmQ+PHJlYy1udW1i
ZXI+NjYxPC9yZWMtbnVtYmVyPjxmb3JlaWduLWtleXM+PGtleSBhcHA9IkVOIiBkYi1pZD0ic3Qw
ZndkNXpkNTl3cGxlOWVlYXBlcng4c2VwMHZhYXg1NXQwIiB0aW1lc3RhbXA9IjAiPjY2MTwva2V5
PjwvZm9yZWlnbi1rZXlzPjxyZWYtdHlwZSBuYW1lPSJKb3VybmFsIEFydGljbGUiPjE3PC9yZWYt
dHlwZT48Y29udHJpYnV0b3JzPjxhdXRob3JzPjxhdXRob3I+TGV3aW5zb2huLCBQZXRlciBNLjwv
YXV0aG9yPjxhdXRob3I+Q2xhcmtlLCBHcmVnb3J5IE4uPC9hdXRob3I+PGF1dGhvcj5TZWVsZXks
IEpvaG4gUi48L2F1dGhvcj48YXV0aG9yPlJvaGRlLCBQYXVsPC9hdXRob3I+PC9hdXRob3JzPjwv
Y29udHJpYnV0b3JzPjx0aXRsZXM+PHRpdGxlPk1ham9yIGRlcHJlc3Npb24gaW4gY29tbXVuaXR5
IGFkb2xlc2NlbnRzOiBBZ2UgYXQgb25zZXQsIGVwaXNvZGUgZHVyYXRpb24sIGFuZCB0aW1lIHRv
IHJlY3VycmVuY2U8L3RpdGxlPjxzZWNvbmRhcnktdGl0bGU+Sm91cm5hbCBvZiB0aGUgQW1lcmlj
YW4gQWNhZGVteSBvZiBDaGlsZCAmYW1wOyBBZG9sZXNjZW50IFBzeWNoaWF0cnk8L3NlY29uZGFy
eS10aXRsZT48L3RpdGxlcz48cGVyaW9kaWNhbD48ZnVsbC10aXRsZT5Kb3VybmFsIG9mIHRoZSBB
bWVyaWNhbiBBY2FkZW15IG9mIENoaWxkICZhbXA7IEFkb2xlc2NlbnQgUHN5Y2hpYXRyeTwvZnVs
bC10aXRsZT48L3BlcmlvZGljYWw+PHBhZ2VzPjgwOS04MTg8L3BhZ2VzPjx2b2x1bWU+MzM8L3Zv
bHVtZT48bnVtYmVyPjY8L251bWJlcj48ZGF0ZXM+PHllYXI+MTk5NDwveWVhcj48cHViLWRhdGVz
PjxkYXRlPkp1bC1BdWc8L2RhdGU+PC9wdWItZGF0ZXM+PC9kYXRlcz48YWNjZXNzaW9uLW51bT5Q
ZWVyIFJldmlld2VkIEpvdXJuYWw6IDE5OTUtMDE5MjktMDAxPC9hY2Nlc3Npb24tbnVtPjx1cmxz
PjwvdXJscz48L3JlY29yZD48L0NpdGU+PENpdGU+PEF1dGhvcj5MZXdpbnNvaG48L0F1dGhvcj48
WWVhcj4yMDAzPC9ZZWFyPjxSZWNOdW0+MTg5PC9SZWNOdW0+PHJlY29yZD48cmVjLW51bWJlcj4x
ODk8L3JlYy1udW1iZXI+PGZvcmVpZ24ta2V5cz48a2V5IGFwcD0iRU4iIGRiLWlkPSJzdDBmd2Q1
emQ1OXdwbGU5ZWVhcGVyeDhzZXAwdmFheDU1dDAiIHRpbWVzdGFtcD0iMCI+MTg5PC9rZXk+PC9m
b3JlaWduLWtleXM+PHJlZi10eXBlIG5hbWU9IkpvdXJuYWwgQXJ0aWNsZSI+MTc8L3JlZi10eXBl
Pjxjb250cmlidXRvcnM+PGF1dGhvcnM+PGF1dGhvcj5MZXdpbnNvaG4sIFBldGVyIE0uPC9hdXRo
b3I+PGF1dGhvcj5Sb2hkZSwgUGF1bDwvYXV0aG9yPjxhdXRob3I+U2VlbGV5LCBKb2huIFIuPC9h
dXRob3I+PGF1dGhvcj5LbGVpbiwgRGFuaWVsIE4uPC9hdXRob3I+PGF1dGhvcj5Hb3RsaWIsIElh
biBILjwvYXV0aG9yPjwvYXV0aG9ycz48L2NvbnRyaWJ1dG9ycz48YXV0aC1hZGRyZXNzPkxld2lu
c29obiwgUGV0ZXIgTS46IHBldGVAb3JpLm9yZzwvYXV0aC1hZGRyZXNzPjx0aXRsZXM+PHRpdGxl
PlBzeWNob3NvY2lhbCBmdW5jdGlvbmluZyBvZiB5b3VuZyBhZHVsdHMgd2hvIGhhdmUgZXhwZXJp
ZW5jZWQgYW5kIHJlY292ZXJlZCBmcm9tIG1ham9yIGRlcHJlc3NpdmUgZGlzb3JkZXIgZHVyaW5n
IGFkb2xlc2NlbmNlPC90aXRsZT48c2Vjb25kYXJ5LXRpdGxlPkpvdXJuYWwgb2YgQWJub3JtYWwg
UHN5Y2hvbG9neTwvc2Vjb25kYXJ5LXRpdGxlPjwvdGl0bGVzPjxwZXJpb2RpY2FsPjxmdWxsLXRp
dGxlPkpvdXJuYWwgb2YgQWJub3JtYWwgUHN5Y2hvbG9neTwvZnVsbC10aXRsZT48L3BlcmlvZGlj
YWw+PHBhZ2VzPjM1My0zNjM8L3BhZ2VzPjx2b2x1bWU+MTEyPC92b2x1bWU+PG51bWJlcj4zPC9u
dW1iZXI+PGRhdGVzPjx5ZWFyPjIwMDM8L3llYXI+PHB1Yi1kYXRlcz48ZGF0ZT5BdWc8L2RhdGU+
PC9wdWItZGF0ZXM+PC9kYXRlcz48YWNjZXNzaW9uLW51bT5QZWVyIFJldmlld2VkIEpvdXJuYWw6
IDIwMDMtMDU5OTAtMDA0PC9hY2Nlc3Npb24tbnVtPjx1cmxzPjwvdXJscz48cmVtb3RlLWRhdGFi
YXNlLW5hbWU+UHN5Y0lORk88L3JlbW90ZS1kYXRhYmFzZS1uYW1lPjxyZW1vdGUtZGF0YWJhc2Ut
cHJvdmlkZXI+T3ZpZCBUZWNobm9sb2dpZXM8L3JlbW90ZS1kYXRhYmFzZS1wcm92aWRlcj48L3Jl
Y29yZD48L0NpdGU+PC9FbmROb3RlPn==
</w:fldData>
        </w:fldChar>
      </w:r>
      <w:r>
        <w:instrText xml:space="preserve"> ADDIN EN.CITE.DATA </w:instrText>
      </w:r>
      <w:r>
        <w:fldChar w:fldCharType="end"/>
      </w:r>
      <w:r>
        <w:fldChar w:fldCharType="separate"/>
      </w:r>
      <w:r>
        <w:rPr>
          <w:noProof/>
        </w:rPr>
        <w:t>(Lewinsohn et al., 1994a, Lewinsohn et al., 2003)</w:t>
      </w:r>
      <w:r>
        <w:fldChar w:fldCharType="end"/>
      </w:r>
      <w:r>
        <w:t>. Variables were constructed such that higher scores indicated greater impairment or severity. Below, we describe the 19 constructs assessed, many by multiple measures, that were used as typology indicators.</w:t>
      </w:r>
      <w:r w:rsidR="00464178">
        <w:t xml:space="preserve"> Internal consistencies are presented for the full sample at T</w:t>
      </w:r>
      <w:r w:rsidR="00464178" w:rsidRPr="00464178">
        <w:rPr>
          <w:vertAlign w:val="subscript"/>
        </w:rPr>
        <w:t>1</w:t>
      </w:r>
      <w:r w:rsidR="00464178">
        <w:t>.</w:t>
      </w:r>
    </w:p>
    <w:p w14:paraId="13F2908B" w14:textId="0C609923" w:rsidR="00CB7278" w:rsidRPr="007F54FF" w:rsidRDefault="00CB7278" w:rsidP="001266DC">
      <w:pPr>
        <w:spacing w:line="480" w:lineRule="auto"/>
      </w:pPr>
      <w:r w:rsidRPr="00C129AF">
        <w:tab/>
        <w:t>Dimensional assessment of depression</w:t>
      </w:r>
      <w:r>
        <w:t xml:space="preserve"> was assessed using the Center for Epidemiologic Studies-Depression Scale </w:t>
      </w:r>
      <w:r>
        <w:fldChar w:fldCharType="begin"/>
      </w:r>
      <w:r>
        <w:instrText xml:space="preserve"> ADDIN EN.CITE &lt;EndNote&gt;&lt;Cite&gt;&lt;Author&gt;Radloff&lt;/Author&gt;&lt;Year&gt;1977&lt;/Year&gt;&lt;RecNum&gt;1318&lt;/RecNum&gt;&lt;Prefix&gt;CES-D`; &lt;/Prefix&gt;&lt;DisplayText&gt;(CES-D; Radloff, 1977)&lt;/DisplayText&gt;&lt;record&gt;&lt;rec-number&gt;1318&lt;/rec-number&gt;&lt;foreign-keys&gt;&lt;key app="EN" db-id="st0fwd5zd59wple9eeaperx8sep0vaax55t0" timestamp="0"&gt;1318&lt;/key&gt;&lt;/foreign-keys&gt;&lt;ref-type name="Journal Article"&gt;17&lt;/ref-type&gt;&lt;contributors&gt;&lt;authors&gt;&lt;author&gt;Radloff, L. S.&lt;/author&gt;&lt;/authors&gt;&lt;/contributors&gt;&lt;titles&gt;&lt;title&gt;The CES-D scale: A self-report depression scale for research in the general population&lt;/title&gt;&lt;secondary-title&gt;Applied Psychological Measurement&lt;/secondary-title&gt;&lt;/titles&gt;&lt;pages&gt;385-401&lt;/pages&gt;&lt;volume&gt;1&lt;/volume&gt;&lt;number&gt;3&lt;/number&gt;&lt;dates&gt;&lt;year&gt;1977&lt;/year&gt;&lt;/dates&gt;&lt;urls&gt;&lt;/urls&gt;&lt;/record&gt;&lt;/Cite&gt;&lt;/EndNote&gt;</w:instrText>
      </w:r>
      <w:r>
        <w:fldChar w:fldCharType="separate"/>
      </w:r>
      <w:r>
        <w:rPr>
          <w:noProof/>
        </w:rPr>
        <w:t>(CES-D; Radloff, 1977)</w:t>
      </w:r>
      <w:r>
        <w:fldChar w:fldCharType="end"/>
      </w:r>
      <w:r>
        <w:t xml:space="preserve">, the Beck Depression Inventory </w:t>
      </w:r>
      <w:r>
        <w:fldChar w:fldCharType="begin"/>
      </w:r>
      <w:r>
        <w:instrText xml:space="preserve"> ADDIN EN.CITE &lt;EndNote&gt;&lt;Cite&gt;&lt;Author&gt;Beck&lt;/Author&gt;&lt;Year&gt;1988&lt;/Year&gt;&lt;RecNum&gt;1723&lt;/RecNum&gt;&lt;Prefix&gt;BDI`; &lt;/Prefix&gt;&lt;DisplayText&gt;(BDI; Beck et al., 1988)&lt;/DisplayText&gt;&lt;record&gt;&lt;rec-number&gt;1723&lt;/rec-number&gt;&lt;foreign-keys&gt;&lt;key app="EN" db-id="st0fwd5zd59wple9eeaperx8sep0vaax55t0" timestamp="0"&gt;1723&lt;/key&gt;&lt;/foreign-keys&gt;&lt;ref-type name="Journal Article"&gt;17&lt;/ref-type&gt;&lt;contributors&gt;&lt;authors&gt;&lt;author&gt;Beck, A. T.&lt;/author&gt;&lt;author&gt;Steer, R. A.&lt;/author&gt;&lt;author&gt;Carbin, M. G.&lt;/author&gt;&lt;/authors&gt;&lt;/contributors&gt;&lt;titles&gt;&lt;title&gt;Psychometric properties of the Beck Depression Inventory: Twenty-five years of evaluation&lt;/title&gt;&lt;secondary-title&gt;Clinical Psychology Review&lt;/secondary-title&gt;&lt;/titles&gt;&lt;pages&gt;77-100&lt;/pages&gt;&lt;volume&gt;8&lt;/volume&gt;&lt;number&gt;1&lt;/number&gt;&lt;dates&gt;&lt;year&gt;1988&lt;/year&gt;&lt;/dates&gt;&lt;urls&gt;&lt;/urls&gt;&lt;electronic-resource-num&gt;10.1016/0272-7358(88)90050-5&lt;/electronic-resource-num&gt;&lt;/record&gt;&lt;/Cite&gt;&lt;/EndNote&gt;</w:instrText>
      </w:r>
      <w:r>
        <w:fldChar w:fldCharType="separate"/>
      </w:r>
      <w:r>
        <w:rPr>
          <w:noProof/>
        </w:rPr>
        <w:t>(BDI; Beck et al., 1988)</w:t>
      </w:r>
      <w:r>
        <w:fldChar w:fldCharType="end"/>
      </w:r>
      <w:r>
        <w:t xml:space="preserve">, the interviewer-rated Hamilton Depression Rating Scale </w:t>
      </w:r>
      <w:r>
        <w:fldChar w:fldCharType="begin"/>
      </w:r>
      <w:r>
        <w:instrText xml:space="preserve"> ADDIN EN.CITE &lt;EndNote&gt;&lt;Cite&gt;&lt;Author&gt;Hamilton&lt;/Author&gt;&lt;Year&gt;1960&lt;/Year&gt;&lt;RecNum&gt;8278&lt;/RecNum&gt;&lt;DisplayText&gt;(Hamilton, 1960)&lt;/DisplayText&gt;&lt;record&gt;&lt;rec-number&gt;8278&lt;/rec-number&gt;&lt;foreign-keys&gt;&lt;key app="EN" db-id="st0fwd5zd59wple9eeaperx8sep0vaax55t0" timestamp="1533577787"&gt;8278&lt;/key&gt;&lt;/foreign-keys&gt;&lt;ref-type name="Journal Article"&gt;17&lt;/ref-type&gt;&lt;contributors&gt;&lt;authors&gt;&lt;author&gt;Hamilton, Max&lt;/author&gt;&lt;/authors&gt;&lt;/contributors&gt;&lt;titles&gt;&lt;title&gt;A rating scale for depression&lt;/title&gt;&lt;secondary-title&gt;Journal of neurology, neurosurgery, and psychiatry&lt;/secondary-title&gt;&lt;/titles&gt;&lt;pages&gt;56&lt;/pages&gt;&lt;volume&gt;23&lt;/volume&gt;&lt;number&gt;1&lt;/number&gt;&lt;dates&gt;&lt;year&gt;1960&lt;/year&gt;&lt;/dates&gt;&lt;urls&gt;&lt;/urls&gt;&lt;/record&gt;&lt;/Cite&gt;&lt;/EndNote&gt;</w:instrText>
      </w:r>
      <w:r>
        <w:fldChar w:fldCharType="separate"/>
      </w:r>
      <w:r>
        <w:rPr>
          <w:noProof/>
        </w:rPr>
        <w:t>(Hamilton, 1960)</w:t>
      </w:r>
      <w:r>
        <w:fldChar w:fldCharType="end"/>
      </w:r>
      <w:r>
        <w:t>, and a single item assessing level of depression during the past week</w:t>
      </w:r>
      <w:r w:rsidR="006822F3">
        <w:t xml:space="preserve"> </w:t>
      </w:r>
      <w:r w:rsidR="006822F3">
        <w:rPr>
          <w:rFonts w:eastAsia="Times New Roman"/>
        </w:rPr>
        <w:t>(α</w:t>
      </w:r>
      <w:r w:rsidR="006822F3" w:rsidRPr="00027AA1">
        <w:rPr>
          <w:rFonts w:eastAsia="Times New Roman"/>
        </w:rPr>
        <w:t xml:space="preserve"> = .</w:t>
      </w:r>
      <w:r w:rsidR="006822F3">
        <w:rPr>
          <w:rFonts w:eastAsia="Times New Roman"/>
        </w:rPr>
        <w:t>6</w:t>
      </w:r>
      <w:r w:rsidR="006822F3" w:rsidRPr="00027AA1">
        <w:rPr>
          <w:rFonts w:eastAsia="Times New Roman"/>
        </w:rPr>
        <w:t>8</w:t>
      </w:r>
      <w:r w:rsidR="006822F3">
        <w:rPr>
          <w:rFonts w:eastAsia="Times New Roman"/>
        </w:rPr>
        <w:t>)</w:t>
      </w:r>
      <w:r>
        <w:t>.</w:t>
      </w:r>
    </w:p>
    <w:p w14:paraId="5B9FF38B" w14:textId="4D06790B" w:rsidR="00CB7278" w:rsidRPr="00113996" w:rsidRDefault="00CB7278" w:rsidP="001266DC">
      <w:pPr>
        <w:spacing w:line="480" w:lineRule="auto"/>
        <w:ind w:firstLine="720"/>
        <w:rPr>
          <w:color w:val="000000"/>
        </w:rPr>
      </w:pPr>
      <w:r w:rsidRPr="00C129AF">
        <w:t>Other internalizing problems</w:t>
      </w:r>
      <w:r w:rsidRPr="00113996">
        <w:t xml:space="preserve"> captured the </w:t>
      </w:r>
      <w:r w:rsidRPr="00113996">
        <w:rPr>
          <w:color w:val="000000"/>
        </w:rPr>
        <w:t>tendency to worry, frequently recurrent hypomanic</w:t>
      </w:r>
      <w:r>
        <w:rPr>
          <w:color w:val="000000"/>
        </w:rPr>
        <w:t>-</w:t>
      </w:r>
      <w:r w:rsidRPr="00113996">
        <w:rPr>
          <w:color w:val="000000"/>
        </w:rPr>
        <w:t xml:space="preserve">like behavioral fluctuations, state anxiety, quantity and nature of sleep, and hypochondriasis. </w:t>
      </w:r>
      <w:r>
        <w:rPr>
          <w:color w:val="000000"/>
        </w:rPr>
        <w:t>Items came from the</w:t>
      </w:r>
      <w:r w:rsidRPr="00113996">
        <w:rPr>
          <w:color w:val="000000"/>
        </w:rPr>
        <w:t xml:space="preserve"> Maudsley Obsessional Compulsive Inve</w:t>
      </w:r>
      <w:r>
        <w:rPr>
          <w:color w:val="000000"/>
        </w:rPr>
        <w:t xml:space="preserve">ntory </w:t>
      </w:r>
      <w:r>
        <w:rPr>
          <w:color w:val="000000"/>
        </w:rPr>
        <w:fldChar w:fldCharType="begin"/>
      </w:r>
      <w:r>
        <w:rPr>
          <w:color w:val="000000"/>
        </w:rPr>
        <w:instrText xml:space="preserve"> ADDIN EN.CITE &lt;EndNote&gt;&lt;Cite&gt;&lt;Author&gt;Hodgson&lt;/Author&gt;&lt;Year&gt;1977&lt;/Year&gt;&lt;RecNum&gt;8282&lt;/RecNum&gt;&lt;Prefix&gt;5 items`; &lt;/Prefix&gt;&lt;DisplayText&gt;(5 items; Hodgson and Rachman, 1977)&lt;/DisplayText&gt;&lt;record&gt;&lt;rec-number&gt;8282&lt;/rec-number&gt;&lt;foreign-keys&gt;&lt;key app="EN" db-id="st0fwd5zd59wple9eeaperx8sep0vaax55t0" timestamp="1533826590"&gt;8282&lt;/key&gt;&lt;/foreign-keys&gt;&lt;ref-type name="Journal Article"&gt;17&lt;/ref-type&gt;&lt;contributors&gt;&lt;authors&gt;&lt;author&gt;Hodgson, Ray J&lt;/author&gt;&lt;author&gt;Rachman, Stanley&lt;/author&gt;&lt;/authors&gt;&lt;/contributors&gt;&lt;titles&gt;&lt;title&gt;Obsessional-compulsive complaints&lt;/title&gt;&lt;secondary-title&gt;Behaviour research and therapy&lt;/secondary-title&gt;&lt;/titles&gt;&lt;pages&gt;389-395&lt;/pages&gt;&lt;volume&gt;15&lt;/volume&gt;&lt;number&gt;5&lt;/number&gt;&lt;dates&gt;&lt;year&gt;1977&lt;/year&gt;&lt;/dates&gt;&lt;isbn&gt;0005-7967&lt;/isbn&gt;&lt;urls&gt;&lt;/urls&gt;&lt;/record&gt;&lt;/Cite&gt;&lt;/EndNote&gt;</w:instrText>
      </w:r>
      <w:r>
        <w:rPr>
          <w:color w:val="000000"/>
        </w:rPr>
        <w:fldChar w:fldCharType="separate"/>
      </w:r>
      <w:r>
        <w:rPr>
          <w:noProof/>
          <w:color w:val="000000"/>
        </w:rPr>
        <w:t>(5 items; Hodgson and Rachman, 1977)</w:t>
      </w:r>
      <w:r>
        <w:rPr>
          <w:color w:val="000000"/>
        </w:rPr>
        <w:fldChar w:fldCharType="end"/>
      </w:r>
      <w:r>
        <w:rPr>
          <w:color w:val="000000"/>
        </w:rPr>
        <w:t xml:space="preserve">; State-Trait Anxiety Inventory </w:t>
      </w:r>
      <w:r>
        <w:rPr>
          <w:color w:val="000000"/>
        </w:rPr>
        <w:fldChar w:fldCharType="begin"/>
      </w:r>
      <w:r>
        <w:rPr>
          <w:color w:val="000000"/>
        </w:rPr>
        <w:instrText xml:space="preserve"> ADDIN EN.CITE &lt;EndNote&gt;&lt;Cite&gt;&lt;Author&gt;Spielberger&lt;/Author&gt;&lt;Year&gt;1970&lt;/Year&gt;&lt;RecNum&gt;8284&lt;/RecNum&gt;&lt;Prefix&gt;10 items`; &lt;/Prefix&gt;&lt;DisplayText&gt;(10 items; Spielberger et al., 1970)&lt;/DisplayText&gt;&lt;record&gt;&lt;rec-number&gt;8284&lt;/rec-number&gt;&lt;foreign-keys&gt;&lt;key app="EN" db-id="st0fwd5zd59wple9eeaperx8sep0vaax55t0" timestamp="1533826703"&gt;8284&lt;/key&gt;&lt;/foreign-keys&gt;&lt;ref-type name="Generic"&gt;13&lt;/ref-type&gt;&lt;contributors&gt;&lt;authors&gt;&lt;author&gt;Spielberger, CD&lt;/author&gt;&lt;author&gt;Gorsuch, RL&lt;/author&gt;&lt;author&gt;Lushene, RE&lt;/author&gt;&lt;author&gt;Vagg, PR&lt;/author&gt;&lt;author&gt;Jacobs, GA&lt;/author&gt;&lt;/authors&gt;&lt;/contributors&gt;&lt;titles&gt;&lt;title&gt;State-trait anxiety inventory. Palo Alto&lt;/title&gt;&lt;/titles&gt;&lt;dates&gt;&lt;year&gt;1970&lt;/year&gt;&lt;/dates&gt;&lt;publisher&gt;ca: consulting psychologists press&lt;/publisher&gt;&lt;urls&gt;&lt;/urls&gt;&lt;/record&gt;&lt;/Cite&gt;&lt;/EndNote&gt;</w:instrText>
      </w:r>
      <w:r>
        <w:rPr>
          <w:color w:val="000000"/>
        </w:rPr>
        <w:fldChar w:fldCharType="separate"/>
      </w:r>
      <w:r>
        <w:rPr>
          <w:noProof/>
          <w:color w:val="000000"/>
        </w:rPr>
        <w:t>(10 items; Spielberger et al., 1970)</w:t>
      </w:r>
      <w:r>
        <w:rPr>
          <w:color w:val="000000"/>
        </w:rPr>
        <w:fldChar w:fldCharType="end"/>
      </w:r>
      <w:r w:rsidRPr="00113996">
        <w:rPr>
          <w:color w:val="000000"/>
        </w:rPr>
        <w:t xml:space="preserve">; </w:t>
      </w:r>
      <w:r>
        <w:rPr>
          <w:color w:val="000000"/>
        </w:rPr>
        <w:t xml:space="preserve">8 </w:t>
      </w:r>
      <w:r w:rsidRPr="00113996">
        <w:rPr>
          <w:color w:val="000000"/>
        </w:rPr>
        <w:t>item</w:t>
      </w:r>
      <w:r>
        <w:rPr>
          <w:color w:val="000000"/>
        </w:rPr>
        <w:t>s</w:t>
      </w:r>
      <w:r w:rsidRPr="00113996">
        <w:rPr>
          <w:color w:val="000000"/>
        </w:rPr>
        <w:t xml:space="preserve"> </w:t>
      </w:r>
      <w:r>
        <w:rPr>
          <w:color w:val="000000"/>
        </w:rPr>
        <w:t xml:space="preserve">assessing </w:t>
      </w:r>
      <w:r w:rsidRPr="00113996">
        <w:rPr>
          <w:color w:val="000000"/>
        </w:rPr>
        <w:t>sleep</w:t>
      </w:r>
      <w:r>
        <w:rPr>
          <w:color w:val="000000"/>
        </w:rPr>
        <w:t xml:space="preserve"> </w:t>
      </w:r>
      <w:r>
        <w:rPr>
          <w:color w:val="000000"/>
        </w:rPr>
        <w:fldChar w:fldCharType="begin"/>
      </w:r>
      <w:r>
        <w:rPr>
          <w:color w:val="000000"/>
        </w:rPr>
        <w:instrText xml:space="preserve"> ADDIN EN.CITE &lt;EndNote&gt;&lt;Cite&gt;&lt;Author&gt;Lewinsohn&lt;/Author&gt;&lt;Year&gt;1994&lt;/Year&gt;&lt;RecNum&gt;678&lt;/RecNum&gt;&lt;DisplayText&gt;(Lewinsohn et al., 1994b)&lt;/DisplayText&gt;&lt;record&gt;&lt;rec-number&gt;678&lt;/rec-number&gt;&lt;foreign-keys&gt;&lt;key app="EN" db-id="st0fwd5zd59wple9eeaperx8sep0vaax55t0" timestamp="0"&gt;678&lt;/key&gt;&lt;/foreign-keys&gt;&lt;ref-type name="Journal Article"&gt;17&lt;/ref-type&gt;&lt;contributors&gt;&lt;authors&gt;&lt;author&gt;Lewinsohn, Peter M.&lt;/author&gt;&lt;author&gt;Roberts, Robert E.&lt;/author&gt;&lt;author&gt;Seeley, John R.&lt;/author&gt;&lt;author&gt;Rohde, Paul&lt;/author&gt;&lt;author&gt;Gotlib, Ian H.&lt;/author&gt;&lt;author&gt;Hops, Hyman&lt;/author&gt;&lt;/authors&gt;&lt;/contributors&gt;&lt;titles&gt;&lt;title&gt;Adolescent psychopathology: II. Psychosocial risk factors for depression&lt;/title&gt;&lt;secondary-title&gt;Journal of Abnormal Psychology&lt;/secondary-title&gt;&lt;/titles&gt;&lt;periodical&gt;&lt;full-title&gt;Journal of Abnormal Psychology&lt;/full-title&gt;&lt;/periodical&gt;&lt;pages&gt;302-315&lt;/pages&gt;&lt;volume&gt;103&lt;/volume&gt;&lt;number&gt;2&lt;/number&gt;&lt;dates&gt;&lt;year&gt;1994&lt;/year&gt;&lt;pub-dates&gt;&lt;date&gt;May&lt;/date&gt;&lt;/pub-dates&gt;&lt;/dates&gt;&lt;accession-num&gt;Peer Reviewed Journal: 1994-33639-001&lt;/accession-num&gt;&lt;urls&gt;&lt;/urls&gt;&lt;/record&gt;&lt;/Cite&gt;&lt;/EndNote&gt;</w:instrText>
      </w:r>
      <w:r>
        <w:rPr>
          <w:color w:val="000000"/>
        </w:rPr>
        <w:fldChar w:fldCharType="separate"/>
      </w:r>
      <w:r>
        <w:rPr>
          <w:noProof/>
          <w:color w:val="000000"/>
        </w:rPr>
        <w:t>(Lewinsohn et al., 1994b)</w:t>
      </w:r>
      <w:r>
        <w:rPr>
          <w:color w:val="000000"/>
        </w:rPr>
        <w:fldChar w:fldCharType="end"/>
      </w:r>
      <w:r w:rsidRPr="00113996">
        <w:rPr>
          <w:color w:val="000000"/>
        </w:rPr>
        <w:t xml:space="preserve">; </w:t>
      </w:r>
      <w:r>
        <w:rPr>
          <w:color w:val="000000"/>
        </w:rPr>
        <w:t xml:space="preserve">and </w:t>
      </w:r>
      <w:r w:rsidRPr="00113996">
        <w:rPr>
          <w:color w:val="000000"/>
        </w:rPr>
        <w:t>8</w:t>
      </w:r>
      <w:r>
        <w:rPr>
          <w:color w:val="000000"/>
        </w:rPr>
        <w:t xml:space="preserve"> </w:t>
      </w:r>
      <w:r w:rsidRPr="00113996">
        <w:rPr>
          <w:color w:val="000000"/>
        </w:rPr>
        <w:t>item</w:t>
      </w:r>
      <w:r>
        <w:rPr>
          <w:color w:val="000000"/>
        </w:rPr>
        <w:t>s</w:t>
      </w:r>
      <w:r w:rsidRPr="00113996">
        <w:rPr>
          <w:color w:val="000000"/>
        </w:rPr>
        <w:t xml:space="preserve"> </w:t>
      </w:r>
      <w:r>
        <w:rPr>
          <w:color w:val="000000"/>
        </w:rPr>
        <w:t xml:space="preserve">assessing </w:t>
      </w:r>
      <w:r w:rsidRPr="00113996">
        <w:rPr>
          <w:color w:val="000000"/>
        </w:rPr>
        <w:t>hypochondriasis</w:t>
      </w:r>
      <w:r>
        <w:rPr>
          <w:color w:val="000000"/>
        </w:rPr>
        <w:t xml:space="preserve"> </w:t>
      </w:r>
      <w:r>
        <w:rPr>
          <w:color w:val="000000"/>
        </w:rPr>
        <w:fldChar w:fldCharType="begin"/>
      </w:r>
      <w:r>
        <w:rPr>
          <w:color w:val="000000"/>
        </w:rPr>
        <w:instrText xml:space="preserve"> ADDIN EN.CITE &lt;EndNote&gt;&lt;Cite&gt;&lt;Author&gt;Pilowsky&lt;/Author&gt;&lt;Year&gt;1967&lt;/Year&gt;&lt;RecNum&gt;8285&lt;/RecNum&gt;&lt;DisplayText&gt;(Pilowsky, 1967)&lt;/DisplayText&gt;&lt;record&gt;&lt;rec-number&gt;8285&lt;/rec-number&gt;&lt;foreign-keys&gt;&lt;key app="EN" db-id="st0fwd5zd59wple9eeaperx8sep0vaax55t0" timestamp="1533826744"&gt;8285&lt;/key&gt;&lt;/foreign-keys&gt;&lt;ref-type name="Journal Article"&gt;17&lt;/ref-type&gt;&lt;contributors&gt;&lt;authors&gt;&lt;author&gt;Pilowsky, Issy&lt;/author&gt;&lt;/authors&gt;&lt;/contributors&gt;&lt;titles&gt;&lt;title&gt;Dimensions of hypochondriasis&lt;/title&gt;&lt;secondary-title&gt;The British Journal of Psychiatry&lt;/secondary-title&gt;&lt;/titles&gt;&lt;pages&gt;89-93&lt;/pages&gt;&lt;volume&gt;113&lt;/volume&gt;&lt;number&gt;494&lt;/number&gt;&lt;dates&gt;&lt;year&gt;1967&lt;/year&gt;&lt;/dates&gt;&lt;isbn&gt;0007-1250&lt;/isbn&gt;&lt;urls&gt;&lt;/urls&gt;&lt;/record&gt;&lt;/Cite&gt;&lt;/EndNote&gt;</w:instrText>
      </w:r>
      <w:r>
        <w:rPr>
          <w:color w:val="000000"/>
        </w:rPr>
        <w:fldChar w:fldCharType="separate"/>
      </w:r>
      <w:r>
        <w:rPr>
          <w:noProof/>
          <w:color w:val="000000"/>
        </w:rPr>
        <w:t>(Pilowsky, 1967)</w:t>
      </w:r>
      <w:r>
        <w:rPr>
          <w:color w:val="000000"/>
        </w:rPr>
        <w:fldChar w:fldCharType="end"/>
      </w:r>
      <w:r w:rsidR="006822F3">
        <w:rPr>
          <w:color w:val="000000"/>
        </w:rPr>
        <w:t xml:space="preserve"> </w:t>
      </w:r>
      <w:r w:rsidR="006822F3" w:rsidRPr="006822F3">
        <w:rPr>
          <w:rFonts w:eastAsia="Times New Roman"/>
        </w:rPr>
        <w:t xml:space="preserve"> </w:t>
      </w:r>
      <w:r w:rsidR="006822F3">
        <w:rPr>
          <w:rFonts w:eastAsia="Times New Roman"/>
        </w:rPr>
        <w:t>(α</w:t>
      </w:r>
      <w:r w:rsidR="006822F3" w:rsidRPr="00027AA1">
        <w:rPr>
          <w:rFonts w:eastAsia="Times New Roman"/>
        </w:rPr>
        <w:t xml:space="preserve"> = .</w:t>
      </w:r>
      <w:r w:rsidR="006822F3">
        <w:rPr>
          <w:rFonts w:eastAsia="Times New Roman"/>
        </w:rPr>
        <w:t>59)</w:t>
      </w:r>
      <w:r w:rsidRPr="00113996">
        <w:rPr>
          <w:color w:val="000000"/>
        </w:rPr>
        <w:t>.</w:t>
      </w:r>
    </w:p>
    <w:p w14:paraId="224F0D8A" w14:textId="24FCC445" w:rsidR="00CB7278" w:rsidRDefault="00CB7278" w:rsidP="001266DC">
      <w:pPr>
        <w:spacing w:line="480" w:lineRule="auto"/>
      </w:pPr>
      <w:r w:rsidRPr="005C27D3">
        <w:lastRenderedPageBreak/>
        <w:t xml:space="preserve"> </w:t>
      </w:r>
      <w:r w:rsidRPr="005C27D3">
        <w:tab/>
      </w:r>
      <w:r>
        <w:t xml:space="preserve">Externalizing problems was assessed using number of symptoms endorsed on the K-SADS </w:t>
      </w:r>
      <w:r>
        <w:fldChar w:fldCharType="begin"/>
      </w:r>
      <w:r>
        <w:instrText xml:space="preserve"> ADDIN EN.CITE &lt;EndNote&gt;&lt;Cite&gt;&lt;Author&gt;Orvaschel&lt;/Author&gt;&lt;Year&gt;1982&lt;/Year&gt;&lt;RecNum&gt;1724&lt;/RecNum&gt;&lt;DisplayText&gt;(Orvaschel et al., 1982)&lt;/DisplayText&gt;&lt;record&gt;&lt;rec-number&gt;1724&lt;/rec-number&gt;&lt;foreign-keys&gt;&lt;key app="EN" db-id="st0fwd5zd59wple9eeaperx8sep0vaax55t0" timestamp="0"&gt;1724&lt;/key&gt;&lt;/foreign-keys&gt;&lt;ref-type name="Journal Article"&gt;17&lt;/ref-type&gt;&lt;contributors&gt;&lt;authors&gt;&lt;author&gt;Orvaschel, H. &lt;/author&gt;&lt;author&gt;Puig-Antich, J. &lt;/author&gt;&lt;author&gt;Chambers, W. J. &lt;/author&gt;&lt;author&gt;Tabrizi, M. A.&lt;/author&gt;&lt;author&gt;Johnson, R.&lt;/author&gt;&lt;/authors&gt;&lt;/contributors&gt;&lt;titles&gt;&lt;title&gt;Retrospective assessment of prepubertal major depression with the Kiddie-SADS-E&lt;/title&gt;&lt;secondary-title&gt;Journal of the American Academy of Child &amp;amp; Adolescent Psychiatry&lt;/secondary-title&gt;&lt;/titles&gt;&lt;periodical&gt;&lt;full-title&gt;Journal of the American Academy of Child &amp;amp; Adolescent Psychiatry&lt;/full-title&gt;&lt;/periodical&gt;&lt;pages&gt;392-397&lt;/pages&gt;&lt;volume&gt;21&lt;/volume&gt;&lt;dates&gt;&lt;year&gt;1982&lt;/year&gt;&lt;/dates&gt;&lt;urls&gt;&lt;/urls&gt;&lt;/record&gt;&lt;/Cite&gt;&lt;/EndNote&gt;</w:instrText>
      </w:r>
      <w:r>
        <w:fldChar w:fldCharType="separate"/>
      </w:r>
      <w:r>
        <w:rPr>
          <w:noProof/>
        </w:rPr>
        <w:t>(Orvaschel et al., 1982)</w:t>
      </w:r>
      <w:r>
        <w:fldChar w:fldCharType="end"/>
      </w:r>
      <w:r>
        <w:t xml:space="preserve"> for the Attention Deficit/Hyperactivity Disorder, Conduct Disorder, and Oppositional Defiant Disorder, a self-report measure of past week conduct problems </w:t>
      </w:r>
      <w:r>
        <w:fldChar w:fldCharType="begin"/>
      </w:r>
      <w:r>
        <w:instrText xml:space="preserve"> ADDIN EN.CITE &lt;EndNote&gt;&lt;Cite&gt;&lt;Author&gt;Lewinsohn&lt;/Author&gt;&lt;Year&gt;1994&lt;/Year&gt;&lt;RecNum&gt;678&lt;/RecNum&gt;&lt;DisplayText&gt;(Lewinsohn et al., 1994b)&lt;/DisplayText&gt;&lt;record&gt;&lt;rec-number&gt;678&lt;/rec-number&gt;&lt;foreign-keys&gt;&lt;key app="EN" db-id="st0fwd5zd59wple9eeaperx8sep0vaax55t0" timestamp="0"&gt;678&lt;/key&gt;&lt;/foreign-keys&gt;&lt;ref-type name="Journal Article"&gt;17&lt;/ref-type&gt;&lt;contributors&gt;&lt;authors&gt;&lt;author&gt;Lewinsohn, Peter M.&lt;/author&gt;&lt;author&gt;Roberts, Robert E.&lt;/author&gt;&lt;author&gt;Seeley, John R.&lt;/author&gt;&lt;author&gt;Rohde, Paul&lt;/author&gt;&lt;author&gt;Gotlib, Ian H.&lt;/author&gt;&lt;author&gt;Hops, Hyman&lt;/author&gt;&lt;/authors&gt;&lt;/contributors&gt;&lt;titles&gt;&lt;title&gt;Adolescent psychopathology: II. Psychosocial risk factors for depression&lt;/title&gt;&lt;secondary-title&gt;Journal of Abnormal Psychology&lt;/secondary-title&gt;&lt;/titles&gt;&lt;periodical&gt;&lt;full-title&gt;Journal of Abnormal Psychology&lt;/full-title&gt;&lt;/periodical&gt;&lt;pages&gt;302-315&lt;/pages&gt;&lt;volume&gt;103&lt;/volume&gt;&lt;number&gt;2&lt;/number&gt;&lt;dates&gt;&lt;year&gt;1994&lt;/year&gt;&lt;pub-dates&gt;&lt;date&gt;May&lt;/date&gt;&lt;/pub-dates&gt;&lt;/dates&gt;&lt;accession-num&gt;Peer Reviewed Journal: 1994-33639-001&lt;/accession-num&gt;&lt;urls&gt;&lt;/urls&gt;&lt;/record&gt;&lt;/Cite&gt;&lt;/EndNote&gt;</w:instrText>
      </w:r>
      <w:r>
        <w:fldChar w:fldCharType="separate"/>
      </w:r>
      <w:r>
        <w:rPr>
          <w:noProof/>
        </w:rPr>
        <w:t>(Lewinsohn et al., 1994b)</w:t>
      </w:r>
      <w:r>
        <w:fldChar w:fldCharType="end"/>
      </w:r>
      <w:r>
        <w:t>, and a current diagnosis of an externalizing disorder</w:t>
      </w:r>
      <w:r w:rsidR="004B1B2C">
        <w:t xml:space="preserve"> </w:t>
      </w:r>
      <w:r w:rsidR="004B1B2C" w:rsidRPr="006822F3">
        <w:rPr>
          <w:rFonts w:eastAsia="Times New Roman"/>
        </w:rPr>
        <w:t xml:space="preserve"> </w:t>
      </w:r>
      <w:r w:rsidR="004B1B2C">
        <w:rPr>
          <w:rFonts w:eastAsia="Times New Roman"/>
        </w:rPr>
        <w:t>(α</w:t>
      </w:r>
      <w:r w:rsidR="004B1B2C" w:rsidRPr="00027AA1">
        <w:rPr>
          <w:rFonts w:eastAsia="Times New Roman"/>
        </w:rPr>
        <w:t xml:space="preserve"> = .</w:t>
      </w:r>
      <w:r w:rsidR="004B1B2C">
        <w:rPr>
          <w:rFonts w:eastAsia="Times New Roman"/>
        </w:rPr>
        <w:t>64)</w:t>
      </w:r>
      <w:r>
        <w:t xml:space="preserve">. </w:t>
      </w:r>
    </w:p>
    <w:p w14:paraId="60D1763E" w14:textId="416DB0A5" w:rsidR="00B45B56" w:rsidRDefault="00B45B56" w:rsidP="001266DC">
      <w:pPr>
        <w:spacing w:line="480" w:lineRule="auto"/>
        <w:ind w:firstLine="720"/>
        <w:rPr>
          <w:rFonts w:eastAsia="Times New Roman"/>
        </w:rPr>
      </w:pPr>
      <w:r w:rsidRPr="00027AA1">
        <w:rPr>
          <w:rFonts w:eastAsia="Times New Roman"/>
        </w:rPr>
        <w:t xml:space="preserve">Hypomania and hypomanic personality were assessed via the General Behavior Inventory </w:t>
      </w:r>
      <w:r w:rsidR="004712D3">
        <w:rPr>
          <w:rFonts w:eastAsia="Times New Roman"/>
        </w:rPr>
        <w:fldChar w:fldCharType="begin"/>
      </w:r>
      <w:r w:rsidR="004712D3">
        <w:rPr>
          <w:rFonts w:eastAsia="Times New Roman"/>
        </w:rPr>
        <w:instrText xml:space="preserve"> ADDIN EN.CITE &lt;EndNote&gt;&lt;Cite&gt;&lt;Author&gt;Depue&lt;/Author&gt;&lt;Year&gt;1988&lt;/Year&gt;&lt;RecNum&gt;8283&lt;/RecNum&gt;&lt;Prefix&gt;12 items`; &lt;/Prefix&gt;&lt;DisplayText&gt;(12 items; Depue and Klein, 1988)&lt;/DisplayText&gt;&lt;record&gt;&lt;rec-number&gt;8283&lt;/rec-number&gt;&lt;foreign-keys&gt;&lt;key app="EN" db-id="st0fwd5zd59wple9eeaperx8sep0vaax55t0" timestamp="1533826648"&gt;8283&lt;/key&gt;&lt;/foreign-keys&gt;&lt;ref-type name="Journal Article"&gt;17&lt;/ref-type&gt;&lt;contributors&gt;&lt;authors&gt;&lt;author&gt;Depue, RA&lt;/author&gt;&lt;author&gt;Klein, DN&lt;/author&gt;&lt;/authors&gt;&lt;/contributors&gt;&lt;titles&gt;&lt;title&gt;Identification of unipolar and bipolar affective conditions in nonclinical and clinical populations by the General Behavior Inventory&lt;/title&gt;&lt;secondary-title&gt;Relatives at risk for mental disorder&lt;/secondary-title&gt;&lt;/titles&gt;&lt;pages&gt;179-202&lt;/pages&gt;&lt;dates&gt;&lt;year&gt;1988&lt;/year&gt;&lt;/dates&gt;&lt;urls&gt;&lt;/urls&gt;&lt;/record&gt;&lt;/Cite&gt;&lt;/EndNote&gt;</w:instrText>
      </w:r>
      <w:r w:rsidR="004712D3">
        <w:rPr>
          <w:rFonts w:eastAsia="Times New Roman"/>
        </w:rPr>
        <w:fldChar w:fldCharType="separate"/>
      </w:r>
      <w:r w:rsidR="004712D3">
        <w:rPr>
          <w:rFonts w:eastAsia="Times New Roman"/>
          <w:noProof/>
        </w:rPr>
        <w:t>(12 items; Depue and Klein, 1988)</w:t>
      </w:r>
      <w:r w:rsidR="004712D3">
        <w:rPr>
          <w:rFonts w:eastAsia="Times New Roman"/>
        </w:rPr>
        <w:fldChar w:fldCharType="end"/>
      </w:r>
      <w:r w:rsidRPr="00027AA1">
        <w:rPr>
          <w:rFonts w:eastAsia="Times New Roman"/>
        </w:rPr>
        <w:t xml:space="preserve"> and the hypomanic personality scale</w:t>
      </w:r>
      <w:r w:rsidR="004712D3">
        <w:rPr>
          <w:rFonts w:eastAsia="Times New Roman"/>
        </w:rPr>
        <w:t xml:space="preserve"> </w:t>
      </w:r>
      <w:r w:rsidR="004712D3">
        <w:rPr>
          <w:rFonts w:eastAsia="Times New Roman"/>
        </w:rPr>
        <w:fldChar w:fldCharType="begin"/>
      </w:r>
      <w:r w:rsidR="004712D3">
        <w:rPr>
          <w:rFonts w:eastAsia="Times New Roman"/>
        </w:rPr>
        <w:instrText xml:space="preserve"> ADDIN EN.CITE &lt;EndNote&gt;&lt;Cite&gt;&lt;Author&gt;Eckblad&lt;/Author&gt;&lt;Year&gt;1986&lt;/Year&gt;&lt;RecNum&gt;8425&lt;/RecNum&gt;&lt;DisplayText&gt;(Eckblad and Chapman, 1986)&lt;/DisplayText&gt;&lt;record&gt;&lt;rec-number&gt;8425&lt;/rec-number&gt;&lt;foreign-keys&gt;&lt;key app="EN" db-id="st0fwd5zd59wple9eeaperx8sep0vaax55t0" timestamp="1554321950"&gt;8425&lt;/key&gt;&lt;/foreign-keys&gt;&lt;ref-type name="Journal Article"&gt;17&lt;/ref-type&gt;&lt;contributors&gt;&lt;authors&gt;&lt;author&gt;Eckblad, Mark&lt;/author&gt;&lt;author&gt;Chapman, Loren J&lt;/author&gt;&lt;/authors&gt;&lt;/contributors&gt;&lt;titles&gt;&lt;title&gt;Development and validation of a scale for hypomanic personality&lt;/title&gt;&lt;secondary-title&gt;Journal of abnormal psychology&lt;/secondary-title&gt;&lt;/titles&gt;&lt;periodical&gt;&lt;full-title&gt;Journal of Abnormal Psychology&lt;/full-title&gt;&lt;/periodical&gt;&lt;pages&gt;214&lt;/pages&gt;&lt;volume&gt;95&lt;/volume&gt;&lt;number&gt;3&lt;/number&gt;&lt;dates&gt;&lt;year&gt;1986&lt;/year&gt;&lt;/dates&gt;&lt;isbn&gt;1939-1846&lt;/isbn&gt;&lt;urls&gt;&lt;/urls&gt;&lt;/record&gt;&lt;/Cite&gt;&lt;/EndNote&gt;</w:instrText>
      </w:r>
      <w:r w:rsidR="004712D3">
        <w:rPr>
          <w:rFonts w:eastAsia="Times New Roman"/>
        </w:rPr>
        <w:fldChar w:fldCharType="separate"/>
      </w:r>
      <w:r w:rsidR="004712D3">
        <w:rPr>
          <w:rFonts w:eastAsia="Times New Roman"/>
          <w:noProof/>
        </w:rPr>
        <w:t>(Eckblad and Chapman, 1986)</w:t>
      </w:r>
      <w:r w:rsidR="004712D3">
        <w:rPr>
          <w:rFonts w:eastAsia="Times New Roman"/>
        </w:rPr>
        <w:fldChar w:fldCharType="end"/>
      </w:r>
      <w:r w:rsidRPr="00027AA1">
        <w:rPr>
          <w:rFonts w:eastAsia="Times New Roman"/>
        </w:rPr>
        <w:t>. Each measure demonstrated good internal consistency (αs = .83 and .69, respectively). These measures were moderately correlated (r = .46, p &lt; .001). These were standardized and averaged as a single index.</w:t>
      </w:r>
    </w:p>
    <w:p w14:paraId="4DC72C24" w14:textId="77777777" w:rsidR="00CB7278" w:rsidRDefault="00CB7278" w:rsidP="001266DC">
      <w:pPr>
        <w:spacing w:line="480" w:lineRule="auto"/>
        <w:ind w:firstLine="720"/>
      </w:pPr>
      <w:r w:rsidRPr="00C129AF">
        <w:t>Stress: Daily hassles</w:t>
      </w:r>
      <w:r>
        <w:t xml:space="preserve"> assessed the frequency of unpleasant social and nonsocial events in the past month </w:t>
      </w:r>
      <w:r>
        <w:fldChar w:fldCharType="begin"/>
      </w:r>
      <w:r>
        <w:instrText xml:space="preserve"> ADDIN EN.CITE &lt;EndNote&gt;&lt;Cite&gt;&lt;Author&gt;Lewinsohn&lt;/Author&gt;&lt;Year&gt;1985&lt;/Year&gt;&lt;RecNum&gt;8287&lt;/RecNum&gt;&lt;Prefix&gt;20 items`; α = .79`; &lt;/Prefix&gt;&lt;DisplayText&gt;(20 items; α = .79; Lewinsohn et al., 1985)&lt;/DisplayText&gt;&lt;record&gt;&lt;rec-number&gt;8287&lt;/rec-number&gt;&lt;foreign-keys&gt;&lt;key app="EN" db-id="st0fwd5zd59wple9eeaperx8sep0vaax55t0" timestamp="1533826935"&gt;8287&lt;/key&gt;&lt;/foreign-keys&gt;&lt;ref-type name="Journal Article"&gt;17&lt;/ref-type&gt;&lt;contributors&gt;&lt;authors&gt;&lt;author&gt;Lewinsohn, Peter M&lt;/author&gt;&lt;author&gt;Mermelstein, Robin M&lt;/author&gt;&lt;author&gt;Alexander, Carolyn&lt;/author&gt;&lt;author&gt;MacPhillamy, Douglas J&lt;/author&gt;&lt;/authors&gt;&lt;/contributors&gt;&lt;titles&gt;&lt;title&gt;The Unpleasant Events Schedule: A scale for the measurement of aversive events&lt;/title&gt;&lt;secondary-title&gt;Journal of Clinical Psychology&lt;/secondary-title&gt;&lt;/titles&gt;&lt;pages&gt;483-498&lt;/pages&gt;&lt;volume&gt;41&lt;/volume&gt;&lt;number&gt;4&lt;/number&gt;&lt;dates&gt;&lt;year&gt;1985&lt;/year&gt;&lt;/dates&gt;&lt;isbn&gt;0021-9762&lt;/isbn&gt;&lt;urls&gt;&lt;/urls&gt;&lt;/record&gt;&lt;/Cite&gt;&lt;/EndNote&gt;</w:instrText>
      </w:r>
      <w:r>
        <w:fldChar w:fldCharType="separate"/>
      </w:r>
      <w:r>
        <w:rPr>
          <w:noProof/>
        </w:rPr>
        <w:t>(20 items; α = .79; Lewinsohn et al., 1985)</w:t>
      </w:r>
      <w:r>
        <w:fldChar w:fldCharType="end"/>
      </w:r>
      <w:r>
        <w:rPr>
          <w:bCs/>
        </w:rPr>
        <w:t>.</w:t>
      </w:r>
    </w:p>
    <w:p w14:paraId="6CF54614" w14:textId="77777777" w:rsidR="00CB7278" w:rsidRPr="00113996" w:rsidRDefault="00CB7278" w:rsidP="001266DC">
      <w:pPr>
        <w:spacing w:line="480" w:lineRule="auto"/>
        <w:ind w:firstLine="720"/>
      </w:pPr>
      <w:r w:rsidRPr="00C129AF">
        <w:t>Stress: Major life events</w:t>
      </w:r>
      <w:r>
        <w:t xml:space="preserve"> in the year preceding T</w:t>
      </w:r>
      <w:r>
        <w:rPr>
          <w:vertAlign w:val="subscript"/>
        </w:rPr>
        <w:t xml:space="preserve">1 </w:t>
      </w:r>
      <w:r>
        <w:t xml:space="preserve">assessed the occurrence of 14 negative life events to self or significant others selected from the Schedule of Recent Experiences </w:t>
      </w:r>
      <w:r>
        <w:fldChar w:fldCharType="begin"/>
      </w:r>
      <w:r>
        <w:instrText xml:space="preserve"> ADDIN EN.CITE &lt;EndNote&gt;&lt;Cite&gt;&lt;Author&gt;Holmes&lt;/Author&gt;&lt;Year&gt;1967&lt;/Year&gt;&lt;RecNum&gt;8288&lt;/RecNum&gt;&lt;DisplayText&gt;(Holmes and Rahe, 1967)&lt;/DisplayText&gt;&lt;record&gt;&lt;rec-number&gt;8288&lt;/rec-number&gt;&lt;foreign-keys&gt;&lt;key app="EN" db-id="st0fwd5zd59wple9eeaperx8sep0vaax55t0" timestamp="1533827010"&gt;8288&lt;/key&gt;&lt;/foreign-keys&gt;&lt;ref-type name="Journal Article"&gt;17&lt;/ref-type&gt;&lt;contributors&gt;&lt;authors&gt;&lt;author&gt;Holmes, Thomas H&lt;/author&gt;&lt;author&gt;Rahe, Richard H&lt;/author&gt;&lt;/authors&gt;&lt;/contributors&gt;&lt;titles&gt;&lt;title&gt;Schedule of recent experience&lt;/title&gt;&lt;secondary-title&gt;Marriage&lt;/secondary-title&gt;&lt;/titles&gt;&lt;pages&gt;50&lt;/pages&gt;&lt;volume&gt;10&lt;/volume&gt;&lt;dates&gt;&lt;year&gt;1967&lt;/year&gt;&lt;/dates&gt;&lt;urls&gt;&lt;/urls&gt;&lt;/record&gt;&lt;/Cite&gt;&lt;/EndNote&gt;</w:instrText>
      </w:r>
      <w:r>
        <w:fldChar w:fldCharType="separate"/>
      </w:r>
      <w:r>
        <w:rPr>
          <w:noProof/>
        </w:rPr>
        <w:t>(Holmes and Rahe, 1967)</w:t>
      </w:r>
      <w:r>
        <w:fldChar w:fldCharType="end"/>
      </w:r>
      <w:r>
        <w:t xml:space="preserve"> and the Life Events Schedule </w:t>
      </w:r>
      <w:r>
        <w:fldChar w:fldCharType="begin"/>
      </w:r>
      <w:r>
        <w:instrText xml:space="preserve"> ADDIN EN.CITE &lt;EndNote&gt;&lt;Cite&gt;&lt;Author&gt;Sandler&lt;/Author&gt;&lt;Year&gt;1979&lt;/Year&gt;&lt;RecNum&gt;8289&lt;/RecNum&gt;&lt;DisplayText&gt;(Sandler and Block, 1979)&lt;/DisplayText&gt;&lt;record&gt;&lt;rec-number&gt;8289&lt;/rec-number&gt;&lt;foreign-keys&gt;&lt;key app="EN" db-id="st0fwd5zd59wple9eeaperx8sep0vaax55t0" timestamp="1533827056"&gt;8289&lt;/key&gt;&lt;/foreign-keys&gt;&lt;ref-type name="Journal Article"&gt;17&lt;/ref-type&gt;&lt;contributors&gt;&lt;authors&gt;&lt;author&gt;Sandler, Irwin N&lt;/author&gt;&lt;author&gt;Block, Maxine&lt;/author&gt;&lt;/authors&gt;&lt;/contributors&gt;&lt;titles&gt;&lt;title&gt;Life stress and maladaptation of children&lt;/title&gt;&lt;secondary-title&gt;American Journal of Community Psychology&lt;/secondary-title&gt;&lt;/titles&gt;&lt;pages&gt;425-440&lt;/pages&gt;&lt;volume&gt;7&lt;/volume&gt;&lt;number&gt;4&lt;/number&gt;&lt;dates&gt;&lt;year&gt;1979&lt;/year&gt;&lt;/dates&gt;&lt;isbn&gt;1573-2770&lt;/isbn&gt;&lt;urls&gt;&lt;/urls&gt;&lt;/record&gt;&lt;/Cite&gt;&lt;/EndNote&gt;</w:instrText>
      </w:r>
      <w:r>
        <w:fldChar w:fldCharType="separate"/>
      </w:r>
      <w:r>
        <w:rPr>
          <w:noProof/>
        </w:rPr>
        <w:t>(Sandler and Block, 1979)</w:t>
      </w:r>
      <w:r>
        <w:fldChar w:fldCharType="end"/>
      </w:r>
      <w:r>
        <w:t>. We did not include items that may represent symptoms of psychopathology, or if the event did not have a direct impact on the participant (e.g. sibling becoming pregnant)</w:t>
      </w:r>
      <w:r>
        <w:rPr>
          <w:bCs/>
        </w:rPr>
        <w:t>.</w:t>
      </w:r>
    </w:p>
    <w:p w14:paraId="188E67C7" w14:textId="2776AD54" w:rsidR="00CB7278" w:rsidRDefault="00CB7278" w:rsidP="001266DC">
      <w:pPr>
        <w:spacing w:line="480" w:lineRule="auto"/>
        <w:ind w:firstLine="720"/>
      </w:pPr>
      <w:r w:rsidRPr="00C129AF">
        <w:t>Self-consciousness</w:t>
      </w:r>
      <w:r>
        <w:t xml:space="preserve"> </w:t>
      </w:r>
      <w:r w:rsidRPr="005C27D3">
        <w:t>assessed public and private self-consciousness.</w:t>
      </w:r>
      <w:r w:rsidRPr="00A13D0F">
        <w:t xml:space="preserve"> </w:t>
      </w:r>
      <w:r>
        <w:t>This</w:t>
      </w:r>
      <w:r w:rsidRPr="00A13D0F">
        <w:t xml:space="preserve"> was assessed with</w:t>
      </w:r>
      <w:r w:rsidRPr="00A13D0F">
        <w:rPr>
          <w:i/>
        </w:rPr>
        <w:t xml:space="preserve"> </w:t>
      </w:r>
      <w:r w:rsidRPr="00A13D0F">
        <w:t xml:space="preserve">nine items from the Self-Consciousness Scale </w:t>
      </w:r>
      <w:r>
        <w:fldChar w:fldCharType="begin"/>
      </w:r>
      <w:r w:rsidR="00F96636">
        <w:instrText xml:space="preserve"> ADDIN EN.CITE &lt;EndNote&gt;&lt;Cite&gt;&lt;Author&gt;Fenigstein&lt;/Author&gt;&lt;Year&gt;1975&lt;/Year&gt;&lt;RecNum&gt;8286&lt;/RecNum&gt;&lt;DisplayText&gt;(Fenigstein et al., 1975)&lt;/DisplayText&gt;&lt;record&gt;&lt;rec-number&gt;8286&lt;/rec-number&gt;&lt;foreign-keys&gt;&lt;key app="EN" db-id="st0fwd5zd59wple9eeaperx8sep0vaax55t0" timestamp="1533826848"&gt;8286&lt;/key&gt;&lt;/foreign-keys&gt;&lt;ref-type name="Journal Article"&gt;17&lt;/ref-type&gt;&lt;contributors&gt;&lt;authors&gt;&lt;author&gt;Fenigstein, Allan&lt;/author&gt;&lt;author&gt;Scheier, Michael F&lt;/author&gt;&lt;author&gt;Buss, Arnold H&lt;/author&gt;&lt;/authors&gt;&lt;/contributors&gt;&lt;titles&gt;&lt;title&gt;Public and private self-consciousness: Assessment and theory&lt;/title&gt;&lt;secondary-title&gt;Journal of consulting and clinical psychology&lt;/secondary-title&gt;&lt;/titles&gt;&lt;periodical&gt;&lt;full-title&gt;Journal of consulting and clinical psychology&lt;/full-title&gt;&lt;/periodical&gt;&lt;pages&gt;522&lt;/pages&gt;&lt;volume&gt;43&lt;/volume&gt;&lt;number&gt;4&lt;/number&gt;&lt;dates&gt;&lt;year&gt;1975&lt;/year&gt;&lt;/dates&gt;&lt;isbn&gt;1939-2117&lt;/isbn&gt;&lt;urls&gt;&lt;/urls&gt;&lt;/record&gt;&lt;/Cite&gt;&lt;/EndNote&gt;</w:instrText>
      </w:r>
      <w:r>
        <w:fldChar w:fldCharType="separate"/>
      </w:r>
      <w:r w:rsidR="00F96636">
        <w:rPr>
          <w:noProof/>
        </w:rPr>
        <w:t>(Fenigstein et al., 1975)</w:t>
      </w:r>
      <w:r>
        <w:fldChar w:fldCharType="end"/>
      </w:r>
      <w:r w:rsidR="006C07C0">
        <w:rPr>
          <w:rStyle w:val="CommentReference"/>
          <w:sz w:val="24"/>
          <w:szCs w:val="24"/>
        </w:rPr>
        <w:t xml:space="preserve"> (</w:t>
      </w:r>
      <w:r w:rsidR="006C07C0" w:rsidRPr="006C07C0">
        <w:t>α = .74</w:t>
      </w:r>
      <w:r w:rsidR="006C07C0">
        <w:rPr>
          <w:rStyle w:val="CommentReference"/>
          <w:sz w:val="24"/>
          <w:szCs w:val="24"/>
        </w:rPr>
        <w:t>)</w:t>
      </w:r>
      <w:r w:rsidRPr="00A13D0F">
        <w:t>.</w:t>
      </w:r>
    </w:p>
    <w:p w14:paraId="2A2FF02C" w14:textId="77777777" w:rsidR="00CB7278" w:rsidRPr="00113996" w:rsidRDefault="00CB7278" w:rsidP="001266DC">
      <w:pPr>
        <w:spacing w:line="480" w:lineRule="auto"/>
        <w:ind w:firstLine="720"/>
      </w:pPr>
      <w:r>
        <w:t>Negative</w:t>
      </w:r>
      <w:r w:rsidRPr="00C129AF">
        <w:t xml:space="preserve"> Cognitions</w:t>
      </w:r>
      <w:r>
        <w:t xml:space="preserve"> included assessments of </w:t>
      </w:r>
      <w:r w:rsidRPr="00113996">
        <w:t>attitudes regarding self-reinforcement, likelihood of the occurrence of future positive events, endorsement of dysfunctional attitudes, and perceived control over one’s life.</w:t>
      </w:r>
      <w:r>
        <w:t xml:space="preserve"> These were</w:t>
      </w:r>
      <w:r w:rsidRPr="00A13D0F">
        <w:t xml:space="preserve"> assessed by the 5</w:t>
      </w:r>
      <w:r>
        <w:t xml:space="preserve"> item</w:t>
      </w:r>
      <w:r w:rsidRPr="00A13D0F">
        <w:t xml:space="preserve"> Subjective Probability Questionnaire</w:t>
      </w:r>
      <w:r>
        <w:t xml:space="preserve"> </w:t>
      </w:r>
      <w:r>
        <w:fldChar w:fldCharType="begin"/>
      </w:r>
      <w:r>
        <w:instrText xml:space="preserve"> ADDIN EN.CITE &lt;EndNote&gt;&lt;Cite&gt;&lt;Author&gt;Muñoz&lt;/Author&gt;&lt;Year&gt;1976&lt;/Year&gt;&lt;RecNum&gt;8292&lt;/RecNum&gt;&lt;DisplayText&gt;(Muñoz and Lewinsohn, 1976)&lt;/DisplayText&gt;&lt;record&gt;&lt;rec-number&gt;8292&lt;/rec-number&gt;&lt;foreign-keys&gt;&lt;key app="EN" db-id="st0fwd5zd59wple9eeaperx8sep0vaax55t0" timestamp="1533829270"&gt;8292&lt;/key&gt;&lt;/foreign-keys&gt;&lt;ref-type name="Journal Article"&gt;17&lt;/ref-type&gt;&lt;contributors&gt;&lt;authors&gt;&lt;author&gt;Muñoz, RF&lt;/author&gt;&lt;author&gt;Lewinsohn, PM&lt;/author&gt;&lt;/authors&gt;&lt;/contributors&gt;&lt;titles&gt;&lt;title&gt;The subjective probability questionnaire&lt;/title&gt;&lt;secondary-title&gt;Unpublished manuscript&lt;/secondary-title&gt;&lt;/titles&gt;&lt;dates&gt;&lt;year&gt;1976&lt;/year&gt;&lt;/dates&gt;&lt;urls&gt;&lt;/urls&gt;&lt;/record&gt;&lt;/Cite&gt;&lt;/EndNote&gt;</w:instrText>
      </w:r>
      <w:r>
        <w:fldChar w:fldCharType="separate"/>
      </w:r>
      <w:r>
        <w:rPr>
          <w:noProof/>
        </w:rPr>
        <w:t>(Muñoz and Lewinsohn, 1976)</w:t>
      </w:r>
      <w:r>
        <w:fldChar w:fldCharType="end"/>
      </w:r>
      <w:r w:rsidRPr="001D14D2">
        <w:t>;</w:t>
      </w:r>
      <w:r w:rsidRPr="00A13D0F">
        <w:t xml:space="preserve"> the 10</w:t>
      </w:r>
      <w:r>
        <w:t xml:space="preserve"> item</w:t>
      </w:r>
      <w:r w:rsidRPr="00A13D0F">
        <w:t xml:space="preserve"> Frequency of Self-Reinforcement </w:t>
      </w:r>
      <w:r w:rsidRPr="00A13D0F">
        <w:lastRenderedPageBreak/>
        <w:t>Attitude Questionnaire</w:t>
      </w:r>
      <w:r>
        <w:t xml:space="preserve"> </w:t>
      </w:r>
      <w:r>
        <w:fldChar w:fldCharType="begin"/>
      </w:r>
      <w:r>
        <w:instrText xml:space="preserve"> ADDIN EN.CITE &lt;EndNote&gt;&lt;Cite&gt;&lt;Author&gt;Heiby&lt;/Author&gt;&lt;Year&gt;1982&lt;/Year&gt;&lt;RecNum&gt;8293&lt;/RecNum&gt;&lt;DisplayText&gt;(Heiby, 1982)&lt;/DisplayText&gt;&lt;record&gt;&lt;rec-number&gt;8293&lt;/rec-number&gt;&lt;foreign-keys&gt;&lt;key app="EN" db-id="st0fwd5zd59wple9eeaperx8sep0vaax55t0" timestamp="1533829589"&gt;8293&lt;/key&gt;&lt;/foreign-keys&gt;&lt;ref-type name="Journal Article"&gt;17&lt;/ref-type&gt;&lt;contributors&gt;&lt;authors&gt;&lt;author&gt;Heiby, Elaine M&lt;/author&gt;&lt;/authors&gt;&lt;/contributors&gt;&lt;titles&gt;&lt;title&gt;A self-reinforcement questionnaire&lt;/title&gt;&lt;secondary-title&gt;Behaviour Research and Therapy&lt;/secondary-title&gt;&lt;/titles&gt;&lt;pages&gt;397-401&lt;/pages&gt;&lt;volume&gt;20&lt;/volume&gt;&lt;number&gt;4&lt;/number&gt;&lt;dates&gt;&lt;year&gt;1982&lt;/year&gt;&lt;/dates&gt;&lt;isbn&gt;0005-7967&lt;/isbn&gt;&lt;urls&gt;&lt;/urls&gt;&lt;/record&gt;&lt;/Cite&gt;&lt;/EndNote&gt;</w:instrText>
      </w:r>
      <w:r>
        <w:fldChar w:fldCharType="separate"/>
      </w:r>
      <w:r>
        <w:rPr>
          <w:noProof/>
        </w:rPr>
        <w:t>(Heiby, 1982)</w:t>
      </w:r>
      <w:r>
        <w:fldChar w:fldCharType="end"/>
      </w:r>
      <w:r>
        <w:t>;</w:t>
      </w:r>
      <w:r w:rsidRPr="00A13D0F">
        <w:t xml:space="preserve"> </w:t>
      </w:r>
      <w:r>
        <w:t>3</w:t>
      </w:r>
      <w:r w:rsidRPr="00A13D0F">
        <w:t xml:space="preserve"> items based on </w:t>
      </w:r>
      <w:r>
        <w:fldChar w:fldCharType="begin"/>
      </w:r>
      <w:r>
        <w:instrText xml:space="preserve"> ADDIN EN.CITE &lt;EndNote&gt;&lt;Cite AuthorYear="1"&gt;&lt;Author&gt;Pearlin&lt;/Author&gt;&lt;Year&gt;1978&lt;/Year&gt;&lt;RecNum&gt;8294&lt;/RecNum&gt;&lt;DisplayText&gt;Pearlin and Schooler (1978)&lt;/DisplayText&gt;&lt;record&gt;&lt;rec-number&gt;8294&lt;/rec-number&gt;&lt;foreign-keys&gt;&lt;key app="EN" db-id="st0fwd5zd59wple9eeaperx8sep0vaax55t0" timestamp="1533829633"&gt;8294&lt;/key&gt;&lt;/foreign-keys&gt;&lt;ref-type name="Journal Article"&gt;17&lt;/ref-type&gt;&lt;contributors&gt;&lt;authors&gt;&lt;author&gt;Pearlin, Leonard I&lt;/author&gt;&lt;author&gt;Schooler, Carmi&lt;/author&gt;&lt;/authors&gt;&lt;/contributors&gt;&lt;titles&gt;&lt;title&gt;The structure of coping&lt;/title&gt;&lt;secondary-title&gt;Journal of health and social behavior&lt;/secondary-title&gt;&lt;/titles&gt;&lt;pages&gt;2-21&lt;/pages&gt;&lt;dates&gt;&lt;year&gt;1978&lt;/year&gt;&lt;/dates&gt;&lt;isbn&gt;0022-1465&lt;/isbn&gt;&lt;urls&gt;&lt;/urls&gt;&lt;/record&gt;&lt;/Cite&gt;&lt;/EndNote&gt;</w:instrText>
      </w:r>
      <w:r>
        <w:fldChar w:fldCharType="separate"/>
      </w:r>
      <w:r>
        <w:rPr>
          <w:noProof/>
        </w:rPr>
        <w:t>Pearlin and Schooler (1978)</w:t>
      </w:r>
      <w:r>
        <w:fldChar w:fldCharType="end"/>
      </w:r>
      <w:r>
        <w:t xml:space="preserve"> </w:t>
      </w:r>
      <w:r w:rsidRPr="00A13D0F">
        <w:t>assessed perceived control over one’s life, and nine items from th</w:t>
      </w:r>
      <w:r>
        <w:t xml:space="preserve">e Dysfunctional Attitude Scale </w:t>
      </w:r>
      <w:r>
        <w:fldChar w:fldCharType="begin"/>
      </w:r>
      <w:r>
        <w:instrText xml:space="preserve"> ADDIN EN.CITE &lt;EndNote&gt;&lt;Cite&gt;&lt;Author&gt;Weissman&lt;/Author&gt;&lt;Year&gt;1978&lt;/Year&gt;&lt;RecNum&gt;8295&lt;/RecNum&gt;&lt;DisplayText&gt;(Weissman and Beck, 1978)&lt;/DisplayText&gt;&lt;record&gt;&lt;rec-number&gt;8295&lt;/rec-number&gt;&lt;foreign-keys&gt;&lt;key app="EN" db-id="st0fwd5zd59wple9eeaperx8sep0vaax55t0" timestamp="1533829691"&gt;8295&lt;/key&gt;&lt;/foreign-keys&gt;&lt;ref-type name="Journal Article"&gt;17&lt;/ref-type&gt;&lt;contributors&gt;&lt;authors&gt;&lt;author&gt;Weissman, Arlene N&lt;/author&gt;&lt;author&gt;Beck, Aaron T&lt;/author&gt;&lt;/authors&gt;&lt;/contributors&gt;&lt;titles&gt;&lt;title&gt;Development and validation of the Dysfunctional Attitude Scale: A preliminary investigation&lt;/title&gt;&lt;/titles&gt;&lt;dates&gt;&lt;year&gt;1978&lt;/year&gt;&lt;/dates&gt;&lt;urls&gt;&lt;/urls&gt;&lt;/record&gt;&lt;/Cite&gt;&lt;/EndNote&gt;</w:instrText>
      </w:r>
      <w:r>
        <w:fldChar w:fldCharType="separate"/>
      </w:r>
      <w:r>
        <w:rPr>
          <w:noProof/>
        </w:rPr>
        <w:t>(Weissman and Beck, 1978)</w:t>
      </w:r>
      <w:r>
        <w:fldChar w:fldCharType="end"/>
      </w:r>
      <w:r>
        <w:t>.</w:t>
      </w:r>
      <w:r w:rsidRPr="00A13D0F">
        <w:t xml:space="preserve"> </w:t>
      </w:r>
      <w:r>
        <w:t xml:space="preserve">The composite score demonstrated fair internal consistency </w:t>
      </w:r>
      <w:r w:rsidRPr="00A13D0F">
        <w:t>(α = .61).</w:t>
      </w:r>
    </w:p>
    <w:p w14:paraId="0C1D8847" w14:textId="2E023B16" w:rsidR="00CB7278" w:rsidRPr="00555337" w:rsidRDefault="00CB7278" w:rsidP="001266DC">
      <w:pPr>
        <w:spacing w:line="480" w:lineRule="auto"/>
        <w:ind w:firstLine="720"/>
      </w:pPr>
      <w:r w:rsidRPr="00C129AF">
        <w:t>Attributional Style</w:t>
      </w:r>
      <w:r>
        <w:t xml:space="preserve"> was assessed </w:t>
      </w:r>
      <w:r w:rsidRPr="005C27D3">
        <w:t>along the internal-external, stable-unstable, and global-specific dimensions in which a negative events scale and a positive events scale were derived.</w:t>
      </w:r>
      <w:r>
        <w:t xml:space="preserve"> These were assessed using 48 items from the </w:t>
      </w:r>
      <w:r w:rsidRPr="00A13D0F">
        <w:t>Kastan Attributional St</w:t>
      </w:r>
      <w:r>
        <w:t xml:space="preserve">yle Questionnaire for Children  </w:t>
      </w:r>
      <w:r>
        <w:fldChar w:fldCharType="begin"/>
      </w:r>
      <w:r>
        <w:instrText xml:space="preserve"> ADDIN EN.CITE &lt;EndNote&gt;&lt;Cite&gt;&lt;Author&gt;Kaslow&lt;/Author&gt;&lt;Year&gt;I 981&lt;/Year&gt;&lt;RecNum&gt;8296&lt;/RecNum&gt;&lt;DisplayText&gt;(Kaslow et al., I 981)&lt;/DisplayText&gt;&lt;record&gt;&lt;rec-number&gt;8296&lt;/rec-number&gt;&lt;foreign-keys&gt;&lt;key app="EN" db-id="st0fwd5zd59wple9eeaperx8sep0vaax55t0" timestamp="1533829831"&gt;8296&lt;/key&gt;&lt;/foreign-keys&gt;&lt;ref-type name="Unpublished Work"&gt;34&lt;/ref-type&gt;&lt;contributors&gt;&lt;authors&gt;&lt;author&gt;Kaslow, N .&lt;/author&gt;&lt;author&gt;Tanenbaum, R.&lt;/author&gt;&lt;author&gt;Seligman, M. E. P.&lt;/author&gt;&lt;/authors&gt;&lt;/contributors&gt;&lt;titles&gt;&lt;title&gt;The KASTAN Attributional Style Questionnaire (rev. ed.)&lt;/title&gt;&lt;/titles&gt;&lt;dates&gt;&lt;year&gt;I 981&lt;/year&gt;&lt;/dates&gt;&lt;urls&gt;&lt;/urls&gt;&lt;/record&gt;&lt;/Cite&gt;&lt;/EndNote&gt;</w:instrText>
      </w:r>
      <w:r>
        <w:fldChar w:fldCharType="separate"/>
      </w:r>
      <w:r>
        <w:rPr>
          <w:noProof/>
        </w:rPr>
        <w:t>(Kaslow et al., I 981)</w:t>
      </w:r>
      <w:r>
        <w:fldChar w:fldCharType="end"/>
      </w:r>
      <w:r w:rsidRPr="00A13D0F">
        <w:t>. For each event type, three dimensions (global-specific, stable-unstable, and internal-external) were assessed, resulting in a total of six subscales</w:t>
      </w:r>
      <w:r>
        <w:t xml:space="preserve">. The present study relied on a composite score </w:t>
      </w:r>
      <w:r w:rsidRPr="00A13D0F">
        <w:t>(α = .63)</w:t>
      </w:r>
      <w:r>
        <w:t>.</w:t>
      </w:r>
    </w:p>
    <w:p w14:paraId="6401B96C" w14:textId="79F3E7B6" w:rsidR="00CB7278" w:rsidRPr="001D14D2" w:rsidRDefault="00CB7278" w:rsidP="001266DC">
      <w:pPr>
        <w:spacing w:line="480" w:lineRule="auto"/>
        <w:ind w:firstLine="720"/>
      </w:pPr>
      <w:r w:rsidRPr="00C129AF">
        <w:t>Self-esteem</w:t>
      </w:r>
      <w:r>
        <w:t xml:space="preserve"> was assessed as a broad construct that included general self-esteem, </w:t>
      </w:r>
      <w:r w:rsidRPr="001D14D2">
        <w:t xml:space="preserve">satisfaction with specific body parts, </w:t>
      </w:r>
      <w:r>
        <w:t xml:space="preserve">and </w:t>
      </w:r>
      <w:r w:rsidRPr="001D14D2">
        <w:t>general satisfaction with physical appearance</w:t>
      </w:r>
      <w:r>
        <w:t xml:space="preserve">. Items came from </w:t>
      </w:r>
      <w:r w:rsidRPr="00A13D0F">
        <w:t xml:space="preserve">the Rosenberg Self-Esteem Scale </w:t>
      </w:r>
      <w:r>
        <w:fldChar w:fldCharType="begin"/>
      </w:r>
      <w:r>
        <w:instrText xml:space="preserve"> ADDIN EN.CITE &lt;EndNote&gt;&lt;Cite&gt;&lt;Author&gt;Rosenberg&lt;/Author&gt;&lt;Year&gt;1965&lt;/Year&gt;&lt;RecNum&gt;8297&lt;/RecNum&gt;&lt;Prefix&gt;3 items`; &lt;/Prefix&gt;&lt;DisplayText&gt;(3 items; Rosenberg, 1965)&lt;/DisplayText&gt;&lt;record&gt;&lt;rec-number&gt;8297&lt;/rec-number&gt;&lt;foreign-keys&gt;&lt;key app="EN" db-id="st0fwd5zd59wple9eeaperx8sep0vaax55t0" timestamp="1533830030"&gt;8297&lt;/key&gt;&lt;/foreign-keys&gt;&lt;ref-type name="Journal Article"&gt;17&lt;/ref-type&gt;&lt;contributors&gt;&lt;authors&gt;&lt;author&gt;Rosenberg, Morris&lt;/author&gt;&lt;/authors&gt;&lt;/contributors&gt;&lt;titles&gt;&lt;title&gt;Rosenberg self-esteem scale (RSE)&lt;/title&gt;&lt;secondary-title&gt;Acceptance and commitment therapy. Measures package&lt;/secondary-title&gt;&lt;/titles&gt;&lt;pages&gt;52&lt;/pages&gt;&lt;volume&gt;61&lt;/volume&gt;&lt;dates&gt;&lt;year&gt;1965&lt;/year&gt;&lt;/dates&gt;&lt;urls&gt;&lt;/urls&gt;&lt;/record&gt;&lt;/Cite&gt;&lt;/EndNote&gt;</w:instrText>
      </w:r>
      <w:r>
        <w:fldChar w:fldCharType="separate"/>
      </w:r>
      <w:r>
        <w:rPr>
          <w:noProof/>
        </w:rPr>
        <w:t>(3 items; Rosenberg, 1965)</w:t>
      </w:r>
      <w:r>
        <w:fldChar w:fldCharType="end"/>
      </w:r>
      <w:r>
        <w:t xml:space="preserve">; </w:t>
      </w:r>
      <w:r w:rsidRPr="00A13D0F">
        <w:t xml:space="preserve">Body Parts Satisfaction Scale </w:t>
      </w:r>
      <w:r>
        <w:fldChar w:fldCharType="begin"/>
      </w:r>
      <w:r>
        <w:instrText xml:space="preserve"> ADDIN EN.CITE &lt;EndNote&gt;&lt;Cite&gt;&lt;Author&gt;Berscheid&lt;/Author&gt;&lt;Year&gt;1973&lt;/Year&gt;&lt;RecNum&gt;8298&lt;/RecNum&gt;&lt;Prefix&gt;3 items`; &lt;/Prefix&gt;&lt;DisplayText&gt;(3 items; Berscheid et al., 1973)&lt;/DisplayText&gt;&lt;record&gt;&lt;rec-number&gt;8298&lt;/rec-number&gt;&lt;foreign-keys&gt;&lt;key app="EN" db-id="st0fwd5zd59wple9eeaperx8sep0vaax55t0" timestamp="1533830151"&gt;8298&lt;/key&gt;&lt;/foreign-keys&gt;&lt;ref-type name="Journal Article"&gt;17&lt;/ref-type&gt;&lt;contributors&gt;&lt;authors&gt;&lt;author&gt;Berscheid, E&lt;/author&gt;&lt;author&gt;Walster, E&lt;/author&gt;&lt;author&gt;Bohrnstedt, G&lt;/author&gt;&lt;/authors&gt;&lt;/contributors&gt;&lt;titles&gt;&lt;title&gt;(1973b). The happy American body: A survey report. Psychology Today, 7, 119-131&lt;/title&gt;&lt;/titles&gt;&lt;dates&gt;&lt;year&gt;1973&lt;/year&gt;&lt;/dates&gt;&lt;urls&gt;&lt;/urls&gt;&lt;/record&gt;&lt;/Cite&gt;&lt;/EndNote&gt;</w:instrText>
      </w:r>
      <w:r>
        <w:fldChar w:fldCharType="separate"/>
      </w:r>
      <w:r>
        <w:rPr>
          <w:noProof/>
        </w:rPr>
        <w:t>(3 items; Berscheid et al., 1973)</w:t>
      </w:r>
      <w:r>
        <w:fldChar w:fldCharType="end"/>
      </w:r>
      <w:r w:rsidRPr="00A13D0F">
        <w:t xml:space="preserve"> and Physical Appearance Evaluation subscale </w:t>
      </w:r>
      <w:r>
        <w:fldChar w:fldCharType="begin"/>
      </w:r>
      <w:r>
        <w:instrText xml:space="preserve"> ADDIN EN.CITE &lt;EndNote&gt;&lt;Cite&gt;&lt;Author&gt;Winstead&lt;/Author&gt;&lt;Year&gt;1984&lt;/Year&gt;&lt;RecNum&gt;8299&lt;/RecNum&gt;&lt;Prefix&gt;3 items`; &lt;/Prefix&gt;&lt;DisplayText&gt;(3 items; Winstead and Cash, 1984)&lt;/DisplayText&gt;&lt;record&gt;&lt;rec-number&gt;8299&lt;/rec-number&gt;&lt;foreign-keys&gt;&lt;key app="EN" db-id="st0fwd5zd59wple9eeaperx8sep0vaax55t0" timestamp="1533830251"&gt;8299&lt;/key&gt;&lt;/foreign-keys&gt;&lt;ref-type name="Unpublished Work"&gt;34&lt;/ref-type&gt;&lt;contributors&gt;&lt;authors&gt;&lt;author&gt;Winstead, B. A.&lt;/author&gt;&lt;author&gt;Cash, T. F.&lt;/author&gt;&lt;/authors&gt;&lt;/contributors&gt;&lt;titles&gt;&lt;title&gt;Reliability and validity of the Body Self-Relationship Questionnaire: A new measure of body image.&lt;/title&gt;&lt;/titles&gt;&lt;dates&gt;&lt;year&gt;1984&lt;/year&gt;&lt;/dates&gt;&lt;urls&gt;&lt;/urls&gt;&lt;/record&gt;&lt;/Cite&gt;&lt;/EndNote&gt;</w:instrText>
      </w:r>
      <w:r>
        <w:fldChar w:fldCharType="separate"/>
      </w:r>
      <w:r>
        <w:rPr>
          <w:noProof/>
        </w:rPr>
        <w:t>(3 items; Winstead and Cash, 1984)</w:t>
      </w:r>
      <w:r>
        <w:fldChar w:fldCharType="end"/>
      </w:r>
      <w:r w:rsidR="004B1B2C">
        <w:t xml:space="preserve"> </w:t>
      </w:r>
      <w:r w:rsidR="004B1B2C" w:rsidRPr="00A13D0F">
        <w:t>(α = .6</w:t>
      </w:r>
      <w:r w:rsidR="004B1B2C">
        <w:t>9</w:t>
      </w:r>
      <w:r w:rsidR="004B1B2C" w:rsidRPr="00A13D0F">
        <w:t>)</w:t>
      </w:r>
      <w:r>
        <w:t>.</w:t>
      </w:r>
    </w:p>
    <w:p w14:paraId="313355D4" w14:textId="77777777" w:rsidR="00CB7278" w:rsidRDefault="00CB7278" w:rsidP="001266DC">
      <w:pPr>
        <w:spacing w:line="480" w:lineRule="auto"/>
        <w:ind w:firstLine="720"/>
        <w:rPr>
          <w:u w:val="single"/>
        </w:rPr>
      </w:pPr>
      <w:r w:rsidRPr="00C129AF">
        <w:t>Social Competence</w:t>
      </w:r>
      <w:r w:rsidRPr="00D431C6">
        <w:t xml:space="preserve"> was</w:t>
      </w:r>
      <w:r>
        <w:t xml:space="preserve"> assessed as s</w:t>
      </w:r>
      <w:r w:rsidRPr="00D431C6">
        <w:t>elf-perceived social competence</w:t>
      </w:r>
      <w:r>
        <w:t>. This was</w:t>
      </w:r>
      <w:r w:rsidRPr="00D431C6">
        <w:t xml:space="preserve"> assessed by five items from the Social subscale of the Perceived Competence Scale for Children </w:t>
      </w:r>
      <w:r>
        <w:fldChar w:fldCharType="begin"/>
      </w:r>
      <w:r>
        <w:instrText xml:space="preserve"> ADDIN EN.CITE &lt;EndNote&gt;&lt;Cite&gt;&lt;Author&gt;Harter&lt;/Author&gt;&lt;Year&gt;1982&lt;/Year&gt;&lt;RecNum&gt;8300&lt;/RecNum&gt;&lt;DisplayText&gt;(Harter, 1982)&lt;/DisplayText&gt;&lt;record&gt;&lt;rec-number&gt;8300&lt;/rec-number&gt;&lt;foreign-keys&gt;&lt;key app="EN" db-id="st0fwd5zd59wple9eeaperx8sep0vaax55t0" timestamp="1533830330"&gt;8300&lt;/key&gt;&lt;/foreign-keys&gt;&lt;ref-type name="Journal Article"&gt;17&lt;/ref-type&gt;&lt;contributors&gt;&lt;authors&gt;&lt;author&gt;Harter, Susan&lt;/author&gt;&lt;/authors&gt;&lt;/contributors&gt;&lt;titles&gt;&lt;title&gt;The perceived competence scale for children&lt;/title&gt;&lt;secondary-title&gt;Child development&lt;/secondary-title&gt;&lt;/titles&gt;&lt;periodical&gt;&lt;full-title&gt;Child development&lt;/full-title&gt;&lt;/periodical&gt;&lt;pages&gt;87-97&lt;/pages&gt;&lt;dates&gt;&lt;year&gt;1982&lt;/year&gt;&lt;/dates&gt;&lt;isbn&gt;0009-3920&lt;/isbn&gt;&lt;urls&gt;&lt;/urls&gt;&lt;/record&gt;&lt;/Cite&gt;&lt;/EndNote&gt;</w:instrText>
      </w:r>
      <w:r>
        <w:fldChar w:fldCharType="separate"/>
      </w:r>
      <w:r>
        <w:rPr>
          <w:noProof/>
        </w:rPr>
        <w:t>(Harter, 1982)</w:t>
      </w:r>
      <w:r>
        <w:fldChar w:fldCharType="end"/>
      </w:r>
      <w:r w:rsidRPr="00D431C6">
        <w:t xml:space="preserve"> and seven items from</w:t>
      </w:r>
      <w:r>
        <w:t xml:space="preserve"> </w:t>
      </w:r>
      <w:r>
        <w:fldChar w:fldCharType="begin"/>
      </w:r>
      <w:r>
        <w:instrText xml:space="preserve"> ADDIN EN.CITE &lt;EndNote&gt;&lt;Cite AuthorYear="1"&gt;&lt;Author&gt;Lewinsohn&lt;/Author&gt;&lt;Year&gt;1980&lt;/Year&gt;&lt;RecNum&gt;8301&lt;/RecNum&gt;&lt;DisplayText&gt;Lewinsohn et al. (1980)&lt;/DisplayText&gt;&lt;record&gt;&lt;rec-number&gt;8301&lt;/rec-number&gt;&lt;foreign-keys&gt;&lt;key app="EN" db-id="st0fwd5zd59wple9eeaperx8sep0vaax55t0" timestamp="1533830364"&gt;8301&lt;/key&gt;&lt;/foreign-keys&gt;&lt;ref-type name="Journal Article"&gt;17&lt;/ref-type&gt;&lt;contributors&gt;&lt;authors&gt;&lt;author&gt;Lewinsohn, Peter M&lt;/author&gt;&lt;author&gt;Mischel, Walter&lt;/author&gt;&lt;author&gt;Chaplin, William&lt;/author&gt;&lt;author&gt;Barton, Russell&lt;/author&gt;&lt;/authors&gt;&lt;/contributors&gt;&lt;titles&gt;&lt;title&gt;Social competence and depression: The role of illusory self-perceptions&lt;/title&gt;&lt;secondary-title&gt;Journal of abnormal psychology&lt;/secondary-title&gt;&lt;/titles&gt;&lt;periodical&gt;&lt;full-title&gt;Journal of Abnormal Psychology&lt;/full-title&gt;&lt;/periodical&gt;&lt;pages&gt;203&lt;/pages&gt;&lt;volume&gt;89&lt;/volume&gt;&lt;number&gt;2&lt;/number&gt;&lt;dates&gt;&lt;year&gt;1980&lt;/year&gt;&lt;/dates&gt;&lt;isbn&gt;1939-1846&lt;/isbn&gt;&lt;urls&gt;&lt;/urls&gt;&lt;/record&gt;&lt;/Cite&gt;&lt;/EndNote&gt;</w:instrText>
      </w:r>
      <w:r>
        <w:fldChar w:fldCharType="separate"/>
      </w:r>
      <w:r>
        <w:rPr>
          <w:noProof/>
        </w:rPr>
        <w:t>Lewinsohn et al. (1980)</w:t>
      </w:r>
      <w:r>
        <w:fldChar w:fldCharType="end"/>
      </w:r>
      <w:r w:rsidRPr="00D431C6">
        <w:t xml:space="preserve"> (α = .81).</w:t>
      </w:r>
    </w:p>
    <w:p w14:paraId="19706795" w14:textId="2A7B560F" w:rsidR="00CB7278" w:rsidRDefault="00CB7278" w:rsidP="001266DC">
      <w:pPr>
        <w:spacing w:line="480" w:lineRule="auto"/>
        <w:ind w:firstLine="720"/>
      </w:pPr>
      <w:r w:rsidRPr="00C129AF">
        <w:t>Emotional reliance</w:t>
      </w:r>
      <w:r>
        <w:t xml:space="preserve"> was</w:t>
      </w:r>
      <w:r w:rsidRPr="00555337">
        <w:t xml:space="preserve"> assessed</w:t>
      </w:r>
      <w:r>
        <w:t xml:space="preserve"> as </w:t>
      </w:r>
      <w:r w:rsidRPr="00555337">
        <w:t>the extent to which individuals desire more support and approval from others, are anxious about being alone or abandoned, and are interpersonally sensitive.</w:t>
      </w:r>
      <w:r>
        <w:t xml:space="preserve"> This was assessed with the Emotional Reliance Scale </w:t>
      </w:r>
      <w:r>
        <w:fldChar w:fldCharType="begin"/>
      </w:r>
      <w:r>
        <w:instrText xml:space="preserve"> ADDIN EN.CITE &lt;EndNote&gt;&lt;Cite&gt;&lt;Author&gt;Hirschfeld&lt;/Author&gt;&lt;Year&gt;1976&lt;/Year&gt;&lt;RecNum&gt;8302&lt;/RecNum&gt;&lt;Prefix&gt;10 items`; &lt;/Prefix&gt;&lt;DisplayText&gt;(10 items; Hirschfeld et al., 1976)&lt;/DisplayText&gt;&lt;record&gt;&lt;rec-number&gt;8302&lt;/rec-number&gt;&lt;foreign-keys&gt;&lt;key app="EN" db-id="st0fwd5zd59wple9eeaperx8sep0vaax55t0" timestamp="1533830525"&gt;8302&lt;/key&gt;&lt;/foreign-keys&gt;&lt;ref-type name="Journal Article"&gt;17&lt;/ref-type&gt;&lt;contributors&gt;&lt;authors&gt;&lt;author&gt;Hirschfeld, Robert MA&lt;/author&gt;&lt;author&gt;Klerman, Gerald L&lt;/author&gt;&lt;author&gt;Chodoff, Paul&lt;/author&gt;&lt;author&gt;Korchin, Sheldon&lt;/author&gt;&lt;author&gt;Barrett, James&lt;/author&gt;&lt;/authors&gt;&lt;/contributors&gt;&lt;titles&gt;&lt;title&gt;Dependency—Self–Esteem—Clinical Depression&lt;/title&gt;&lt;secondary-title&gt;Journal of the American Academy of Psychoanalysis&lt;/secondary-title&gt;&lt;/titles&gt;&lt;pages&gt;373-388&lt;/pages&gt;&lt;volume&gt;4&lt;/volume&gt;&lt;number&gt;3&lt;/number&gt;&lt;dates&gt;&lt;year&gt;1976&lt;/year&gt;&lt;/dates&gt;&lt;isbn&gt;0090-3604&lt;/isbn&gt;&lt;urls&gt;&lt;/urls&gt;&lt;/record&gt;&lt;/Cite&gt;&lt;/EndNote&gt;</w:instrText>
      </w:r>
      <w:r>
        <w:fldChar w:fldCharType="separate"/>
      </w:r>
      <w:r>
        <w:rPr>
          <w:noProof/>
        </w:rPr>
        <w:t>(10 items; Hirschfeld et al., 1976)</w:t>
      </w:r>
      <w:r>
        <w:fldChar w:fldCharType="end"/>
      </w:r>
      <w:r w:rsidR="004B1B2C">
        <w:t xml:space="preserve"> </w:t>
      </w:r>
      <w:r w:rsidR="004B1B2C" w:rsidRPr="00A13D0F">
        <w:t>(α = .</w:t>
      </w:r>
      <w:r w:rsidR="004B1B2C">
        <w:t>8</w:t>
      </w:r>
      <w:r w:rsidR="004B1B2C" w:rsidRPr="00A13D0F">
        <w:t>3)</w:t>
      </w:r>
      <w:r>
        <w:t>.</w:t>
      </w:r>
    </w:p>
    <w:p w14:paraId="08427023" w14:textId="057EDF36" w:rsidR="00CB7278" w:rsidRPr="00555337" w:rsidRDefault="00CB7278" w:rsidP="001266DC">
      <w:pPr>
        <w:spacing w:line="480" w:lineRule="auto"/>
        <w:ind w:firstLine="720"/>
        <w:rPr>
          <w:i/>
          <w:u w:val="single"/>
        </w:rPr>
      </w:pPr>
      <w:r w:rsidRPr="00C129AF">
        <w:lastRenderedPageBreak/>
        <w:t>Coping skills</w:t>
      </w:r>
      <w:r>
        <w:t xml:space="preserve"> were assessed as </w:t>
      </w:r>
      <w:r w:rsidRPr="00555337">
        <w:t>the way in which individuals cope with stressful situations</w:t>
      </w:r>
      <w:r>
        <w:t xml:space="preserve">. This was assessed using </w:t>
      </w:r>
      <w:r w:rsidR="00C17D32">
        <w:t xml:space="preserve">a total of 17 </w:t>
      </w:r>
      <w:r>
        <w:t xml:space="preserve">items </w:t>
      </w:r>
      <w:r w:rsidRPr="00A13D0F">
        <w:t>from the Self-Control Scale</w:t>
      </w:r>
      <w:r>
        <w:t xml:space="preserve"> </w:t>
      </w:r>
      <w:r>
        <w:fldChar w:fldCharType="begin"/>
      </w:r>
      <w:r>
        <w:instrText xml:space="preserve"> ADDIN EN.CITE &lt;EndNote&gt;&lt;Cite&gt;&lt;Author&gt;Rosenbaum&lt;/Author&gt;&lt;Year&gt;1980&lt;/Year&gt;&lt;RecNum&gt;8303&lt;/RecNum&gt;&lt;DisplayText&gt;(Rosenbaum, 1980)&lt;/DisplayText&gt;&lt;record&gt;&lt;rec-number&gt;8303&lt;/rec-number&gt;&lt;foreign-keys&gt;&lt;key app="EN" db-id="st0fwd5zd59wple9eeaperx8sep0vaax55t0" timestamp="1533830581"&gt;8303&lt;/key&gt;&lt;/foreign-keys&gt;&lt;ref-type name="Journal Article"&gt;17&lt;/ref-type&gt;&lt;contributors&gt;&lt;authors&gt;&lt;author&gt;Rosenbaum, Michael&lt;/author&gt;&lt;/authors&gt;&lt;/contributors&gt;&lt;titles&gt;&lt;title&gt;A schedule for assessing self-control behaviors: Preliminary findings&lt;/title&gt;&lt;secondary-title&gt;Behavior therapy&lt;/secondary-title&gt;&lt;/titles&gt;&lt;periodical&gt;&lt;full-title&gt;Behavior Therapy&lt;/full-title&gt;&lt;/periodical&gt;&lt;pages&gt;109-121&lt;/pages&gt;&lt;volume&gt;11&lt;/volume&gt;&lt;number&gt;1&lt;/number&gt;&lt;dates&gt;&lt;year&gt;1980&lt;/year&gt;&lt;/dates&gt;&lt;isbn&gt;0005-7894&lt;/isbn&gt;&lt;urls&gt;&lt;/urls&gt;&lt;/record&gt;&lt;/Cite&gt;&lt;/EndNote&gt;</w:instrText>
      </w:r>
      <w:r>
        <w:fldChar w:fldCharType="separate"/>
      </w:r>
      <w:r>
        <w:rPr>
          <w:noProof/>
        </w:rPr>
        <w:t>(Rosenbaum, 1980)</w:t>
      </w:r>
      <w:r>
        <w:fldChar w:fldCharType="end"/>
      </w:r>
      <w:r w:rsidRPr="00A13D0F">
        <w:t>, the Antidep</w:t>
      </w:r>
      <w:r>
        <w:t xml:space="preserve">ressive Activity Questionnaire </w:t>
      </w:r>
      <w:r>
        <w:fldChar w:fldCharType="begin"/>
      </w:r>
      <w:r>
        <w:instrText xml:space="preserve"> ADDIN EN.CITE &lt;EndNote&gt;&lt;Cite&gt;&lt;Author&gt;Rippere&lt;/Author&gt;&lt;Year&gt;1977&lt;/Year&gt;&lt;RecNum&gt;8304&lt;/RecNum&gt;&lt;DisplayText&gt;(Rippere, 1977)&lt;/DisplayText&gt;&lt;record&gt;&lt;rec-number&gt;8304&lt;/rec-number&gt;&lt;foreign-keys&gt;&lt;key app="EN" db-id="st0fwd5zd59wple9eeaperx8sep0vaax55t0" timestamp="1533830617"&gt;8304&lt;/key&gt;&lt;/foreign-keys&gt;&lt;ref-type name="Journal Article"&gt;17&lt;/ref-type&gt;&lt;contributors&gt;&lt;authors&gt;&lt;author&gt;Rippere, Vicky&lt;/author&gt;&lt;/authors&gt;&lt;/contributors&gt;&lt;titles&gt;&lt;title&gt;What&amp;apos;s the thing to do when you&amp;apos;re feeling depressed: A pilot study&lt;/title&gt;&lt;secondary-title&gt;Behaviour Research and Therapy&lt;/secondary-title&gt;&lt;/titles&gt;&lt;dates&gt;&lt;year&gt;1977&lt;/year&gt;&lt;/dates&gt;&lt;isbn&gt;0005-7967&lt;/isbn&gt;&lt;urls&gt;&lt;/urls&gt;&lt;/record&gt;&lt;/Cite&gt;&lt;/EndNote&gt;</w:instrText>
      </w:r>
      <w:r>
        <w:fldChar w:fldCharType="separate"/>
      </w:r>
      <w:r>
        <w:rPr>
          <w:noProof/>
        </w:rPr>
        <w:t>(Rippere, 1977)</w:t>
      </w:r>
      <w:r>
        <w:fldChar w:fldCharType="end"/>
      </w:r>
      <w:r w:rsidRPr="00A13D0F">
        <w:t xml:space="preserve"> modified by</w:t>
      </w:r>
      <w:r>
        <w:t xml:space="preserve"> </w:t>
      </w:r>
      <w:r>
        <w:fldChar w:fldCharType="begin"/>
      </w:r>
      <w:r>
        <w:instrText xml:space="preserve"> ADDIN EN.CITE &lt;EndNote&gt;&lt;Cite AuthorYear="1"&gt;&lt;Author&gt;Parker&lt;/Author&gt;&lt;Year&gt;1979&lt;/Year&gt;&lt;RecNum&gt;8305&lt;/RecNum&gt;&lt;DisplayText&gt;Parker and Brown (1979)&lt;/DisplayText&gt;&lt;record&gt;&lt;rec-number&gt;8305&lt;/rec-number&gt;&lt;foreign-keys&gt;&lt;key app="EN" db-id="st0fwd5zd59wple9eeaperx8sep0vaax55t0" timestamp="1533830655"&gt;8305&lt;/key&gt;&lt;/foreign-keys&gt;&lt;ref-type name="Journal Article"&gt;17&lt;/ref-type&gt;&lt;contributors&gt;&lt;authors&gt;&lt;author&gt;Parker, Gordon&lt;/author&gt;&lt;author&gt;Brown, LB&lt;/author&gt;&lt;/authors&gt;&lt;/contributors&gt;&lt;titles&gt;&lt;title&gt;Repertoires of Response to Potential Precipstants of Depression&lt;/title&gt;&lt;secondary-title&gt;Australian and New Zealand Journal of Psychiatry&lt;/secondary-title&gt;&lt;/titles&gt;&lt;pages&gt;327-333&lt;/pages&gt;&lt;volume&gt;13&lt;/volume&gt;&lt;number&gt;4&lt;/number&gt;&lt;dates&gt;&lt;year&gt;1979&lt;/year&gt;&lt;/dates&gt;&lt;isbn&gt;0004-8674&lt;/isbn&gt;&lt;urls&gt;&lt;/urls&gt;&lt;/record&gt;&lt;/Cite&gt;&lt;/EndNote&gt;</w:instrText>
      </w:r>
      <w:r>
        <w:fldChar w:fldCharType="separate"/>
      </w:r>
      <w:r>
        <w:rPr>
          <w:noProof/>
        </w:rPr>
        <w:t>Parker and Brown (1979)</w:t>
      </w:r>
      <w:r>
        <w:fldChar w:fldCharType="end"/>
      </w:r>
      <w:r w:rsidRPr="00A13D0F">
        <w:t xml:space="preserve">, and the </w:t>
      </w:r>
      <w:r>
        <w:t xml:space="preserve">Ways of Coping Questionnaire </w:t>
      </w:r>
      <w:r>
        <w:fldChar w:fldCharType="begin"/>
      </w:r>
      <w:r>
        <w:instrText xml:space="preserve"> ADDIN EN.CITE &lt;EndNote&gt;&lt;Cite&gt;&lt;Author&gt;Folkman&lt;/Author&gt;&lt;Year&gt;1980&lt;/Year&gt;&lt;RecNum&gt;8306&lt;/RecNum&gt;&lt;DisplayText&gt;(Folkman and Lazarus, 1980)&lt;/DisplayText&gt;&lt;record&gt;&lt;rec-number&gt;8306&lt;/rec-number&gt;&lt;foreign-keys&gt;&lt;key app="EN" db-id="st0fwd5zd59wple9eeaperx8sep0vaax55t0" timestamp="1533830695"&gt;8306&lt;/key&gt;&lt;/foreign-keys&gt;&lt;ref-type name="Journal Article"&gt;17&lt;/ref-type&gt;&lt;contributors&gt;&lt;authors&gt;&lt;author&gt;Folkman, Susan&lt;/author&gt;&lt;author&gt;Lazarus, Richard S&lt;/author&gt;&lt;/authors&gt;&lt;/contributors&gt;&lt;titles&gt;&lt;title&gt;An analysis of coping in a middle-aged community sample&lt;/title&gt;&lt;secondary-title&gt;Journal of health and social behavior&lt;/secondary-title&gt;&lt;/titles&gt;&lt;pages&gt;219-239&lt;/pages&gt;&lt;dates&gt;&lt;year&gt;1980&lt;/year&gt;&lt;/dates&gt;&lt;isbn&gt;0022-1465&lt;/isbn&gt;&lt;urls&gt;&lt;/urls&gt;&lt;/record&gt;&lt;/Cite&gt;&lt;/EndNote&gt;</w:instrText>
      </w:r>
      <w:r>
        <w:fldChar w:fldCharType="separate"/>
      </w:r>
      <w:r>
        <w:rPr>
          <w:noProof/>
        </w:rPr>
        <w:t>(Folkman and Lazarus, 1980)</w:t>
      </w:r>
      <w:r>
        <w:fldChar w:fldCharType="end"/>
      </w:r>
      <w:r w:rsidRPr="00A13D0F">
        <w:t xml:space="preserve"> (α = .76).</w:t>
      </w:r>
      <w:r w:rsidRPr="00555337">
        <w:rPr>
          <w:i/>
          <w:u w:val="single"/>
        </w:rPr>
        <w:t xml:space="preserve"> </w:t>
      </w:r>
    </w:p>
    <w:p w14:paraId="77D49A3F" w14:textId="26A1786F" w:rsidR="00CB7278" w:rsidRPr="00C17D32" w:rsidRDefault="00CB7278" w:rsidP="001266DC">
      <w:pPr>
        <w:spacing w:line="480" w:lineRule="auto"/>
        <w:ind w:firstLine="720"/>
      </w:pPr>
      <w:r w:rsidRPr="00C129AF">
        <w:t>Future aspirations</w:t>
      </w:r>
      <w:r>
        <w:t xml:space="preserve"> assessed importance of future success in multiple domains of functioning, including academic (α = .72), family (α = .61), and occupation (α = .63). These were assessed by 13 items adapted from Importance Placed on Life Goals Scale </w:t>
      </w:r>
      <w:r>
        <w:fldChar w:fldCharType="begin"/>
      </w:r>
      <w:r>
        <w:instrText xml:space="preserve"> ADDIN EN.CITE &lt;EndNote&gt;&lt;Cite&gt;&lt;Author&gt;Bachman&lt;/Author&gt;&lt;Year&gt;1985, May&lt;/Year&gt;&lt;RecNum&gt;8307&lt;/RecNum&gt;&lt;DisplayText&gt;(Bachman, 1985)&lt;/DisplayText&gt;&lt;record&gt;&lt;rec-number&gt;8307&lt;/rec-number&gt;&lt;foreign-keys&gt;&lt;key app="EN" db-id="st0fwd5zd59wple9eeaperx8sep0vaax55t0" timestamp="1533830738"&gt;8307&lt;/key&gt;&lt;/foreign-keys&gt;&lt;ref-type name="Conference Paper"&gt;47&lt;/ref-type&gt;&lt;contributors&gt;&lt;authors&gt;&lt;author&gt;Bachman, Jerald G&lt;/author&gt;&lt;/authors&gt;&lt;/contributors&gt;&lt;titles&gt;&lt;title&gt;Some Recent Trends in the Aspirations, Concerns, and Behaviors of American Young People&lt;/title&gt;&lt;secondary-title&gt;Association for Public Opinion Research&lt;/secondary-title&gt;&lt;/titles&gt;&lt;dates&gt;&lt;year&gt;1985&lt;/year&gt;&lt;/dates&gt;&lt;pub-location&gt;McAfee, NJ.&lt;/pub-location&gt;&lt;urls&gt;&lt;/urls&gt;&lt;/record&gt;&lt;/Cite&gt;&lt;/EndNote&gt;</w:instrText>
      </w:r>
      <w:r>
        <w:fldChar w:fldCharType="separate"/>
      </w:r>
      <w:r>
        <w:rPr>
          <w:noProof/>
        </w:rPr>
        <w:t>(Bachman, 1985)</w:t>
      </w:r>
      <w:r>
        <w:fldChar w:fldCharType="end"/>
      </w:r>
      <w:r>
        <w:t xml:space="preserve">. </w:t>
      </w:r>
      <w:r w:rsidR="00C17D32">
        <w:t xml:space="preserve">The domains of future aspirations were minimally correlated (range in </w:t>
      </w:r>
      <w:r w:rsidR="00C17D32">
        <w:rPr>
          <w:i/>
        </w:rPr>
        <w:t>r</w:t>
      </w:r>
      <w:r w:rsidR="00C17D32">
        <w:t>: -.01 - .13). Thus, these were included as distinct indicator variables.</w:t>
      </w:r>
    </w:p>
    <w:p w14:paraId="322E512F" w14:textId="6B7B8E9E" w:rsidR="00CB7278" w:rsidRDefault="00CB7278" w:rsidP="001266DC">
      <w:pPr>
        <w:spacing w:line="480" w:lineRule="auto"/>
        <w:ind w:firstLine="720"/>
      </w:pPr>
      <w:r w:rsidRPr="00C129AF">
        <w:t>Social support: Family</w:t>
      </w:r>
      <w:r w:rsidRPr="00113996">
        <w:t xml:space="preserve"> assessed enjoyable</w:t>
      </w:r>
      <w:r>
        <w:t xml:space="preserve"> and aversive interactions with family members using items from the Appraisal of Parents subscale of the Conflict Behavior Questionnaire </w:t>
      </w:r>
      <w:r>
        <w:fldChar w:fldCharType="begin"/>
      </w:r>
      <w:r>
        <w:instrText xml:space="preserve"> ADDIN EN.CITE &lt;EndNote&gt;&lt;Cite&gt;&lt;Author&gt;Prinz&lt;/Author&gt;&lt;Year&gt;1979&lt;/Year&gt;&lt;RecNum&gt;8308&lt;/RecNum&gt;&lt;Prefix&gt;11 items`; &lt;/Prefix&gt;&lt;DisplayText&gt;(11 items; Prinz et al., 1979)&lt;/DisplayText&gt;&lt;record&gt;&lt;rec-number&gt;8308&lt;/rec-number&gt;&lt;foreign-keys&gt;&lt;key app="EN" db-id="st0fwd5zd59wple9eeaperx8sep0vaax55t0" timestamp="1533830845"&gt;8308&lt;/key&gt;&lt;/foreign-keys&gt;&lt;ref-type name="Journal Article"&gt;17&lt;/ref-type&gt;&lt;contributors&gt;&lt;authors&gt;&lt;author&gt;Prinz, Ronald J&lt;/author&gt;&lt;author&gt;Foster, Sharon&lt;/author&gt;&lt;author&gt;Kent, Ronald N&lt;/author&gt;&lt;author&gt;O&amp;apos;Leary, K Daniel&lt;/author&gt;&lt;/authors&gt;&lt;/contributors&gt;&lt;titles&gt;&lt;title&gt;Multivariate assessment of conflict in distressed and nondistressed mother‐adolescent dyads&lt;/title&gt;&lt;secondary-title&gt;Journal of applied behavior analysis&lt;/secondary-title&gt;&lt;/titles&gt;&lt;pages&gt;691-700&lt;/pages&gt;&lt;volume&gt;12&lt;/volume&gt;&lt;number&gt;4&lt;/number&gt;&lt;dates&gt;&lt;year&gt;1979&lt;/year&gt;&lt;/dates&gt;&lt;isbn&gt;0021-8855&lt;/isbn&gt;&lt;urls&gt;&lt;/urls&gt;&lt;/record&gt;&lt;/Cite&gt;&lt;/EndNote&gt;</w:instrText>
      </w:r>
      <w:r>
        <w:fldChar w:fldCharType="separate"/>
      </w:r>
      <w:r>
        <w:rPr>
          <w:noProof/>
        </w:rPr>
        <w:t>(11 items; Prinz et al., 1979)</w:t>
      </w:r>
      <w:r>
        <w:fldChar w:fldCharType="end"/>
      </w:r>
      <w:r>
        <w:t xml:space="preserve">, the Parent Attitude Research Instrument </w:t>
      </w:r>
      <w:r>
        <w:fldChar w:fldCharType="begin"/>
      </w:r>
      <w:r>
        <w:instrText xml:space="preserve"> ADDIN EN.CITE &lt;EndNote&gt;&lt;Cite&gt;&lt;Author&gt;Schaefer&lt;/Author&gt;&lt;Year&gt;1965&lt;/Year&gt;&lt;RecNum&gt;8309&lt;/RecNum&gt;&lt;Prefix&gt;6 items`; &lt;/Prefix&gt;&lt;DisplayText&gt;(6 items; Schaefer, 1965)&lt;/DisplayText&gt;&lt;record&gt;&lt;rec-number&gt;8309&lt;/rec-number&gt;&lt;foreign-keys&gt;&lt;key app="EN" db-id="st0fwd5zd59wple9eeaperx8sep0vaax55t0" timestamp="1533830919"&gt;8309&lt;/key&gt;&lt;/foreign-keys&gt;&lt;ref-type name="Journal Article"&gt;17&lt;/ref-type&gt;&lt;contributors&gt;&lt;authors&gt;&lt;author&gt;Schaefer, Earl S&lt;/author&gt;&lt;/authors&gt;&lt;/contributors&gt;&lt;titles&gt;&lt;title&gt;Children&amp;apos;s reports of parental behavior: An inventory&lt;/title&gt;&lt;secondary-title&gt;Child development&lt;/secondary-title&gt;&lt;/titles&gt;&lt;periodical&gt;&lt;full-title&gt;Child development&lt;/full-title&gt;&lt;/periodical&gt;&lt;pages&gt;413-424&lt;/pages&gt;&lt;dates&gt;&lt;year&gt;1965&lt;/year&gt;&lt;/dates&gt;&lt;isbn&gt;0009-3920&lt;/isbn&gt;&lt;urls&gt;&lt;/urls&gt;&lt;/record&gt;&lt;/Cite&gt;&lt;/EndNote&gt;</w:instrText>
      </w:r>
      <w:r>
        <w:fldChar w:fldCharType="separate"/>
      </w:r>
      <w:r>
        <w:rPr>
          <w:noProof/>
        </w:rPr>
        <w:t>(6 items; Schaefer, 1965)</w:t>
      </w:r>
      <w:r>
        <w:fldChar w:fldCharType="end"/>
      </w:r>
      <w:r>
        <w:t xml:space="preserve">, the Cohesion subscale of the Family Environment Scale </w:t>
      </w:r>
      <w:r>
        <w:fldChar w:fldCharType="begin"/>
      </w:r>
      <w:r>
        <w:instrText xml:space="preserve"> ADDIN EN.CITE &lt;EndNote&gt;&lt;Cite&gt;&lt;Author&gt;Moos&lt;/Author&gt;&lt;Year&gt;1974&lt;/Year&gt;&lt;RecNum&gt;8310&lt;/RecNum&gt;&lt;Prefix&gt;3 items`; &lt;/Prefix&gt;&lt;DisplayText&gt;(3 items; Moos, 1974)&lt;/DisplayText&gt;&lt;record&gt;&lt;rec-number&gt;8310&lt;/rec-number&gt;&lt;foreign-keys&gt;&lt;key app="EN" db-id="st0fwd5zd59wple9eeaperx8sep0vaax55t0" timestamp="1533831008"&gt;8310&lt;/key&gt;&lt;/foreign-keys&gt;&lt;ref-type name="Journal Article"&gt;17&lt;/ref-type&gt;&lt;contributors&gt;&lt;authors&gt;&lt;author&gt;Moos, RH&lt;/author&gt;&lt;/authors&gt;&lt;/contributors&gt;&lt;titles&gt;&lt;title&gt;Family environment scale preliminary manual&lt;/title&gt;&lt;secondary-title&gt;Palo Alto, CA: Consulting&lt;/secondary-title&gt;&lt;/titles&gt;&lt;dates&gt;&lt;year&gt;1974&lt;/year&gt;&lt;/dates&gt;&lt;urls&gt;&lt;/urls&gt;&lt;/record&gt;&lt;/Cite&gt;&lt;/EndNote&gt;</w:instrText>
      </w:r>
      <w:r>
        <w:fldChar w:fldCharType="separate"/>
      </w:r>
      <w:r>
        <w:rPr>
          <w:noProof/>
        </w:rPr>
        <w:t>(3 items; Moos, 1974)</w:t>
      </w:r>
      <w:r>
        <w:fldChar w:fldCharType="end"/>
      </w:r>
      <w:r>
        <w:t xml:space="preserve">, the Arizona Social Support Interview Schedule </w:t>
      </w:r>
      <w:r>
        <w:fldChar w:fldCharType="begin"/>
      </w:r>
      <w:r w:rsidR="00C17D32">
        <w:instrText xml:space="preserve"> ADDIN EN.CITE &lt;EndNote&gt;&lt;Cite&gt;&lt;Author&gt;Barrera&lt;/Author&gt;&lt;Year&gt;1980&lt;/Year&gt;&lt;RecNum&gt;8311&lt;/RecNum&gt;&lt;Prefix&gt;27 items`; &lt;/Prefix&gt;&lt;DisplayText&gt;(27 items; Barrera, 1980)&lt;/DisplayText&gt;&lt;record&gt;&lt;rec-number&gt;8311&lt;/rec-number&gt;&lt;foreign-keys&gt;&lt;key app="EN" db-id="st0fwd5zd59wple9eeaperx8sep0vaax55t0" timestamp="1533831075"&gt;8311&lt;/key&gt;&lt;/foreign-keys&gt;&lt;ref-type name="Journal Article"&gt;17&lt;/ref-type&gt;&lt;contributors&gt;&lt;authors&gt;&lt;author&gt;Barrera, Manuel&lt;/author&gt;&lt;/authors&gt;&lt;/contributors&gt;&lt;titles&gt;&lt;title&gt;A method for the assessment of social support networks in community survey research&lt;/title&gt;&lt;secondary-title&gt;Connections&lt;/secondary-title&gt;&lt;/titles&gt;&lt;pages&gt;8-13&lt;/pages&gt;&lt;volume&gt;3&lt;/volume&gt;&lt;number&gt;3&lt;/number&gt;&lt;dates&gt;&lt;year&gt;1980&lt;/year&gt;&lt;/dates&gt;&lt;urls&gt;&lt;/urls&gt;&lt;/record&gt;&lt;/Cite&gt;&lt;Cite&gt;&lt;Author&gt;Barrera&lt;/Author&gt;&lt;Year&gt;1980&lt;/Year&gt;&lt;RecNum&gt;8311&lt;/RecNum&gt;&lt;record&gt;&lt;rec-number&gt;8311&lt;/rec-number&gt;&lt;foreign-keys&gt;&lt;key app="EN" db-id="st0fwd5zd59wple9eeaperx8sep0vaax55t0" timestamp="1533831075"&gt;8311&lt;/key&gt;&lt;/foreign-keys&gt;&lt;ref-type name="Journal Article"&gt;17&lt;/ref-type&gt;&lt;contributors&gt;&lt;authors&gt;&lt;author&gt;Barrera, Manuel&lt;/author&gt;&lt;/authors&gt;&lt;/contributors&gt;&lt;titles&gt;&lt;title&gt;A method for the assessment of social support networks in community survey research&lt;/title&gt;&lt;secondary-title&gt;Connections&lt;/secondary-title&gt;&lt;/titles&gt;&lt;pages&gt;8-13&lt;/pages&gt;&lt;volume&gt;3&lt;/volume&gt;&lt;number&gt;3&lt;/number&gt;&lt;dates&gt;&lt;year&gt;1980&lt;/year&gt;&lt;/dates&gt;&lt;urls&gt;&lt;/urls&gt;&lt;/record&gt;&lt;/Cite&gt;&lt;/EndNote&gt;</w:instrText>
      </w:r>
      <w:r>
        <w:fldChar w:fldCharType="separate"/>
      </w:r>
      <w:r w:rsidR="00C17D32">
        <w:rPr>
          <w:noProof/>
        </w:rPr>
        <w:t>(27 items; Barrera, 1980)</w:t>
      </w:r>
      <w:r>
        <w:fldChar w:fldCharType="end"/>
      </w:r>
      <w:r>
        <w:t xml:space="preserve">, and the Social Competence Scale of the Youth Self-Report </w:t>
      </w:r>
      <w:r>
        <w:fldChar w:fldCharType="begin"/>
      </w:r>
      <w:r>
        <w:instrText xml:space="preserve"> ADDIN EN.CITE &lt;EndNote&gt;&lt;Cite&gt;&lt;Author&gt;Achenbach&lt;/Author&gt;&lt;Year&gt;1987&lt;/Year&gt;&lt;RecNum&gt;8312&lt;/RecNum&gt;&lt;Prefix&gt;2 items`; &lt;/Prefix&gt;&lt;DisplayText&gt;(2 items; Achenbach and Edelbrock, 1987)&lt;/DisplayText&gt;&lt;record&gt;&lt;rec-number&gt;8312&lt;/rec-number&gt;&lt;foreign-keys&gt;&lt;key app="EN" db-id="st0fwd5zd59wple9eeaperx8sep0vaax55t0" timestamp="1533831279"&gt;8312&lt;/key&gt;&lt;/foreign-keys&gt;&lt;ref-type name="Book"&gt;6&lt;/ref-type&gt;&lt;contributors&gt;&lt;authors&gt;&lt;author&gt;Achenbach, Thomas M&lt;/author&gt;&lt;author&gt;Edelbrock, Craig S&lt;/author&gt;&lt;/authors&gt;&lt;/contributors&gt;&lt;titles&gt;&lt;title&gt;Manual for the youth self-report and profile&lt;/title&gt;&lt;/titles&gt;&lt;dates&gt;&lt;year&gt;1987&lt;/year&gt;&lt;/dates&gt;&lt;publisher&gt;University of Vermont. Department of Psychiatry&lt;/publisher&gt;&lt;urls&gt;&lt;/urls&gt;&lt;/record&gt;&lt;/Cite&gt;&lt;/EndNote&gt;</w:instrText>
      </w:r>
      <w:r>
        <w:fldChar w:fldCharType="separate"/>
      </w:r>
      <w:r>
        <w:rPr>
          <w:noProof/>
        </w:rPr>
        <w:t>(2 items; Achenbach and Edelbrock, 1987)</w:t>
      </w:r>
      <w:r>
        <w:fldChar w:fldCharType="end"/>
      </w:r>
      <w:r>
        <w:t xml:space="preserve"> </w:t>
      </w:r>
      <w:r>
        <w:rPr>
          <w:bCs/>
        </w:rPr>
        <w:t xml:space="preserve">(α = .77). </w:t>
      </w:r>
    </w:p>
    <w:p w14:paraId="35ED39F0" w14:textId="77777777" w:rsidR="00CB7278" w:rsidRDefault="00CB7278" w:rsidP="001266DC">
      <w:pPr>
        <w:spacing w:line="480" w:lineRule="auto"/>
        <w:rPr>
          <w:bCs/>
        </w:rPr>
      </w:pPr>
      <w:r w:rsidRPr="00C129AF">
        <w:tab/>
        <w:t>Social support: Friends</w:t>
      </w:r>
      <w:r>
        <w:t xml:space="preserve"> assessed the number of friends, frequency of interaction, and relationship quality on the basis of items from the Social Competence Scales of the Youth Self-Report </w:t>
      </w:r>
      <w:r>
        <w:fldChar w:fldCharType="begin"/>
      </w:r>
      <w:r>
        <w:instrText xml:space="preserve"> ADDIN EN.CITE &lt;EndNote&gt;&lt;Cite&gt;&lt;Author&gt;Achenbach&lt;/Author&gt;&lt;Year&gt;1987&lt;/Year&gt;&lt;RecNum&gt;8312&lt;/RecNum&gt;&lt;Prefix&gt;3 items`;&lt;/Prefix&gt;&lt;DisplayText&gt;(3 items;Achenbach and Edelbrock, 1987)&lt;/DisplayText&gt;&lt;record&gt;&lt;rec-number&gt;8312&lt;/rec-number&gt;&lt;foreign-keys&gt;&lt;key app="EN" db-id="st0fwd5zd59wple9eeaperx8sep0vaax55t0" timestamp="1533831279"&gt;8312&lt;/key&gt;&lt;/foreign-keys&gt;&lt;ref-type name="Book"&gt;6&lt;/ref-type&gt;&lt;contributors&gt;&lt;authors&gt;&lt;author&gt;Achenbach, Thomas M&lt;/author&gt;&lt;author&gt;Edelbrock, Craig S&lt;/author&gt;&lt;/authors&gt;&lt;/contributors&gt;&lt;titles&gt;&lt;title&gt;Manual for the youth self-report and profile&lt;/title&gt;&lt;/titles&gt;&lt;dates&gt;&lt;year&gt;1987&lt;/year&gt;&lt;/dates&gt;&lt;publisher&gt;University of Vermont. Department of Psychiatry&lt;/publisher&gt;&lt;urls&gt;&lt;/urls&gt;&lt;/record&gt;&lt;/Cite&gt;&lt;/EndNote&gt;</w:instrText>
      </w:r>
      <w:r>
        <w:fldChar w:fldCharType="separate"/>
      </w:r>
      <w:r>
        <w:rPr>
          <w:noProof/>
        </w:rPr>
        <w:t>(3 items;Achenbach and Edelbrock, 1987)</w:t>
      </w:r>
      <w:r>
        <w:fldChar w:fldCharType="end"/>
      </w:r>
      <w:r>
        <w:t xml:space="preserve">, the UCLA Loneliness Scale </w:t>
      </w:r>
      <w:r>
        <w:fldChar w:fldCharType="begin"/>
      </w:r>
      <w:r>
        <w:instrText xml:space="preserve"> ADDIN EN.CITE &lt;EndNote&gt;&lt;Cite&gt;&lt;Author&gt;Russell&lt;/Author&gt;&lt;Year&gt;1980&lt;/Year&gt;&lt;RecNum&gt;8314&lt;/RecNum&gt;&lt;Prefix&gt;8 items`; &lt;/Prefix&gt;&lt;DisplayText&gt;(8 items; Russell et al., 1980)&lt;/DisplayText&gt;&lt;record&gt;&lt;rec-number&gt;8314&lt;/rec-number&gt;&lt;foreign-keys&gt;&lt;key app="EN" db-id="st0fwd5zd59wple9eeaperx8sep0vaax55t0" timestamp="1533831539"&gt;8314&lt;/key&gt;&lt;/foreign-keys&gt;&lt;ref-type name="Journal Article"&gt;17&lt;/ref-type&gt;&lt;contributors&gt;&lt;authors&gt;&lt;author&gt;Russell, Dan&lt;/author&gt;&lt;author&gt;Peplau, Letitia A&lt;/author&gt;&lt;author&gt;Cutrona, Carolyn E&lt;/author&gt;&lt;/authors&gt;&lt;/contributors&gt;&lt;titles&gt;&lt;title&gt;The revised UCLA Loneliness Scale: Concurrent and discriminant validity evidence&lt;/title&gt;&lt;secondary-title&gt;Journal of personality and social psychology&lt;/secondary-title&gt;&lt;/titles&gt;&lt;pages&gt;472-480&lt;/pages&gt;&lt;volume&gt;39&lt;/volume&gt;&lt;number&gt;3&lt;/number&gt;&lt;dates&gt;&lt;year&gt;1980&lt;/year&gt;&lt;/dates&gt;&lt;isbn&gt;0022-3514&lt;/isbn&gt;&lt;urls&gt;&lt;/urls&gt;&lt;/record&gt;&lt;/Cite&gt;&lt;/EndNote&gt;</w:instrText>
      </w:r>
      <w:r>
        <w:fldChar w:fldCharType="separate"/>
      </w:r>
      <w:r>
        <w:rPr>
          <w:noProof/>
        </w:rPr>
        <w:t>(8 items; Russell et al., 1980)</w:t>
      </w:r>
      <w:r>
        <w:fldChar w:fldCharType="end"/>
      </w:r>
      <w:r>
        <w:t xml:space="preserve">, and the number of friends listed as providing social support </w:t>
      </w:r>
      <w:r>
        <w:fldChar w:fldCharType="begin"/>
      </w:r>
      <w:r>
        <w:instrText xml:space="preserve"> ADDIN EN.CITE &lt;EndNote&gt;&lt;Cite&gt;&lt;Author&gt;Barrera&lt;/Author&gt;&lt;Year&gt;1980&lt;/Year&gt;&lt;RecNum&gt;8311&lt;/RecNum&gt;&lt;DisplayText&gt;(Barrera, 1980)&lt;/DisplayText&gt;&lt;record&gt;&lt;rec-number&gt;8311&lt;/rec-number&gt;&lt;foreign-keys&gt;&lt;key app="EN" db-id="st0fwd5zd59wple9eeaperx8sep0vaax55t0" timestamp="1533831075"&gt;8311&lt;/key&gt;&lt;/foreign-keys&gt;&lt;ref-type name="Journal Article"&gt;17&lt;/ref-type&gt;&lt;contributors&gt;&lt;authors&gt;&lt;author&gt;Barrera, Manuel&lt;/author&gt;&lt;/authors&gt;&lt;/contributors&gt;&lt;titles&gt;&lt;title&gt;A method for the assessment of social support networks in community survey research&lt;/title&gt;&lt;secondary-title&gt;Connections&lt;/secondary-title&gt;&lt;/titles&gt;&lt;pages&gt;8-13&lt;/pages&gt;&lt;volume&gt;3&lt;/volume&gt;&lt;number&gt;3&lt;/number&gt;&lt;dates&gt;&lt;year&gt;1980&lt;/year&gt;&lt;/dates&gt;&lt;urls&gt;&lt;/urls&gt;&lt;/record&gt;&lt;/Cite&gt;&lt;/EndNote&gt;</w:instrText>
      </w:r>
      <w:r>
        <w:fldChar w:fldCharType="separate"/>
      </w:r>
      <w:r>
        <w:rPr>
          <w:noProof/>
        </w:rPr>
        <w:t>(Barrera, 1980)</w:t>
      </w:r>
      <w:r>
        <w:fldChar w:fldCharType="end"/>
      </w:r>
      <w:r>
        <w:t xml:space="preserve"> for the T</w:t>
      </w:r>
      <w:r>
        <w:rPr>
          <w:vertAlign w:val="subscript"/>
        </w:rPr>
        <w:t xml:space="preserve">1 </w:t>
      </w:r>
      <w:r>
        <w:t xml:space="preserve">assessment </w:t>
      </w:r>
      <w:r>
        <w:rPr>
          <w:bCs/>
        </w:rPr>
        <w:t xml:space="preserve">(α = .72). </w:t>
      </w:r>
    </w:p>
    <w:p w14:paraId="68D47910" w14:textId="108D48C3" w:rsidR="00CB7278" w:rsidRPr="00D431C6" w:rsidRDefault="00CB7278" w:rsidP="001266DC">
      <w:pPr>
        <w:spacing w:line="480" w:lineRule="auto"/>
        <w:ind w:firstLine="720"/>
      </w:pPr>
      <w:r w:rsidRPr="00C129AF">
        <w:t>Conflict with parents</w:t>
      </w:r>
      <w:r>
        <w:t xml:space="preserve"> was assessed </w:t>
      </w:r>
      <w:r w:rsidRPr="00D431C6">
        <w:t>the number of parent-child conflict issues during the past 2 weeks and the average intensity of discussions regarding these issues</w:t>
      </w:r>
      <w:r>
        <w:t xml:space="preserve">. This was assessed using the Issues Checklist Scale </w:t>
      </w:r>
      <w:r>
        <w:fldChar w:fldCharType="begin"/>
      </w:r>
      <w:r w:rsidR="006305CE">
        <w:instrText xml:space="preserve"> ADDIN EN.CITE &lt;EndNote&gt;&lt;Cite&gt;&lt;Author&gt;Robin&lt;/Author&gt;&lt;Year&gt;1980&lt;/Year&gt;&lt;RecNum&gt;8315&lt;/RecNum&gt;&lt;Prefix&gt;49 items`; &lt;/Prefix&gt;&lt;DisplayText&gt;(49 items; Robin and Weiss, 1980)&lt;/DisplayText&gt;&lt;record&gt;&lt;rec-number&gt;8315&lt;/rec-number&gt;&lt;foreign-keys&gt;&lt;key app="EN" db-id="st0fwd5zd59wple9eeaperx8sep0vaax55t0" timestamp="1533831660"&gt;8315&lt;/key&gt;&lt;/foreign-keys&gt;&lt;ref-type name="Journal Article"&gt;17&lt;/ref-type&gt;&lt;contributors&gt;&lt;authors&gt;&lt;author&gt;Robin, Arthur L&lt;/author&gt;&lt;author&gt;Weiss, Joan G&lt;/author&gt;&lt;/authors&gt;&lt;/contributors&gt;&lt;titles&gt;&lt;title&gt;Criterion-related validity of behavioral and self-report measures of problem-solving communication-skills in distressed and non-distressed parent-adolescent dyads&lt;/title&gt;&lt;secondary-title&gt;Behavioral Assessment&lt;/secondary-title&gt;&lt;/titles&gt;&lt;pages&gt;339-352&lt;/pages&gt;&lt;volume&gt;2&lt;/volume&gt;&lt;number&gt;4&lt;/number&gt;&lt;dates&gt;&lt;year&gt;1980&lt;/year&gt;&lt;/dates&gt;&lt;isbn&gt;0191-5401&lt;/isbn&gt;&lt;urls&gt;&lt;/urls&gt;&lt;/record&gt;&lt;/Cite&gt;&lt;/EndNote&gt;</w:instrText>
      </w:r>
      <w:r>
        <w:fldChar w:fldCharType="separate"/>
      </w:r>
      <w:r w:rsidR="006305CE">
        <w:rPr>
          <w:noProof/>
        </w:rPr>
        <w:t>(49 items; Robin and Weiss, 1980)</w:t>
      </w:r>
      <w:r>
        <w:fldChar w:fldCharType="end"/>
      </w:r>
      <w:r w:rsidR="006305CE">
        <w:t xml:space="preserve"> </w:t>
      </w:r>
      <w:r w:rsidR="006305CE">
        <w:rPr>
          <w:bCs/>
        </w:rPr>
        <w:t>(α = .91)</w:t>
      </w:r>
      <w:r>
        <w:t>.</w:t>
      </w:r>
    </w:p>
    <w:p w14:paraId="3A354297" w14:textId="77777777" w:rsidR="00CB7278" w:rsidRDefault="00CB7278" w:rsidP="001266DC">
      <w:pPr>
        <w:spacing w:line="480" w:lineRule="auto"/>
      </w:pPr>
    </w:p>
    <w:p w14:paraId="28486449" w14:textId="77777777" w:rsidR="00CB7278" w:rsidRDefault="00CB7278" w:rsidP="001266DC">
      <w:pPr>
        <w:spacing w:line="480" w:lineRule="auto"/>
      </w:pPr>
    </w:p>
    <w:p w14:paraId="7C3C1EA8" w14:textId="77777777" w:rsidR="00CB7278" w:rsidRDefault="00CB7278" w:rsidP="001266DC">
      <w:pPr>
        <w:spacing w:line="480" w:lineRule="auto"/>
        <w:rPr>
          <w:noProof/>
        </w:rPr>
      </w:pPr>
      <w:r>
        <w:br w:type="page"/>
      </w:r>
    </w:p>
    <w:p w14:paraId="5E30CC35" w14:textId="77777777" w:rsidR="00F96636" w:rsidRPr="00F96636" w:rsidRDefault="00CB7278" w:rsidP="00F96636">
      <w:pPr>
        <w:pStyle w:val="EndNoteBibliographyTitle"/>
      </w:pPr>
      <w:r>
        <w:lastRenderedPageBreak/>
        <w:fldChar w:fldCharType="begin"/>
      </w:r>
      <w:r>
        <w:instrText xml:space="preserve"> ADDIN EN.REFLIST </w:instrText>
      </w:r>
      <w:r>
        <w:fldChar w:fldCharType="separate"/>
      </w:r>
      <w:r w:rsidR="00F96636" w:rsidRPr="00F96636">
        <w:t>References</w:t>
      </w:r>
    </w:p>
    <w:p w14:paraId="394CF721" w14:textId="77777777" w:rsidR="00F96636" w:rsidRPr="00F96636" w:rsidRDefault="00F96636" w:rsidP="00F96636">
      <w:pPr>
        <w:pStyle w:val="EndNoteBibliographyTitle"/>
      </w:pPr>
    </w:p>
    <w:p w14:paraId="2342BDBC" w14:textId="77777777" w:rsidR="00F96636" w:rsidRPr="00F96636" w:rsidRDefault="00F96636" w:rsidP="00F96636">
      <w:pPr>
        <w:pStyle w:val="EndNoteBibliography"/>
        <w:ind w:left="720" w:hanging="720"/>
      </w:pPr>
      <w:r w:rsidRPr="00F96636">
        <w:t xml:space="preserve">ACHENBACH, T. M. &amp; EDELBROCK, C. S. 1987. </w:t>
      </w:r>
      <w:r w:rsidRPr="00F96636">
        <w:rPr>
          <w:i/>
        </w:rPr>
        <w:t>Manual for the youth self-report and profile</w:t>
      </w:r>
      <w:r w:rsidRPr="00F96636">
        <w:t>, University of Vermont. Department of Psychiatry.</w:t>
      </w:r>
    </w:p>
    <w:p w14:paraId="7E7452A3" w14:textId="77777777" w:rsidR="00F96636" w:rsidRPr="00F96636" w:rsidRDefault="00F96636" w:rsidP="00F96636">
      <w:pPr>
        <w:pStyle w:val="EndNoteBibliography"/>
        <w:ind w:left="720" w:hanging="720"/>
      </w:pPr>
      <w:r w:rsidRPr="00F96636">
        <w:t xml:space="preserve">BACHMAN, J. G. 1985. Some Recent Trends in the Aspirations, Concerns, and Behaviors of American Young People. </w:t>
      </w:r>
      <w:r w:rsidRPr="00F96636">
        <w:rPr>
          <w:i/>
        </w:rPr>
        <w:t>Association for Public Opinion Research.</w:t>
      </w:r>
      <w:r w:rsidRPr="00F96636">
        <w:t xml:space="preserve"> McAfee, NJ.</w:t>
      </w:r>
    </w:p>
    <w:p w14:paraId="5DB65622" w14:textId="77777777" w:rsidR="00F96636" w:rsidRPr="00F96636" w:rsidRDefault="00F96636" w:rsidP="00F96636">
      <w:pPr>
        <w:pStyle w:val="EndNoteBibliography"/>
        <w:ind w:left="720" w:hanging="720"/>
      </w:pPr>
      <w:r w:rsidRPr="00F96636">
        <w:t xml:space="preserve">BARRERA, M. 1980. A method for the assessment of social support networks in community survey research. </w:t>
      </w:r>
      <w:r w:rsidRPr="00F96636">
        <w:rPr>
          <w:i/>
        </w:rPr>
        <w:t>Connections,</w:t>
      </w:r>
      <w:r w:rsidRPr="00F96636">
        <w:t xml:space="preserve"> 3</w:t>
      </w:r>
      <w:r w:rsidRPr="00F96636">
        <w:rPr>
          <w:b/>
        </w:rPr>
        <w:t>,</w:t>
      </w:r>
      <w:r w:rsidRPr="00F96636">
        <w:t xml:space="preserve"> 8-13.</w:t>
      </w:r>
    </w:p>
    <w:p w14:paraId="66798CC7" w14:textId="77777777" w:rsidR="00F96636" w:rsidRPr="00F96636" w:rsidRDefault="00F96636" w:rsidP="00F96636">
      <w:pPr>
        <w:pStyle w:val="EndNoteBibliography"/>
        <w:ind w:left="720" w:hanging="720"/>
      </w:pPr>
      <w:r w:rsidRPr="00F96636">
        <w:t xml:space="preserve">BECK, A. T., STEER, R. A. &amp; CARBIN, M. G. 1988. Psychometric properties of the Beck Depression Inventory: Twenty-five years of evaluation. </w:t>
      </w:r>
      <w:r w:rsidRPr="00F96636">
        <w:rPr>
          <w:i/>
        </w:rPr>
        <w:t>Clinical Psychology Review,</w:t>
      </w:r>
      <w:r w:rsidRPr="00F96636">
        <w:t xml:space="preserve"> 8</w:t>
      </w:r>
      <w:r w:rsidRPr="00F96636">
        <w:rPr>
          <w:b/>
        </w:rPr>
        <w:t>,</w:t>
      </w:r>
      <w:r w:rsidRPr="00F96636">
        <w:t xml:space="preserve"> 77-100.</w:t>
      </w:r>
    </w:p>
    <w:p w14:paraId="78E4A3FB" w14:textId="77777777" w:rsidR="00F96636" w:rsidRPr="00F96636" w:rsidRDefault="00F96636" w:rsidP="00F96636">
      <w:pPr>
        <w:pStyle w:val="EndNoteBibliography"/>
        <w:ind w:left="720" w:hanging="720"/>
      </w:pPr>
      <w:r w:rsidRPr="00F96636">
        <w:t>BERSCHEID, E., WALSTER, E. &amp; BOHRNSTEDT, G. 1973. (1973b). The happy American body: A survey report. Psychology Today, 7, 119-131.</w:t>
      </w:r>
    </w:p>
    <w:p w14:paraId="3FB17FC4" w14:textId="77777777" w:rsidR="00F96636" w:rsidRPr="00F96636" w:rsidRDefault="00F96636" w:rsidP="00F96636">
      <w:pPr>
        <w:pStyle w:val="EndNoteBibliography"/>
        <w:ind w:left="720" w:hanging="720"/>
      </w:pPr>
      <w:r w:rsidRPr="00F96636">
        <w:t xml:space="preserve">DEPUE, R. &amp; KLEIN, D. 1988. Identification of unipolar and bipolar affective conditions in nonclinical and clinical populations by the General Behavior Inventory. </w:t>
      </w:r>
      <w:r w:rsidRPr="00F96636">
        <w:rPr>
          <w:i/>
        </w:rPr>
        <w:t>Relatives at risk for mental disorder</w:t>
      </w:r>
      <w:r w:rsidRPr="00F96636">
        <w:rPr>
          <w:b/>
        </w:rPr>
        <w:t>,</w:t>
      </w:r>
      <w:r w:rsidRPr="00F96636">
        <w:t xml:space="preserve"> 179-202.</w:t>
      </w:r>
    </w:p>
    <w:p w14:paraId="5AD97664" w14:textId="77777777" w:rsidR="00F96636" w:rsidRPr="00F96636" w:rsidRDefault="00F96636" w:rsidP="00F96636">
      <w:pPr>
        <w:pStyle w:val="EndNoteBibliography"/>
        <w:ind w:left="720" w:hanging="720"/>
      </w:pPr>
      <w:r w:rsidRPr="00F96636">
        <w:t xml:space="preserve">ECKBLAD, M. &amp; CHAPMAN, L. J. 1986. Development and validation of a scale for hypomanic personality. </w:t>
      </w:r>
      <w:r w:rsidRPr="00F96636">
        <w:rPr>
          <w:i/>
        </w:rPr>
        <w:t>Journal of abnormal psychology,</w:t>
      </w:r>
      <w:r w:rsidRPr="00F96636">
        <w:t xml:space="preserve"> 95</w:t>
      </w:r>
      <w:r w:rsidRPr="00F96636">
        <w:rPr>
          <w:b/>
        </w:rPr>
        <w:t>,</w:t>
      </w:r>
      <w:r w:rsidRPr="00F96636">
        <w:t xml:space="preserve"> 214.</w:t>
      </w:r>
    </w:p>
    <w:p w14:paraId="02005997" w14:textId="77777777" w:rsidR="00F96636" w:rsidRPr="00F96636" w:rsidRDefault="00F96636" w:rsidP="00F96636">
      <w:pPr>
        <w:pStyle w:val="EndNoteBibliography"/>
        <w:ind w:left="720" w:hanging="720"/>
      </w:pPr>
      <w:r w:rsidRPr="00F96636">
        <w:t xml:space="preserve">FENIGSTEIN, A., SCHEIER, M. F. &amp; BUSS, A. H. 1975. Public and private self-consciousness: Assessment and theory. </w:t>
      </w:r>
      <w:r w:rsidRPr="00F96636">
        <w:rPr>
          <w:i/>
        </w:rPr>
        <w:t>Journal of consulting and clinical psychology,</w:t>
      </w:r>
      <w:r w:rsidRPr="00F96636">
        <w:t xml:space="preserve"> 43</w:t>
      </w:r>
      <w:r w:rsidRPr="00F96636">
        <w:rPr>
          <w:b/>
        </w:rPr>
        <w:t>,</w:t>
      </w:r>
      <w:r w:rsidRPr="00F96636">
        <w:t xml:space="preserve"> 522.</w:t>
      </w:r>
    </w:p>
    <w:p w14:paraId="18ACF6EC" w14:textId="77777777" w:rsidR="00F96636" w:rsidRPr="00F96636" w:rsidRDefault="00F96636" w:rsidP="00F96636">
      <w:pPr>
        <w:pStyle w:val="EndNoteBibliography"/>
        <w:ind w:left="720" w:hanging="720"/>
      </w:pPr>
      <w:r w:rsidRPr="00F96636">
        <w:t xml:space="preserve">FOLKMAN, S. &amp; LAZARUS, R. S. 1980. An analysis of coping in a middle-aged community sample. </w:t>
      </w:r>
      <w:r w:rsidRPr="00F96636">
        <w:rPr>
          <w:i/>
        </w:rPr>
        <w:t>Journal of health and social behavior</w:t>
      </w:r>
      <w:r w:rsidRPr="00F96636">
        <w:rPr>
          <w:b/>
        </w:rPr>
        <w:t>,</w:t>
      </w:r>
      <w:r w:rsidRPr="00F96636">
        <w:t xml:space="preserve"> 219-239.</w:t>
      </w:r>
    </w:p>
    <w:p w14:paraId="3C2E1D40" w14:textId="77777777" w:rsidR="00F96636" w:rsidRPr="00F96636" w:rsidRDefault="00F96636" w:rsidP="00F96636">
      <w:pPr>
        <w:pStyle w:val="EndNoteBibliography"/>
        <w:ind w:left="720" w:hanging="720"/>
      </w:pPr>
      <w:r w:rsidRPr="00F96636">
        <w:t xml:space="preserve">HAMILTON, M. 1960. A rating scale for depression. </w:t>
      </w:r>
      <w:r w:rsidRPr="00F96636">
        <w:rPr>
          <w:i/>
        </w:rPr>
        <w:t>Journal of neurology, neurosurgery, and psychiatry,</w:t>
      </w:r>
      <w:r w:rsidRPr="00F96636">
        <w:t xml:space="preserve"> 23</w:t>
      </w:r>
      <w:r w:rsidRPr="00F96636">
        <w:rPr>
          <w:b/>
        </w:rPr>
        <w:t>,</w:t>
      </w:r>
      <w:r w:rsidRPr="00F96636">
        <w:t xml:space="preserve"> 56.</w:t>
      </w:r>
    </w:p>
    <w:p w14:paraId="42D0BC58" w14:textId="77777777" w:rsidR="00F96636" w:rsidRPr="00F96636" w:rsidRDefault="00F96636" w:rsidP="00F96636">
      <w:pPr>
        <w:pStyle w:val="EndNoteBibliography"/>
        <w:ind w:left="720" w:hanging="720"/>
      </w:pPr>
      <w:r w:rsidRPr="00F96636">
        <w:t xml:space="preserve">HARTER, S. 1982. The perceived competence scale for children. </w:t>
      </w:r>
      <w:r w:rsidRPr="00F96636">
        <w:rPr>
          <w:i/>
        </w:rPr>
        <w:t>Child development</w:t>
      </w:r>
      <w:r w:rsidRPr="00F96636">
        <w:rPr>
          <w:b/>
        </w:rPr>
        <w:t>,</w:t>
      </w:r>
      <w:r w:rsidRPr="00F96636">
        <w:t xml:space="preserve"> 87-97.</w:t>
      </w:r>
    </w:p>
    <w:p w14:paraId="241CE997" w14:textId="77777777" w:rsidR="00F96636" w:rsidRPr="00F96636" w:rsidRDefault="00F96636" w:rsidP="00F96636">
      <w:pPr>
        <w:pStyle w:val="EndNoteBibliography"/>
        <w:ind w:left="720" w:hanging="720"/>
      </w:pPr>
      <w:r w:rsidRPr="00F96636">
        <w:t xml:space="preserve">HEIBY, E. M. 1982. A self-reinforcement questionnaire. </w:t>
      </w:r>
      <w:r w:rsidRPr="00F96636">
        <w:rPr>
          <w:i/>
        </w:rPr>
        <w:t>Behaviour Research and Therapy,</w:t>
      </w:r>
      <w:r w:rsidRPr="00F96636">
        <w:t xml:space="preserve"> 20</w:t>
      </w:r>
      <w:r w:rsidRPr="00F96636">
        <w:rPr>
          <w:b/>
        </w:rPr>
        <w:t>,</w:t>
      </w:r>
      <w:r w:rsidRPr="00F96636">
        <w:t xml:space="preserve"> 397-401.</w:t>
      </w:r>
    </w:p>
    <w:p w14:paraId="25236425" w14:textId="77777777" w:rsidR="00F96636" w:rsidRPr="00F96636" w:rsidRDefault="00F96636" w:rsidP="00F96636">
      <w:pPr>
        <w:pStyle w:val="EndNoteBibliography"/>
        <w:ind w:left="720" w:hanging="720"/>
      </w:pPr>
      <w:r w:rsidRPr="00F96636">
        <w:t xml:space="preserve">HIRSCHFELD, R. M., KLERMAN, G. L., CHODOFF, P., KORCHIN, S. &amp; BARRETT, J. 1976. Dependency—Self–Esteem—Clinical Depression. </w:t>
      </w:r>
      <w:r w:rsidRPr="00F96636">
        <w:rPr>
          <w:i/>
        </w:rPr>
        <w:t>Journal of the American Academy of Psychoanalysis,</w:t>
      </w:r>
      <w:r w:rsidRPr="00F96636">
        <w:t xml:space="preserve"> 4</w:t>
      </w:r>
      <w:r w:rsidRPr="00F96636">
        <w:rPr>
          <w:b/>
        </w:rPr>
        <w:t>,</w:t>
      </w:r>
      <w:r w:rsidRPr="00F96636">
        <w:t xml:space="preserve"> 373-388.</w:t>
      </w:r>
    </w:p>
    <w:p w14:paraId="0CE9C44E" w14:textId="77777777" w:rsidR="00F96636" w:rsidRPr="00F96636" w:rsidRDefault="00F96636" w:rsidP="00F96636">
      <w:pPr>
        <w:pStyle w:val="EndNoteBibliography"/>
        <w:ind w:left="720" w:hanging="720"/>
      </w:pPr>
      <w:r w:rsidRPr="00F96636">
        <w:t xml:space="preserve">HODGSON, R. J. &amp; RACHMAN, S. 1977. Obsessional-compulsive complaints. </w:t>
      </w:r>
      <w:r w:rsidRPr="00F96636">
        <w:rPr>
          <w:i/>
        </w:rPr>
        <w:t>Behaviour research and therapy,</w:t>
      </w:r>
      <w:r w:rsidRPr="00F96636">
        <w:t xml:space="preserve"> 15</w:t>
      </w:r>
      <w:r w:rsidRPr="00F96636">
        <w:rPr>
          <w:b/>
        </w:rPr>
        <w:t>,</w:t>
      </w:r>
      <w:r w:rsidRPr="00F96636">
        <w:t xml:space="preserve"> 389-395.</w:t>
      </w:r>
    </w:p>
    <w:p w14:paraId="373DB5C5" w14:textId="77777777" w:rsidR="00F96636" w:rsidRPr="00F96636" w:rsidRDefault="00F96636" w:rsidP="00F96636">
      <w:pPr>
        <w:pStyle w:val="EndNoteBibliography"/>
        <w:ind w:left="720" w:hanging="720"/>
      </w:pPr>
      <w:r w:rsidRPr="00F96636">
        <w:t xml:space="preserve">HOLMES, T. H. &amp; RAHE, R. H. 1967. Schedule of recent experience. </w:t>
      </w:r>
      <w:r w:rsidRPr="00F96636">
        <w:rPr>
          <w:i/>
        </w:rPr>
        <w:t>Marriage,</w:t>
      </w:r>
      <w:r w:rsidRPr="00F96636">
        <w:t xml:space="preserve"> 10</w:t>
      </w:r>
      <w:r w:rsidRPr="00F96636">
        <w:rPr>
          <w:b/>
        </w:rPr>
        <w:t>,</w:t>
      </w:r>
      <w:r w:rsidRPr="00F96636">
        <w:t xml:space="preserve"> 50.</w:t>
      </w:r>
    </w:p>
    <w:p w14:paraId="3B5EB696" w14:textId="77777777" w:rsidR="00F96636" w:rsidRPr="00F96636" w:rsidRDefault="00F96636" w:rsidP="00F96636">
      <w:pPr>
        <w:pStyle w:val="EndNoteBibliography"/>
        <w:ind w:left="720" w:hanging="720"/>
      </w:pPr>
      <w:r w:rsidRPr="00F96636">
        <w:t>KASLOW, N., TANENBAUM, R. &amp; SELIGMAN, M. E. P. I 981. The KASTAN Attributional Style Questionnaire (rev. ed.).</w:t>
      </w:r>
    </w:p>
    <w:p w14:paraId="2ED92D6F" w14:textId="77777777" w:rsidR="00F96636" w:rsidRPr="00F96636" w:rsidRDefault="00F96636" w:rsidP="00F96636">
      <w:pPr>
        <w:pStyle w:val="EndNoteBibliography"/>
        <w:ind w:left="720" w:hanging="720"/>
      </w:pPr>
      <w:r w:rsidRPr="00F96636">
        <w:t xml:space="preserve">LEWINSOHN, P. M., CLARKE, G. N., SEELEY, J. R. &amp; ROHDE, P. 1994a. Major depression in community adolescents: Age at onset, episode duration, and time to recurrence. </w:t>
      </w:r>
      <w:r w:rsidRPr="00F96636">
        <w:rPr>
          <w:i/>
        </w:rPr>
        <w:t>Journal of the American Academy of Child &amp; Adolescent Psychiatry,</w:t>
      </w:r>
      <w:r w:rsidRPr="00F96636">
        <w:t xml:space="preserve"> 33</w:t>
      </w:r>
      <w:r w:rsidRPr="00F96636">
        <w:rPr>
          <w:b/>
        </w:rPr>
        <w:t>,</w:t>
      </w:r>
      <w:r w:rsidRPr="00F96636">
        <w:t xml:space="preserve"> 809-818.</w:t>
      </w:r>
    </w:p>
    <w:p w14:paraId="7137E5EE" w14:textId="77777777" w:rsidR="00F96636" w:rsidRPr="00F96636" w:rsidRDefault="00F96636" w:rsidP="00F96636">
      <w:pPr>
        <w:pStyle w:val="EndNoteBibliography"/>
        <w:ind w:left="720" w:hanging="720"/>
      </w:pPr>
      <w:r w:rsidRPr="00F96636">
        <w:t xml:space="preserve">LEWINSOHN, P. M., MERMELSTEIN, R. M., ALEXANDER, C. &amp; MACPHILLAMY, D. J. 1985. The Unpleasant Events Schedule: A scale for the measurement of aversive events. </w:t>
      </w:r>
      <w:r w:rsidRPr="00F96636">
        <w:rPr>
          <w:i/>
        </w:rPr>
        <w:t>Journal of Clinical Psychology,</w:t>
      </w:r>
      <w:r w:rsidRPr="00F96636">
        <w:t xml:space="preserve"> 41</w:t>
      </w:r>
      <w:r w:rsidRPr="00F96636">
        <w:rPr>
          <w:b/>
        </w:rPr>
        <w:t>,</w:t>
      </w:r>
      <w:r w:rsidRPr="00F96636">
        <w:t xml:space="preserve"> 483-498.</w:t>
      </w:r>
    </w:p>
    <w:p w14:paraId="5BEC5F84" w14:textId="77777777" w:rsidR="00F96636" w:rsidRPr="00F96636" w:rsidRDefault="00F96636" w:rsidP="00F96636">
      <w:pPr>
        <w:pStyle w:val="EndNoteBibliography"/>
        <w:ind w:left="720" w:hanging="720"/>
      </w:pPr>
      <w:r w:rsidRPr="00F96636">
        <w:t xml:space="preserve">LEWINSOHN, P. M., MISCHEL, W., CHAPLIN, W. &amp; BARTON, R. 1980. Social competence and depression: The role of illusory self-perceptions. </w:t>
      </w:r>
      <w:r w:rsidRPr="00F96636">
        <w:rPr>
          <w:i/>
        </w:rPr>
        <w:t>Journal of abnormal psychology,</w:t>
      </w:r>
      <w:r w:rsidRPr="00F96636">
        <w:t xml:space="preserve"> 89</w:t>
      </w:r>
      <w:r w:rsidRPr="00F96636">
        <w:rPr>
          <w:b/>
        </w:rPr>
        <w:t>,</w:t>
      </w:r>
      <w:r w:rsidRPr="00F96636">
        <w:t xml:space="preserve"> 203.</w:t>
      </w:r>
    </w:p>
    <w:p w14:paraId="5D8892B6" w14:textId="77777777" w:rsidR="00F96636" w:rsidRPr="00F96636" w:rsidRDefault="00F96636" w:rsidP="00F96636">
      <w:pPr>
        <w:pStyle w:val="EndNoteBibliography"/>
        <w:ind w:left="720" w:hanging="720"/>
      </w:pPr>
      <w:r w:rsidRPr="00F96636">
        <w:lastRenderedPageBreak/>
        <w:t xml:space="preserve">LEWINSOHN, P. M., ROBERTS, R. E., SEELEY, J. R., ROHDE, P., GOTLIB, I. H. &amp; HOPS, H. 1994b. Adolescent psychopathology: II. Psychosocial risk factors for depression. </w:t>
      </w:r>
      <w:r w:rsidRPr="00F96636">
        <w:rPr>
          <w:i/>
        </w:rPr>
        <w:t>Journal of Abnormal Psychology,</w:t>
      </w:r>
      <w:r w:rsidRPr="00F96636">
        <w:t xml:space="preserve"> 103</w:t>
      </w:r>
      <w:r w:rsidRPr="00F96636">
        <w:rPr>
          <w:b/>
        </w:rPr>
        <w:t>,</w:t>
      </w:r>
      <w:r w:rsidRPr="00F96636">
        <w:t xml:space="preserve"> 302-315.</w:t>
      </w:r>
    </w:p>
    <w:p w14:paraId="0D409BBE" w14:textId="77777777" w:rsidR="00F96636" w:rsidRPr="00F96636" w:rsidRDefault="00F96636" w:rsidP="00F96636">
      <w:pPr>
        <w:pStyle w:val="EndNoteBibliography"/>
        <w:ind w:left="720" w:hanging="720"/>
      </w:pPr>
      <w:r w:rsidRPr="00F96636">
        <w:t xml:space="preserve">LEWINSOHN, P. M., ROHDE, P., SEELEY, J. R., KLEIN, D. N. &amp; GOTLIB, I. H. 2003. Psychosocial functioning of young adults who have experienced and recovered from major depressive disorder during adolescence. </w:t>
      </w:r>
      <w:r w:rsidRPr="00F96636">
        <w:rPr>
          <w:i/>
        </w:rPr>
        <w:t>Journal of Abnormal Psychology,</w:t>
      </w:r>
      <w:r w:rsidRPr="00F96636">
        <w:t xml:space="preserve"> 112</w:t>
      </w:r>
      <w:r w:rsidRPr="00F96636">
        <w:rPr>
          <w:b/>
        </w:rPr>
        <w:t>,</w:t>
      </w:r>
      <w:r w:rsidRPr="00F96636">
        <w:t xml:space="preserve"> 353-363.</w:t>
      </w:r>
    </w:p>
    <w:p w14:paraId="663E15D4" w14:textId="77777777" w:rsidR="00F96636" w:rsidRPr="00F96636" w:rsidRDefault="00F96636" w:rsidP="00F96636">
      <w:pPr>
        <w:pStyle w:val="EndNoteBibliography"/>
        <w:ind w:left="720" w:hanging="720"/>
      </w:pPr>
      <w:r w:rsidRPr="00F96636">
        <w:t xml:space="preserve">MOOS, R. 1974. Family environment scale preliminary manual. </w:t>
      </w:r>
      <w:r w:rsidRPr="00F96636">
        <w:rPr>
          <w:i/>
        </w:rPr>
        <w:t>Palo Alto, CA: Consulting</w:t>
      </w:r>
      <w:r w:rsidRPr="00F96636">
        <w:t>.</w:t>
      </w:r>
    </w:p>
    <w:p w14:paraId="63134F57" w14:textId="77777777" w:rsidR="00F96636" w:rsidRPr="00F96636" w:rsidRDefault="00F96636" w:rsidP="00F96636">
      <w:pPr>
        <w:pStyle w:val="EndNoteBibliography"/>
        <w:ind w:left="720" w:hanging="720"/>
      </w:pPr>
      <w:r w:rsidRPr="00F96636">
        <w:t xml:space="preserve">MUÑOZ, R. &amp; LEWINSOHN, P. 1976. The subjective probability questionnaire. </w:t>
      </w:r>
      <w:r w:rsidRPr="00F96636">
        <w:rPr>
          <w:i/>
        </w:rPr>
        <w:t>Unpublished manuscript</w:t>
      </w:r>
      <w:r w:rsidRPr="00F96636">
        <w:t>.</w:t>
      </w:r>
    </w:p>
    <w:p w14:paraId="1CECDFD9" w14:textId="77777777" w:rsidR="00F96636" w:rsidRPr="00F96636" w:rsidRDefault="00F96636" w:rsidP="00F96636">
      <w:pPr>
        <w:pStyle w:val="EndNoteBibliography"/>
        <w:ind w:left="720" w:hanging="720"/>
      </w:pPr>
      <w:r w:rsidRPr="00F96636">
        <w:t xml:space="preserve">ORVASCHEL, H., PUIG-ANTICH, J., CHAMBERS, W. J., TABRIZI, M. A. &amp; JOHNSON, R. 1982. Retrospective assessment of prepubertal major depression with the Kiddie-SADS-E. </w:t>
      </w:r>
      <w:r w:rsidRPr="00F96636">
        <w:rPr>
          <w:i/>
        </w:rPr>
        <w:t>Journal of the American Academy of Child &amp; Adolescent Psychiatry,</w:t>
      </w:r>
      <w:r w:rsidRPr="00F96636">
        <w:t xml:space="preserve"> 21</w:t>
      </w:r>
      <w:r w:rsidRPr="00F96636">
        <w:rPr>
          <w:b/>
        </w:rPr>
        <w:t>,</w:t>
      </w:r>
      <w:r w:rsidRPr="00F96636">
        <w:t xml:space="preserve"> 392-397.</w:t>
      </w:r>
    </w:p>
    <w:p w14:paraId="0AB77213" w14:textId="77777777" w:rsidR="00F96636" w:rsidRPr="00F96636" w:rsidRDefault="00F96636" w:rsidP="00F96636">
      <w:pPr>
        <w:pStyle w:val="EndNoteBibliography"/>
        <w:ind w:left="720" w:hanging="720"/>
      </w:pPr>
      <w:r w:rsidRPr="00F96636">
        <w:t xml:space="preserve">PARKER, G. &amp; BROWN, L. 1979. Repertoires of Response to Potential Precipstants of Depression. </w:t>
      </w:r>
      <w:r w:rsidRPr="00F96636">
        <w:rPr>
          <w:i/>
        </w:rPr>
        <w:t>Australian and New Zealand Journal of Psychiatry,</w:t>
      </w:r>
      <w:r w:rsidRPr="00F96636">
        <w:t xml:space="preserve"> 13</w:t>
      </w:r>
      <w:r w:rsidRPr="00F96636">
        <w:rPr>
          <w:b/>
        </w:rPr>
        <w:t>,</w:t>
      </w:r>
      <w:r w:rsidRPr="00F96636">
        <w:t xml:space="preserve"> 327-333.</w:t>
      </w:r>
    </w:p>
    <w:p w14:paraId="281D1D7F" w14:textId="77777777" w:rsidR="00F96636" w:rsidRPr="00F96636" w:rsidRDefault="00F96636" w:rsidP="00F96636">
      <w:pPr>
        <w:pStyle w:val="EndNoteBibliography"/>
        <w:ind w:left="720" w:hanging="720"/>
      </w:pPr>
      <w:r w:rsidRPr="00F96636">
        <w:t xml:space="preserve">PEARLIN, L. I. &amp; SCHOOLER, C. 1978. The structure of coping. </w:t>
      </w:r>
      <w:r w:rsidRPr="00F96636">
        <w:rPr>
          <w:i/>
        </w:rPr>
        <w:t>Journal of health and social behavior</w:t>
      </w:r>
      <w:r w:rsidRPr="00F96636">
        <w:rPr>
          <w:b/>
        </w:rPr>
        <w:t>,</w:t>
      </w:r>
      <w:r w:rsidRPr="00F96636">
        <w:t xml:space="preserve"> 2-21.</w:t>
      </w:r>
    </w:p>
    <w:p w14:paraId="4CEE3E7B" w14:textId="77777777" w:rsidR="00F96636" w:rsidRPr="00F96636" w:rsidRDefault="00F96636" w:rsidP="00F96636">
      <w:pPr>
        <w:pStyle w:val="EndNoteBibliography"/>
        <w:ind w:left="720" w:hanging="720"/>
      </w:pPr>
      <w:r w:rsidRPr="00F96636">
        <w:t xml:space="preserve">PILOWSKY, I. 1967. Dimensions of hypochondriasis. </w:t>
      </w:r>
      <w:r w:rsidRPr="00F96636">
        <w:rPr>
          <w:i/>
        </w:rPr>
        <w:t>The British Journal of Psychiatry,</w:t>
      </w:r>
      <w:r w:rsidRPr="00F96636">
        <w:t xml:space="preserve"> 113</w:t>
      </w:r>
      <w:r w:rsidRPr="00F96636">
        <w:rPr>
          <w:b/>
        </w:rPr>
        <w:t>,</w:t>
      </w:r>
      <w:r w:rsidRPr="00F96636">
        <w:t xml:space="preserve"> 89-93.</w:t>
      </w:r>
    </w:p>
    <w:p w14:paraId="1948D09E" w14:textId="77777777" w:rsidR="00F96636" w:rsidRPr="00F96636" w:rsidRDefault="00F96636" w:rsidP="00F96636">
      <w:pPr>
        <w:pStyle w:val="EndNoteBibliography"/>
        <w:ind w:left="720" w:hanging="720"/>
      </w:pPr>
      <w:r w:rsidRPr="00F96636">
        <w:t xml:space="preserve">PRINZ, R. J., FOSTER, S., KENT, R. N. &amp; O'LEARY, K. D. 1979. Multivariate assessment of conflict in distressed and nondistressed mother‐adolescent dyads. </w:t>
      </w:r>
      <w:r w:rsidRPr="00F96636">
        <w:rPr>
          <w:i/>
        </w:rPr>
        <w:t>Journal of applied behavior analysis,</w:t>
      </w:r>
      <w:r w:rsidRPr="00F96636">
        <w:t xml:space="preserve"> 12</w:t>
      </w:r>
      <w:r w:rsidRPr="00F96636">
        <w:rPr>
          <w:b/>
        </w:rPr>
        <w:t>,</w:t>
      </w:r>
      <w:r w:rsidRPr="00F96636">
        <w:t xml:space="preserve"> 691-700.</w:t>
      </w:r>
    </w:p>
    <w:p w14:paraId="3FFB824B" w14:textId="77777777" w:rsidR="00F96636" w:rsidRPr="00F96636" w:rsidRDefault="00F96636" w:rsidP="00F96636">
      <w:pPr>
        <w:pStyle w:val="EndNoteBibliography"/>
        <w:ind w:left="720" w:hanging="720"/>
      </w:pPr>
      <w:r w:rsidRPr="00F96636">
        <w:t xml:space="preserve">RADLOFF, L. S. 1977. The CES-D scale: A self-report depression scale for research in the general population. </w:t>
      </w:r>
      <w:r w:rsidRPr="00F96636">
        <w:rPr>
          <w:i/>
        </w:rPr>
        <w:t>Applied Psychological Measurement,</w:t>
      </w:r>
      <w:r w:rsidRPr="00F96636">
        <w:t xml:space="preserve"> 1</w:t>
      </w:r>
      <w:r w:rsidRPr="00F96636">
        <w:rPr>
          <w:b/>
        </w:rPr>
        <w:t>,</w:t>
      </w:r>
      <w:r w:rsidRPr="00F96636">
        <w:t xml:space="preserve"> 385-401.</w:t>
      </w:r>
    </w:p>
    <w:p w14:paraId="6FD0091C" w14:textId="77777777" w:rsidR="00F96636" w:rsidRPr="00F96636" w:rsidRDefault="00F96636" w:rsidP="00F96636">
      <w:pPr>
        <w:pStyle w:val="EndNoteBibliography"/>
        <w:ind w:left="720" w:hanging="720"/>
      </w:pPr>
      <w:r w:rsidRPr="00F96636">
        <w:t xml:space="preserve">RIPPERE, V. 1977. What's the thing to do when you're feeling depressed: A pilot study. </w:t>
      </w:r>
      <w:r w:rsidRPr="00F96636">
        <w:rPr>
          <w:i/>
        </w:rPr>
        <w:t>Behaviour Research and Therapy</w:t>
      </w:r>
      <w:r w:rsidRPr="00F96636">
        <w:t>.</w:t>
      </w:r>
    </w:p>
    <w:p w14:paraId="08E553F6" w14:textId="77777777" w:rsidR="00F96636" w:rsidRPr="00F96636" w:rsidRDefault="00F96636" w:rsidP="00F96636">
      <w:pPr>
        <w:pStyle w:val="EndNoteBibliography"/>
        <w:ind w:left="720" w:hanging="720"/>
      </w:pPr>
      <w:r w:rsidRPr="00F96636">
        <w:t xml:space="preserve">ROBIN, A. L. &amp; WEISS, J. G. 1980. Criterion-related validity of behavioral and self-report measures of problem-solving communication-skills in distressed and non-distressed parent-adolescent dyads. </w:t>
      </w:r>
      <w:r w:rsidRPr="00F96636">
        <w:rPr>
          <w:i/>
        </w:rPr>
        <w:t>Behavioral Assessment,</w:t>
      </w:r>
      <w:r w:rsidRPr="00F96636">
        <w:t xml:space="preserve"> 2</w:t>
      </w:r>
      <w:r w:rsidRPr="00F96636">
        <w:rPr>
          <w:b/>
        </w:rPr>
        <w:t>,</w:t>
      </w:r>
      <w:r w:rsidRPr="00F96636">
        <w:t xml:space="preserve"> 339-352.</w:t>
      </w:r>
    </w:p>
    <w:p w14:paraId="434390A8" w14:textId="77777777" w:rsidR="00F96636" w:rsidRPr="00F96636" w:rsidRDefault="00F96636" w:rsidP="00F96636">
      <w:pPr>
        <w:pStyle w:val="EndNoteBibliography"/>
        <w:ind w:left="720" w:hanging="720"/>
      </w:pPr>
      <w:r w:rsidRPr="00F96636">
        <w:t xml:space="preserve">ROSENBAUM, M. 1980. A schedule for assessing self-control behaviors: Preliminary findings. </w:t>
      </w:r>
      <w:r w:rsidRPr="00F96636">
        <w:rPr>
          <w:i/>
        </w:rPr>
        <w:t>Behavior therapy,</w:t>
      </w:r>
      <w:r w:rsidRPr="00F96636">
        <w:t xml:space="preserve"> 11</w:t>
      </w:r>
      <w:r w:rsidRPr="00F96636">
        <w:rPr>
          <w:b/>
        </w:rPr>
        <w:t>,</w:t>
      </w:r>
      <w:r w:rsidRPr="00F96636">
        <w:t xml:space="preserve"> 109-121.</w:t>
      </w:r>
    </w:p>
    <w:p w14:paraId="3EF95247" w14:textId="77777777" w:rsidR="00F96636" w:rsidRPr="00F96636" w:rsidRDefault="00F96636" w:rsidP="00F96636">
      <w:pPr>
        <w:pStyle w:val="EndNoteBibliography"/>
        <w:ind w:left="720" w:hanging="720"/>
      </w:pPr>
      <w:r w:rsidRPr="00F96636">
        <w:t xml:space="preserve">ROSENBERG, M. 1965. Rosenberg self-esteem scale (RSE). </w:t>
      </w:r>
      <w:r w:rsidRPr="00F96636">
        <w:rPr>
          <w:i/>
        </w:rPr>
        <w:t>Acceptance and commitment therapy. Measures package,</w:t>
      </w:r>
      <w:r w:rsidRPr="00F96636">
        <w:t xml:space="preserve"> 61</w:t>
      </w:r>
      <w:r w:rsidRPr="00F96636">
        <w:rPr>
          <w:b/>
        </w:rPr>
        <w:t>,</w:t>
      </w:r>
      <w:r w:rsidRPr="00F96636">
        <w:t xml:space="preserve"> 52.</w:t>
      </w:r>
    </w:p>
    <w:p w14:paraId="3CA6A2D1" w14:textId="77777777" w:rsidR="00F96636" w:rsidRPr="00F96636" w:rsidRDefault="00F96636" w:rsidP="00F96636">
      <w:pPr>
        <w:pStyle w:val="EndNoteBibliography"/>
        <w:ind w:left="720" w:hanging="720"/>
      </w:pPr>
      <w:r w:rsidRPr="00F96636">
        <w:t xml:space="preserve">RUSSELL, D., PEPLAU, L. A. &amp; CUTRONA, C. E. 1980. The revised UCLA Loneliness Scale: Concurrent and discriminant validity evidence. </w:t>
      </w:r>
      <w:r w:rsidRPr="00F96636">
        <w:rPr>
          <w:i/>
        </w:rPr>
        <w:t>Journal of personality and social psychology,</w:t>
      </w:r>
      <w:r w:rsidRPr="00F96636">
        <w:t xml:space="preserve"> 39</w:t>
      </w:r>
      <w:r w:rsidRPr="00F96636">
        <w:rPr>
          <w:b/>
        </w:rPr>
        <w:t>,</w:t>
      </w:r>
      <w:r w:rsidRPr="00F96636">
        <w:t xml:space="preserve"> 472-480.</w:t>
      </w:r>
    </w:p>
    <w:p w14:paraId="0A7FE7F5" w14:textId="77777777" w:rsidR="00F96636" w:rsidRPr="00F96636" w:rsidRDefault="00F96636" w:rsidP="00F96636">
      <w:pPr>
        <w:pStyle w:val="EndNoteBibliography"/>
        <w:ind w:left="720" w:hanging="720"/>
      </w:pPr>
      <w:r w:rsidRPr="00F96636">
        <w:t xml:space="preserve">SANDLER, I. N. &amp; BLOCK, M. 1979. Life stress and maladaptation of children. </w:t>
      </w:r>
      <w:r w:rsidRPr="00F96636">
        <w:rPr>
          <w:i/>
        </w:rPr>
        <w:t>American Journal of Community Psychology,</w:t>
      </w:r>
      <w:r w:rsidRPr="00F96636">
        <w:t xml:space="preserve"> 7</w:t>
      </w:r>
      <w:r w:rsidRPr="00F96636">
        <w:rPr>
          <w:b/>
        </w:rPr>
        <w:t>,</w:t>
      </w:r>
      <w:r w:rsidRPr="00F96636">
        <w:t xml:space="preserve"> 425-440.</w:t>
      </w:r>
    </w:p>
    <w:p w14:paraId="3934555F" w14:textId="77777777" w:rsidR="00F96636" w:rsidRPr="00F96636" w:rsidRDefault="00F96636" w:rsidP="00F96636">
      <w:pPr>
        <w:pStyle w:val="EndNoteBibliography"/>
        <w:ind w:left="720" w:hanging="720"/>
      </w:pPr>
      <w:r w:rsidRPr="00F96636">
        <w:t xml:space="preserve">SCHAEFER, E. S. 1965. Children's reports of parental behavior: An inventory. </w:t>
      </w:r>
      <w:r w:rsidRPr="00F96636">
        <w:rPr>
          <w:i/>
        </w:rPr>
        <w:t>Child development</w:t>
      </w:r>
      <w:r w:rsidRPr="00F96636">
        <w:rPr>
          <w:b/>
        </w:rPr>
        <w:t>,</w:t>
      </w:r>
      <w:r w:rsidRPr="00F96636">
        <w:t xml:space="preserve"> 413-424.</w:t>
      </w:r>
    </w:p>
    <w:p w14:paraId="70609120" w14:textId="77777777" w:rsidR="00F96636" w:rsidRPr="00F96636" w:rsidRDefault="00F96636" w:rsidP="00F96636">
      <w:pPr>
        <w:pStyle w:val="EndNoteBibliography"/>
        <w:ind w:left="720" w:hanging="720"/>
      </w:pPr>
      <w:r w:rsidRPr="00F96636">
        <w:t>SPIELBERGER, C., GORSUCH, R., LUSHENE, R., VAGG, P. &amp; JACOBS, G. 1970. State-trait anxiety inventory. Palo Alto. ca: consulting psychologists press.</w:t>
      </w:r>
    </w:p>
    <w:p w14:paraId="2BDEDAE8" w14:textId="77777777" w:rsidR="00F96636" w:rsidRPr="00F96636" w:rsidRDefault="00F96636" w:rsidP="00F96636">
      <w:pPr>
        <w:pStyle w:val="EndNoteBibliography"/>
        <w:ind w:left="720" w:hanging="720"/>
      </w:pPr>
      <w:r w:rsidRPr="00F96636">
        <w:t>WEISSMAN, A. N. &amp; BECK, A. T. 1978. Development and validation of the Dysfunctional Attitude Scale: A preliminary investigation.</w:t>
      </w:r>
    </w:p>
    <w:p w14:paraId="2A5896F9" w14:textId="77777777" w:rsidR="00F96636" w:rsidRPr="00F96636" w:rsidRDefault="00F96636" w:rsidP="00F96636">
      <w:pPr>
        <w:pStyle w:val="EndNoteBibliography"/>
        <w:ind w:left="720" w:hanging="720"/>
      </w:pPr>
      <w:r w:rsidRPr="00F96636">
        <w:t>WINSTEAD, B. A. &amp; CASH, T. F. 1984. Reliability and validity of the Body Self-Relationship Questionnaire: A new measure of body image.</w:t>
      </w:r>
    </w:p>
    <w:p w14:paraId="003AE858" w14:textId="10C0DAB8" w:rsidR="001266DC" w:rsidRDefault="00CB7278" w:rsidP="001266DC">
      <w:pPr>
        <w:spacing w:line="480" w:lineRule="auto"/>
      </w:pPr>
      <w:r>
        <w:lastRenderedPageBreak/>
        <w:fldChar w:fldCharType="end"/>
      </w:r>
      <w:r w:rsidR="001266DC">
        <w:t xml:space="preserve">Supplementary Table 1. Comparisons of Classes on Later Psychopathology and Psychosocial Functioning Controlling for Participant Sex, </w:t>
      </w:r>
      <w:r w:rsidR="00F2717F">
        <w:t>Parental Ed</w:t>
      </w:r>
      <w:bookmarkStart w:id="0" w:name="_GoBack"/>
      <w:bookmarkEnd w:id="0"/>
      <w:r w:rsidR="00F2717F">
        <w:t xml:space="preserve">ucation, </w:t>
      </w:r>
      <w:r w:rsidR="001266DC">
        <w:t>Adolescent Anxiety and Substance Use Disorders, and Family History of Psychopathology</w:t>
      </w:r>
    </w:p>
    <w:tbl>
      <w:tblPr>
        <w:tblStyle w:val="TableGrid"/>
        <w:tblW w:w="100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0"/>
        <w:gridCol w:w="1723"/>
        <w:gridCol w:w="1724"/>
        <w:gridCol w:w="1723"/>
        <w:gridCol w:w="1724"/>
        <w:gridCol w:w="1116"/>
      </w:tblGrid>
      <w:tr w:rsidR="001266DC" w:rsidRPr="00E46346" w14:paraId="70657763" w14:textId="77777777" w:rsidTr="001266DC">
        <w:tc>
          <w:tcPr>
            <w:tcW w:w="2070" w:type="dxa"/>
            <w:tcBorders>
              <w:bottom w:val="single" w:sz="4" w:space="0" w:color="auto"/>
              <w:right w:val="nil"/>
            </w:tcBorders>
            <w:vAlign w:val="bottom"/>
          </w:tcPr>
          <w:p w14:paraId="6EF01CFB" w14:textId="77777777" w:rsidR="001266DC" w:rsidRPr="00E46346" w:rsidRDefault="001266DC" w:rsidP="001266DC">
            <w:pPr>
              <w:spacing w:line="480" w:lineRule="auto"/>
            </w:pPr>
          </w:p>
        </w:tc>
        <w:tc>
          <w:tcPr>
            <w:tcW w:w="1723" w:type="dxa"/>
            <w:tcBorders>
              <w:left w:val="nil"/>
              <w:bottom w:val="single" w:sz="4" w:space="0" w:color="auto"/>
              <w:right w:val="nil"/>
            </w:tcBorders>
            <w:vAlign w:val="bottom"/>
          </w:tcPr>
          <w:p w14:paraId="0C94BF0D" w14:textId="77777777" w:rsidR="001266DC" w:rsidRPr="00E46346" w:rsidRDefault="001266DC" w:rsidP="001266DC">
            <w:pPr>
              <w:spacing w:line="480" w:lineRule="auto"/>
              <w:jc w:val="center"/>
              <w:rPr>
                <w:color w:val="000000"/>
              </w:rPr>
            </w:pPr>
            <w:r w:rsidRPr="00E46346">
              <w:rPr>
                <w:color w:val="000000"/>
              </w:rPr>
              <w:t>Class 1</w:t>
            </w:r>
          </w:p>
          <w:p w14:paraId="41720CF2" w14:textId="77777777" w:rsidR="001266DC" w:rsidRPr="00E46346" w:rsidRDefault="001266DC" w:rsidP="001266DC">
            <w:pPr>
              <w:spacing w:line="480" w:lineRule="auto"/>
              <w:jc w:val="center"/>
            </w:pPr>
            <w:r w:rsidRPr="00E46346">
              <w:rPr>
                <w:color w:val="000000"/>
              </w:rPr>
              <w:t>(%)/M (SE)</w:t>
            </w:r>
          </w:p>
        </w:tc>
        <w:tc>
          <w:tcPr>
            <w:tcW w:w="1724" w:type="dxa"/>
            <w:tcBorders>
              <w:left w:val="nil"/>
              <w:bottom w:val="single" w:sz="4" w:space="0" w:color="auto"/>
              <w:right w:val="nil"/>
            </w:tcBorders>
            <w:vAlign w:val="bottom"/>
          </w:tcPr>
          <w:p w14:paraId="4F6774BB" w14:textId="77777777" w:rsidR="001266DC" w:rsidRPr="00E46346" w:rsidRDefault="001266DC" w:rsidP="001266DC">
            <w:pPr>
              <w:spacing w:line="480" w:lineRule="auto"/>
              <w:jc w:val="center"/>
              <w:rPr>
                <w:color w:val="000000"/>
              </w:rPr>
            </w:pPr>
            <w:r w:rsidRPr="00E46346">
              <w:rPr>
                <w:color w:val="000000"/>
              </w:rPr>
              <w:t>Class 2</w:t>
            </w:r>
          </w:p>
          <w:p w14:paraId="4EF61B73" w14:textId="77777777" w:rsidR="001266DC" w:rsidRPr="00E46346" w:rsidRDefault="001266DC" w:rsidP="001266DC">
            <w:pPr>
              <w:spacing w:line="480" w:lineRule="auto"/>
              <w:jc w:val="center"/>
            </w:pPr>
            <w:r w:rsidRPr="00E46346">
              <w:rPr>
                <w:color w:val="000000"/>
              </w:rPr>
              <w:t>(%)/M (SE)</w:t>
            </w:r>
          </w:p>
        </w:tc>
        <w:tc>
          <w:tcPr>
            <w:tcW w:w="1723" w:type="dxa"/>
            <w:tcBorders>
              <w:left w:val="nil"/>
              <w:bottom w:val="single" w:sz="4" w:space="0" w:color="auto"/>
              <w:right w:val="nil"/>
            </w:tcBorders>
            <w:vAlign w:val="bottom"/>
          </w:tcPr>
          <w:p w14:paraId="5287EBBC" w14:textId="77777777" w:rsidR="001266DC" w:rsidRPr="00E46346" w:rsidRDefault="001266DC" w:rsidP="001266DC">
            <w:pPr>
              <w:spacing w:line="480" w:lineRule="auto"/>
              <w:jc w:val="center"/>
              <w:rPr>
                <w:color w:val="000000"/>
              </w:rPr>
            </w:pPr>
            <w:r w:rsidRPr="00E46346">
              <w:rPr>
                <w:color w:val="000000"/>
              </w:rPr>
              <w:t>Class 3</w:t>
            </w:r>
          </w:p>
          <w:p w14:paraId="436B66C9" w14:textId="77777777" w:rsidR="001266DC" w:rsidRPr="00E46346" w:rsidRDefault="001266DC" w:rsidP="001266DC">
            <w:pPr>
              <w:spacing w:line="480" w:lineRule="auto"/>
              <w:jc w:val="center"/>
            </w:pPr>
            <w:r w:rsidRPr="00E46346">
              <w:rPr>
                <w:color w:val="000000"/>
              </w:rPr>
              <w:t>(%)/M (SE)</w:t>
            </w:r>
          </w:p>
        </w:tc>
        <w:tc>
          <w:tcPr>
            <w:tcW w:w="1724" w:type="dxa"/>
            <w:tcBorders>
              <w:left w:val="nil"/>
              <w:bottom w:val="single" w:sz="4" w:space="0" w:color="auto"/>
              <w:right w:val="nil"/>
            </w:tcBorders>
            <w:vAlign w:val="bottom"/>
          </w:tcPr>
          <w:p w14:paraId="0A52FE8C" w14:textId="77777777" w:rsidR="001266DC" w:rsidRPr="00E46346" w:rsidRDefault="001266DC" w:rsidP="001266DC">
            <w:pPr>
              <w:spacing w:line="480" w:lineRule="auto"/>
              <w:jc w:val="center"/>
              <w:rPr>
                <w:color w:val="000000"/>
              </w:rPr>
            </w:pPr>
            <w:r w:rsidRPr="00E46346">
              <w:rPr>
                <w:color w:val="000000"/>
              </w:rPr>
              <w:t>Class 4</w:t>
            </w:r>
          </w:p>
          <w:p w14:paraId="2CFBE5F3" w14:textId="77777777" w:rsidR="001266DC" w:rsidRPr="00E46346" w:rsidRDefault="001266DC" w:rsidP="001266DC">
            <w:pPr>
              <w:spacing w:line="480" w:lineRule="auto"/>
              <w:jc w:val="center"/>
            </w:pPr>
            <w:r w:rsidRPr="00E46346">
              <w:rPr>
                <w:color w:val="000000"/>
              </w:rPr>
              <w:t>(%)/M (SE)</w:t>
            </w:r>
          </w:p>
        </w:tc>
        <w:tc>
          <w:tcPr>
            <w:tcW w:w="1116" w:type="dxa"/>
            <w:tcBorders>
              <w:left w:val="nil"/>
              <w:bottom w:val="single" w:sz="4" w:space="0" w:color="auto"/>
            </w:tcBorders>
            <w:vAlign w:val="bottom"/>
          </w:tcPr>
          <w:p w14:paraId="56B171BE" w14:textId="77777777" w:rsidR="001266DC" w:rsidRPr="00E46346" w:rsidRDefault="001266DC" w:rsidP="001266DC">
            <w:pPr>
              <w:spacing w:line="480" w:lineRule="auto"/>
              <w:jc w:val="center"/>
            </w:pPr>
            <w:r w:rsidRPr="00E46346">
              <w:rPr>
                <w:color w:val="000000"/>
              </w:rPr>
              <w:t>χ</w:t>
            </w:r>
            <w:r w:rsidRPr="00E46346">
              <w:rPr>
                <w:color w:val="000000"/>
                <w:vertAlign w:val="superscript"/>
              </w:rPr>
              <w:t>2</w:t>
            </w:r>
          </w:p>
        </w:tc>
      </w:tr>
      <w:tr w:rsidR="007A7027" w:rsidRPr="00E46346" w14:paraId="46340EA1" w14:textId="77777777" w:rsidTr="007A5607">
        <w:tc>
          <w:tcPr>
            <w:tcW w:w="2070" w:type="dxa"/>
            <w:tcBorders>
              <w:bottom w:val="nil"/>
              <w:right w:val="nil"/>
            </w:tcBorders>
            <w:vAlign w:val="bottom"/>
          </w:tcPr>
          <w:p w14:paraId="7FA20A58" w14:textId="4D9D3ABA" w:rsidR="007A7027" w:rsidRPr="001521DF" w:rsidRDefault="007A7027" w:rsidP="007A7027">
            <w:pPr>
              <w:spacing w:line="480" w:lineRule="auto"/>
            </w:pPr>
            <w:r w:rsidRPr="001521DF">
              <w:rPr>
                <w:color w:val="000000"/>
              </w:rPr>
              <w:t>MDD</w:t>
            </w:r>
          </w:p>
        </w:tc>
        <w:tc>
          <w:tcPr>
            <w:tcW w:w="1723" w:type="dxa"/>
            <w:tcBorders>
              <w:left w:val="nil"/>
              <w:bottom w:val="nil"/>
              <w:right w:val="nil"/>
            </w:tcBorders>
            <w:vAlign w:val="bottom"/>
          </w:tcPr>
          <w:p w14:paraId="0673DC11" w14:textId="5B5E3243" w:rsidR="007A7027" w:rsidRPr="004A7617" w:rsidRDefault="007A7027" w:rsidP="007A7027">
            <w:pPr>
              <w:spacing w:line="480" w:lineRule="auto"/>
              <w:jc w:val="center"/>
              <w:rPr>
                <w:vertAlign w:val="superscript"/>
              </w:rPr>
            </w:pPr>
            <w:r w:rsidRPr="007A7027">
              <w:rPr>
                <w:color w:val="000000"/>
              </w:rPr>
              <w:t>29%</w:t>
            </w:r>
            <w:r w:rsidR="004A7617">
              <w:rPr>
                <w:color w:val="000000"/>
                <w:vertAlign w:val="superscript"/>
              </w:rPr>
              <w:t>a</w:t>
            </w:r>
          </w:p>
        </w:tc>
        <w:tc>
          <w:tcPr>
            <w:tcW w:w="1724" w:type="dxa"/>
            <w:tcBorders>
              <w:left w:val="nil"/>
              <w:bottom w:val="nil"/>
              <w:right w:val="nil"/>
            </w:tcBorders>
            <w:vAlign w:val="bottom"/>
          </w:tcPr>
          <w:p w14:paraId="25CE22A9" w14:textId="10FA8003" w:rsidR="007A7027" w:rsidRPr="007A7027" w:rsidRDefault="007A7027" w:rsidP="007A7027">
            <w:pPr>
              <w:spacing w:line="480" w:lineRule="auto"/>
              <w:jc w:val="center"/>
            </w:pPr>
            <w:r w:rsidRPr="007A7027">
              <w:rPr>
                <w:color w:val="000000"/>
              </w:rPr>
              <w:t>40%</w:t>
            </w:r>
            <w:r w:rsidR="004A7617">
              <w:rPr>
                <w:color w:val="000000"/>
                <w:vertAlign w:val="superscript"/>
              </w:rPr>
              <w:t>a</w:t>
            </w:r>
          </w:p>
        </w:tc>
        <w:tc>
          <w:tcPr>
            <w:tcW w:w="1723" w:type="dxa"/>
            <w:tcBorders>
              <w:left w:val="nil"/>
              <w:bottom w:val="nil"/>
              <w:right w:val="nil"/>
            </w:tcBorders>
            <w:vAlign w:val="bottom"/>
          </w:tcPr>
          <w:p w14:paraId="701486DB" w14:textId="38B76B3D" w:rsidR="007A7027" w:rsidRPr="004A7617" w:rsidRDefault="007A7027" w:rsidP="007A7027">
            <w:pPr>
              <w:spacing w:line="480" w:lineRule="auto"/>
              <w:jc w:val="center"/>
              <w:rPr>
                <w:vertAlign w:val="superscript"/>
              </w:rPr>
            </w:pPr>
            <w:r w:rsidRPr="007A7027">
              <w:rPr>
                <w:color w:val="000000"/>
              </w:rPr>
              <w:t>31%</w:t>
            </w:r>
            <w:r w:rsidR="004A7617">
              <w:rPr>
                <w:color w:val="000000"/>
                <w:vertAlign w:val="superscript"/>
              </w:rPr>
              <w:t>a,b</w:t>
            </w:r>
          </w:p>
        </w:tc>
        <w:tc>
          <w:tcPr>
            <w:tcW w:w="1724" w:type="dxa"/>
            <w:tcBorders>
              <w:left w:val="nil"/>
              <w:bottom w:val="nil"/>
              <w:right w:val="nil"/>
            </w:tcBorders>
            <w:vAlign w:val="bottom"/>
          </w:tcPr>
          <w:p w14:paraId="5E867B1D" w14:textId="6F99DB46" w:rsidR="007A7027" w:rsidRPr="004A7617" w:rsidRDefault="007A7027" w:rsidP="007A7027">
            <w:pPr>
              <w:spacing w:line="480" w:lineRule="auto"/>
              <w:jc w:val="center"/>
              <w:rPr>
                <w:vertAlign w:val="superscript"/>
              </w:rPr>
            </w:pPr>
            <w:r w:rsidRPr="007A7027">
              <w:rPr>
                <w:color w:val="000000"/>
              </w:rPr>
              <w:t>58%</w:t>
            </w:r>
            <w:r w:rsidR="004A7617">
              <w:rPr>
                <w:color w:val="000000"/>
                <w:vertAlign w:val="superscript"/>
              </w:rPr>
              <w:t>b</w:t>
            </w:r>
          </w:p>
        </w:tc>
        <w:tc>
          <w:tcPr>
            <w:tcW w:w="1116" w:type="dxa"/>
            <w:tcBorders>
              <w:left w:val="nil"/>
              <w:bottom w:val="nil"/>
            </w:tcBorders>
            <w:vAlign w:val="bottom"/>
          </w:tcPr>
          <w:p w14:paraId="682DF59A" w14:textId="412CA595" w:rsidR="007A7027" w:rsidRPr="007A7027" w:rsidRDefault="007A7027" w:rsidP="007A7027">
            <w:pPr>
              <w:spacing w:line="480" w:lineRule="auto"/>
              <w:jc w:val="center"/>
            </w:pPr>
            <w:r w:rsidRPr="007A7027">
              <w:rPr>
                <w:color w:val="000000"/>
              </w:rPr>
              <w:t>11.26</w:t>
            </w:r>
            <w:r>
              <w:rPr>
                <w:color w:val="000000"/>
              </w:rPr>
              <w:t>*</w:t>
            </w:r>
          </w:p>
        </w:tc>
      </w:tr>
      <w:tr w:rsidR="007A7027" w:rsidRPr="00E46346" w14:paraId="46FE792D" w14:textId="77777777" w:rsidTr="007A5607">
        <w:tc>
          <w:tcPr>
            <w:tcW w:w="2070" w:type="dxa"/>
            <w:tcBorders>
              <w:top w:val="nil"/>
              <w:bottom w:val="nil"/>
              <w:right w:val="nil"/>
            </w:tcBorders>
            <w:vAlign w:val="bottom"/>
          </w:tcPr>
          <w:p w14:paraId="56220FBA" w14:textId="4A897882" w:rsidR="007A7027" w:rsidRPr="001521DF" w:rsidRDefault="007A7027" w:rsidP="007A7027">
            <w:pPr>
              <w:spacing w:line="480" w:lineRule="auto"/>
            </w:pPr>
            <w:r w:rsidRPr="001521DF">
              <w:rPr>
                <w:color w:val="000000"/>
              </w:rPr>
              <w:t>Number MDEs</w:t>
            </w:r>
          </w:p>
        </w:tc>
        <w:tc>
          <w:tcPr>
            <w:tcW w:w="1723" w:type="dxa"/>
            <w:tcBorders>
              <w:top w:val="nil"/>
              <w:left w:val="nil"/>
              <w:bottom w:val="nil"/>
              <w:right w:val="nil"/>
            </w:tcBorders>
            <w:vAlign w:val="bottom"/>
          </w:tcPr>
          <w:p w14:paraId="73C23938" w14:textId="24515740" w:rsidR="007A7027" w:rsidRPr="004A7617" w:rsidRDefault="007A7027" w:rsidP="007A7027">
            <w:pPr>
              <w:spacing w:line="480" w:lineRule="auto"/>
              <w:jc w:val="center"/>
              <w:rPr>
                <w:vertAlign w:val="superscript"/>
              </w:rPr>
            </w:pPr>
            <w:r w:rsidRPr="007A7027">
              <w:rPr>
                <w:color w:val="000000"/>
              </w:rPr>
              <w:t>0.46 (0.08)</w:t>
            </w:r>
            <w:r w:rsidR="004A7617">
              <w:rPr>
                <w:color w:val="000000"/>
                <w:vertAlign w:val="superscript"/>
              </w:rPr>
              <w:t>a,b</w:t>
            </w:r>
          </w:p>
        </w:tc>
        <w:tc>
          <w:tcPr>
            <w:tcW w:w="1724" w:type="dxa"/>
            <w:tcBorders>
              <w:top w:val="nil"/>
              <w:left w:val="nil"/>
              <w:bottom w:val="nil"/>
              <w:right w:val="nil"/>
            </w:tcBorders>
            <w:vAlign w:val="bottom"/>
          </w:tcPr>
          <w:p w14:paraId="7D1A13B3" w14:textId="41172774" w:rsidR="007A7027" w:rsidRPr="004A7617" w:rsidRDefault="007A7027" w:rsidP="007A7027">
            <w:pPr>
              <w:spacing w:line="480" w:lineRule="auto"/>
              <w:jc w:val="center"/>
              <w:rPr>
                <w:vertAlign w:val="superscript"/>
              </w:rPr>
            </w:pPr>
            <w:r w:rsidRPr="007A7027">
              <w:rPr>
                <w:color w:val="000000"/>
              </w:rPr>
              <w:t>0.71 (0.08)</w:t>
            </w:r>
            <w:r w:rsidR="004A7617">
              <w:rPr>
                <w:color w:val="000000"/>
                <w:vertAlign w:val="superscript"/>
              </w:rPr>
              <w:t>a,c</w:t>
            </w:r>
          </w:p>
        </w:tc>
        <w:tc>
          <w:tcPr>
            <w:tcW w:w="1723" w:type="dxa"/>
            <w:tcBorders>
              <w:top w:val="nil"/>
              <w:left w:val="nil"/>
              <w:bottom w:val="nil"/>
              <w:right w:val="nil"/>
            </w:tcBorders>
            <w:vAlign w:val="bottom"/>
          </w:tcPr>
          <w:p w14:paraId="6C72ABB1" w14:textId="305168B4" w:rsidR="007A7027" w:rsidRPr="004A7617" w:rsidRDefault="007A7027" w:rsidP="007A7027">
            <w:pPr>
              <w:spacing w:line="480" w:lineRule="auto"/>
              <w:jc w:val="center"/>
              <w:rPr>
                <w:vertAlign w:val="superscript"/>
              </w:rPr>
            </w:pPr>
            <w:r w:rsidRPr="007A7027">
              <w:rPr>
                <w:color w:val="000000"/>
              </w:rPr>
              <w:t>0.34 (0.15)</w:t>
            </w:r>
            <w:r w:rsidR="004A7617">
              <w:rPr>
                <w:color w:val="000000"/>
                <w:vertAlign w:val="superscript"/>
              </w:rPr>
              <w:t>b</w:t>
            </w:r>
          </w:p>
        </w:tc>
        <w:tc>
          <w:tcPr>
            <w:tcW w:w="1724" w:type="dxa"/>
            <w:tcBorders>
              <w:top w:val="nil"/>
              <w:left w:val="nil"/>
              <w:bottom w:val="nil"/>
              <w:right w:val="nil"/>
            </w:tcBorders>
            <w:vAlign w:val="bottom"/>
          </w:tcPr>
          <w:p w14:paraId="06319446" w14:textId="50F48B2A" w:rsidR="007A7027" w:rsidRPr="004A7617" w:rsidRDefault="007A7027" w:rsidP="007A7027">
            <w:pPr>
              <w:spacing w:line="480" w:lineRule="auto"/>
              <w:jc w:val="center"/>
              <w:rPr>
                <w:vertAlign w:val="superscript"/>
              </w:rPr>
            </w:pPr>
            <w:r w:rsidRPr="007A7027">
              <w:rPr>
                <w:color w:val="000000"/>
              </w:rPr>
              <w:t>0.81 (0.1)</w:t>
            </w:r>
            <w:r w:rsidR="004A7617">
              <w:rPr>
                <w:color w:val="000000"/>
                <w:vertAlign w:val="superscript"/>
              </w:rPr>
              <w:t>c</w:t>
            </w:r>
          </w:p>
        </w:tc>
        <w:tc>
          <w:tcPr>
            <w:tcW w:w="1116" w:type="dxa"/>
            <w:tcBorders>
              <w:top w:val="nil"/>
              <w:left w:val="nil"/>
              <w:bottom w:val="nil"/>
            </w:tcBorders>
            <w:vAlign w:val="bottom"/>
          </w:tcPr>
          <w:p w14:paraId="3711F55B" w14:textId="69A32300" w:rsidR="007A7027" w:rsidRPr="007A7027" w:rsidRDefault="007A7027" w:rsidP="007A7027">
            <w:pPr>
              <w:spacing w:line="480" w:lineRule="auto"/>
              <w:jc w:val="center"/>
            </w:pPr>
            <w:r w:rsidRPr="007A7027">
              <w:rPr>
                <w:color w:val="000000"/>
              </w:rPr>
              <w:t>11.14</w:t>
            </w:r>
            <w:r>
              <w:rPr>
                <w:color w:val="000000"/>
              </w:rPr>
              <w:t>*</w:t>
            </w:r>
          </w:p>
        </w:tc>
      </w:tr>
      <w:tr w:rsidR="007A7027" w:rsidRPr="00E46346" w14:paraId="05CEED1F" w14:textId="77777777" w:rsidTr="007A5607">
        <w:tc>
          <w:tcPr>
            <w:tcW w:w="2070" w:type="dxa"/>
            <w:tcBorders>
              <w:top w:val="nil"/>
              <w:bottom w:val="nil"/>
              <w:right w:val="nil"/>
            </w:tcBorders>
            <w:vAlign w:val="bottom"/>
          </w:tcPr>
          <w:p w14:paraId="2B7B9A60" w14:textId="37CCCA4E" w:rsidR="007A7027" w:rsidRPr="001521DF" w:rsidRDefault="007A7027" w:rsidP="007A7027">
            <w:pPr>
              <w:spacing w:line="480" w:lineRule="auto"/>
            </w:pPr>
            <w:r w:rsidRPr="001521DF">
              <w:rPr>
                <w:color w:val="000000"/>
              </w:rPr>
              <w:t>MDE Duration</w:t>
            </w:r>
          </w:p>
        </w:tc>
        <w:tc>
          <w:tcPr>
            <w:tcW w:w="1723" w:type="dxa"/>
            <w:tcBorders>
              <w:top w:val="nil"/>
              <w:left w:val="nil"/>
              <w:bottom w:val="nil"/>
              <w:right w:val="nil"/>
            </w:tcBorders>
            <w:vAlign w:val="bottom"/>
          </w:tcPr>
          <w:p w14:paraId="3FDE2559" w14:textId="322E6436" w:rsidR="007A7027" w:rsidRPr="004A7617" w:rsidRDefault="007A7027" w:rsidP="007A7027">
            <w:pPr>
              <w:spacing w:line="480" w:lineRule="auto"/>
              <w:jc w:val="center"/>
              <w:rPr>
                <w:vertAlign w:val="superscript"/>
              </w:rPr>
            </w:pPr>
            <w:r w:rsidRPr="007A7027">
              <w:rPr>
                <w:color w:val="000000"/>
              </w:rPr>
              <w:t>15.45 (5.75)</w:t>
            </w:r>
            <w:r w:rsidR="004A7617">
              <w:rPr>
                <w:color w:val="000000"/>
                <w:vertAlign w:val="superscript"/>
              </w:rPr>
              <w:t>a</w:t>
            </w:r>
          </w:p>
        </w:tc>
        <w:tc>
          <w:tcPr>
            <w:tcW w:w="1724" w:type="dxa"/>
            <w:tcBorders>
              <w:top w:val="nil"/>
              <w:left w:val="nil"/>
              <w:bottom w:val="nil"/>
              <w:right w:val="nil"/>
            </w:tcBorders>
            <w:vAlign w:val="bottom"/>
          </w:tcPr>
          <w:p w14:paraId="484BA451" w14:textId="57225500" w:rsidR="007A7027" w:rsidRPr="004A7617" w:rsidRDefault="007A7027" w:rsidP="007A7027">
            <w:pPr>
              <w:spacing w:line="480" w:lineRule="auto"/>
              <w:jc w:val="center"/>
              <w:rPr>
                <w:vertAlign w:val="superscript"/>
              </w:rPr>
            </w:pPr>
            <w:r w:rsidRPr="007A7027">
              <w:rPr>
                <w:color w:val="000000"/>
              </w:rPr>
              <w:t>30.79 (4.59)</w:t>
            </w:r>
            <w:r w:rsidR="004A7617">
              <w:rPr>
                <w:color w:val="000000"/>
                <w:vertAlign w:val="superscript"/>
              </w:rPr>
              <w:t>b</w:t>
            </w:r>
          </w:p>
        </w:tc>
        <w:tc>
          <w:tcPr>
            <w:tcW w:w="1723" w:type="dxa"/>
            <w:tcBorders>
              <w:top w:val="nil"/>
              <w:left w:val="nil"/>
              <w:bottom w:val="nil"/>
              <w:right w:val="nil"/>
            </w:tcBorders>
            <w:vAlign w:val="bottom"/>
          </w:tcPr>
          <w:p w14:paraId="18EBA13A" w14:textId="62F39043" w:rsidR="007A7027" w:rsidRPr="004A7617" w:rsidRDefault="007A7027" w:rsidP="007A7027">
            <w:pPr>
              <w:spacing w:line="480" w:lineRule="auto"/>
              <w:jc w:val="center"/>
              <w:rPr>
                <w:vertAlign w:val="superscript"/>
              </w:rPr>
            </w:pPr>
            <w:r w:rsidRPr="007A7027">
              <w:rPr>
                <w:color w:val="000000"/>
              </w:rPr>
              <w:t>24.66 (9.76)</w:t>
            </w:r>
            <w:r w:rsidR="004A7617">
              <w:rPr>
                <w:color w:val="000000"/>
                <w:vertAlign w:val="superscript"/>
              </w:rPr>
              <w:t>a,b</w:t>
            </w:r>
          </w:p>
        </w:tc>
        <w:tc>
          <w:tcPr>
            <w:tcW w:w="1724" w:type="dxa"/>
            <w:tcBorders>
              <w:top w:val="nil"/>
              <w:left w:val="nil"/>
              <w:bottom w:val="nil"/>
              <w:right w:val="nil"/>
            </w:tcBorders>
            <w:vAlign w:val="bottom"/>
          </w:tcPr>
          <w:p w14:paraId="2294F3D5" w14:textId="34F24796" w:rsidR="007A7027" w:rsidRPr="004A7617" w:rsidRDefault="007A7027" w:rsidP="007A7027">
            <w:pPr>
              <w:spacing w:line="480" w:lineRule="auto"/>
              <w:jc w:val="center"/>
              <w:rPr>
                <w:vertAlign w:val="superscript"/>
              </w:rPr>
            </w:pPr>
            <w:r w:rsidRPr="007A7027">
              <w:rPr>
                <w:color w:val="000000"/>
              </w:rPr>
              <w:t>49.35 (11.8)</w:t>
            </w:r>
            <w:r w:rsidR="004A7617">
              <w:rPr>
                <w:color w:val="000000"/>
                <w:vertAlign w:val="superscript"/>
              </w:rPr>
              <w:t>b</w:t>
            </w:r>
          </w:p>
        </w:tc>
        <w:tc>
          <w:tcPr>
            <w:tcW w:w="1116" w:type="dxa"/>
            <w:tcBorders>
              <w:top w:val="nil"/>
              <w:left w:val="nil"/>
              <w:bottom w:val="nil"/>
            </w:tcBorders>
            <w:vAlign w:val="bottom"/>
          </w:tcPr>
          <w:p w14:paraId="475AE9FA" w14:textId="59681255" w:rsidR="007A7027" w:rsidRPr="007A7027" w:rsidRDefault="007A7027" w:rsidP="007A7027">
            <w:pPr>
              <w:spacing w:line="480" w:lineRule="auto"/>
              <w:jc w:val="center"/>
            </w:pPr>
            <w:r w:rsidRPr="007A7027">
              <w:rPr>
                <w:color w:val="000000"/>
              </w:rPr>
              <w:t>12.20</w:t>
            </w:r>
            <w:r>
              <w:rPr>
                <w:color w:val="000000"/>
              </w:rPr>
              <w:t>**</w:t>
            </w:r>
          </w:p>
        </w:tc>
      </w:tr>
      <w:tr w:rsidR="007A7027" w:rsidRPr="00E46346" w14:paraId="30DF5168" w14:textId="77777777" w:rsidTr="007A5607">
        <w:tc>
          <w:tcPr>
            <w:tcW w:w="2070" w:type="dxa"/>
            <w:tcBorders>
              <w:top w:val="nil"/>
              <w:bottom w:val="nil"/>
              <w:right w:val="nil"/>
            </w:tcBorders>
            <w:vAlign w:val="bottom"/>
          </w:tcPr>
          <w:p w14:paraId="6E6B74CF" w14:textId="64A300B3" w:rsidR="007A7027" w:rsidRPr="001521DF" w:rsidRDefault="007A7027" w:rsidP="007A7027">
            <w:pPr>
              <w:spacing w:line="480" w:lineRule="auto"/>
            </w:pPr>
            <w:r w:rsidRPr="001521DF">
              <w:rPr>
                <w:color w:val="000000"/>
              </w:rPr>
              <w:t>PT1 ANX</w:t>
            </w:r>
          </w:p>
        </w:tc>
        <w:tc>
          <w:tcPr>
            <w:tcW w:w="1723" w:type="dxa"/>
            <w:tcBorders>
              <w:top w:val="nil"/>
              <w:left w:val="nil"/>
              <w:bottom w:val="nil"/>
              <w:right w:val="nil"/>
            </w:tcBorders>
            <w:vAlign w:val="bottom"/>
          </w:tcPr>
          <w:p w14:paraId="2B6D0C08" w14:textId="304B55ED" w:rsidR="007A7027" w:rsidRPr="004A7617" w:rsidRDefault="007A7027" w:rsidP="007A7027">
            <w:pPr>
              <w:spacing w:line="480" w:lineRule="auto"/>
              <w:jc w:val="center"/>
              <w:rPr>
                <w:vertAlign w:val="superscript"/>
              </w:rPr>
            </w:pPr>
            <w:r w:rsidRPr="007A7027">
              <w:rPr>
                <w:color w:val="000000"/>
              </w:rPr>
              <w:t>4%</w:t>
            </w:r>
            <w:r w:rsidR="004A7617">
              <w:rPr>
                <w:color w:val="000000"/>
                <w:vertAlign w:val="superscript"/>
              </w:rPr>
              <w:t>a</w:t>
            </w:r>
          </w:p>
        </w:tc>
        <w:tc>
          <w:tcPr>
            <w:tcW w:w="1724" w:type="dxa"/>
            <w:tcBorders>
              <w:top w:val="nil"/>
              <w:left w:val="nil"/>
              <w:bottom w:val="nil"/>
              <w:right w:val="nil"/>
            </w:tcBorders>
            <w:vAlign w:val="bottom"/>
          </w:tcPr>
          <w:p w14:paraId="117358DD" w14:textId="5880DE18" w:rsidR="007A7027" w:rsidRPr="004A7617" w:rsidRDefault="007A7027" w:rsidP="007A7027">
            <w:pPr>
              <w:spacing w:line="480" w:lineRule="auto"/>
              <w:jc w:val="center"/>
              <w:rPr>
                <w:vertAlign w:val="superscript"/>
              </w:rPr>
            </w:pPr>
            <w:r w:rsidRPr="007A7027">
              <w:rPr>
                <w:color w:val="000000"/>
              </w:rPr>
              <w:t>11%</w:t>
            </w:r>
            <w:r w:rsidR="004A7617">
              <w:rPr>
                <w:color w:val="000000"/>
                <w:vertAlign w:val="superscript"/>
              </w:rPr>
              <w:t>a</w:t>
            </w:r>
          </w:p>
        </w:tc>
        <w:tc>
          <w:tcPr>
            <w:tcW w:w="1723" w:type="dxa"/>
            <w:tcBorders>
              <w:top w:val="nil"/>
              <w:left w:val="nil"/>
              <w:bottom w:val="nil"/>
              <w:right w:val="nil"/>
            </w:tcBorders>
            <w:vAlign w:val="bottom"/>
          </w:tcPr>
          <w:p w14:paraId="1124D47B" w14:textId="2326A28A" w:rsidR="007A7027" w:rsidRPr="004A7617" w:rsidRDefault="007A7027" w:rsidP="007A7027">
            <w:pPr>
              <w:spacing w:line="480" w:lineRule="auto"/>
              <w:jc w:val="center"/>
              <w:rPr>
                <w:vertAlign w:val="superscript"/>
              </w:rPr>
            </w:pPr>
            <w:r w:rsidRPr="007A7027">
              <w:rPr>
                <w:color w:val="000000"/>
              </w:rPr>
              <w:t>7%</w:t>
            </w:r>
            <w:r w:rsidR="004A7617">
              <w:rPr>
                <w:color w:val="000000"/>
                <w:vertAlign w:val="superscript"/>
              </w:rPr>
              <w:t>a,b</w:t>
            </w:r>
          </w:p>
        </w:tc>
        <w:tc>
          <w:tcPr>
            <w:tcW w:w="1724" w:type="dxa"/>
            <w:tcBorders>
              <w:top w:val="nil"/>
              <w:left w:val="nil"/>
              <w:bottom w:val="nil"/>
              <w:right w:val="nil"/>
            </w:tcBorders>
            <w:vAlign w:val="bottom"/>
          </w:tcPr>
          <w:p w14:paraId="4CF81D05" w14:textId="1C363BFC" w:rsidR="007A7027" w:rsidRPr="004A7617" w:rsidRDefault="007A7027" w:rsidP="007A7027">
            <w:pPr>
              <w:spacing w:line="480" w:lineRule="auto"/>
              <w:jc w:val="center"/>
              <w:rPr>
                <w:vertAlign w:val="superscript"/>
              </w:rPr>
            </w:pPr>
            <w:r w:rsidRPr="007A7027">
              <w:rPr>
                <w:color w:val="000000"/>
              </w:rPr>
              <w:t>24%</w:t>
            </w:r>
            <w:r w:rsidR="004A7617">
              <w:rPr>
                <w:color w:val="000000"/>
                <w:vertAlign w:val="superscript"/>
              </w:rPr>
              <w:t>b</w:t>
            </w:r>
          </w:p>
        </w:tc>
        <w:tc>
          <w:tcPr>
            <w:tcW w:w="1116" w:type="dxa"/>
            <w:tcBorders>
              <w:top w:val="nil"/>
              <w:left w:val="nil"/>
              <w:bottom w:val="nil"/>
            </w:tcBorders>
            <w:vAlign w:val="bottom"/>
          </w:tcPr>
          <w:p w14:paraId="657E1458" w14:textId="370295A5" w:rsidR="007A7027" w:rsidRPr="007A7027" w:rsidRDefault="007A7027" w:rsidP="007A7027">
            <w:pPr>
              <w:spacing w:line="480" w:lineRule="auto"/>
              <w:jc w:val="center"/>
            </w:pPr>
            <w:r w:rsidRPr="007A7027">
              <w:rPr>
                <w:color w:val="000000"/>
              </w:rPr>
              <w:t>14.18</w:t>
            </w:r>
            <w:r>
              <w:rPr>
                <w:color w:val="000000"/>
              </w:rPr>
              <w:t>**</w:t>
            </w:r>
          </w:p>
        </w:tc>
      </w:tr>
      <w:tr w:rsidR="007A7027" w:rsidRPr="00E46346" w14:paraId="5B390AF1" w14:textId="77777777" w:rsidTr="007A5607">
        <w:tc>
          <w:tcPr>
            <w:tcW w:w="2070" w:type="dxa"/>
            <w:tcBorders>
              <w:top w:val="nil"/>
              <w:bottom w:val="nil"/>
              <w:right w:val="nil"/>
            </w:tcBorders>
            <w:vAlign w:val="bottom"/>
          </w:tcPr>
          <w:p w14:paraId="0242C9AB" w14:textId="472C2BF4" w:rsidR="007A7027" w:rsidRPr="001521DF" w:rsidRDefault="007A7027" w:rsidP="007A7027">
            <w:pPr>
              <w:spacing w:line="480" w:lineRule="auto"/>
            </w:pPr>
            <w:r w:rsidRPr="001521DF">
              <w:rPr>
                <w:color w:val="000000"/>
              </w:rPr>
              <w:t>PT1 SUD</w:t>
            </w:r>
          </w:p>
        </w:tc>
        <w:tc>
          <w:tcPr>
            <w:tcW w:w="1723" w:type="dxa"/>
            <w:tcBorders>
              <w:top w:val="nil"/>
              <w:left w:val="nil"/>
              <w:bottom w:val="nil"/>
              <w:right w:val="nil"/>
            </w:tcBorders>
            <w:vAlign w:val="bottom"/>
          </w:tcPr>
          <w:p w14:paraId="573F5227" w14:textId="5B6D5821" w:rsidR="007A7027" w:rsidRPr="004A7617" w:rsidRDefault="007A7027" w:rsidP="007A7027">
            <w:pPr>
              <w:spacing w:line="480" w:lineRule="auto"/>
              <w:jc w:val="center"/>
              <w:rPr>
                <w:vertAlign w:val="superscript"/>
              </w:rPr>
            </w:pPr>
            <w:r w:rsidRPr="007A7027">
              <w:rPr>
                <w:color w:val="000000"/>
              </w:rPr>
              <w:t>31%</w:t>
            </w:r>
            <w:r w:rsidR="004A7617">
              <w:rPr>
                <w:color w:val="000000"/>
                <w:vertAlign w:val="superscript"/>
              </w:rPr>
              <w:t>a</w:t>
            </w:r>
          </w:p>
        </w:tc>
        <w:tc>
          <w:tcPr>
            <w:tcW w:w="1724" w:type="dxa"/>
            <w:tcBorders>
              <w:top w:val="nil"/>
              <w:left w:val="nil"/>
              <w:bottom w:val="nil"/>
              <w:right w:val="nil"/>
            </w:tcBorders>
            <w:vAlign w:val="bottom"/>
          </w:tcPr>
          <w:p w14:paraId="333F8261" w14:textId="03CCA16E" w:rsidR="007A7027" w:rsidRPr="004A7617" w:rsidRDefault="007A7027" w:rsidP="007A7027">
            <w:pPr>
              <w:spacing w:line="480" w:lineRule="auto"/>
              <w:jc w:val="center"/>
              <w:rPr>
                <w:vertAlign w:val="superscript"/>
              </w:rPr>
            </w:pPr>
            <w:r w:rsidRPr="007A7027">
              <w:rPr>
                <w:color w:val="000000"/>
              </w:rPr>
              <w:t>33%</w:t>
            </w:r>
            <w:r w:rsidR="004A7617">
              <w:rPr>
                <w:color w:val="000000"/>
                <w:vertAlign w:val="superscript"/>
              </w:rPr>
              <w:t>a</w:t>
            </w:r>
          </w:p>
        </w:tc>
        <w:tc>
          <w:tcPr>
            <w:tcW w:w="1723" w:type="dxa"/>
            <w:tcBorders>
              <w:top w:val="nil"/>
              <w:left w:val="nil"/>
              <w:bottom w:val="nil"/>
              <w:right w:val="nil"/>
            </w:tcBorders>
            <w:vAlign w:val="bottom"/>
          </w:tcPr>
          <w:p w14:paraId="26799669" w14:textId="38EDC73B" w:rsidR="007A7027" w:rsidRPr="004A7617" w:rsidRDefault="007A7027" w:rsidP="007A7027">
            <w:pPr>
              <w:spacing w:line="480" w:lineRule="auto"/>
              <w:jc w:val="center"/>
              <w:rPr>
                <w:vertAlign w:val="superscript"/>
              </w:rPr>
            </w:pPr>
            <w:r w:rsidRPr="007A7027">
              <w:rPr>
                <w:color w:val="000000"/>
              </w:rPr>
              <w:t>64%</w:t>
            </w:r>
            <w:r w:rsidR="004A7617">
              <w:rPr>
                <w:color w:val="000000"/>
                <w:vertAlign w:val="superscript"/>
              </w:rPr>
              <w:t>b</w:t>
            </w:r>
          </w:p>
        </w:tc>
        <w:tc>
          <w:tcPr>
            <w:tcW w:w="1724" w:type="dxa"/>
            <w:tcBorders>
              <w:top w:val="nil"/>
              <w:left w:val="nil"/>
              <w:bottom w:val="nil"/>
              <w:right w:val="nil"/>
            </w:tcBorders>
            <w:vAlign w:val="bottom"/>
          </w:tcPr>
          <w:p w14:paraId="218C0573" w14:textId="1460B8E6" w:rsidR="007A7027" w:rsidRPr="004A7617" w:rsidRDefault="007A7027" w:rsidP="007A7027">
            <w:pPr>
              <w:spacing w:line="480" w:lineRule="auto"/>
              <w:jc w:val="center"/>
              <w:rPr>
                <w:vertAlign w:val="superscript"/>
              </w:rPr>
            </w:pPr>
            <w:r w:rsidRPr="007A7027">
              <w:rPr>
                <w:color w:val="000000"/>
              </w:rPr>
              <w:t>56%</w:t>
            </w:r>
            <w:r w:rsidR="004A7617">
              <w:rPr>
                <w:color w:val="000000"/>
                <w:vertAlign w:val="superscript"/>
              </w:rPr>
              <w:t>b</w:t>
            </w:r>
          </w:p>
        </w:tc>
        <w:tc>
          <w:tcPr>
            <w:tcW w:w="1116" w:type="dxa"/>
            <w:tcBorders>
              <w:top w:val="nil"/>
              <w:left w:val="nil"/>
              <w:bottom w:val="nil"/>
            </w:tcBorders>
            <w:vAlign w:val="bottom"/>
          </w:tcPr>
          <w:p w14:paraId="13B9D550" w14:textId="4D91A683" w:rsidR="007A7027" w:rsidRPr="007A7027" w:rsidRDefault="007A7027" w:rsidP="007A7027">
            <w:pPr>
              <w:spacing w:line="480" w:lineRule="auto"/>
              <w:jc w:val="center"/>
            </w:pPr>
            <w:r w:rsidRPr="007A7027">
              <w:rPr>
                <w:color w:val="000000"/>
              </w:rPr>
              <w:t>12.99</w:t>
            </w:r>
            <w:r>
              <w:rPr>
                <w:color w:val="000000"/>
              </w:rPr>
              <w:t>**</w:t>
            </w:r>
          </w:p>
        </w:tc>
      </w:tr>
      <w:tr w:rsidR="007A7027" w:rsidRPr="00E46346" w14:paraId="71EB2C62" w14:textId="77777777" w:rsidTr="00DD3DBE">
        <w:tc>
          <w:tcPr>
            <w:tcW w:w="2070" w:type="dxa"/>
            <w:tcBorders>
              <w:top w:val="nil"/>
              <w:bottom w:val="nil"/>
              <w:right w:val="nil"/>
            </w:tcBorders>
            <w:vAlign w:val="center"/>
          </w:tcPr>
          <w:p w14:paraId="3665B830" w14:textId="0E9810BF" w:rsidR="007A7027" w:rsidRPr="001521DF" w:rsidRDefault="007A7027" w:rsidP="007A7027">
            <w:pPr>
              <w:spacing w:line="480" w:lineRule="auto"/>
            </w:pPr>
            <w:r w:rsidRPr="001521DF">
              <w:t xml:space="preserve">Highest Grade </w:t>
            </w:r>
          </w:p>
        </w:tc>
        <w:tc>
          <w:tcPr>
            <w:tcW w:w="1723" w:type="dxa"/>
            <w:tcBorders>
              <w:top w:val="nil"/>
              <w:left w:val="nil"/>
              <w:bottom w:val="nil"/>
              <w:right w:val="nil"/>
            </w:tcBorders>
            <w:vAlign w:val="bottom"/>
          </w:tcPr>
          <w:p w14:paraId="7757CDD8" w14:textId="479EAB22" w:rsidR="007A7027" w:rsidRPr="00A16BC3" w:rsidRDefault="007A7027" w:rsidP="007A7027">
            <w:pPr>
              <w:spacing w:line="480" w:lineRule="auto"/>
              <w:jc w:val="center"/>
              <w:rPr>
                <w:color w:val="000000"/>
                <w:vertAlign w:val="superscript"/>
              </w:rPr>
            </w:pPr>
            <w:r w:rsidRPr="007A7027">
              <w:rPr>
                <w:color w:val="000000"/>
              </w:rPr>
              <w:t>15.47 (0.18)</w:t>
            </w:r>
            <w:r w:rsidR="00A16BC3">
              <w:rPr>
                <w:color w:val="000000"/>
                <w:vertAlign w:val="superscript"/>
              </w:rPr>
              <w:t>a</w:t>
            </w:r>
          </w:p>
        </w:tc>
        <w:tc>
          <w:tcPr>
            <w:tcW w:w="1724" w:type="dxa"/>
            <w:tcBorders>
              <w:top w:val="nil"/>
              <w:left w:val="nil"/>
              <w:bottom w:val="nil"/>
              <w:right w:val="nil"/>
            </w:tcBorders>
            <w:vAlign w:val="bottom"/>
          </w:tcPr>
          <w:p w14:paraId="7E80D173" w14:textId="6CE3D8D2" w:rsidR="007A7027" w:rsidRPr="00A16BC3" w:rsidRDefault="007A7027" w:rsidP="007A7027">
            <w:pPr>
              <w:spacing w:line="480" w:lineRule="auto"/>
              <w:jc w:val="center"/>
              <w:rPr>
                <w:color w:val="000000"/>
                <w:vertAlign w:val="superscript"/>
              </w:rPr>
            </w:pPr>
            <w:r w:rsidRPr="007A7027">
              <w:rPr>
                <w:color w:val="000000"/>
              </w:rPr>
              <w:t>14.32 (0.16)</w:t>
            </w:r>
            <w:r w:rsidR="00A16BC3">
              <w:rPr>
                <w:color w:val="000000"/>
                <w:vertAlign w:val="superscript"/>
              </w:rPr>
              <w:t>b</w:t>
            </w:r>
          </w:p>
        </w:tc>
        <w:tc>
          <w:tcPr>
            <w:tcW w:w="1723" w:type="dxa"/>
            <w:tcBorders>
              <w:top w:val="nil"/>
              <w:left w:val="nil"/>
              <w:bottom w:val="nil"/>
              <w:right w:val="nil"/>
            </w:tcBorders>
            <w:vAlign w:val="bottom"/>
          </w:tcPr>
          <w:p w14:paraId="2EF01DE4" w14:textId="0C4BB2F0" w:rsidR="007A7027" w:rsidRPr="00A16BC3" w:rsidRDefault="007A7027" w:rsidP="007A7027">
            <w:pPr>
              <w:spacing w:line="480" w:lineRule="auto"/>
              <w:jc w:val="center"/>
              <w:rPr>
                <w:color w:val="000000"/>
                <w:vertAlign w:val="superscript"/>
              </w:rPr>
            </w:pPr>
            <w:r w:rsidRPr="007A7027">
              <w:rPr>
                <w:color w:val="000000"/>
              </w:rPr>
              <w:t>13.24 (0.36)</w:t>
            </w:r>
            <w:r w:rsidR="00A16BC3">
              <w:rPr>
                <w:color w:val="000000"/>
                <w:vertAlign w:val="superscript"/>
              </w:rPr>
              <w:t>c</w:t>
            </w:r>
          </w:p>
        </w:tc>
        <w:tc>
          <w:tcPr>
            <w:tcW w:w="1724" w:type="dxa"/>
            <w:tcBorders>
              <w:top w:val="nil"/>
              <w:left w:val="nil"/>
              <w:bottom w:val="nil"/>
              <w:right w:val="nil"/>
            </w:tcBorders>
            <w:vAlign w:val="bottom"/>
          </w:tcPr>
          <w:p w14:paraId="4CB78A12" w14:textId="4F1C4F7E" w:rsidR="007A7027" w:rsidRPr="00A16BC3" w:rsidRDefault="007A7027" w:rsidP="007A7027">
            <w:pPr>
              <w:spacing w:line="480" w:lineRule="auto"/>
              <w:jc w:val="center"/>
              <w:rPr>
                <w:color w:val="000000"/>
                <w:vertAlign w:val="superscript"/>
              </w:rPr>
            </w:pPr>
            <w:r w:rsidRPr="007A7027">
              <w:rPr>
                <w:color w:val="000000"/>
              </w:rPr>
              <w:t>14.22 (0.23)</w:t>
            </w:r>
            <w:r w:rsidR="00A16BC3">
              <w:rPr>
                <w:color w:val="000000"/>
                <w:vertAlign w:val="superscript"/>
              </w:rPr>
              <w:t>b</w:t>
            </w:r>
          </w:p>
        </w:tc>
        <w:tc>
          <w:tcPr>
            <w:tcW w:w="1116" w:type="dxa"/>
            <w:tcBorders>
              <w:top w:val="nil"/>
              <w:left w:val="nil"/>
              <w:bottom w:val="nil"/>
            </w:tcBorders>
            <w:vAlign w:val="bottom"/>
          </w:tcPr>
          <w:p w14:paraId="3838B100" w14:textId="351075DE" w:rsidR="007A7027" w:rsidRPr="007A7027" w:rsidRDefault="007A7027" w:rsidP="007A7027">
            <w:pPr>
              <w:spacing w:line="480" w:lineRule="auto"/>
              <w:jc w:val="center"/>
              <w:rPr>
                <w:color w:val="000000"/>
              </w:rPr>
            </w:pPr>
            <w:r w:rsidRPr="007A7027">
              <w:rPr>
                <w:color w:val="000000"/>
              </w:rPr>
              <w:t>31.94</w:t>
            </w:r>
            <w:r>
              <w:rPr>
                <w:color w:val="000000"/>
              </w:rPr>
              <w:t>***</w:t>
            </w:r>
          </w:p>
        </w:tc>
      </w:tr>
      <w:tr w:rsidR="007A7027" w:rsidRPr="00E46346" w14:paraId="56D752D5" w14:textId="77777777" w:rsidTr="00DD3DBE">
        <w:tc>
          <w:tcPr>
            <w:tcW w:w="2070" w:type="dxa"/>
            <w:tcBorders>
              <w:top w:val="nil"/>
              <w:bottom w:val="nil"/>
              <w:right w:val="nil"/>
            </w:tcBorders>
            <w:vAlign w:val="center"/>
          </w:tcPr>
          <w:p w14:paraId="66128E35" w14:textId="6704D5AB" w:rsidR="007A7027" w:rsidRPr="001521DF" w:rsidRDefault="007A7027" w:rsidP="007A7027">
            <w:pPr>
              <w:spacing w:line="480" w:lineRule="auto"/>
            </w:pPr>
            <w:r w:rsidRPr="001521DF">
              <w:t>Household Income</w:t>
            </w:r>
          </w:p>
        </w:tc>
        <w:tc>
          <w:tcPr>
            <w:tcW w:w="1723" w:type="dxa"/>
            <w:tcBorders>
              <w:top w:val="nil"/>
              <w:left w:val="nil"/>
              <w:bottom w:val="nil"/>
              <w:right w:val="nil"/>
            </w:tcBorders>
            <w:vAlign w:val="bottom"/>
          </w:tcPr>
          <w:p w14:paraId="70E66297" w14:textId="5319E096" w:rsidR="007A7027" w:rsidRPr="007A7027" w:rsidRDefault="007A7027" w:rsidP="007A7027">
            <w:pPr>
              <w:spacing w:line="480" w:lineRule="auto"/>
              <w:jc w:val="center"/>
              <w:rPr>
                <w:color w:val="000000"/>
                <w:vertAlign w:val="superscript"/>
              </w:rPr>
            </w:pPr>
            <w:r w:rsidRPr="007A7027">
              <w:rPr>
                <w:color w:val="000000"/>
              </w:rPr>
              <w:t>7.65 (0.19)</w:t>
            </w:r>
          </w:p>
        </w:tc>
        <w:tc>
          <w:tcPr>
            <w:tcW w:w="1724" w:type="dxa"/>
            <w:tcBorders>
              <w:top w:val="nil"/>
              <w:left w:val="nil"/>
              <w:bottom w:val="nil"/>
              <w:right w:val="nil"/>
            </w:tcBorders>
            <w:vAlign w:val="bottom"/>
          </w:tcPr>
          <w:p w14:paraId="516124CE" w14:textId="2EE714C0" w:rsidR="007A7027" w:rsidRPr="007A7027" w:rsidRDefault="007A7027" w:rsidP="007A7027">
            <w:pPr>
              <w:spacing w:line="480" w:lineRule="auto"/>
              <w:jc w:val="center"/>
              <w:rPr>
                <w:color w:val="000000"/>
                <w:vertAlign w:val="superscript"/>
              </w:rPr>
            </w:pPr>
            <w:r w:rsidRPr="007A7027">
              <w:rPr>
                <w:color w:val="000000"/>
              </w:rPr>
              <w:t>7.47 (0.16)</w:t>
            </w:r>
          </w:p>
        </w:tc>
        <w:tc>
          <w:tcPr>
            <w:tcW w:w="1723" w:type="dxa"/>
            <w:tcBorders>
              <w:top w:val="nil"/>
              <w:left w:val="nil"/>
              <w:bottom w:val="nil"/>
              <w:right w:val="nil"/>
            </w:tcBorders>
            <w:vAlign w:val="bottom"/>
          </w:tcPr>
          <w:p w14:paraId="16CDC6AF" w14:textId="7EFDD5CF" w:rsidR="007A7027" w:rsidRPr="007A7027" w:rsidRDefault="007A7027" w:rsidP="007A7027">
            <w:pPr>
              <w:spacing w:line="480" w:lineRule="auto"/>
              <w:jc w:val="center"/>
              <w:rPr>
                <w:color w:val="000000"/>
                <w:vertAlign w:val="superscript"/>
              </w:rPr>
            </w:pPr>
            <w:r w:rsidRPr="007A7027">
              <w:rPr>
                <w:color w:val="000000"/>
              </w:rPr>
              <w:t>6.8 (0.42)</w:t>
            </w:r>
          </w:p>
        </w:tc>
        <w:tc>
          <w:tcPr>
            <w:tcW w:w="1724" w:type="dxa"/>
            <w:tcBorders>
              <w:top w:val="nil"/>
              <w:left w:val="nil"/>
              <w:bottom w:val="nil"/>
              <w:right w:val="nil"/>
            </w:tcBorders>
            <w:vAlign w:val="bottom"/>
          </w:tcPr>
          <w:p w14:paraId="6F4BE4DD" w14:textId="0A84C23C" w:rsidR="007A7027" w:rsidRPr="007A7027" w:rsidRDefault="007A7027" w:rsidP="007A7027">
            <w:pPr>
              <w:spacing w:line="480" w:lineRule="auto"/>
              <w:jc w:val="center"/>
              <w:rPr>
                <w:color w:val="000000"/>
                <w:vertAlign w:val="superscript"/>
              </w:rPr>
            </w:pPr>
            <w:r w:rsidRPr="007A7027">
              <w:rPr>
                <w:color w:val="000000"/>
              </w:rPr>
              <w:t>7.25 (0.24)</w:t>
            </w:r>
          </w:p>
        </w:tc>
        <w:tc>
          <w:tcPr>
            <w:tcW w:w="1116" w:type="dxa"/>
            <w:tcBorders>
              <w:top w:val="nil"/>
              <w:left w:val="nil"/>
              <w:bottom w:val="nil"/>
            </w:tcBorders>
            <w:vAlign w:val="bottom"/>
          </w:tcPr>
          <w:p w14:paraId="4D97E274" w14:textId="7E644054" w:rsidR="007A7027" w:rsidRPr="007A7027" w:rsidRDefault="007A7027" w:rsidP="007A7027">
            <w:pPr>
              <w:spacing w:line="480" w:lineRule="auto"/>
              <w:jc w:val="center"/>
              <w:rPr>
                <w:color w:val="000000"/>
              </w:rPr>
            </w:pPr>
            <w:r w:rsidRPr="007A7027">
              <w:rPr>
                <w:color w:val="000000"/>
              </w:rPr>
              <w:t>3.26</w:t>
            </w:r>
          </w:p>
        </w:tc>
      </w:tr>
      <w:tr w:rsidR="007A7027" w:rsidRPr="00E46346" w14:paraId="53A8F1A1" w14:textId="77777777" w:rsidTr="007A5607">
        <w:tc>
          <w:tcPr>
            <w:tcW w:w="2070" w:type="dxa"/>
            <w:tcBorders>
              <w:top w:val="nil"/>
              <w:bottom w:val="nil"/>
              <w:right w:val="nil"/>
            </w:tcBorders>
            <w:vAlign w:val="center"/>
          </w:tcPr>
          <w:p w14:paraId="1D91954A" w14:textId="562256AE" w:rsidR="007A7027" w:rsidRPr="001521DF" w:rsidRDefault="007A7027" w:rsidP="007A7027">
            <w:pPr>
              <w:spacing w:line="480" w:lineRule="auto"/>
            </w:pPr>
            <w:r w:rsidRPr="001521DF">
              <w:t>Life Satisfaction</w:t>
            </w:r>
          </w:p>
        </w:tc>
        <w:tc>
          <w:tcPr>
            <w:tcW w:w="1723" w:type="dxa"/>
            <w:tcBorders>
              <w:top w:val="nil"/>
              <w:left w:val="nil"/>
              <w:bottom w:val="nil"/>
              <w:right w:val="nil"/>
            </w:tcBorders>
            <w:vAlign w:val="bottom"/>
          </w:tcPr>
          <w:p w14:paraId="7518FE8A" w14:textId="03D7F86E" w:rsidR="007A7027" w:rsidRPr="00A16BC3" w:rsidRDefault="007A7027" w:rsidP="007A7027">
            <w:pPr>
              <w:spacing w:line="480" w:lineRule="auto"/>
              <w:jc w:val="center"/>
              <w:rPr>
                <w:vertAlign w:val="superscript"/>
              </w:rPr>
            </w:pPr>
            <w:r w:rsidRPr="007A7027">
              <w:rPr>
                <w:color w:val="000000"/>
              </w:rPr>
              <w:t>25.22 (0.69)</w:t>
            </w:r>
            <w:r w:rsidR="00A16BC3">
              <w:rPr>
                <w:color w:val="000000"/>
                <w:vertAlign w:val="superscript"/>
              </w:rPr>
              <w:t>a</w:t>
            </w:r>
          </w:p>
        </w:tc>
        <w:tc>
          <w:tcPr>
            <w:tcW w:w="1724" w:type="dxa"/>
            <w:tcBorders>
              <w:top w:val="nil"/>
              <w:left w:val="nil"/>
              <w:bottom w:val="nil"/>
              <w:right w:val="nil"/>
            </w:tcBorders>
            <w:vAlign w:val="bottom"/>
          </w:tcPr>
          <w:p w14:paraId="5AE9D8FC" w14:textId="3C51C95B" w:rsidR="007A7027" w:rsidRPr="00A16BC3" w:rsidRDefault="007A7027" w:rsidP="007A7027">
            <w:pPr>
              <w:spacing w:line="480" w:lineRule="auto"/>
              <w:jc w:val="center"/>
              <w:rPr>
                <w:vertAlign w:val="superscript"/>
              </w:rPr>
            </w:pPr>
            <w:r w:rsidRPr="007A7027">
              <w:rPr>
                <w:color w:val="000000"/>
              </w:rPr>
              <w:t>28.69 (0.66)</w:t>
            </w:r>
            <w:r w:rsidR="00A16BC3">
              <w:rPr>
                <w:color w:val="000000"/>
                <w:vertAlign w:val="superscript"/>
              </w:rPr>
              <w:t>b</w:t>
            </w:r>
          </w:p>
        </w:tc>
        <w:tc>
          <w:tcPr>
            <w:tcW w:w="1723" w:type="dxa"/>
            <w:tcBorders>
              <w:top w:val="nil"/>
              <w:left w:val="nil"/>
              <w:bottom w:val="nil"/>
              <w:right w:val="nil"/>
            </w:tcBorders>
            <w:vAlign w:val="bottom"/>
          </w:tcPr>
          <w:p w14:paraId="58362844" w14:textId="7717998F" w:rsidR="007A7027" w:rsidRPr="00A16BC3" w:rsidRDefault="007A7027" w:rsidP="007A7027">
            <w:pPr>
              <w:spacing w:line="480" w:lineRule="auto"/>
              <w:jc w:val="center"/>
              <w:rPr>
                <w:vertAlign w:val="superscript"/>
              </w:rPr>
            </w:pPr>
            <w:r w:rsidRPr="007A7027">
              <w:rPr>
                <w:color w:val="000000"/>
              </w:rPr>
              <w:t>29.6 (1.44)</w:t>
            </w:r>
            <w:r w:rsidR="00A16BC3">
              <w:rPr>
                <w:color w:val="000000"/>
                <w:vertAlign w:val="superscript"/>
              </w:rPr>
              <w:t>b,c</w:t>
            </w:r>
          </w:p>
        </w:tc>
        <w:tc>
          <w:tcPr>
            <w:tcW w:w="1724" w:type="dxa"/>
            <w:tcBorders>
              <w:top w:val="nil"/>
              <w:left w:val="nil"/>
              <w:bottom w:val="nil"/>
              <w:right w:val="nil"/>
            </w:tcBorders>
            <w:vAlign w:val="bottom"/>
          </w:tcPr>
          <w:p w14:paraId="30B3A80C" w14:textId="5F6AEA59" w:rsidR="007A7027" w:rsidRPr="00A16BC3" w:rsidRDefault="007A7027" w:rsidP="007A7027">
            <w:pPr>
              <w:spacing w:line="480" w:lineRule="auto"/>
              <w:jc w:val="center"/>
              <w:rPr>
                <w:vertAlign w:val="superscript"/>
              </w:rPr>
            </w:pPr>
            <w:r w:rsidRPr="007A7027">
              <w:rPr>
                <w:color w:val="000000"/>
              </w:rPr>
              <w:t>31.81 (1.02)</w:t>
            </w:r>
            <w:r w:rsidR="00A16BC3">
              <w:rPr>
                <w:color w:val="000000"/>
                <w:vertAlign w:val="superscript"/>
              </w:rPr>
              <w:t>c</w:t>
            </w:r>
          </w:p>
        </w:tc>
        <w:tc>
          <w:tcPr>
            <w:tcW w:w="1116" w:type="dxa"/>
            <w:tcBorders>
              <w:top w:val="nil"/>
              <w:left w:val="nil"/>
              <w:bottom w:val="nil"/>
            </w:tcBorders>
            <w:vAlign w:val="bottom"/>
          </w:tcPr>
          <w:p w14:paraId="7742AB0C" w14:textId="1FEAAC1A" w:rsidR="007A7027" w:rsidRPr="007A7027" w:rsidRDefault="007A7027" w:rsidP="007A7027">
            <w:pPr>
              <w:spacing w:line="480" w:lineRule="auto"/>
              <w:jc w:val="center"/>
            </w:pPr>
            <w:r w:rsidRPr="007A7027">
              <w:rPr>
                <w:color w:val="000000"/>
              </w:rPr>
              <w:t>27.00</w:t>
            </w:r>
            <w:r>
              <w:rPr>
                <w:color w:val="000000"/>
              </w:rPr>
              <w:t>***</w:t>
            </w:r>
          </w:p>
        </w:tc>
      </w:tr>
      <w:tr w:rsidR="007A7027" w:rsidRPr="00E46346" w14:paraId="6F72A723" w14:textId="77777777" w:rsidTr="007A5607">
        <w:tc>
          <w:tcPr>
            <w:tcW w:w="2070" w:type="dxa"/>
            <w:tcBorders>
              <w:top w:val="nil"/>
              <w:bottom w:val="single" w:sz="4" w:space="0" w:color="auto"/>
              <w:right w:val="nil"/>
            </w:tcBorders>
            <w:vAlign w:val="center"/>
          </w:tcPr>
          <w:p w14:paraId="134A9A83" w14:textId="4E71E01F" w:rsidR="007A7027" w:rsidRPr="001521DF" w:rsidRDefault="007A7027" w:rsidP="007A7027">
            <w:pPr>
              <w:spacing w:line="480" w:lineRule="auto"/>
            </w:pPr>
            <w:r w:rsidRPr="001521DF">
              <w:t>Social Adjustment</w:t>
            </w:r>
          </w:p>
        </w:tc>
        <w:tc>
          <w:tcPr>
            <w:tcW w:w="1723" w:type="dxa"/>
            <w:tcBorders>
              <w:top w:val="nil"/>
              <w:left w:val="nil"/>
              <w:bottom w:val="single" w:sz="4" w:space="0" w:color="auto"/>
              <w:right w:val="nil"/>
            </w:tcBorders>
            <w:vAlign w:val="bottom"/>
          </w:tcPr>
          <w:p w14:paraId="30165215" w14:textId="7666C602" w:rsidR="007A7027" w:rsidRPr="00A16BC3" w:rsidRDefault="007A7027" w:rsidP="007A7027">
            <w:pPr>
              <w:spacing w:line="480" w:lineRule="auto"/>
              <w:jc w:val="center"/>
              <w:rPr>
                <w:vertAlign w:val="superscript"/>
              </w:rPr>
            </w:pPr>
            <w:r w:rsidRPr="007A7027">
              <w:rPr>
                <w:color w:val="000000"/>
              </w:rPr>
              <w:t>1.58 (0.03)</w:t>
            </w:r>
            <w:r w:rsidR="00A16BC3">
              <w:rPr>
                <w:color w:val="000000"/>
                <w:vertAlign w:val="superscript"/>
              </w:rPr>
              <w:t>a</w:t>
            </w:r>
          </w:p>
        </w:tc>
        <w:tc>
          <w:tcPr>
            <w:tcW w:w="1724" w:type="dxa"/>
            <w:tcBorders>
              <w:top w:val="nil"/>
              <w:left w:val="nil"/>
              <w:bottom w:val="single" w:sz="4" w:space="0" w:color="auto"/>
              <w:right w:val="nil"/>
            </w:tcBorders>
            <w:vAlign w:val="bottom"/>
          </w:tcPr>
          <w:p w14:paraId="6357B5D6" w14:textId="7C64F594" w:rsidR="007A7027" w:rsidRPr="00A16BC3" w:rsidRDefault="007A7027" w:rsidP="007A7027">
            <w:pPr>
              <w:spacing w:line="480" w:lineRule="auto"/>
              <w:jc w:val="center"/>
              <w:rPr>
                <w:vertAlign w:val="superscript"/>
              </w:rPr>
            </w:pPr>
            <w:r w:rsidRPr="007A7027">
              <w:rPr>
                <w:color w:val="000000"/>
              </w:rPr>
              <w:t>1.67 (0.02)</w:t>
            </w:r>
            <w:r w:rsidR="00A16BC3">
              <w:rPr>
                <w:color w:val="000000"/>
                <w:vertAlign w:val="superscript"/>
              </w:rPr>
              <w:t>b</w:t>
            </w:r>
          </w:p>
        </w:tc>
        <w:tc>
          <w:tcPr>
            <w:tcW w:w="1723" w:type="dxa"/>
            <w:tcBorders>
              <w:top w:val="nil"/>
              <w:left w:val="nil"/>
              <w:bottom w:val="single" w:sz="4" w:space="0" w:color="auto"/>
              <w:right w:val="nil"/>
            </w:tcBorders>
            <w:vAlign w:val="bottom"/>
          </w:tcPr>
          <w:p w14:paraId="36E7B426" w14:textId="536859DB" w:rsidR="007A7027" w:rsidRPr="00A16BC3" w:rsidRDefault="007A7027" w:rsidP="007A7027">
            <w:pPr>
              <w:spacing w:line="480" w:lineRule="auto"/>
              <w:jc w:val="center"/>
              <w:rPr>
                <w:vertAlign w:val="superscript"/>
              </w:rPr>
            </w:pPr>
            <w:r w:rsidRPr="007A7027">
              <w:rPr>
                <w:color w:val="000000"/>
              </w:rPr>
              <w:t>1.73 (0.07)</w:t>
            </w:r>
            <w:r w:rsidR="00A16BC3">
              <w:rPr>
                <w:color w:val="000000"/>
                <w:vertAlign w:val="superscript"/>
              </w:rPr>
              <w:t>a,b,c</w:t>
            </w:r>
          </w:p>
        </w:tc>
        <w:tc>
          <w:tcPr>
            <w:tcW w:w="1724" w:type="dxa"/>
            <w:tcBorders>
              <w:top w:val="nil"/>
              <w:left w:val="nil"/>
              <w:bottom w:val="single" w:sz="4" w:space="0" w:color="auto"/>
              <w:right w:val="nil"/>
            </w:tcBorders>
            <w:vAlign w:val="bottom"/>
          </w:tcPr>
          <w:p w14:paraId="71F6F4BC" w14:textId="654C1B25" w:rsidR="007A7027" w:rsidRPr="00A16BC3" w:rsidRDefault="007A7027" w:rsidP="007A7027">
            <w:pPr>
              <w:spacing w:line="480" w:lineRule="auto"/>
              <w:jc w:val="center"/>
              <w:rPr>
                <w:vertAlign w:val="superscript"/>
              </w:rPr>
            </w:pPr>
            <w:r w:rsidRPr="007A7027">
              <w:rPr>
                <w:color w:val="000000"/>
              </w:rPr>
              <w:t>1.83 (0.04)</w:t>
            </w:r>
            <w:r w:rsidR="00A16BC3">
              <w:rPr>
                <w:color w:val="000000"/>
                <w:vertAlign w:val="superscript"/>
              </w:rPr>
              <w:t>c</w:t>
            </w:r>
          </w:p>
        </w:tc>
        <w:tc>
          <w:tcPr>
            <w:tcW w:w="1116" w:type="dxa"/>
            <w:tcBorders>
              <w:top w:val="nil"/>
              <w:left w:val="nil"/>
              <w:bottom w:val="single" w:sz="4" w:space="0" w:color="auto"/>
            </w:tcBorders>
            <w:vAlign w:val="bottom"/>
          </w:tcPr>
          <w:p w14:paraId="2A17D5D2" w14:textId="4899FE4C" w:rsidR="007A7027" w:rsidRPr="007A7027" w:rsidRDefault="007A7027" w:rsidP="007A7027">
            <w:pPr>
              <w:spacing w:line="480" w:lineRule="auto"/>
              <w:jc w:val="center"/>
            </w:pPr>
            <w:r w:rsidRPr="007A7027">
              <w:rPr>
                <w:color w:val="000000"/>
              </w:rPr>
              <w:t>19.04</w:t>
            </w:r>
            <w:r>
              <w:rPr>
                <w:color w:val="000000"/>
              </w:rPr>
              <w:t>***</w:t>
            </w:r>
          </w:p>
        </w:tc>
      </w:tr>
    </w:tbl>
    <w:p w14:paraId="6B6E8349" w14:textId="77777777" w:rsidR="006C21EA" w:rsidRDefault="001266DC" w:rsidP="006C21EA">
      <w:pPr>
        <w:widowControl w:val="0"/>
        <w:spacing w:line="480" w:lineRule="auto"/>
      </w:pPr>
      <w:r>
        <w:rPr>
          <w:i/>
        </w:rPr>
        <w:t xml:space="preserve">Note: </w:t>
      </w:r>
      <w:r>
        <w:t xml:space="preserve">Class 1: Thriving Class (31.9%); Class 2: Average Functioning (45.5%); Class 3: Externalizing Vulnerability and Family Stress (4.9%); Class 4: Internalizing Vulnerability (17.7%). Different subscripts indicate significant pairwise differences at </w:t>
      </w:r>
      <w:r>
        <w:rPr>
          <w:i/>
        </w:rPr>
        <w:t xml:space="preserve">p &lt; </w:t>
      </w:r>
      <w:r>
        <w:t>.05.</w:t>
      </w:r>
      <w:r w:rsidR="006C21EA">
        <w:t xml:space="preserve"> MDD = Major depressive disorder; ANX = Anxiety Disorder; SUD = Substance use Disorder; MDE = Major Depressive Episode; MDD Duration in months; PT1 = Post-T1 assessment; Highest Grade = Highest Grade Level Completed; Household Income = mean of income ranges (1 = no income; 2 = &lt; $5000; 3 = $5,000-$9,999; 4 = $10,000-14,999; 5 = $15,000-$19,999; 6 = $20,000-$29,999; 7 = $30,000-$39,999; 8 = $40,000-$49,999; 9 = $50,000 or more). </w:t>
      </w:r>
    </w:p>
    <w:p w14:paraId="20934A60" w14:textId="68532357" w:rsidR="001266DC" w:rsidRDefault="001266DC" w:rsidP="001266DC">
      <w:pPr>
        <w:spacing w:line="480" w:lineRule="auto"/>
      </w:pPr>
    </w:p>
    <w:sectPr w:rsidR="00126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0fwd5zd59wple9eeaperx8sep0vaax55t0&quot;&gt;Total Library-Saved&lt;record-ids&gt;&lt;item&gt;189&lt;/item&gt;&lt;item&gt;661&lt;/item&gt;&lt;item&gt;678&lt;/item&gt;&lt;item&gt;1318&lt;/item&gt;&lt;item&gt;1723&lt;/item&gt;&lt;item&gt;1724&lt;/item&gt;&lt;item&gt;8278&lt;/item&gt;&lt;item&gt;8282&lt;/item&gt;&lt;item&gt;8283&lt;/item&gt;&lt;item&gt;8284&lt;/item&gt;&lt;item&gt;8285&lt;/item&gt;&lt;item&gt;8286&lt;/item&gt;&lt;item&gt;8287&lt;/item&gt;&lt;item&gt;8288&lt;/item&gt;&lt;item&gt;8289&lt;/item&gt;&lt;item&gt;8292&lt;/item&gt;&lt;item&gt;8293&lt;/item&gt;&lt;item&gt;8294&lt;/item&gt;&lt;item&gt;8295&lt;/item&gt;&lt;item&gt;8296&lt;/item&gt;&lt;item&gt;8297&lt;/item&gt;&lt;item&gt;8298&lt;/item&gt;&lt;item&gt;8299&lt;/item&gt;&lt;item&gt;8300&lt;/item&gt;&lt;item&gt;8301&lt;/item&gt;&lt;item&gt;8302&lt;/item&gt;&lt;item&gt;8303&lt;/item&gt;&lt;item&gt;8304&lt;/item&gt;&lt;item&gt;8305&lt;/item&gt;&lt;item&gt;8306&lt;/item&gt;&lt;item&gt;8307&lt;/item&gt;&lt;item&gt;8308&lt;/item&gt;&lt;item&gt;8309&lt;/item&gt;&lt;item&gt;8310&lt;/item&gt;&lt;item&gt;8311&lt;/item&gt;&lt;item&gt;8312&lt;/item&gt;&lt;item&gt;8314&lt;/item&gt;&lt;item&gt;8315&lt;/item&gt;&lt;item&gt;8425&lt;/item&gt;&lt;/record-ids&gt;&lt;/item&gt;&lt;/Libraries&gt;"/>
  </w:docVars>
  <w:rsids>
    <w:rsidRoot w:val="00CB7278"/>
    <w:rsid w:val="00034DC3"/>
    <w:rsid w:val="00044D48"/>
    <w:rsid w:val="000A59C9"/>
    <w:rsid w:val="000E61E5"/>
    <w:rsid w:val="001266DC"/>
    <w:rsid w:val="001521DF"/>
    <w:rsid w:val="0020589F"/>
    <w:rsid w:val="002E3813"/>
    <w:rsid w:val="002E6F01"/>
    <w:rsid w:val="00337A53"/>
    <w:rsid w:val="00464178"/>
    <w:rsid w:val="004712D3"/>
    <w:rsid w:val="0047700D"/>
    <w:rsid w:val="004A7617"/>
    <w:rsid w:val="004B1B2C"/>
    <w:rsid w:val="0061565C"/>
    <w:rsid w:val="006305CE"/>
    <w:rsid w:val="0064462D"/>
    <w:rsid w:val="006822F3"/>
    <w:rsid w:val="006C07C0"/>
    <w:rsid w:val="006C21EA"/>
    <w:rsid w:val="007A7027"/>
    <w:rsid w:val="00904441"/>
    <w:rsid w:val="009D42C4"/>
    <w:rsid w:val="00A16BC3"/>
    <w:rsid w:val="00A80CC4"/>
    <w:rsid w:val="00AA0BFA"/>
    <w:rsid w:val="00B37E60"/>
    <w:rsid w:val="00B45B56"/>
    <w:rsid w:val="00B64D90"/>
    <w:rsid w:val="00C17D32"/>
    <w:rsid w:val="00CB7278"/>
    <w:rsid w:val="00DB2B20"/>
    <w:rsid w:val="00E46346"/>
    <w:rsid w:val="00F2717F"/>
    <w:rsid w:val="00F95B78"/>
    <w:rsid w:val="00F9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FE0C"/>
  <w15:chartTrackingRefBased/>
  <w15:docId w15:val="{2980747F-CB69-45E0-B1A1-502A717E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7278"/>
    <w:rPr>
      <w:sz w:val="16"/>
      <w:szCs w:val="16"/>
    </w:rPr>
  </w:style>
  <w:style w:type="paragraph" w:styleId="CommentText">
    <w:name w:val="annotation text"/>
    <w:basedOn w:val="Normal"/>
    <w:link w:val="CommentTextChar"/>
    <w:uiPriority w:val="99"/>
    <w:semiHidden/>
    <w:unhideWhenUsed/>
    <w:rsid w:val="00CB7278"/>
    <w:rPr>
      <w:sz w:val="20"/>
      <w:szCs w:val="20"/>
    </w:rPr>
  </w:style>
  <w:style w:type="character" w:customStyle="1" w:styleId="CommentTextChar">
    <w:name w:val="Comment Text Char"/>
    <w:basedOn w:val="DefaultParagraphFont"/>
    <w:link w:val="CommentText"/>
    <w:uiPriority w:val="99"/>
    <w:semiHidden/>
    <w:rsid w:val="00CB7278"/>
    <w:rPr>
      <w:sz w:val="20"/>
      <w:szCs w:val="20"/>
    </w:rPr>
  </w:style>
  <w:style w:type="paragraph" w:customStyle="1" w:styleId="EndNoteBibliographyTitle">
    <w:name w:val="EndNote Bibliography Title"/>
    <w:basedOn w:val="Normal"/>
    <w:link w:val="EndNoteBibliographyTitleChar"/>
    <w:rsid w:val="00CB7278"/>
    <w:pPr>
      <w:jc w:val="center"/>
    </w:pPr>
    <w:rPr>
      <w:noProof/>
    </w:rPr>
  </w:style>
  <w:style w:type="character" w:customStyle="1" w:styleId="EndNoteBibliographyTitleChar">
    <w:name w:val="EndNote Bibliography Title Char"/>
    <w:basedOn w:val="DefaultParagraphFont"/>
    <w:link w:val="EndNoteBibliographyTitle"/>
    <w:rsid w:val="00CB7278"/>
    <w:rPr>
      <w:noProof/>
    </w:rPr>
  </w:style>
  <w:style w:type="paragraph" w:customStyle="1" w:styleId="EndNoteBibliography">
    <w:name w:val="EndNote Bibliography"/>
    <w:basedOn w:val="Normal"/>
    <w:link w:val="EndNoteBibliographyChar"/>
    <w:rsid w:val="00CB7278"/>
    <w:rPr>
      <w:noProof/>
    </w:rPr>
  </w:style>
  <w:style w:type="character" w:customStyle="1" w:styleId="EndNoteBibliographyChar">
    <w:name w:val="EndNote Bibliography Char"/>
    <w:basedOn w:val="DefaultParagraphFont"/>
    <w:link w:val="EndNoteBibliography"/>
    <w:rsid w:val="00CB7278"/>
    <w:rPr>
      <w:noProof/>
    </w:rPr>
  </w:style>
  <w:style w:type="paragraph" w:styleId="BalloonText">
    <w:name w:val="Balloon Text"/>
    <w:basedOn w:val="Normal"/>
    <w:link w:val="BalloonTextChar"/>
    <w:uiPriority w:val="99"/>
    <w:semiHidden/>
    <w:unhideWhenUsed/>
    <w:rsid w:val="00471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D3"/>
    <w:rPr>
      <w:rFonts w:ascii="Segoe UI" w:hAnsi="Segoe UI" w:cs="Segoe UI"/>
      <w:sz w:val="18"/>
      <w:szCs w:val="18"/>
    </w:rPr>
  </w:style>
  <w:style w:type="table" w:styleId="TableGrid">
    <w:name w:val="Table Grid"/>
    <w:basedOn w:val="TableNormal"/>
    <w:uiPriority w:val="59"/>
    <w:rsid w:val="0012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C07C0"/>
    <w:rPr>
      <w:b/>
      <w:bCs/>
    </w:rPr>
  </w:style>
  <w:style w:type="character" w:customStyle="1" w:styleId="CommentSubjectChar">
    <w:name w:val="Comment Subject Char"/>
    <w:basedOn w:val="CommentTextChar"/>
    <w:link w:val="CommentSubject"/>
    <w:uiPriority w:val="99"/>
    <w:semiHidden/>
    <w:rsid w:val="006C0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C8178C018324089FC6007BBF100AA" ma:contentTypeVersion="10" ma:contentTypeDescription="Create a new document." ma:contentTypeScope="" ma:versionID="5619c6a68e17c266057e475e8b51d283">
  <xsd:schema xmlns:xsd="http://www.w3.org/2001/XMLSchema" xmlns:xs="http://www.w3.org/2001/XMLSchema" xmlns:p="http://schemas.microsoft.com/office/2006/metadata/properties" xmlns:ns3="9cee5e97-b3f0-4c9d-8062-98deab54276c" targetNamespace="http://schemas.microsoft.com/office/2006/metadata/properties" ma:root="true" ma:fieldsID="62a3876f08df043daf49a1ac3db60360" ns3:_="">
    <xsd:import namespace="9cee5e97-b3f0-4c9d-8062-98deab5427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5e97-b3f0-4c9d-8062-98deab542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40967-8F32-43D8-A0EC-CCC8138FF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5e97-b3f0-4c9d-8062-98deab542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7B3FD-72C5-46F6-8BFA-C13551032E10}">
  <ds:schemaRefs>
    <ds:schemaRef ds:uri="http://schemas.microsoft.com/sharepoint/v3/contenttype/forms"/>
  </ds:schemaRefs>
</ds:datastoreItem>
</file>

<file path=customXml/itemProps3.xml><?xml version="1.0" encoding="utf-8"?>
<ds:datastoreItem xmlns:ds="http://schemas.openxmlformats.org/officeDocument/2006/customXml" ds:itemID="{7B4E8A9E-AA97-4BF6-B6F5-56EC4AB617D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cee5e97-b3f0-4c9d-8062-98deab54276c"/>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7017</Words>
  <Characters>40001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Olino</dc:creator>
  <cp:keywords/>
  <dc:description/>
  <cp:lastModifiedBy>Thomas Olino</cp:lastModifiedBy>
  <cp:revision>4</cp:revision>
  <dcterms:created xsi:type="dcterms:W3CDTF">2019-07-26T18:18:00Z</dcterms:created>
  <dcterms:modified xsi:type="dcterms:W3CDTF">2019-07-26T18:18:00Z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0x01010086BC8178C018324089FC6007BBF100AA</vt:lpwstr>
  </property>
</Properties>
</file>