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95" w:rsidRPr="00527D95" w:rsidRDefault="00527D95" w:rsidP="00527D95">
      <w:pPr>
        <w:rPr>
          <w:rFonts w:asciiTheme="majorBidi" w:hAnsiTheme="majorBidi" w:cstheme="majorBidi"/>
          <w:sz w:val="24"/>
          <w:szCs w:val="24"/>
        </w:rPr>
      </w:pPr>
      <w:bookmarkStart w:id="0" w:name="_GoBack"/>
      <w:r w:rsidRPr="00527D95">
        <w:rPr>
          <w:rFonts w:asciiTheme="majorBidi" w:hAnsiTheme="majorBidi" w:cstheme="majorBidi"/>
          <w:sz w:val="24"/>
          <w:szCs w:val="24"/>
        </w:rPr>
        <w:t>Appendix 1: RDC criteria for Other Psychiatric Disorder</w:t>
      </w:r>
    </w:p>
    <w:p w:rsidR="00527D95" w:rsidRPr="00527D95" w:rsidRDefault="00527D95" w:rsidP="00527D95">
      <w:pPr>
        <w:rPr>
          <w:rFonts w:asciiTheme="majorBidi" w:hAnsiTheme="majorBidi" w:cstheme="majorBidi"/>
          <w:sz w:val="24"/>
          <w:szCs w:val="24"/>
        </w:rPr>
      </w:pPr>
      <w:r w:rsidRPr="00527D95">
        <w:rPr>
          <w:rFonts w:asciiTheme="majorBidi" w:hAnsiTheme="majorBidi" w:cstheme="majorBidi"/>
          <w:sz w:val="24"/>
          <w:szCs w:val="24"/>
        </w:rPr>
        <w:t>This category is for psychiatric conditions which cannot be classified in any of the previous specific diagnoses and which do not appear to be part of prodromal period or residual symptoms of a specific disorder. It is possible for a subject to have a period of illness which is considered Other Psychiatric Disorder followed or preceded by an episode which can be diagnosed as one of the other specific diagnoses (personality disorders classifiable according to DSM-III should be given: Other Psychiatric Disorders.</w:t>
      </w:r>
    </w:p>
    <w:p w:rsidR="00527D95" w:rsidRPr="00527D95" w:rsidRDefault="00527D95" w:rsidP="00527D95">
      <w:pPr>
        <w:rPr>
          <w:rFonts w:asciiTheme="majorBidi" w:hAnsiTheme="majorBidi" w:cstheme="majorBidi"/>
          <w:sz w:val="24"/>
          <w:szCs w:val="24"/>
        </w:rPr>
      </w:pPr>
      <w:r w:rsidRPr="00527D95">
        <w:rPr>
          <w:rFonts w:asciiTheme="majorBidi" w:hAnsiTheme="majorBidi" w:cstheme="majorBidi"/>
          <w:sz w:val="24"/>
          <w:szCs w:val="24"/>
        </w:rPr>
        <w:t>There are two criteria:</w:t>
      </w:r>
    </w:p>
    <w:p w:rsidR="00527D95" w:rsidRPr="00527D95" w:rsidRDefault="00527D95" w:rsidP="00527D95">
      <w:pPr>
        <w:numPr>
          <w:ilvl w:val="0"/>
          <w:numId w:val="2"/>
        </w:numPr>
        <w:rPr>
          <w:rFonts w:asciiTheme="majorBidi" w:hAnsiTheme="majorBidi" w:cstheme="majorBidi"/>
          <w:sz w:val="24"/>
          <w:szCs w:val="24"/>
        </w:rPr>
      </w:pPr>
      <w:r w:rsidRPr="00527D95">
        <w:rPr>
          <w:rFonts w:asciiTheme="majorBidi" w:hAnsiTheme="majorBidi" w:cstheme="majorBidi"/>
          <w:sz w:val="24"/>
          <w:szCs w:val="24"/>
        </w:rPr>
        <w:t>One of the following is required:</w:t>
      </w:r>
    </w:p>
    <w:p w:rsidR="00527D95" w:rsidRPr="00527D95" w:rsidRDefault="00527D95" w:rsidP="00527D95">
      <w:pPr>
        <w:numPr>
          <w:ilvl w:val="0"/>
          <w:numId w:val="1"/>
        </w:numPr>
        <w:rPr>
          <w:rFonts w:asciiTheme="majorBidi" w:hAnsiTheme="majorBidi" w:cstheme="majorBidi"/>
          <w:sz w:val="24"/>
          <w:szCs w:val="24"/>
        </w:rPr>
      </w:pPr>
      <w:r w:rsidRPr="00527D95">
        <w:rPr>
          <w:rFonts w:asciiTheme="majorBidi" w:hAnsiTheme="majorBidi" w:cstheme="majorBidi"/>
          <w:sz w:val="24"/>
          <w:szCs w:val="24"/>
        </w:rPr>
        <w:t>The clinical picture suggests a specific disorder not covered in this instrument (e.g. Anorexia Nervosa, Transsexualism, Paranoid Personality)</w:t>
      </w:r>
    </w:p>
    <w:p w:rsidR="00527D95" w:rsidRPr="00527D95" w:rsidRDefault="00527D95" w:rsidP="00527D95">
      <w:pPr>
        <w:numPr>
          <w:ilvl w:val="0"/>
          <w:numId w:val="1"/>
        </w:numPr>
        <w:rPr>
          <w:rFonts w:asciiTheme="majorBidi" w:hAnsiTheme="majorBidi" w:cstheme="majorBidi"/>
          <w:sz w:val="24"/>
          <w:szCs w:val="24"/>
        </w:rPr>
      </w:pPr>
      <w:r w:rsidRPr="00527D95">
        <w:rPr>
          <w:rFonts w:asciiTheme="majorBidi" w:hAnsiTheme="majorBidi" w:cstheme="majorBidi"/>
          <w:sz w:val="24"/>
          <w:szCs w:val="24"/>
        </w:rPr>
        <w:t>One or more of the disorders is suspected but the symptoms are too minimal to meet the criteria</w:t>
      </w:r>
    </w:p>
    <w:p w:rsidR="00527D95" w:rsidRPr="00527D95" w:rsidRDefault="00527D95" w:rsidP="00527D95">
      <w:pPr>
        <w:numPr>
          <w:ilvl w:val="0"/>
          <w:numId w:val="1"/>
        </w:numPr>
        <w:rPr>
          <w:rFonts w:asciiTheme="majorBidi" w:hAnsiTheme="majorBidi" w:cstheme="majorBidi"/>
          <w:sz w:val="24"/>
          <w:szCs w:val="24"/>
        </w:rPr>
      </w:pPr>
      <w:r w:rsidRPr="00527D95">
        <w:rPr>
          <w:rFonts w:asciiTheme="majorBidi" w:hAnsiTheme="majorBidi" w:cstheme="majorBidi"/>
          <w:sz w:val="24"/>
          <w:szCs w:val="24"/>
        </w:rPr>
        <w:t>The chronology of important symptom clusters is not known e.g. Alcoholism and hallucinations and lack of knowledge as to which came first</w:t>
      </w:r>
    </w:p>
    <w:p w:rsidR="00527D95" w:rsidRPr="00527D95" w:rsidRDefault="00527D95" w:rsidP="00527D95">
      <w:pPr>
        <w:numPr>
          <w:ilvl w:val="0"/>
          <w:numId w:val="1"/>
        </w:numPr>
        <w:rPr>
          <w:rFonts w:asciiTheme="majorBidi" w:hAnsiTheme="majorBidi" w:cstheme="majorBidi"/>
          <w:sz w:val="24"/>
          <w:szCs w:val="24"/>
        </w:rPr>
      </w:pPr>
      <w:r w:rsidRPr="00527D95">
        <w:rPr>
          <w:rFonts w:asciiTheme="majorBidi" w:hAnsiTheme="majorBidi" w:cstheme="majorBidi"/>
          <w:sz w:val="24"/>
          <w:szCs w:val="24"/>
        </w:rPr>
        <w:t>There is inadequate information about the phenomenology to establish a specific diagnosis</w:t>
      </w:r>
    </w:p>
    <w:p w:rsidR="00527D95" w:rsidRPr="00527D95" w:rsidRDefault="00527D95" w:rsidP="00527D95">
      <w:pPr>
        <w:numPr>
          <w:ilvl w:val="0"/>
          <w:numId w:val="1"/>
        </w:numPr>
        <w:rPr>
          <w:rFonts w:asciiTheme="majorBidi" w:hAnsiTheme="majorBidi" w:cstheme="majorBidi"/>
          <w:sz w:val="24"/>
          <w:szCs w:val="24"/>
        </w:rPr>
      </w:pPr>
      <w:r w:rsidRPr="00527D95">
        <w:rPr>
          <w:rFonts w:asciiTheme="majorBidi" w:hAnsiTheme="majorBidi" w:cstheme="majorBidi"/>
          <w:sz w:val="24"/>
          <w:szCs w:val="24"/>
        </w:rPr>
        <w:t>A know organic factor is a likely etiology, e.g. alcohol abuse, amphetamine intoxication, ingestion of a hallucinogen, fever</w:t>
      </w:r>
    </w:p>
    <w:p w:rsidR="00527D95" w:rsidRPr="00527D95" w:rsidRDefault="00527D95" w:rsidP="00527D95">
      <w:pPr>
        <w:rPr>
          <w:rFonts w:asciiTheme="majorBidi" w:hAnsiTheme="majorBidi" w:cstheme="majorBidi"/>
          <w:sz w:val="24"/>
          <w:szCs w:val="24"/>
        </w:rPr>
      </w:pPr>
      <w:r w:rsidRPr="00527D95">
        <w:rPr>
          <w:rFonts w:asciiTheme="majorBidi" w:hAnsiTheme="majorBidi" w:cstheme="majorBidi"/>
          <w:sz w:val="24"/>
          <w:szCs w:val="24"/>
        </w:rPr>
        <w:t>At least one of the above is true</w:t>
      </w:r>
    </w:p>
    <w:p w:rsidR="00527D95" w:rsidRPr="00527D95" w:rsidRDefault="00527D95" w:rsidP="00527D95">
      <w:pPr>
        <w:numPr>
          <w:ilvl w:val="0"/>
          <w:numId w:val="2"/>
        </w:numPr>
        <w:rPr>
          <w:rFonts w:asciiTheme="majorBidi" w:hAnsiTheme="majorBidi" w:cstheme="majorBidi"/>
          <w:sz w:val="24"/>
          <w:szCs w:val="24"/>
        </w:rPr>
      </w:pPr>
      <w:r w:rsidRPr="00527D95">
        <w:rPr>
          <w:rFonts w:asciiTheme="majorBidi" w:hAnsiTheme="majorBidi" w:cstheme="majorBidi"/>
          <w:sz w:val="24"/>
          <w:szCs w:val="24"/>
        </w:rPr>
        <w:t>The condition was of sufficient severity that it resulted in either seeking or being referred for help from someone, taking medication (other than occasional night-time hypnotic for insomnia), or caused impairment in functioning socially, with family, at home, at school, or at work</w:t>
      </w:r>
    </w:p>
    <w:p w:rsidR="00527D95" w:rsidRPr="00527D95" w:rsidRDefault="00527D95" w:rsidP="00527D95">
      <w:pPr>
        <w:rPr>
          <w:rFonts w:asciiTheme="majorBidi" w:hAnsiTheme="majorBidi" w:cstheme="majorBidi"/>
          <w:sz w:val="24"/>
          <w:szCs w:val="24"/>
        </w:rPr>
      </w:pPr>
    </w:p>
    <w:p w:rsidR="00527D95" w:rsidRPr="00527D95" w:rsidRDefault="00527D95" w:rsidP="00527D95">
      <w:pPr>
        <w:rPr>
          <w:rFonts w:asciiTheme="majorBidi" w:hAnsiTheme="majorBidi" w:cstheme="majorBidi"/>
          <w:sz w:val="24"/>
          <w:szCs w:val="24"/>
        </w:rPr>
      </w:pPr>
    </w:p>
    <w:p w:rsidR="00527D95" w:rsidRPr="00527D95" w:rsidRDefault="00527D95" w:rsidP="00527D95">
      <w:pPr>
        <w:rPr>
          <w:rFonts w:asciiTheme="majorBidi" w:hAnsiTheme="majorBidi" w:cstheme="majorBidi"/>
          <w:sz w:val="24"/>
          <w:szCs w:val="24"/>
        </w:rPr>
      </w:pPr>
      <w:r w:rsidRPr="00527D95">
        <w:rPr>
          <w:rFonts w:asciiTheme="majorBidi" w:hAnsiTheme="majorBidi" w:cstheme="majorBidi"/>
          <w:sz w:val="24"/>
          <w:szCs w:val="24"/>
        </w:rPr>
        <w:br w:type="page"/>
      </w:r>
    </w:p>
    <w:p w:rsidR="00527D95" w:rsidRPr="00527D95" w:rsidRDefault="00527D95" w:rsidP="00527D95">
      <w:pPr>
        <w:rPr>
          <w:rFonts w:asciiTheme="majorBidi" w:hAnsiTheme="majorBidi" w:cstheme="majorBidi"/>
          <w:sz w:val="24"/>
          <w:szCs w:val="24"/>
        </w:rPr>
      </w:pPr>
      <w:r w:rsidRPr="00527D95">
        <w:rPr>
          <w:rFonts w:asciiTheme="majorBidi" w:hAnsiTheme="majorBidi" w:cstheme="majorBidi"/>
          <w:sz w:val="24"/>
          <w:szCs w:val="24"/>
        </w:rPr>
        <w:lastRenderedPageBreak/>
        <w:t>Appendix 2: Aggression Callousness and Disinhibition Factors of Anti-Social Personality (RDC criteria)</w:t>
      </w:r>
    </w:p>
    <w:p w:rsidR="00527D95" w:rsidRPr="00527D95" w:rsidRDefault="00527D95" w:rsidP="00527D95">
      <w:pPr>
        <w:rPr>
          <w:rFonts w:asciiTheme="majorBidi" w:hAnsiTheme="majorBidi" w:cstheme="majorBidi"/>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848"/>
      </w:tblGrid>
      <w:tr w:rsidR="00527D95" w:rsidRPr="00527D95" w:rsidTr="001831FD">
        <w:tc>
          <w:tcPr>
            <w:tcW w:w="4952" w:type="dxa"/>
            <w:tcBorders>
              <w:top w:val="single" w:sz="4" w:space="0" w:color="auto"/>
              <w:bottom w:val="single" w:sz="4" w:space="0" w:color="auto"/>
            </w:tcBorders>
          </w:tcPr>
          <w:p w:rsidR="00527D95" w:rsidRPr="00527D95" w:rsidRDefault="00527D95" w:rsidP="00527D95">
            <w:pPr>
              <w:spacing w:after="160" w:line="259" w:lineRule="auto"/>
              <w:rPr>
                <w:rFonts w:asciiTheme="majorBidi" w:hAnsiTheme="majorBidi" w:cstheme="majorBidi"/>
                <w:sz w:val="24"/>
                <w:szCs w:val="24"/>
              </w:rPr>
            </w:pPr>
            <w:r w:rsidRPr="00527D95">
              <w:rPr>
                <w:rFonts w:asciiTheme="majorBidi" w:hAnsiTheme="majorBidi" w:cstheme="majorBidi"/>
                <w:sz w:val="24"/>
                <w:szCs w:val="24"/>
              </w:rPr>
              <w:t>Aggression-Callousness</w:t>
            </w:r>
          </w:p>
        </w:tc>
        <w:tc>
          <w:tcPr>
            <w:tcW w:w="4952" w:type="dxa"/>
            <w:tcBorders>
              <w:top w:val="single" w:sz="4" w:space="0" w:color="auto"/>
              <w:bottom w:val="single" w:sz="4" w:space="0" w:color="auto"/>
            </w:tcBorders>
          </w:tcPr>
          <w:p w:rsidR="00527D95" w:rsidRPr="00527D95" w:rsidRDefault="00527D95" w:rsidP="00527D95">
            <w:pPr>
              <w:spacing w:after="160" w:line="259" w:lineRule="auto"/>
              <w:rPr>
                <w:rFonts w:asciiTheme="majorBidi" w:hAnsiTheme="majorBidi" w:cstheme="majorBidi"/>
                <w:sz w:val="24"/>
                <w:szCs w:val="24"/>
              </w:rPr>
            </w:pPr>
            <w:r w:rsidRPr="00527D95">
              <w:rPr>
                <w:rFonts w:asciiTheme="majorBidi" w:hAnsiTheme="majorBidi" w:cstheme="majorBidi"/>
                <w:sz w:val="24"/>
                <w:szCs w:val="24"/>
              </w:rPr>
              <w:t>Disinhibition</w:t>
            </w:r>
          </w:p>
        </w:tc>
      </w:tr>
      <w:tr w:rsidR="00527D95" w:rsidRPr="00527D95" w:rsidTr="001831FD">
        <w:tc>
          <w:tcPr>
            <w:tcW w:w="4952" w:type="dxa"/>
            <w:tcBorders>
              <w:top w:val="single" w:sz="4" w:space="0" w:color="auto"/>
            </w:tcBorders>
          </w:tcPr>
          <w:p w:rsidR="00527D95" w:rsidRPr="00527D95" w:rsidRDefault="00527D95" w:rsidP="00527D95">
            <w:pPr>
              <w:spacing w:after="160" w:line="259" w:lineRule="auto"/>
              <w:rPr>
                <w:rFonts w:asciiTheme="majorBidi" w:hAnsiTheme="majorBidi" w:cstheme="majorBidi"/>
                <w:sz w:val="24"/>
                <w:szCs w:val="24"/>
              </w:rPr>
            </w:pPr>
            <w:r w:rsidRPr="00527D95">
              <w:rPr>
                <w:rFonts w:asciiTheme="majorBidi" w:hAnsiTheme="majorBidi" w:cstheme="majorBidi"/>
                <w:sz w:val="24"/>
                <w:szCs w:val="24"/>
              </w:rPr>
              <w:t>Have you been arrested?</w:t>
            </w:r>
          </w:p>
          <w:p w:rsidR="00527D95" w:rsidRPr="00527D95" w:rsidRDefault="00527D95" w:rsidP="00527D95">
            <w:pPr>
              <w:spacing w:after="160" w:line="259" w:lineRule="auto"/>
              <w:rPr>
                <w:rFonts w:asciiTheme="majorBidi" w:hAnsiTheme="majorBidi" w:cstheme="majorBidi"/>
                <w:sz w:val="24"/>
                <w:szCs w:val="24"/>
              </w:rPr>
            </w:pPr>
            <w:r w:rsidRPr="00527D95">
              <w:rPr>
                <w:rFonts w:asciiTheme="majorBidi" w:hAnsiTheme="majorBidi" w:cstheme="majorBidi"/>
                <w:sz w:val="24"/>
                <w:szCs w:val="24"/>
              </w:rPr>
              <w:t>Have you gotten into fights (physical)?</w:t>
            </w:r>
          </w:p>
        </w:tc>
        <w:tc>
          <w:tcPr>
            <w:tcW w:w="4952" w:type="dxa"/>
            <w:tcBorders>
              <w:top w:val="single" w:sz="4" w:space="0" w:color="auto"/>
            </w:tcBorders>
          </w:tcPr>
          <w:p w:rsidR="00527D95" w:rsidRPr="00527D95" w:rsidRDefault="00527D95" w:rsidP="00527D95">
            <w:pPr>
              <w:spacing w:after="160" w:line="259" w:lineRule="auto"/>
              <w:rPr>
                <w:rFonts w:asciiTheme="majorBidi" w:hAnsiTheme="majorBidi" w:cstheme="majorBidi"/>
                <w:sz w:val="24"/>
                <w:szCs w:val="24"/>
              </w:rPr>
            </w:pPr>
            <w:r w:rsidRPr="00527D95">
              <w:rPr>
                <w:rFonts w:asciiTheme="majorBidi" w:hAnsiTheme="majorBidi" w:cstheme="majorBidi"/>
                <w:sz w:val="24"/>
                <w:szCs w:val="24"/>
              </w:rPr>
              <w:t>After age 15; since you started work, have you changed jobs a lot? (yes if 3+ in past five years)</w:t>
            </w:r>
          </w:p>
          <w:p w:rsidR="00527D95" w:rsidRPr="00527D95" w:rsidRDefault="00527D95" w:rsidP="00527D95">
            <w:pPr>
              <w:spacing w:after="160" w:line="259" w:lineRule="auto"/>
              <w:rPr>
                <w:rFonts w:asciiTheme="majorBidi" w:hAnsiTheme="majorBidi" w:cstheme="majorBidi"/>
                <w:sz w:val="24"/>
                <w:szCs w:val="24"/>
              </w:rPr>
            </w:pPr>
            <w:r w:rsidRPr="00527D95">
              <w:rPr>
                <w:rFonts w:asciiTheme="majorBidi" w:hAnsiTheme="majorBidi" w:cstheme="majorBidi"/>
                <w:sz w:val="24"/>
                <w:szCs w:val="24"/>
              </w:rPr>
              <w:t xml:space="preserve">After age 15; have you had periods when you were not working? (yes if 6 months or more during 10 years, not due to physical illness) </w:t>
            </w:r>
          </w:p>
          <w:p w:rsidR="00527D95" w:rsidRPr="00527D95" w:rsidRDefault="00527D95" w:rsidP="00527D95">
            <w:pPr>
              <w:spacing w:after="160" w:line="259" w:lineRule="auto"/>
              <w:rPr>
                <w:rFonts w:asciiTheme="majorBidi" w:hAnsiTheme="majorBidi" w:cstheme="majorBidi"/>
                <w:sz w:val="24"/>
                <w:szCs w:val="24"/>
              </w:rPr>
            </w:pPr>
            <w:r w:rsidRPr="00527D95">
              <w:rPr>
                <w:rFonts w:asciiTheme="majorBidi" w:hAnsiTheme="majorBidi" w:cstheme="majorBidi"/>
                <w:sz w:val="24"/>
                <w:szCs w:val="24"/>
              </w:rPr>
              <w:t>After age 15; did you miss a lot of time when you were working? (yes if absenteeism involved an average of 3 days or more per month) Have you been divorced or separated? (yes if two or more divorces or separations)</w:t>
            </w:r>
          </w:p>
          <w:p w:rsidR="00527D95" w:rsidRPr="00527D95" w:rsidRDefault="00527D95" w:rsidP="00527D95">
            <w:pPr>
              <w:spacing w:after="160" w:line="259" w:lineRule="auto"/>
              <w:rPr>
                <w:rFonts w:asciiTheme="majorBidi" w:hAnsiTheme="majorBidi" w:cstheme="majorBidi"/>
                <w:sz w:val="24"/>
                <w:szCs w:val="24"/>
              </w:rPr>
            </w:pPr>
            <w:r w:rsidRPr="00527D95">
              <w:rPr>
                <w:rFonts w:asciiTheme="majorBidi" w:hAnsiTheme="majorBidi" w:cstheme="majorBidi"/>
                <w:sz w:val="24"/>
                <w:szCs w:val="24"/>
              </w:rPr>
              <w:t xml:space="preserve">Often not payed debts or didn’t take care of other expected financial responsibilities (e.g., child support)? </w:t>
            </w:r>
          </w:p>
          <w:p w:rsidR="00527D95" w:rsidRPr="00527D95" w:rsidRDefault="00527D95" w:rsidP="00527D95">
            <w:pPr>
              <w:spacing w:after="160" w:line="259" w:lineRule="auto"/>
              <w:rPr>
                <w:rFonts w:asciiTheme="majorBidi" w:hAnsiTheme="majorBidi" w:cstheme="majorBidi"/>
                <w:sz w:val="24"/>
                <w:szCs w:val="24"/>
              </w:rPr>
            </w:pPr>
            <w:r w:rsidRPr="00527D95">
              <w:rPr>
                <w:rFonts w:asciiTheme="majorBidi" w:hAnsiTheme="majorBidi" w:cstheme="majorBidi"/>
                <w:sz w:val="24"/>
                <w:szCs w:val="24"/>
              </w:rPr>
              <w:t>After age 15, have you had periods of time without a permanent residence or wandered from place to place with no pre-arranged plans (other than vacations)?</w:t>
            </w:r>
          </w:p>
          <w:p w:rsidR="00527D95" w:rsidRPr="00527D95" w:rsidRDefault="00527D95" w:rsidP="00527D95">
            <w:pPr>
              <w:spacing w:after="160" w:line="259" w:lineRule="auto"/>
              <w:rPr>
                <w:rFonts w:asciiTheme="majorBidi" w:hAnsiTheme="majorBidi" w:cstheme="majorBidi"/>
                <w:sz w:val="24"/>
                <w:szCs w:val="24"/>
              </w:rPr>
            </w:pPr>
          </w:p>
        </w:tc>
      </w:tr>
    </w:tbl>
    <w:p w:rsidR="00527D95" w:rsidRPr="00527D95" w:rsidRDefault="00527D95" w:rsidP="00527D95">
      <w:pPr>
        <w:rPr>
          <w:rFonts w:asciiTheme="majorBidi" w:hAnsiTheme="majorBidi" w:cstheme="majorBidi"/>
          <w:sz w:val="24"/>
          <w:szCs w:val="24"/>
          <w:u w:val="single"/>
        </w:rPr>
      </w:pPr>
    </w:p>
    <w:p w:rsidR="00527D95" w:rsidRPr="00527D95" w:rsidRDefault="00527D95" w:rsidP="00527D95">
      <w:pPr>
        <w:rPr>
          <w:rFonts w:asciiTheme="majorBidi" w:hAnsiTheme="majorBidi" w:cstheme="majorBidi"/>
          <w:sz w:val="24"/>
          <w:szCs w:val="24"/>
          <w:u w:val="single"/>
        </w:rPr>
      </w:pPr>
    </w:p>
    <w:p w:rsidR="00527D95" w:rsidRPr="00527D95" w:rsidRDefault="00527D95" w:rsidP="00527D95">
      <w:pPr>
        <w:rPr>
          <w:rFonts w:asciiTheme="majorBidi" w:hAnsiTheme="majorBidi" w:cstheme="majorBidi"/>
          <w:sz w:val="24"/>
          <w:szCs w:val="24"/>
        </w:rPr>
      </w:pPr>
    </w:p>
    <w:p w:rsidR="00527D95" w:rsidRPr="00527D95" w:rsidRDefault="00527D95" w:rsidP="00527D95">
      <w:pPr>
        <w:rPr>
          <w:rFonts w:asciiTheme="majorBidi" w:hAnsiTheme="majorBidi" w:cstheme="majorBidi"/>
          <w:sz w:val="24"/>
          <w:szCs w:val="24"/>
        </w:rPr>
      </w:pPr>
    </w:p>
    <w:bookmarkEnd w:id="0"/>
    <w:p w:rsidR="00224F0A" w:rsidRPr="00527D95" w:rsidRDefault="00224F0A">
      <w:pPr>
        <w:rPr>
          <w:rFonts w:asciiTheme="majorBidi" w:hAnsiTheme="majorBidi" w:cstheme="majorBidi"/>
          <w:sz w:val="24"/>
          <w:szCs w:val="24"/>
        </w:rPr>
      </w:pPr>
    </w:p>
    <w:sectPr w:rsidR="00224F0A" w:rsidRPr="00527D95" w:rsidSect="00155679">
      <w:footerReference w:type="even" r:id="rId5"/>
      <w:footerReference w:type="default" r:id="rId6"/>
      <w:pgSz w:w="12240" w:h="15840"/>
      <w:pgMar w:top="1440" w:right="1418"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FC6" w:rsidRDefault="00527D95" w:rsidP="00AF6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2FC6" w:rsidRDefault="00527D95" w:rsidP="00AF65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FC6" w:rsidRDefault="00527D95" w:rsidP="00AF6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2FC6" w:rsidRDefault="00527D95" w:rsidP="00AF652D">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C50D9"/>
    <w:multiLevelType w:val="hybridMultilevel"/>
    <w:tmpl w:val="A0E4B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119E1"/>
    <w:multiLevelType w:val="hybridMultilevel"/>
    <w:tmpl w:val="48BE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95"/>
    <w:rsid w:val="00224F0A"/>
    <w:rsid w:val="00527D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006ED-C620-49C8-86D0-F1BDE338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7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7D95"/>
  </w:style>
  <w:style w:type="character" w:styleId="PageNumber">
    <w:name w:val="page number"/>
    <w:basedOn w:val="DefaultParagraphFont"/>
    <w:uiPriority w:val="99"/>
    <w:semiHidden/>
    <w:unhideWhenUsed/>
    <w:rsid w:val="0052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Walsh</dc:creator>
  <cp:keywords/>
  <dc:description/>
  <cp:lastModifiedBy>Sophie Walsh</cp:lastModifiedBy>
  <cp:revision>1</cp:revision>
  <dcterms:created xsi:type="dcterms:W3CDTF">2019-06-27T12:48:00Z</dcterms:created>
  <dcterms:modified xsi:type="dcterms:W3CDTF">2019-06-27T12:48:00Z</dcterms:modified>
</cp:coreProperties>
</file>