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F740" w14:textId="56F92BBF" w:rsidR="00277B2E" w:rsidRPr="00AD2B46" w:rsidRDefault="00277B2E" w:rsidP="00277B2E">
      <w:pPr>
        <w:spacing w:after="0" w:line="240" w:lineRule="auto"/>
        <w:rPr>
          <w:rFonts w:ascii="Palatino Linotype" w:hAnsi="Palatino Linotype"/>
          <w:b/>
          <w:lang w:val="en-US"/>
        </w:rPr>
      </w:pPr>
      <w:r w:rsidRPr="00AD2B46">
        <w:rPr>
          <w:rFonts w:ascii="Palatino Linotype" w:hAnsi="Palatino Linotype"/>
          <w:b/>
          <w:lang w:val="en-US"/>
        </w:rPr>
        <w:t>SUPPLEMENTARY MATERIAL</w:t>
      </w:r>
    </w:p>
    <w:p w14:paraId="13DDBA9F" w14:textId="77777777" w:rsidR="00277B2E" w:rsidRPr="00AD2B46" w:rsidRDefault="00277B2E" w:rsidP="00AD2B46">
      <w:pPr>
        <w:spacing w:after="0" w:line="240" w:lineRule="auto"/>
        <w:rPr>
          <w:rFonts w:ascii="Times New Roman" w:eastAsia="Times New Roman" w:hAnsi="Times New Roman" w:cs="Times New Roman"/>
          <w:sz w:val="24"/>
          <w:szCs w:val="24"/>
          <w:lang w:eastAsia="cs-CZ"/>
        </w:rPr>
      </w:pPr>
    </w:p>
    <w:p w14:paraId="13C25C97" w14:textId="3406250E" w:rsidR="005B7847" w:rsidRPr="00AD2B46" w:rsidRDefault="00277B2E" w:rsidP="00277B2E">
      <w:pPr>
        <w:rPr>
          <w:rFonts w:ascii="Palatino Linotype" w:hAnsi="Palatino Linotype"/>
          <w:b/>
          <w:lang w:val="en-US"/>
        </w:rPr>
      </w:pPr>
      <w:r w:rsidRPr="00277B2E">
        <w:rPr>
          <w:rFonts w:ascii="Palatino Linotype" w:hAnsi="Palatino Linotype"/>
          <w:b/>
          <w:lang w:val="en-US"/>
        </w:rPr>
        <w:t>1.</w:t>
      </w:r>
      <w:r>
        <w:rPr>
          <w:rFonts w:ascii="Palatino Linotype" w:hAnsi="Palatino Linotype"/>
          <w:b/>
          <w:lang w:val="en-US"/>
        </w:rPr>
        <w:t xml:space="preserve"> </w:t>
      </w:r>
      <w:r w:rsidR="00B94A30" w:rsidRPr="00AD2B46">
        <w:rPr>
          <w:rFonts w:ascii="Palatino Linotype" w:hAnsi="Palatino Linotype"/>
          <w:b/>
          <w:lang w:val="en-US"/>
        </w:rPr>
        <w:t xml:space="preserve">Details on </w:t>
      </w:r>
      <w:r w:rsidR="00472DFC">
        <w:rPr>
          <w:rFonts w:ascii="Palatino Linotype" w:hAnsi="Palatino Linotype"/>
          <w:b/>
          <w:lang w:val="en-US"/>
        </w:rPr>
        <w:t>inpatient</w:t>
      </w:r>
      <w:r w:rsidR="00453AC1">
        <w:rPr>
          <w:rFonts w:ascii="Palatino Linotype" w:hAnsi="Palatino Linotype"/>
          <w:b/>
          <w:lang w:val="en-US"/>
        </w:rPr>
        <w:t>/outpatient</w:t>
      </w:r>
      <w:r w:rsidR="00472DFC">
        <w:rPr>
          <w:rFonts w:ascii="Palatino Linotype" w:hAnsi="Palatino Linotype"/>
          <w:b/>
          <w:lang w:val="en-US"/>
        </w:rPr>
        <w:t xml:space="preserve"> status</w:t>
      </w:r>
      <w:r w:rsidR="002C5EC1">
        <w:rPr>
          <w:rFonts w:ascii="Palatino Linotype" w:hAnsi="Palatino Linotype"/>
          <w:b/>
          <w:lang w:val="en-US"/>
        </w:rPr>
        <w:t xml:space="preserve"> and medication</w:t>
      </w:r>
    </w:p>
    <w:p w14:paraId="6A4810C7" w14:textId="77777777" w:rsidR="002C5EC1" w:rsidRDefault="002C5EC1">
      <w:pPr>
        <w:rPr>
          <w:rFonts w:ascii="Palatino Linotype" w:eastAsia="Times New Roman" w:hAnsi="Palatino Linotype" w:cs="Times New Roman"/>
          <w:lang w:val="en-US" w:eastAsia="cs-CZ"/>
        </w:rPr>
      </w:pPr>
      <w:bookmarkStart w:id="0" w:name="_Hlk6831281"/>
      <w:proofErr w:type="gramStart"/>
      <w:r w:rsidRPr="00843157">
        <w:rPr>
          <w:rFonts w:ascii="Palatino Linotype" w:eastAsia="Times New Roman" w:hAnsi="Palatino Linotype" w:cs="Times New Roman"/>
          <w:lang w:val="en-US" w:eastAsia="cs-CZ"/>
        </w:rPr>
        <w:t>The majority of</w:t>
      </w:r>
      <w:proofErr w:type="gramEnd"/>
      <w:r w:rsidRPr="00843157">
        <w:rPr>
          <w:rFonts w:ascii="Palatino Linotype" w:eastAsia="Times New Roman" w:hAnsi="Palatino Linotype" w:cs="Times New Roman"/>
          <w:lang w:val="en-US" w:eastAsia="cs-CZ"/>
        </w:rPr>
        <w:t xml:space="preserve"> BPD patients were inpatients (N = 31)</w:t>
      </w:r>
      <w:r>
        <w:rPr>
          <w:rFonts w:ascii="Palatino Linotype" w:eastAsia="Times New Roman" w:hAnsi="Palatino Linotype" w:cs="Times New Roman"/>
          <w:lang w:val="en-US" w:eastAsia="cs-CZ"/>
        </w:rPr>
        <w:t>; 8</w:t>
      </w:r>
      <w:r w:rsidRPr="00843157">
        <w:rPr>
          <w:rFonts w:ascii="Palatino Linotype" w:eastAsia="Times New Roman" w:hAnsi="Palatino Linotype" w:cs="Times New Roman"/>
          <w:lang w:val="en-US" w:eastAsia="cs-CZ"/>
        </w:rPr>
        <w:t xml:space="preserve"> BPD patients were outpatients. </w:t>
      </w:r>
      <w:r>
        <w:rPr>
          <w:rFonts w:ascii="Palatino Linotype" w:eastAsia="Times New Roman" w:hAnsi="Palatino Linotype" w:cs="Times New Roman"/>
          <w:lang w:val="en-US" w:eastAsia="cs-CZ"/>
        </w:rPr>
        <w:t>All ADHD patients were outpatients.</w:t>
      </w:r>
      <w:bookmarkEnd w:id="0"/>
    </w:p>
    <w:p w14:paraId="2266CCEC" w14:textId="65E055CA" w:rsidR="00B94A30" w:rsidRDefault="00B94A30">
      <w:pP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 xml:space="preserve">BPD: </w:t>
      </w:r>
      <w:r w:rsidR="00102579">
        <w:rPr>
          <w:rFonts w:ascii="Palatino Linotype" w:eastAsia="Times New Roman" w:hAnsi="Palatino Linotype" w:cs="Times New Roman"/>
          <w:lang w:val="en-US" w:eastAsia="cs-CZ"/>
        </w:rPr>
        <w:t>17 patients were unmedicated</w:t>
      </w:r>
      <w:r w:rsidR="006505AF">
        <w:rPr>
          <w:rFonts w:ascii="Palatino Linotype" w:eastAsia="Times New Roman" w:hAnsi="Palatino Linotype" w:cs="Times New Roman"/>
          <w:lang w:val="en-US" w:eastAsia="cs-CZ"/>
        </w:rPr>
        <w:t>;</w:t>
      </w:r>
      <w:r w:rsidR="00102579">
        <w:rPr>
          <w:rFonts w:ascii="Palatino Linotype" w:eastAsia="Times New Roman" w:hAnsi="Palatino Linotype" w:cs="Times New Roman"/>
          <w:lang w:val="en-US" w:eastAsia="cs-CZ"/>
        </w:rPr>
        <w:t xml:space="preserve"> 22 patients were </w:t>
      </w:r>
      <w:r w:rsidR="006505AF">
        <w:rPr>
          <w:rFonts w:ascii="Palatino Linotype" w:eastAsia="Times New Roman" w:hAnsi="Palatino Linotype" w:cs="Times New Roman"/>
          <w:lang w:val="en-US" w:eastAsia="cs-CZ"/>
        </w:rPr>
        <w:t>taking various</w:t>
      </w:r>
      <w:r w:rsidR="00102579">
        <w:rPr>
          <w:rFonts w:ascii="Palatino Linotype" w:eastAsia="Times New Roman" w:hAnsi="Palatino Linotype" w:cs="Times New Roman"/>
          <w:lang w:val="en-US" w:eastAsia="cs-CZ"/>
        </w:rPr>
        <w:t xml:space="preserve"> psychiatric medication</w:t>
      </w:r>
      <w:r w:rsidR="006505AF">
        <w:rPr>
          <w:rFonts w:ascii="Palatino Linotype" w:eastAsia="Times New Roman" w:hAnsi="Palatino Linotype" w:cs="Times New Roman"/>
          <w:lang w:val="en-US" w:eastAsia="cs-CZ"/>
        </w:rPr>
        <w:t>s</w:t>
      </w:r>
      <w:r w:rsidR="00102579">
        <w:rPr>
          <w:rFonts w:ascii="Palatino Linotype" w:eastAsia="Times New Roman" w:hAnsi="Palatino Linotype" w:cs="Times New Roman"/>
          <w:lang w:val="en-US" w:eastAsia="cs-CZ"/>
        </w:rPr>
        <w:t xml:space="preserve"> </w:t>
      </w:r>
      <w:r w:rsidR="006505AF">
        <w:rPr>
          <w:rFonts w:ascii="Palatino Linotype" w:eastAsia="Times New Roman" w:hAnsi="Palatino Linotype" w:cs="Times New Roman"/>
          <w:lang w:val="en-US" w:eastAsia="cs-CZ"/>
        </w:rPr>
        <w:t>at</w:t>
      </w:r>
      <w:r w:rsidR="00102579">
        <w:rPr>
          <w:rFonts w:ascii="Palatino Linotype" w:eastAsia="Times New Roman" w:hAnsi="Palatino Linotype" w:cs="Times New Roman"/>
          <w:lang w:val="en-US" w:eastAsia="cs-CZ"/>
        </w:rPr>
        <w:t xml:space="preserve"> the time of their participation in the study. </w:t>
      </w:r>
      <w:r w:rsidR="006505AF">
        <w:rPr>
          <w:rFonts w:ascii="Palatino Linotype" w:eastAsia="Times New Roman" w:hAnsi="Palatino Linotype" w:cs="Times New Roman"/>
          <w:lang w:val="en-US" w:eastAsia="cs-CZ"/>
        </w:rPr>
        <w:t>Eight</w:t>
      </w:r>
      <w:r w:rsidRPr="00E36B5B">
        <w:rPr>
          <w:rFonts w:ascii="Palatino Linotype" w:eastAsia="Times New Roman" w:hAnsi="Palatino Linotype" w:cs="Times New Roman"/>
          <w:lang w:val="en-US" w:eastAsia="cs-CZ"/>
        </w:rPr>
        <w:t xml:space="preserve"> </w:t>
      </w:r>
      <w:r w:rsidRPr="00A6453B">
        <w:rPr>
          <w:rFonts w:ascii="Palatino Linotype" w:eastAsia="Times New Roman" w:hAnsi="Palatino Linotype" w:cs="Times New Roman"/>
          <w:lang w:val="en-US" w:eastAsia="cs-CZ"/>
        </w:rPr>
        <w:t xml:space="preserve">patients were medicated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Pr="00A6453B">
        <w:rPr>
          <w:rFonts w:ascii="Palatino Linotype" w:eastAsia="Times New Roman" w:hAnsi="Palatino Linotype" w:cs="Times New Roman"/>
          <w:lang w:val="en-US" w:eastAsia="cs-CZ"/>
        </w:rPr>
        <w:t xml:space="preserve">antidepressants, 7 patients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Pr="00A6453B">
        <w:rPr>
          <w:rFonts w:ascii="Palatino Linotype" w:eastAsia="Times New Roman" w:hAnsi="Palatino Linotype" w:cs="Times New Roman"/>
          <w:lang w:val="en-US" w:eastAsia="cs-CZ"/>
        </w:rPr>
        <w:t xml:space="preserve">antipsychotics, 6 patients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008A4BFF">
        <w:rPr>
          <w:rFonts w:ascii="Palatino Linotype" w:eastAsia="Times New Roman" w:hAnsi="Palatino Linotype" w:cs="Times New Roman"/>
          <w:lang w:val="en-US" w:eastAsia="cs-CZ"/>
        </w:rPr>
        <w:t xml:space="preserve">a </w:t>
      </w:r>
      <w:r w:rsidRPr="00A6453B">
        <w:rPr>
          <w:rFonts w:ascii="Palatino Linotype" w:eastAsia="Times New Roman" w:hAnsi="Palatino Linotype" w:cs="Times New Roman"/>
          <w:lang w:val="en-US" w:eastAsia="cs-CZ"/>
        </w:rPr>
        <w:t xml:space="preserve">combination of antidepressants and antipsychotics, and 1 patient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008A4BFF">
        <w:rPr>
          <w:rFonts w:ascii="Palatino Linotype" w:eastAsia="Times New Roman" w:hAnsi="Palatino Linotype" w:cs="Times New Roman"/>
          <w:lang w:val="en-US" w:eastAsia="cs-CZ"/>
        </w:rPr>
        <w:t xml:space="preserve">a </w:t>
      </w:r>
      <w:r w:rsidRPr="00A6453B">
        <w:rPr>
          <w:rFonts w:ascii="Palatino Linotype" w:eastAsia="Times New Roman" w:hAnsi="Palatino Linotype" w:cs="Times New Roman"/>
          <w:lang w:val="en-US" w:eastAsia="cs-CZ"/>
        </w:rPr>
        <w:t>combination of antipsychotic and mood stabilizer.</w:t>
      </w:r>
    </w:p>
    <w:p w14:paraId="5CD038D3" w14:textId="2CE598AE" w:rsidR="00B94A30" w:rsidRDefault="00B94A30" w:rsidP="00D02756">
      <w:pPr>
        <w:spacing w:after="200"/>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 xml:space="preserve">ADHD: </w:t>
      </w:r>
      <w:r w:rsidR="00501288">
        <w:rPr>
          <w:rFonts w:ascii="Palatino Linotype" w:eastAsia="Times New Roman" w:hAnsi="Palatino Linotype" w:cs="Times New Roman"/>
          <w:lang w:val="en-US" w:eastAsia="cs-CZ"/>
        </w:rPr>
        <w:t>8</w:t>
      </w:r>
      <w:r w:rsidR="00102579">
        <w:rPr>
          <w:rFonts w:ascii="Palatino Linotype" w:eastAsia="Times New Roman" w:hAnsi="Palatino Linotype" w:cs="Times New Roman"/>
          <w:lang w:val="en-US" w:eastAsia="cs-CZ"/>
        </w:rPr>
        <w:t xml:space="preserve"> patients were unmedicated</w:t>
      </w:r>
      <w:r w:rsidR="006505AF">
        <w:rPr>
          <w:rFonts w:ascii="Palatino Linotype" w:eastAsia="Times New Roman" w:hAnsi="Palatino Linotype" w:cs="Times New Roman"/>
          <w:lang w:val="en-US" w:eastAsia="cs-CZ"/>
        </w:rPr>
        <w:t>;</w:t>
      </w:r>
      <w:r w:rsidR="00102579">
        <w:rPr>
          <w:rFonts w:ascii="Palatino Linotype" w:eastAsia="Times New Roman" w:hAnsi="Palatino Linotype" w:cs="Times New Roman"/>
          <w:lang w:val="en-US" w:eastAsia="cs-CZ"/>
        </w:rPr>
        <w:t xml:space="preserve"> 1</w:t>
      </w:r>
      <w:r w:rsidR="00977568">
        <w:rPr>
          <w:rFonts w:ascii="Palatino Linotype" w:eastAsia="Times New Roman" w:hAnsi="Palatino Linotype" w:cs="Times New Roman"/>
          <w:lang w:val="en-US" w:eastAsia="cs-CZ"/>
        </w:rPr>
        <w:t>7</w:t>
      </w:r>
      <w:r w:rsidR="00102579">
        <w:rPr>
          <w:rFonts w:ascii="Palatino Linotype" w:eastAsia="Times New Roman" w:hAnsi="Palatino Linotype" w:cs="Times New Roman"/>
          <w:lang w:val="en-US" w:eastAsia="cs-CZ"/>
        </w:rPr>
        <w:t xml:space="preserve"> patients were </w:t>
      </w:r>
      <w:r w:rsidR="00006B58">
        <w:rPr>
          <w:rFonts w:ascii="Palatino Linotype" w:eastAsia="Times New Roman" w:hAnsi="Palatino Linotype" w:cs="Times New Roman"/>
          <w:lang w:val="en-US" w:eastAsia="cs-CZ"/>
        </w:rPr>
        <w:t>taking various</w:t>
      </w:r>
      <w:r w:rsidR="00102579">
        <w:rPr>
          <w:rFonts w:ascii="Palatino Linotype" w:eastAsia="Times New Roman" w:hAnsi="Palatino Linotype" w:cs="Times New Roman"/>
          <w:lang w:val="en-US" w:eastAsia="cs-CZ"/>
        </w:rPr>
        <w:t xml:space="preserve"> psychiatric medication</w:t>
      </w:r>
      <w:r w:rsidR="006505AF">
        <w:rPr>
          <w:rFonts w:ascii="Palatino Linotype" w:eastAsia="Times New Roman" w:hAnsi="Palatino Linotype" w:cs="Times New Roman"/>
          <w:lang w:val="en-US" w:eastAsia="cs-CZ"/>
        </w:rPr>
        <w:t>s</w:t>
      </w:r>
      <w:r w:rsidR="00102579">
        <w:rPr>
          <w:rFonts w:ascii="Palatino Linotype" w:eastAsia="Times New Roman" w:hAnsi="Palatino Linotype" w:cs="Times New Roman"/>
          <w:lang w:val="en-US" w:eastAsia="cs-CZ"/>
        </w:rPr>
        <w:t xml:space="preserve"> </w:t>
      </w:r>
      <w:r w:rsidR="006505AF">
        <w:rPr>
          <w:rFonts w:ascii="Palatino Linotype" w:eastAsia="Times New Roman" w:hAnsi="Palatino Linotype" w:cs="Times New Roman"/>
          <w:lang w:val="en-US" w:eastAsia="cs-CZ"/>
        </w:rPr>
        <w:t>at</w:t>
      </w:r>
      <w:r w:rsidR="00102579">
        <w:rPr>
          <w:rFonts w:ascii="Palatino Linotype" w:eastAsia="Times New Roman" w:hAnsi="Palatino Linotype" w:cs="Times New Roman"/>
          <w:lang w:val="en-US" w:eastAsia="cs-CZ"/>
        </w:rPr>
        <w:t xml:space="preserve"> the time of their participation in the study. </w:t>
      </w:r>
      <w:r w:rsidR="00977568">
        <w:rPr>
          <w:rFonts w:ascii="Palatino Linotype" w:eastAsia="Times New Roman" w:hAnsi="Palatino Linotype" w:cs="Times New Roman"/>
          <w:lang w:val="en-US" w:eastAsia="cs-CZ"/>
        </w:rPr>
        <w:t>Seven</w:t>
      </w:r>
      <w:r w:rsidR="00006B58">
        <w:rPr>
          <w:rFonts w:ascii="Palatino Linotype" w:eastAsia="Times New Roman" w:hAnsi="Palatino Linotype" w:cs="Times New Roman"/>
          <w:lang w:val="en-US" w:eastAsia="cs-CZ"/>
        </w:rPr>
        <w:t xml:space="preserve"> </w:t>
      </w:r>
      <w:r>
        <w:rPr>
          <w:rFonts w:ascii="Palatino Linotype" w:eastAsia="Times New Roman" w:hAnsi="Palatino Linotype" w:cs="Times New Roman"/>
          <w:lang w:val="en-US" w:eastAsia="cs-CZ"/>
        </w:rPr>
        <w:t xml:space="preserve">patients were medicated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Pr>
          <w:rFonts w:ascii="Palatino Linotype" w:eastAsia="Times New Roman" w:hAnsi="Palatino Linotype" w:cs="Times New Roman"/>
          <w:lang w:val="en-US" w:eastAsia="cs-CZ"/>
        </w:rPr>
        <w:t xml:space="preserve">atomoxetine, 3 patients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Pr>
          <w:rFonts w:ascii="Palatino Linotype" w:eastAsia="Times New Roman" w:hAnsi="Palatino Linotype" w:cs="Times New Roman"/>
          <w:lang w:val="en-US" w:eastAsia="cs-CZ"/>
        </w:rPr>
        <w:t xml:space="preserve">methylphenidate, 1 patient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00234358">
        <w:rPr>
          <w:rFonts w:ascii="Palatino Linotype" w:eastAsia="Times New Roman" w:hAnsi="Palatino Linotype" w:cs="Times New Roman"/>
          <w:lang w:val="en-US" w:eastAsia="cs-CZ"/>
        </w:rPr>
        <w:t>a</w:t>
      </w:r>
      <w:r w:rsidR="008A4BFF">
        <w:rPr>
          <w:rFonts w:ascii="Palatino Linotype" w:eastAsia="Times New Roman" w:hAnsi="Palatino Linotype" w:cs="Times New Roman"/>
          <w:lang w:val="en-US" w:eastAsia="cs-CZ"/>
        </w:rPr>
        <w:t xml:space="preserve"> </w:t>
      </w:r>
      <w:r>
        <w:rPr>
          <w:rFonts w:ascii="Palatino Linotype" w:eastAsia="Times New Roman" w:hAnsi="Palatino Linotype" w:cs="Times New Roman"/>
          <w:lang w:val="en-US" w:eastAsia="cs-CZ"/>
        </w:rPr>
        <w:t xml:space="preserve">combination of atomoxetine and methylphenidate, </w:t>
      </w:r>
      <w:r w:rsidR="00977568">
        <w:rPr>
          <w:rFonts w:ascii="Palatino Linotype" w:eastAsia="Times New Roman" w:hAnsi="Palatino Linotype" w:cs="Times New Roman"/>
          <w:lang w:val="en-US" w:eastAsia="cs-CZ"/>
        </w:rPr>
        <w:t>2</w:t>
      </w:r>
      <w:r>
        <w:rPr>
          <w:rFonts w:ascii="Palatino Linotype" w:eastAsia="Times New Roman" w:hAnsi="Palatino Linotype" w:cs="Times New Roman"/>
          <w:lang w:val="en-US" w:eastAsia="cs-CZ"/>
        </w:rPr>
        <w:t xml:space="preserve"> patient</w:t>
      </w:r>
      <w:r w:rsidR="00236082">
        <w:rPr>
          <w:rFonts w:ascii="Palatino Linotype" w:eastAsia="Times New Roman" w:hAnsi="Palatino Linotype" w:cs="Times New Roman"/>
          <w:lang w:val="en-US" w:eastAsia="cs-CZ"/>
        </w:rPr>
        <w:t>s</w:t>
      </w:r>
      <w:r>
        <w:rPr>
          <w:rFonts w:ascii="Palatino Linotype" w:eastAsia="Times New Roman" w:hAnsi="Palatino Linotype" w:cs="Times New Roman"/>
          <w:lang w:val="en-US" w:eastAsia="cs-CZ"/>
        </w:rPr>
        <w:t xml:space="preserve">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Pr>
          <w:rFonts w:ascii="Palatino Linotype" w:eastAsia="Times New Roman" w:hAnsi="Palatino Linotype" w:cs="Times New Roman"/>
          <w:lang w:val="en-US" w:eastAsia="cs-CZ"/>
        </w:rPr>
        <w:t xml:space="preserve">antidepressants, 2 patients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Pr>
          <w:rFonts w:ascii="Palatino Linotype" w:eastAsia="Times New Roman" w:hAnsi="Palatino Linotype" w:cs="Times New Roman"/>
          <w:lang w:val="en-US" w:eastAsia="cs-CZ"/>
        </w:rPr>
        <w:t xml:space="preserve">antipsychotics, 1 patient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008A4BFF">
        <w:rPr>
          <w:rFonts w:ascii="Palatino Linotype" w:eastAsia="Times New Roman" w:hAnsi="Palatino Linotype" w:cs="Times New Roman"/>
          <w:lang w:val="en-US" w:eastAsia="cs-CZ"/>
        </w:rPr>
        <w:t xml:space="preserve">a </w:t>
      </w:r>
      <w:r>
        <w:rPr>
          <w:rFonts w:ascii="Palatino Linotype" w:eastAsia="Times New Roman" w:hAnsi="Palatino Linotype" w:cs="Times New Roman"/>
          <w:lang w:val="en-US" w:eastAsia="cs-CZ"/>
        </w:rPr>
        <w:t>combination of antidepressants and antipsychotics</w:t>
      </w:r>
      <w:r w:rsidR="00234358">
        <w:rPr>
          <w:rFonts w:ascii="Palatino Linotype" w:eastAsia="Times New Roman" w:hAnsi="Palatino Linotype" w:cs="Times New Roman"/>
          <w:lang w:val="en-US" w:eastAsia="cs-CZ"/>
        </w:rPr>
        <w:t>,</w:t>
      </w:r>
      <w:r>
        <w:rPr>
          <w:rFonts w:ascii="Palatino Linotype" w:eastAsia="Times New Roman" w:hAnsi="Palatino Linotype" w:cs="Times New Roman"/>
          <w:lang w:val="en-US" w:eastAsia="cs-CZ"/>
        </w:rPr>
        <w:t xml:space="preserve"> and 1 patient </w:t>
      </w:r>
      <w:r w:rsidR="00234358">
        <w:rPr>
          <w:rFonts w:ascii="Palatino Linotype" w:eastAsia="Times New Roman" w:hAnsi="Palatino Linotype" w:cs="Times New Roman"/>
          <w:lang w:val="en-US" w:eastAsia="cs-CZ"/>
        </w:rPr>
        <w:t>with</w:t>
      </w:r>
      <w:r w:rsidR="00234358" w:rsidRPr="00A6453B">
        <w:rPr>
          <w:rFonts w:ascii="Palatino Linotype" w:eastAsia="Times New Roman" w:hAnsi="Palatino Linotype" w:cs="Times New Roman"/>
          <w:lang w:val="en-US" w:eastAsia="cs-CZ"/>
        </w:rPr>
        <w:t xml:space="preserve"> </w:t>
      </w:r>
      <w:r w:rsidR="008A4BFF">
        <w:rPr>
          <w:rFonts w:ascii="Palatino Linotype" w:eastAsia="Times New Roman" w:hAnsi="Palatino Linotype" w:cs="Times New Roman"/>
          <w:lang w:val="en-US" w:eastAsia="cs-CZ"/>
        </w:rPr>
        <w:t xml:space="preserve">a </w:t>
      </w:r>
      <w:r>
        <w:rPr>
          <w:rFonts w:ascii="Palatino Linotype" w:eastAsia="Times New Roman" w:hAnsi="Palatino Linotype" w:cs="Times New Roman"/>
          <w:lang w:val="en-US" w:eastAsia="cs-CZ"/>
        </w:rPr>
        <w:t>combination of atomoxetine and antipsychotics.</w:t>
      </w:r>
    </w:p>
    <w:p w14:paraId="666CF1A6" w14:textId="0B90E34A" w:rsidR="00BB46C1" w:rsidRDefault="002C5EC1" w:rsidP="00D02756">
      <w:pPr>
        <w:spacing w:after="200"/>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 xml:space="preserve">We provide </w:t>
      </w:r>
      <w:r w:rsidR="00DE1E67">
        <w:rPr>
          <w:rFonts w:ascii="Palatino Linotype" w:eastAsia="Times New Roman" w:hAnsi="Palatino Linotype" w:cs="Times New Roman"/>
          <w:lang w:val="en-US" w:eastAsia="cs-CZ"/>
        </w:rPr>
        <w:t xml:space="preserve">exploratory analysis </w:t>
      </w:r>
      <w:r>
        <w:rPr>
          <w:rFonts w:ascii="Palatino Linotype" w:eastAsia="Times New Roman" w:hAnsi="Palatino Linotype" w:cs="Times New Roman"/>
          <w:lang w:val="en-US" w:eastAsia="cs-CZ"/>
        </w:rPr>
        <w:t xml:space="preserve">of </w:t>
      </w:r>
      <w:r w:rsidR="00DE1E67">
        <w:rPr>
          <w:rFonts w:ascii="Palatino Linotype" w:eastAsia="Times New Roman" w:hAnsi="Palatino Linotype" w:cs="Times New Roman"/>
          <w:lang w:val="en-US" w:eastAsia="cs-CZ"/>
        </w:rPr>
        <w:t xml:space="preserve">the </w:t>
      </w:r>
      <w:r>
        <w:rPr>
          <w:rFonts w:ascii="Palatino Linotype" w:eastAsia="Times New Roman" w:hAnsi="Palatino Linotype" w:cs="Times New Roman"/>
          <w:lang w:val="en-US" w:eastAsia="cs-CZ"/>
        </w:rPr>
        <w:t>differences in impulsivity and cognitive tests between patients without psychiatric medication and patients under psychiatric medication</w:t>
      </w:r>
      <w:r w:rsidR="00DE1E67">
        <w:rPr>
          <w:rFonts w:ascii="Palatino Linotype" w:eastAsia="Times New Roman" w:hAnsi="Palatino Linotype" w:cs="Times New Roman"/>
          <w:lang w:val="en-US" w:eastAsia="cs-CZ"/>
        </w:rPr>
        <w:t xml:space="preserve"> across the two patient groups</w:t>
      </w:r>
      <w:r>
        <w:rPr>
          <w:rFonts w:ascii="Palatino Linotype" w:eastAsia="Times New Roman" w:hAnsi="Palatino Linotype" w:cs="Times New Roman"/>
          <w:lang w:val="en-US" w:eastAsia="cs-CZ"/>
        </w:rPr>
        <w:t>. Table S1 presents descriptive statistics and results of independent samples t-tests, p values are provided without correction. No difference reached significance (with or without correction more multiple comparisons).</w:t>
      </w:r>
    </w:p>
    <w:p w14:paraId="622B8E14" w14:textId="77777777" w:rsidR="0072285C" w:rsidRDefault="0072285C" w:rsidP="0072285C">
      <w:pPr>
        <w:rPr>
          <w:rFonts w:ascii="Palatino Linotype" w:eastAsia="Times New Roman" w:hAnsi="Palatino Linotype" w:cs="Times New Roman"/>
          <w:b/>
          <w:lang w:val="en-US" w:eastAsia="cs-CZ"/>
        </w:rPr>
      </w:pPr>
      <w:r>
        <w:rPr>
          <w:rFonts w:ascii="Palatino Linotype" w:eastAsia="Times New Roman" w:hAnsi="Palatino Linotype" w:cs="Times New Roman"/>
          <w:b/>
          <w:lang w:val="en-US" w:eastAsia="cs-CZ"/>
        </w:rPr>
        <w:t>2. Order of tests</w:t>
      </w:r>
    </w:p>
    <w:p w14:paraId="3BF678B2" w14:textId="77777777" w:rsidR="0072285C" w:rsidRPr="00D02756" w:rsidRDefault="0072285C" w:rsidP="0072285C">
      <w:pP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The test battery was presented in a fixed order to all participants. Because of high number of tests, the order could not have been counterbalanced. However, self-reported, behavioral, and cognitive tests were interleaved so that the participants did not engage in one type of task for too long. Participants did not require breaks due to fatigue during the session. The order of tests was as follows: Zung Self-Rating Anxiety Scale, Go/NoGo task, delay discounting, MADRS, d2, Iowa Gambling task, stop signal task, UPPS-P, Tower of London, and digit span.</w:t>
      </w:r>
    </w:p>
    <w:p w14:paraId="506C349F" w14:textId="77777777" w:rsidR="0072285C" w:rsidRDefault="0072285C" w:rsidP="00D02756">
      <w:pPr>
        <w:spacing w:after="200"/>
        <w:rPr>
          <w:rFonts w:ascii="Palatino Linotype" w:eastAsia="Times New Roman" w:hAnsi="Palatino Linotype" w:cs="Times New Roman"/>
          <w:lang w:val="en-US" w:eastAsia="cs-CZ"/>
        </w:rPr>
      </w:pPr>
    </w:p>
    <w:p w14:paraId="69B2AA13" w14:textId="77777777" w:rsidR="0072285C" w:rsidRDefault="0072285C">
      <w:pPr>
        <w:rPr>
          <w:rFonts w:ascii="Palatino Linotype" w:eastAsia="Times New Roman" w:hAnsi="Palatino Linotype" w:cs="Times New Roman"/>
          <w:b/>
          <w:lang w:val="en-US" w:eastAsia="cs-CZ"/>
        </w:rPr>
      </w:pPr>
      <w:r>
        <w:rPr>
          <w:rFonts w:ascii="Palatino Linotype" w:eastAsia="Times New Roman" w:hAnsi="Palatino Linotype" w:cs="Times New Roman"/>
          <w:b/>
          <w:lang w:val="en-US" w:eastAsia="cs-CZ"/>
        </w:rPr>
        <w:br w:type="page"/>
      </w:r>
    </w:p>
    <w:p w14:paraId="42374F4E" w14:textId="79811FEC" w:rsidR="00DE1E67" w:rsidRPr="00DE1E67" w:rsidRDefault="00DE1E67" w:rsidP="00DE1E67">
      <w:pPr>
        <w:spacing w:after="200"/>
        <w:ind w:right="992"/>
        <w:rPr>
          <w:rFonts w:ascii="Palatino Linotype" w:eastAsia="Times New Roman" w:hAnsi="Palatino Linotype" w:cs="Times New Roman"/>
          <w:b/>
          <w:lang w:val="en-US" w:eastAsia="cs-CZ"/>
        </w:rPr>
      </w:pPr>
      <w:r w:rsidRPr="00DE1E67">
        <w:rPr>
          <w:rFonts w:ascii="Palatino Linotype" w:eastAsia="Times New Roman" w:hAnsi="Palatino Linotype" w:cs="Times New Roman"/>
          <w:b/>
          <w:lang w:val="en-US" w:eastAsia="cs-CZ"/>
        </w:rPr>
        <w:lastRenderedPageBreak/>
        <w:t>Table S1.</w:t>
      </w:r>
      <w:r>
        <w:rPr>
          <w:rFonts w:ascii="Palatino Linotype" w:eastAsia="Times New Roman" w:hAnsi="Palatino Linotype" w:cs="Times New Roman"/>
          <w:b/>
          <w:lang w:val="en-US" w:eastAsia="cs-CZ"/>
        </w:rPr>
        <w:t xml:space="preserve"> Descriptive statistics and differences in impulsivity and cognition variables between medicated and unmedicated patients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1147"/>
        <w:gridCol w:w="603"/>
        <w:gridCol w:w="1072"/>
        <w:gridCol w:w="1050"/>
        <w:gridCol w:w="1222"/>
        <w:gridCol w:w="940"/>
        <w:gridCol w:w="709"/>
      </w:tblGrid>
      <w:tr w:rsidR="0053691F" w14:paraId="4E2799C0" w14:textId="65E6B3B2" w:rsidTr="0053691F">
        <w:trPr>
          <w:trHeight w:val="340"/>
        </w:trPr>
        <w:tc>
          <w:tcPr>
            <w:tcW w:w="1479" w:type="dxa"/>
            <w:tcBorders>
              <w:top w:val="single" w:sz="12" w:space="0" w:color="auto"/>
              <w:bottom w:val="single" w:sz="12" w:space="0" w:color="auto"/>
            </w:tcBorders>
            <w:vAlign w:val="center"/>
          </w:tcPr>
          <w:p w14:paraId="7123DECA" w14:textId="6DE985A3"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Variable</w:t>
            </w:r>
          </w:p>
        </w:tc>
        <w:tc>
          <w:tcPr>
            <w:tcW w:w="1147" w:type="dxa"/>
            <w:tcBorders>
              <w:top w:val="single" w:sz="12" w:space="0" w:color="auto"/>
              <w:bottom w:val="single" w:sz="12" w:space="0" w:color="auto"/>
            </w:tcBorders>
            <w:vAlign w:val="center"/>
          </w:tcPr>
          <w:p w14:paraId="5CDD0A39" w14:textId="6336AFEB" w:rsidR="0053691F" w:rsidRPr="0053691F" w:rsidRDefault="0053691F" w:rsidP="0053691F">
            <w:pPr>
              <w:ind w:left="-173" w:right="-177"/>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Medication</w:t>
            </w:r>
          </w:p>
        </w:tc>
        <w:tc>
          <w:tcPr>
            <w:tcW w:w="603" w:type="dxa"/>
            <w:tcBorders>
              <w:top w:val="single" w:sz="12" w:space="0" w:color="auto"/>
              <w:bottom w:val="single" w:sz="12" w:space="0" w:color="auto"/>
            </w:tcBorders>
            <w:vAlign w:val="center"/>
          </w:tcPr>
          <w:p w14:paraId="0826EF2F" w14:textId="0339D640" w:rsidR="0053691F" w:rsidRPr="000B2E1A" w:rsidRDefault="0053691F" w:rsidP="000B2E1A">
            <w:pPr>
              <w:jc w:val="center"/>
              <w:rPr>
                <w:rFonts w:ascii="Palatino Linotype" w:eastAsia="Times New Roman" w:hAnsi="Palatino Linotype" w:cs="Times New Roman"/>
                <w:i/>
                <w:lang w:val="en-US" w:eastAsia="cs-CZ"/>
              </w:rPr>
            </w:pPr>
            <w:r w:rsidRPr="000B2E1A">
              <w:rPr>
                <w:rFonts w:ascii="Palatino Linotype" w:eastAsia="Times New Roman" w:hAnsi="Palatino Linotype" w:cs="Times New Roman"/>
                <w:i/>
                <w:lang w:val="en-US" w:eastAsia="cs-CZ"/>
              </w:rPr>
              <w:t>N</w:t>
            </w:r>
          </w:p>
        </w:tc>
        <w:tc>
          <w:tcPr>
            <w:tcW w:w="1072" w:type="dxa"/>
            <w:tcBorders>
              <w:top w:val="single" w:sz="12" w:space="0" w:color="auto"/>
              <w:bottom w:val="single" w:sz="12" w:space="0" w:color="auto"/>
            </w:tcBorders>
            <w:vAlign w:val="center"/>
          </w:tcPr>
          <w:p w14:paraId="58B2A508" w14:textId="7403857A" w:rsidR="0053691F" w:rsidRPr="000B2E1A" w:rsidRDefault="0053691F" w:rsidP="000B2E1A">
            <w:pPr>
              <w:jc w:val="center"/>
              <w:rPr>
                <w:rFonts w:ascii="Palatino Linotype" w:eastAsia="Times New Roman" w:hAnsi="Palatino Linotype" w:cs="Times New Roman"/>
                <w:i/>
                <w:lang w:val="en-US" w:eastAsia="cs-CZ"/>
              </w:rPr>
            </w:pPr>
            <w:r w:rsidRPr="000B2E1A">
              <w:rPr>
                <w:rFonts w:ascii="Palatino Linotype" w:eastAsia="Times New Roman" w:hAnsi="Palatino Linotype" w:cs="Times New Roman"/>
                <w:i/>
                <w:lang w:val="en-US" w:eastAsia="cs-CZ"/>
              </w:rPr>
              <w:t>M</w:t>
            </w:r>
          </w:p>
        </w:tc>
        <w:tc>
          <w:tcPr>
            <w:tcW w:w="1050" w:type="dxa"/>
            <w:tcBorders>
              <w:top w:val="single" w:sz="12" w:space="0" w:color="auto"/>
              <w:bottom w:val="single" w:sz="12" w:space="0" w:color="auto"/>
            </w:tcBorders>
            <w:vAlign w:val="center"/>
          </w:tcPr>
          <w:p w14:paraId="5871FE45" w14:textId="0142C81F" w:rsidR="0053691F" w:rsidRPr="000B2E1A" w:rsidRDefault="0053691F" w:rsidP="000B2E1A">
            <w:pPr>
              <w:jc w:val="center"/>
              <w:rPr>
                <w:rFonts w:ascii="Palatino Linotype" w:eastAsia="Times New Roman" w:hAnsi="Palatino Linotype" w:cs="Times New Roman"/>
                <w:i/>
                <w:lang w:val="en-US" w:eastAsia="cs-CZ"/>
              </w:rPr>
            </w:pPr>
            <w:r w:rsidRPr="000B2E1A">
              <w:rPr>
                <w:rFonts w:ascii="Palatino Linotype" w:eastAsia="Times New Roman" w:hAnsi="Palatino Linotype" w:cs="Times New Roman"/>
                <w:i/>
                <w:lang w:val="en-US" w:eastAsia="cs-CZ"/>
              </w:rPr>
              <w:t>SD</w:t>
            </w:r>
          </w:p>
        </w:tc>
        <w:tc>
          <w:tcPr>
            <w:tcW w:w="1222" w:type="dxa"/>
            <w:tcBorders>
              <w:top w:val="single" w:sz="12" w:space="0" w:color="auto"/>
              <w:bottom w:val="single" w:sz="12" w:space="0" w:color="auto"/>
            </w:tcBorders>
            <w:vAlign w:val="center"/>
          </w:tcPr>
          <w:p w14:paraId="28347928" w14:textId="4A085271" w:rsidR="0053691F" w:rsidRPr="000B2E1A" w:rsidRDefault="0053691F" w:rsidP="00114DAE">
            <w:pPr>
              <w:jc w:val="center"/>
              <w:rPr>
                <w:rFonts w:ascii="Palatino Linotype" w:eastAsia="Times New Roman" w:hAnsi="Palatino Linotype" w:cs="Times New Roman"/>
                <w:i/>
                <w:lang w:val="en-US" w:eastAsia="cs-CZ"/>
              </w:rPr>
            </w:pPr>
            <w:r w:rsidRPr="000B2E1A">
              <w:rPr>
                <w:rFonts w:ascii="Palatino Linotype" w:eastAsia="Times New Roman" w:hAnsi="Palatino Linotype" w:cs="Times New Roman"/>
                <w:i/>
                <w:lang w:val="en-US" w:eastAsia="cs-CZ"/>
              </w:rPr>
              <w:t>t(df)</w:t>
            </w:r>
          </w:p>
        </w:tc>
        <w:tc>
          <w:tcPr>
            <w:tcW w:w="940" w:type="dxa"/>
            <w:tcBorders>
              <w:top w:val="single" w:sz="12" w:space="0" w:color="auto"/>
              <w:bottom w:val="single" w:sz="12" w:space="0" w:color="auto"/>
            </w:tcBorders>
            <w:vAlign w:val="center"/>
          </w:tcPr>
          <w:p w14:paraId="0018B014" w14:textId="3C4F8E65" w:rsidR="0053691F" w:rsidRPr="000B2E1A" w:rsidRDefault="0053691F" w:rsidP="00114DAE">
            <w:pPr>
              <w:jc w:val="center"/>
              <w:rPr>
                <w:rFonts w:ascii="Palatino Linotype" w:eastAsia="Times New Roman" w:hAnsi="Palatino Linotype" w:cs="Times New Roman"/>
                <w:i/>
                <w:lang w:val="en-US" w:eastAsia="cs-CZ"/>
              </w:rPr>
            </w:pPr>
            <w:r w:rsidRPr="000B2E1A">
              <w:rPr>
                <w:rFonts w:ascii="Palatino Linotype" w:eastAsia="Times New Roman" w:hAnsi="Palatino Linotype" w:cs="Times New Roman"/>
                <w:i/>
                <w:lang w:val="en-US" w:eastAsia="cs-CZ"/>
              </w:rPr>
              <w:t>p</w:t>
            </w:r>
          </w:p>
        </w:tc>
        <w:tc>
          <w:tcPr>
            <w:tcW w:w="709" w:type="dxa"/>
            <w:tcBorders>
              <w:top w:val="single" w:sz="12" w:space="0" w:color="auto"/>
              <w:bottom w:val="single" w:sz="12" w:space="0" w:color="auto"/>
            </w:tcBorders>
            <w:vAlign w:val="center"/>
          </w:tcPr>
          <w:p w14:paraId="5E88973F" w14:textId="475A8C7C" w:rsidR="0053691F" w:rsidRDefault="0053691F" w:rsidP="00114DAE">
            <w:pPr>
              <w:jc w:val="center"/>
              <w:rPr>
                <w:rFonts w:ascii="Palatino Linotype" w:eastAsia="Times New Roman" w:hAnsi="Palatino Linotype" w:cs="Times New Roman"/>
                <w:lang w:val="en-US" w:eastAsia="cs-CZ"/>
              </w:rPr>
            </w:pPr>
            <w:r w:rsidRPr="00F11A3C">
              <w:rPr>
                <w:rFonts w:ascii="Palatino Linotype" w:hAnsi="Palatino Linotype"/>
                <w:lang w:val="en-US"/>
              </w:rPr>
              <w:t>η</w:t>
            </w:r>
            <w:r w:rsidRPr="00F11A3C">
              <w:rPr>
                <w:rFonts w:ascii="Palatino Linotype" w:hAnsi="Palatino Linotype"/>
                <w:vertAlign w:val="superscript"/>
                <w:lang w:val="en-US"/>
              </w:rPr>
              <w:t>2</w:t>
            </w:r>
          </w:p>
        </w:tc>
      </w:tr>
      <w:tr w:rsidR="0053691F" w14:paraId="14C3AB32" w14:textId="391F25BA" w:rsidTr="0053691F">
        <w:trPr>
          <w:trHeight w:val="340"/>
        </w:trPr>
        <w:tc>
          <w:tcPr>
            <w:tcW w:w="1479" w:type="dxa"/>
            <w:vMerge w:val="restart"/>
            <w:tcBorders>
              <w:top w:val="single" w:sz="12" w:space="0" w:color="auto"/>
            </w:tcBorders>
            <w:vAlign w:val="center"/>
          </w:tcPr>
          <w:p w14:paraId="60423437" w14:textId="1940A1F1" w:rsidR="0053691F" w:rsidRDefault="0053691F" w:rsidP="000B2E1A">
            <w:pPr>
              <w:jc w:val="center"/>
              <w:rPr>
                <w:rFonts w:ascii="Palatino Linotype" w:eastAsia="Times New Roman" w:hAnsi="Palatino Linotype" w:cs="Times New Roman"/>
                <w:lang w:val="en-US" w:eastAsia="cs-CZ"/>
              </w:rPr>
            </w:pPr>
            <w:r w:rsidRPr="00F11A3C">
              <w:rPr>
                <w:rFonts w:ascii="Palatino Linotype" w:hAnsi="Palatino Linotype"/>
                <w:lang w:val="en-US"/>
              </w:rPr>
              <w:t>PRE</w:t>
            </w:r>
          </w:p>
        </w:tc>
        <w:tc>
          <w:tcPr>
            <w:tcW w:w="1147" w:type="dxa"/>
            <w:tcBorders>
              <w:top w:val="single" w:sz="12" w:space="0" w:color="auto"/>
            </w:tcBorders>
            <w:vAlign w:val="center"/>
          </w:tcPr>
          <w:p w14:paraId="311815BB" w14:textId="50383033"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tcBorders>
              <w:top w:val="single" w:sz="12" w:space="0" w:color="auto"/>
            </w:tcBorders>
            <w:vAlign w:val="center"/>
          </w:tcPr>
          <w:p w14:paraId="412FAB04" w14:textId="26DE16A9"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tcBorders>
              <w:top w:val="single" w:sz="12" w:space="0" w:color="auto"/>
            </w:tcBorders>
            <w:vAlign w:val="center"/>
          </w:tcPr>
          <w:p w14:paraId="5CC097E9" w14:textId="1E75C5CB"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27.08</w:t>
            </w:r>
          </w:p>
        </w:tc>
        <w:tc>
          <w:tcPr>
            <w:tcW w:w="1050" w:type="dxa"/>
            <w:tcBorders>
              <w:top w:val="single" w:sz="12" w:space="0" w:color="auto"/>
            </w:tcBorders>
            <w:vAlign w:val="center"/>
          </w:tcPr>
          <w:p w14:paraId="3294F1A3" w14:textId="072CE38A"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6.41</w:t>
            </w:r>
          </w:p>
        </w:tc>
        <w:tc>
          <w:tcPr>
            <w:tcW w:w="1222" w:type="dxa"/>
            <w:vMerge w:val="restart"/>
            <w:tcBorders>
              <w:top w:val="single" w:sz="12" w:space="0" w:color="auto"/>
            </w:tcBorders>
            <w:vAlign w:val="center"/>
          </w:tcPr>
          <w:p w14:paraId="1706CF09" w14:textId="06083271" w:rsidR="0053691F" w:rsidRDefault="0053691F" w:rsidP="00114DAE">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-0.75 (62)</w:t>
            </w:r>
          </w:p>
        </w:tc>
        <w:tc>
          <w:tcPr>
            <w:tcW w:w="940" w:type="dxa"/>
            <w:vMerge w:val="restart"/>
            <w:tcBorders>
              <w:top w:val="single" w:sz="12" w:space="0" w:color="auto"/>
            </w:tcBorders>
            <w:vAlign w:val="center"/>
          </w:tcPr>
          <w:p w14:paraId="7B41576B" w14:textId="47CCF10C" w:rsidR="0053691F" w:rsidRDefault="0053691F" w:rsidP="00114DAE">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.455</w:t>
            </w:r>
          </w:p>
        </w:tc>
        <w:tc>
          <w:tcPr>
            <w:tcW w:w="709" w:type="dxa"/>
            <w:vMerge w:val="restart"/>
            <w:tcBorders>
              <w:top w:val="single" w:sz="12" w:space="0" w:color="auto"/>
            </w:tcBorders>
            <w:vAlign w:val="center"/>
          </w:tcPr>
          <w:p w14:paraId="7AF7223D" w14:textId="2756DA0D" w:rsidR="0053691F" w:rsidRDefault="0053691F" w:rsidP="00114DAE">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-0.19</w:t>
            </w:r>
          </w:p>
        </w:tc>
      </w:tr>
      <w:tr w:rsidR="0053691F" w14:paraId="47DD1D21" w14:textId="77777777" w:rsidTr="0053691F">
        <w:trPr>
          <w:trHeight w:val="340"/>
        </w:trPr>
        <w:tc>
          <w:tcPr>
            <w:tcW w:w="1479" w:type="dxa"/>
            <w:vMerge/>
            <w:vAlign w:val="center"/>
          </w:tcPr>
          <w:p w14:paraId="513F24B0" w14:textId="77777777" w:rsidR="0053691F" w:rsidRPr="00F11A3C" w:rsidRDefault="0053691F" w:rsidP="000B2E1A">
            <w:pPr>
              <w:jc w:val="center"/>
              <w:rPr>
                <w:rFonts w:ascii="Palatino Linotype" w:hAnsi="Palatino Linotype"/>
                <w:lang w:val="en-US"/>
              </w:rPr>
            </w:pPr>
          </w:p>
        </w:tc>
        <w:tc>
          <w:tcPr>
            <w:tcW w:w="1147" w:type="dxa"/>
            <w:vAlign w:val="center"/>
          </w:tcPr>
          <w:p w14:paraId="068D145E" w14:textId="2616AD55"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4FCE2879" w14:textId="04067397"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32F3873E" w14:textId="670A25B0"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28.23</w:t>
            </w:r>
          </w:p>
        </w:tc>
        <w:tc>
          <w:tcPr>
            <w:tcW w:w="1050" w:type="dxa"/>
            <w:vAlign w:val="center"/>
          </w:tcPr>
          <w:p w14:paraId="7E6F57F7" w14:textId="041BDF84" w:rsidR="0053691F" w:rsidRDefault="0053691F" w:rsidP="000B2E1A">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5.69</w:t>
            </w:r>
          </w:p>
        </w:tc>
        <w:tc>
          <w:tcPr>
            <w:tcW w:w="1222" w:type="dxa"/>
            <w:vMerge/>
            <w:vAlign w:val="center"/>
          </w:tcPr>
          <w:p w14:paraId="108E8B61" w14:textId="77777777" w:rsidR="0053691F" w:rsidRDefault="0053691F" w:rsidP="00114DAE">
            <w:pPr>
              <w:jc w:val="center"/>
              <w:rPr>
                <w:rFonts w:ascii="Palatino Linotype" w:eastAsia="Times New Roman" w:hAnsi="Palatino Linotype" w:cs="Times New Roman"/>
                <w:lang w:val="en-US" w:eastAsia="cs-CZ"/>
              </w:rPr>
            </w:pPr>
          </w:p>
        </w:tc>
        <w:tc>
          <w:tcPr>
            <w:tcW w:w="940" w:type="dxa"/>
            <w:vMerge/>
            <w:vAlign w:val="center"/>
          </w:tcPr>
          <w:p w14:paraId="4785CA66" w14:textId="77777777" w:rsidR="0053691F" w:rsidRDefault="0053691F" w:rsidP="00114DAE">
            <w:pPr>
              <w:jc w:val="center"/>
              <w:rPr>
                <w:rFonts w:ascii="Palatino Linotype" w:eastAsia="Times New Roman" w:hAnsi="Palatino Linotype" w:cs="Times New Roman"/>
                <w:lang w:val="en-US" w:eastAsia="cs-CZ"/>
              </w:rPr>
            </w:pPr>
          </w:p>
        </w:tc>
        <w:tc>
          <w:tcPr>
            <w:tcW w:w="709" w:type="dxa"/>
            <w:vMerge/>
            <w:vAlign w:val="center"/>
          </w:tcPr>
          <w:p w14:paraId="72B293CD" w14:textId="77777777" w:rsidR="0053691F" w:rsidRDefault="0053691F" w:rsidP="00114DAE">
            <w:pPr>
              <w:jc w:val="center"/>
              <w:rPr>
                <w:rFonts w:ascii="Palatino Linotype" w:eastAsia="Times New Roman" w:hAnsi="Palatino Linotype" w:cs="Times New Roman"/>
                <w:lang w:val="en-US" w:eastAsia="cs-CZ"/>
              </w:rPr>
            </w:pPr>
          </w:p>
        </w:tc>
      </w:tr>
      <w:tr w:rsidR="0053691F" w14:paraId="53192BF8" w14:textId="75E97DE9" w:rsidTr="0053691F">
        <w:trPr>
          <w:trHeight w:val="340"/>
        </w:trPr>
        <w:tc>
          <w:tcPr>
            <w:tcW w:w="1479" w:type="dxa"/>
            <w:vMerge w:val="restart"/>
            <w:vAlign w:val="center"/>
          </w:tcPr>
          <w:p w14:paraId="318B5270" w14:textId="159A79C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PER</w:t>
            </w:r>
          </w:p>
        </w:tc>
        <w:tc>
          <w:tcPr>
            <w:tcW w:w="1147" w:type="dxa"/>
            <w:vAlign w:val="center"/>
          </w:tcPr>
          <w:p w14:paraId="25A34BC8" w14:textId="6AF8F26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76B081ED" w14:textId="6D53099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24</w:t>
            </w:r>
          </w:p>
        </w:tc>
        <w:tc>
          <w:tcPr>
            <w:tcW w:w="1072" w:type="dxa"/>
            <w:vAlign w:val="center"/>
          </w:tcPr>
          <w:p w14:paraId="6C755B01" w14:textId="7BFA8C2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25.17</w:t>
            </w:r>
          </w:p>
        </w:tc>
        <w:tc>
          <w:tcPr>
            <w:tcW w:w="1050" w:type="dxa"/>
            <w:vAlign w:val="center"/>
          </w:tcPr>
          <w:p w14:paraId="1B3973AC" w14:textId="568BEFDC"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4.96</w:t>
            </w:r>
          </w:p>
        </w:tc>
        <w:tc>
          <w:tcPr>
            <w:tcW w:w="1222" w:type="dxa"/>
            <w:vMerge w:val="restart"/>
            <w:vAlign w:val="center"/>
          </w:tcPr>
          <w:p w14:paraId="06175173" w14:textId="703660A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-1.38 (61)</w:t>
            </w:r>
          </w:p>
        </w:tc>
        <w:tc>
          <w:tcPr>
            <w:tcW w:w="940" w:type="dxa"/>
            <w:vMerge w:val="restart"/>
            <w:vAlign w:val="center"/>
          </w:tcPr>
          <w:p w14:paraId="479C5296" w14:textId="4F4A31A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.172</w:t>
            </w:r>
          </w:p>
        </w:tc>
        <w:tc>
          <w:tcPr>
            <w:tcW w:w="709" w:type="dxa"/>
            <w:vMerge w:val="restart"/>
            <w:vAlign w:val="center"/>
          </w:tcPr>
          <w:p w14:paraId="19904850" w14:textId="4EAFC7B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-0.36</w:t>
            </w:r>
          </w:p>
        </w:tc>
      </w:tr>
      <w:tr w:rsidR="0053691F" w14:paraId="4521BCE7" w14:textId="77777777" w:rsidTr="0053691F">
        <w:trPr>
          <w:trHeight w:val="340"/>
        </w:trPr>
        <w:tc>
          <w:tcPr>
            <w:tcW w:w="1479" w:type="dxa"/>
            <w:vMerge/>
            <w:vAlign w:val="center"/>
          </w:tcPr>
          <w:p w14:paraId="6ABDCFCC"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643894C6" w14:textId="6B7774A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01B83792" w14:textId="049F096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13387B5D" w14:textId="70A4C9D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27.13</w:t>
            </w:r>
          </w:p>
        </w:tc>
        <w:tc>
          <w:tcPr>
            <w:tcW w:w="1050" w:type="dxa"/>
            <w:vAlign w:val="center"/>
          </w:tcPr>
          <w:p w14:paraId="0ED9B714" w14:textId="091EABC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5.76</w:t>
            </w:r>
          </w:p>
        </w:tc>
        <w:tc>
          <w:tcPr>
            <w:tcW w:w="1222" w:type="dxa"/>
            <w:vMerge/>
            <w:vAlign w:val="center"/>
          </w:tcPr>
          <w:p w14:paraId="5151384E"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33E9F176"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30E10FA3" w14:textId="77777777" w:rsidR="0053691F" w:rsidRDefault="0053691F" w:rsidP="0053691F">
            <w:pPr>
              <w:jc w:val="center"/>
              <w:rPr>
                <w:rFonts w:ascii="Palatino Linotype" w:eastAsia="Times New Roman" w:hAnsi="Palatino Linotype" w:cs="Times New Roman"/>
                <w:lang w:val="en-US" w:eastAsia="cs-CZ"/>
              </w:rPr>
            </w:pPr>
          </w:p>
        </w:tc>
      </w:tr>
      <w:tr w:rsidR="0053691F" w14:paraId="1000D563" w14:textId="4F32D17F" w:rsidTr="0053691F">
        <w:trPr>
          <w:trHeight w:val="340"/>
        </w:trPr>
        <w:tc>
          <w:tcPr>
            <w:tcW w:w="1479" w:type="dxa"/>
            <w:vMerge w:val="restart"/>
            <w:vAlign w:val="center"/>
          </w:tcPr>
          <w:p w14:paraId="07B89D04" w14:textId="0511DDD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SS</w:t>
            </w:r>
          </w:p>
        </w:tc>
        <w:tc>
          <w:tcPr>
            <w:tcW w:w="1147" w:type="dxa"/>
            <w:vAlign w:val="center"/>
          </w:tcPr>
          <w:p w14:paraId="2E6EF52F" w14:textId="4BD826B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535A8ADA" w14:textId="69B0606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538DBD5D" w14:textId="41065D8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33.04</w:t>
            </w:r>
          </w:p>
        </w:tc>
        <w:tc>
          <w:tcPr>
            <w:tcW w:w="1050" w:type="dxa"/>
            <w:vAlign w:val="center"/>
          </w:tcPr>
          <w:p w14:paraId="36836240" w14:textId="57E2BB3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6.76</w:t>
            </w:r>
          </w:p>
        </w:tc>
        <w:tc>
          <w:tcPr>
            <w:tcW w:w="1222" w:type="dxa"/>
            <w:vMerge w:val="restart"/>
            <w:vAlign w:val="center"/>
          </w:tcPr>
          <w:p w14:paraId="695D06AB" w14:textId="64A8BCB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0.81 (61)</w:t>
            </w:r>
          </w:p>
        </w:tc>
        <w:tc>
          <w:tcPr>
            <w:tcW w:w="940" w:type="dxa"/>
            <w:vMerge w:val="restart"/>
            <w:vAlign w:val="center"/>
          </w:tcPr>
          <w:p w14:paraId="30D5AAA9" w14:textId="4712530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.421</w:t>
            </w:r>
          </w:p>
        </w:tc>
        <w:tc>
          <w:tcPr>
            <w:tcW w:w="709" w:type="dxa"/>
            <w:vMerge w:val="restart"/>
            <w:vAlign w:val="center"/>
          </w:tcPr>
          <w:p w14:paraId="6B9BC3F5" w14:textId="3A7C49F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0.21</w:t>
            </w:r>
          </w:p>
        </w:tc>
      </w:tr>
      <w:tr w:rsidR="0053691F" w14:paraId="59C2FED2" w14:textId="77777777" w:rsidTr="0053691F">
        <w:trPr>
          <w:trHeight w:val="340"/>
        </w:trPr>
        <w:tc>
          <w:tcPr>
            <w:tcW w:w="1479" w:type="dxa"/>
            <w:vMerge/>
            <w:vAlign w:val="center"/>
          </w:tcPr>
          <w:p w14:paraId="13BE85B6"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0DA631B0" w14:textId="3E513B0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1F47E40F" w14:textId="71C0D48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38</w:t>
            </w:r>
          </w:p>
        </w:tc>
        <w:tc>
          <w:tcPr>
            <w:tcW w:w="1072" w:type="dxa"/>
            <w:vAlign w:val="center"/>
          </w:tcPr>
          <w:p w14:paraId="2404D563" w14:textId="1899713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31.53</w:t>
            </w:r>
          </w:p>
        </w:tc>
        <w:tc>
          <w:tcPr>
            <w:tcW w:w="1050" w:type="dxa"/>
            <w:vAlign w:val="center"/>
          </w:tcPr>
          <w:p w14:paraId="0F1C40DB" w14:textId="5AE97A0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7.57</w:t>
            </w:r>
          </w:p>
        </w:tc>
        <w:tc>
          <w:tcPr>
            <w:tcW w:w="1222" w:type="dxa"/>
            <w:vMerge/>
            <w:vAlign w:val="center"/>
          </w:tcPr>
          <w:p w14:paraId="49F0CBB4"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35C3906F"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2A88B636" w14:textId="77777777" w:rsidR="0053691F" w:rsidRDefault="0053691F" w:rsidP="0053691F">
            <w:pPr>
              <w:jc w:val="center"/>
              <w:rPr>
                <w:rFonts w:ascii="Palatino Linotype" w:eastAsia="Times New Roman" w:hAnsi="Palatino Linotype" w:cs="Times New Roman"/>
                <w:lang w:val="en-US" w:eastAsia="cs-CZ"/>
              </w:rPr>
            </w:pPr>
          </w:p>
        </w:tc>
      </w:tr>
      <w:tr w:rsidR="0053691F" w14:paraId="62441AA3" w14:textId="51B99181" w:rsidTr="0053691F">
        <w:trPr>
          <w:trHeight w:val="340"/>
        </w:trPr>
        <w:tc>
          <w:tcPr>
            <w:tcW w:w="1479" w:type="dxa"/>
            <w:vMerge w:val="restart"/>
            <w:vAlign w:val="center"/>
          </w:tcPr>
          <w:p w14:paraId="0B06EF17" w14:textId="31F3B78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NU</w:t>
            </w:r>
          </w:p>
        </w:tc>
        <w:tc>
          <w:tcPr>
            <w:tcW w:w="1147" w:type="dxa"/>
            <w:vAlign w:val="center"/>
          </w:tcPr>
          <w:p w14:paraId="3D4B99DF" w14:textId="4D52568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4BA2392A" w14:textId="3BCCDD1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24</w:t>
            </w:r>
          </w:p>
        </w:tc>
        <w:tc>
          <w:tcPr>
            <w:tcW w:w="1072" w:type="dxa"/>
            <w:vAlign w:val="center"/>
          </w:tcPr>
          <w:p w14:paraId="2977DFCB" w14:textId="357DFE6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37.13</w:t>
            </w:r>
          </w:p>
        </w:tc>
        <w:tc>
          <w:tcPr>
            <w:tcW w:w="1050" w:type="dxa"/>
            <w:vAlign w:val="center"/>
          </w:tcPr>
          <w:p w14:paraId="48168461" w14:textId="2EC40DE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5.14</w:t>
            </w:r>
          </w:p>
        </w:tc>
        <w:tc>
          <w:tcPr>
            <w:tcW w:w="1222" w:type="dxa"/>
            <w:vMerge w:val="restart"/>
            <w:vAlign w:val="center"/>
          </w:tcPr>
          <w:p w14:paraId="22E154FB" w14:textId="6171F82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0.47 (59)</w:t>
            </w:r>
          </w:p>
        </w:tc>
        <w:tc>
          <w:tcPr>
            <w:tcW w:w="940" w:type="dxa"/>
            <w:vMerge w:val="restart"/>
            <w:vAlign w:val="center"/>
          </w:tcPr>
          <w:p w14:paraId="3985EF8F" w14:textId="7AD7F0A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.462</w:t>
            </w:r>
          </w:p>
        </w:tc>
        <w:tc>
          <w:tcPr>
            <w:tcW w:w="709" w:type="dxa"/>
            <w:vMerge w:val="restart"/>
            <w:vAlign w:val="center"/>
          </w:tcPr>
          <w:p w14:paraId="570FD34F" w14:textId="44FF112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0.12</w:t>
            </w:r>
          </w:p>
        </w:tc>
      </w:tr>
      <w:tr w:rsidR="0053691F" w14:paraId="5D619738" w14:textId="77777777" w:rsidTr="0053691F">
        <w:trPr>
          <w:trHeight w:val="340"/>
        </w:trPr>
        <w:tc>
          <w:tcPr>
            <w:tcW w:w="1479" w:type="dxa"/>
            <w:vMerge/>
            <w:vAlign w:val="center"/>
          </w:tcPr>
          <w:p w14:paraId="41BA9096" w14:textId="77777777" w:rsidR="0053691F" w:rsidRPr="00F11A3C" w:rsidRDefault="0053691F" w:rsidP="0053691F">
            <w:pPr>
              <w:jc w:val="center"/>
              <w:rPr>
                <w:rFonts w:ascii="Palatino Linotype" w:hAnsi="Palatino Linotype"/>
                <w:lang w:val="en-US"/>
              </w:rPr>
            </w:pPr>
          </w:p>
        </w:tc>
        <w:tc>
          <w:tcPr>
            <w:tcW w:w="1147" w:type="dxa"/>
            <w:vAlign w:val="center"/>
          </w:tcPr>
          <w:p w14:paraId="6EC0A4BF" w14:textId="6ACD805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7CC944DA" w14:textId="185ACEE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37</w:t>
            </w:r>
          </w:p>
        </w:tc>
        <w:tc>
          <w:tcPr>
            <w:tcW w:w="1072" w:type="dxa"/>
            <w:vAlign w:val="center"/>
          </w:tcPr>
          <w:p w14:paraId="50634CAA" w14:textId="6CFFAF3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36.41</w:t>
            </w:r>
          </w:p>
        </w:tc>
        <w:tc>
          <w:tcPr>
            <w:tcW w:w="1050" w:type="dxa"/>
            <w:vAlign w:val="center"/>
          </w:tcPr>
          <w:p w14:paraId="2D49AB73" w14:textId="372FA65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6.29</w:t>
            </w:r>
          </w:p>
        </w:tc>
        <w:tc>
          <w:tcPr>
            <w:tcW w:w="1222" w:type="dxa"/>
            <w:vMerge/>
            <w:vAlign w:val="center"/>
          </w:tcPr>
          <w:p w14:paraId="7E433643"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7385A039"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68609C85" w14:textId="77777777" w:rsidR="0053691F" w:rsidRDefault="0053691F" w:rsidP="0053691F">
            <w:pPr>
              <w:jc w:val="center"/>
              <w:rPr>
                <w:rFonts w:ascii="Palatino Linotype" w:eastAsia="Times New Roman" w:hAnsi="Palatino Linotype" w:cs="Times New Roman"/>
                <w:lang w:val="en-US" w:eastAsia="cs-CZ"/>
              </w:rPr>
            </w:pPr>
          </w:p>
        </w:tc>
      </w:tr>
      <w:tr w:rsidR="0053691F" w14:paraId="04F1C606" w14:textId="152A688D" w:rsidTr="0053691F">
        <w:trPr>
          <w:trHeight w:val="340"/>
        </w:trPr>
        <w:tc>
          <w:tcPr>
            <w:tcW w:w="1479" w:type="dxa"/>
            <w:vMerge w:val="restart"/>
            <w:vAlign w:val="center"/>
          </w:tcPr>
          <w:p w14:paraId="69BEC950" w14:textId="3747FDE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PU</w:t>
            </w:r>
          </w:p>
        </w:tc>
        <w:tc>
          <w:tcPr>
            <w:tcW w:w="1147" w:type="dxa"/>
            <w:vAlign w:val="center"/>
          </w:tcPr>
          <w:p w14:paraId="2F4E0F55" w14:textId="68C1252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2E91563C" w14:textId="6F7D270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18A611BE" w14:textId="6422ACA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36.12</w:t>
            </w:r>
          </w:p>
        </w:tc>
        <w:tc>
          <w:tcPr>
            <w:tcW w:w="1050" w:type="dxa"/>
            <w:vAlign w:val="center"/>
          </w:tcPr>
          <w:p w14:paraId="61B3C4DF" w14:textId="21E3316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9.39</w:t>
            </w:r>
          </w:p>
        </w:tc>
        <w:tc>
          <w:tcPr>
            <w:tcW w:w="1222" w:type="dxa"/>
            <w:vMerge w:val="restart"/>
            <w:vAlign w:val="center"/>
          </w:tcPr>
          <w:p w14:paraId="48949446" w14:textId="7755F6E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-0.68 (60)</w:t>
            </w:r>
          </w:p>
        </w:tc>
        <w:tc>
          <w:tcPr>
            <w:tcW w:w="940" w:type="dxa"/>
            <w:vMerge w:val="restart"/>
            <w:vAlign w:val="center"/>
          </w:tcPr>
          <w:p w14:paraId="0709258A" w14:textId="160A981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.502</w:t>
            </w:r>
          </w:p>
        </w:tc>
        <w:tc>
          <w:tcPr>
            <w:tcW w:w="709" w:type="dxa"/>
            <w:vMerge w:val="restart"/>
            <w:vAlign w:val="center"/>
          </w:tcPr>
          <w:p w14:paraId="16F99D73" w14:textId="20D7EB4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-0.17</w:t>
            </w:r>
          </w:p>
        </w:tc>
      </w:tr>
      <w:tr w:rsidR="0053691F" w14:paraId="41603789" w14:textId="77777777" w:rsidTr="0053691F">
        <w:trPr>
          <w:trHeight w:val="340"/>
        </w:trPr>
        <w:tc>
          <w:tcPr>
            <w:tcW w:w="1479" w:type="dxa"/>
            <w:vMerge/>
            <w:vAlign w:val="center"/>
          </w:tcPr>
          <w:p w14:paraId="54838AA1"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3196DD3F" w14:textId="54BC298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499F647F" w14:textId="60AEEBB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37</w:t>
            </w:r>
          </w:p>
        </w:tc>
        <w:tc>
          <w:tcPr>
            <w:tcW w:w="1072" w:type="dxa"/>
            <w:vAlign w:val="center"/>
          </w:tcPr>
          <w:p w14:paraId="02DF4245" w14:textId="0D62C75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37.81</w:t>
            </w:r>
          </w:p>
        </w:tc>
        <w:tc>
          <w:tcPr>
            <w:tcW w:w="1050" w:type="dxa"/>
            <w:vAlign w:val="center"/>
          </w:tcPr>
          <w:p w14:paraId="556A2278" w14:textId="00437BD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9.85</w:t>
            </w:r>
          </w:p>
        </w:tc>
        <w:tc>
          <w:tcPr>
            <w:tcW w:w="1222" w:type="dxa"/>
            <w:vMerge/>
            <w:vAlign w:val="center"/>
          </w:tcPr>
          <w:p w14:paraId="63B94995"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5648B9DC"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3F0F19DE" w14:textId="77777777" w:rsidR="0053691F" w:rsidRDefault="0053691F" w:rsidP="0053691F">
            <w:pPr>
              <w:jc w:val="center"/>
              <w:rPr>
                <w:rFonts w:ascii="Palatino Linotype" w:eastAsia="Times New Roman" w:hAnsi="Palatino Linotype" w:cs="Times New Roman"/>
                <w:lang w:val="en-US" w:eastAsia="cs-CZ"/>
              </w:rPr>
            </w:pPr>
          </w:p>
        </w:tc>
      </w:tr>
      <w:tr w:rsidR="0053691F" w14:paraId="697B1D1F" w14:textId="011A0F69" w:rsidTr="0053691F">
        <w:trPr>
          <w:trHeight w:val="340"/>
        </w:trPr>
        <w:tc>
          <w:tcPr>
            <w:tcW w:w="1479" w:type="dxa"/>
            <w:vMerge w:val="restart"/>
            <w:vAlign w:val="center"/>
          </w:tcPr>
          <w:p w14:paraId="4A469212" w14:textId="47AA8E5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Go omissions</w:t>
            </w:r>
          </w:p>
        </w:tc>
        <w:tc>
          <w:tcPr>
            <w:tcW w:w="1147" w:type="dxa"/>
            <w:vAlign w:val="center"/>
          </w:tcPr>
          <w:p w14:paraId="749ADB16" w14:textId="5193103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29E74F15" w14:textId="03B2921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29D1904D" w14:textId="35FB751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0.14</w:t>
            </w:r>
          </w:p>
        </w:tc>
        <w:tc>
          <w:tcPr>
            <w:tcW w:w="1050" w:type="dxa"/>
            <w:vAlign w:val="center"/>
          </w:tcPr>
          <w:p w14:paraId="5D70AE10" w14:textId="14FF8F9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0.19</w:t>
            </w:r>
          </w:p>
        </w:tc>
        <w:tc>
          <w:tcPr>
            <w:tcW w:w="1222" w:type="dxa"/>
            <w:vMerge w:val="restart"/>
            <w:vAlign w:val="center"/>
          </w:tcPr>
          <w:p w14:paraId="46D29725" w14:textId="4385D9A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1.13 (62)</w:t>
            </w:r>
          </w:p>
        </w:tc>
        <w:tc>
          <w:tcPr>
            <w:tcW w:w="940" w:type="dxa"/>
            <w:vMerge w:val="restart"/>
            <w:vAlign w:val="center"/>
          </w:tcPr>
          <w:p w14:paraId="17FD3F89" w14:textId="558577C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.263</w:t>
            </w:r>
          </w:p>
        </w:tc>
        <w:tc>
          <w:tcPr>
            <w:tcW w:w="709" w:type="dxa"/>
            <w:vMerge w:val="restart"/>
            <w:vAlign w:val="center"/>
          </w:tcPr>
          <w:p w14:paraId="5FCDDF52" w14:textId="71E39FD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0.29</w:t>
            </w:r>
          </w:p>
        </w:tc>
      </w:tr>
      <w:tr w:rsidR="0053691F" w14:paraId="085ADDEE" w14:textId="77777777" w:rsidTr="0053691F">
        <w:trPr>
          <w:trHeight w:val="340"/>
        </w:trPr>
        <w:tc>
          <w:tcPr>
            <w:tcW w:w="1479" w:type="dxa"/>
            <w:vMerge/>
            <w:vAlign w:val="center"/>
          </w:tcPr>
          <w:p w14:paraId="0233376B"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1DD289D9" w14:textId="11E2E45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53DC587B" w14:textId="73D3C25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473B5308" w14:textId="3E27FCC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0.11</w:t>
            </w:r>
          </w:p>
        </w:tc>
        <w:tc>
          <w:tcPr>
            <w:tcW w:w="1050" w:type="dxa"/>
            <w:vAlign w:val="center"/>
          </w:tcPr>
          <w:p w14:paraId="01E1C417" w14:textId="43ECF91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0.06</w:t>
            </w:r>
          </w:p>
        </w:tc>
        <w:tc>
          <w:tcPr>
            <w:tcW w:w="1222" w:type="dxa"/>
            <w:vMerge/>
            <w:vAlign w:val="center"/>
          </w:tcPr>
          <w:p w14:paraId="4D2C4D05"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37939F2A"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354DE51A" w14:textId="77777777" w:rsidR="0053691F" w:rsidRDefault="0053691F" w:rsidP="0053691F">
            <w:pPr>
              <w:jc w:val="center"/>
              <w:rPr>
                <w:rFonts w:ascii="Palatino Linotype" w:eastAsia="Times New Roman" w:hAnsi="Palatino Linotype" w:cs="Times New Roman"/>
                <w:lang w:val="en-US" w:eastAsia="cs-CZ"/>
              </w:rPr>
            </w:pPr>
          </w:p>
        </w:tc>
      </w:tr>
      <w:tr w:rsidR="0053691F" w14:paraId="4FF3F7BA" w14:textId="77FD451F" w:rsidTr="0053691F">
        <w:trPr>
          <w:trHeight w:val="340"/>
        </w:trPr>
        <w:tc>
          <w:tcPr>
            <w:tcW w:w="1479" w:type="dxa"/>
            <w:vMerge w:val="restart"/>
            <w:vAlign w:val="center"/>
          </w:tcPr>
          <w:p w14:paraId="33190A80" w14:textId="3C34C22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Go RT</w:t>
            </w:r>
          </w:p>
        </w:tc>
        <w:tc>
          <w:tcPr>
            <w:tcW w:w="1147" w:type="dxa"/>
            <w:vAlign w:val="center"/>
          </w:tcPr>
          <w:p w14:paraId="4616DA05" w14:textId="485E412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7D70F2E4" w14:textId="30FF1D6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24</w:t>
            </w:r>
          </w:p>
        </w:tc>
        <w:tc>
          <w:tcPr>
            <w:tcW w:w="1072" w:type="dxa"/>
            <w:vAlign w:val="center"/>
          </w:tcPr>
          <w:p w14:paraId="712301B2" w14:textId="71FB50D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349.72</w:t>
            </w:r>
          </w:p>
        </w:tc>
        <w:tc>
          <w:tcPr>
            <w:tcW w:w="1050" w:type="dxa"/>
            <w:vAlign w:val="center"/>
          </w:tcPr>
          <w:p w14:paraId="32F6BA99" w14:textId="12908E6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39.20</w:t>
            </w:r>
          </w:p>
        </w:tc>
        <w:tc>
          <w:tcPr>
            <w:tcW w:w="1222" w:type="dxa"/>
            <w:vMerge w:val="restart"/>
            <w:vAlign w:val="center"/>
          </w:tcPr>
          <w:p w14:paraId="3E614DBC" w14:textId="2A030AFC"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1.44 (61)</w:t>
            </w:r>
          </w:p>
        </w:tc>
        <w:tc>
          <w:tcPr>
            <w:tcW w:w="940" w:type="dxa"/>
            <w:vMerge w:val="restart"/>
            <w:vAlign w:val="center"/>
          </w:tcPr>
          <w:p w14:paraId="35EFEA15" w14:textId="4F9ECE7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.156</w:t>
            </w:r>
          </w:p>
        </w:tc>
        <w:tc>
          <w:tcPr>
            <w:tcW w:w="709" w:type="dxa"/>
            <w:vMerge w:val="restart"/>
            <w:vAlign w:val="center"/>
          </w:tcPr>
          <w:p w14:paraId="4A51B6FD" w14:textId="7DE58BE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0.37</w:t>
            </w:r>
          </w:p>
        </w:tc>
      </w:tr>
      <w:tr w:rsidR="0053691F" w14:paraId="20466FD3" w14:textId="77777777" w:rsidTr="0053691F">
        <w:trPr>
          <w:trHeight w:val="340"/>
        </w:trPr>
        <w:tc>
          <w:tcPr>
            <w:tcW w:w="1479" w:type="dxa"/>
            <w:vMerge/>
            <w:vAlign w:val="center"/>
          </w:tcPr>
          <w:p w14:paraId="37B0DDE6"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00C0FCEE" w14:textId="62F58E4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587D3526" w14:textId="75B6CC1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566CE9CA" w14:textId="19286F8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338.43</w:t>
            </w:r>
          </w:p>
        </w:tc>
        <w:tc>
          <w:tcPr>
            <w:tcW w:w="1050" w:type="dxa"/>
            <w:vAlign w:val="center"/>
          </w:tcPr>
          <w:p w14:paraId="173D984C" w14:textId="1EDBD57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23.29</w:t>
            </w:r>
          </w:p>
        </w:tc>
        <w:tc>
          <w:tcPr>
            <w:tcW w:w="1222" w:type="dxa"/>
            <w:vMerge/>
            <w:vAlign w:val="center"/>
          </w:tcPr>
          <w:p w14:paraId="310869FC"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2AD6C23D"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0BE661E6" w14:textId="77777777" w:rsidR="0053691F" w:rsidRDefault="0053691F" w:rsidP="0053691F">
            <w:pPr>
              <w:jc w:val="center"/>
              <w:rPr>
                <w:rFonts w:ascii="Palatino Linotype" w:eastAsia="Times New Roman" w:hAnsi="Palatino Linotype" w:cs="Times New Roman"/>
                <w:lang w:val="en-US" w:eastAsia="cs-CZ"/>
              </w:rPr>
            </w:pPr>
          </w:p>
        </w:tc>
      </w:tr>
      <w:tr w:rsidR="0053691F" w14:paraId="0B728440" w14:textId="3BE5E426" w:rsidTr="0053691F">
        <w:trPr>
          <w:trHeight w:val="340"/>
        </w:trPr>
        <w:tc>
          <w:tcPr>
            <w:tcW w:w="1479" w:type="dxa"/>
            <w:vMerge w:val="restart"/>
            <w:vAlign w:val="center"/>
          </w:tcPr>
          <w:p w14:paraId="5D737B14" w14:textId="701BAC16" w:rsidR="0053691F" w:rsidRDefault="0053691F" w:rsidP="0053691F">
            <w:pPr>
              <w:jc w:val="center"/>
              <w:rPr>
                <w:rFonts w:ascii="Palatino Linotype" w:eastAsia="Times New Roman" w:hAnsi="Palatino Linotype" w:cs="Times New Roman"/>
                <w:lang w:val="en-US" w:eastAsia="cs-CZ"/>
              </w:rPr>
            </w:pPr>
            <w:r>
              <w:rPr>
                <w:rFonts w:ascii="Palatino Linotype" w:hAnsi="Palatino Linotype"/>
                <w:lang w:val="en-US"/>
              </w:rPr>
              <w:t>NoGo commissions</w:t>
            </w:r>
          </w:p>
        </w:tc>
        <w:tc>
          <w:tcPr>
            <w:tcW w:w="1147" w:type="dxa"/>
            <w:vAlign w:val="center"/>
          </w:tcPr>
          <w:p w14:paraId="411C5719" w14:textId="01609E0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10242883" w14:textId="06B3F72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5632E5D5" w14:textId="422E2DD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0.30</w:t>
            </w:r>
          </w:p>
        </w:tc>
        <w:tc>
          <w:tcPr>
            <w:tcW w:w="1050" w:type="dxa"/>
            <w:vAlign w:val="center"/>
          </w:tcPr>
          <w:p w14:paraId="60736BB2" w14:textId="3B42D31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0.22</w:t>
            </w:r>
          </w:p>
        </w:tc>
        <w:tc>
          <w:tcPr>
            <w:tcW w:w="1222" w:type="dxa"/>
            <w:vMerge w:val="restart"/>
            <w:vAlign w:val="center"/>
          </w:tcPr>
          <w:p w14:paraId="46F77743" w14:textId="2C5BA6A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-0.60 (62)</w:t>
            </w:r>
          </w:p>
        </w:tc>
        <w:tc>
          <w:tcPr>
            <w:tcW w:w="940" w:type="dxa"/>
            <w:vMerge w:val="restart"/>
            <w:vAlign w:val="center"/>
          </w:tcPr>
          <w:p w14:paraId="1EA718E3" w14:textId="194AD23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.549</w:t>
            </w:r>
          </w:p>
        </w:tc>
        <w:tc>
          <w:tcPr>
            <w:tcW w:w="709" w:type="dxa"/>
            <w:vMerge w:val="restart"/>
            <w:vAlign w:val="center"/>
          </w:tcPr>
          <w:p w14:paraId="7D6E5048" w14:textId="345EAD6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-0.15</w:t>
            </w:r>
          </w:p>
        </w:tc>
      </w:tr>
      <w:tr w:rsidR="0053691F" w14:paraId="320F97F0" w14:textId="77777777" w:rsidTr="0053691F">
        <w:trPr>
          <w:trHeight w:val="340"/>
        </w:trPr>
        <w:tc>
          <w:tcPr>
            <w:tcW w:w="1479" w:type="dxa"/>
            <w:vMerge/>
            <w:vAlign w:val="center"/>
          </w:tcPr>
          <w:p w14:paraId="5BCB7A72" w14:textId="77777777" w:rsidR="0053691F" w:rsidRDefault="0053691F" w:rsidP="0053691F">
            <w:pPr>
              <w:jc w:val="center"/>
              <w:rPr>
                <w:rFonts w:ascii="Palatino Linotype" w:hAnsi="Palatino Linotype"/>
                <w:lang w:val="en-US"/>
              </w:rPr>
            </w:pPr>
          </w:p>
        </w:tc>
        <w:tc>
          <w:tcPr>
            <w:tcW w:w="1147" w:type="dxa"/>
            <w:vAlign w:val="center"/>
          </w:tcPr>
          <w:p w14:paraId="5D74AD29" w14:textId="729B30A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07BA8385" w14:textId="7746429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19543533" w14:textId="73DA31F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0.33</w:t>
            </w:r>
          </w:p>
        </w:tc>
        <w:tc>
          <w:tcPr>
            <w:tcW w:w="1050" w:type="dxa"/>
            <w:vAlign w:val="center"/>
          </w:tcPr>
          <w:p w14:paraId="28254E11" w14:textId="2A5B63F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0.15</w:t>
            </w:r>
          </w:p>
        </w:tc>
        <w:tc>
          <w:tcPr>
            <w:tcW w:w="1222" w:type="dxa"/>
            <w:vMerge/>
            <w:vAlign w:val="center"/>
          </w:tcPr>
          <w:p w14:paraId="3A30B62C"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79C98136"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426EDC8B" w14:textId="77777777" w:rsidR="0053691F" w:rsidRDefault="0053691F" w:rsidP="0053691F">
            <w:pPr>
              <w:jc w:val="center"/>
              <w:rPr>
                <w:rFonts w:ascii="Palatino Linotype" w:eastAsia="Times New Roman" w:hAnsi="Palatino Linotype" w:cs="Times New Roman"/>
                <w:lang w:val="en-US" w:eastAsia="cs-CZ"/>
              </w:rPr>
            </w:pPr>
          </w:p>
        </w:tc>
      </w:tr>
      <w:tr w:rsidR="0053691F" w14:paraId="21F6C957" w14:textId="0C0AC921" w:rsidTr="0053691F">
        <w:trPr>
          <w:trHeight w:val="340"/>
        </w:trPr>
        <w:tc>
          <w:tcPr>
            <w:tcW w:w="1479" w:type="dxa"/>
            <w:vMerge w:val="restart"/>
            <w:vAlign w:val="center"/>
          </w:tcPr>
          <w:p w14:paraId="43483F2D" w14:textId="14FC47A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SSRT</w:t>
            </w:r>
          </w:p>
        </w:tc>
        <w:tc>
          <w:tcPr>
            <w:tcW w:w="1147" w:type="dxa"/>
            <w:vAlign w:val="center"/>
          </w:tcPr>
          <w:p w14:paraId="5A8B13CB" w14:textId="46A68D2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50EED3CA" w14:textId="6023DAB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753FD009" w14:textId="2DA0232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281.90</w:t>
            </w:r>
          </w:p>
        </w:tc>
        <w:tc>
          <w:tcPr>
            <w:tcW w:w="1050" w:type="dxa"/>
            <w:vAlign w:val="center"/>
          </w:tcPr>
          <w:p w14:paraId="16AFA674" w14:textId="6B8F6B7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93.43</w:t>
            </w:r>
          </w:p>
        </w:tc>
        <w:tc>
          <w:tcPr>
            <w:tcW w:w="1222" w:type="dxa"/>
            <w:vMerge w:val="restart"/>
            <w:vAlign w:val="center"/>
          </w:tcPr>
          <w:p w14:paraId="6B9166C3" w14:textId="44CDA0FC"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-0.06 (62)</w:t>
            </w:r>
          </w:p>
        </w:tc>
        <w:tc>
          <w:tcPr>
            <w:tcW w:w="940" w:type="dxa"/>
            <w:vMerge w:val="restart"/>
            <w:vAlign w:val="center"/>
          </w:tcPr>
          <w:p w14:paraId="442030A3" w14:textId="08C8525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.955</w:t>
            </w:r>
          </w:p>
        </w:tc>
        <w:tc>
          <w:tcPr>
            <w:tcW w:w="709" w:type="dxa"/>
            <w:vMerge w:val="restart"/>
            <w:vAlign w:val="center"/>
          </w:tcPr>
          <w:p w14:paraId="14D2AAEB" w14:textId="7086632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-0.01</w:t>
            </w:r>
          </w:p>
        </w:tc>
      </w:tr>
      <w:tr w:rsidR="0053691F" w14:paraId="0B7DA79D" w14:textId="77777777" w:rsidTr="0053691F">
        <w:trPr>
          <w:trHeight w:val="340"/>
        </w:trPr>
        <w:tc>
          <w:tcPr>
            <w:tcW w:w="1479" w:type="dxa"/>
            <w:vMerge/>
            <w:vAlign w:val="center"/>
          </w:tcPr>
          <w:p w14:paraId="7144EA98"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5B4BDA62" w14:textId="7E80DFC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24AF7DA2" w14:textId="2483471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7B7364D3" w14:textId="399EC71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283.16</w:t>
            </w:r>
          </w:p>
        </w:tc>
        <w:tc>
          <w:tcPr>
            <w:tcW w:w="1050" w:type="dxa"/>
            <w:vAlign w:val="center"/>
          </w:tcPr>
          <w:p w14:paraId="7BE8C572" w14:textId="266231F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80.63</w:t>
            </w:r>
          </w:p>
        </w:tc>
        <w:tc>
          <w:tcPr>
            <w:tcW w:w="1222" w:type="dxa"/>
            <w:vMerge/>
            <w:vAlign w:val="center"/>
          </w:tcPr>
          <w:p w14:paraId="2BEBACE9"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0B554249"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60DCA39D" w14:textId="77777777" w:rsidR="0053691F" w:rsidRDefault="0053691F" w:rsidP="0053691F">
            <w:pPr>
              <w:jc w:val="center"/>
              <w:rPr>
                <w:rFonts w:ascii="Palatino Linotype" w:eastAsia="Times New Roman" w:hAnsi="Palatino Linotype" w:cs="Times New Roman"/>
                <w:lang w:val="en-US" w:eastAsia="cs-CZ"/>
              </w:rPr>
            </w:pPr>
          </w:p>
        </w:tc>
      </w:tr>
      <w:tr w:rsidR="0053691F" w14:paraId="03E1BED6" w14:textId="70F3A820" w:rsidTr="0053691F">
        <w:trPr>
          <w:trHeight w:val="340"/>
        </w:trPr>
        <w:tc>
          <w:tcPr>
            <w:tcW w:w="1479" w:type="dxa"/>
            <w:vMerge w:val="restart"/>
            <w:vAlign w:val="center"/>
          </w:tcPr>
          <w:p w14:paraId="1396C635" w14:textId="1D175445" w:rsidR="0053691F" w:rsidRDefault="0053691F" w:rsidP="0053691F">
            <w:pP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AUC low</w:t>
            </w:r>
          </w:p>
        </w:tc>
        <w:tc>
          <w:tcPr>
            <w:tcW w:w="1147" w:type="dxa"/>
            <w:vAlign w:val="center"/>
          </w:tcPr>
          <w:p w14:paraId="5EBB324F" w14:textId="31170A9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76167A2F" w14:textId="0805B9F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575A6584" w14:textId="70D15AE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0.27</w:t>
            </w:r>
          </w:p>
        </w:tc>
        <w:tc>
          <w:tcPr>
            <w:tcW w:w="1050" w:type="dxa"/>
            <w:vAlign w:val="center"/>
          </w:tcPr>
          <w:p w14:paraId="2873A92A" w14:textId="2D5633D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0.22</w:t>
            </w:r>
          </w:p>
        </w:tc>
        <w:tc>
          <w:tcPr>
            <w:tcW w:w="1222" w:type="dxa"/>
            <w:vMerge w:val="restart"/>
            <w:vAlign w:val="center"/>
          </w:tcPr>
          <w:p w14:paraId="782D7A35" w14:textId="33B2D86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-1.09 (62)</w:t>
            </w:r>
          </w:p>
        </w:tc>
        <w:tc>
          <w:tcPr>
            <w:tcW w:w="940" w:type="dxa"/>
            <w:vMerge w:val="restart"/>
            <w:vAlign w:val="center"/>
          </w:tcPr>
          <w:p w14:paraId="03B64E2D" w14:textId="2F74606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.281</w:t>
            </w:r>
          </w:p>
        </w:tc>
        <w:tc>
          <w:tcPr>
            <w:tcW w:w="709" w:type="dxa"/>
            <w:vMerge w:val="restart"/>
            <w:vAlign w:val="center"/>
          </w:tcPr>
          <w:p w14:paraId="4E85BAA7" w14:textId="582B0E7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-0.28</w:t>
            </w:r>
          </w:p>
        </w:tc>
      </w:tr>
      <w:tr w:rsidR="0053691F" w14:paraId="1338024D" w14:textId="77777777" w:rsidTr="0053691F">
        <w:trPr>
          <w:trHeight w:val="340"/>
        </w:trPr>
        <w:tc>
          <w:tcPr>
            <w:tcW w:w="1479" w:type="dxa"/>
            <w:vMerge/>
            <w:vAlign w:val="center"/>
          </w:tcPr>
          <w:p w14:paraId="788DEC59" w14:textId="77777777" w:rsidR="0053691F" w:rsidRDefault="0053691F" w:rsidP="0053691F">
            <w:pPr>
              <w:rPr>
                <w:rFonts w:ascii="Palatino Linotype" w:eastAsia="Times New Roman" w:hAnsi="Palatino Linotype" w:cs="Times New Roman"/>
                <w:lang w:val="en-US" w:eastAsia="cs-CZ"/>
              </w:rPr>
            </w:pPr>
          </w:p>
        </w:tc>
        <w:tc>
          <w:tcPr>
            <w:tcW w:w="1147" w:type="dxa"/>
            <w:vAlign w:val="center"/>
          </w:tcPr>
          <w:p w14:paraId="00E6E8C2" w14:textId="5BFD855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04FA3DAA" w14:textId="4E85DFC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0F1C5A35" w14:textId="7A7F3A1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0.34</w:t>
            </w:r>
          </w:p>
        </w:tc>
        <w:tc>
          <w:tcPr>
            <w:tcW w:w="1050" w:type="dxa"/>
            <w:vAlign w:val="center"/>
          </w:tcPr>
          <w:p w14:paraId="77B0FBAE" w14:textId="7997FC5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0.15</w:t>
            </w:r>
          </w:p>
        </w:tc>
        <w:tc>
          <w:tcPr>
            <w:tcW w:w="1222" w:type="dxa"/>
            <w:vMerge/>
            <w:vAlign w:val="center"/>
          </w:tcPr>
          <w:p w14:paraId="5BB42B09"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29E3D69B"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24ACC616" w14:textId="77777777" w:rsidR="0053691F" w:rsidRDefault="0053691F" w:rsidP="0053691F">
            <w:pPr>
              <w:jc w:val="center"/>
              <w:rPr>
                <w:rFonts w:ascii="Palatino Linotype" w:eastAsia="Times New Roman" w:hAnsi="Palatino Linotype" w:cs="Times New Roman"/>
                <w:lang w:val="en-US" w:eastAsia="cs-CZ"/>
              </w:rPr>
            </w:pPr>
          </w:p>
        </w:tc>
      </w:tr>
      <w:tr w:rsidR="0053691F" w14:paraId="5D469FF1" w14:textId="7B566936" w:rsidTr="0053691F">
        <w:trPr>
          <w:trHeight w:val="340"/>
        </w:trPr>
        <w:tc>
          <w:tcPr>
            <w:tcW w:w="1479" w:type="dxa"/>
            <w:vMerge w:val="restart"/>
            <w:vAlign w:val="center"/>
          </w:tcPr>
          <w:p w14:paraId="0662CAD9" w14:textId="172DE13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AUC high</w:t>
            </w:r>
          </w:p>
        </w:tc>
        <w:tc>
          <w:tcPr>
            <w:tcW w:w="1147" w:type="dxa"/>
            <w:vAlign w:val="center"/>
          </w:tcPr>
          <w:p w14:paraId="70223E7D" w14:textId="27F12F9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3555070D" w14:textId="357BF99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19FC3C4A" w14:textId="1109892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0.49</w:t>
            </w:r>
          </w:p>
        </w:tc>
        <w:tc>
          <w:tcPr>
            <w:tcW w:w="1050" w:type="dxa"/>
            <w:vAlign w:val="center"/>
          </w:tcPr>
          <w:p w14:paraId="338962AE" w14:textId="0205ACD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0.27</w:t>
            </w:r>
          </w:p>
        </w:tc>
        <w:tc>
          <w:tcPr>
            <w:tcW w:w="1222" w:type="dxa"/>
            <w:vMerge w:val="restart"/>
            <w:vAlign w:val="center"/>
          </w:tcPr>
          <w:p w14:paraId="389B8A93" w14:textId="67157A5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-0.85 (62)</w:t>
            </w:r>
          </w:p>
        </w:tc>
        <w:tc>
          <w:tcPr>
            <w:tcW w:w="940" w:type="dxa"/>
            <w:vMerge w:val="restart"/>
            <w:vAlign w:val="center"/>
          </w:tcPr>
          <w:p w14:paraId="421FE951" w14:textId="4838F17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.401</w:t>
            </w:r>
          </w:p>
        </w:tc>
        <w:tc>
          <w:tcPr>
            <w:tcW w:w="709" w:type="dxa"/>
            <w:vMerge w:val="restart"/>
            <w:vAlign w:val="center"/>
          </w:tcPr>
          <w:p w14:paraId="3D0F46EF" w14:textId="12BC7B4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-0.22</w:t>
            </w:r>
          </w:p>
        </w:tc>
      </w:tr>
      <w:tr w:rsidR="0053691F" w14:paraId="14F10EBB" w14:textId="77777777" w:rsidTr="0053691F">
        <w:trPr>
          <w:trHeight w:val="340"/>
        </w:trPr>
        <w:tc>
          <w:tcPr>
            <w:tcW w:w="1479" w:type="dxa"/>
            <w:vMerge/>
            <w:vAlign w:val="center"/>
          </w:tcPr>
          <w:p w14:paraId="356F34E8"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3D3EB694" w14:textId="6ABAF37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6FF46A81" w14:textId="6CC42EA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0EA6BDBE" w14:textId="33B5EF1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0.56</w:t>
            </w:r>
          </w:p>
        </w:tc>
        <w:tc>
          <w:tcPr>
            <w:tcW w:w="1050" w:type="dxa"/>
            <w:vAlign w:val="center"/>
          </w:tcPr>
          <w:p w14:paraId="064D7922" w14:textId="341CEA4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0.30</w:t>
            </w:r>
          </w:p>
        </w:tc>
        <w:tc>
          <w:tcPr>
            <w:tcW w:w="1222" w:type="dxa"/>
            <w:vMerge/>
            <w:vAlign w:val="center"/>
          </w:tcPr>
          <w:p w14:paraId="652CC073"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00DFF757"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2B2065E0" w14:textId="77777777" w:rsidR="0053691F" w:rsidRDefault="0053691F" w:rsidP="0053691F">
            <w:pPr>
              <w:jc w:val="center"/>
              <w:rPr>
                <w:rFonts w:ascii="Palatino Linotype" w:eastAsia="Times New Roman" w:hAnsi="Palatino Linotype" w:cs="Times New Roman"/>
                <w:lang w:val="en-US" w:eastAsia="cs-CZ"/>
              </w:rPr>
            </w:pPr>
          </w:p>
        </w:tc>
      </w:tr>
      <w:tr w:rsidR="0053691F" w14:paraId="492A371B" w14:textId="0E2124A8" w:rsidTr="0053691F">
        <w:trPr>
          <w:trHeight w:val="340"/>
        </w:trPr>
        <w:tc>
          <w:tcPr>
            <w:tcW w:w="1479" w:type="dxa"/>
            <w:vMerge w:val="restart"/>
            <w:vAlign w:val="center"/>
          </w:tcPr>
          <w:p w14:paraId="7972C062" w14:textId="589B2C9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IGT net score 1</w:t>
            </w:r>
            <w:r w:rsidRPr="00EA75A0">
              <w:rPr>
                <w:rFonts w:ascii="Palatino Linotype" w:eastAsia="Times New Roman" w:hAnsi="Palatino Linotype" w:cs="Times New Roman"/>
                <w:vertAlign w:val="superscript"/>
                <w:lang w:val="en-US" w:eastAsia="cs-CZ"/>
              </w:rPr>
              <w:t>st</w:t>
            </w:r>
            <w:r>
              <w:rPr>
                <w:rFonts w:ascii="Palatino Linotype" w:eastAsia="Times New Roman" w:hAnsi="Palatino Linotype" w:cs="Times New Roman"/>
                <w:lang w:val="en-US" w:eastAsia="cs-CZ"/>
              </w:rPr>
              <w:t xml:space="preserve"> half</w:t>
            </w:r>
          </w:p>
        </w:tc>
        <w:tc>
          <w:tcPr>
            <w:tcW w:w="1147" w:type="dxa"/>
            <w:vAlign w:val="center"/>
          </w:tcPr>
          <w:p w14:paraId="53D09C05" w14:textId="211C017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7897D29E" w14:textId="29EF13A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7377EDA2" w14:textId="4804685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5.92</w:t>
            </w:r>
          </w:p>
        </w:tc>
        <w:tc>
          <w:tcPr>
            <w:tcW w:w="1050" w:type="dxa"/>
            <w:vAlign w:val="center"/>
          </w:tcPr>
          <w:p w14:paraId="2F53CF84" w14:textId="7D37765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33.90</w:t>
            </w:r>
          </w:p>
        </w:tc>
        <w:tc>
          <w:tcPr>
            <w:tcW w:w="1222" w:type="dxa"/>
            <w:vMerge w:val="restart"/>
            <w:vAlign w:val="center"/>
          </w:tcPr>
          <w:p w14:paraId="3D4CD7A4" w14:textId="45334F4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-0.42 (62)</w:t>
            </w:r>
          </w:p>
        </w:tc>
        <w:tc>
          <w:tcPr>
            <w:tcW w:w="940" w:type="dxa"/>
            <w:vMerge w:val="restart"/>
            <w:vAlign w:val="center"/>
          </w:tcPr>
          <w:p w14:paraId="47F97C81" w14:textId="6F44A4B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.674</w:t>
            </w:r>
          </w:p>
        </w:tc>
        <w:tc>
          <w:tcPr>
            <w:tcW w:w="709" w:type="dxa"/>
            <w:vMerge w:val="restart"/>
            <w:vAlign w:val="center"/>
          </w:tcPr>
          <w:p w14:paraId="2887EEBD" w14:textId="259038E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-0.11</w:t>
            </w:r>
          </w:p>
        </w:tc>
      </w:tr>
      <w:tr w:rsidR="0053691F" w14:paraId="58632061" w14:textId="77777777" w:rsidTr="0053691F">
        <w:trPr>
          <w:trHeight w:val="340"/>
        </w:trPr>
        <w:tc>
          <w:tcPr>
            <w:tcW w:w="1479" w:type="dxa"/>
            <w:vMerge/>
            <w:vAlign w:val="center"/>
          </w:tcPr>
          <w:p w14:paraId="0CD3F761"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286FDEF7" w14:textId="4A71F4A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5D68D3A4" w14:textId="04FE3CD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198C3371" w14:textId="3008695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9.64</w:t>
            </w:r>
          </w:p>
        </w:tc>
        <w:tc>
          <w:tcPr>
            <w:tcW w:w="1050" w:type="dxa"/>
            <w:vAlign w:val="center"/>
          </w:tcPr>
          <w:p w14:paraId="3AC600B5" w14:textId="084EBDC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34.67</w:t>
            </w:r>
          </w:p>
        </w:tc>
        <w:tc>
          <w:tcPr>
            <w:tcW w:w="1222" w:type="dxa"/>
            <w:vMerge/>
            <w:vAlign w:val="center"/>
          </w:tcPr>
          <w:p w14:paraId="5915E9A2"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38B0C970"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712CA281" w14:textId="77777777" w:rsidR="0053691F" w:rsidRDefault="0053691F" w:rsidP="0053691F">
            <w:pPr>
              <w:jc w:val="center"/>
              <w:rPr>
                <w:rFonts w:ascii="Palatino Linotype" w:eastAsia="Times New Roman" w:hAnsi="Palatino Linotype" w:cs="Times New Roman"/>
                <w:lang w:val="en-US" w:eastAsia="cs-CZ"/>
              </w:rPr>
            </w:pPr>
          </w:p>
        </w:tc>
      </w:tr>
      <w:tr w:rsidR="0053691F" w14:paraId="0434F53C" w14:textId="01DE9ADC" w:rsidTr="0053691F">
        <w:trPr>
          <w:trHeight w:val="340"/>
        </w:trPr>
        <w:tc>
          <w:tcPr>
            <w:tcW w:w="1479" w:type="dxa"/>
            <w:vMerge w:val="restart"/>
            <w:vAlign w:val="center"/>
          </w:tcPr>
          <w:p w14:paraId="7390E344" w14:textId="748C8F7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IGT net score 2</w:t>
            </w:r>
            <w:r w:rsidRPr="00EA75A0">
              <w:rPr>
                <w:rFonts w:ascii="Palatino Linotype" w:eastAsia="Times New Roman" w:hAnsi="Palatino Linotype" w:cs="Times New Roman"/>
                <w:vertAlign w:val="superscript"/>
                <w:lang w:val="en-US" w:eastAsia="cs-CZ"/>
              </w:rPr>
              <w:t>nd</w:t>
            </w:r>
            <w:r>
              <w:rPr>
                <w:rFonts w:ascii="Palatino Linotype" w:eastAsia="Times New Roman" w:hAnsi="Palatino Linotype" w:cs="Times New Roman"/>
                <w:lang w:val="en-US" w:eastAsia="cs-CZ"/>
              </w:rPr>
              <w:t xml:space="preserve"> half</w:t>
            </w:r>
          </w:p>
        </w:tc>
        <w:tc>
          <w:tcPr>
            <w:tcW w:w="1147" w:type="dxa"/>
            <w:vAlign w:val="center"/>
          </w:tcPr>
          <w:p w14:paraId="59DADFF4" w14:textId="10C34EC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6D6C307F" w14:textId="66C976A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6A8D5D10" w14:textId="52617FD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16.08</w:t>
            </w:r>
          </w:p>
        </w:tc>
        <w:tc>
          <w:tcPr>
            <w:tcW w:w="1050" w:type="dxa"/>
            <w:vAlign w:val="center"/>
          </w:tcPr>
          <w:p w14:paraId="2BC725D0" w14:textId="6A49BC4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43.15</w:t>
            </w:r>
          </w:p>
        </w:tc>
        <w:tc>
          <w:tcPr>
            <w:tcW w:w="1222" w:type="dxa"/>
            <w:vMerge w:val="restart"/>
            <w:vAlign w:val="center"/>
          </w:tcPr>
          <w:p w14:paraId="12025C08" w14:textId="0CCDBC2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-0.69 (62)</w:t>
            </w:r>
          </w:p>
        </w:tc>
        <w:tc>
          <w:tcPr>
            <w:tcW w:w="940" w:type="dxa"/>
            <w:vMerge w:val="restart"/>
            <w:vAlign w:val="center"/>
          </w:tcPr>
          <w:p w14:paraId="7F914C9C" w14:textId="5CF7CE7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.494</w:t>
            </w:r>
          </w:p>
        </w:tc>
        <w:tc>
          <w:tcPr>
            <w:tcW w:w="709" w:type="dxa"/>
            <w:vMerge w:val="restart"/>
            <w:vAlign w:val="center"/>
          </w:tcPr>
          <w:p w14:paraId="53E7A75D" w14:textId="0B71137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-0.18</w:t>
            </w:r>
          </w:p>
        </w:tc>
      </w:tr>
      <w:tr w:rsidR="0053691F" w14:paraId="3799BDD1" w14:textId="77777777" w:rsidTr="0053691F">
        <w:trPr>
          <w:trHeight w:val="340"/>
        </w:trPr>
        <w:tc>
          <w:tcPr>
            <w:tcW w:w="1479" w:type="dxa"/>
            <w:vMerge/>
            <w:vAlign w:val="center"/>
          </w:tcPr>
          <w:p w14:paraId="1ACC5409"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58F6FA93" w14:textId="2FB23DA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706FA798" w14:textId="3CCE7F5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067D5919" w14:textId="02D128C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24.87</w:t>
            </w:r>
          </w:p>
        </w:tc>
        <w:tc>
          <w:tcPr>
            <w:tcW w:w="1050" w:type="dxa"/>
            <w:vAlign w:val="center"/>
          </w:tcPr>
          <w:p w14:paraId="2BC09AF0" w14:textId="30392A1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53.61</w:t>
            </w:r>
          </w:p>
        </w:tc>
        <w:tc>
          <w:tcPr>
            <w:tcW w:w="1222" w:type="dxa"/>
            <w:vMerge/>
            <w:vAlign w:val="center"/>
          </w:tcPr>
          <w:p w14:paraId="1704AF79"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29CC76F8"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23FCE2E9" w14:textId="77777777" w:rsidR="0053691F" w:rsidRDefault="0053691F" w:rsidP="0053691F">
            <w:pPr>
              <w:jc w:val="center"/>
              <w:rPr>
                <w:rFonts w:ascii="Palatino Linotype" w:eastAsia="Times New Roman" w:hAnsi="Palatino Linotype" w:cs="Times New Roman"/>
                <w:lang w:val="en-US" w:eastAsia="cs-CZ"/>
              </w:rPr>
            </w:pPr>
          </w:p>
        </w:tc>
      </w:tr>
      <w:tr w:rsidR="0053691F" w14:paraId="6F27E5C7" w14:textId="790C7286" w:rsidTr="0053691F">
        <w:trPr>
          <w:trHeight w:val="340"/>
        </w:trPr>
        <w:tc>
          <w:tcPr>
            <w:tcW w:w="1479" w:type="dxa"/>
            <w:vMerge w:val="restart"/>
            <w:vAlign w:val="center"/>
          </w:tcPr>
          <w:p w14:paraId="7EB0BC4F" w14:textId="0A3FE8E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Digit span</w:t>
            </w:r>
          </w:p>
        </w:tc>
        <w:tc>
          <w:tcPr>
            <w:tcW w:w="1147" w:type="dxa"/>
            <w:vAlign w:val="center"/>
          </w:tcPr>
          <w:p w14:paraId="5D110742" w14:textId="63F2FD5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1F62BE39" w14:textId="15F7C36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2A285A37" w14:textId="623E919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16.32</w:t>
            </w:r>
          </w:p>
        </w:tc>
        <w:tc>
          <w:tcPr>
            <w:tcW w:w="1050" w:type="dxa"/>
            <w:vAlign w:val="center"/>
          </w:tcPr>
          <w:p w14:paraId="4C8B6223" w14:textId="3BD962D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4.11</w:t>
            </w:r>
          </w:p>
        </w:tc>
        <w:tc>
          <w:tcPr>
            <w:tcW w:w="1222" w:type="dxa"/>
            <w:vMerge w:val="restart"/>
            <w:vAlign w:val="center"/>
          </w:tcPr>
          <w:p w14:paraId="1A40BF4B" w14:textId="5B7BA97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-1.14 (62)</w:t>
            </w:r>
          </w:p>
        </w:tc>
        <w:tc>
          <w:tcPr>
            <w:tcW w:w="940" w:type="dxa"/>
            <w:vMerge w:val="restart"/>
            <w:vAlign w:val="center"/>
          </w:tcPr>
          <w:p w14:paraId="40F76D46" w14:textId="0227823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.258</w:t>
            </w:r>
          </w:p>
        </w:tc>
        <w:tc>
          <w:tcPr>
            <w:tcW w:w="709" w:type="dxa"/>
            <w:vMerge w:val="restart"/>
            <w:vAlign w:val="center"/>
          </w:tcPr>
          <w:p w14:paraId="6D928A6B" w14:textId="5E7093E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-0.29</w:t>
            </w:r>
          </w:p>
        </w:tc>
      </w:tr>
      <w:tr w:rsidR="0053691F" w14:paraId="5A128054" w14:textId="77777777" w:rsidTr="0053691F">
        <w:trPr>
          <w:trHeight w:val="340"/>
        </w:trPr>
        <w:tc>
          <w:tcPr>
            <w:tcW w:w="1479" w:type="dxa"/>
            <w:vMerge/>
            <w:vAlign w:val="center"/>
          </w:tcPr>
          <w:p w14:paraId="5350D793"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3489D79C" w14:textId="7BEDC0C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24527ACB" w14:textId="715066E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0B3D8EF9" w14:textId="4F1740B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17.59</w:t>
            </w:r>
          </w:p>
        </w:tc>
        <w:tc>
          <w:tcPr>
            <w:tcW w:w="1050" w:type="dxa"/>
            <w:vAlign w:val="center"/>
          </w:tcPr>
          <w:p w14:paraId="5F6AF75F" w14:textId="75D37E1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4.49</w:t>
            </w:r>
          </w:p>
        </w:tc>
        <w:tc>
          <w:tcPr>
            <w:tcW w:w="1222" w:type="dxa"/>
            <w:vMerge/>
            <w:vAlign w:val="center"/>
          </w:tcPr>
          <w:p w14:paraId="25A0D09A"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256F7CAA"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410E3BA2" w14:textId="77777777" w:rsidR="0053691F" w:rsidRDefault="0053691F" w:rsidP="0053691F">
            <w:pPr>
              <w:jc w:val="center"/>
              <w:rPr>
                <w:rFonts w:ascii="Palatino Linotype" w:eastAsia="Times New Roman" w:hAnsi="Palatino Linotype" w:cs="Times New Roman"/>
                <w:lang w:val="en-US" w:eastAsia="cs-CZ"/>
              </w:rPr>
            </w:pPr>
          </w:p>
        </w:tc>
      </w:tr>
      <w:tr w:rsidR="0053691F" w14:paraId="7F1622A4" w14:textId="29D521EF" w:rsidTr="0053691F">
        <w:trPr>
          <w:trHeight w:val="340"/>
        </w:trPr>
        <w:tc>
          <w:tcPr>
            <w:tcW w:w="1479" w:type="dxa"/>
            <w:vMerge w:val="restart"/>
            <w:vAlign w:val="center"/>
          </w:tcPr>
          <w:p w14:paraId="68A6EAD7" w14:textId="29ADC30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d2 (accuracy)</w:t>
            </w:r>
          </w:p>
        </w:tc>
        <w:tc>
          <w:tcPr>
            <w:tcW w:w="1147" w:type="dxa"/>
            <w:vAlign w:val="center"/>
          </w:tcPr>
          <w:p w14:paraId="43BAE132" w14:textId="6B08974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587BCF82" w14:textId="27214E0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24</w:t>
            </w:r>
          </w:p>
        </w:tc>
        <w:tc>
          <w:tcPr>
            <w:tcW w:w="1072" w:type="dxa"/>
            <w:vAlign w:val="center"/>
          </w:tcPr>
          <w:p w14:paraId="20D48465" w14:textId="5270967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10.92</w:t>
            </w:r>
          </w:p>
        </w:tc>
        <w:tc>
          <w:tcPr>
            <w:tcW w:w="1050" w:type="dxa"/>
            <w:vAlign w:val="center"/>
          </w:tcPr>
          <w:p w14:paraId="51524627" w14:textId="75F585F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10.34</w:t>
            </w:r>
          </w:p>
        </w:tc>
        <w:tc>
          <w:tcPr>
            <w:tcW w:w="1222" w:type="dxa"/>
            <w:vMerge w:val="restart"/>
            <w:vAlign w:val="center"/>
          </w:tcPr>
          <w:p w14:paraId="5C5A1A63" w14:textId="5067994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1.80 (32.35)</w:t>
            </w:r>
          </w:p>
        </w:tc>
        <w:tc>
          <w:tcPr>
            <w:tcW w:w="940" w:type="dxa"/>
            <w:vMerge w:val="restart"/>
            <w:vAlign w:val="center"/>
          </w:tcPr>
          <w:p w14:paraId="07B3281A" w14:textId="66EADD6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.081</w:t>
            </w:r>
          </w:p>
        </w:tc>
        <w:tc>
          <w:tcPr>
            <w:tcW w:w="709" w:type="dxa"/>
            <w:vMerge w:val="restart"/>
            <w:vAlign w:val="center"/>
          </w:tcPr>
          <w:p w14:paraId="7083996D" w14:textId="018CD6F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0.53</w:t>
            </w:r>
          </w:p>
        </w:tc>
      </w:tr>
      <w:tr w:rsidR="0053691F" w14:paraId="3C897BEA" w14:textId="77777777" w:rsidTr="0053691F">
        <w:trPr>
          <w:trHeight w:val="340"/>
        </w:trPr>
        <w:tc>
          <w:tcPr>
            <w:tcW w:w="1479" w:type="dxa"/>
            <w:vMerge/>
            <w:vAlign w:val="center"/>
          </w:tcPr>
          <w:p w14:paraId="070CFC8E"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79CBEAE1" w14:textId="439FB59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1F96D0CA" w14:textId="735E0AA9"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77D487A8" w14:textId="7467179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6.75</w:t>
            </w:r>
          </w:p>
        </w:tc>
        <w:tc>
          <w:tcPr>
            <w:tcW w:w="1050" w:type="dxa"/>
            <w:vAlign w:val="center"/>
          </w:tcPr>
          <w:p w14:paraId="184178AE" w14:textId="3C69B463"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5.90</w:t>
            </w:r>
          </w:p>
        </w:tc>
        <w:tc>
          <w:tcPr>
            <w:tcW w:w="1222" w:type="dxa"/>
            <w:vMerge/>
            <w:vAlign w:val="center"/>
          </w:tcPr>
          <w:p w14:paraId="22BF5B51"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221EFD6E"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19ED37FC" w14:textId="77777777" w:rsidR="0053691F" w:rsidRDefault="0053691F" w:rsidP="0053691F">
            <w:pPr>
              <w:jc w:val="center"/>
              <w:rPr>
                <w:rFonts w:ascii="Palatino Linotype" w:eastAsia="Times New Roman" w:hAnsi="Palatino Linotype" w:cs="Times New Roman"/>
                <w:lang w:val="en-US" w:eastAsia="cs-CZ"/>
              </w:rPr>
            </w:pPr>
          </w:p>
        </w:tc>
      </w:tr>
      <w:tr w:rsidR="0053691F" w14:paraId="63B897E7" w14:textId="03A1CF01" w:rsidTr="0053691F">
        <w:trPr>
          <w:trHeight w:val="340"/>
        </w:trPr>
        <w:tc>
          <w:tcPr>
            <w:tcW w:w="1479" w:type="dxa"/>
            <w:vMerge w:val="restart"/>
            <w:vAlign w:val="center"/>
          </w:tcPr>
          <w:p w14:paraId="0F3BEC6F" w14:textId="2C34CBB2" w:rsidR="0053691F" w:rsidRDefault="0053691F" w:rsidP="0053691F">
            <w:pPr>
              <w:jc w:val="center"/>
              <w:rPr>
                <w:rFonts w:ascii="Palatino Linotype" w:eastAsia="Times New Roman" w:hAnsi="Palatino Linotype" w:cs="Times New Roman"/>
                <w:lang w:val="en-US" w:eastAsia="cs-CZ"/>
              </w:rPr>
            </w:pPr>
            <w:r>
              <w:rPr>
                <w:rFonts w:ascii="Palatino Linotype" w:hAnsi="Palatino Linotype"/>
                <w:lang w:val="en-US"/>
              </w:rPr>
              <w:t>d2 (speed)</w:t>
            </w:r>
          </w:p>
        </w:tc>
        <w:tc>
          <w:tcPr>
            <w:tcW w:w="1147" w:type="dxa"/>
            <w:vAlign w:val="center"/>
          </w:tcPr>
          <w:p w14:paraId="2C1C30B7" w14:textId="61062A0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20C1CFD0" w14:textId="1EFEB2C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24</w:t>
            </w:r>
          </w:p>
        </w:tc>
        <w:tc>
          <w:tcPr>
            <w:tcW w:w="1072" w:type="dxa"/>
            <w:vAlign w:val="center"/>
          </w:tcPr>
          <w:p w14:paraId="464E3568" w14:textId="0C70570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171.63</w:t>
            </w:r>
          </w:p>
        </w:tc>
        <w:tc>
          <w:tcPr>
            <w:tcW w:w="1050" w:type="dxa"/>
            <w:vAlign w:val="center"/>
          </w:tcPr>
          <w:p w14:paraId="02DDE6C0" w14:textId="73A18B7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33.00</w:t>
            </w:r>
          </w:p>
        </w:tc>
        <w:tc>
          <w:tcPr>
            <w:tcW w:w="1222" w:type="dxa"/>
            <w:vMerge w:val="restart"/>
            <w:vAlign w:val="center"/>
          </w:tcPr>
          <w:p w14:paraId="15EA128B" w14:textId="608F4C9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-0.13 (61)</w:t>
            </w:r>
          </w:p>
        </w:tc>
        <w:tc>
          <w:tcPr>
            <w:tcW w:w="940" w:type="dxa"/>
            <w:vMerge w:val="restart"/>
            <w:vAlign w:val="center"/>
          </w:tcPr>
          <w:p w14:paraId="4FD61A37" w14:textId="3CF5E6A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.900</w:t>
            </w:r>
          </w:p>
        </w:tc>
        <w:tc>
          <w:tcPr>
            <w:tcW w:w="709" w:type="dxa"/>
            <w:vMerge w:val="restart"/>
            <w:vAlign w:val="center"/>
          </w:tcPr>
          <w:p w14:paraId="718F1C1F" w14:textId="3825175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-0.03</w:t>
            </w:r>
          </w:p>
        </w:tc>
      </w:tr>
      <w:tr w:rsidR="0053691F" w14:paraId="4850292D" w14:textId="77777777" w:rsidTr="0053691F">
        <w:trPr>
          <w:trHeight w:val="340"/>
        </w:trPr>
        <w:tc>
          <w:tcPr>
            <w:tcW w:w="1479" w:type="dxa"/>
            <w:vMerge/>
            <w:vAlign w:val="center"/>
          </w:tcPr>
          <w:p w14:paraId="0F7423E2" w14:textId="77777777" w:rsidR="0053691F" w:rsidRDefault="0053691F" w:rsidP="0053691F">
            <w:pPr>
              <w:jc w:val="center"/>
              <w:rPr>
                <w:rFonts w:ascii="Palatino Linotype" w:hAnsi="Palatino Linotype"/>
                <w:lang w:val="en-US"/>
              </w:rPr>
            </w:pPr>
          </w:p>
        </w:tc>
        <w:tc>
          <w:tcPr>
            <w:tcW w:w="1147" w:type="dxa"/>
            <w:vAlign w:val="center"/>
          </w:tcPr>
          <w:p w14:paraId="31B67BBC" w14:textId="44868BD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53E6E93E" w14:textId="5085A27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39</w:t>
            </w:r>
          </w:p>
        </w:tc>
        <w:tc>
          <w:tcPr>
            <w:tcW w:w="1072" w:type="dxa"/>
            <w:vAlign w:val="center"/>
          </w:tcPr>
          <w:p w14:paraId="5C8EE216" w14:textId="2ABA501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172.87</w:t>
            </w:r>
          </w:p>
        </w:tc>
        <w:tc>
          <w:tcPr>
            <w:tcW w:w="1050" w:type="dxa"/>
            <w:vAlign w:val="center"/>
          </w:tcPr>
          <w:p w14:paraId="75915FE1" w14:textId="5F0EF1E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40.64</w:t>
            </w:r>
          </w:p>
        </w:tc>
        <w:tc>
          <w:tcPr>
            <w:tcW w:w="1222" w:type="dxa"/>
            <w:vMerge/>
            <w:vAlign w:val="center"/>
          </w:tcPr>
          <w:p w14:paraId="65181F37"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69727125"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666B956B" w14:textId="77777777" w:rsidR="0053691F" w:rsidRDefault="0053691F" w:rsidP="0053691F">
            <w:pPr>
              <w:jc w:val="center"/>
              <w:rPr>
                <w:rFonts w:ascii="Palatino Linotype" w:eastAsia="Times New Roman" w:hAnsi="Palatino Linotype" w:cs="Times New Roman"/>
                <w:lang w:val="en-US" w:eastAsia="cs-CZ"/>
              </w:rPr>
            </w:pPr>
          </w:p>
        </w:tc>
      </w:tr>
      <w:tr w:rsidR="0053691F" w14:paraId="252406EB" w14:textId="1A36CB66" w:rsidTr="0053691F">
        <w:trPr>
          <w:trHeight w:val="340"/>
        </w:trPr>
        <w:tc>
          <w:tcPr>
            <w:tcW w:w="1479" w:type="dxa"/>
            <w:vMerge w:val="restart"/>
            <w:vAlign w:val="center"/>
          </w:tcPr>
          <w:p w14:paraId="3BA876A6" w14:textId="0327053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ToL move score</w:t>
            </w:r>
          </w:p>
        </w:tc>
        <w:tc>
          <w:tcPr>
            <w:tcW w:w="1147" w:type="dxa"/>
            <w:vAlign w:val="center"/>
          </w:tcPr>
          <w:p w14:paraId="12D0D579" w14:textId="78B0376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4AE894D3" w14:textId="40B5A03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57A249FA" w14:textId="3C9AE24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32.24</w:t>
            </w:r>
          </w:p>
        </w:tc>
        <w:tc>
          <w:tcPr>
            <w:tcW w:w="1050" w:type="dxa"/>
            <w:vAlign w:val="center"/>
          </w:tcPr>
          <w:p w14:paraId="7ACE7A83" w14:textId="15592BF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22.93</w:t>
            </w:r>
          </w:p>
        </w:tc>
        <w:tc>
          <w:tcPr>
            <w:tcW w:w="1222" w:type="dxa"/>
            <w:vMerge w:val="restart"/>
            <w:vAlign w:val="center"/>
          </w:tcPr>
          <w:p w14:paraId="5E3EE6D4" w14:textId="3BD14771"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1.93 (61)</w:t>
            </w:r>
          </w:p>
        </w:tc>
        <w:tc>
          <w:tcPr>
            <w:tcW w:w="940" w:type="dxa"/>
            <w:vMerge w:val="restart"/>
            <w:vAlign w:val="center"/>
          </w:tcPr>
          <w:p w14:paraId="2E2A3AF1" w14:textId="5B8A955C"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.058</w:t>
            </w:r>
          </w:p>
        </w:tc>
        <w:tc>
          <w:tcPr>
            <w:tcW w:w="709" w:type="dxa"/>
            <w:vMerge w:val="restart"/>
            <w:vAlign w:val="center"/>
          </w:tcPr>
          <w:p w14:paraId="4325BE87" w14:textId="7A025BC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0.50</w:t>
            </w:r>
          </w:p>
        </w:tc>
      </w:tr>
      <w:tr w:rsidR="0053691F" w14:paraId="53AB4A8D" w14:textId="77777777" w:rsidTr="0053691F">
        <w:trPr>
          <w:trHeight w:val="340"/>
        </w:trPr>
        <w:tc>
          <w:tcPr>
            <w:tcW w:w="1479" w:type="dxa"/>
            <w:vMerge/>
            <w:vAlign w:val="center"/>
          </w:tcPr>
          <w:p w14:paraId="7CDE2C66"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66EAB4B6" w14:textId="1B4B863A"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75182964" w14:textId="709A34D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38</w:t>
            </w:r>
          </w:p>
        </w:tc>
        <w:tc>
          <w:tcPr>
            <w:tcW w:w="1072" w:type="dxa"/>
            <w:vAlign w:val="center"/>
          </w:tcPr>
          <w:p w14:paraId="3AF8C8A8" w14:textId="6D3D193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22.45</w:t>
            </w:r>
          </w:p>
        </w:tc>
        <w:tc>
          <w:tcPr>
            <w:tcW w:w="1050" w:type="dxa"/>
            <w:vAlign w:val="center"/>
          </w:tcPr>
          <w:p w14:paraId="725A49E6" w14:textId="1624485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17.26</w:t>
            </w:r>
          </w:p>
        </w:tc>
        <w:tc>
          <w:tcPr>
            <w:tcW w:w="1222" w:type="dxa"/>
            <w:vMerge/>
            <w:vAlign w:val="center"/>
          </w:tcPr>
          <w:p w14:paraId="0CD1FEB5"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6F252CDC"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0036DC3A" w14:textId="77777777" w:rsidR="0053691F" w:rsidRDefault="0053691F" w:rsidP="0053691F">
            <w:pPr>
              <w:jc w:val="center"/>
              <w:rPr>
                <w:rFonts w:ascii="Palatino Linotype" w:eastAsia="Times New Roman" w:hAnsi="Palatino Linotype" w:cs="Times New Roman"/>
                <w:lang w:val="en-US" w:eastAsia="cs-CZ"/>
              </w:rPr>
            </w:pPr>
          </w:p>
        </w:tc>
      </w:tr>
      <w:tr w:rsidR="0053691F" w14:paraId="0DC58426" w14:textId="1A0B1CE8" w:rsidTr="0053691F">
        <w:trPr>
          <w:trHeight w:val="340"/>
        </w:trPr>
        <w:tc>
          <w:tcPr>
            <w:tcW w:w="1479" w:type="dxa"/>
            <w:vMerge w:val="restart"/>
            <w:vAlign w:val="center"/>
          </w:tcPr>
          <w:p w14:paraId="722A3744" w14:textId="6490434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 xml:space="preserve">ToL </w:t>
            </w:r>
            <w:proofErr w:type="spellStart"/>
            <w:r>
              <w:rPr>
                <w:rFonts w:ascii="Palatino Linotype" w:eastAsia="Times New Roman" w:hAnsi="Palatino Linotype" w:cs="Times New Roman"/>
                <w:lang w:val="en-US" w:eastAsia="cs-CZ"/>
              </w:rPr>
              <w:t>init.</w:t>
            </w:r>
            <w:proofErr w:type="spellEnd"/>
            <w:r>
              <w:rPr>
                <w:rFonts w:ascii="Palatino Linotype" w:eastAsia="Times New Roman" w:hAnsi="Palatino Linotype" w:cs="Times New Roman"/>
                <w:lang w:val="en-US" w:eastAsia="cs-CZ"/>
              </w:rPr>
              <w:t xml:space="preserve"> time</w:t>
            </w:r>
          </w:p>
        </w:tc>
        <w:tc>
          <w:tcPr>
            <w:tcW w:w="1147" w:type="dxa"/>
            <w:vAlign w:val="center"/>
          </w:tcPr>
          <w:p w14:paraId="4FF44F61" w14:textId="3B691DF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311DC9BB" w14:textId="55238D6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5ED0D08A" w14:textId="28D30D3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77.61</w:t>
            </w:r>
          </w:p>
        </w:tc>
        <w:tc>
          <w:tcPr>
            <w:tcW w:w="1050" w:type="dxa"/>
            <w:vAlign w:val="center"/>
          </w:tcPr>
          <w:p w14:paraId="564B7229" w14:textId="6BEB18B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57.34</w:t>
            </w:r>
          </w:p>
        </w:tc>
        <w:tc>
          <w:tcPr>
            <w:tcW w:w="1222" w:type="dxa"/>
            <w:vMerge w:val="restart"/>
            <w:vAlign w:val="center"/>
          </w:tcPr>
          <w:p w14:paraId="276776AC" w14:textId="511EF28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-1.12 (60)</w:t>
            </w:r>
          </w:p>
        </w:tc>
        <w:tc>
          <w:tcPr>
            <w:tcW w:w="940" w:type="dxa"/>
            <w:vMerge w:val="restart"/>
            <w:vAlign w:val="center"/>
          </w:tcPr>
          <w:p w14:paraId="47406DEA" w14:textId="6500AE9F"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.269</w:t>
            </w:r>
          </w:p>
        </w:tc>
        <w:tc>
          <w:tcPr>
            <w:tcW w:w="709" w:type="dxa"/>
            <w:vMerge w:val="restart"/>
            <w:vAlign w:val="center"/>
          </w:tcPr>
          <w:p w14:paraId="3760BE48" w14:textId="2BF23A1C"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-0.29</w:t>
            </w:r>
          </w:p>
        </w:tc>
      </w:tr>
      <w:tr w:rsidR="0053691F" w14:paraId="3FCAD5AD" w14:textId="77777777" w:rsidTr="0053691F">
        <w:trPr>
          <w:trHeight w:val="340"/>
        </w:trPr>
        <w:tc>
          <w:tcPr>
            <w:tcW w:w="1479" w:type="dxa"/>
            <w:vMerge/>
            <w:vAlign w:val="center"/>
          </w:tcPr>
          <w:p w14:paraId="53B76F49" w14:textId="77777777" w:rsidR="0053691F" w:rsidRDefault="0053691F" w:rsidP="0053691F">
            <w:pPr>
              <w:jc w:val="center"/>
              <w:rPr>
                <w:rFonts w:ascii="Palatino Linotype" w:eastAsia="Times New Roman" w:hAnsi="Palatino Linotype" w:cs="Times New Roman"/>
                <w:lang w:val="en-US" w:eastAsia="cs-CZ"/>
              </w:rPr>
            </w:pPr>
          </w:p>
        </w:tc>
        <w:tc>
          <w:tcPr>
            <w:tcW w:w="1147" w:type="dxa"/>
            <w:vAlign w:val="center"/>
          </w:tcPr>
          <w:p w14:paraId="1D74B0F0" w14:textId="4AAE42E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vAlign w:val="center"/>
          </w:tcPr>
          <w:p w14:paraId="1B8D8BE9" w14:textId="6A962775"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37</w:t>
            </w:r>
          </w:p>
        </w:tc>
        <w:tc>
          <w:tcPr>
            <w:tcW w:w="1072" w:type="dxa"/>
            <w:vAlign w:val="center"/>
          </w:tcPr>
          <w:p w14:paraId="203D1B66" w14:textId="4A472FA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97.69</w:t>
            </w:r>
          </w:p>
        </w:tc>
        <w:tc>
          <w:tcPr>
            <w:tcW w:w="1050" w:type="dxa"/>
            <w:vAlign w:val="center"/>
          </w:tcPr>
          <w:p w14:paraId="3F3523A7" w14:textId="0FEE422D"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76.53</w:t>
            </w:r>
          </w:p>
        </w:tc>
        <w:tc>
          <w:tcPr>
            <w:tcW w:w="1222" w:type="dxa"/>
            <w:vMerge/>
            <w:vAlign w:val="center"/>
          </w:tcPr>
          <w:p w14:paraId="74A5993A"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vAlign w:val="center"/>
          </w:tcPr>
          <w:p w14:paraId="0FF444ED"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vAlign w:val="center"/>
          </w:tcPr>
          <w:p w14:paraId="2904FF82" w14:textId="77777777" w:rsidR="0053691F" w:rsidRDefault="0053691F" w:rsidP="0053691F">
            <w:pPr>
              <w:jc w:val="center"/>
              <w:rPr>
                <w:rFonts w:ascii="Palatino Linotype" w:eastAsia="Times New Roman" w:hAnsi="Palatino Linotype" w:cs="Times New Roman"/>
                <w:lang w:val="en-US" w:eastAsia="cs-CZ"/>
              </w:rPr>
            </w:pPr>
          </w:p>
        </w:tc>
      </w:tr>
    </w:tbl>
    <w:p w14:paraId="69969333" w14:textId="77777777" w:rsidR="0053691F" w:rsidRDefault="0053691F">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1147"/>
        <w:gridCol w:w="603"/>
        <w:gridCol w:w="1072"/>
        <w:gridCol w:w="1050"/>
        <w:gridCol w:w="1222"/>
        <w:gridCol w:w="940"/>
        <w:gridCol w:w="709"/>
      </w:tblGrid>
      <w:tr w:rsidR="0053691F" w14:paraId="4F33806B" w14:textId="1570AD5F" w:rsidTr="0053691F">
        <w:trPr>
          <w:trHeight w:val="340"/>
        </w:trPr>
        <w:tc>
          <w:tcPr>
            <w:tcW w:w="1479" w:type="dxa"/>
            <w:vMerge w:val="restart"/>
            <w:vAlign w:val="center"/>
          </w:tcPr>
          <w:p w14:paraId="6D6B6CFC" w14:textId="1F35AF6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lastRenderedPageBreak/>
              <w:t>ToL exec. time</w:t>
            </w:r>
          </w:p>
        </w:tc>
        <w:tc>
          <w:tcPr>
            <w:tcW w:w="1147" w:type="dxa"/>
            <w:vAlign w:val="center"/>
          </w:tcPr>
          <w:p w14:paraId="4BFFF908" w14:textId="0E92A716"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no</w:t>
            </w:r>
          </w:p>
        </w:tc>
        <w:tc>
          <w:tcPr>
            <w:tcW w:w="603" w:type="dxa"/>
            <w:vAlign w:val="center"/>
          </w:tcPr>
          <w:p w14:paraId="3A1B748A" w14:textId="20B49D3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25</w:t>
            </w:r>
          </w:p>
        </w:tc>
        <w:tc>
          <w:tcPr>
            <w:tcW w:w="1072" w:type="dxa"/>
            <w:vAlign w:val="center"/>
          </w:tcPr>
          <w:p w14:paraId="4A529724" w14:textId="2238806B"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224.08</w:t>
            </w:r>
          </w:p>
        </w:tc>
        <w:tc>
          <w:tcPr>
            <w:tcW w:w="1050" w:type="dxa"/>
            <w:vAlign w:val="center"/>
          </w:tcPr>
          <w:p w14:paraId="30C77F35" w14:textId="01FECE60"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99.16</w:t>
            </w:r>
          </w:p>
        </w:tc>
        <w:tc>
          <w:tcPr>
            <w:tcW w:w="1222" w:type="dxa"/>
            <w:vMerge w:val="restart"/>
            <w:vAlign w:val="center"/>
          </w:tcPr>
          <w:p w14:paraId="7067D66A" w14:textId="5177E78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1.59 (60)</w:t>
            </w:r>
          </w:p>
        </w:tc>
        <w:tc>
          <w:tcPr>
            <w:tcW w:w="940" w:type="dxa"/>
            <w:vMerge w:val="restart"/>
            <w:vAlign w:val="center"/>
          </w:tcPr>
          <w:p w14:paraId="5A998942" w14:textId="7E44979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.116</w:t>
            </w:r>
          </w:p>
        </w:tc>
        <w:tc>
          <w:tcPr>
            <w:tcW w:w="709" w:type="dxa"/>
            <w:vMerge w:val="restart"/>
            <w:vAlign w:val="center"/>
          </w:tcPr>
          <w:p w14:paraId="1EB7C77E" w14:textId="0851EDAE"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0.41</w:t>
            </w:r>
          </w:p>
        </w:tc>
      </w:tr>
      <w:tr w:rsidR="0053691F" w14:paraId="31F1ECFA" w14:textId="77777777" w:rsidTr="0053691F">
        <w:trPr>
          <w:trHeight w:val="340"/>
        </w:trPr>
        <w:tc>
          <w:tcPr>
            <w:tcW w:w="1479" w:type="dxa"/>
            <w:vMerge/>
            <w:tcBorders>
              <w:bottom w:val="single" w:sz="12" w:space="0" w:color="auto"/>
            </w:tcBorders>
            <w:vAlign w:val="center"/>
          </w:tcPr>
          <w:p w14:paraId="71C51CFD" w14:textId="77777777" w:rsidR="0053691F" w:rsidRDefault="0053691F" w:rsidP="0053691F">
            <w:pPr>
              <w:jc w:val="center"/>
              <w:rPr>
                <w:rFonts w:ascii="Palatino Linotype" w:eastAsia="Times New Roman" w:hAnsi="Palatino Linotype" w:cs="Times New Roman"/>
                <w:lang w:val="en-US" w:eastAsia="cs-CZ"/>
              </w:rPr>
            </w:pPr>
          </w:p>
        </w:tc>
        <w:tc>
          <w:tcPr>
            <w:tcW w:w="1147" w:type="dxa"/>
            <w:tcBorders>
              <w:bottom w:val="single" w:sz="12" w:space="0" w:color="auto"/>
            </w:tcBorders>
            <w:vAlign w:val="center"/>
          </w:tcPr>
          <w:p w14:paraId="74C9B7D0" w14:textId="646B9727"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yes</w:t>
            </w:r>
          </w:p>
        </w:tc>
        <w:tc>
          <w:tcPr>
            <w:tcW w:w="603" w:type="dxa"/>
            <w:tcBorders>
              <w:bottom w:val="single" w:sz="12" w:space="0" w:color="auto"/>
            </w:tcBorders>
            <w:vAlign w:val="center"/>
          </w:tcPr>
          <w:p w14:paraId="5893C897" w14:textId="36018EA2"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37</w:t>
            </w:r>
          </w:p>
        </w:tc>
        <w:tc>
          <w:tcPr>
            <w:tcW w:w="1072" w:type="dxa"/>
            <w:tcBorders>
              <w:bottom w:val="single" w:sz="12" w:space="0" w:color="auto"/>
            </w:tcBorders>
            <w:vAlign w:val="center"/>
          </w:tcPr>
          <w:p w14:paraId="38833F8B" w14:textId="51794334"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186.78</w:t>
            </w:r>
          </w:p>
        </w:tc>
        <w:tc>
          <w:tcPr>
            <w:tcW w:w="1050" w:type="dxa"/>
            <w:tcBorders>
              <w:bottom w:val="single" w:sz="12" w:space="0" w:color="auto"/>
            </w:tcBorders>
            <w:vAlign w:val="center"/>
          </w:tcPr>
          <w:p w14:paraId="31F6027C" w14:textId="2A7BA3F8" w:rsidR="0053691F" w:rsidRDefault="0053691F" w:rsidP="0053691F">
            <w:pPr>
              <w:jc w:val="center"/>
              <w:rPr>
                <w:rFonts w:ascii="Palatino Linotype" w:eastAsia="Times New Roman" w:hAnsi="Palatino Linotype" w:cs="Times New Roman"/>
                <w:lang w:val="en-US" w:eastAsia="cs-CZ"/>
              </w:rPr>
            </w:pPr>
            <w:r>
              <w:rPr>
                <w:rFonts w:ascii="Palatino Linotype" w:eastAsia="Times New Roman" w:hAnsi="Palatino Linotype" w:cs="Times New Roman"/>
                <w:lang w:val="en-US" w:eastAsia="cs-CZ"/>
              </w:rPr>
              <w:t>84.11</w:t>
            </w:r>
          </w:p>
        </w:tc>
        <w:tc>
          <w:tcPr>
            <w:tcW w:w="1222" w:type="dxa"/>
            <w:vMerge/>
            <w:tcBorders>
              <w:bottom w:val="single" w:sz="12" w:space="0" w:color="auto"/>
            </w:tcBorders>
            <w:vAlign w:val="center"/>
          </w:tcPr>
          <w:p w14:paraId="45CA0A2A" w14:textId="77777777" w:rsidR="0053691F" w:rsidRDefault="0053691F" w:rsidP="0053691F">
            <w:pPr>
              <w:jc w:val="center"/>
              <w:rPr>
                <w:rFonts w:ascii="Palatino Linotype" w:eastAsia="Times New Roman" w:hAnsi="Palatino Linotype" w:cs="Times New Roman"/>
                <w:lang w:val="en-US" w:eastAsia="cs-CZ"/>
              </w:rPr>
            </w:pPr>
          </w:p>
        </w:tc>
        <w:tc>
          <w:tcPr>
            <w:tcW w:w="940" w:type="dxa"/>
            <w:vMerge/>
            <w:tcBorders>
              <w:bottom w:val="single" w:sz="12" w:space="0" w:color="auto"/>
            </w:tcBorders>
            <w:vAlign w:val="center"/>
          </w:tcPr>
          <w:p w14:paraId="72F4D328" w14:textId="77777777" w:rsidR="0053691F" w:rsidRDefault="0053691F" w:rsidP="0053691F">
            <w:pPr>
              <w:jc w:val="center"/>
              <w:rPr>
                <w:rFonts w:ascii="Palatino Linotype" w:eastAsia="Times New Roman" w:hAnsi="Palatino Linotype" w:cs="Times New Roman"/>
                <w:lang w:val="en-US" w:eastAsia="cs-CZ"/>
              </w:rPr>
            </w:pPr>
          </w:p>
        </w:tc>
        <w:tc>
          <w:tcPr>
            <w:tcW w:w="709" w:type="dxa"/>
            <w:vMerge/>
            <w:tcBorders>
              <w:bottom w:val="single" w:sz="12" w:space="0" w:color="auto"/>
            </w:tcBorders>
            <w:vAlign w:val="center"/>
          </w:tcPr>
          <w:p w14:paraId="3555A6EF" w14:textId="77777777" w:rsidR="0053691F" w:rsidRDefault="0053691F" w:rsidP="0053691F">
            <w:pPr>
              <w:jc w:val="center"/>
              <w:rPr>
                <w:rFonts w:ascii="Palatino Linotype" w:eastAsia="Times New Roman" w:hAnsi="Palatino Linotype" w:cs="Times New Roman"/>
                <w:lang w:val="en-US" w:eastAsia="cs-CZ"/>
              </w:rPr>
            </w:pPr>
          </w:p>
        </w:tc>
      </w:tr>
    </w:tbl>
    <w:p w14:paraId="63B3FA9D" w14:textId="2B379E0B" w:rsidR="00EA75A0" w:rsidRDefault="00445515" w:rsidP="00D02756">
      <w:pPr>
        <w:spacing w:after="200"/>
        <w:rPr>
          <w:rFonts w:ascii="Palatino Linotype" w:eastAsia="Times New Roman" w:hAnsi="Palatino Linotype" w:cs="Times New Roman"/>
          <w:lang w:val="en-US" w:eastAsia="cs-CZ"/>
        </w:rPr>
      </w:pPr>
      <w:r w:rsidRPr="00F11A3C">
        <w:rPr>
          <w:rFonts w:ascii="Palatino Linotype" w:hAnsi="Palatino Linotype"/>
          <w:i/>
          <w:lang w:val="en-US"/>
        </w:rPr>
        <w:t xml:space="preserve">Note. </w:t>
      </w:r>
      <w:r w:rsidRPr="00F11A3C">
        <w:rPr>
          <w:rFonts w:ascii="Palatino Linotype" w:hAnsi="Palatino Linotype"/>
          <w:lang w:val="en-US"/>
        </w:rPr>
        <w:t>BPD = borderline personality disorder, ADHD = attention-deficit/hyperactivity disorder, HC = healthy controls, PRE = lack of premeditation, PER = lack of perseverance, SS = sensation seeking, NU = negative urgency, PU = positive urgency, Go om</w:t>
      </w:r>
      <w:r>
        <w:rPr>
          <w:rFonts w:ascii="Palatino Linotype" w:hAnsi="Palatino Linotype"/>
          <w:lang w:val="en-US"/>
        </w:rPr>
        <w:t>issions</w:t>
      </w:r>
      <w:r w:rsidRPr="00F11A3C">
        <w:rPr>
          <w:rFonts w:ascii="Palatino Linotype" w:hAnsi="Palatino Linotype"/>
          <w:lang w:val="en-US"/>
        </w:rPr>
        <w:t xml:space="preserve"> = Go omissions percentage, Go RT = Go reaction time, NoGo com</w:t>
      </w:r>
      <w:r>
        <w:rPr>
          <w:rFonts w:ascii="Palatino Linotype" w:hAnsi="Palatino Linotype"/>
          <w:lang w:val="en-US"/>
        </w:rPr>
        <w:t>missions</w:t>
      </w:r>
      <w:r w:rsidRPr="00F11A3C">
        <w:rPr>
          <w:rFonts w:ascii="Palatino Linotype" w:hAnsi="Palatino Linotype"/>
          <w:lang w:val="en-US"/>
        </w:rPr>
        <w:t xml:space="preserve"> % = NoGo commissions percentage, SSRT = stop signal reaction time, </w:t>
      </w:r>
      <w:r>
        <w:rPr>
          <w:rFonts w:ascii="Palatino Linotype" w:hAnsi="Palatino Linotype"/>
          <w:lang w:val="en-US"/>
        </w:rPr>
        <w:t xml:space="preserve">AUC = area under the curve, IGT = Iowa gambling </w:t>
      </w:r>
      <w:proofErr w:type="spellStart"/>
      <w:r>
        <w:rPr>
          <w:rFonts w:ascii="Palatino Linotype" w:hAnsi="Palatino Linotype"/>
          <w:lang w:val="en-US"/>
        </w:rPr>
        <w:t>taks</w:t>
      </w:r>
      <w:proofErr w:type="spellEnd"/>
      <w:r>
        <w:rPr>
          <w:rFonts w:ascii="Palatino Linotype" w:hAnsi="Palatino Linotype"/>
          <w:lang w:val="en-US"/>
        </w:rPr>
        <w:t xml:space="preserve">, </w:t>
      </w:r>
      <w:r w:rsidRPr="00F11A3C">
        <w:rPr>
          <w:rFonts w:ascii="Palatino Linotype" w:hAnsi="Palatino Linotype"/>
          <w:lang w:val="en-US"/>
        </w:rPr>
        <w:t xml:space="preserve">ToL = Tower of London, </w:t>
      </w:r>
      <w:proofErr w:type="spellStart"/>
      <w:r w:rsidRPr="00F11A3C">
        <w:rPr>
          <w:rFonts w:ascii="Palatino Linotype" w:hAnsi="Palatino Linotype"/>
          <w:lang w:val="en-US"/>
        </w:rPr>
        <w:t>init.</w:t>
      </w:r>
      <w:proofErr w:type="spellEnd"/>
      <w:r w:rsidRPr="00F11A3C">
        <w:rPr>
          <w:rFonts w:ascii="Palatino Linotype" w:hAnsi="Palatino Linotype"/>
          <w:lang w:val="en-US"/>
        </w:rPr>
        <w:t xml:space="preserve"> time = initiation time, exec. time = execution time</w:t>
      </w:r>
    </w:p>
    <w:p w14:paraId="1446DD16" w14:textId="13D330AE" w:rsidR="00AF6A61" w:rsidRDefault="00277B2E">
      <w:pPr>
        <w:rPr>
          <w:rFonts w:ascii="Palatino Linotype" w:eastAsia="Times New Roman" w:hAnsi="Palatino Linotype" w:cs="Times New Roman"/>
          <w:b/>
          <w:lang w:val="en-US" w:eastAsia="cs-CZ"/>
        </w:rPr>
      </w:pPr>
      <w:r>
        <w:rPr>
          <w:rFonts w:ascii="Palatino Linotype" w:eastAsia="Times New Roman" w:hAnsi="Palatino Linotype" w:cs="Times New Roman"/>
          <w:b/>
          <w:lang w:val="en-US" w:eastAsia="cs-CZ"/>
        </w:rPr>
        <w:t xml:space="preserve">3. </w:t>
      </w:r>
      <w:r w:rsidR="00217315" w:rsidRPr="00217315">
        <w:rPr>
          <w:rFonts w:ascii="Palatino Linotype" w:eastAsia="Times New Roman" w:hAnsi="Palatino Linotype" w:cs="Times New Roman"/>
          <w:b/>
          <w:lang w:val="en-US" w:eastAsia="cs-CZ"/>
        </w:rPr>
        <w:t>Details on behavioral tests of impulsivity</w:t>
      </w:r>
    </w:p>
    <w:p w14:paraId="7D9C580D" w14:textId="426CA589" w:rsidR="00217315" w:rsidRDefault="00217315">
      <w:pPr>
        <w:rPr>
          <w:rFonts w:ascii="Palatino Linotype" w:eastAsia="Times New Roman" w:hAnsi="Palatino Linotype" w:cs="Times New Roman"/>
          <w:lang w:val="en-US" w:eastAsia="cs-CZ"/>
        </w:rPr>
      </w:pPr>
      <w:r w:rsidRPr="006D5AA5">
        <w:rPr>
          <w:rFonts w:ascii="Palatino Linotype" w:eastAsia="Times New Roman" w:hAnsi="Palatino Linotype" w:cs="Times New Roman"/>
          <w:lang w:val="en-US" w:eastAsia="cs-CZ"/>
        </w:rPr>
        <w:t>The G</w:t>
      </w:r>
      <w:r>
        <w:rPr>
          <w:rFonts w:ascii="Palatino Linotype" w:eastAsia="Times New Roman" w:hAnsi="Palatino Linotype" w:cs="Times New Roman"/>
          <w:lang w:val="en-US" w:eastAsia="cs-CZ"/>
        </w:rPr>
        <w:t xml:space="preserve">o/NoGo </w:t>
      </w:r>
      <w:r w:rsidR="00234358">
        <w:rPr>
          <w:rFonts w:ascii="Palatino Linotype" w:eastAsia="Times New Roman" w:hAnsi="Palatino Linotype" w:cs="Times New Roman"/>
          <w:lang w:val="en-US" w:eastAsia="cs-CZ"/>
        </w:rPr>
        <w:t>task</w:t>
      </w:r>
      <w:r w:rsidR="00234358" w:rsidRPr="006D5AA5">
        <w:rPr>
          <w:rFonts w:ascii="Palatino Linotype" w:eastAsia="Times New Roman" w:hAnsi="Palatino Linotype" w:cs="Times New Roman"/>
          <w:lang w:val="en-US" w:eastAsia="cs-CZ"/>
        </w:rPr>
        <w:t xml:space="preserve"> </w:t>
      </w:r>
      <w:r w:rsidRPr="006D5AA5">
        <w:rPr>
          <w:rFonts w:ascii="Palatino Linotype" w:eastAsia="Times New Roman" w:hAnsi="Palatino Linotype" w:cs="Times New Roman"/>
          <w:lang w:val="en-US" w:eastAsia="cs-CZ"/>
        </w:rPr>
        <w:t>used white letter</w:t>
      </w:r>
      <w:r>
        <w:rPr>
          <w:rFonts w:ascii="Palatino Linotype" w:eastAsia="Times New Roman" w:hAnsi="Palatino Linotype" w:cs="Times New Roman"/>
          <w:lang w:val="en-US" w:eastAsia="cs-CZ"/>
        </w:rPr>
        <w:t>s</w:t>
      </w:r>
      <w:r w:rsidRPr="006D5AA5">
        <w:rPr>
          <w:rFonts w:ascii="Palatino Linotype" w:eastAsia="Times New Roman" w:hAnsi="Palatino Linotype" w:cs="Times New Roman"/>
          <w:lang w:val="en-US" w:eastAsia="cs-CZ"/>
        </w:rPr>
        <w:t xml:space="preserve"> A and B on</w:t>
      </w:r>
      <w:r>
        <w:rPr>
          <w:rFonts w:ascii="Palatino Linotype" w:eastAsia="Times New Roman" w:hAnsi="Palatino Linotype" w:cs="Times New Roman"/>
          <w:lang w:val="en-US" w:eastAsia="cs-CZ"/>
        </w:rPr>
        <w:t xml:space="preserve"> a</w:t>
      </w:r>
      <w:r w:rsidRPr="006D5AA5">
        <w:rPr>
          <w:rFonts w:ascii="Palatino Linotype" w:eastAsia="Times New Roman" w:hAnsi="Palatino Linotype" w:cs="Times New Roman"/>
          <w:lang w:val="en-US" w:eastAsia="cs-CZ"/>
        </w:rPr>
        <w:t xml:space="preserve"> black background as stimuli. Participants were asked to press the space key on the computer keyboard whenever a Go stimulus (the letter “A”) appeared and suppress that action whenever a NoGo stimulus (the letter “B”)</w:t>
      </w:r>
      <w:r>
        <w:rPr>
          <w:rFonts w:ascii="Palatino Linotype" w:eastAsia="Times New Roman" w:hAnsi="Palatino Linotype" w:cs="Times New Roman"/>
          <w:lang w:val="en-US" w:eastAsia="cs-CZ"/>
        </w:rPr>
        <w:t xml:space="preserve"> </w:t>
      </w:r>
      <w:r w:rsidRPr="006D5AA5">
        <w:rPr>
          <w:rFonts w:ascii="Palatino Linotype" w:eastAsia="Times New Roman" w:hAnsi="Palatino Linotype" w:cs="Times New Roman"/>
          <w:lang w:val="en-US" w:eastAsia="cs-CZ"/>
        </w:rPr>
        <w:t xml:space="preserve">appeared. Go stimuli were highly prevalent (83%) to make action suppression less automatic and thus encourage more NoGo </w:t>
      </w:r>
      <w:r>
        <w:rPr>
          <w:rFonts w:ascii="Palatino Linotype" w:eastAsia="Times New Roman" w:hAnsi="Palatino Linotype" w:cs="Times New Roman"/>
          <w:lang w:val="en-US" w:eastAsia="cs-CZ"/>
        </w:rPr>
        <w:t>c</w:t>
      </w:r>
      <w:r w:rsidRPr="006D5AA5">
        <w:rPr>
          <w:rFonts w:ascii="Palatino Linotype" w:eastAsia="Times New Roman" w:hAnsi="Palatino Linotype" w:cs="Times New Roman"/>
          <w:lang w:val="en-US" w:eastAsia="cs-CZ"/>
        </w:rPr>
        <w:t xml:space="preserve">ommissions </w:t>
      </w:r>
      <w:r w:rsidRPr="006D5AA5">
        <w:rPr>
          <w:rFonts w:ascii="Palatino Linotype" w:eastAsia="Times New Roman" w:hAnsi="Palatino Linotype" w:cs="Times New Roman"/>
          <w:lang w:val="en-US" w:eastAsia="cs-CZ"/>
        </w:rPr>
        <w:fldChar w:fldCharType="begin" w:fldLock="1"/>
      </w:r>
      <w:r w:rsidR="00C111CD">
        <w:rPr>
          <w:rFonts w:ascii="Palatino Linotype" w:eastAsia="Times New Roman" w:hAnsi="Palatino Linotype" w:cs="Times New Roman"/>
          <w:lang w:val="en-US" w:eastAsia="cs-CZ"/>
        </w:rPr>
        <w:instrText>ADDIN CSL_CITATION {"citationItems":[{"id":"ITEM-1","itemData":{"DOI":"10.3758/CABN.3.1.17","ISBN":"1530-7026 (Print)\\n1530-7026 (Linking)","ISSN":"1530-7026","PMID":"12822595","abstract":"Neuroimaging and computational modeling studies have led to the suggestion that response conflict monitoring by the anterior cingulate cortex plays a key role in cognitive control. For example, response conflict is high when a response must be withheld (no-go) in contexts in which there is a prepotent tendency to make an overt (go) response. An event-related brain potential (ERP) component, the N2, is more pronounced on no-go than on go trials and was previously thought to reflect the need to inhibit the go response. However, the N2 may instead reflect the high degree of response conflict on no-go trials. If so, an N2 should also be apparent when subjects make a go response in conditions in which no-go events are more common. To test this hypothesis, we collected high-density ERP data from subjects performing a go/no-go task, in which the relative frequency of go versus no-go stimuli was varied. Consistent with our hypothesis, an N2 was apparent on both go and no-go trials and showed the properties expected of an ERP measure of conflict detection on correct trials: (1) It was enhanced for low-frequency stimuli, irrespective of whether these stimuli were associated with generating or suppressing a response, and (2) it was localized to the anterior cingulate cortex. This suggests that previous conceptions of the no-go N2 as indexing response inhibition may be in need of revision. Instead, the results are consistent with the view that the N2 in go/no-go tasks reflects conflict arising from competition between the execution and the inhibition of a single response.","author":[{"dropping-particle":"","family":"Nieuwenhuis","given":"Sander","non-dropping-particle":"","parse-names":false,"suffix":""},{"dropping-particle":"","family":"Yeung","given":"Nick","non-dropping-particle":"","parse-names":false,"suffix":""},{"dropping-particle":"","family":"Wildenberg","given":"Wery","non-dropping-particle":"van den","parse-names":false,"suffix":""},{"dropping-particle":"","family":"Ridderinkhof","given":"K Richard","non-dropping-particle":"","parse-names":false,"suffix":""}],"container-title":"Cognitive, affective &amp; behavioral neuroscience","id":"ITEM-1","issue":"1","issued":{"date-parts":[["2003"]]},"page":"17-26","title":"Electrophysiological correlates of anterior cingulate function in a go/no-go task: effects of response conflict and trial type frequency.","type":"article-journal","volume":"3"},"uris":["http://www.mendeley.com/documents/?uuid=e67cce93-b516-4ef7-911d-08a0154158ed"]}],"mendeley":{"formattedCitation":"(Nieuwenhuis, Yeung, van den Wildenberg, &amp; Ridderinkhof, 2003)","plainTextFormattedCitation":"(Nieuwenhuis, Yeung, van den Wildenberg, &amp; Ridderinkhof, 2003)","previouslyFormattedCitation":"&lt;sup&gt;1&lt;/sup&gt;"},"properties":{"noteIndex":0},"schema":"https://github.com/citation-style-language/schema/raw/master/csl-citation.json"}</w:instrText>
      </w:r>
      <w:r w:rsidRPr="006D5AA5">
        <w:rPr>
          <w:rFonts w:ascii="Palatino Linotype" w:eastAsia="Times New Roman" w:hAnsi="Palatino Linotype" w:cs="Times New Roman"/>
          <w:lang w:val="en-US" w:eastAsia="cs-CZ"/>
        </w:rPr>
        <w:fldChar w:fldCharType="separate"/>
      </w:r>
      <w:r w:rsidR="00C111CD" w:rsidRPr="00C111CD">
        <w:rPr>
          <w:rFonts w:ascii="Palatino Linotype" w:eastAsia="Times New Roman" w:hAnsi="Palatino Linotype" w:cs="Times New Roman"/>
          <w:noProof/>
          <w:lang w:val="en-US" w:eastAsia="cs-CZ"/>
        </w:rPr>
        <w:t>(Nieuwenhuis</w:t>
      </w:r>
      <w:r w:rsidR="00234358" w:rsidRPr="00E36B5B">
        <w:rPr>
          <w:rFonts w:ascii="Palatino Linotype" w:eastAsia="Times New Roman" w:hAnsi="Palatino Linotype" w:cs="Times New Roman"/>
          <w:i/>
          <w:noProof/>
          <w:lang w:val="en-US" w:eastAsia="cs-CZ"/>
        </w:rPr>
        <w:t xml:space="preserve"> et al</w:t>
      </w:r>
      <w:r w:rsidR="00234358">
        <w:rPr>
          <w:rFonts w:ascii="Palatino Linotype" w:eastAsia="Times New Roman" w:hAnsi="Palatino Linotype" w:cs="Times New Roman"/>
          <w:noProof/>
          <w:lang w:val="en-US" w:eastAsia="cs-CZ"/>
        </w:rPr>
        <w:t>.</w:t>
      </w:r>
      <w:r w:rsidR="00C111CD" w:rsidRPr="00C111CD">
        <w:rPr>
          <w:rFonts w:ascii="Palatino Linotype" w:eastAsia="Times New Roman" w:hAnsi="Palatino Linotype" w:cs="Times New Roman"/>
          <w:noProof/>
          <w:lang w:val="en-US" w:eastAsia="cs-CZ"/>
        </w:rPr>
        <w:t>, 2003)</w:t>
      </w:r>
      <w:r w:rsidRPr="006D5AA5">
        <w:rPr>
          <w:rFonts w:ascii="Palatino Linotype" w:eastAsia="Times New Roman" w:hAnsi="Palatino Linotype" w:cs="Times New Roman"/>
          <w:lang w:val="en-US" w:eastAsia="cs-CZ"/>
        </w:rPr>
        <w:fldChar w:fldCharType="end"/>
      </w:r>
      <w:r w:rsidRPr="006D5AA5">
        <w:rPr>
          <w:rFonts w:ascii="Palatino Linotype" w:eastAsia="Times New Roman" w:hAnsi="Palatino Linotype" w:cs="Times New Roman"/>
          <w:lang w:val="en-US" w:eastAsia="cs-CZ"/>
        </w:rPr>
        <w:t xml:space="preserve">. Stimuli duration was 0.4 seconds, </w:t>
      </w:r>
      <w:r>
        <w:rPr>
          <w:rFonts w:ascii="Palatino Linotype" w:eastAsia="Times New Roman" w:hAnsi="Palatino Linotype" w:cs="Times New Roman"/>
          <w:lang w:val="en-US" w:eastAsia="cs-CZ"/>
        </w:rPr>
        <w:t xml:space="preserve">and </w:t>
      </w:r>
      <w:r w:rsidRPr="006D5AA5">
        <w:rPr>
          <w:rFonts w:ascii="Palatino Linotype" w:eastAsia="Times New Roman" w:hAnsi="Palatino Linotype" w:cs="Times New Roman"/>
          <w:lang w:val="en-US" w:eastAsia="cs-CZ"/>
        </w:rPr>
        <w:t>each stimulus was preceded by a fixation cross with</w:t>
      </w:r>
      <w:r>
        <w:rPr>
          <w:rFonts w:ascii="Palatino Linotype" w:eastAsia="Times New Roman" w:hAnsi="Palatino Linotype" w:cs="Times New Roman"/>
          <w:lang w:val="en-US" w:eastAsia="cs-CZ"/>
        </w:rPr>
        <w:t xml:space="preserve"> a</w:t>
      </w:r>
      <w:r w:rsidRPr="006D5AA5">
        <w:rPr>
          <w:rFonts w:ascii="Palatino Linotype" w:eastAsia="Times New Roman" w:hAnsi="Palatino Linotype" w:cs="Times New Roman"/>
          <w:lang w:val="en-US" w:eastAsia="cs-CZ"/>
        </w:rPr>
        <w:t xml:space="preserve"> variable duration between 1.1 and 2.6 seconds. The task </w:t>
      </w:r>
      <w:r>
        <w:rPr>
          <w:rFonts w:ascii="Palatino Linotype" w:eastAsia="Times New Roman" w:hAnsi="Palatino Linotype" w:cs="Times New Roman"/>
          <w:lang w:val="en-US" w:eastAsia="cs-CZ"/>
        </w:rPr>
        <w:t>was divided into</w:t>
      </w:r>
      <w:r w:rsidRPr="006D5AA5">
        <w:rPr>
          <w:rFonts w:ascii="Palatino Linotype" w:eastAsia="Times New Roman" w:hAnsi="Palatino Linotype" w:cs="Times New Roman"/>
          <w:lang w:val="en-US" w:eastAsia="cs-CZ"/>
        </w:rPr>
        <w:t xml:space="preserve"> four blocks</w:t>
      </w:r>
      <w:r>
        <w:rPr>
          <w:rFonts w:ascii="Palatino Linotype" w:eastAsia="Times New Roman" w:hAnsi="Palatino Linotype" w:cs="Times New Roman"/>
          <w:lang w:val="en-US" w:eastAsia="cs-CZ"/>
        </w:rPr>
        <w:t>, each</w:t>
      </w:r>
      <w:r w:rsidRPr="006D5AA5">
        <w:rPr>
          <w:rFonts w:ascii="Palatino Linotype" w:eastAsia="Times New Roman" w:hAnsi="Palatino Linotype" w:cs="Times New Roman"/>
          <w:lang w:val="en-US" w:eastAsia="cs-CZ"/>
        </w:rPr>
        <w:t xml:space="preserve"> with 48 trials.</w:t>
      </w:r>
    </w:p>
    <w:p w14:paraId="71EADA5D" w14:textId="7457B3E3" w:rsidR="00217315" w:rsidRDefault="00217315">
      <w:pPr>
        <w:rPr>
          <w:rFonts w:ascii="Palatino Linotype" w:eastAsia="Times New Roman" w:hAnsi="Palatino Linotype" w:cs="Times New Roman"/>
          <w:lang w:val="en-US" w:eastAsia="cs-CZ"/>
        </w:rPr>
      </w:pPr>
      <w:r w:rsidRPr="006D5AA5">
        <w:rPr>
          <w:rFonts w:ascii="Palatino Linotype" w:eastAsia="Times New Roman" w:hAnsi="Palatino Linotype" w:cs="Times New Roman"/>
          <w:lang w:val="en-US" w:eastAsia="cs-CZ"/>
        </w:rPr>
        <w:t xml:space="preserve">The </w:t>
      </w:r>
      <w:r w:rsidR="00875D60">
        <w:rPr>
          <w:rFonts w:ascii="Palatino Linotype" w:eastAsia="Times New Roman" w:hAnsi="Palatino Linotype" w:cs="Times New Roman"/>
          <w:lang w:val="en-US" w:eastAsia="cs-CZ"/>
        </w:rPr>
        <w:t>st</w:t>
      </w:r>
      <w:r>
        <w:rPr>
          <w:rFonts w:ascii="Palatino Linotype" w:eastAsia="Times New Roman" w:hAnsi="Palatino Linotype" w:cs="Times New Roman"/>
          <w:lang w:val="en-US" w:eastAsia="cs-CZ"/>
        </w:rPr>
        <w:t xml:space="preserve">op </w:t>
      </w:r>
      <w:r w:rsidR="00875D60">
        <w:rPr>
          <w:rFonts w:ascii="Palatino Linotype" w:eastAsia="Times New Roman" w:hAnsi="Palatino Linotype" w:cs="Times New Roman"/>
          <w:lang w:val="en-US" w:eastAsia="cs-CZ"/>
        </w:rPr>
        <w:t>s</w:t>
      </w:r>
      <w:r>
        <w:rPr>
          <w:rFonts w:ascii="Palatino Linotype" w:eastAsia="Times New Roman" w:hAnsi="Palatino Linotype" w:cs="Times New Roman"/>
          <w:lang w:val="en-US" w:eastAsia="cs-CZ"/>
        </w:rPr>
        <w:t xml:space="preserve">ignal </w:t>
      </w:r>
      <w:r w:rsidR="00234358">
        <w:rPr>
          <w:rFonts w:ascii="Palatino Linotype" w:eastAsia="Times New Roman" w:hAnsi="Palatino Linotype" w:cs="Times New Roman"/>
          <w:lang w:val="en-US" w:eastAsia="cs-CZ"/>
        </w:rPr>
        <w:t>t</w:t>
      </w:r>
      <w:r>
        <w:rPr>
          <w:rFonts w:ascii="Palatino Linotype" w:eastAsia="Times New Roman" w:hAnsi="Palatino Linotype" w:cs="Times New Roman"/>
          <w:lang w:val="en-US" w:eastAsia="cs-CZ"/>
        </w:rPr>
        <w:t xml:space="preserve">ask </w:t>
      </w:r>
      <w:r w:rsidRPr="006D5AA5">
        <w:rPr>
          <w:rFonts w:ascii="Palatino Linotype" w:eastAsia="Times New Roman" w:hAnsi="Palatino Linotype" w:cs="Times New Roman"/>
          <w:lang w:val="en-US" w:eastAsia="cs-CZ"/>
        </w:rPr>
        <w:t>used white left and right arrows on</w:t>
      </w:r>
      <w:r>
        <w:rPr>
          <w:rFonts w:ascii="Palatino Linotype" w:eastAsia="Times New Roman" w:hAnsi="Palatino Linotype" w:cs="Times New Roman"/>
          <w:lang w:val="en-US" w:eastAsia="cs-CZ"/>
        </w:rPr>
        <w:t xml:space="preserve"> a</w:t>
      </w:r>
      <w:r w:rsidRPr="006D5AA5">
        <w:rPr>
          <w:rFonts w:ascii="Palatino Linotype" w:eastAsia="Times New Roman" w:hAnsi="Palatino Linotype" w:cs="Times New Roman"/>
          <w:lang w:val="en-US" w:eastAsia="cs-CZ"/>
        </w:rPr>
        <w:t xml:space="preserve"> black background as </w:t>
      </w:r>
      <w:r w:rsidR="00234358">
        <w:rPr>
          <w:rFonts w:ascii="Palatino Linotype" w:eastAsia="Times New Roman" w:hAnsi="Palatino Linotype" w:cs="Times New Roman"/>
          <w:lang w:val="en-US" w:eastAsia="cs-CZ"/>
        </w:rPr>
        <w:t xml:space="preserve">the </w:t>
      </w:r>
      <w:r w:rsidRPr="006D5AA5">
        <w:rPr>
          <w:rFonts w:ascii="Palatino Linotype" w:eastAsia="Times New Roman" w:hAnsi="Palatino Linotype" w:cs="Times New Roman"/>
          <w:lang w:val="en-US" w:eastAsia="cs-CZ"/>
        </w:rPr>
        <w:t xml:space="preserve">Go stimuli. Participants were asked to press the left or right arrow key when the respective Go stimulus appeared, except when the Go stimulus was followed by a Stop signal: a change in the arrow color from white to red. The time between the Go stimulus and the appearance of the Stop signal - the </w:t>
      </w:r>
      <w:r w:rsidR="00234358">
        <w:rPr>
          <w:rFonts w:ascii="Palatino Linotype" w:eastAsia="Times New Roman" w:hAnsi="Palatino Linotype" w:cs="Times New Roman"/>
          <w:lang w:val="en-US" w:eastAsia="cs-CZ"/>
        </w:rPr>
        <w:t>s</w:t>
      </w:r>
      <w:r w:rsidRPr="006D5AA5">
        <w:rPr>
          <w:rFonts w:ascii="Palatino Linotype" w:eastAsia="Times New Roman" w:hAnsi="Palatino Linotype" w:cs="Times New Roman"/>
          <w:lang w:val="en-US" w:eastAsia="cs-CZ"/>
        </w:rPr>
        <w:t xml:space="preserve">top signal </w:t>
      </w:r>
      <w:r w:rsidR="00234358">
        <w:rPr>
          <w:rFonts w:ascii="Palatino Linotype" w:eastAsia="Times New Roman" w:hAnsi="Palatino Linotype" w:cs="Times New Roman"/>
          <w:lang w:val="en-US" w:eastAsia="cs-CZ"/>
        </w:rPr>
        <w:t>d</w:t>
      </w:r>
      <w:r w:rsidRPr="006D5AA5">
        <w:rPr>
          <w:rFonts w:ascii="Palatino Linotype" w:eastAsia="Times New Roman" w:hAnsi="Palatino Linotype" w:cs="Times New Roman"/>
          <w:lang w:val="en-US" w:eastAsia="cs-CZ"/>
        </w:rPr>
        <w:t>elay (SSD) - was initially set to 200 milliseconds</w:t>
      </w:r>
      <w:r>
        <w:rPr>
          <w:rFonts w:ascii="Palatino Linotype" w:eastAsia="Times New Roman" w:hAnsi="Palatino Linotype" w:cs="Times New Roman"/>
          <w:lang w:val="en-US" w:eastAsia="cs-CZ"/>
        </w:rPr>
        <w:t>. It in</w:t>
      </w:r>
      <w:r w:rsidRPr="006D5AA5">
        <w:rPr>
          <w:rFonts w:ascii="Palatino Linotype" w:eastAsia="Times New Roman" w:hAnsi="Palatino Linotype" w:cs="Times New Roman"/>
          <w:lang w:val="en-US" w:eastAsia="cs-CZ"/>
        </w:rPr>
        <w:t xml:space="preserve">creased by 45 milliseconds whenever action suppression was successful, </w:t>
      </w:r>
      <w:r>
        <w:rPr>
          <w:rFonts w:ascii="Palatino Linotype" w:eastAsia="Times New Roman" w:hAnsi="Palatino Linotype" w:cs="Times New Roman"/>
          <w:lang w:val="en-US" w:eastAsia="cs-CZ"/>
        </w:rPr>
        <w:t>and decreased by</w:t>
      </w:r>
      <w:r w:rsidRPr="006D5AA5">
        <w:rPr>
          <w:rFonts w:ascii="Palatino Linotype" w:eastAsia="Times New Roman" w:hAnsi="Palatino Linotype" w:cs="Times New Roman"/>
          <w:lang w:val="en-US" w:eastAsia="cs-CZ"/>
        </w:rPr>
        <w:t xml:space="preserve"> 45 milliseconds </w:t>
      </w:r>
      <w:r>
        <w:rPr>
          <w:rFonts w:ascii="Palatino Linotype" w:eastAsia="Times New Roman" w:hAnsi="Palatino Linotype" w:cs="Times New Roman"/>
          <w:lang w:val="en-US" w:eastAsia="cs-CZ"/>
        </w:rPr>
        <w:t>otherwise</w:t>
      </w:r>
      <w:r w:rsidRPr="006D5AA5">
        <w:rPr>
          <w:rFonts w:ascii="Palatino Linotype" w:eastAsia="Times New Roman" w:hAnsi="Palatino Linotype" w:cs="Times New Roman"/>
          <w:lang w:val="en-US" w:eastAsia="cs-CZ"/>
        </w:rPr>
        <w:t xml:space="preserve"> </w:t>
      </w:r>
      <w:r w:rsidRPr="006D5AA5">
        <w:rPr>
          <w:rFonts w:ascii="Palatino Linotype" w:eastAsia="Times New Roman" w:hAnsi="Palatino Linotype" w:cs="Times New Roman"/>
          <w:lang w:val="en-US" w:eastAsia="cs-CZ"/>
        </w:rPr>
        <w:fldChar w:fldCharType="begin" w:fldLock="1"/>
      </w:r>
      <w:r w:rsidR="00005E94">
        <w:rPr>
          <w:rFonts w:ascii="Palatino Linotype" w:eastAsia="Times New Roman" w:hAnsi="Palatino Linotype" w:cs="Times New Roman"/>
          <w:lang w:val="en-US" w:eastAsia="cs-CZ"/>
        </w:rPr>
        <w:instrText>ADDIN CSL_CITATION {"citationItems":[{"id":"ITEM-1","itemData":{"DOI":"10.1016/j.neubiorev.2008.08.014","ISBN":"0149-7634","ISSN":"1873-7528","PMID":"18822313","abstract":"The stop-signal paradigm is very useful for the study of response inhibition. Stop-signal performance is typically described as a race between a go process, triggered by a go stimulus, and a stop process, triggered by the stop signal. Response inhibition depends on the relative finishing time of these two processes. Numerous studies have shown that the independent horse-race model of Logan and Cowan [Logan, G.D., Cowan, W.B., 1984. On the ability to inhibit thought and action: a theory of an act of control. Psychological Review 91, 295-327] accounts for the data very well. In the present article, we review the independent horse-race model and related models, such as the interactive horse-race model [Boucher, L., Palmeri, T.J., Logan, G.D., Schall, J.D., 2007. Inhibitory control in mind and brain: an interactive race model of countermanding saccades. Psychological Review 114, 376-397]. We present evidence that favors the independent horse-race model but also some evidence that challenges the model. We end with a discussion of recent models that elaborate the role of a stop process in inhibiting a response.","author":[{"dropping-particle":"","family":"Verbruggen","given":"Frederick","non-dropping-particle":"","parse-names":false,"suffix":""},{"dropping-particle":"","family":"Logan","given":"Gordon D","non-dropping-particle":"","parse-names":false,"suffix":""}],"container-title":"Neuroscience and biobehavioral reviews","id":"ITEM-1","issue":"5","issued":{"date-parts":[["2009"]]},"page":"647-61","title":"Models of response inhibition in the stop-signal and stop-change paradigms.","type":"article-journal","volume":"33"},"uris":["http://www.mendeley.com/documents/?uuid=befbf47d-85eb-48ca-a3f9-02c0784f98a1"]}],"mendeley":{"formattedCitation":"(Verbruggen &amp; Logan, 2009)","manualFormatting":"(\"horse race procedure\"; Verbruggen &amp; Logan, 2009)","plainTextFormattedCitation":"(Verbruggen &amp; Logan, 2009)","previouslyFormattedCitation":"&lt;sup&gt;2&lt;/sup&gt;"},"properties":{"noteIndex":0},"schema":"https://github.com/citation-style-language/schema/raw/master/csl-citation.json"}</w:instrText>
      </w:r>
      <w:r w:rsidRPr="006D5AA5">
        <w:rPr>
          <w:rFonts w:ascii="Palatino Linotype" w:eastAsia="Times New Roman" w:hAnsi="Palatino Linotype" w:cs="Times New Roman"/>
          <w:lang w:val="en-US" w:eastAsia="cs-CZ"/>
        </w:rPr>
        <w:fldChar w:fldCharType="separate"/>
      </w:r>
      <w:r w:rsidR="00C111CD" w:rsidRPr="00C111CD">
        <w:rPr>
          <w:rFonts w:ascii="Palatino Linotype" w:eastAsia="Times New Roman" w:hAnsi="Palatino Linotype" w:cs="Times New Roman"/>
          <w:noProof/>
          <w:lang w:val="en-US" w:eastAsia="cs-CZ"/>
        </w:rPr>
        <w:t>(</w:t>
      </w:r>
      <w:r w:rsidR="00005E94">
        <w:rPr>
          <w:rFonts w:ascii="Palatino Linotype" w:eastAsia="Times New Roman" w:hAnsi="Palatino Linotype" w:cs="Times New Roman"/>
          <w:noProof/>
          <w:lang w:val="en-US" w:eastAsia="cs-CZ"/>
        </w:rPr>
        <w:t xml:space="preserve">"horse race procedure"; </w:t>
      </w:r>
      <w:r w:rsidR="00C111CD" w:rsidRPr="00C111CD">
        <w:rPr>
          <w:rFonts w:ascii="Palatino Linotype" w:eastAsia="Times New Roman" w:hAnsi="Palatino Linotype" w:cs="Times New Roman"/>
          <w:noProof/>
          <w:lang w:val="en-US" w:eastAsia="cs-CZ"/>
        </w:rPr>
        <w:t>Verbruggen &amp; Logan, 2009)</w:t>
      </w:r>
      <w:r w:rsidRPr="006D5AA5">
        <w:rPr>
          <w:rFonts w:ascii="Palatino Linotype" w:eastAsia="Times New Roman" w:hAnsi="Palatino Linotype" w:cs="Times New Roman"/>
          <w:lang w:val="en-US" w:eastAsia="cs-CZ"/>
        </w:rPr>
        <w:fldChar w:fldCharType="end"/>
      </w:r>
      <w:r w:rsidRPr="006D5AA5">
        <w:rPr>
          <w:rFonts w:ascii="Palatino Linotype" w:eastAsia="Times New Roman" w:hAnsi="Palatino Linotype" w:cs="Times New Roman"/>
          <w:lang w:val="en-US" w:eastAsia="cs-CZ"/>
        </w:rPr>
        <w:t xml:space="preserve">. </w:t>
      </w:r>
      <w:r w:rsidR="00234358">
        <w:rPr>
          <w:rFonts w:ascii="Palatino Linotype" w:eastAsia="Times New Roman" w:hAnsi="Palatino Linotype" w:cs="Times New Roman"/>
          <w:lang w:val="en-US" w:eastAsia="cs-CZ"/>
        </w:rPr>
        <w:t>The s</w:t>
      </w:r>
      <w:r w:rsidRPr="006D5AA5">
        <w:rPr>
          <w:rFonts w:ascii="Palatino Linotype" w:eastAsia="Times New Roman" w:hAnsi="Palatino Linotype" w:cs="Times New Roman"/>
          <w:lang w:val="en-US" w:eastAsia="cs-CZ"/>
        </w:rPr>
        <w:t>top signal frequency was 25%</w:t>
      </w:r>
      <w:r w:rsidR="00234358">
        <w:rPr>
          <w:rFonts w:ascii="Palatino Linotype" w:eastAsia="Times New Roman" w:hAnsi="Palatino Linotype" w:cs="Times New Roman"/>
          <w:lang w:val="en-US" w:eastAsia="cs-CZ"/>
        </w:rPr>
        <w:t>.</w:t>
      </w:r>
      <w:r w:rsidRPr="006D5AA5">
        <w:rPr>
          <w:rFonts w:ascii="Palatino Linotype" w:eastAsia="Times New Roman" w:hAnsi="Palatino Linotype" w:cs="Times New Roman"/>
          <w:lang w:val="en-US" w:eastAsia="cs-CZ"/>
        </w:rPr>
        <w:t xml:space="preserve"> </w:t>
      </w:r>
      <w:r w:rsidR="00234358">
        <w:rPr>
          <w:rFonts w:ascii="Palatino Linotype" w:eastAsia="Times New Roman" w:hAnsi="Palatino Linotype" w:cs="Times New Roman"/>
          <w:lang w:val="en-US" w:eastAsia="cs-CZ"/>
        </w:rPr>
        <w:t>E</w:t>
      </w:r>
      <w:r w:rsidRPr="006D5AA5">
        <w:rPr>
          <w:rFonts w:ascii="Palatino Linotype" w:eastAsia="Times New Roman" w:hAnsi="Palatino Linotype" w:cs="Times New Roman"/>
          <w:lang w:val="en-US" w:eastAsia="cs-CZ"/>
        </w:rPr>
        <w:t xml:space="preserve">ach trial ended either after the participant’s response or, in the absence of a response, one second after the appearance of the stimulus. Each trial was preceded by a fixation cross </w:t>
      </w:r>
      <w:r>
        <w:rPr>
          <w:rFonts w:ascii="Palatino Linotype" w:eastAsia="Times New Roman" w:hAnsi="Palatino Linotype" w:cs="Times New Roman"/>
          <w:lang w:val="en-US" w:eastAsia="cs-CZ"/>
        </w:rPr>
        <w:t>of</w:t>
      </w:r>
      <w:r w:rsidRPr="006D5AA5">
        <w:rPr>
          <w:rFonts w:ascii="Palatino Linotype" w:eastAsia="Times New Roman" w:hAnsi="Palatino Linotype" w:cs="Times New Roman"/>
          <w:lang w:val="en-US" w:eastAsia="cs-CZ"/>
        </w:rPr>
        <w:t xml:space="preserve"> variable duration between 1.1 and 2.6 seconds. The task </w:t>
      </w:r>
      <w:r>
        <w:rPr>
          <w:rFonts w:ascii="Palatino Linotype" w:eastAsia="Times New Roman" w:hAnsi="Palatino Linotype" w:cs="Times New Roman"/>
          <w:lang w:val="en-US" w:eastAsia="cs-CZ"/>
        </w:rPr>
        <w:t>again involved</w:t>
      </w:r>
      <w:r w:rsidRPr="006D5AA5">
        <w:rPr>
          <w:rFonts w:ascii="Palatino Linotype" w:eastAsia="Times New Roman" w:hAnsi="Palatino Linotype" w:cs="Times New Roman"/>
          <w:lang w:val="en-US" w:eastAsia="cs-CZ"/>
        </w:rPr>
        <w:t xml:space="preserve"> four</w:t>
      </w:r>
      <w:r>
        <w:rPr>
          <w:rFonts w:ascii="Palatino Linotype" w:eastAsia="Times New Roman" w:hAnsi="Palatino Linotype" w:cs="Times New Roman"/>
          <w:lang w:val="en-US" w:eastAsia="cs-CZ"/>
        </w:rPr>
        <w:t xml:space="preserve"> 48-trial</w:t>
      </w:r>
      <w:r w:rsidRPr="006D5AA5">
        <w:rPr>
          <w:rFonts w:ascii="Palatino Linotype" w:eastAsia="Times New Roman" w:hAnsi="Palatino Linotype" w:cs="Times New Roman"/>
          <w:lang w:val="en-US" w:eastAsia="cs-CZ"/>
        </w:rPr>
        <w:t xml:space="preserve"> blocks.</w:t>
      </w:r>
    </w:p>
    <w:p w14:paraId="59C81480" w14:textId="492A2AC6" w:rsidR="00217315" w:rsidRDefault="00217315">
      <w:pPr>
        <w:rPr>
          <w:rFonts w:ascii="Palatino Linotype" w:eastAsia="Times New Roman" w:hAnsi="Palatino Linotype" w:cs="Times New Roman"/>
          <w:lang w:val="en-US" w:eastAsia="cs-CZ"/>
        </w:rPr>
      </w:pPr>
      <w:r w:rsidRPr="006D5AA5">
        <w:rPr>
          <w:rFonts w:ascii="Palatino Linotype" w:eastAsia="Times New Roman" w:hAnsi="Palatino Linotype" w:cs="Times New Roman"/>
          <w:lang w:val="en-US" w:eastAsia="cs-CZ"/>
        </w:rPr>
        <w:t xml:space="preserve">In the </w:t>
      </w:r>
      <w:r w:rsidR="00875D60">
        <w:rPr>
          <w:rFonts w:ascii="Palatino Linotype" w:eastAsia="Times New Roman" w:hAnsi="Palatino Linotype" w:cs="Times New Roman"/>
          <w:lang w:val="en-US" w:eastAsia="cs-CZ"/>
        </w:rPr>
        <w:t>d</w:t>
      </w:r>
      <w:r>
        <w:rPr>
          <w:rFonts w:ascii="Palatino Linotype" w:eastAsia="Times New Roman" w:hAnsi="Palatino Linotype" w:cs="Times New Roman"/>
          <w:lang w:val="en-US" w:eastAsia="cs-CZ"/>
        </w:rPr>
        <w:t xml:space="preserve">elay </w:t>
      </w:r>
      <w:r w:rsidR="00875D60">
        <w:rPr>
          <w:rFonts w:ascii="Palatino Linotype" w:eastAsia="Times New Roman" w:hAnsi="Palatino Linotype" w:cs="Times New Roman"/>
          <w:lang w:val="en-US" w:eastAsia="cs-CZ"/>
        </w:rPr>
        <w:t>d</w:t>
      </w:r>
      <w:r>
        <w:rPr>
          <w:rFonts w:ascii="Palatino Linotype" w:eastAsia="Times New Roman" w:hAnsi="Palatino Linotype" w:cs="Times New Roman"/>
          <w:lang w:val="en-US" w:eastAsia="cs-CZ"/>
        </w:rPr>
        <w:t xml:space="preserve">iscounting </w:t>
      </w:r>
      <w:r w:rsidR="00234358">
        <w:rPr>
          <w:rFonts w:ascii="Palatino Linotype" w:eastAsia="Times New Roman" w:hAnsi="Palatino Linotype" w:cs="Times New Roman"/>
          <w:lang w:val="en-US" w:eastAsia="cs-CZ"/>
        </w:rPr>
        <w:t>t</w:t>
      </w:r>
      <w:r>
        <w:rPr>
          <w:rFonts w:ascii="Palatino Linotype" w:eastAsia="Times New Roman" w:hAnsi="Palatino Linotype" w:cs="Times New Roman"/>
          <w:lang w:val="en-US" w:eastAsia="cs-CZ"/>
        </w:rPr>
        <w:t>ask</w:t>
      </w:r>
      <w:r w:rsidRPr="006D5AA5">
        <w:rPr>
          <w:rFonts w:ascii="Palatino Linotype" w:eastAsia="Times New Roman" w:hAnsi="Palatino Linotype" w:cs="Times New Roman"/>
          <w:lang w:val="en-US" w:eastAsia="cs-CZ"/>
        </w:rPr>
        <w:t xml:space="preserve">, participants were asked to answer a set of questions requiring a choice between a smaller but immediate reward (IR) and a higher but delayed reward (DR; e.g. </w:t>
      </w:r>
      <w:r w:rsidRPr="006D5AA5">
        <w:rPr>
          <w:rFonts w:ascii="Palatino Linotype" w:eastAsia="Times New Roman" w:hAnsi="Palatino Linotype" w:cs="Times New Roman"/>
          <w:i/>
          <w:iCs/>
          <w:lang w:val="en-US" w:eastAsia="cs-CZ"/>
        </w:rPr>
        <w:t xml:space="preserve">Would you rather receive </w:t>
      </w:r>
      <w:r w:rsidR="00234358" w:rsidRPr="006D5AA5">
        <w:rPr>
          <w:rFonts w:ascii="Palatino Linotype" w:eastAsia="Times New Roman" w:hAnsi="Palatino Linotype" w:cs="Times New Roman"/>
          <w:i/>
          <w:iCs/>
          <w:lang w:val="en-US" w:eastAsia="cs-CZ"/>
        </w:rPr>
        <w:t xml:space="preserve">CZK </w:t>
      </w:r>
      <w:r w:rsidRPr="006D5AA5">
        <w:rPr>
          <w:rFonts w:ascii="Palatino Linotype" w:eastAsia="Times New Roman" w:hAnsi="Palatino Linotype" w:cs="Times New Roman"/>
          <w:i/>
          <w:iCs/>
          <w:lang w:val="en-US" w:eastAsia="cs-CZ"/>
        </w:rPr>
        <w:t>5</w:t>
      </w:r>
      <w:r>
        <w:rPr>
          <w:rFonts w:ascii="Palatino Linotype" w:eastAsia="Times New Roman" w:hAnsi="Palatino Linotype" w:cs="Times New Roman"/>
          <w:i/>
          <w:iCs/>
          <w:lang w:val="en-US" w:eastAsia="cs-CZ"/>
        </w:rPr>
        <w:t>0</w:t>
      </w:r>
      <w:r w:rsidRPr="006D5AA5">
        <w:rPr>
          <w:rFonts w:ascii="Palatino Linotype" w:eastAsia="Times New Roman" w:hAnsi="Palatino Linotype" w:cs="Times New Roman"/>
          <w:i/>
          <w:iCs/>
          <w:lang w:val="en-US" w:eastAsia="cs-CZ"/>
        </w:rPr>
        <w:t>0</w:t>
      </w:r>
      <w:r w:rsidRPr="00A3464D">
        <w:rPr>
          <w:rStyle w:val="Znakapoznpodarou"/>
        </w:rPr>
        <w:footnoteReference w:id="1"/>
      </w:r>
      <w:r w:rsidRPr="006D5AA5">
        <w:rPr>
          <w:rFonts w:ascii="Palatino Linotype" w:eastAsia="Times New Roman" w:hAnsi="Palatino Linotype" w:cs="Times New Roman"/>
          <w:i/>
          <w:iCs/>
          <w:lang w:val="en-US" w:eastAsia="cs-CZ"/>
        </w:rPr>
        <w:t xml:space="preserve"> now, or </w:t>
      </w:r>
      <w:r w:rsidR="00234358" w:rsidRPr="006D5AA5">
        <w:rPr>
          <w:rFonts w:ascii="Palatino Linotype" w:eastAsia="Times New Roman" w:hAnsi="Palatino Linotype" w:cs="Times New Roman"/>
          <w:i/>
          <w:iCs/>
          <w:lang w:val="en-US" w:eastAsia="cs-CZ"/>
        </w:rPr>
        <w:t xml:space="preserve">CZK </w:t>
      </w:r>
      <w:r w:rsidRPr="006D5AA5">
        <w:rPr>
          <w:rFonts w:ascii="Palatino Linotype" w:eastAsia="Times New Roman" w:hAnsi="Palatino Linotype" w:cs="Times New Roman"/>
          <w:i/>
          <w:iCs/>
          <w:lang w:val="en-US" w:eastAsia="cs-CZ"/>
        </w:rPr>
        <w:t>9</w:t>
      </w:r>
      <w:r>
        <w:rPr>
          <w:rFonts w:ascii="Palatino Linotype" w:eastAsia="Times New Roman" w:hAnsi="Palatino Linotype" w:cs="Times New Roman"/>
          <w:i/>
          <w:iCs/>
          <w:lang w:val="en-US" w:eastAsia="cs-CZ"/>
        </w:rPr>
        <w:t>0</w:t>
      </w:r>
      <w:r w:rsidRPr="006D5AA5">
        <w:rPr>
          <w:rFonts w:ascii="Palatino Linotype" w:eastAsia="Times New Roman" w:hAnsi="Palatino Linotype" w:cs="Times New Roman"/>
          <w:i/>
          <w:iCs/>
          <w:lang w:val="en-US" w:eastAsia="cs-CZ"/>
        </w:rPr>
        <w:t>0 in a month?</w:t>
      </w:r>
      <w:r w:rsidRPr="006D5AA5">
        <w:rPr>
          <w:rFonts w:ascii="Palatino Linotype" w:eastAsia="Times New Roman" w:hAnsi="Palatino Linotype" w:cs="Times New Roman"/>
          <w:lang w:val="en-US" w:eastAsia="cs-CZ"/>
        </w:rPr>
        <w:t xml:space="preserve">). For each combination of a DR amount and a delay period (D), different immediate reward amounts were displayed until an “indifference point” (IP) could be determined for the combination. The IP is the immediate reward amount that has the same subjective value as the higher delayed reward. Questions regarding different Ds and DRs were presented in random order, with the IR being selected according to </w:t>
      </w:r>
      <w:r>
        <w:rPr>
          <w:rFonts w:ascii="Palatino Linotype" w:eastAsia="Times New Roman" w:hAnsi="Palatino Linotype" w:cs="Times New Roman"/>
          <w:lang w:val="en-US" w:eastAsia="cs-CZ"/>
        </w:rPr>
        <w:t>a</w:t>
      </w:r>
      <w:r w:rsidRPr="006D5AA5">
        <w:rPr>
          <w:rFonts w:ascii="Palatino Linotype" w:eastAsia="Times New Roman" w:hAnsi="Palatino Linotype" w:cs="Times New Roman"/>
          <w:lang w:val="en-US" w:eastAsia="cs-CZ"/>
        </w:rPr>
        <w:t xml:space="preserve"> procedure described by </w:t>
      </w:r>
      <w:r w:rsidRPr="006D5AA5">
        <w:rPr>
          <w:rFonts w:ascii="Palatino Linotype" w:eastAsia="Times New Roman" w:hAnsi="Palatino Linotype" w:cs="Times New Roman"/>
          <w:lang w:val="en-US" w:eastAsia="cs-CZ"/>
        </w:rPr>
        <w:fldChar w:fldCharType="begin" w:fldLock="1"/>
      </w:r>
      <w:r w:rsidR="00C111CD">
        <w:rPr>
          <w:rFonts w:ascii="Palatino Linotype" w:eastAsia="Times New Roman" w:hAnsi="Palatino Linotype" w:cs="Times New Roman"/>
          <w:lang w:val="en-US" w:eastAsia="cs-CZ"/>
        </w:rPr>
        <w:instrText>ADDIN CSL_CITATION {"citationItems":[{"id":"ITEM-1","itemData":{"DOI":"10.1901/jeab.1999.71-121","ISBN":"1938-3711(Electronic);0022-5002(Print)","ISSN":"0022-5002","PMID":"10220927","abstract":"Little is known about the acute effects of drugs of abuse on impulsivity and self-control. In this study, impulsivity was assessed in humans using a computer task that measured delay and probability discounting. Discounting describes how much the value of a reward (or punisher) is decreased when its occurrence is either delayed or uncertain. Twenty-four healthy adult volunteers ingested a moderate dose of ethanol (0.5 or 0.8 g/kg ethanol: n = 12 at each dose) or placebo before completing the discounting task. In the task the participants were given a series of choices between a small, immediate, certain amount of money and $10 that was either delayed (0, 2, 30, 180, or 365 days) or probabilistic (i.e., certainty of receipt was 1.0, .9, .75, .5, or .25). The point at which each individual was indifferent between the smaller immediate or certain reward and the $10 delayed or probabilistic reward was identified using an adjusting-amount procedure. The results indicated that (a) delay and probability discounting were well described by a hyperbolic function; (b) delay and probability discounting were positively correlated within subjects; (c) delay and probability discounting were moderately correlated with personality measures of impulsivity; and (d) alcohol had no effect on discounting.","author":[{"dropping-particle":"","family":"Richards","given":"J B","non-dropping-particle":"","parse-names":false,"suffix":""},{"dropping-particle":"","family":"Zhang","given":"L","non-dropping-particle":"","parse-names":false,"suffix":""},{"dropping-particle":"","family":"Mitchell","given":"S H","non-dropping-particle":"","parse-names":false,"suffix":""},{"dropping-particle":"","family":"Wit","given":"H","non-dropping-particle":"de","parse-names":false,"suffix":""}],"container-title":"Journal of the experimental analysis of behavior","id":"ITEM-1","issue":"2","issued":{"date-parts":[["1999"]]},"page":"121-143","title":"Delay or probability discounting in a model of impulsive behavior: effect of alcohol.","type":"article-journal","volume":"71"},"uris":["http://www.mendeley.com/documents/?uuid=b01d13d1-5dd2-4c24-9549-0d9c5ed34827"]}],"mendeley":{"formattedCitation":"(Richards, Zhang, Mitchell, &amp; de Wit, 1999)","manualFormatting":"Richards, Zhang, Mitchell, and de Wit (1999)","plainTextFormattedCitation":"(Richards, Zhang, Mitchell, &amp; de Wit, 1999)","previouslyFormattedCitation":"&lt;sup&gt;3&lt;/sup&gt;"},"properties":{"noteIndex":0},"schema":"https://github.com/citation-style-language/schema/raw/master/csl-citation.json"}</w:instrText>
      </w:r>
      <w:r w:rsidRPr="006D5AA5">
        <w:rPr>
          <w:rFonts w:ascii="Palatino Linotype" w:eastAsia="Times New Roman" w:hAnsi="Palatino Linotype" w:cs="Times New Roman"/>
          <w:lang w:val="en-US" w:eastAsia="cs-CZ"/>
        </w:rPr>
        <w:fldChar w:fldCharType="separate"/>
      </w:r>
      <w:r w:rsidRPr="006D5AA5">
        <w:rPr>
          <w:rFonts w:ascii="Palatino Linotype" w:eastAsia="Times New Roman" w:hAnsi="Palatino Linotype" w:cs="Times New Roman"/>
          <w:noProof/>
          <w:lang w:val="en-US" w:eastAsia="cs-CZ"/>
        </w:rPr>
        <w:t>Richards</w:t>
      </w:r>
      <w:r w:rsidR="00234358">
        <w:rPr>
          <w:rFonts w:ascii="Palatino Linotype" w:eastAsia="Times New Roman" w:hAnsi="Palatino Linotype" w:cs="Times New Roman"/>
          <w:noProof/>
          <w:lang w:val="en-US" w:eastAsia="cs-CZ"/>
        </w:rPr>
        <w:t xml:space="preserve"> et al.</w:t>
      </w:r>
      <w:r w:rsidRPr="006D5AA5">
        <w:rPr>
          <w:rFonts w:ascii="Palatino Linotype" w:eastAsia="Times New Roman" w:hAnsi="Palatino Linotype" w:cs="Times New Roman"/>
          <w:noProof/>
          <w:lang w:val="en-US" w:eastAsia="cs-CZ"/>
        </w:rPr>
        <w:t xml:space="preserve"> (1999)</w:t>
      </w:r>
      <w:r w:rsidRPr="006D5AA5">
        <w:rPr>
          <w:rFonts w:ascii="Palatino Linotype" w:eastAsia="Times New Roman" w:hAnsi="Palatino Linotype" w:cs="Times New Roman"/>
          <w:lang w:val="en-US" w:eastAsia="cs-CZ"/>
        </w:rPr>
        <w:fldChar w:fldCharType="end"/>
      </w:r>
      <w:r w:rsidRPr="006D5AA5">
        <w:rPr>
          <w:rFonts w:ascii="Palatino Linotype" w:eastAsia="Times New Roman" w:hAnsi="Palatino Linotype" w:cs="Times New Roman"/>
          <w:lang w:val="en-US" w:eastAsia="cs-CZ"/>
        </w:rPr>
        <w:t>. The Ds and DRs were determined based on pilot studies. Chosen Ds were 1 day, 1 week, 1 month, 3 months,</w:t>
      </w:r>
      <w:r>
        <w:rPr>
          <w:rFonts w:ascii="Palatino Linotype" w:eastAsia="Times New Roman" w:hAnsi="Palatino Linotype" w:cs="Times New Roman"/>
          <w:lang w:val="en-US" w:eastAsia="cs-CZ"/>
        </w:rPr>
        <w:t xml:space="preserve"> and</w:t>
      </w:r>
      <w:r w:rsidRPr="006D5AA5">
        <w:rPr>
          <w:rFonts w:ascii="Palatino Linotype" w:eastAsia="Times New Roman" w:hAnsi="Palatino Linotype" w:cs="Times New Roman"/>
          <w:lang w:val="en-US" w:eastAsia="cs-CZ"/>
        </w:rPr>
        <w:t xml:space="preserve"> 6 months. Two DRs were chosen: a smaller amount of </w:t>
      </w:r>
      <w:r w:rsidR="00234358" w:rsidRPr="006D5AA5">
        <w:rPr>
          <w:rFonts w:ascii="Palatino Linotype" w:eastAsia="Times New Roman" w:hAnsi="Palatino Linotype" w:cs="Times New Roman"/>
          <w:lang w:val="en-US" w:eastAsia="cs-CZ"/>
        </w:rPr>
        <w:t xml:space="preserve">CZK </w:t>
      </w:r>
      <w:r w:rsidRPr="006D5AA5">
        <w:rPr>
          <w:rFonts w:ascii="Palatino Linotype" w:eastAsia="Times New Roman" w:hAnsi="Palatino Linotype" w:cs="Times New Roman"/>
          <w:lang w:val="en-US" w:eastAsia="cs-CZ"/>
        </w:rPr>
        <w:t xml:space="preserve">990 (approx. </w:t>
      </w:r>
      <w:r w:rsidR="00234358">
        <w:rPr>
          <w:rFonts w:ascii="Palatino Linotype" w:eastAsia="Times New Roman" w:hAnsi="Palatino Linotype" w:cs="Times New Roman"/>
          <w:lang w:val="en-US" w:eastAsia="cs-CZ"/>
        </w:rPr>
        <w:t xml:space="preserve">EUR </w:t>
      </w:r>
      <w:r w:rsidRPr="006D5AA5">
        <w:rPr>
          <w:rFonts w:ascii="Palatino Linotype" w:eastAsia="Times New Roman" w:hAnsi="Palatino Linotype" w:cs="Times New Roman"/>
          <w:lang w:val="en-US" w:eastAsia="cs-CZ"/>
        </w:rPr>
        <w:t xml:space="preserve">40), and a higher amount approximately equivalent to the median monthly salary in the Czech </w:t>
      </w:r>
      <w:r w:rsidRPr="006D5AA5">
        <w:rPr>
          <w:rFonts w:ascii="Palatino Linotype" w:eastAsia="Times New Roman" w:hAnsi="Palatino Linotype" w:cs="Times New Roman"/>
          <w:lang w:val="en-US" w:eastAsia="cs-CZ"/>
        </w:rPr>
        <w:lastRenderedPageBreak/>
        <w:t>Republic (</w:t>
      </w:r>
      <w:r w:rsidR="00234358" w:rsidRPr="006D5AA5">
        <w:rPr>
          <w:rFonts w:ascii="Palatino Linotype" w:eastAsia="Times New Roman" w:hAnsi="Palatino Linotype" w:cs="Times New Roman"/>
          <w:lang w:val="en-US" w:eastAsia="cs-CZ"/>
        </w:rPr>
        <w:t xml:space="preserve">CZK </w:t>
      </w:r>
      <w:r w:rsidRPr="006D5AA5">
        <w:rPr>
          <w:rFonts w:ascii="Palatino Linotype" w:eastAsia="Times New Roman" w:hAnsi="Palatino Linotype" w:cs="Times New Roman"/>
          <w:lang w:val="en-US" w:eastAsia="cs-CZ"/>
        </w:rPr>
        <w:t>24</w:t>
      </w:r>
      <w:r w:rsidR="00234358">
        <w:rPr>
          <w:rFonts w:ascii="Palatino Linotype" w:eastAsia="Times New Roman" w:hAnsi="Palatino Linotype" w:cs="Times New Roman"/>
          <w:lang w:val="en-US" w:eastAsia="cs-CZ"/>
        </w:rPr>
        <w:t>,</w:t>
      </w:r>
      <w:r w:rsidRPr="006D5AA5">
        <w:rPr>
          <w:rFonts w:ascii="Palatino Linotype" w:eastAsia="Times New Roman" w:hAnsi="Palatino Linotype" w:cs="Times New Roman"/>
          <w:lang w:val="en-US" w:eastAsia="cs-CZ"/>
        </w:rPr>
        <w:t>900</w:t>
      </w:r>
      <w:r>
        <w:rPr>
          <w:rFonts w:ascii="Palatino Linotype" w:eastAsia="Times New Roman" w:hAnsi="Palatino Linotype" w:cs="Times New Roman"/>
          <w:lang w:val="en-US" w:eastAsia="cs-CZ"/>
        </w:rPr>
        <w:t>;</w:t>
      </w:r>
      <w:r w:rsidRPr="006D5AA5">
        <w:rPr>
          <w:rFonts w:ascii="Palatino Linotype" w:eastAsia="Times New Roman" w:hAnsi="Palatino Linotype" w:cs="Times New Roman"/>
          <w:lang w:val="en-US" w:eastAsia="cs-CZ"/>
        </w:rPr>
        <w:t xml:space="preserve"> approx. </w:t>
      </w:r>
      <w:r w:rsidR="00234358" w:rsidRPr="006D5AA5">
        <w:rPr>
          <w:rFonts w:ascii="Palatino Linotype" w:eastAsia="Times New Roman" w:hAnsi="Palatino Linotype" w:cs="Times New Roman"/>
          <w:lang w:val="en-US" w:eastAsia="cs-CZ"/>
        </w:rPr>
        <w:t xml:space="preserve">EUR </w:t>
      </w:r>
      <w:r w:rsidRPr="006D5AA5">
        <w:rPr>
          <w:rFonts w:ascii="Palatino Linotype" w:eastAsia="Times New Roman" w:hAnsi="Palatino Linotype" w:cs="Times New Roman"/>
          <w:lang w:val="en-US" w:eastAsia="cs-CZ"/>
        </w:rPr>
        <w:t xml:space="preserve">980). The IR amounts varied in </w:t>
      </w:r>
      <w:r w:rsidR="00234358" w:rsidRPr="006D5AA5">
        <w:rPr>
          <w:rFonts w:ascii="Palatino Linotype" w:eastAsia="Times New Roman" w:hAnsi="Palatino Linotype" w:cs="Times New Roman"/>
          <w:lang w:val="en-US" w:eastAsia="cs-CZ"/>
        </w:rPr>
        <w:t xml:space="preserve">CZK </w:t>
      </w:r>
      <w:r w:rsidRPr="006D5AA5">
        <w:rPr>
          <w:rFonts w:ascii="Palatino Linotype" w:eastAsia="Times New Roman" w:hAnsi="Palatino Linotype" w:cs="Times New Roman"/>
          <w:lang w:val="en-US" w:eastAsia="cs-CZ"/>
        </w:rPr>
        <w:t xml:space="preserve">20 </w:t>
      </w:r>
      <w:r w:rsidR="00234358">
        <w:rPr>
          <w:rFonts w:ascii="Palatino Linotype" w:eastAsia="Times New Roman" w:hAnsi="Palatino Linotype" w:cs="Times New Roman"/>
          <w:lang w:val="en-US" w:eastAsia="cs-CZ"/>
        </w:rPr>
        <w:t>increments</w:t>
      </w:r>
      <w:r w:rsidRPr="006D5AA5">
        <w:rPr>
          <w:rFonts w:ascii="Palatino Linotype" w:eastAsia="Times New Roman" w:hAnsi="Palatino Linotype" w:cs="Times New Roman"/>
          <w:lang w:val="en-US" w:eastAsia="cs-CZ"/>
        </w:rPr>
        <w:t xml:space="preserve"> in questions about the smaller DR and in </w:t>
      </w:r>
      <w:r w:rsidR="00234358" w:rsidRPr="006D5AA5">
        <w:rPr>
          <w:rFonts w:ascii="Palatino Linotype" w:eastAsia="Times New Roman" w:hAnsi="Palatino Linotype" w:cs="Times New Roman"/>
          <w:lang w:val="en-US" w:eastAsia="cs-CZ"/>
        </w:rPr>
        <w:t xml:space="preserve">CZK </w:t>
      </w:r>
      <w:r w:rsidRPr="006D5AA5">
        <w:rPr>
          <w:rFonts w:ascii="Palatino Linotype" w:eastAsia="Times New Roman" w:hAnsi="Palatino Linotype" w:cs="Times New Roman"/>
          <w:lang w:val="en-US" w:eastAsia="cs-CZ"/>
        </w:rPr>
        <w:t xml:space="preserve">500 </w:t>
      </w:r>
      <w:r w:rsidR="00234358">
        <w:rPr>
          <w:rFonts w:ascii="Palatino Linotype" w:eastAsia="Times New Roman" w:hAnsi="Palatino Linotype" w:cs="Times New Roman"/>
          <w:lang w:val="en-US" w:eastAsia="cs-CZ"/>
        </w:rPr>
        <w:t>increments</w:t>
      </w:r>
      <w:r w:rsidRPr="006D5AA5">
        <w:rPr>
          <w:rFonts w:ascii="Palatino Linotype" w:eastAsia="Times New Roman" w:hAnsi="Palatino Linotype" w:cs="Times New Roman"/>
          <w:lang w:val="en-US" w:eastAsia="cs-CZ"/>
        </w:rPr>
        <w:t xml:space="preserve"> in questions about the higher DR.</w:t>
      </w:r>
    </w:p>
    <w:p w14:paraId="6BC74FEF" w14:textId="3F3835D8" w:rsidR="006C226D" w:rsidRPr="00217315" w:rsidRDefault="006C226D">
      <w:pPr>
        <w:rPr>
          <w:rFonts w:ascii="Palatino Linotype" w:eastAsia="Times New Roman" w:hAnsi="Palatino Linotype" w:cs="Times New Roman"/>
          <w:b/>
          <w:lang w:val="en-US" w:eastAsia="cs-CZ"/>
        </w:rPr>
      </w:pPr>
      <w:r>
        <w:rPr>
          <w:rFonts w:ascii="Palatino Linotype" w:hAnsi="Palatino Linotype"/>
          <w:lang w:val="en-US"/>
        </w:rPr>
        <w:t>A computerized version of I</w:t>
      </w:r>
      <w:r w:rsidR="00875D60">
        <w:rPr>
          <w:rFonts w:ascii="Palatino Linotype" w:hAnsi="Palatino Linotype"/>
          <w:lang w:val="en-US"/>
        </w:rPr>
        <w:t>owa gambling task (IGT)</w:t>
      </w:r>
      <w:r>
        <w:rPr>
          <w:rFonts w:ascii="Palatino Linotype" w:hAnsi="Palatino Linotype"/>
          <w:lang w:val="en-US"/>
        </w:rPr>
        <w:t xml:space="preserve"> based on the IGT version by </w:t>
      </w:r>
      <w:r>
        <w:rPr>
          <w:rFonts w:ascii="Palatino Linotype" w:hAnsi="Palatino Linotype"/>
          <w:lang w:val="en-US"/>
        </w:rPr>
        <w:fldChar w:fldCharType="begin" w:fldLock="1"/>
      </w:r>
      <w:r w:rsidR="00C111CD">
        <w:rPr>
          <w:rFonts w:ascii="Palatino Linotype" w:hAnsi="Palatino Linotype"/>
          <w:lang w:val="en-US"/>
        </w:rPr>
        <w:instrText>ADDIN CSL_CITATION {"citationItems":[{"id":"ITEM-1","itemData":{"DOI":"10.1901/jeab.2011.96-423","ISSN":"0022-5002","author":[{"dropping-particle":"","family":"Odum","given":"Amy L","non-dropping-particle":"","parse-names":false,"suffix":""}],"container-title":"Journal of the Experimental Analysis of Behavior","id":"ITEM-1","issue":"3","issued":{"date-parts":[["2011"]]},"page":"427-439","title":"Delay Discounting: I'm a k, You're a k","type":"article-journal","volume":"96"},"uris":["http://www.mendeley.com/documents/?uuid=7a9a39b7-8087-4f6b-8a1b-cb7a6fdf1ea7"]}],"mendeley":{"formattedCitation":"(Odum, 2011)","manualFormatting":"Odum et al. (2011)","plainTextFormattedCitation":"(Odum, 2011)","previouslyFormattedCitation":"&lt;sup&gt;4&lt;/sup&gt;"},"properties":{"noteIndex":0},"schema":"https://github.com/citation-style-language/schema/raw/master/csl-citation.json"}</w:instrText>
      </w:r>
      <w:r>
        <w:rPr>
          <w:rFonts w:ascii="Palatino Linotype" w:hAnsi="Palatino Linotype"/>
          <w:lang w:val="en-US"/>
        </w:rPr>
        <w:fldChar w:fldCharType="separate"/>
      </w:r>
      <w:r w:rsidRPr="0046340C">
        <w:rPr>
          <w:rFonts w:ascii="Palatino Linotype" w:hAnsi="Palatino Linotype"/>
          <w:noProof/>
          <w:lang w:val="en-US"/>
        </w:rPr>
        <w:t>Odum</w:t>
      </w:r>
      <w:r>
        <w:rPr>
          <w:rFonts w:ascii="Palatino Linotype" w:hAnsi="Palatino Linotype"/>
          <w:noProof/>
          <w:lang w:val="en-US"/>
        </w:rPr>
        <w:t xml:space="preserve"> </w:t>
      </w:r>
      <w:r w:rsidRPr="00E36B5B">
        <w:rPr>
          <w:rFonts w:ascii="Palatino Linotype" w:hAnsi="Palatino Linotype"/>
          <w:i/>
          <w:noProof/>
          <w:lang w:val="en-US"/>
        </w:rPr>
        <w:t>et al</w:t>
      </w:r>
      <w:r>
        <w:rPr>
          <w:rFonts w:ascii="Palatino Linotype" w:hAnsi="Palatino Linotype"/>
          <w:noProof/>
          <w:lang w:val="en-US"/>
        </w:rPr>
        <w:t>.</w:t>
      </w:r>
      <w:r w:rsidRPr="0046340C">
        <w:rPr>
          <w:rFonts w:ascii="Palatino Linotype" w:hAnsi="Palatino Linotype"/>
          <w:noProof/>
          <w:lang w:val="en-US"/>
        </w:rPr>
        <w:t xml:space="preserve"> </w:t>
      </w:r>
      <w:r>
        <w:rPr>
          <w:rFonts w:ascii="Palatino Linotype" w:hAnsi="Palatino Linotype"/>
          <w:noProof/>
          <w:lang w:val="en-US"/>
        </w:rPr>
        <w:t>(</w:t>
      </w:r>
      <w:r w:rsidRPr="0046340C">
        <w:rPr>
          <w:rFonts w:ascii="Palatino Linotype" w:hAnsi="Palatino Linotype"/>
          <w:noProof/>
          <w:lang w:val="en-US"/>
        </w:rPr>
        <w:t>2011)</w:t>
      </w:r>
      <w:r>
        <w:rPr>
          <w:rFonts w:ascii="Palatino Linotype" w:hAnsi="Palatino Linotype"/>
          <w:lang w:val="en-US"/>
        </w:rPr>
        <w:fldChar w:fldCharType="end"/>
      </w:r>
      <w:r>
        <w:rPr>
          <w:rFonts w:ascii="Palatino Linotype" w:hAnsi="Palatino Linotype"/>
          <w:lang w:val="en-US"/>
        </w:rPr>
        <w:t xml:space="preserve"> was used and adapted using CZK. The task ended after 200 cards.</w:t>
      </w:r>
      <w:r w:rsidR="00735D2D">
        <w:rPr>
          <w:rFonts w:ascii="Palatino Linotype" w:hAnsi="Palatino Linotype"/>
          <w:lang w:val="en-US"/>
        </w:rPr>
        <w:t xml:space="preserve"> </w:t>
      </w:r>
      <w:r w:rsidR="00234358">
        <w:rPr>
          <w:rFonts w:ascii="Palatino Linotype" w:hAnsi="Palatino Linotype"/>
          <w:lang w:val="en-US"/>
        </w:rPr>
        <w:t>T</w:t>
      </w:r>
      <w:r w:rsidR="00735D2D">
        <w:rPr>
          <w:rFonts w:ascii="Palatino Linotype" w:hAnsi="Palatino Linotype"/>
          <w:lang w:val="en-US"/>
        </w:rPr>
        <w:t xml:space="preserve">he IGT </w:t>
      </w:r>
      <w:r w:rsidR="00234358">
        <w:rPr>
          <w:rFonts w:ascii="Palatino Linotype" w:hAnsi="Palatino Linotype"/>
          <w:lang w:val="en-US"/>
        </w:rPr>
        <w:t xml:space="preserve">design </w:t>
      </w:r>
      <w:r w:rsidR="00735D2D">
        <w:rPr>
          <w:rFonts w:ascii="Palatino Linotype" w:hAnsi="Palatino Linotype"/>
          <w:lang w:val="en-US"/>
        </w:rPr>
        <w:t xml:space="preserve">is summarized in </w:t>
      </w:r>
      <w:r w:rsidR="00234358">
        <w:rPr>
          <w:rFonts w:ascii="Palatino Linotype" w:hAnsi="Palatino Linotype"/>
          <w:lang w:val="en-US"/>
        </w:rPr>
        <w:t>T</w:t>
      </w:r>
      <w:r w:rsidR="00735D2D">
        <w:rPr>
          <w:rFonts w:ascii="Palatino Linotype" w:hAnsi="Palatino Linotype"/>
          <w:lang w:val="en-US"/>
        </w:rPr>
        <w:t xml:space="preserve">able </w:t>
      </w:r>
      <w:r w:rsidR="006A1C79">
        <w:rPr>
          <w:rFonts w:ascii="Palatino Linotype" w:hAnsi="Palatino Linotype"/>
          <w:lang w:val="en-US"/>
        </w:rPr>
        <w:t>S2</w:t>
      </w:r>
      <w:r w:rsidR="00735D2D">
        <w:rPr>
          <w:rFonts w:ascii="Palatino Linotype" w:hAnsi="Palatino Linotype"/>
          <w:lang w:val="en-US"/>
        </w:rPr>
        <w:t>.</w:t>
      </w:r>
    </w:p>
    <w:p w14:paraId="58527112" w14:textId="7D292633" w:rsidR="00AF6A61" w:rsidRDefault="00A5583A" w:rsidP="00AF6A61">
      <w:pPr>
        <w:rPr>
          <w:rFonts w:ascii="Palatino Linotype" w:hAnsi="Palatino Linotype"/>
          <w:b/>
          <w:lang w:val="en-US"/>
        </w:rPr>
      </w:pPr>
      <w:r>
        <w:rPr>
          <w:rFonts w:ascii="Palatino Linotype" w:hAnsi="Palatino Linotype"/>
          <w:b/>
          <w:lang w:val="en-US"/>
        </w:rPr>
        <w:t xml:space="preserve">Table </w:t>
      </w:r>
      <w:r w:rsidR="006A1C79">
        <w:rPr>
          <w:rFonts w:ascii="Palatino Linotype" w:hAnsi="Palatino Linotype"/>
          <w:b/>
          <w:lang w:val="en-US"/>
        </w:rPr>
        <w:t>S2</w:t>
      </w:r>
      <w:r>
        <w:rPr>
          <w:rFonts w:ascii="Palatino Linotype" w:hAnsi="Palatino Linotype"/>
          <w:b/>
          <w:lang w:val="en-US"/>
        </w:rPr>
        <w:t xml:space="preserve">. </w:t>
      </w:r>
      <w:r w:rsidR="00AF6A61" w:rsidRPr="00886FE2">
        <w:rPr>
          <w:rFonts w:ascii="Palatino Linotype" w:hAnsi="Palatino Linotype"/>
          <w:b/>
          <w:lang w:val="en-US"/>
        </w:rPr>
        <w:t>The Iowa Gambling Task design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535"/>
      </w:tblGrid>
      <w:tr w:rsidR="00AF6A61" w:rsidRPr="00727555" w14:paraId="76ADDC11" w14:textId="77777777" w:rsidTr="003D5AB9">
        <w:trPr>
          <w:trHeight w:val="488"/>
        </w:trPr>
        <w:tc>
          <w:tcPr>
            <w:tcW w:w="1812" w:type="dxa"/>
            <w:tcBorders>
              <w:top w:val="single" w:sz="12" w:space="0" w:color="auto"/>
              <w:bottom w:val="single" w:sz="12" w:space="0" w:color="auto"/>
            </w:tcBorders>
          </w:tcPr>
          <w:p w14:paraId="6DC89315" w14:textId="77777777" w:rsidR="00AF6A61" w:rsidRPr="00727555" w:rsidRDefault="00AF6A61" w:rsidP="003D5AB9">
            <w:pPr>
              <w:rPr>
                <w:rFonts w:ascii="Palatino Linotype" w:hAnsi="Palatino Linotype"/>
                <w:lang w:val="en-US"/>
              </w:rPr>
            </w:pPr>
          </w:p>
        </w:tc>
        <w:tc>
          <w:tcPr>
            <w:tcW w:w="1812" w:type="dxa"/>
            <w:tcBorders>
              <w:top w:val="single" w:sz="12" w:space="0" w:color="auto"/>
              <w:bottom w:val="single" w:sz="12" w:space="0" w:color="auto"/>
            </w:tcBorders>
            <w:vAlign w:val="center"/>
          </w:tcPr>
          <w:p w14:paraId="42BF7AC6"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Deck A</w:t>
            </w:r>
          </w:p>
        </w:tc>
        <w:tc>
          <w:tcPr>
            <w:tcW w:w="1812" w:type="dxa"/>
            <w:tcBorders>
              <w:top w:val="single" w:sz="12" w:space="0" w:color="auto"/>
              <w:bottom w:val="single" w:sz="12" w:space="0" w:color="auto"/>
            </w:tcBorders>
            <w:vAlign w:val="center"/>
          </w:tcPr>
          <w:p w14:paraId="46D5D85E"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Deck B</w:t>
            </w:r>
          </w:p>
        </w:tc>
        <w:tc>
          <w:tcPr>
            <w:tcW w:w="1813" w:type="dxa"/>
            <w:tcBorders>
              <w:top w:val="single" w:sz="12" w:space="0" w:color="auto"/>
              <w:bottom w:val="single" w:sz="12" w:space="0" w:color="auto"/>
            </w:tcBorders>
            <w:vAlign w:val="center"/>
          </w:tcPr>
          <w:p w14:paraId="14DA7135"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Deck C</w:t>
            </w:r>
          </w:p>
        </w:tc>
        <w:tc>
          <w:tcPr>
            <w:tcW w:w="1535" w:type="dxa"/>
            <w:tcBorders>
              <w:top w:val="single" w:sz="12" w:space="0" w:color="auto"/>
              <w:bottom w:val="single" w:sz="12" w:space="0" w:color="auto"/>
            </w:tcBorders>
            <w:vAlign w:val="center"/>
          </w:tcPr>
          <w:p w14:paraId="1B35B6AD"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Deck D</w:t>
            </w:r>
          </w:p>
        </w:tc>
      </w:tr>
      <w:tr w:rsidR="00AF6A61" w:rsidRPr="00727555" w14:paraId="34E8B6D2" w14:textId="77777777" w:rsidTr="003D5AB9">
        <w:trPr>
          <w:trHeight w:val="565"/>
        </w:trPr>
        <w:tc>
          <w:tcPr>
            <w:tcW w:w="1812" w:type="dxa"/>
            <w:tcBorders>
              <w:top w:val="single" w:sz="12" w:space="0" w:color="auto"/>
            </w:tcBorders>
            <w:vAlign w:val="center"/>
          </w:tcPr>
          <w:p w14:paraId="06E0747C"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Gain</w:t>
            </w:r>
          </w:p>
        </w:tc>
        <w:tc>
          <w:tcPr>
            <w:tcW w:w="1812" w:type="dxa"/>
            <w:tcBorders>
              <w:top w:val="single" w:sz="12" w:space="0" w:color="auto"/>
            </w:tcBorders>
            <w:vAlign w:val="center"/>
          </w:tcPr>
          <w:p w14:paraId="6BE179B5" w14:textId="6B9B24B0"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1000 </w:t>
            </w:r>
          </w:p>
        </w:tc>
        <w:tc>
          <w:tcPr>
            <w:tcW w:w="1812" w:type="dxa"/>
            <w:tcBorders>
              <w:top w:val="single" w:sz="12" w:space="0" w:color="auto"/>
            </w:tcBorders>
            <w:vAlign w:val="center"/>
          </w:tcPr>
          <w:p w14:paraId="44070B97" w14:textId="39DB65FB"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1000 </w:t>
            </w:r>
          </w:p>
        </w:tc>
        <w:tc>
          <w:tcPr>
            <w:tcW w:w="1813" w:type="dxa"/>
            <w:tcBorders>
              <w:top w:val="single" w:sz="12" w:space="0" w:color="auto"/>
            </w:tcBorders>
            <w:vAlign w:val="center"/>
          </w:tcPr>
          <w:p w14:paraId="5D547CFD" w14:textId="30E41358"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500 </w:t>
            </w:r>
          </w:p>
        </w:tc>
        <w:tc>
          <w:tcPr>
            <w:tcW w:w="1535" w:type="dxa"/>
            <w:tcBorders>
              <w:top w:val="single" w:sz="12" w:space="0" w:color="auto"/>
            </w:tcBorders>
            <w:vAlign w:val="center"/>
          </w:tcPr>
          <w:p w14:paraId="0D4BEDA6" w14:textId="38C6E38C"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500 </w:t>
            </w:r>
          </w:p>
        </w:tc>
      </w:tr>
      <w:tr w:rsidR="00AF6A61" w:rsidRPr="00727555" w14:paraId="73B2FC79" w14:textId="77777777" w:rsidTr="003D5AB9">
        <w:trPr>
          <w:trHeight w:val="699"/>
        </w:trPr>
        <w:tc>
          <w:tcPr>
            <w:tcW w:w="1812" w:type="dxa"/>
            <w:vAlign w:val="center"/>
          </w:tcPr>
          <w:p w14:paraId="5EBA74FF"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Loss</w:t>
            </w:r>
          </w:p>
        </w:tc>
        <w:tc>
          <w:tcPr>
            <w:tcW w:w="1812" w:type="dxa"/>
            <w:vAlign w:val="center"/>
          </w:tcPr>
          <w:p w14:paraId="32274B41" w14:textId="40923BC1"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1500 </w:t>
            </w:r>
            <w:r w:rsidR="00AF6A61">
              <w:rPr>
                <w:rFonts w:ascii="Palatino Linotype" w:hAnsi="Palatino Linotype"/>
                <w:lang w:val="en-US"/>
              </w:rPr>
              <w:br/>
              <w:t xml:space="preserve">to </w:t>
            </w:r>
            <w:r>
              <w:rPr>
                <w:rFonts w:ascii="Palatino Linotype" w:hAnsi="Palatino Linotype"/>
                <w:lang w:val="en-US"/>
              </w:rPr>
              <w:t xml:space="preserve">CZK </w:t>
            </w:r>
            <w:r w:rsidR="00AF6A61">
              <w:rPr>
                <w:rFonts w:ascii="Palatino Linotype" w:hAnsi="Palatino Linotype"/>
                <w:lang w:val="en-US"/>
              </w:rPr>
              <w:t xml:space="preserve">3500 </w:t>
            </w:r>
          </w:p>
        </w:tc>
        <w:tc>
          <w:tcPr>
            <w:tcW w:w="1812" w:type="dxa"/>
            <w:vAlign w:val="center"/>
          </w:tcPr>
          <w:p w14:paraId="287ED6AE" w14:textId="450B33C1"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12500 </w:t>
            </w:r>
          </w:p>
        </w:tc>
        <w:tc>
          <w:tcPr>
            <w:tcW w:w="1813" w:type="dxa"/>
            <w:vAlign w:val="center"/>
          </w:tcPr>
          <w:p w14:paraId="24FE916D" w14:textId="59CD4861"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500 </w:t>
            </w:r>
          </w:p>
        </w:tc>
        <w:tc>
          <w:tcPr>
            <w:tcW w:w="1535" w:type="dxa"/>
            <w:vAlign w:val="center"/>
          </w:tcPr>
          <w:p w14:paraId="551DCF9F" w14:textId="335EA634"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2500 </w:t>
            </w:r>
          </w:p>
        </w:tc>
      </w:tr>
      <w:tr w:rsidR="00AF6A61" w:rsidRPr="00727555" w14:paraId="1E35DF5B" w14:textId="77777777" w:rsidTr="003D5AB9">
        <w:tc>
          <w:tcPr>
            <w:tcW w:w="1812" w:type="dxa"/>
            <w:vAlign w:val="center"/>
          </w:tcPr>
          <w:p w14:paraId="348C9582"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 xml:space="preserve">Gains to losses ratio </w:t>
            </w:r>
            <w:r>
              <w:rPr>
                <w:rFonts w:ascii="Palatino Linotype" w:hAnsi="Palatino Linotype"/>
                <w:lang w:val="en-US"/>
              </w:rPr>
              <w:br/>
              <w:t>(in 10 cards)</w:t>
            </w:r>
          </w:p>
        </w:tc>
        <w:tc>
          <w:tcPr>
            <w:tcW w:w="1812" w:type="dxa"/>
            <w:vAlign w:val="center"/>
          </w:tcPr>
          <w:p w14:paraId="10507745"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5:5</w:t>
            </w:r>
          </w:p>
        </w:tc>
        <w:tc>
          <w:tcPr>
            <w:tcW w:w="1812" w:type="dxa"/>
            <w:vAlign w:val="center"/>
          </w:tcPr>
          <w:p w14:paraId="79FC39C6"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9:1</w:t>
            </w:r>
          </w:p>
        </w:tc>
        <w:tc>
          <w:tcPr>
            <w:tcW w:w="1813" w:type="dxa"/>
            <w:vAlign w:val="center"/>
          </w:tcPr>
          <w:p w14:paraId="5C416B78"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5:5</w:t>
            </w:r>
          </w:p>
        </w:tc>
        <w:tc>
          <w:tcPr>
            <w:tcW w:w="1535" w:type="dxa"/>
            <w:vAlign w:val="center"/>
          </w:tcPr>
          <w:p w14:paraId="54C4D540"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9:1</w:t>
            </w:r>
          </w:p>
        </w:tc>
      </w:tr>
      <w:tr w:rsidR="00AF6A61" w:rsidRPr="00727555" w14:paraId="6D1317E7" w14:textId="77777777" w:rsidTr="003D5AB9">
        <w:trPr>
          <w:trHeight w:val="779"/>
        </w:trPr>
        <w:tc>
          <w:tcPr>
            <w:tcW w:w="1812" w:type="dxa"/>
            <w:vAlign w:val="center"/>
          </w:tcPr>
          <w:p w14:paraId="13C65724"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 xml:space="preserve">Net losses </w:t>
            </w:r>
            <w:r>
              <w:rPr>
                <w:rFonts w:ascii="Palatino Linotype" w:hAnsi="Palatino Linotype"/>
                <w:lang w:val="en-US"/>
              </w:rPr>
              <w:br/>
              <w:t>(in 10 cards)</w:t>
            </w:r>
          </w:p>
        </w:tc>
        <w:tc>
          <w:tcPr>
            <w:tcW w:w="1812" w:type="dxa"/>
            <w:vAlign w:val="center"/>
          </w:tcPr>
          <w:p w14:paraId="3B09B295"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5</w:t>
            </w:r>
          </w:p>
        </w:tc>
        <w:tc>
          <w:tcPr>
            <w:tcW w:w="1812" w:type="dxa"/>
            <w:vAlign w:val="center"/>
          </w:tcPr>
          <w:p w14:paraId="7E14C1F0"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1</w:t>
            </w:r>
          </w:p>
        </w:tc>
        <w:tc>
          <w:tcPr>
            <w:tcW w:w="1813" w:type="dxa"/>
            <w:vAlign w:val="center"/>
          </w:tcPr>
          <w:p w14:paraId="7D60FCC9"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0</w:t>
            </w:r>
          </w:p>
        </w:tc>
        <w:tc>
          <w:tcPr>
            <w:tcW w:w="1535" w:type="dxa"/>
            <w:vAlign w:val="center"/>
          </w:tcPr>
          <w:p w14:paraId="0CCE9ABE"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1</w:t>
            </w:r>
          </w:p>
        </w:tc>
      </w:tr>
      <w:tr w:rsidR="00AF6A61" w:rsidRPr="00727555" w14:paraId="4EA577AC" w14:textId="77777777" w:rsidTr="003D5AB9">
        <w:tc>
          <w:tcPr>
            <w:tcW w:w="1812" w:type="dxa"/>
            <w:tcBorders>
              <w:bottom w:val="single" w:sz="12" w:space="0" w:color="auto"/>
            </w:tcBorders>
            <w:vAlign w:val="center"/>
          </w:tcPr>
          <w:p w14:paraId="1088F18E" w14:textId="77777777" w:rsidR="00AF6A61" w:rsidRPr="00727555" w:rsidRDefault="00AF6A61" w:rsidP="003D5AB9">
            <w:pPr>
              <w:jc w:val="center"/>
              <w:rPr>
                <w:rFonts w:ascii="Palatino Linotype" w:hAnsi="Palatino Linotype"/>
                <w:lang w:val="en-US"/>
              </w:rPr>
            </w:pPr>
            <w:r>
              <w:rPr>
                <w:rFonts w:ascii="Palatino Linotype" w:hAnsi="Palatino Linotype"/>
                <w:lang w:val="en-US"/>
              </w:rPr>
              <w:t xml:space="preserve">Long-term outcome </w:t>
            </w:r>
            <w:r>
              <w:rPr>
                <w:rFonts w:ascii="Palatino Linotype" w:hAnsi="Palatino Linotype"/>
                <w:lang w:val="en-US"/>
              </w:rPr>
              <w:br/>
              <w:t>(in 10 cards)</w:t>
            </w:r>
          </w:p>
        </w:tc>
        <w:tc>
          <w:tcPr>
            <w:tcW w:w="1812" w:type="dxa"/>
            <w:tcBorders>
              <w:bottom w:val="single" w:sz="12" w:space="0" w:color="auto"/>
            </w:tcBorders>
            <w:vAlign w:val="center"/>
          </w:tcPr>
          <w:p w14:paraId="70A79925" w14:textId="511AE11F"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-2500 </w:t>
            </w:r>
          </w:p>
        </w:tc>
        <w:tc>
          <w:tcPr>
            <w:tcW w:w="1812" w:type="dxa"/>
            <w:tcBorders>
              <w:bottom w:val="single" w:sz="12" w:space="0" w:color="auto"/>
            </w:tcBorders>
            <w:vAlign w:val="center"/>
          </w:tcPr>
          <w:p w14:paraId="68AB01FF" w14:textId="0F3B4000"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-2500 </w:t>
            </w:r>
          </w:p>
        </w:tc>
        <w:tc>
          <w:tcPr>
            <w:tcW w:w="1813" w:type="dxa"/>
            <w:tcBorders>
              <w:bottom w:val="single" w:sz="12" w:space="0" w:color="auto"/>
            </w:tcBorders>
            <w:vAlign w:val="center"/>
          </w:tcPr>
          <w:p w14:paraId="037880A9" w14:textId="6F12FC64"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2500 </w:t>
            </w:r>
          </w:p>
        </w:tc>
        <w:tc>
          <w:tcPr>
            <w:tcW w:w="1535" w:type="dxa"/>
            <w:tcBorders>
              <w:bottom w:val="single" w:sz="12" w:space="0" w:color="auto"/>
            </w:tcBorders>
            <w:vAlign w:val="center"/>
          </w:tcPr>
          <w:p w14:paraId="40EC91E3" w14:textId="4669719A" w:rsidR="00AF6A61" w:rsidRPr="00727555" w:rsidRDefault="00234358" w:rsidP="003D5AB9">
            <w:pPr>
              <w:jc w:val="center"/>
              <w:rPr>
                <w:rFonts w:ascii="Palatino Linotype" w:hAnsi="Palatino Linotype"/>
                <w:lang w:val="en-US"/>
              </w:rPr>
            </w:pPr>
            <w:r>
              <w:rPr>
                <w:rFonts w:ascii="Palatino Linotype" w:hAnsi="Palatino Linotype"/>
                <w:lang w:val="en-US"/>
              </w:rPr>
              <w:t xml:space="preserve">CZK </w:t>
            </w:r>
            <w:r w:rsidR="00AF6A61">
              <w:rPr>
                <w:rFonts w:ascii="Palatino Linotype" w:hAnsi="Palatino Linotype"/>
                <w:lang w:val="en-US"/>
              </w:rPr>
              <w:t xml:space="preserve">2500 </w:t>
            </w:r>
          </w:p>
        </w:tc>
      </w:tr>
    </w:tbl>
    <w:p w14:paraId="3CECE2E4" w14:textId="11E613B3" w:rsidR="00061A07" w:rsidRDefault="00061A07">
      <w:pPr>
        <w:rPr>
          <w:rFonts w:ascii="Palatino Linotype" w:hAnsi="Palatino Linotype"/>
          <w:lang w:val="en-US"/>
        </w:rPr>
      </w:pPr>
    </w:p>
    <w:p w14:paraId="564F1F4F" w14:textId="67710DCD" w:rsidR="00A5583A" w:rsidRPr="00AD2B46" w:rsidRDefault="00277B2E">
      <w:pPr>
        <w:rPr>
          <w:rFonts w:ascii="Palatino Linotype" w:hAnsi="Palatino Linotype"/>
          <w:b/>
          <w:lang w:val="en-US"/>
        </w:rPr>
      </w:pPr>
      <w:r>
        <w:rPr>
          <w:rFonts w:ascii="Palatino Linotype" w:hAnsi="Palatino Linotype"/>
          <w:b/>
          <w:lang w:val="en-US"/>
        </w:rPr>
        <w:t xml:space="preserve">4. </w:t>
      </w:r>
      <w:r w:rsidR="00A5583A" w:rsidRPr="00AD2B46">
        <w:rPr>
          <w:rFonts w:ascii="Palatino Linotype" w:hAnsi="Palatino Linotype"/>
          <w:b/>
          <w:lang w:val="en-US"/>
        </w:rPr>
        <w:t>Details on the cognitive tests</w:t>
      </w:r>
    </w:p>
    <w:p w14:paraId="66C923C3" w14:textId="4350712B" w:rsidR="00735D2D" w:rsidRDefault="00A3464D">
      <w:pPr>
        <w:rPr>
          <w:rFonts w:ascii="Palatino Linotype" w:eastAsia="Times New Roman" w:hAnsi="Palatino Linotype" w:cs="Times New Roman"/>
          <w:lang w:val="en-US" w:eastAsia="cs-CZ"/>
        </w:rPr>
      </w:pPr>
      <w:r w:rsidRPr="006D37EB">
        <w:rPr>
          <w:rFonts w:ascii="Palatino Linotype" w:hAnsi="Palatino Linotype"/>
          <w:lang w:val="en-US"/>
        </w:rPr>
        <w:t xml:space="preserve">Working memory was </w:t>
      </w:r>
      <w:r w:rsidRPr="006D37EB">
        <w:rPr>
          <w:rFonts w:ascii="Palatino Linotype" w:eastAsia="Times New Roman" w:hAnsi="Palatino Linotype" w:cs="Times New Roman"/>
          <w:lang w:val="en-US" w:eastAsia="cs-CZ"/>
        </w:rPr>
        <w:t>assessed</w:t>
      </w:r>
      <w:r w:rsidRPr="006D37EB">
        <w:rPr>
          <w:rFonts w:ascii="Palatino Linotype" w:hAnsi="Palatino Linotype"/>
          <w:lang w:val="en-US"/>
        </w:rPr>
        <w:t xml:space="preserve"> </w:t>
      </w:r>
      <w:r w:rsidR="00234358">
        <w:rPr>
          <w:rFonts w:ascii="Palatino Linotype" w:hAnsi="Palatino Linotype"/>
          <w:lang w:val="en-US"/>
        </w:rPr>
        <w:t>with</w:t>
      </w:r>
      <w:r w:rsidRPr="006D37EB">
        <w:rPr>
          <w:rFonts w:ascii="Palatino Linotype" w:hAnsi="Palatino Linotype"/>
          <w:lang w:val="en-US"/>
        </w:rPr>
        <w:t xml:space="preserve"> the </w:t>
      </w:r>
      <w:r w:rsidR="00234358">
        <w:rPr>
          <w:rFonts w:ascii="Palatino Linotype" w:hAnsi="Palatino Linotype"/>
          <w:lang w:val="en-US"/>
        </w:rPr>
        <w:t>d</w:t>
      </w:r>
      <w:r w:rsidRPr="006D37EB">
        <w:rPr>
          <w:rFonts w:ascii="Palatino Linotype" w:hAnsi="Palatino Linotype"/>
          <w:lang w:val="en-US"/>
        </w:rPr>
        <w:t>igit span subtest from Wechsler Adult Intelligence Scale-III</w:t>
      </w:r>
      <w:r>
        <w:rPr>
          <w:rFonts w:ascii="Palatino Linotype" w:hAnsi="Palatino Linotype"/>
          <w:lang w:val="en-US"/>
        </w:rPr>
        <w:t xml:space="preserve"> </w:t>
      </w:r>
      <w:r w:rsidRPr="006D37EB">
        <w:rPr>
          <w:rFonts w:ascii="Palatino Linotype" w:hAnsi="Palatino Linotype"/>
          <w:lang w:val="en-US"/>
        </w:rPr>
        <w:fldChar w:fldCharType="begin" w:fldLock="1"/>
      </w:r>
      <w:r w:rsidR="00C111CD">
        <w:rPr>
          <w:rFonts w:ascii="Palatino Linotype" w:hAnsi="Palatino Linotype"/>
          <w:lang w:val="en-US"/>
        </w:rPr>
        <w:instrText>ADDIN CSL_CITATION {"citationItems":[{"id":"ITEM-1","itemData":{"author":[{"dropping-particle":"","family":"Wechsler","given":"D","non-dropping-particle":"","parse-names":false,"suffix":""}],"edition":"3rd","id":"ITEM-1","issued":{"date-parts":[["1997"]]},"publisher":"The Psychological Corporation","publisher-place":"San Antonio","title":"Wechsler Adult Intelligence Scale – Third Edition Manual","type":"book"},"uris":["http://www.mendeley.com/documents/?uuid=64f9dcd8-8ed7-4150-a2f4-65079c618c28"]}],"mendeley":{"formattedCitation":"(Wechsler, 1997)","plainTextFormattedCitation":"(Wechsler, 1997)","previouslyFormattedCitation":"&lt;sup&gt;5&lt;/sup&gt;"},"properties":{"noteIndex":0},"schema":"https://github.com/citation-style-language/schema/raw/master/csl-citation.json"}</w:instrText>
      </w:r>
      <w:r w:rsidRPr="006D37EB">
        <w:rPr>
          <w:rFonts w:ascii="Palatino Linotype" w:hAnsi="Palatino Linotype"/>
          <w:lang w:val="en-US"/>
        </w:rPr>
        <w:fldChar w:fldCharType="separate"/>
      </w:r>
      <w:r w:rsidR="00C111CD" w:rsidRPr="00C111CD">
        <w:rPr>
          <w:rFonts w:ascii="Palatino Linotype" w:hAnsi="Palatino Linotype"/>
          <w:noProof/>
          <w:lang w:val="en-US"/>
        </w:rPr>
        <w:t>(Wechsler, 1997)</w:t>
      </w:r>
      <w:r w:rsidRPr="006D37EB">
        <w:rPr>
          <w:rFonts w:ascii="Palatino Linotype" w:hAnsi="Palatino Linotype"/>
          <w:lang w:val="en-US"/>
        </w:rPr>
        <w:fldChar w:fldCharType="end"/>
      </w:r>
      <w:r>
        <w:rPr>
          <w:rFonts w:ascii="Palatino Linotype" w:hAnsi="Palatino Linotype"/>
          <w:lang w:val="en-US"/>
        </w:rPr>
        <w:t>.</w:t>
      </w:r>
      <w:r w:rsidRPr="006D37EB">
        <w:rPr>
          <w:rFonts w:ascii="Palatino Linotype" w:eastAsia="Times New Roman" w:hAnsi="Palatino Linotype" w:cs="Times New Roman"/>
          <w:color w:val="538135" w:themeColor="accent6" w:themeShade="BF"/>
          <w:lang w:val="en-US" w:eastAsia="cs-CZ"/>
        </w:rPr>
        <w:t xml:space="preserve"> </w:t>
      </w:r>
      <w:r w:rsidRPr="006D37EB">
        <w:rPr>
          <w:rFonts w:ascii="Palatino Linotype" w:eastAsia="Times New Roman" w:hAnsi="Palatino Linotype" w:cs="Times New Roman"/>
          <w:lang w:val="en-US" w:eastAsia="cs-CZ"/>
        </w:rPr>
        <w:t xml:space="preserve">In the test, the examiner </w:t>
      </w:r>
      <w:r w:rsidR="00735D2D">
        <w:rPr>
          <w:rFonts w:ascii="Palatino Linotype" w:eastAsia="Times New Roman" w:hAnsi="Palatino Linotype" w:cs="Times New Roman"/>
          <w:lang w:val="en-US" w:eastAsia="cs-CZ"/>
        </w:rPr>
        <w:t>read</w:t>
      </w:r>
      <w:r w:rsidR="00234358">
        <w:rPr>
          <w:rFonts w:ascii="Palatino Linotype" w:eastAsia="Times New Roman" w:hAnsi="Palatino Linotype" w:cs="Times New Roman"/>
          <w:lang w:val="en-US" w:eastAsia="cs-CZ"/>
        </w:rPr>
        <w:t>s</w:t>
      </w:r>
      <w:r w:rsidR="00735D2D" w:rsidRPr="006D37EB">
        <w:rPr>
          <w:rFonts w:ascii="Palatino Linotype" w:eastAsia="Times New Roman" w:hAnsi="Palatino Linotype" w:cs="Times New Roman"/>
          <w:lang w:val="en-US" w:eastAsia="cs-CZ"/>
        </w:rPr>
        <w:t xml:space="preserve"> </w:t>
      </w:r>
      <w:r w:rsidRPr="006D37EB">
        <w:rPr>
          <w:rFonts w:ascii="Palatino Linotype" w:eastAsia="Times New Roman" w:hAnsi="Palatino Linotype" w:cs="Times New Roman"/>
          <w:lang w:val="en-US" w:eastAsia="cs-CZ"/>
        </w:rPr>
        <w:t xml:space="preserve">aloud a list of number sequences in an increasing degree of difficulty and </w:t>
      </w:r>
      <w:r w:rsidR="00234358">
        <w:rPr>
          <w:rFonts w:ascii="Palatino Linotype" w:eastAsia="Times New Roman" w:hAnsi="Palatino Linotype" w:cs="Times New Roman"/>
          <w:lang w:val="en-US" w:eastAsia="cs-CZ"/>
        </w:rPr>
        <w:t xml:space="preserve">the </w:t>
      </w:r>
      <w:r w:rsidRPr="006D37EB">
        <w:rPr>
          <w:rFonts w:ascii="Palatino Linotype" w:eastAsia="Times New Roman" w:hAnsi="Palatino Linotype" w:cs="Times New Roman"/>
          <w:lang w:val="en-US" w:eastAsia="cs-CZ"/>
        </w:rPr>
        <w:t>participant</w:t>
      </w:r>
      <w:r w:rsidRPr="006D37EB">
        <w:rPr>
          <w:rFonts w:ascii="Palatino Linotype" w:hAnsi="Palatino Linotype"/>
          <w:lang w:val="en-US"/>
        </w:rPr>
        <w:t xml:space="preserve"> </w:t>
      </w:r>
      <w:r w:rsidR="00234358">
        <w:rPr>
          <w:rFonts w:ascii="Palatino Linotype" w:hAnsi="Palatino Linotype"/>
          <w:lang w:val="en-US"/>
        </w:rPr>
        <w:t>is</w:t>
      </w:r>
      <w:r w:rsidR="00735D2D" w:rsidRPr="006D37EB">
        <w:rPr>
          <w:rFonts w:ascii="Palatino Linotype" w:hAnsi="Palatino Linotype"/>
          <w:lang w:val="en-US"/>
        </w:rPr>
        <w:t xml:space="preserve"> </w:t>
      </w:r>
      <w:r w:rsidRPr="006D37EB">
        <w:rPr>
          <w:rFonts w:ascii="Palatino Linotype" w:eastAsia="Times New Roman" w:hAnsi="Palatino Linotype" w:cs="Times New Roman"/>
          <w:lang w:val="en-US" w:eastAsia="cs-CZ"/>
        </w:rPr>
        <w:t xml:space="preserve">asked to repeat </w:t>
      </w:r>
      <w:r w:rsidRPr="006D37EB">
        <w:rPr>
          <w:rFonts w:ascii="Palatino Linotype" w:hAnsi="Palatino Linotype"/>
          <w:lang w:val="en-US"/>
        </w:rPr>
        <w:t xml:space="preserve">the </w:t>
      </w:r>
      <w:r w:rsidRPr="006D37EB">
        <w:rPr>
          <w:rFonts w:ascii="Palatino Linotype" w:eastAsia="Times New Roman" w:hAnsi="Palatino Linotype" w:cs="Times New Roman"/>
          <w:lang w:val="en-US" w:eastAsia="cs-CZ"/>
        </w:rPr>
        <w:t xml:space="preserve">sequence in the </w:t>
      </w:r>
      <w:r w:rsidR="00735D2D" w:rsidRPr="006D37EB">
        <w:rPr>
          <w:rFonts w:ascii="Palatino Linotype" w:eastAsia="Times New Roman" w:hAnsi="Palatino Linotype" w:cs="Times New Roman"/>
          <w:lang w:val="en-US" w:eastAsia="cs-CZ"/>
        </w:rPr>
        <w:t>original</w:t>
      </w:r>
      <w:r w:rsidR="00234358">
        <w:rPr>
          <w:rFonts w:ascii="Palatino Linotype" w:eastAsia="Times New Roman" w:hAnsi="Palatino Linotype" w:cs="Times New Roman"/>
          <w:lang w:val="en-US" w:eastAsia="cs-CZ"/>
        </w:rPr>
        <w:t xml:space="preserve"> order</w:t>
      </w:r>
      <w:r w:rsidRPr="006D37EB">
        <w:rPr>
          <w:rFonts w:ascii="Palatino Linotype" w:eastAsia="Times New Roman" w:hAnsi="Palatino Linotype" w:cs="Times New Roman"/>
          <w:lang w:val="en-US" w:eastAsia="cs-CZ"/>
        </w:rPr>
        <w:t xml:space="preserve"> (forward condition) or reverse order (backward condition). Each difficulty level consisted of two trials with the same number of digits. Two points were assigned if the participant responded correctly on both trials. One point was assigned if the participant recalled </w:t>
      </w:r>
      <w:r w:rsidR="00234358">
        <w:rPr>
          <w:rFonts w:ascii="Palatino Linotype" w:eastAsia="Times New Roman" w:hAnsi="Palatino Linotype" w:cs="Times New Roman"/>
          <w:lang w:val="en-US" w:eastAsia="cs-CZ"/>
        </w:rPr>
        <w:t xml:space="preserve">only </w:t>
      </w:r>
      <w:r w:rsidRPr="006D37EB">
        <w:rPr>
          <w:rFonts w:ascii="Palatino Linotype" w:eastAsia="Times New Roman" w:hAnsi="Palatino Linotype" w:cs="Times New Roman"/>
          <w:lang w:val="en-US" w:eastAsia="cs-CZ"/>
        </w:rPr>
        <w:t>one trial</w:t>
      </w:r>
      <w:r w:rsidRPr="006D37EB">
        <w:rPr>
          <w:rFonts w:ascii="Palatino Linotype" w:hAnsi="Palatino Linotype"/>
          <w:lang w:val="en-US"/>
        </w:rPr>
        <w:t xml:space="preserve"> </w:t>
      </w:r>
      <w:r w:rsidR="00234358" w:rsidRPr="006D37EB">
        <w:rPr>
          <w:rFonts w:ascii="Palatino Linotype" w:eastAsia="Times New Roman" w:hAnsi="Palatino Linotype" w:cs="Times New Roman"/>
          <w:lang w:val="en-US" w:eastAsia="cs-CZ"/>
        </w:rPr>
        <w:t xml:space="preserve">correctly </w:t>
      </w:r>
      <w:r w:rsidRPr="006D37EB">
        <w:rPr>
          <w:rFonts w:ascii="Palatino Linotype" w:hAnsi="Palatino Linotype"/>
          <w:lang w:val="en-US"/>
        </w:rPr>
        <w:t xml:space="preserve">and </w:t>
      </w:r>
      <w:r w:rsidRPr="006D37EB">
        <w:rPr>
          <w:rFonts w:ascii="Palatino Linotype" w:eastAsia="Times New Roman" w:hAnsi="Palatino Linotype" w:cs="Times New Roman"/>
          <w:lang w:val="en-US" w:eastAsia="cs-CZ"/>
        </w:rPr>
        <w:t xml:space="preserve">zero points were assigned if both trials were incorrect. </w:t>
      </w:r>
      <w:r w:rsidR="00234358">
        <w:rPr>
          <w:rFonts w:ascii="Palatino Linotype" w:eastAsia="Times New Roman" w:hAnsi="Palatino Linotype" w:cs="Times New Roman"/>
          <w:lang w:val="en-US" w:eastAsia="cs-CZ"/>
        </w:rPr>
        <w:t>The m</w:t>
      </w:r>
      <w:r w:rsidRPr="006D37EB">
        <w:rPr>
          <w:rFonts w:ascii="Palatino Linotype" w:eastAsia="Times New Roman" w:hAnsi="Palatino Linotype" w:cs="Times New Roman"/>
          <w:lang w:val="en-US" w:eastAsia="cs-CZ"/>
        </w:rPr>
        <w:t xml:space="preserve">aximum score was 16 for </w:t>
      </w:r>
      <w:r w:rsidR="00234358">
        <w:rPr>
          <w:rFonts w:ascii="Palatino Linotype" w:eastAsia="Times New Roman" w:hAnsi="Palatino Linotype" w:cs="Times New Roman"/>
          <w:lang w:val="en-US" w:eastAsia="cs-CZ"/>
        </w:rPr>
        <w:t xml:space="preserve">the </w:t>
      </w:r>
      <w:r w:rsidRPr="006D37EB">
        <w:rPr>
          <w:rFonts w:ascii="Palatino Linotype" w:eastAsia="Times New Roman" w:hAnsi="Palatino Linotype" w:cs="Times New Roman"/>
          <w:lang w:val="en-US" w:eastAsia="cs-CZ"/>
        </w:rPr>
        <w:t xml:space="preserve">forward condition and 14 for </w:t>
      </w:r>
      <w:r w:rsidR="00234358">
        <w:rPr>
          <w:rFonts w:ascii="Palatino Linotype" w:eastAsia="Times New Roman" w:hAnsi="Palatino Linotype" w:cs="Times New Roman"/>
          <w:lang w:val="en-US" w:eastAsia="cs-CZ"/>
        </w:rPr>
        <w:t xml:space="preserve">the </w:t>
      </w:r>
      <w:r w:rsidRPr="006D37EB">
        <w:rPr>
          <w:rFonts w:ascii="Palatino Linotype" w:eastAsia="Times New Roman" w:hAnsi="Palatino Linotype" w:cs="Times New Roman"/>
          <w:lang w:val="en-US" w:eastAsia="cs-CZ"/>
        </w:rPr>
        <w:t>backward condition. T</w:t>
      </w:r>
      <w:r w:rsidR="00234358">
        <w:rPr>
          <w:rFonts w:ascii="Palatino Linotype" w:eastAsia="Times New Roman" w:hAnsi="Palatino Linotype" w:cs="Times New Roman"/>
          <w:lang w:val="en-US" w:eastAsia="cs-CZ"/>
        </w:rPr>
        <w:t>he t</w:t>
      </w:r>
      <w:r w:rsidRPr="006D37EB">
        <w:rPr>
          <w:rFonts w:ascii="Palatino Linotype" w:eastAsia="Times New Roman" w:hAnsi="Palatino Linotype" w:cs="Times New Roman"/>
          <w:lang w:val="en-US" w:eastAsia="cs-CZ"/>
        </w:rPr>
        <w:t xml:space="preserve">otal score was created by adding both sub-scores together. </w:t>
      </w:r>
    </w:p>
    <w:p w14:paraId="4D6DCF00" w14:textId="51225829" w:rsidR="00735D2D" w:rsidRDefault="00A3464D">
      <w:pPr>
        <w:rPr>
          <w:rFonts w:ascii="Palatino Linotype" w:hAnsi="Palatino Linotype"/>
          <w:lang w:val="en-US" w:eastAsia="cs-CZ"/>
        </w:rPr>
      </w:pPr>
      <w:r w:rsidRPr="006D37EB">
        <w:rPr>
          <w:rFonts w:ascii="Palatino Linotype" w:hAnsi="Palatino Linotype"/>
          <w:lang w:val="en-US" w:eastAsia="cs-CZ"/>
        </w:rPr>
        <w:t>Executive</w:t>
      </w:r>
      <w:r w:rsidRPr="006D37EB">
        <w:rPr>
          <w:rFonts w:ascii="Palatino Linotype" w:hAnsi="Palatino Linotype"/>
          <w:lang w:val="en-US"/>
        </w:rPr>
        <w:t xml:space="preserve"> functioning was measured by </w:t>
      </w:r>
      <w:r w:rsidRPr="006D37EB">
        <w:rPr>
          <w:rFonts w:ascii="Palatino Linotype" w:hAnsi="Palatino Linotype"/>
          <w:lang w:val="en-US" w:eastAsia="cs-CZ"/>
        </w:rPr>
        <w:t xml:space="preserve">the </w:t>
      </w:r>
      <w:r w:rsidRPr="006D37EB">
        <w:rPr>
          <w:rFonts w:ascii="Palatino Linotype" w:hAnsi="Palatino Linotype"/>
          <w:lang w:val="en-US"/>
        </w:rPr>
        <w:t>Tower of London (ToL)</w:t>
      </w:r>
      <w:r w:rsidR="00234358">
        <w:rPr>
          <w:rFonts w:ascii="Palatino Linotype" w:hAnsi="Palatino Linotype"/>
          <w:lang w:val="en-US"/>
        </w:rPr>
        <w:t>,</w:t>
      </w:r>
      <w:r w:rsidRPr="006D37EB">
        <w:rPr>
          <w:rFonts w:ascii="Palatino Linotype" w:hAnsi="Palatino Linotype"/>
          <w:lang w:val="en-US" w:eastAsia="cs-CZ"/>
        </w:rPr>
        <w:t xml:space="preserve"> Drexel University, Second Edition</w:t>
      </w:r>
      <w:r w:rsidR="00234358">
        <w:rPr>
          <w:rFonts w:ascii="Palatino Linotype" w:hAnsi="Palatino Linotype"/>
          <w:lang w:val="en-US" w:eastAsia="cs-CZ"/>
        </w:rPr>
        <w:t xml:space="preserve"> </w:t>
      </w:r>
      <w:r w:rsidRPr="006D37EB">
        <w:rPr>
          <w:rFonts w:ascii="Palatino Linotype" w:hAnsi="Palatino Linotype"/>
          <w:lang w:val="en-US" w:eastAsia="cs-CZ"/>
        </w:rPr>
        <w:fldChar w:fldCharType="begin" w:fldLock="1"/>
      </w:r>
      <w:r w:rsidR="00C111CD">
        <w:rPr>
          <w:rFonts w:ascii="Palatino Linotype" w:hAnsi="Palatino Linotype"/>
          <w:lang w:val="en-US" w:eastAsia="cs-CZ"/>
        </w:rPr>
        <w:instrText>ADDIN CSL_CITATION {"citationItems":[{"id":"ITEM-1","itemData":{"author":[{"dropping-particle":"","family":"Culbertson","given":"WC","non-dropping-particle":"","parse-names":false,"suffix":""},{"dropping-particle":"","family":"Zillmer","given":"EA","non-dropping-particle":"","parse-names":false,"suffix":""}],"edition":"2nd","id":"ITEM-1","issued":{"date-parts":[["2005"]]},"publisher":"Multi-Health Systems","publisher-place":"Toronto","title":"Tower of London - Drexel University","type":"book"},"uris":["http://www.mendeley.com/documents/?uuid=5abe9c6f-93e5-4977-8f18-d498a1fafa1e"]}],"mendeley":{"formattedCitation":"(Culbertson &amp; Zillmer, 2005)","plainTextFormattedCitation":"(Culbertson &amp; Zillmer, 2005)","previouslyFormattedCitation":"&lt;sup&gt;6&lt;/sup&gt;"},"properties":{"noteIndex":0},"schema":"https://github.com/citation-style-language/schema/raw/master/csl-citation.json"}</w:instrText>
      </w:r>
      <w:r w:rsidRPr="006D37EB">
        <w:rPr>
          <w:rFonts w:ascii="Palatino Linotype" w:hAnsi="Palatino Linotype"/>
          <w:lang w:val="en-US" w:eastAsia="cs-CZ"/>
        </w:rPr>
        <w:fldChar w:fldCharType="separate"/>
      </w:r>
      <w:r w:rsidR="00C111CD" w:rsidRPr="00C111CD">
        <w:rPr>
          <w:rFonts w:ascii="Palatino Linotype" w:hAnsi="Palatino Linotype"/>
          <w:noProof/>
          <w:lang w:val="en-US" w:eastAsia="cs-CZ"/>
        </w:rPr>
        <w:t>(Culbertson &amp; Zillmer, 2005)</w:t>
      </w:r>
      <w:r w:rsidRPr="006D37EB">
        <w:rPr>
          <w:rFonts w:ascii="Palatino Linotype" w:hAnsi="Palatino Linotype"/>
          <w:lang w:val="en-US" w:eastAsia="cs-CZ"/>
        </w:rPr>
        <w:fldChar w:fldCharType="end"/>
      </w:r>
      <w:r w:rsidR="00234358">
        <w:rPr>
          <w:rFonts w:ascii="Palatino Linotype" w:hAnsi="Palatino Linotype"/>
          <w:lang w:val="en-US" w:eastAsia="cs-CZ"/>
        </w:rPr>
        <w:t>.</w:t>
      </w:r>
      <w:r w:rsidRPr="006D37EB">
        <w:rPr>
          <w:rFonts w:ascii="Palatino Linotype" w:hAnsi="Palatino Linotype"/>
          <w:lang w:val="en-US" w:eastAsia="cs-CZ"/>
        </w:rPr>
        <w:t xml:space="preserve"> The test consisted of two boards with three different sized bars and three beads of different colors. The examiner used one of the boards to present a pattern from beads placed differently on the bars. The participants were instructed to complete the same arrangement of beads on their board </w:t>
      </w:r>
      <w:r w:rsidR="00234358">
        <w:rPr>
          <w:rFonts w:ascii="Palatino Linotype" w:hAnsi="Palatino Linotype"/>
          <w:lang w:val="en-US" w:eastAsia="cs-CZ"/>
        </w:rPr>
        <w:t xml:space="preserve">in </w:t>
      </w:r>
      <w:r w:rsidRPr="006D37EB">
        <w:rPr>
          <w:rFonts w:ascii="Palatino Linotype" w:hAnsi="Palatino Linotype"/>
          <w:lang w:val="en-US" w:eastAsia="cs-CZ"/>
        </w:rPr>
        <w:t xml:space="preserve">as few moves as possible under predetermined rules (only one bead can be moved at the same time and each bar has a maximum of beads </w:t>
      </w:r>
      <w:r w:rsidR="00234358">
        <w:rPr>
          <w:rFonts w:ascii="Palatino Linotype" w:hAnsi="Palatino Linotype"/>
          <w:lang w:val="en-US" w:eastAsia="cs-CZ"/>
        </w:rPr>
        <w:t>that</w:t>
      </w:r>
      <w:r w:rsidRPr="006D37EB">
        <w:rPr>
          <w:rFonts w:ascii="Palatino Linotype" w:hAnsi="Palatino Linotype"/>
          <w:lang w:val="en-US" w:eastAsia="cs-CZ"/>
        </w:rPr>
        <w:t xml:space="preserve"> can be placed on it). Ten tasks with increasing degree</w:t>
      </w:r>
      <w:r w:rsidR="00234358">
        <w:rPr>
          <w:rFonts w:ascii="Palatino Linotype" w:hAnsi="Palatino Linotype"/>
          <w:lang w:val="en-US" w:eastAsia="cs-CZ"/>
        </w:rPr>
        <w:t>s</w:t>
      </w:r>
      <w:r w:rsidRPr="006D37EB">
        <w:rPr>
          <w:rFonts w:ascii="Palatino Linotype" w:hAnsi="Palatino Linotype"/>
          <w:lang w:val="en-US" w:eastAsia="cs-CZ"/>
        </w:rPr>
        <w:t xml:space="preserve"> of difficulty were presented to each participant</w:t>
      </w:r>
      <w:r w:rsidR="00234358">
        <w:rPr>
          <w:rFonts w:ascii="Palatino Linotype" w:hAnsi="Palatino Linotype"/>
          <w:lang w:val="en-US" w:eastAsia="cs-CZ"/>
        </w:rPr>
        <w:t>,</w:t>
      </w:r>
      <w:r w:rsidRPr="006D37EB">
        <w:rPr>
          <w:rFonts w:ascii="Palatino Linotype" w:hAnsi="Palatino Linotype"/>
          <w:lang w:val="en-US" w:eastAsia="cs-CZ"/>
        </w:rPr>
        <w:t xml:space="preserve"> with </w:t>
      </w:r>
      <w:r w:rsidR="00234358">
        <w:rPr>
          <w:rFonts w:ascii="Palatino Linotype" w:hAnsi="Palatino Linotype"/>
          <w:lang w:val="en-US" w:eastAsia="cs-CZ"/>
        </w:rPr>
        <w:t xml:space="preserve">a </w:t>
      </w:r>
      <w:r w:rsidRPr="006D37EB">
        <w:rPr>
          <w:rFonts w:ascii="Palatino Linotype" w:hAnsi="Palatino Linotype"/>
          <w:lang w:val="en-US" w:eastAsia="cs-CZ"/>
        </w:rPr>
        <w:t>two</w:t>
      </w:r>
      <w:r w:rsidR="00234358">
        <w:rPr>
          <w:rFonts w:ascii="Palatino Linotype" w:hAnsi="Palatino Linotype"/>
          <w:lang w:val="en-US" w:eastAsia="cs-CZ"/>
        </w:rPr>
        <w:t>-</w:t>
      </w:r>
      <w:r w:rsidRPr="006D37EB">
        <w:rPr>
          <w:rFonts w:ascii="Palatino Linotype" w:hAnsi="Palatino Linotype"/>
          <w:lang w:val="en-US" w:eastAsia="cs-CZ"/>
        </w:rPr>
        <w:t xml:space="preserve">minute limit for completing each task. </w:t>
      </w:r>
      <w:r w:rsidR="00234358">
        <w:rPr>
          <w:rFonts w:ascii="Palatino Linotype" w:hAnsi="Palatino Linotype"/>
          <w:lang w:val="en-US" w:eastAsia="cs-CZ"/>
        </w:rPr>
        <w:t>The f</w:t>
      </w:r>
      <w:r w:rsidRPr="006D37EB">
        <w:rPr>
          <w:rFonts w:ascii="Palatino Linotype" w:hAnsi="Palatino Linotype"/>
          <w:lang w:val="en-US" w:eastAsia="cs-CZ"/>
        </w:rPr>
        <w:t xml:space="preserve">ollowing scores were recorded: </w:t>
      </w:r>
      <w:r w:rsidR="00234358">
        <w:rPr>
          <w:rFonts w:ascii="Palatino Linotype" w:hAnsi="Palatino Linotype"/>
          <w:i/>
          <w:lang w:val="en-US" w:eastAsia="cs-CZ"/>
        </w:rPr>
        <w:t>m</w:t>
      </w:r>
      <w:r w:rsidRPr="006D37EB">
        <w:rPr>
          <w:rFonts w:ascii="Palatino Linotype" w:hAnsi="Palatino Linotype"/>
          <w:i/>
          <w:lang w:val="en-US" w:eastAsia="cs-CZ"/>
        </w:rPr>
        <w:t>ove score</w:t>
      </w:r>
      <w:r w:rsidRPr="006D37EB">
        <w:rPr>
          <w:rFonts w:ascii="Palatino Linotype" w:hAnsi="Palatino Linotype"/>
          <w:lang w:val="en-US" w:eastAsia="cs-CZ"/>
        </w:rPr>
        <w:t xml:space="preserve"> represents the number of moves that the </w:t>
      </w:r>
      <w:r w:rsidRPr="006D37EB">
        <w:rPr>
          <w:rFonts w:ascii="Palatino Linotype" w:hAnsi="Palatino Linotype"/>
          <w:lang w:val="en-US" w:eastAsia="cs-CZ"/>
        </w:rPr>
        <w:lastRenderedPageBreak/>
        <w:t xml:space="preserve">participant needed to achieve the given configuration that exceeded the minimum number of required moves. </w:t>
      </w:r>
      <w:r w:rsidR="00234358">
        <w:rPr>
          <w:rFonts w:ascii="Palatino Linotype" w:hAnsi="Palatino Linotype"/>
          <w:lang w:val="en-US" w:eastAsia="cs-CZ"/>
        </w:rPr>
        <w:t xml:space="preserve">The </w:t>
      </w:r>
      <w:r w:rsidR="00234358">
        <w:rPr>
          <w:rFonts w:ascii="Palatino Linotype" w:hAnsi="Palatino Linotype"/>
          <w:i/>
          <w:lang w:val="en-US" w:eastAsia="cs-CZ"/>
        </w:rPr>
        <w:t>m</w:t>
      </w:r>
      <w:r w:rsidRPr="006D37EB">
        <w:rPr>
          <w:rFonts w:ascii="Palatino Linotype" w:hAnsi="Palatino Linotype"/>
          <w:i/>
          <w:lang w:val="en-US" w:eastAsia="cs-CZ"/>
        </w:rPr>
        <w:t>ove score</w:t>
      </w:r>
      <w:r w:rsidRPr="006D37EB">
        <w:rPr>
          <w:rFonts w:ascii="Palatino Linotype" w:hAnsi="Palatino Linotype"/>
          <w:lang w:val="en-US" w:eastAsia="cs-CZ"/>
        </w:rPr>
        <w:t xml:space="preserve"> gives information about the</w:t>
      </w:r>
      <w:r w:rsidRPr="006D37EB">
        <w:rPr>
          <w:rFonts w:ascii="Palatino Linotype" w:hAnsi="Palatino Linotype"/>
          <w:i/>
          <w:lang w:val="en-US" w:eastAsia="cs-CZ"/>
        </w:rPr>
        <w:t xml:space="preserve"> </w:t>
      </w:r>
      <w:r w:rsidRPr="006D37EB">
        <w:rPr>
          <w:rFonts w:ascii="Palatino Linotype" w:hAnsi="Palatino Linotype"/>
          <w:lang w:val="en-US" w:eastAsia="cs-CZ"/>
        </w:rPr>
        <w:t>overall efficiency of the participant’s problem solving, requiring planning and correct execution of the plan.</w:t>
      </w:r>
      <w:r w:rsidRPr="006D37EB">
        <w:rPr>
          <w:rFonts w:ascii="Palatino Linotype" w:hAnsi="Palatino Linotype"/>
          <w:i/>
          <w:lang w:val="en-US" w:eastAsia="cs-CZ"/>
        </w:rPr>
        <w:t xml:space="preserve"> Initiation</w:t>
      </w:r>
      <w:r w:rsidRPr="006D37EB">
        <w:rPr>
          <w:rFonts w:ascii="Palatino Linotype" w:hAnsi="Palatino Linotype"/>
          <w:lang w:val="en-US" w:eastAsia="cs-CZ"/>
        </w:rPr>
        <w:t xml:space="preserve"> </w:t>
      </w:r>
      <w:r w:rsidRPr="006D37EB">
        <w:rPr>
          <w:rFonts w:ascii="Palatino Linotype" w:hAnsi="Palatino Linotype"/>
          <w:i/>
          <w:lang w:val="en-US" w:eastAsia="cs-CZ"/>
        </w:rPr>
        <w:t>time</w:t>
      </w:r>
      <w:r w:rsidRPr="006D37EB">
        <w:rPr>
          <w:rFonts w:ascii="Palatino Linotype" w:hAnsi="Palatino Linotype"/>
          <w:lang w:val="en-US" w:eastAsia="cs-CZ"/>
        </w:rPr>
        <w:t xml:space="preserve"> represents the time between the reception of instruction and</w:t>
      </w:r>
      <w:r w:rsidRPr="006D37EB">
        <w:rPr>
          <w:rFonts w:ascii="Palatino Linotype" w:hAnsi="Palatino Linotype"/>
          <w:i/>
          <w:lang w:val="en-US"/>
        </w:rPr>
        <w:t xml:space="preserve"> </w:t>
      </w:r>
      <w:r w:rsidRPr="006D37EB">
        <w:rPr>
          <w:rFonts w:ascii="Palatino Linotype" w:hAnsi="Palatino Linotype"/>
          <w:lang w:val="en-US"/>
        </w:rPr>
        <w:t xml:space="preserve">initiation </w:t>
      </w:r>
      <w:r w:rsidRPr="006D37EB">
        <w:rPr>
          <w:rFonts w:ascii="Palatino Linotype" w:hAnsi="Palatino Linotype"/>
          <w:lang w:val="en-US" w:eastAsia="cs-CZ"/>
        </w:rPr>
        <w:t>of action</w:t>
      </w:r>
      <w:r w:rsidR="00DC7CDD">
        <w:rPr>
          <w:rFonts w:ascii="Palatino Linotype" w:hAnsi="Palatino Linotype"/>
          <w:lang w:val="en-US" w:eastAsia="cs-CZ"/>
        </w:rPr>
        <w:t>;</w:t>
      </w:r>
      <w:r w:rsidRPr="006D37EB">
        <w:rPr>
          <w:rFonts w:ascii="Palatino Linotype" w:hAnsi="Palatino Linotype"/>
          <w:lang w:val="en-US" w:eastAsia="cs-CZ"/>
        </w:rPr>
        <w:t xml:space="preserve"> in other words</w:t>
      </w:r>
      <w:r w:rsidR="00DC7CDD">
        <w:rPr>
          <w:rFonts w:ascii="Palatino Linotype" w:hAnsi="Palatino Linotype"/>
          <w:lang w:val="en-US" w:eastAsia="cs-CZ"/>
        </w:rPr>
        <w:t>, it is</w:t>
      </w:r>
      <w:r w:rsidRPr="006D37EB">
        <w:rPr>
          <w:rFonts w:ascii="Palatino Linotype" w:hAnsi="Palatino Linotype"/>
          <w:lang w:val="en-US" w:eastAsia="cs-CZ"/>
        </w:rPr>
        <w:t xml:space="preserve"> the time spent thinking about a plan before acting</w:t>
      </w:r>
      <w:r w:rsidR="00DC7CDD">
        <w:rPr>
          <w:rFonts w:ascii="Palatino Linotype" w:hAnsi="Palatino Linotype"/>
          <w:lang w:val="en-US" w:eastAsia="cs-CZ"/>
        </w:rPr>
        <w:t>.</w:t>
      </w:r>
      <w:r w:rsidRPr="006D37EB">
        <w:rPr>
          <w:rFonts w:ascii="Palatino Linotype" w:hAnsi="Palatino Linotype"/>
          <w:lang w:val="en-US"/>
        </w:rPr>
        <w:t xml:space="preserve"> </w:t>
      </w:r>
      <w:r w:rsidR="00DC7CDD">
        <w:rPr>
          <w:rFonts w:ascii="Palatino Linotype" w:hAnsi="Palatino Linotype"/>
          <w:i/>
          <w:lang w:val="en-US"/>
        </w:rPr>
        <w:t>E</w:t>
      </w:r>
      <w:r w:rsidRPr="006D37EB">
        <w:rPr>
          <w:rFonts w:ascii="Palatino Linotype" w:hAnsi="Palatino Linotype"/>
          <w:i/>
          <w:lang w:val="en-US"/>
        </w:rPr>
        <w:t>xecution time</w:t>
      </w:r>
      <w:r w:rsidRPr="006D37EB">
        <w:rPr>
          <w:rFonts w:ascii="Palatino Linotype" w:hAnsi="Palatino Linotype"/>
          <w:lang w:val="en-US" w:eastAsia="cs-CZ"/>
        </w:rPr>
        <w:t xml:space="preserve"> represents the time that participant needed to solve the task. </w:t>
      </w:r>
    </w:p>
    <w:p w14:paraId="08AB00B4" w14:textId="6728C308" w:rsidR="00A3464D" w:rsidRDefault="00A3464D">
      <w:pPr>
        <w:rPr>
          <w:rFonts w:ascii="Palatino Linotype" w:hAnsi="Palatino Linotype"/>
          <w:lang w:val="en-US"/>
        </w:rPr>
      </w:pPr>
      <w:r w:rsidRPr="006D37EB">
        <w:rPr>
          <w:rFonts w:ascii="Palatino Linotype" w:hAnsi="Palatino Linotype"/>
          <w:lang w:val="en-US" w:eastAsia="cs-CZ"/>
        </w:rPr>
        <w:t>Attention was assessed by a paper-and-pencil cancellation test d2-R</w:t>
      </w:r>
      <w:r w:rsidR="00DC7CDD">
        <w:rPr>
          <w:rFonts w:ascii="Palatino Linotype" w:hAnsi="Palatino Linotype"/>
          <w:lang w:val="en-US" w:eastAsia="cs-CZ"/>
        </w:rPr>
        <w:t xml:space="preserve"> </w:t>
      </w:r>
      <w:r w:rsidRPr="006D37EB">
        <w:rPr>
          <w:rFonts w:ascii="Palatino Linotype" w:hAnsi="Palatino Linotype"/>
          <w:lang w:val="en-US" w:eastAsia="cs-CZ"/>
        </w:rPr>
        <w:fldChar w:fldCharType="begin" w:fldLock="1"/>
      </w:r>
      <w:r w:rsidR="00C111CD">
        <w:rPr>
          <w:rFonts w:ascii="Palatino Linotype" w:hAnsi="Palatino Linotype"/>
          <w:lang w:val="en-US" w:eastAsia="cs-CZ"/>
        </w:rPr>
        <w:instrText>ADDIN CSL_CITATION {"citationItems":[{"id":"ITEM-1","itemData":{"author":[{"dropping-particle":"","family":"Brickenkamp","given":"R","non-dropping-particle":"","parse-names":false,"suffix":""},{"dropping-particle":"","family":"Schmidt-Atzert","given":"L","non-dropping-particle":"","parse-names":false,"suffix":""},{"dropping-particle":"","family":"Liepmann","given":"D","non-dropping-particle":"","parse-names":false,"suffix":""},{"dropping-particle":"","family":"Hoskovcová","given":"S","non-dropping-particle":"","parse-names":false,"suffix":""},{"dropping-particle":"","family":"Černochová","given":"D","non-dropping-particle":"","parse-names":false,"suffix":""}],"id":"ITEM-1","issued":{"date-parts":[["2014"]]},"publisher":"Hogrefe - Testcentrum","publisher-place":"Prague","title":"d2 attention test revised (Czech version)","type":"book"},"uris":["http://www.mendeley.com/documents/?uuid=8cf4d959-76e1-4f1a-9222-8aecb1505ad5"]}],"mendeley":{"formattedCitation":"(Brickenkamp, Schmidt-Atzert, Liepmann, Hoskovcová, &amp; Černochová, 2014)","plainTextFormattedCitation":"(Brickenkamp, Schmidt-Atzert, Liepmann, Hoskovcová, &amp; Černochová, 2014)","previouslyFormattedCitation":"&lt;sup&gt;7&lt;/sup&gt;"},"properties":{"noteIndex":0},"schema":"https://github.com/citation-style-language/schema/raw/master/csl-citation.json"}</w:instrText>
      </w:r>
      <w:r w:rsidRPr="006D37EB">
        <w:rPr>
          <w:rFonts w:ascii="Palatino Linotype" w:hAnsi="Palatino Linotype"/>
          <w:lang w:val="en-US" w:eastAsia="cs-CZ"/>
        </w:rPr>
        <w:fldChar w:fldCharType="separate"/>
      </w:r>
      <w:r w:rsidR="00C111CD" w:rsidRPr="00C111CD">
        <w:rPr>
          <w:rFonts w:ascii="Palatino Linotype" w:hAnsi="Palatino Linotype"/>
          <w:noProof/>
          <w:lang w:val="en-US" w:eastAsia="cs-CZ"/>
        </w:rPr>
        <w:t>(Brickenkamp</w:t>
      </w:r>
      <w:r w:rsidR="00DC7CDD">
        <w:rPr>
          <w:rFonts w:ascii="Palatino Linotype" w:hAnsi="Palatino Linotype"/>
          <w:noProof/>
          <w:lang w:val="en-US" w:eastAsia="cs-CZ"/>
        </w:rPr>
        <w:t xml:space="preserve"> </w:t>
      </w:r>
      <w:r w:rsidR="00DC7CDD" w:rsidRPr="00E36B5B">
        <w:rPr>
          <w:rFonts w:ascii="Palatino Linotype" w:hAnsi="Palatino Linotype"/>
          <w:i/>
          <w:noProof/>
          <w:lang w:val="en-US" w:eastAsia="cs-CZ"/>
        </w:rPr>
        <w:t>et al</w:t>
      </w:r>
      <w:r w:rsidR="00DC7CDD">
        <w:rPr>
          <w:rFonts w:ascii="Palatino Linotype" w:hAnsi="Palatino Linotype"/>
          <w:noProof/>
          <w:lang w:val="en-US" w:eastAsia="cs-CZ"/>
        </w:rPr>
        <w:t>.</w:t>
      </w:r>
      <w:r w:rsidR="00C111CD" w:rsidRPr="00C111CD">
        <w:rPr>
          <w:rFonts w:ascii="Palatino Linotype" w:hAnsi="Palatino Linotype"/>
          <w:noProof/>
          <w:lang w:val="en-US" w:eastAsia="cs-CZ"/>
        </w:rPr>
        <w:t>, 2014)</w:t>
      </w:r>
      <w:r w:rsidRPr="006D37EB">
        <w:rPr>
          <w:rFonts w:ascii="Palatino Linotype" w:hAnsi="Palatino Linotype"/>
          <w:lang w:val="en-US" w:eastAsia="cs-CZ"/>
        </w:rPr>
        <w:fldChar w:fldCharType="end"/>
      </w:r>
      <w:r w:rsidRPr="006D37EB">
        <w:rPr>
          <w:rFonts w:ascii="Palatino Linotype" w:hAnsi="Palatino Linotype"/>
          <w:lang w:val="en-US" w:eastAsia="cs-CZ"/>
        </w:rPr>
        <w:t xml:space="preserve"> T</w:t>
      </w:r>
      <w:r w:rsidR="00DC7CDD">
        <w:rPr>
          <w:rFonts w:ascii="Palatino Linotype" w:hAnsi="Palatino Linotype"/>
          <w:lang w:val="en-US" w:eastAsia="cs-CZ"/>
        </w:rPr>
        <w:t>he t</w:t>
      </w:r>
      <w:r w:rsidRPr="006D37EB">
        <w:rPr>
          <w:rFonts w:ascii="Palatino Linotype" w:hAnsi="Palatino Linotype"/>
          <w:lang w:val="en-US" w:eastAsia="cs-CZ"/>
        </w:rPr>
        <w:t xml:space="preserve">est consisted of 14 rows with 47 characters. Each character was </w:t>
      </w:r>
      <w:r w:rsidR="00DC7CDD">
        <w:rPr>
          <w:rFonts w:ascii="Palatino Linotype" w:hAnsi="Palatino Linotype"/>
          <w:lang w:val="en-US" w:eastAsia="cs-CZ"/>
        </w:rPr>
        <w:t xml:space="preserve">either a </w:t>
      </w:r>
      <w:r w:rsidRPr="006D37EB">
        <w:rPr>
          <w:rFonts w:ascii="Palatino Linotype" w:hAnsi="Palatino Linotype"/>
          <w:lang w:val="en-US" w:eastAsia="cs-CZ"/>
        </w:rPr>
        <w:t xml:space="preserve">letter “p” or “d” and one to four dashes were placed above or below each letter (or both). </w:t>
      </w:r>
      <w:r w:rsidR="00DC7CDD">
        <w:rPr>
          <w:rFonts w:ascii="Palatino Linotype" w:hAnsi="Palatino Linotype"/>
          <w:lang w:val="en-US" w:eastAsia="cs-CZ"/>
        </w:rPr>
        <w:t>The p</w:t>
      </w:r>
      <w:r w:rsidRPr="006D37EB">
        <w:rPr>
          <w:rFonts w:ascii="Palatino Linotype" w:hAnsi="Palatino Linotype"/>
          <w:lang w:val="en-US" w:eastAsia="cs-CZ"/>
        </w:rPr>
        <w:t xml:space="preserve">articipant’s task was to scan the rows and cancel out as many “d” </w:t>
      </w:r>
      <w:r w:rsidR="00DC7CDD">
        <w:rPr>
          <w:rFonts w:ascii="Palatino Linotype" w:hAnsi="Palatino Linotype"/>
          <w:lang w:val="en-US" w:eastAsia="cs-CZ"/>
        </w:rPr>
        <w:t xml:space="preserve">characters </w:t>
      </w:r>
      <w:r w:rsidRPr="006D37EB">
        <w:rPr>
          <w:rFonts w:ascii="Palatino Linotype" w:hAnsi="Palatino Linotype"/>
          <w:lang w:val="en-US" w:eastAsia="cs-CZ"/>
        </w:rPr>
        <w:t>with two dashes above as possible while ignoring all other characters. T</w:t>
      </w:r>
      <w:r w:rsidR="00DC7CDD">
        <w:rPr>
          <w:rFonts w:ascii="Palatino Linotype" w:hAnsi="Palatino Linotype"/>
          <w:lang w:val="en-US" w:eastAsia="cs-CZ"/>
        </w:rPr>
        <w:t>he t</w:t>
      </w:r>
      <w:r w:rsidRPr="006D37EB">
        <w:rPr>
          <w:rFonts w:ascii="Palatino Linotype" w:hAnsi="Palatino Linotype"/>
          <w:lang w:val="en-US" w:eastAsia="cs-CZ"/>
        </w:rPr>
        <w:t xml:space="preserve">ime limit for each line was set to 20 seconds and no pauses were allowed between the rows. </w:t>
      </w:r>
      <w:r w:rsidR="00DC7CDD">
        <w:rPr>
          <w:rFonts w:ascii="Palatino Linotype" w:hAnsi="Palatino Linotype"/>
          <w:lang w:val="en-US" w:eastAsia="cs-CZ"/>
        </w:rPr>
        <w:t>The f</w:t>
      </w:r>
      <w:r w:rsidRPr="006D37EB">
        <w:rPr>
          <w:rFonts w:ascii="Palatino Linotype" w:hAnsi="Palatino Linotype"/>
          <w:lang w:val="en-US" w:eastAsia="cs-CZ"/>
        </w:rPr>
        <w:t xml:space="preserve">ollowing scores were recorded: </w:t>
      </w:r>
      <w:r w:rsidRPr="006D37EB">
        <w:rPr>
          <w:rFonts w:ascii="Palatino Linotype" w:hAnsi="Palatino Linotype"/>
          <w:i/>
          <w:lang w:val="en-US" w:eastAsia="cs-CZ"/>
        </w:rPr>
        <w:t>speed</w:t>
      </w:r>
      <w:r w:rsidRPr="006D37EB">
        <w:rPr>
          <w:rFonts w:ascii="Palatino Linotype" w:hAnsi="Palatino Linotype"/>
          <w:lang w:val="en-US" w:eastAsia="cs-CZ"/>
        </w:rPr>
        <w:t xml:space="preserve"> (represents total number of items worked through) and </w:t>
      </w:r>
      <w:r w:rsidRPr="006D37EB">
        <w:rPr>
          <w:rFonts w:ascii="Palatino Linotype" w:hAnsi="Palatino Linotype"/>
          <w:i/>
          <w:lang w:val="en-US" w:eastAsia="cs-CZ"/>
        </w:rPr>
        <w:t>accuracy</w:t>
      </w:r>
      <w:r w:rsidRPr="006D37EB">
        <w:rPr>
          <w:rFonts w:ascii="Palatino Linotype" w:hAnsi="Palatino Linotype"/>
          <w:lang w:val="en-US" w:eastAsia="cs-CZ"/>
        </w:rPr>
        <w:t xml:space="preserve"> (represents percentage of omission and commission errors</w:t>
      </w:r>
      <w:r w:rsidRPr="006D37EB">
        <w:rPr>
          <w:rFonts w:ascii="Palatino Linotype" w:hAnsi="Palatino Linotype"/>
          <w:lang w:val="en-US"/>
        </w:rPr>
        <w:t>).</w:t>
      </w:r>
    </w:p>
    <w:p w14:paraId="2346BABB" w14:textId="52DBA7B5" w:rsidR="00B6448A" w:rsidRPr="00AD2B46" w:rsidRDefault="00A5583A">
      <w:pPr>
        <w:rPr>
          <w:rFonts w:ascii="Palatino Linotype" w:hAnsi="Palatino Linotype"/>
          <w:b/>
          <w:lang w:val="en-US"/>
        </w:rPr>
      </w:pPr>
      <w:r w:rsidRPr="00AD2B46">
        <w:rPr>
          <w:rFonts w:ascii="Palatino Linotype" w:hAnsi="Palatino Linotype"/>
          <w:b/>
          <w:lang w:val="en-US"/>
        </w:rPr>
        <w:t>REFERENCES</w:t>
      </w:r>
    </w:p>
    <w:p w14:paraId="6B765A65" w14:textId="25E56758" w:rsidR="00C111CD" w:rsidRPr="00C111CD" w:rsidRDefault="00B6448A" w:rsidP="00C111CD">
      <w:pPr>
        <w:widowControl w:val="0"/>
        <w:autoSpaceDE w:val="0"/>
        <w:autoSpaceDN w:val="0"/>
        <w:adjustRightInd w:val="0"/>
        <w:spacing w:line="240" w:lineRule="auto"/>
        <w:ind w:left="480" w:hanging="480"/>
        <w:rPr>
          <w:rFonts w:ascii="Palatino Linotype" w:hAnsi="Palatino Linotype" w:cs="Times New Roman"/>
          <w:noProof/>
          <w:szCs w:val="24"/>
        </w:rPr>
      </w:pPr>
      <w:r>
        <w:rPr>
          <w:rFonts w:ascii="Palatino Linotype" w:hAnsi="Palatino Linotype"/>
          <w:lang w:val="en-US"/>
        </w:rPr>
        <w:fldChar w:fldCharType="begin" w:fldLock="1"/>
      </w:r>
      <w:r>
        <w:rPr>
          <w:rFonts w:ascii="Palatino Linotype" w:hAnsi="Palatino Linotype"/>
          <w:lang w:val="en-US"/>
        </w:rPr>
        <w:instrText xml:space="preserve">ADDIN Mendeley Bibliography CSL_BIBLIOGRAPHY </w:instrText>
      </w:r>
      <w:r>
        <w:rPr>
          <w:rFonts w:ascii="Palatino Linotype" w:hAnsi="Palatino Linotype"/>
          <w:lang w:val="en-US"/>
        </w:rPr>
        <w:fldChar w:fldCharType="separate"/>
      </w:r>
      <w:r w:rsidR="00C111CD" w:rsidRPr="00974153">
        <w:rPr>
          <w:rFonts w:ascii="Palatino Linotype" w:hAnsi="Palatino Linotype" w:cs="Times New Roman"/>
          <w:b/>
          <w:bCs/>
          <w:noProof/>
          <w:szCs w:val="24"/>
        </w:rPr>
        <w:t>Brickenkamp R, Schmidt-Atzert L, Liepmann D, Hoskovcová</w:t>
      </w:r>
      <w:r w:rsidR="00974153" w:rsidRPr="00974153">
        <w:rPr>
          <w:rFonts w:ascii="Palatino Linotype" w:hAnsi="Palatino Linotype" w:cs="Times New Roman"/>
          <w:b/>
          <w:bCs/>
          <w:noProof/>
          <w:szCs w:val="24"/>
        </w:rPr>
        <w:t xml:space="preserve"> </w:t>
      </w:r>
      <w:r w:rsidR="00C111CD" w:rsidRPr="00974153">
        <w:rPr>
          <w:rFonts w:ascii="Palatino Linotype" w:hAnsi="Palatino Linotype" w:cs="Times New Roman"/>
          <w:b/>
          <w:bCs/>
          <w:noProof/>
          <w:szCs w:val="24"/>
        </w:rPr>
        <w:t>S, Černochová</w:t>
      </w:r>
      <w:r w:rsidR="00974153" w:rsidRPr="00974153">
        <w:rPr>
          <w:rFonts w:ascii="Palatino Linotype" w:hAnsi="Palatino Linotype" w:cs="Times New Roman"/>
          <w:b/>
          <w:bCs/>
          <w:noProof/>
          <w:szCs w:val="24"/>
        </w:rPr>
        <w:t xml:space="preserve"> </w:t>
      </w:r>
      <w:r w:rsidR="00C111CD" w:rsidRPr="00974153">
        <w:rPr>
          <w:rFonts w:ascii="Palatino Linotype" w:hAnsi="Palatino Linotype" w:cs="Times New Roman"/>
          <w:b/>
          <w:bCs/>
          <w:noProof/>
          <w:szCs w:val="24"/>
        </w:rPr>
        <w:t>D</w:t>
      </w:r>
      <w:r w:rsidR="00C111CD" w:rsidRPr="00C111CD">
        <w:rPr>
          <w:rFonts w:ascii="Palatino Linotype" w:hAnsi="Palatino Linotype" w:cs="Times New Roman"/>
          <w:noProof/>
          <w:szCs w:val="24"/>
        </w:rPr>
        <w:t xml:space="preserve"> (2014). </w:t>
      </w:r>
      <w:r w:rsidR="00C111CD" w:rsidRPr="00C111CD">
        <w:rPr>
          <w:rFonts w:ascii="Palatino Linotype" w:hAnsi="Palatino Linotype" w:cs="Times New Roman"/>
          <w:i/>
          <w:iCs/>
          <w:noProof/>
          <w:szCs w:val="24"/>
        </w:rPr>
        <w:t>d2 attention test revised (Czech version)</w:t>
      </w:r>
      <w:r w:rsidR="00C111CD" w:rsidRPr="00C111CD">
        <w:rPr>
          <w:rFonts w:ascii="Palatino Linotype" w:hAnsi="Palatino Linotype" w:cs="Times New Roman"/>
          <w:noProof/>
          <w:szCs w:val="24"/>
        </w:rPr>
        <w:t>. Prague: Hogrefe - Testcentrum.</w:t>
      </w:r>
    </w:p>
    <w:p w14:paraId="3676B2F4" w14:textId="149E26CF" w:rsidR="00C111CD" w:rsidRPr="00C111CD" w:rsidRDefault="00C111CD" w:rsidP="00C111CD">
      <w:pPr>
        <w:widowControl w:val="0"/>
        <w:autoSpaceDE w:val="0"/>
        <w:autoSpaceDN w:val="0"/>
        <w:adjustRightInd w:val="0"/>
        <w:spacing w:line="240" w:lineRule="auto"/>
        <w:ind w:left="480" w:hanging="480"/>
        <w:rPr>
          <w:rFonts w:ascii="Palatino Linotype" w:hAnsi="Palatino Linotype" w:cs="Times New Roman"/>
          <w:noProof/>
          <w:szCs w:val="24"/>
        </w:rPr>
      </w:pPr>
      <w:r w:rsidRPr="00974153">
        <w:rPr>
          <w:rFonts w:ascii="Palatino Linotype" w:hAnsi="Palatino Linotype" w:cs="Times New Roman"/>
          <w:b/>
          <w:bCs/>
          <w:noProof/>
          <w:szCs w:val="24"/>
        </w:rPr>
        <w:t>Culbertson W</w:t>
      </w:r>
      <w:r w:rsidR="00974153" w:rsidRPr="00974153">
        <w:rPr>
          <w:rFonts w:ascii="Palatino Linotype" w:hAnsi="Palatino Linotype" w:cs="Times New Roman"/>
          <w:b/>
          <w:bCs/>
          <w:noProof/>
          <w:szCs w:val="24"/>
        </w:rPr>
        <w:t>,</w:t>
      </w:r>
      <w:r w:rsidRPr="00974153">
        <w:rPr>
          <w:rFonts w:ascii="Palatino Linotype" w:hAnsi="Palatino Linotype" w:cs="Times New Roman"/>
          <w:b/>
          <w:bCs/>
          <w:noProof/>
          <w:szCs w:val="24"/>
        </w:rPr>
        <w:t xml:space="preserve"> Zillmer E</w:t>
      </w:r>
      <w:r w:rsidRPr="00C111CD">
        <w:rPr>
          <w:rFonts w:ascii="Palatino Linotype" w:hAnsi="Palatino Linotype" w:cs="Times New Roman"/>
          <w:noProof/>
          <w:szCs w:val="24"/>
        </w:rPr>
        <w:t xml:space="preserve"> (2005). </w:t>
      </w:r>
      <w:r w:rsidRPr="00C111CD">
        <w:rPr>
          <w:rFonts w:ascii="Palatino Linotype" w:hAnsi="Palatino Linotype" w:cs="Times New Roman"/>
          <w:i/>
          <w:iCs/>
          <w:noProof/>
          <w:szCs w:val="24"/>
        </w:rPr>
        <w:t>Tower of London - Drexel University</w:t>
      </w:r>
      <w:r w:rsidRPr="00C111CD">
        <w:rPr>
          <w:rFonts w:ascii="Palatino Linotype" w:hAnsi="Palatino Linotype" w:cs="Times New Roman"/>
          <w:noProof/>
          <w:szCs w:val="24"/>
        </w:rPr>
        <w:t xml:space="preserve"> (2nd ed.). Toronto: Multi-Health Systems.</w:t>
      </w:r>
    </w:p>
    <w:p w14:paraId="02BC019A" w14:textId="402C170C" w:rsidR="00C111CD" w:rsidRPr="00C111CD" w:rsidRDefault="00C111CD" w:rsidP="00C111CD">
      <w:pPr>
        <w:widowControl w:val="0"/>
        <w:autoSpaceDE w:val="0"/>
        <w:autoSpaceDN w:val="0"/>
        <w:adjustRightInd w:val="0"/>
        <w:spacing w:line="240" w:lineRule="auto"/>
        <w:ind w:left="480" w:hanging="480"/>
        <w:rPr>
          <w:rFonts w:ascii="Palatino Linotype" w:hAnsi="Palatino Linotype" w:cs="Times New Roman"/>
          <w:noProof/>
          <w:szCs w:val="24"/>
        </w:rPr>
      </w:pPr>
      <w:r w:rsidRPr="00974153">
        <w:rPr>
          <w:rFonts w:ascii="Palatino Linotype" w:hAnsi="Palatino Linotype" w:cs="Times New Roman"/>
          <w:b/>
          <w:bCs/>
          <w:noProof/>
          <w:szCs w:val="24"/>
        </w:rPr>
        <w:t>Nieuwenhuis S, Yeung N, van den Wildenberg W, Ridderinkhof KR</w:t>
      </w:r>
      <w:r w:rsidRPr="00C111CD">
        <w:rPr>
          <w:rFonts w:ascii="Palatino Linotype" w:hAnsi="Palatino Linotype" w:cs="Times New Roman"/>
          <w:noProof/>
          <w:szCs w:val="24"/>
        </w:rPr>
        <w:t xml:space="preserve"> (2003). Electrophysiological correlates of anterior cingulate function in a go/no-go task: effects of response conflict and trial type frequency. </w:t>
      </w:r>
      <w:r w:rsidRPr="00C111CD">
        <w:rPr>
          <w:rFonts w:ascii="Palatino Linotype" w:hAnsi="Palatino Linotype" w:cs="Times New Roman"/>
          <w:i/>
          <w:iCs/>
          <w:noProof/>
          <w:szCs w:val="24"/>
        </w:rPr>
        <w:t>Cognitive, Affective &amp; Behavioral Neuroscience</w:t>
      </w:r>
      <w:r w:rsidRPr="00C111CD">
        <w:rPr>
          <w:rFonts w:ascii="Palatino Linotype" w:hAnsi="Palatino Linotype" w:cs="Times New Roman"/>
          <w:noProof/>
          <w:szCs w:val="24"/>
        </w:rPr>
        <w:t xml:space="preserve"> </w:t>
      </w:r>
      <w:r w:rsidRPr="00974153">
        <w:rPr>
          <w:rFonts w:ascii="Palatino Linotype" w:hAnsi="Palatino Linotype" w:cs="Times New Roman"/>
          <w:b/>
          <w:bCs/>
          <w:noProof/>
          <w:szCs w:val="24"/>
        </w:rPr>
        <w:t>3</w:t>
      </w:r>
      <w:r w:rsidRPr="00C111CD">
        <w:rPr>
          <w:rFonts w:ascii="Palatino Linotype" w:hAnsi="Palatino Linotype" w:cs="Times New Roman"/>
          <w:noProof/>
          <w:szCs w:val="24"/>
        </w:rPr>
        <w:t>, 17–26</w:t>
      </w:r>
      <w:r w:rsidR="00974153">
        <w:rPr>
          <w:rFonts w:ascii="Palatino Linotype" w:hAnsi="Palatino Linotype" w:cs="Times New Roman"/>
          <w:noProof/>
          <w:szCs w:val="24"/>
        </w:rPr>
        <w:t>.</w:t>
      </w:r>
    </w:p>
    <w:p w14:paraId="019624F3" w14:textId="67AB8DB8" w:rsidR="00C111CD" w:rsidRPr="00C111CD" w:rsidRDefault="00C111CD" w:rsidP="00C111CD">
      <w:pPr>
        <w:widowControl w:val="0"/>
        <w:autoSpaceDE w:val="0"/>
        <w:autoSpaceDN w:val="0"/>
        <w:adjustRightInd w:val="0"/>
        <w:spacing w:line="240" w:lineRule="auto"/>
        <w:ind w:left="480" w:hanging="480"/>
        <w:rPr>
          <w:rFonts w:ascii="Palatino Linotype" w:hAnsi="Palatino Linotype" w:cs="Times New Roman"/>
          <w:noProof/>
          <w:szCs w:val="24"/>
        </w:rPr>
      </w:pPr>
      <w:r w:rsidRPr="00974153">
        <w:rPr>
          <w:rFonts w:ascii="Palatino Linotype" w:hAnsi="Palatino Linotype" w:cs="Times New Roman"/>
          <w:b/>
          <w:bCs/>
          <w:noProof/>
          <w:szCs w:val="24"/>
        </w:rPr>
        <w:t xml:space="preserve">Odum AL </w:t>
      </w:r>
      <w:r w:rsidRPr="00C111CD">
        <w:rPr>
          <w:rFonts w:ascii="Palatino Linotype" w:hAnsi="Palatino Linotype" w:cs="Times New Roman"/>
          <w:noProof/>
          <w:szCs w:val="24"/>
        </w:rPr>
        <w:t xml:space="preserve">(2011). Delay Discounting: I’m a k, You’re a k. </w:t>
      </w:r>
      <w:r w:rsidRPr="00C111CD">
        <w:rPr>
          <w:rFonts w:ascii="Palatino Linotype" w:hAnsi="Palatino Linotype" w:cs="Times New Roman"/>
          <w:i/>
          <w:iCs/>
          <w:noProof/>
          <w:szCs w:val="24"/>
        </w:rPr>
        <w:t>Journal of the Experimental Analysis of Behavior</w:t>
      </w:r>
      <w:r w:rsidRPr="00C111CD">
        <w:rPr>
          <w:rFonts w:ascii="Palatino Linotype" w:hAnsi="Palatino Linotype" w:cs="Times New Roman"/>
          <w:noProof/>
          <w:szCs w:val="24"/>
        </w:rPr>
        <w:t xml:space="preserve"> </w:t>
      </w:r>
      <w:r w:rsidRPr="00974153">
        <w:rPr>
          <w:rFonts w:ascii="Palatino Linotype" w:hAnsi="Palatino Linotype" w:cs="Times New Roman"/>
          <w:b/>
          <w:bCs/>
          <w:noProof/>
          <w:szCs w:val="24"/>
        </w:rPr>
        <w:t>96</w:t>
      </w:r>
      <w:r w:rsidRPr="00C111CD">
        <w:rPr>
          <w:rFonts w:ascii="Palatino Linotype" w:hAnsi="Palatino Linotype" w:cs="Times New Roman"/>
          <w:noProof/>
          <w:szCs w:val="24"/>
        </w:rPr>
        <w:t>, 427–439.</w:t>
      </w:r>
    </w:p>
    <w:p w14:paraId="78143400" w14:textId="6760EA00" w:rsidR="00C111CD" w:rsidRPr="00C111CD" w:rsidRDefault="00C111CD" w:rsidP="00C111CD">
      <w:pPr>
        <w:widowControl w:val="0"/>
        <w:autoSpaceDE w:val="0"/>
        <w:autoSpaceDN w:val="0"/>
        <w:adjustRightInd w:val="0"/>
        <w:spacing w:line="240" w:lineRule="auto"/>
        <w:ind w:left="480" w:hanging="480"/>
        <w:rPr>
          <w:rFonts w:ascii="Palatino Linotype" w:hAnsi="Palatino Linotype" w:cs="Times New Roman"/>
          <w:noProof/>
          <w:szCs w:val="24"/>
        </w:rPr>
      </w:pPr>
      <w:r w:rsidRPr="00974153">
        <w:rPr>
          <w:rFonts w:ascii="Palatino Linotype" w:hAnsi="Palatino Linotype" w:cs="Times New Roman"/>
          <w:b/>
          <w:bCs/>
          <w:noProof/>
          <w:szCs w:val="24"/>
        </w:rPr>
        <w:t>Richards</w:t>
      </w:r>
      <w:r w:rsidR="00974153" w:rsidRPr="00974153">
        <w:rPr>
          <w:rFonts w:ascii="Palatino Linotype" w:hAnsi="Palatino Linotype" w:cs="Times New Roman"/>
          <w:b/>
          <w:bCs/>
          <w:noProof/>
          <w:szCs w:val="24"/>
        </w:rPr>
        <w:t xml:space="preserve"> </w:t>
      </w:r>
      <w:r w:rsidRPr="00974153">
        <w:rPr>
          <w:rFonts w:ascii="Palatino Linotype" w:hAnsi="Palatino Linotype" w:cs="Times New Roman"/>
          <w:b/>
          <w:bCs/>
          <w:noProof/>
          <w:szCs w:val="24"/>
        </w:rPr>
        <w:t>JB, Zhang L, Mitchell SH, de Wit H</w:t>
      </w:r>
      <w:r w:rsidRPr="00C111CD">
        <w:rPr>
          <w:rFonts w:ascii="Palatino Linotype" w:hAnsi="Palatino Linotype" w:cs="Times New Roman"/>
          <w:noProof/>
          <w:szCs w:val="24"/>
        </w:rPr>
        <w:t xml:space="preserve"> (1999). Delay or probability discounting in a model of impulsive behavior: effect of alcohol. </w:t>
      </w:r>
      <w:r w:rsidRPr="00C111CD">
        <w:rPr>
          <w:rFonts w:ascii="Palatino Linotype" w:hAnsi="Palatino Linotype" w:cs="Times New Roman"/>
          <w:i/>
          <w:iCs/>
          <w:noProof/>
          <w:szCs w:val="24"/>
        </w:rPr>
        <w:t>Journal of the Experimental Analysis of Behavior</w:t>
      </w:r>
      <w:r w:rsidRPr="00C111CD">
        <w:rPr>
          <w:rFonts w:ascii="Palatino Linotype" w:hAnsi="Palatino Linotype" w:cs="Times New Roman"/>
          <w:noProof/>
          <w:szCs w:val="24"/>
        </w:rPr>
        <w:t xml:space="preserve"> </w:t>
      </w:r>
      <w:r w:rsidRPr="00974153">
        <w:rPr>
          <w:rFonts w:ascii="Palatino Linotype" w:hAnsi="Palatino Linotype" w:cs="Times New Roman"/>
          <w:b/>
          <w:bCs/>
          <w:noProof/>
          <w:szCs w:val="24"/>
        </w:rPr>
        <w:t>71</w:t>
      </w:r>
      <w:r w:rsidRPr="00C111CD">
        <w:rPr>
          <w:rFonts w:ascii="Palatino Linotype" w:hAnsi="Palatino Linotype" w:cs="Times New Roman"/>
          <w:noProof/>
          <w:szCs w:val="24"/>
        </w:rPr>
        <w:t>, 121–143.</w:t>
      </w:r>
    </w:p>
    <w:p w14:paraId="3A1BDDE7" w14:textId="6C26C59E" w:rsidR="00C111CD" w:rsidRPr="00C111CD" w:rsidRDefault="00C111CD" w:rsidP="00C111CD">
      <w:pPr>
        <w:widowControl w:val="0"/>
        <w:autoSpaceDE w:val="0"/>
        <w:autoSpaceDN w:val="0"/>
        <w:adjustRightInd w:val="0"/>
        <w:spacing w:line="240" w:lineRule="auto"/>
        <w:ind w:left="480" w:hanging="480"/>
        <w:rPr>
          <w:rFonts w:ascii="Palatino Linotype" w:hAnsi="Palatino Linotype" w:cs="Times New Roman"/>
          <w:noProof/>
          <w:szCs w:val="24"/>
        </w:rPr>
      </w:pPr>
      <w:r w:rsidRPr="00974153">
        <w:rPr>
          <w:rFonts w:ascii="Palatino Linotype" w:hAnsi="Palatino Linotype" w:cs="Times New Roman"/>
          <w:b/>
          <w:bCs/>
          <w:noProof/>
          <w:szCs w:val="24"/>
        </w:rPr>
        <w:t>Verbruggen F, Logan GD</w:t>
      </w:r>
      <w:r w:rsidRPr="00C111CD">
        <w:rPr>
          <w:rFonts w:ascii="Palatino Linotype" w:hAnsi="Palatino Linotype" w:cs="Times New Roman"/>
          <w:noProof/>
          <w:szCs w:val="24"/>
        </w:rPr>
        <w:t xml:space="preserve"> (2009). Models of response inhibition in the stop-signal and stop-change paradigms. </w:t>
      </w:r>
      <w:r w:rsidRPr="00C111CD">
        <w:rPr>
          <w:rFonts w:ascii="Palatino Linotype" w:hAnsi="Palatino Linotype" w:cs="Times New Roman"/>
          <w:i/>
          <w:iCs/>
          <w:noProof/>
          <w:szCs w:val="24"/>
        </w:rPr>
        <w:t>Neuroscience and Biobehavioral Reviews</w:t>
      </w:r>
      <w:r w:rsidRPr="00C111CD">
        <w:rPr>
          <w:rFonts w:ascii="Palatino Linotype" w:hAnsi="Palatino Linotype" w:cs="Times New Roman"/>
          <w:noProof/>
          <w:szCs w:val="24"/>
        </w:rPr>
        <w:t xml:space="preserve"> </w:t>
      </w:r>
      <w:r w:rsidRPr="00974153">
        <w:rPr>
          <w:rFonts w:ascii="Palatino Linotype" w:hAnsi="Palatino Linotype" w:cs="Times New Roman"/>
          <w:b/>
          <w:bCs/>
          <w:noProof/>
          <w:szCs w:val="24"/>
        </w:rPr>
        <w:t>33</w:t>
      </w:r>
      <w:r w:rsidRPr="00C111CD">
        <w:rPr>
          <w:rFonts w:ascii="Palatino Linotype" w:hAnsi="Palatino Linotype" w:cs="Times New Roman"/>
          <w:noProof/>
          <w:szCs w:val="24"/>
        </w:rPr>
        <w:t>, 647–61.</w:t>
      </w:r>
    </w:p>
    <w:p w14:paraId="5A1CC1F4" w14:textId="71B73379" w:rsidR="00C111CD" w:rsidRPr="00C111CD" w:rsidRDefault="00C111CD" w:rsidP="00C111CD">
      <w:pPr>
        <w:widowControl w:val="0"/>
        <w:autoSpaceDE w:val="0"/>
        <w:autoSpaceDN w:val="0"/>
        <w:adjustRightInd w:val="0"/>
        <w:spacing w:line="240" w:lineRule="auto"/>
        <w:ind w:left="480" w:hanging="480"/>
        <w:rPr>
          <w:rFonts w:ascii="Palatino Linotype" w:hAnsi="Palatino Linotype"/>
          <w:noProof/>
        </w:rPr>
      </w:pPr>
      <w:r w:rsidRPr="00974153">
        <w:rPr>
          <w:rFonts w:ascii="Palatino Linotype" w:hAnsi="Palatino Linotype" w:cs="Times New Roman"/>
          <w:b/>
          <w:bCs/>
          <w:noProof/>
          <w:szCs w:val="24"/>
        </w:rPr>
        <w:t>Wechsler D</w:t>
      </w:r>
      <w:r w:rsidRPr="00C111CD">
        <w:rPr>
          <w:rFonts w:ascii="Palatino Linotype" w:hAnsi="Palatino Linotype" w:cs="Times New Roman"/>
          <w:noProof/>
          <w:szCs w:val="24"/>
        </w:rPr>
        <w:t xml:space="preserve"> (1997). </w:t>
      </w:r>
      <w:r w:rsidRPr="00C111CD">
        <w:rPr>
          <w:rFonts w:ascii="Palatino Linotype" w:hAnsi="Palatino Linotype" w:cs="Times New Roman"/>
          <w:i/>
          <w:iCs/>
          <w:noProof/>
          <w:szCs w:val="24"/>
        </w:rPr>
        <w:t>Wechsler Adult Intelligence Scale – Third Edition Manual</w:t>
      </w:r>
      <w:r w:rsidRPr="00C111CD">
        <w:rPr>
          <w:rFonts w:ascii="Palatino Linotype" w:hAnsi="Palatino Linotype" w:cs="Times New Roman"/>
          <w:noProof/>
          <w:szCs w:val="24"/>
        </w:rPr>
        <w:t xml:space="preserve"> (3rd ed.). San Antonio: The Psychological Corporation.</w:t>
      </w:r>
    </w:p>
    <w:p w14:paraId="1C49A215" w14:textId="77777777" w:rsidR="00B6448A" w:rsidRDefault="00B6448A">
      <w:pPr>
        <w:rPr>
          <w:rFonts w:ascii="Palatino Linotype" w:hAnsi="Palatino Linotype"/>
          <w:lang w:val="en-US"/>
        </w:rPr>
      </w:pPr>
      <w:r>
        <w:rPr>
          <w:rFonts w:ascii="Palatino Linotype" w:hAnsi="Palatino Linotype"/>
          <w:lang w:val="en-US"/>
        </w:rPr>
        <w:fldChar w:fldCharType="end"/>
      </w:r>
    </w:p>
    <w:p w14:paraId="4FDBBD72" w14:textId="77777777" w:rsidR="00B6448A" w:rsidRPr="00B94A30" w:rsidRDefault="00B6448A">
      <w:pPr>
        <w:rPr>
          <w:rFonts w:ascii="Palatino Linotype" w:hAnsi="Palatino Linotype"/>
          <w:lang w:val="en-US"/>
        </w:rPr>
      </w:pPr>
      <w:bookmarkStart w:id="1" w:name="_GoBack"/>
      <w:bookmarkEnd w:id="1"/>
    </w:p>
    <w:sectPr w:rsidR="00B6448A" w:rsidRPr="00B94A3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DEB9" w14:textId="77777777" w:rsidR="001172AC" w:rsidRDefault="001172AC" w:rsidP="00217315">
      <w:pPr>
        <w:spacing w:after="0" w:line="240" w:lineRule="auto"/>
      </w:pPr>
      <w:r>
        <w:separator/>
      </w:r>
    </w:p>
  </w:endnote>
  <w:endnote w:type="continuationSeparator" w:id="0">
    <w:p w14:paraId="7558F075" w14:textId="77777777" w:rsidR="001172AC" w:rsidRDefault="001172AC" w:rsidP="0021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273632206"/>
      <w:docPartObj>
        <w:docPartGallery w:val="Page Numbers (Bottom of Page)"/>
        <w:docPartUnique/>
      </w:docPartObj>
    </w:sdtPr>
    <w:sdtEndPr>
      <w:rPr>
        <w:rStyle w:val="slostrnky"/>
      </w:rPr>
    </w:sdtEndPr>
    <w:sdtContent>
      <w:p w14:paraId="6FAAF2A8" w14:textId="0E56DAA8" w:rsidR="007A3065" w:rsidRDefault="007A3065" w:rsidP="00AF3AF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6E2A398" w14:textId="77777777" w:rsidR="007A3065" w:rsidRDefault="007A30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456874539"/>
      <w:docPartObj>
        <w:docPartGallery w:val="Page Numbers (Bottom of Page)"/>
        <w:docPartUnique/>
      </w:docPartObj>
    </w:sdtPr>
    <w:sdtEndPr>
      <w:rPr>
        <w:rStyle w:val="slostrnky"/>
      </w:rPr>
    </w:sdtEndPr>
    <w:sdtContent>
      <w:p w14:paraId="36F0C3B2" w14:textId="6D5EB8EB" w:rsidR="007A3065" w:rsidRDefault="007A3065" w:rsidP="00AF3AF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63EEC02" w14:textId="77777777" w:rsidR="007A3065" w:rsidRDefault="007A30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A539" w14:textId="77777777" w:rsidR="001172AC" w:rsidRDefault="001172AC" w:rsidP="00217315">
      <w:pPr>
        <w:spacing w:after="0" w:line="240" w:lineRule="auto"/>
      </w:pPr>
      <w:r>
        <w:separator/>
      </w:r>
    </w:p>
  </w:footnote>
  <w:footnote w:type="continuationSeparator" w:id="0">
    <w:p w14:paraId="45BBE7C5" w14:textId="77777777" w:rsidR="001172AC" w:rsidRDefault="001172AC" w:rsidP="00217315">
      <w:pPr>
        <w:spacing w:after="0" w:line="240" w:lineRule="auto"/>
      </w:pPr>
      <w:r>
        <w:continuationSeparator/>
      </w:r>
    </w:p>
  </w:footnote>
  <w:footnote w:id="1">
    <w:p w14:paraId="610593EB" w14:textId="77777777" w:rsidR="00217315" w:rsidRDefault="00217315" w:rsidP="00217315">
      <w:pPr>
        <w:pStyle w:val="Textpoznpodarou"/>
      </w:pPr>
      <w:r w:rsidRPr="00A3464D">
        <w:rPr>
          <w:rStyle w:val="Znakapoznpodarou"/>
        </w:rPr>
        <w:footnoteRef/>
      </w:r>
      <w:r>
        <w:t xml:space="preserve"> CZK: Czech koruna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D45"/>
    <w:multiLevelType w:val="hybridMultilevel"/>
    <w:tmpl w:val="C8B2E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30"/>
    <w:rsid w:val="00005E94"/>
    <w:rsid w:val="00006B58"/>
    <w:rsid w:val="00061A07"/>
    <w:rsid w:val="000B2E1A"/>
    <w:rsid w:val="00102579"/>
    <w:rsid w:val="00114DAE"/>
    <w:rsid w:val="001172AC"/>
    <w:rsid w:val="001432D3"/>
    <w:rsid w:val="001801B6"/>
    <w:rsid w:val="00193952"/>
    <w:rsid w:val="001A31ED"/>
    <w:rsid w:val="00217315"/>
    <w:rsid w:val="00234358"/>
    <w:rsid w:val="00236082"/>
    <w:rsid w:val="002736C8"/>
    <w:rsid w:val="00277B2E"/>
    <w:rsid w:val="00280499"/>
    <w:rsid w:val="00284D79"/>
    <w:rsid w:val="002950C5"/>
    <w:rsid w:val="002C5EC1"/>
    <w:rsid w:val="00445515"/>
    <w:rsid w:val="00453AC1"/>
    <w:rsid w:val="00472DFC"/>
    <w:rsid w:val="00501288"/>
    <w:rsid w:val="0053691F"/>
    <w:rsid w:val="005C0409"/>
    <w:rsid w:val="006112BC"/>
    <w:rsid w:val="006505AF"/>
    <w:rsid w:val="00666BA9"/>
    <w:rsid w:val="00697B8A"/>
    <w:rsid w:val="006A1C79"/>
    <w:rsid w:val="006B6CF1"/>
    <w:rsid w:val="006C226D"/>
    <w:rsid w:val="0072285C"/>
    <w:rsid w:val="00735670"/>
    <w:rsid w:val="00735D2D"/>
    <w:rsid w:val="007449EC"/>
    <w:rsid w:val="007516A7"/>
    <w:rsid w:val="007A3065"/>
    <w:rsid w:val="007D6349"/>
    <w:rsid w:val="00843157"/>
    <w:rsid w:val="00850FB8"/>
    <w:rsid w:val="00875D60"/>
    <w:rsid w:val="00892C71"/>
    <w:rsid w:val="008A4BFF"/>
    <w:rsid w:val="00902839"/>
    <w:rsid w:val="00910D99"/>
    <w:rsid w:val="009152C6"/>
    <w:rsid w:val="00974153"/>
    <w:rsid w:val="00977568"/>
    <w:rsid w:val="009851BB"/>
    <w:rsid w:val="009F4773"/>
    <w:rsid w:val="00A31998"/>
    <w:rsid w:val="00A3464D"/>
    <w:rsid w:val="00A47E01"/>
    <w:rsid w:val="00A5583A"/>
    <w:rsid w:val="00AD011E"/>
    <w:rsid w:val="00AD2B46"/>
    <w:rsid w:val="00AF6A61"/>
    <w:rsid w:val="00B01C1F"/>
    <w:rsid w:val="00B22011"/>
    <w:rsid w:val="00B45D70"/>
    <w:rsid w:val="00B571FB"/>
    <w:rsid w:val="00B6448A"/>
    <w:rsid w:val="00B706AA"/>
    <w:rsid w:val="00B94A30"/>
    <w:rsid w:val="00BB46C1"/>
    <w:rsid w:val="00C049EF"/>
    <w:rsid w:val="00C111CD"/>
    <w:rsid w:val="00C1526A"/>
    <w:rsid w:val="00CA0F9D"/>
    <w:rsid w:val="00CB1AF2"/>
    <w:rsid w:val="00CD3DEE"/>
    <w:rsid w:val="00D02756"/>
    <w:rsid w:val="00D4247C"/>
    <w:rsid w:val="00DC1337"/>
    <w:rsid w:val="00DC7CDD"/>
    <w:rsid w:val="00DE1E67"/>
    <w:rsid w:val="00E36B5B"/>
    <w:rsid w:val="00E574F5"/>
    <w:rsid w:val="00EA75A0"/>
    <w:rsid w:val="00EC3088"/>
    <w:rsid w:val="00F2359D"/>
    <w:rsid w:val="00F36B35"/>
    <w:rsid w:val="00F45DC3"/>
    <w:rsid w:val="00F51858"/>
    <w:rsid w:val="00F53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9C52"/>
  <w15:chartTrackingRefBased/>
  <w15:docId w15:val="{50CDE87D-AB0E-4C23-8806-9C27859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5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21731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7315"/>
    <w:rPr>
      <w:sz w:val="20"/>
      <w:szCs w:val="20"/>
    </w:rPr>
  </w:style>
  <w:style w:type="character" w:styleId="Znakapoznpodarou">
    <w:name w:val="footnote reference"/>
    <w:basedOn w:val="Standardnpsmoodstavce"/>
    <w:uiPriority w:val="99"/>
    <w:semiHidden/>
    <w:unhideWhenUsed/>
    <w:rsid w:val="00217315"/>
    <w:rPr>
      <w:vertAlign w:val="superscript"/>
    </w:rPr>
  </w:style>
  <w:style w:type="character" w:styleId="Odkaznavysvtlivky">
    <w:name w:val="endnote reference"/>
    <w:basedOn w:val="Standardnpsmoodstavce"/>
    <w:uiPriority w:val="99"/>
    <w:semiHidden/>
    <w:unhideWhenUsed/>
    <w:rsid w:val="00A3464D"/>
    <w:rPr>
      <w:vertAlign w:val="superscript"/>
    </w:rPr>
  </w:style>
  <w:style w:type="paragraph" w:styleId="Textbubliny">
    <w:name w:val="Balloon Text"/>
    <w:basedOn w:val="Normln"/>
    <w:link w:val="TextbublinyChar"/>
    <w:uiPriority w:val="99"/>
    <w:semiHidden/>
    <w:unhideWhenUsed/>
    <w:rsid w:val="00735D2D"/>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735D2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735D2D"/>
    <w:rPr>
      <w:sz w:val="16"/>
      <w:szCs w:val="16"/>
    </w:rPr>
  </w:style>
  <w:style w:type="paragraph" w:styleId="Textkomente">
    <w:name w:val="annotation text"/>
    <w:basedOn w:val="Normln"/>
    <w:link w:val="TextkomenteChar"/>
    <w:uiPriority w:val="99"/>
    <w:semiHidden/>
    <w:unhideWhenUsed/>
    <w:rsid w:val="00735D2D"/>
    <w:pPr>
      <w:spacing w:line="240" w:lineRule="auto"/>
    </w:pPr>
    <w:rPr>
      <w:sz w:val="20"/>
      <w:szCs w:val="20"/>
    </w:rPr>
  </w:style>
  <w:style w:type="character" w:customStyle="1" w:styleId="TextkomenteChar">
    <w:name w:val="Text komentáře Char"/>
    <w:basedOn w:val="Standardnpsmoodstavce"/>
    <w:link w:val="Textkomente"/>
    <w:uiPriority w:val="99"/>
    <w:semiHidden/>
    <w:rsid w:val="00735D2D"/>
    <w:rPr>
      <w:sz w:val="20"/>
      <w:szCs w:val="20"/>
    </w:rPr>
  </w:style>
  <w:style w:type="paragraph" w:styleId="Pedmtkomente">
    <w:name w:val="annotation subject"/>
    <w:basedOn w:val="Textkomente"/>
    <w:next w:val="Textkomente"/>
    <w:link w:val="PedmtkomenteChar"/>
    <w:uiPriority w:val="99"/>
    <w:semiHidden/>
    <w:unhideWhenUsed/>
    <w:rsid w:val="00735D2D"/>
    <w:rPr>
      <w:b/>
      <w:bCs/>
    </w:rPr>
  </w:style>
  <w:style w:type="character" w:customStyle="1" w:styleId="PedmtkomenteChar">
    <w:name w:val="Předmět komentáře Char"/>
    <w:basedOn w:val="TextkomenteChar"/>
    <w:link w:val="Pedmtkomente"/>
    <w:uiPriority w:val="99"/>
    <w:semiHidden/>
    <w:rsid w:val="00735D2D"/>
    <w:rPr>
      <w:b/>
      <w:bCs/>
      <w:sz w:val="20"/>
      <w:szCs w:val="20"/>
    </w:rPr>
  </w:style>
  <w:style w:type="paragraph" w:styleId="Odstavecseseznamem">
    <w:name w:val="List Paragraph"/>
    <w:basedOn w:val="Normln"/>
    <w:uiPriority w:val="34"/>
    <w:qFormat/>
    <w:rsid w:val="00277B2E"/>
    <w:pPr>
      <w:ind w:left="720"/>
      <w:contextualSpacing/>
    </w:pPr>
  </w:style>
  <w:style w:type="paragraph" w:styleId="Zpat">
    <w:name w:val="footer"/>
    <w:basedOn w:val="Normln"/>
    <w:link w:val="ZpatChar"/>
    <w:uiPriority w:val="99"/>
    <w:unhideWhenUsed/>
    <w:rsid w:val="007A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7A3065"/>
  </w:style>
  <w:style w:type="character" w:styleId="slostrnky">
    <w:name w:val="page number"/>
    <w:basedOn w:val="Standardnpsmoodstavce"/>
    <w:uiPriority w:val="99"/>
    <w:semiHidden/>
    <w:unhideWhenUsed/>
    <w:rsid w:val="007A3065"/>
  </w:style>
  <w:style w:type="paragraph" w:styleId="Revize">
    <w:name w:val="Revision"/>
    <w:hidden/>
    <w:uiPriority w:val="99"/>
    <w:semiHidden/>
    <w:rsid w:val="00AD2B46"/>
    <w:pPr>
      <w:spacing w:after="0" w:line="240" w:lineRule="auto"/>
    </w:pPr>
  </w:style>
  <w:style w:type="paragraph" w:styleId="Zhlav">
    <w:name w:val="header"/>
    <w:basedOn w:val="Normln"/>
    <w:link w:val="ZhlavChar"/>
    <w:uiPriority w:val="99"/>
    <w:unhideWhenUsed/>
    <w:rsid w:val="00AD2B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5820-07B1-4FEF-B807-289E872B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3388</Words>
  <Characters>19992</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Linhartová</dc:creator>
  <cp:keywords/>
  <dc:description/>
  <cp:lastModifiedBy>Pavla Linhartová</cp:lastModifiedBy>
  <cp:revision>22</cp:revision>
  <dcterms:created xsi:type="dcterms:W3CDTF">2019-04-05T10:46:00Z</dcterms:created>
  <dcterms:modified xsi:type="dcterms:W3CDTF">2019-07-05T08:36:00Z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16th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http://www.zotero.org/styles/neuroimage</vt:lpwstr>
  </property>
  <property fmtid="{D5CDD505-2E9C-101B-9397-08002B2CF9AE}" pid="19" name="Mendeley Recent Style Name 8_1">
    <vt:lpwstr>NeuroImage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206f7dc9-40ec-3fe4-9b3c-ac760fce17d1</vt:lpwstr>
  </property>
  <property fmtid="{D5CDD505-2E9C-101B-9397-08002B2CF9AE}" pid="24" name="Mendeley Citation Style_1">
    <vt:lpwstr>http://www.zotero.org/styles/apa</vt:lpwstr>
  </property>
</Properties>
</file>