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B9" w:rsidRPr="00C649B9" w:rsidRDefault="00C649B9" w:rsidP="00C649B9">
      <w:pPr>
        <w:spacing w:after="0" w:line="240" w:lineRule="auto"/>
        <w:jc w:val="center"/>
        <w:rPr>
          <w:rFonts w:ascii="Times New Roman" w:hAnsi="Times New Roman" w:cs="Times New Roman"/>
          <w:b/>
          <w:sz w:val="24"/>
          <w:szCs w:val="24"/>
        </w:rPr>
      </w:pPr>
      <w:r w:rsidRPr="00C649B9">
        <w:rPr>
          <w:rFonts w:ascii="Times New Roman" w:hAnsi="Times New Roman" w:cs="Times New Roman"/>
          <w:b/>
          <w:sz w:val="24"/>
          <w:szCs w:val="24"/>
        </w:rPr>
        <w:t>Supplementary Materials</w:t>
      </w:r>
    </w:p>
    <w:p w:rsidR="00C649B9" w:rsidRPr="00C649B9" w:rsidRDefault="00C649B9" w:rsidP="00C649B9">
      <w:pPr>
        <w:spacing w:after="0" w:line="240" w:lineRule="auto"/>
        <w:jc w:val="center"/>
        <w:rPr>
          <w:rFonts w:ascii="Times New Roman" w:hAnsi="Times New Roman" w:cs="Times New Roman"/>
          <w:b/>
          <w:sz w:val="24"/>
          <w:szCs w:val="24"/>
        </w:rPr>
      </w:pPr>
    </w:p>
    <w:p w:rsidR="001C622D" w:rsidRDefault="00C649B9" w:rsidP="0018732E">
      <w:pPr>
        <w:spacing w:after="0" w:line="240" w:lineRule="auto"/>
        <w:jc w:val="center"/>
        <w:rPr>
          <w:rFonts w:ascii="Times New Roman" w:hAnsi="Times New Roman" w:cs="Times New Roman"/>
          <w:b/>
          <w:sz w:val="24"/>
          <w:szCs w:val="24"/>
        </w:rPr>
      </w:pPr>
      <w:r w:rsidRPr="00C649B9">
        <w:rPr>
          <w:rFonts w:ascii="Times New Roman" w:hAnsi="Times New Roman" w:cs="Times New Roman"/>
          <w:b/>
          <w:sz w:val="24"/>
          <w:szCs w:val="24"/>
        </w:rPr>
        <w:t>Methods</w:t>
      </w:r>
    </w:p>
    <w:p w:rsidR="0018732E" w:rsidRDefault="0018732E" w:rsidP="0018732E">
      <w:pPr>
        <w:spacing w:after="0" w:line="240" w:lineRule="auto"/>
        <w:jc w:val="center"/>
        <w:rPr>
          <w:rFonts w:ascii="Times New Roman" w:hAnsi="Times New Roman" w:cs="Times New Roman"/>
          <w:b/>
          <w:sz w:val="24"/>
          <w:szCs w:val="24"/>
        </w:rPr>
      </w:pPr>
    </w:p>
    <w:p w:rsidR="000D2EFF" w:rsidRDefault="000D2EFF" w:rsidP="00C649B9">
      <w:pPr>
        <w:spacing w:after="0" w:line="240" w:lineRule="auto"/>
        <w:rPr>
          <w:rFonts w:ascii="Times New Roman" w:hAnsi="Times New Roman" w:cs="Times New Roman"/>
          <w:b/>
          <w:sz w:val="24"/>
          <w:szCs w:val="24"/>
        </w:rPr>
      </w:pPr>
      <w:r>
        <w:rPr>
          <w:rFonts w:ascii="Times New Roman" w:hAnsi="Times New Roman" w:cs="Times New Roman"/>
          <w:b/>
          <w:sz w:val="24"/>
          <w:szCs w:val="24"/>
        </w:rPr>
        <w:t>Measurement Model for EF Factors</w:t>
      </w:r>
    </w:p>
    <w:p w:rsidR="000D2EFF" w:rsidRDefault="000D2EFF" w:rsidP="00C649B9">
      <w:pPr>
        <w:spacing w:after="0" w:line="240" w:lineRule="auto"/>
        <w:rPr>
          <w:rFonts w:ascii="Times New Roman" w:hAnsi="Times New Roman" w:cs="Times New Roman"/>
          <w:b/>
          <w:sz w:val="24"/>
          <w:szCs w:val="24"/>
        </w:rPr>
      </w:pPr>
    </w:p>
    <w:p w:rsidR="000D2EFF" w:rsidRDefault="009C523D" w:rsidP="00C649B9">
      <w:pPr>
        <w:spacing w:after="0" w:line="240" w:lineRule="auto"/>
        <w:rPr>
          <w:rFonts w:ascii="Times New Roman" w:hAnsi="Times New Roman" w:cs="Times New Roman"/>
          <w:b/>
          <w:sz w:val="24"/>
          <w:szCs w:val="24"/>
        </w:rPr>
      </w:pPr>
      <w:r w:rsidRPr="009C523D">
        <w:drawing>
          <wp:inline distT="0" distB="0" distL="0" distR="0">
            <wp:extent cx="5943600" cy="409903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5943600" cy="4099034"/>
                    </a:xfrm>
                    <a:prstGeom prst="rect">
                      <a:avLst/>
                    </a:prstGeom>
                    <a:noFill/>
                    <a:ln w="9525">
                      <a:noFill/>
                      <a:miter lim="800000"/>
                      <a:headEnd/>
                      <a:tailEnd/>
                    </a:ln>
                  </pic:spPr>
                </pic:pic>
              </a:graphicData>
            </a:graphic>
          </wp:inline>
        </w:drawing>
      </w:r>
    </w:p>
    <w:p w:rsidR="000D2EFF" w:rsidRPr="00550151" w:rsidRDefault="000D2EFF" w:rsidP="00C649B9">
      <w:pPr>
        <w:spacing w:after="0" w:line="240" w:lineRule="auto"/>
        <w:rPr>
          <w:rFonts w:ascii="Arial" w:hAnsi="Arial" w:cs="Arial"/>
          <w:b/>
          <w:sz w:val="24"/>
          <w:szCs w:val="24"/>
        </w:rPr>
      </w:pPr>
    </w:p>
    <w:p w:rsidR="000D2EFF" w:rsidRPr="00550151" w:rsidRDefault="000D2EFF" w:rsidP="00C649B9">
      <w:pPr>
        <w:spacing w:after="0" w:line="240" w:lineRule="auto"/>
        <w:rPr>
          <w:rFonts w:ascii="Arial" w:hAnsi="Arial" w:cs="Arial"/>
          <w:b/>
          <w:sz w:val="24"/>
          <w:szCs w:val="24"/>
        </w:rPr>
      </w:pPr>
    </w:p>
    <w:p w:rsidR="000D2EFF" w:rsidRPr="00550151" w:rsidRDefault="00550151" w:rsidP="00C649B9">
      <w:pPr>
        <w:spacing w:after="0" w:line="240" w:lineRule="auto"/>
        <w:rPr>
          <w:rFonts w:ascii="Arial" w:hAnsi="Arial" w:cs="Arial"/>
          <w:b/>
          <w:sz w:val="24"/>
          <w:szCs w:val="24"/>
        </w:rPr>
      </w:pPr>
      <w:r w:rsidRPr="00550151">
        <w:rPr>
          <w:rFonts w:ascii="Arial" w:hAnsi="Arial" w:cs="Arial"/>
          <w:b/>
          <w:i/>
          <w:sz w:val="16"/>
          <w:szCs w:val="16"/>
        </w:rPr>
        <w:t>Figure S1.</w:t>
      </w:r>
      <w:r w:rsidRPr="00550151">
        <w:rPr>
          <w:rFonts w:ascii="Arial" w:hAnsi="Arial" w:cs="Arial"/>
          <w:sz w:val="16"/>
          <w:szCs w:val="16"/>
        </w:rPr>
        <w:t xml:space="preserve"> Measurement model for the EF latent factors, estimated simultaneously at age 8, 12, and 16, with factors allowed to freely correlate. Loadings are standardized coefficients. Associations between measures are residual correlations. DMS – Delayed Match to Sample (percent correct over all delays); PAL – Paired Associates Learning (mean errors to success); SOC – Stockings of Cambridge (problems solved in the minimum number of moves); SWM – Spatial Working Memory (total errors). </w:t>
      </w:r>
      <w:proofErr w:type="gramStart"/>
      <w:r w:rsidRPr="00550151">
        <w:rPr>
          <w:rFonts w:ascii="Arial" w:hAnsi="Arial" w:cs="Arial"/>
          <w:sz w:val="16"/>
          <w:szCs w:val="16"/>
          <w:vertAlign w:val="superscript"/>
        </w:rPr>
        <w:t>***</w:t>
      </w:r>
      <w:r w:rsidRPr="00550151">
        <w:rPr>
          <w:rFonts w:ascii="Arial" w:hAnsi="Arial" w:cs="Arial"/>
          <w:i/>
          <w:sz w:val="16"/>
          <w:szCs w:val="16"/>
        </w:rPr>
        <w:t>p</w:t>
      </w:r>
      <w:r w:rsidRPr="00550151">
        <w:rPr>
          <w:rFonts w:ascii="Arial" w:hAnsi="Arial" w:cs="Arial"/>
          <w:sz w:val="16"/>
          <w:szCs w:val="16"/>
        </w:rPr>
        <w:t xml:space="preserve"> &lt; .001.</w:t>
      </w:r>
      <w:proofErr w:type="gramEnd"/>
      <w:r w:rsidRPr="00550151">
        <w:rPr>
          <w:rFonts w:ascii="Arial" w:hAnsi="Arial" w:cs="Arial"/>
          <w:sz w:val="16"/>
          <w:szCs w:val="16"/>
          <w:vertAlign w:val="superscript"/>
        </w:rPr>
        <w:t xml:space="preserve"> </w:t>
      </w:r>
      <w:proofErr w:type="gramStart"/>
      <w:r w:rsidRPr="00550151">
        <w:rPr>
          <w:rFonts w:ascii="Arial" w:hAnsi="Arial" w:cs="Arial"/>
          <w:sz w:val="16"/>
          <w:szCs w:val="16"/>
          <w:vertAlign w:val="superscript"/>
        </w:rPr>
        <w:t>**</w:t>
      </w:r>
      <w:r w:rsidRPr="00550151">
        <w:rPr>
          <w:rFonts w:ascii="Arial" w:hAnsi="Arial" w:cs="Arial"/>
          <w:i/>
          <w:sz w:val="16"/>
          <w:szCs w:val="16"/>
        </w:rPr>
        <w:t>p</w:t>
      </w:r>
      <w:r w:rsidRPr="00550151">
        <w:rPr>
          <w:rFonts w:ascii="Arial" w:hAnsi="Arial" w:cs="Arial"/>
          <w:sz w:val="16"/>
          <w:szCs w:val="16"/>
        </w:rPr>
        <w:t xml:space="preserve"> &lt; .01.</w:t>
      </w:r>
      <w:proofErr w:type="gramEnd"/>
      <w:r w:rsidRPr="00550151">
        <w:rPr>
          <w:rFonts w:ascii="Arial" w:hAnsi="Arial" w:cs="Arial"/>
          <w:sz w:val="16"/>
          <w:szCs w:val="16"/>
          <w:vertAlign w:val="superscript"/>
        </w:rPr>
        <w:t xml:space="preserve"> </w:t>
      </w:r>
      <w:proofErr w:type="gramStart"/>
      <w:r w:rsidRPr="00550151">
        <w:rPr>
          <w:rFonts w:ascii="Arial" w:hAnsi="Arial" w:cs="Arial"/>
          <w:sz w:val="16"/>
          <w:szCs w:val="16"/>
          <w:vertAlign w:val="superscript"/>
        </w:rPr>
        <w:t>*</w:t>
      </w:r>
      <w:r w:rsidRPr="00550151">
        <w:rPr>
          <w:rFonts w:ascii="Arial" w:hAnsi="Arial" w:cs="Arial"/>
          <w:i/>
          <w:sz w:val="16"/>
          <w:szCs w:val="16"/>
        </w:rPr>
        <w:t>p</w:t>
      </w:r>
      <w:r w:rsidRPr="00550151">
        <w:rPr>
          <w:rFonts w:ascii="Arial" w:hAnsi="Arial" w:cs="Arial"/>
          <w:sz w:val="16"/>
          <w:szCs w:val="16"/>
        </w:rPr>
        <w:t xml:space="preserve"> &lt; .05.</w:t>
      </w:r>
      <w:proofErr w:type="gramEnd"/>
    </w:p>
    <w:p w:rsidR="000D2EFF" w:rsidRDefault="000D2EFF" w:rsidP="00C649B9">
      <w:pPr>
        <w:spacing w:after="0" w:line="240" w:lineRule="auto"/>
        <w:rPr>
          <w:rFonts w:ascii="Times New Roman" w:hAnsi="Times New Roman" w:cs="Times New Roman"/>
          <w:b/>
          <w:sz w:val="24"/>
          <w:szCs w:val="24"/>
        </w:rPr>
      </w:pPr>
    </w:p>
    <w:p w:rsidR="000D2EFF" w:rsidRDefault="000D2EFF" w:rsidP="00C649B9">
      <w:pPr>
        <w:spacing w:after="0" w:line="240" w:lineRule="auto"/>
        <w:rPr>
          <w:rFonts w:ascii="Times New Roman" w:hAnsi="Times New Roman" w:cs="Times New Roman"/>
          <w:b/>
          <w:sz w:val="24"/>
          <w:szCs w:val="24"/>
        </w:rPr>
      </w:pPr>
    </w:p>
    <w:p w:rsidR="00446BE3" w:rsidRPr="00C649B9" w:rsidRDefault="002F6712" w:rsidP="00C649B9">
      <w:pPr>
        <w:spacing w:after="0" w:line="240" w:lineRule="auto"/>
        <w:rPr>
          <w:rFonts w:ascii="Times New Roman" w:hAnsi="Times New Roman" w:cs="Times New Roman"/>
          <w:b/>
          <w:sz w:val="24"/>
          <w:szCs w:val="24"/>
        </w:rPr>
      </w:pPr>
      <w:r>
        <w:rPr>
          <w:rFonts w:ascii="Times New Roman" w:hAnsi="Times New Roman" w:cs="Times New Roman"/>
          <w:b/>
          <w:sz w:val="24"/>
          <w:szCs w:val="24"/>
        </w:rPr>
        <w:t>Measurement Invariance of EF</w:t>
      </w:r>
      <w:r w:rsidR="00F804F2">
        <w:rPr>
          <w:rFonts w:ascii="Times New Roman" w:hAnsi="Times New Roman" w:cs="Times New Roman"/>
          <w:b/>
          <w:sz w:val="24"/>
          <w:szCs w:val="24"/>
        </w:rPr>
        <w:t xml:space="preserve"> Factors</w:t>
      </w:r>
    </w:p>
    <w:p w:rsidR="00341973" w:rsidRPr="006D42D7" w:rsidRDefault="002F6712" w:rsidP="006D42D7">
      <w:pPr>
        <w:spacing w:after="0" w:line="240" w:lineRule="auto"/>
        <w:ind w:firstLine="357"/>
        <w:rPr>
          <w:rFonts w:ascii="Times New Roman" w:hAnsi="Times New Roman" w:cs="Times New Roman"/>
          <w:sz w:val="24"/>
          <w:szCs w:val="24"/>
        </w:rPr>
      </w:pPr>
      <w:r w:rsidRPr="002F6712">
        <w:rPr>
          <w:rFonts w:ascii="Times New Roman" w:hAnsi="Times New Roman" w:cs="Times New Roman"/>
          <w:sz w:val="24"/>
          <w:szCs w:val="24"/>
        </w:rPr>
        <w:t xml:space="preserve">We assessed factorial invariance for the </w:t>
      </w:r>
      <w:r w:rsidR="00532B7F">
        <w:rPr>
          <w:rFonts w:ascii="Times New Roman" w:hAnsi="Times New Roman" w:cs="Times New Roman"/>
          <w:sz w:val="24"/>
          <w:szCs w:val="24"/>
        </w:rPr>
        <w:t>latent E</w:t>
      </w:r>
      <w:r>
        <w:rPr>
          <w:rFonts w:ascii="Times New Roman" w:hAnsi="Times New Roman" w:cs="Times New Roman"/>
          <w:sz w:val="24"/>
          <w:szCs w:val="24"/>
        </w:rPr>
        <w:t>F</w:t>
      </w:r>
      <w:r w:rsidRPr="002F6712">
        <w:rPr>
          <w:rFonts w:ascii="Times New Roman" w:hAnsi="Times New Roman" w:cs="Times New Roman"/>
          <w:sz w:val="24"/>
          <w:szCs w:val="24"/>
        </w:rPr>
        <w:t xml:space="preserve"> </w:t>
      </w:r>
      <w:r w:rsidR="00AB1132">
        <w:rPr>
          <w:rFonts w:ascii="Times New Roman" w:hAnsi="Times New Roman" w:cs="Times New Roman"/>
          <w:sz w:val="24"/>
          <w:szCs w:val="24"/>
        </w:rPr>
        <w:t>factors</w:t>
      </w:r>
      <w:r w:rsidRPr="002F6712">
        <w:rPr>
          <w:rFonts w:ascii="Times New Roman" w:hAnsi="Times New Roman" w:cs="Times New Roman"/>
          <w:sz w:val="24"/>
          <w:szCs w:val="24"/>
        </w:rPr>
        <w:t xml:space="preserve"> over time (age 8, 12, and 16)</w:t>
      </w:r>
      <w:r>
        <w:rPr>
          <w:rFonts w:ascii="Times New Roman" w:hAnsi="Times New Roman" w:cs="Times New Roman"/>
          <w:sz w:val="24"/>
          <w:szCs w:val="24"/>
        </w:rPr>
        <w:t xml:space="preserve"> in order to ensure the</w:t>
      </w:r>
      <w:r w:rsidR="00AB1132">
        <w:rPr>
          <w:rFonts w:ascii="Times New Roman" w:hAnsi="Times New Roman" w:cs="Times New Roman"/>
          <w:sz w:val="24"/>
          <w:szCs w:val="24"/>
        </w:rPr>
        <w:t>y</w:t>
      </w:r>
      <w:r>
        <w:rPr>
          <w:rFonts w:ascii="Times New Roman" w:hAnsi="Times New Roman" w:cs="Times New Roman"/>
          <w:sz w:val="24"/>
          <w:szCs w:val="24"/>
        </w:rPr>
        <w:t xml:space="preserve"> were</w:t>
      </w:r>
      <w:r w:rsidR="00E81B36">
        <w:rPr>
          <w:rFonts w:ascii="Times New Roman" w:hAnsi="Times New Roman" w:cs="Times New Roman"/>
          <w:sz w:val="24"/>
          <w:szCs w:val="24"/>
        </w:rPr>
        <w:t xml:space="preserve"> roughly</w:t>
      </w:r>
      <w:r>
        <w:rPr>
          <w:rFonts w:ascii="Times New Roman" w:hAnsi="Times New Roman" w:cs="Times New Roman"/>
          <w:sz w:val="24"/>
          <w:szCs w:val="24"/>
        </w:rPr>
        <w:t xml:space="preserve"> isomorphic. </w:t>
      </w:r>
      <w:r w:rsidR="006D42D7">
        <w:rPr>
          <w:rFonts w:ascii="Times New Roman" w:hAnsi="Times New Roman" w:cs="Times New Roman"/>
          <w:sz w:val="24"/>
          <w:szCs w:val="24"/>
        </w:rPr>
        <w:t>We did this</w:t>
      </w:r>
      <w:r w:rsidR="00AB1132">
        <w:rPr>
          <w:rFonts w:ascii="Times New Roman" w:hAnsi="Times New Roman" w:cs="Times New Roman"/>
          <w:sz w:val="24"/>
          <w:szCs w:val="24"/>
        </w:rPr>
        <w:t xml:space="preserve"> by examining invariance at three levels</w:t>
      </w:r>
      <w:r w:rsidR="006D42D7">
        <w:rPr>
          <w:rFonts w:ascii="Times New Roman" w:hAnsi="Times New Roman" w:cs="Times New Roman"/>
          <w:sz w:val="24"/>
          <w:szCs w:val="24"/>
        </w:rPr>
        <w:t xml:space="preserve">: </w:t>
      </w:r>
      <w:proofErr w:type="spellStart"/>
      <w:r w:rsidR="006D42D7">
        <w:rPr>
          <w:rFonts w:ascii="Times New Roman" w:hAnsi="Times New Roman" w:cs="Times New Roman"/>
          <w:sz w:val="24"/>
          <w:szCs w:val="24"/>
        </w:rPr>
        <w:t>configural</w:t>
      </w:r>
      <w:proofErr w:type="spellEnd"/>
      <w:r w:rsidR="006D42D7">
        <w:rPr>
          <w:rFonts w:ascii="Times New Roman" w:hAnsi="Times New Roman" w:cs="Times New Roman"/>
          <w:sz w:val="24"/>
          <w:szCs w:val="24"/>
        </w:rPr>
        <w:t xml:space="preserve">, metric (weak factorial), and scalar (strong factorial). </w:t>
      </w:r>
      <w:r w:rsidR="00E034E7">
        <w:rPr>
          <w:rFonts w:ascii="Times New Roman" w:hAnsi="Times New Roman" w:cs="Times New Roman"/>
          <w:sz w:val="24"/>
          <w:szCs w:val="24"/>
        </w:rPr>
        <w:t>Model fit for each of these step</w:t>
      </w:r>
      <w:r w:rsidR="00AB1132">
        <w:rPr>
          <w:rFonts w:ascii="Times New Roman" w:hAnsi="Times New Roman" w:cs="Times New Roman"/>
          <w:sz w:val="24"/>
          <w:szCs w:val="24"/>
        </w:rPr>
        <w:t>s is presented in Table S1</w:t>
      </w:r>
      <w:r w:rsidR="00E034E7">
        <w:rPr>
          <w:rFonts w:ascii="Times New Roman" w:hAnsi="Times New Roman" w:cs="Times New Roman"/>
          <w:sz w:val="24"/>
          <w:szCs w:val="24"/>
        </w:rPr>
        <w:t xml:space="preserve">. </w:t>
      </w:r>
      <w:r w:rsidRPr="002F6712">
        <w:rPr>
          <w:rFonts w:ascii="Times New Roman" w:hAnsi="Times New Roman" w:cs="Times New Roman"/>
          <w:sz w:val="24"/>
          <w:szCs w:val="24"/>
          <w:lang w:val="en-US"/>
        </w:rPr>
        <w:t xml:space="preserve">In the </w:t>
      </w:r>
      <w:proofErr w:type="spellStart"/>
      <w:r w:rsidRPr="002F6712">
        <w:rPr>
          <w:rFonts w:ascii="Times New Roman" w:hAnsi="Times New Roman" w:cs="Times New Roman"/>
          <w:i/>
          <w:sz w:val="24"/>
          <w:szCs w:val="24"/>
          <w:lang w:val="en-US"/>
        </w:rPr>
        <w:t>configural</w:t>
      </w:r>
      <w:proofErr w:type="spellEnd"/>
      <w:r w:rsidRPr="002F6712">
        <w:rPr>
          <w:rFonts w:ascii="Times New Roman" w:hAnsi="Times New Roman" w:cs="Times New Roman"/>
          <w:i/>
          <w:sz w:val="24"/>
          <w:szCs w:val="24"/>
          <w:lang w:val="en-US"/>
        </w:rPr>
        <w:t xml:space="preserve"> model</w:t>
      </w:r>
      <w:r w:rsidR="000E5EA7">
        <w:rPr>
          <w:rFonts w:ascii="Times New Roman" w:hAnsi="Times New Roman" w:cs="Times New Roman"/>
          <w:i/>
          <w:sz w:val="24"/>
          <w:szCs w:val="24"/>
          <w:lang w:val="en-US"/>
        </w:rPr>
        <w:t xml:space="preserve"> </w:t>
      </w:r>
      <w:r w:rsidR="000E5EA7">
        <w:rPr>
          <w:rFonts w:ascii="Times New Roman" w:hAnsi="Times New Roman" w:cs="Times New Roman"/>
          <w:sz w:val="24"/>
          <w:szCs w:val="24"/>
          <w:lang w:val="en-US"/>
        </w:rPr>
        <w:t>(M1 in Table S1)</w:t>
      </w:r>
      <w:r w:rsidRPr="002F6712">
        <w:rPr>
          <w:rFonts w:ascii="Times New Roman" w:hAnsi="Times New Roman" w:cs="Times New Roman"/>
          <w:sz w:val="24"/>
          <w:szCs w:val="24"/>
          <w:lang w:val="en-US"/>
        </w:rPr>
        <w:t>, we tested whether the same factor structure is present at each age by estimating the latent</w:t>
      </w:r>
      <w:r w:rsidR="00E034E7">
        <w:rPr>
          <w:rFonts w:ascii="Times New Roman" w:hAnsi="Times New Roman" w:cs="Times New Roman"/>
          <w:sz w:val="24"/>
          <w:szCs w:val="24"/>
          <w:lang w:val="en-US"/>
        </w:rPr>
        <w:t xml:space="preserve"> factors</w:t>
      </w:r>
      <w:r w:rsidRPr="002F6712">
        <w:rPr>
          <w:rFonts w:ascii="Times New Roman" w:hAnsi="Times New Roman" w:cs="Times New Roman"/>
          <w:sz w:val="24"/>
          <w:szCs w:val="24"/>
          <w:lang w:val="en-US"/>
        </w:rPr>
        <w:t xml:space="preserve"> </w:t>
      </w:r>
      <w:r w:rsidR="00AB1132">
        <w:rPr>
          <w:rFonts w:ascii="Times New Roman" w:hAnsi="Times New Roman" w:cs="Times New Roman"/>
          <w:sz w:val="24"/>
          <w:szCs w:val="24"/>
          <w:lang w:val="en-US"/>
        </w:rPr>
        <w:t>simultaneously, allowing</w:t>
      </w:r>
      <w:r w:rsidRPr="002F6712">
        <w:rPr>
          <w:rFonts w:ascii="Times New Roman" w:hAnsi="Times New Roman" w:cs="Times New Roman"/>
          <w:sz w:val="24"/>
          <w:szCs w:val="24"/>
          <w:lang w:val="en-US"/>
        </w:rPr>
        <w:t xml:space="preserve"> </w:t>
      </w:r>
      <w:r w:rsidR="00E034E7">
        <w:rPr>
          <w:rFonts w:ascii="Times New Roman" w:hAnsi="Times New Roman" w:cs="Times New Roman"/>
          <w:sz w:val="24"/>
          <w:szCs w:val="24"/>
          <w:lang w:val="en-US"/>
        </w:rPr>
        <w:t>the</w:t>
      </w:r>
      <w:r w:rsidRPr="002F6712">
        <w:rPr>
          <w:rFonts w:ascii="Times New Roman" w:hAnsi="Times New Roman" w:cs="Times New Roman"/>
          <w:sz w:val="24"/>
          <w:szCs w:val="24"/>
          <w:lang w:val="en-US"/>
        </w:rPr>
        <w:t xml:space="preserve"> factors to freely </w:t>
      </w:r>
      <w:r w:rsidR="00AB1132">
        <w:rPr>
          <w:rFonts w:ascii="Times New Roman" w:hAnsi="Times New Roman" w:cs="Times New Roman"/>
          <w:sz w:val="24"/>
          <w:szCs w:val="24"/>
          <w:lang w:val="en-US"/>
        </w:rPr>
        <w:t>co-</w:t>
      </w:r>
      <w:r w:rsidRPr="002F6712">
        <w:rPr>
          <w:rFonts w:ascii="Times New Roman" w:hAnsi="Times New Roman" w:cs="Times New Roman"/>
          <w:sz w:val="24"/>
          <w:szCs w:val="24"/>
          <w:lang w:val="en-US"/>
        </w:rPr>
        <w:t>vary</w:t>
      </w:r>
      <w:r w:rsidR="00E034E7">
        <w:rPr>
          <w:rFonts w:ascii="Times New Roman" w:hAnsi="Times New Roman" w:cs="Times New Roman"/>
          <w:sz w:val="24"/>
          <w:szCs w:val="24"/>
          <w:lang w:val="en-US"/>
        </w:rPr>
        <w:t xml:space="preserve"> over time</w:t>
      </w:r>
      <w:r w:rsidRPr="002F6712">
        <w:rPr>
          <w:rFonts w:ascii="Times New Roman" w:hAnsi="Times New Roman" w:cs="Times New Roman"/>
          <w:sz w:val="24"/>
          <w:szCs w:val="24"/>
          <w:lang w:val="en-US"/>
        </w:rPr>
        <w:t>. This model fit the data well</w:t>
      </w:r>
      <w:r w:rsidR="00E034E7">
        <w:rPr>
          <w:rFonts w:ascii="Times New Roman" w:hAnsi="Times New Roman" w:cs="Times New Roman"/>
          <w:sz w:val="24"/>
          <w:szCs w:val="24"/>
          <w:lang w:val="en-US"/>
        </w:rPr>
        <w:t xml:space="preserve">, </w:t>
      </w:r>
      <w:r w:rsidR="001F0DC0">
        <w:rPr>
          <w:rFonts w:ascii="Times New Roman" w:hAnsi="Times New Roman" w:cs="Times New Roman"/>
          <w:sz w:val="24"/>
          <w:szCs w:val="24"/>
          <w:lang w:val="en-US"/>
        </w:rPr>
        <w:t xml:space="preserve">as reported in main text, with the pattern of loadings onto the EF factors being similar, thus supporting </w:t>
      </w:r>
      <w:proofErr w:type="spellStart"/>
      <w:r w:rsidR="001F0DC0">
        <w:rPr>
          <w:rFonts w:ascii="Times New Roman" w:hAnsi="Times New Roman" w:cs="Times New Roman"/>
          <w:sz w:val="24"/>
          <w:szCs w:val="24"/>
          <w:lang w:val="en-US"/>
        </w:rPr>
        <w:t>configural</w:t>
      </w:r>
      <w:proofErr w:type="spellEnd"/>
      <w:r w:rsidR="001F0DC0">
        <w:rPr>
          <w:rFonts w:ascii="Times New Roman" w:hAnsi="Times New Roman" w:cs="Times New Roman"/>
          <w:sz w:val="24"/>
          <w:szCs w:val="24"/>
          <w:lang w:val="en-US"/>
        </w:rPr>
        <w:t xml:space="preserve"> invariance.</w:t>
      </w:r>
      <w:r w:rsidR="00E034E7">
        <w:rPr>
          <w:rFonts w:ascii="Times New Roman" w:hAnsi="Times New Roman" w:cs="Times New Roman"/>
          <w:sz w:val="24"/>
          <w:szCs w:val="24"/>
          <w:lang w:val="en-US"/>
        </w:rPr>
        <w:t xml:space="preserve"> </w:t>
      </w:r>
      <w:r w:rsidRPr="002F6712">
        <w:rPr>
          <w:rFonts w:ascii="Times New Roman" w:hAnsi="Times New Roman" w:cs="Times New Roman"/>
          <w:sz w:val="24"/>
          <w:szCs w:val="24"/>
          <w:lang w:val="en-US"/>
        </w:rPr>
        <w:t xml:space="preserve">In the </w:t>
      </w:r>
      <w:r w:rsidRPr="002F6712">
        <w:rPr>
          <w:rFonts w:ascii="Times New Roman" w:hAnsi="Times New Roman" w:cs="Times New Roman"/>
          <w:i/>
          <w:sz w:val="24"/>
          <w:szCs w:val="24"/>
          <w:lang w:val="en-US"/>
        </w:rPr>
        <w:t>metric model</w:t>
      </w:r>
      <w:r w:rsidR="000E5EA7">
        <w:rPr>
          <w:rFonts w:ascii="Times New Roman" w:hAnsi="Times New Roman" w:cs="Times New Roman"/>
          <w:sz w:val="24"/>
          <w:szCs w:val="24"/>
          <w:lang w:val="en-US"/>
        </w:rPr>
        <w:t xml:space="preserve"> (M2)</w:t>
      </w:r>
      <w:r w:rsidRPr="002F6712">
        <w:rPr>
          <w:rFonts w:ascii="Times New Roman" w:hAnsi="Times New Roman" w:cs="Times New Roman"/>
          <w:sz w:val="24"/>
          <w:szCs w:val="24"/>
          <w:lang w:val="en-US"/>
        </w:rPr>
        <w:t>, we tested whether the factor loadings were equal across time. The model with all factor loadings constrained to equality</w:t>
      </w:r>
      <w:r w:rsidR="001F0DC0">
        <w:rPr>
          <w:rFonts w:ascii="Times New Roman" w:hAnsi="Times New Roman" w:cs="Times New Roman"/>
          <w:sz w:val="24"/>
          <w:szCs w:val="24"/>
          <w:lang w:val="en-US"/>
        </w:rPr>
        <w:t xml:space="preserve"> over time</w:t>
      </w:r>
      <w:r w:rsidRPr="002F6712">
        <w:rPr>
          <w:rFonts w:ascii="Times New Roman" w:hAnsi="Times New Roman" w:cs="Times New Roman"/>
          <w:sz w:val="24"/>
          <w:szCs w:val="24"/>
          <w:lang w:val="en-US"/>
        </w:rPr>
        <w:t xml:space="preserve"> fit the data </w:t>
      </w:r>
      <w:r w:rsidR="001F0DC0">
        <w:rPr>
          <w:rFonts w:ascii="Times New Roman" w:hAnsi="Times New Roman" w:cs="Times New Roman"/>
          <w:sz w:val="24"/>
          <w:szCs w:val="24"/>
          <w:lang w:val="en-US"/>
        </w:rPr>
        <w:t xml:space="preserve">relatively </w:t>
      </w:r>
      <w:r w:rsidRPr="002F6712">
        <w:rPr>
          <w:rFonts w:ascii="Times New Roman" w:hAnsi="Times New Roman" w:cs="Times New Roman"/>
          <w:sz w:val="24"/>
          <w:szCs w:val="24"/>
          <w:lang w:val="en-US"/>
        </w:rPr>
        <w:lastRenderedPageBreak/>
        <w:t>well</w:t>
      </w:r>
      <w:r w:rsidR="001F0DC0">
        <w:rPr>
          <w:rFonts w:ascii="Times New Roman" w:hAnsi="Times New Roman" w:cs="Times New Roman"/>
          <w:sz w:val="24"/>
          <w:szCs w:val="24"/>
          <w:lang w:val="en-US"/>
        </w:rPr>
        <w:t xml:space="preserve"> (Table S1). However, a comparison of the alternative fit indices (CFI, RMSEA, and SRMR) across </w:t>
      </w:r>
      <w:r w:rsidR="00A719AC">
        <w:rPr>
          <w:rFonts w:ascii="Times New Roman" w:hAnsi="Times New Roman" w:cs="Times New Roman"/>
          <w:sz w:val="24"/>
          <w:szCs w:val="24"/>
          <w:lang w:val="en-US"/>
        </w:rPr>
        <w:t>M1 and M2</w:t>
      </w:r>
      <w:r w:rsidR="001F0DC0">
        <w:rPr>
          <w:rFonts w:ascii="Times New Roman" w:hAnsi="Times New Roman" w:cs="Times New Roman"/>
          <w:sz w:val="24"/>
          <w:szCs w:val="24"/>
          <w:lang w:val="en-US"/>
        </w:rPr>
        <w:t xml:space="preserve"> suggested that the metric model</w:t>
      </w:r>
      <w:r w:rsidR="00A719AC">
        <w:rPr>
          <w:rFonts w:ascii="Times New Roman" w:hAnsi="Times New Roman" w:cs="Times New Roman"/>
          <w:sz w:val="24"/>
          <w:szCs w:val="24"/>
          <w:lang w:val="en-US"/>
        </w:rPr>
        <w:t xml:space="preserve"> (M2)</w:t>
      </w:r>
      <w:r w:rsidR="001F0DC0">
        <w:rPr>
          <w:rFonts w:ascii="Times New Roman" w:hAnsi="Times New Roman" w:cs="Times New Roman"/>
          <w:sz w:val="24"/>
          <w:szCs w:val="24"/>
          <w:lang w:val="en-US"/>
        </w:rPr>
        <w:t xml:space="preserve"> fit slightly worse than the </w:t>
      </w:r>
      <w:proofErr w:type="spellStart"/>
      <w:r w:rsidR="001F0DC0">
        <w:rPr>
          <w:rFonts w:ascii="Times New Roman" w:hAnsi="Times New Roman" w:cs="Times New Roman"/>
          <w:sz w:val="24"/>
          <w:szCs w:val="24"/>
          <w:lang w:val="en-US"/>
        </w:rPr>
        <w:t>configural</w:t>
      </w:r>
      <w:proofErr w:type="spellEnd"/>
      <w:r w:rsidR="001F0DC0">
        <w:rPr>
          <w:rFonts w:ascii="Times New Roman" w:hAnsi="Times New Roman" w:cs="Times New Roman"/>
          <w:sz w:val="24"/>
          <w:szCs w:val="24"/>
          <w:lang w:val="en-US"/>
        </w:rPr>
        <w:t xml:space="preserve"> model</w:t>
      </w:r>
      <w:r w:rsidR="00A719AC">
        <w:rPr>
          <w:rFonts w:ascii="Times New Roman" w:hAnsi="Times New Roman" w:cs="Times New Roman"/>
          <w:sz w:val="24"/>
          <w:szCs w:val="24"/>
          <w:lang w:val="en-US"/>
        </w:rPr>
        <w:t xml:space="preserve"> (M1)</w:t>
      </w:r>
      <w:r w:rsidR="001F0DC0">
        <w:rPr>
          <w:rFonts w:ascii="Times New Roman" w:hAnsi="Times New Roman" w:cs="Times New Roman"/>
          <w:sz w:val="24"/>
          <w:szCs w:val="24"/>
          <w:lang w:val="en-US"/>
        </w:rPr>
        <w:t xml:space="preserve"> based on field recommendations</w:t>
      </w:r>
      <w:r w:rsidR="00121CFA">
        <w:rPr>
          <w:rFonts w:ascii="Times New Roman" w:hAnsi="Times New Roman" w:cs="Times New Roman"/>
          <w:sz w:val="24"/>
          <w:szCs w:val="24"/>
          <w:lang w:val="en-US"/>
        </w:rPr>
        <w:t xml:space="preserve"> (Chen, 2007; </w:t>
      </w:r>
      <w:proofErr w:type="spellStart"/>
      <w:r w:rsidR="00121CFA">
        <w:rPr>
          <w:rFonts w:ascii="Times New Roman" w:hAnsi="Times New Roman" w:cs="Times New Roman"/>
          <w:sz w:val="24"/>
          <w:szCs w:val="24"/>
        </w:rPr>
        <w:t>Putnick</w:t>
      </w:r>
      <w:proofErr w:type="spellEnd"/>
      <w:r w:rsidR="00121CFA">
        <w:rPr>
          <w:rFonts w:ascii="Times New Roman" w:hAnsi="Times New Roman" w:cs="Times New Roman"/>
          <w:sz w:val="24"/>
          <w:szCs w:val="24"/>
        </w:rPr>
        <w:t xml:space="preserve"> and Bornstein, 2016). Modification indices suggested freeing the PAL loading on the EF factor at age 8.</w:t>
      </w:r>
      <w:r w:rsidR="000E5EA7">
        <w:rPr>
          <w:rFonts w:ascii="Times New Roman" w:hAnsi="Times New Roman" w:cs="Times New Roman"/>
          <w:sz w:val="24"/>
          <w:szCs w:val="24"/>
        </w:rPr>
        <w:t xml:space="preserve"> The resulting partial metric invariance model (M2a) did not fit worse than the </w:t>
      </w:r>
      <w:proofErr w:type="spellStart"/>
      <w:r w:rsidR="000E5EA7">
        <w:rPr>
          <w:rFonts w:ascii="Times New Roman" w:hAnsi="Times New Roman" w:cs="Times New Roman"/>
          <w:sz w:val="24"/>
          <w:szCs w:val="24"/>
        </w:rPr>
        <w:t>configural</w:t>
      </w:r>
      <w:proofErr w:type="spellEnd"/>
      <w:r w:rsidR="000E5EA7">
        <w:rPr>
          <w:rFonts w:ascii="Times New Roman" w:hAnsi="Times New Roman" w:cs="Times New Roman"/>
          <w:sz w:val="24"/>
          <w:szCs w:val="24"/>
        </w:rPr>
        <w:t xml:space="preserve"> model</w:t>
      </w:r>
      <w:r w:rsidR="00A719AC">
        <w:rPr>
          <w:rFonts w:ascii="Times New Roman" w:hAnsi="Times New Roman" w:cs="Times New Roman"/>
          <w:sz w:val="24"/>
          <w:szCs w:val="24"/>
        </w:rPr>
        <w:t xml:space="preserve"> (M1)</w:t>
      </w:r>
      <w:r w:rsidR="000E5EA7">
        <w:rPr>
          <w:rFonts w:ascii="Times New Roman" w:hAnsi="Times New Roman" w:cs="Times New Roman"/>
          <w:sz w:val="24"/>
          <w:szCs w:val="24"/>
        </w:rPr>
        <w:t xml:space="preserve">, supporting partial metric invariance. Finally, </w:t>
      </w:r>
      <w:r w:rsidR="000E5EA7">
        <w:rPr>
          <w:rFonts w:ascii="Times New Roman" w:hAnsi="Times New Roman" w:cs="Times New Roman"/>
          <w:sz w:val="24"/>
          <w:szCs w:val="24"/>
          <w:lang w:val="en-US"/>
        </w:rPr>
        <w:t xml:space="preserve">we </w:t>
      </w:r>
      <w:r w:rsidRPr="002F6712">
        <w:rPr>
          <w:rFonts w:ascii="Times New Roman" w:hAnsi="Times New Roman" w:cs="Times New Roman"/>
          <w:sz w:val="24"/>
          <w:szCs w:val="24"/>
          <w:lang w:val="en-US"/>
        </w:rPr>
        <w:t>tested whether the intercepts of the scales were similar over time (</w:t>
      </w:r>
      <w:r w:rsidRPr="000E5EA7">
        <w:rPr>
          <w:rFonts w:ascii="Times New Roman" w:hAnsi="Times New Roman" w:cs="Times New Roman"/>
          <w:i/>
          <w:sz w:val="24"/>
          <w:szCs w:val="24"/>
          <w:lang w:val="en-US"/>
        </w:rPr>
        <w:t>scalar invariance</w:t>
      </w:r>
      <w:r w:rsidR="000E5EA7">
        <w:rPr>
          <w:rFonts w:ascii="Times New Roman" w:hAnsi="Times New Roman" w:cs="Times New Roman"/>
          <w:sz w:val="24"/>
          <w:szCs w:val="24"/>
          <w:lang w:val="en-US"/>
        </w:rPr>
        <w:t>; M3</w:t>
      </w:r>
      <w:r w:rsidRPr="002F6712">
        <w:rPr>
          <w:rFonts w:ascii="Times New Roman" w:hAnsi="Times New Roman" w:cs="Times New Roman"/>
          <w:sz w:val="24"/>
          <w:szCs w:val="24"/>
          <w:lang w:val="en-US"/>
        </w:rPr>
        <w:t>). Model fit was</w:t>
      </w:r>
      <w:r w:rsidR="00F85AAC">
        <w:rPr>
          <w:rFonts w:ascii="Times New Roman" w:hAnsi="Times New Roman" w:cs="Times New Roman"/>
          <w:sz w:val="24"/>
          <w:szCs w:val="24"/>
          <w:lang w:val="en-US"/>
        </w:rPr>
        <w:t xml:space="preserve"> acceptable, and comparison of the scalar</w:t>
      </w:r>
      <w:r w:rsidR="00A719AC">
        <w:rPr>
          <w:rFonts w:ascii="Times New Roman" w:hAnsi="Times New Roman" w:cs="Times New Roman"/>
          <w:sz w:val="24"/>
          <w:szCs w:val="24"/>
          <w:lang w:val="en-US"/>
        </w:rPr>
        <w:t xml:space="preserve"> and partial metric models </w:t>
      </w:r>
      <w:r w:rsidR="00F85AAC">
        <w:rPr>
          <w:rFonts w:ascii="Times New Roman" w:hAnsi="Times New Roman" w:cs="Times New Roman"/>
          <w:sz w:val="24"/>
          <w:szCs w:val="24"/>
          <w:lang w:val="en-US"/>
        </w:rPr>
        <w:t>revealed that the scalar model</w:t>
      </w:r>
      <w:r w:rsidR="00A719AC">
        <w:rPr>
          <w:rFonts w:ascii="Times New Roman" w:hAnsi="Times New Roman" w:cs="Times New Roman"/>
          <w:sz w:val="24"/>
          <w:szCs w:val="24"/>
          <w:lang w:val="en-US"/>
        </w:rPr>
        <w:t xml:space="preserve"> (M3)</w:t>
      </w:r>
      <w:r w:rsidR="00F85AAC">
        <w:rPr>
          <w:rFonts w:ascii="Times New Roman" w:hAnsi="Times New Roman" w:cs="Times New Roman"/>
          <w:sz w:val="24"/>
          <w:szCs w:val="24"/>
          <w:lang w:val="en-US"/>
        </w:rPr>
        <w:t xml:space="preserve"> did not fit worse than the metric mode</w:t>
      </w:r>
      <w:r w:rsidR="00A719AC">
        <w:rPr>
          <w:rFonts w:ascii="Times New Roman" w:hAnsi="Times New Roman" w:cs="Times New Roman"/>
          <w:sz w:val="24"/>
          <w:szCs w:val="24"/>
          <w:lang w:val="en-US"/>
        </w:rPr>
        <w:t xml:space="preserve"> (M2a)</w:t>
      </w:r>
      <w:r w:rsidR="00F85AAC">
        <w:rPr>
          <w:rFonts w:ascii="Times New Roman" w:hAnsi="Times New Roman" w:cs="Times New Roman"/>
          <w:sz w:val="24"/>
          <w:szCs w:val="24"/>
          <w:lang w:val="en-US"/>
        </w:rPr>
        <w:t xml:space="preserve">, thus supporting </w:t>
      </w:r>
      <w:r w:rsidR="00765D4A">
        <w:rPr>
          <w:rFonts w:ascii="Times New Roman" w:hAnsi="Times New Roman" w:cs="Times New Roman"/>
          <w:sz w:val="24"/>
          <w:szCs w:val="24"/>
          <w:lang w:val="en-US"/>
        </w:rPr>
        <w:t>scalar invariance. This pattern – that is,</w:t>
      </w:r>
      <w:r w:rsidR="00F85AAC">
        <w:rPr>
          <w:rFonts w:ascii="Times New Roman" w:hAnsi="Times New Roman" w:cs="Times New Roman"/>
          <w:sz w:val="24"/>
          <w:szCs w:val="24"/>
          <w:lang w:val="en-US"/>
        </w:rPr>
        <w:t xml:space="preserve"> partial metric invariance and full s</w:t>
      </w:r>
      <w:r w:rsidR="00765D4A">
        <w:rPr>
          <w:rFonts w:ascii="Times New Roman" w:hAnsi="Times New Roman" w:cs="Times New Roman"/>
          <w:sz w:val="24"/>
          <w:szCs w:val="24"/>
          <w:lang w:val="en-US"/>
        </w:rPr>
        <w:t xml:space="preserve">calar invariance – </w:t>
      </w:r>
      <w:r w:rsidR="00F85AAC">
        <w:rPr>
          <w:rFonts w:ascii="Times New Roman" w:hAnsi="Times New Roman" w:cs="Times New Roman"/>
          <w:sz w:val="24"/>
          <w:szCs w:val="24"/>
          <w:lang w:val="en-US"/>
        </w:rPr>
        <w:t>is permissible</w:t>
      </w:r>
      <w:r w:rsidR="00765D4A">
        <w:rPr>
          <w:rFonts w:ascii="Times New Roman" w:hAnsi="Times New Roman" w:cs="Times New Roman"/>
          <w:sz w:val="24"/>
          <w:szCs w:val="24"/>
          <w:lang w:val="en-US"/>
        </w:rPr>
        <w:t>,</w:t>
      </w:r>
      <w:r w:rsidR="00F85AAC">
        <w:rPr>
          <w:rFonts w:ascii="Times New Roman" w:hAnsi="Times New Roman" w:cs="Times New Roman"/>
          <w:sz w:val="24"/>
          <w:szCs w:val="24"/>
          <w:lang w:val="en-US"/>
        </w:rPr>
        <w:t xml:space="preserve"> as violations of metric invariance on mean-level analyses are minimal compared to scalar invariance (Steinmetz, 2013). Moreover, ignoring one non-invariant factor loading in the metric model has been shown not to bias parameter estimates (</w:t>
      </w:r>
      <w:proofErr w:type="spellStart"/>
      <w:r w:rsidR="00F85AAC">
        <w:rPr>
          <w:rFonts w:ascii="Times New Roman" w:hAnsi="Times New Roman" w:cs="Times New Roman"/>
          <w:sz w:val="24"/>
          <w:szCs w:val="24"/>
          <w:lang w:val="en-US"/>
        </w:rPr>
        <w:t>Guenole</w:t>
      </w:r>
      <w:proofErr w:type="spellEnd"/>
      <w:r w:rsidR="00F85AAC">
        <w:rPr>
          <w:rFonts w:ascii="Times New Roman" w:hAnsi="Times New Roman" w:cs="Times New Roman"/>
          <w:sz w:val="24"/>
          <w:szCs w:val="24"/>
          <w:lang w:val="en-US"/>
        </w:rPr>
        <w:t xml:space="preserve"> and Brown, 2014)</w:t>
      </w:r>
      <w:r w:rsidR="00AF3DC7">
        <w:rPr>
          <w:rFonts w:ascii="Times New Roman" w:hAnsi="Times New Roman" w:cs="Times New Roman"/>
          <w:sz w:val="24"/>
          <w:szCs w:val="24"/>
          <w:lang w:val="en-US"/>
        </w:rPr>
        <w:t>. These results suggest that the</w:t>
      </w:r>
      <w:r w:rsidR="00EB0CD1">
        <w:rPr>
          <w:rFonts w:ascii="Times New Roman" w:hAnsi="Times New Roman" w:cs="Times New Roman"/>
          <w:sz w:val="24"/>
          <w:szCs w:val="24"/>
          <w:lang w:val="en-US"/>
        </w:rPr>
        <w:t xml:space="preserve"> EF</w:t>
      </w:r>
      <w:r w:rsidR="00AF3DC7">
        <w:rPr>
          <w:rFonts w:ascii="Times New Roman" w:hAnsi="Times New Roman" w:cs="Times New Roman"/>
          <w:sz w:val="24"/>
          <w:szCs w:val="24"/>
          <w:lang w:val="en-US"/>
        </w:rPr>
        <w:t xml:space="preserve"> factors</w:t>
      </w:r>
      <w:r w:rsidR="00EB0CD1">
        <w:rPr>
          <w:rFonts w:ascii="Times New Roman" w:hAnsi="Times New Roman" w:cs="Times New Roman"/>
          <w:sz w:val="24"/>
          <w:szCs w:val="24"/>
          <w:lang w:val="en-US"/>
        </w:rPr>
        <w:t xml:space="preserve"> are largely invariant over time, thus </w:t>
      </w:r>
      <w:r w:rsidR="00A719AC">
        <w:rPr>
          <w:rFonts w:ascii="Times New Roman" w:hAnsi="Times New Roman" w:cs="Times New Roman"/>
          <w:sz w:val="24"/>
          <w:szCs w:val="24"/>
          <w:lang w:val="en-US"/>
        </w:rPr>
        <w:t>enabling</w:t>
      </w:r>
      <w:r w:rsidR="00EB0CD1">
        <w:rPr>
          <w:rFonts w:ascii="Times New Roman" w:hAnsi="Times New Roman" w:cs="Times New Roman"/>
          <w:sz w:val="24"/>
          <w:szCs w:val="24"/>
          <w:lang w:val="en-US"/>
        </w:rPr>
        <w:t xml:space="preserve"> an examination of factor mean differences and </w:t>
      </w:r>
      <w:r w:rsidR="00A719AC">
        <w:rPr>
          <w:rFonts w:ascii="Times New Roman" w:hAnsi="Times New Roman" w:cs="Times New Roman"/>
          <w:sz w:val="24"/>
          <w:szCs w:val="24"/>
          <w:lang w:val="en-US"/>
        </w:rPr>
        <w:t xml:space="preserve">construct relations over time </w:t>
      </w:r>
      <w:r w:rsidR="005C0B78">
        <w:rPr>
          <w:rFonts w:ascii="Times New Roman" w:hAnsi="Times New Roman" w:cs="Times New Roman"/>
          <w:sz w:val="24"/>
          <w:szCs w:val="24"/>
          <w:lang w:val="en-US"/>
        </w:rPr>
        <w:t xml:space="preserve">(i.e., </w:t>
      </w:r>
      <w:r w:rsidR="00EB0CD1">
        <w:rPr>
          <w:rFonts w:ascii="Times New Roman" w:hAnsi="Times New Roman" w:cs="Times New Roman"/>
          <w:sz w:val="24"/>
          <w:szCs w:val="24"/>
          <w:lang w:val="en-US"/>
        </w:rPr>
        <w:t xml:space="preserve">regression </w:t>
      </w:r>
      <w:r w:rsidR="005C0B78">
        <w:rPr>
          <w:rFonts w:ascii="Times New Roman" w:hAnsi="Times New Roman" w:cs="Times New Roman"/>
          <w:sz w:val="24"/>
          <w:szCs w:val="24"/>
          <w:lang w:val="en-US"/>
        </w:rPr>
        <w:t>parameters</w:t>
      </w:r>
      <w:r w:rsidR="00A719AC">
        <w:rPr>
          <w:rFonts w:ascii="Times New Roman" w:hAnsi="Times New Roman" w:cs="Times New Roman"/>
          <w:sz w:val="24"/>
          <w:szCs w:val="24"/>
          <w:lang w:val="en-US"/>
        </w:rPr>
        <w:t xml:space="preserve">), as </w:t>
      </w:r>
      <w:r w:rsidR="00765D4A">
        <w:rPr>
          <w:rFonts w:ascii="Times New Roman" w:hAnsi="Times New Roman" w:cs="Times New Roman"/>
          <w:sz w:val="24"/>
          <w:szCs w:val="24"/>
          <w:lang w:val="en-US"/>
        </w:rPr>
        <w:t>reported in the main text</w:t>
      </w:r>
      <w:r w:rsidR="00EB0CD1">
        <w:rPr>
          <w:rFonts w:ascii="Times New Roman" w:hAnsi="Times New Roman" w:cs="Times New Roman"/>
          <w:sz w:val="24"/>
          <w:szCs w:val="24"/>
          <w:lang w:val="en-US"/>
        </w:rPr>
        <w:t>.</w:t>
      </w:r>
    </w:p>
    <w:tbl>
      <w:tblPr>
        <w:tblStyle w:val="TableGrid"/>
        <w:tblpPr w:leftFromText="180" w:rightFromText="180" w:vertAnchor="text" w:horzAnchor="margin" w:tblpY="548"/>
        <w:tblW w:w="0" w:type="auto"/>
        <w:tblBorders>
          <w:left w:val="none" w:sz="0" w:space="0" w:color="auto"/>
          <w:right w:val="none" w:sz="0" w:space="0" w:color="auto"/>
          <w:insideH w:val="none" w:sz="0" w:space="0" w:color="auto"/>
          <w:insideV w:val="none" w:sz="0" w:space="0" w:color="auto"/>
        </w:tblBorders>
        <w:tblLook w:val="04A0"/>
      </w:tblPr>
      <w:tblGrid>
        <w:gridCol w:w="2255"/>
        <w:gridCol w:w="1397"/>
        <w:gridCol w:w="652"/>
        <w:gridCol w:w="1157"/>
        <w:gridCol w:w="884"/>
        <w:gridCol w:w="995"/>
        <w:gridCol w:w="1198"/>
        <w:gridCol w:w="1038"/>
      </w:tblGrid>
      <w:tr w:rsidR="00446BFE" w:rsidTr="006A7EE1">
        <w:tc>
          <w:tcPr>
            <w:tcW w:w="9576" w:type="dxa"/>
            <w:gridSpan w:val="8"/>
            <w:tcBorders>
              <w:top w:val="nil"/>
              <w:bottom w:val="single" w:sz="4" w:space="0" w:color="auto"/>
            </w:tcBorders>
          </w:tcPr>
          <w:p w:rsidR="00446BFE" w:rsidRDefault="00446BFE" w:rsidP="006A7EE1">
            <w:pPr>
              <w:rPr>
                <w:rFonts w:ascii="Times New Roman" w:hAnsi="Times New Roman" w:cs="Times New Roman"/>
                <w:bCs/>
                <w:sz w:val="24"/>
                <w:szCs w:val="24"/>
                <w:lang w:val="en-US"/>
              </w:rPr>
            </w:pPr>
            <w:r w:rsidRPr="00EB0CD1">
              <w:rPr>
                <w:rFonts w:ascii="Times New Roman" w:hAnsi="Times New Roman" w:cs="Times New Roman"/>
                <w:b/>
                <w:bCs/>
                <w:sz w:val="24"/>
                <w:szCs w:val="24"/>
                <w:lang w:val="en-US"/>
              </w:rPr>
              <w:t>Table S1:</w:t>
            </w:r>
            <w:r>
              <w:rPr>
                <w:rFonts w:ascii="Times New Roman" w:hAnsi="Times New Roman" w:cs="Times New Roman"/>
                <w:bCs/>
                <w:sz w:val="24"/>
                <w:szCs w:val="24"/>
                <w:lang w:val="en-US"/>
              </w:rPr>
              <w:t xml:space="preserve"> Tests of measurement invariance for EF factors over time</w:t>
            </w:r>
          </w:p>
        </w:tc>
      </w:tr>
      <w:tr w:rsidR="00714A1C" w:rsidTr="006A7EE1">
        <w:tc>
          <w:tcPr>
            <w:tcW w:w="2255" w:type="dxa"/>
            <w:tcBorders>
              <w:top w:val="single" w:sz="4" w:space="0" w:color="auto"/>
              <w:bottom w:val="single" w:sz="4" w:space="0" w:color="auto"/>
            </w:tcBorders>
          </w:tcPr>
          <w:p w:rsidR="00446BFE" w:rsidRDefault="00446BFE" w:rsidP="006A7EE1">
            <w:pPr>
              <w:rPr>
                <w:rFonts w:ascii="Times New Roman" w:hAnsi="Times New Roman" w:cs="Times New Roman"/>
                <w:bCs/>
                <w:sz w:val="24"/>
                <w:szCs w:val="24"/>
                <w:lang w:val="en-US"/>
              </w:rPr>
            </w:pPr>
            <w:r>
              <w:rPr>
                <w:rFonts w:ascii="Times New Roman" w:hAnsi="Times New Roman" w:cs="Times New Roman"/>
                <w:bCs/>
                <w:sz w:val="24"/>
                <w:szCs w:val="24"/>
                <w:lang w:val="en-US"/>
              </w:rPr>
              <w:t>Model</w:t>
            </w:r>
          </w:p>
        </w:tc>
        <w:tc>
          <w:tcPr>
            <w:tcW w:w="1397" w:type="dxa"/>
            <w:tcBorders>
              <w:top w:val="single" w:sz="4" w:space="0" w:color="auto"/>
              <w:bottom w:val="single" w:sz="4" w:space="0" w:color="auto"/>
            </w:tcBorders>
          </w:tcPr>
          <w:p w:rsidR="00446BFE" w:rsidRPr="0014387D" w:rsidRDefault="00446BFE" w:rsidP="006A7EE1">
            <w:pPr>
              <w:jc w:val="center"/>
              <w:rPr>
                <w:rFonts w:ascii="Times New Roman" w:hAnsi="Times New Roman" w:cs="Times New Roman"/>
                <w:bCs/>
                <w:i/>
                <w:sz w:val="24"/>
                <w:szCs w:val="24"/>
                <w:lang w:val="en-US"/>
              </w:rPr>
            </w:pPr>
            <w:r>
              <w:rPr>
                <w:rFonts w:ascii="Times New Roman" w:hAnsi="Times New Roman" w:cs="Times New Roman"/>
                <w:bCs/>
                <w:sz w:val="24"/>
                <w:szCs w:val="24"/>
                <w:lang w:val="en-US"/>
              </w:rPr>
              <w:t>χ</w:t>
            </w:r>
            <w:r>
              <w:rPr>
                <w:rFonts w:ascii="Times New Roman" w:hAnsi="Times New Roman" w:cs="Times New Roman"/>
                <w:bCs/>
                <w:sz w:val="24"/>
                <w:szCs w:val="24"/>
                <w:vertAlign w:val="superscript"/>
                <w:lang w:val="en-US"/>
              </w:rPr>
              <w:t xml:space="preserve">2 </w:t>
            </w:r>
            <w:r>
              <w:rPr>
                <w:rFonts w:ascii="Times New Roman" w:hAnsi="Times New Roman" w:cs="Times New Roman"/>
                <w:bCs/>
                <w:sz w:val="24"/>
                <w:szCs w:val="24"/>
                <w:lang w:val="en-US"/>
              </w:rPr>
              <w:t>(</w:t>
            </w:r>
            <w:proofErr w:type="spellStart"/>
            <w:r>
              <w:rPr>
                <w:rFonts w:ascii="Times New Roman" w:hAnsi="Times New Roman" w:cs="Times New Roman"/>
                <w:bCs/>
                <w:i/>
                <w:sz w:val="24"/>
                <w:szCs w:val="24"/>
                <w:lang w:val="en-US"/>
              </w:rPr>
              <w:t>df</w:t>
            </w:r>
            <w:proofErr w:type="spellEnd"/>
            <w:r w:rsidRPr="0014387D">
              <w:rPr>
                <w:rFonts w:ascii="Times New Roman" w:hAnsi="Times New Roman" w:cs="Times New Roman"/>
                <w:bCs/>
                <w:sz w:val="24"/>
                <w:szCs w:val="24"/>
                <w:lang w:val="en-US"/>
              </w:rPr>
              <w:t>)</w:t>
            </w:r>
          </w:p>
        </w:tc>
        <w:tc>
          <w:tcPr>
            <w:tcW w:w="652" w:type="dxa"/>
            <w:tcBorders>
              <w:top w:val="single" w:sz="4" w:space="0" w:color="auto"/>
              <w:bottom w:val="single" w:sz="4" w:space="0" w:color="auto"/>
            </w:tcBorders>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CFI</w:t>
            </w:r>
          </w:p>
        </w:tc>
        <w:tc>
          <w:tcPr>
            <w:tcW w:w="1157" w:type="dxa"/>
            <w:tcBorders>
              <w:top w:val="single" w:sz="4" w:space="0" w:color="auto"/>
              <w:bottom w:val="single" w:sz="4" w:space="0" w:color="auto"/>
            </w:tcBorders>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RMSEA</w:t>
            </w:r>
          </w:p>
        </w:tc>
        <w:tc>
          <w:tcPr>
            <w:tcW w:w="884" w:type="dxa"/>
            <w:tcBorders>
              <w:top w:val="single" w:sz="4" w:space="0" w:color="auto"/>
              <w:bottom w:val="single" w:sz="4" w:space="0" w:color="auto"/>
            </w:tcBorders>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SRMR</w:t>
            </w:r>
          </w:p>
        </w:tc>
        <w:tc>
          <w:tcPr>
            <w:tcW w:w="995" w:type="dxa"/>
            <w:tcBorders>
              <w:top w:val="single" w:sz="4" w:space="0" w:color="auto"/>
              <w:bottom w:val="single" w:sz="4" w:space="0" w:color="auto"/>
            </w:tcBorders>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ΔCFI</w:t>
            </w:r>
          </w:p>
        </w:tc>
        <w:tc>
          <w:tcPr>
            <w:tcW w:w="1198" w:type="dxa"/>
            <w:tcBorders>
              <w:top w:val="single" w:sz="4" w:space="0" w:color="auto"/>
              <w:bottom w:val="single" w:sz="4" w:space="0" w:color="auto"/>
            </w:tcBorders>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ΔRMSEA</w:t>
            </w:r>
          </w:p>
        </w:tc>
        <w:tc>
          <w:tcPr>
            <w:tcW w:w="1038" w:type="dxa"/>
            <w:tcBorders>
              <w:top w:val="single" w:sz="4" w:space="0" w:color="auto"/>
              <w:bottom w:val="single" w:sz="4" w:space="0" w:color="auto"/>
            </w:tcBorders>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ΔSRMR</w:t>
            </w:r>
          </w:p>
        </w:tc>
      </w:tr>
      <w:tr w:rsidR="00714A1C" w:rsidTr="006A7EE1">
        <w:tc>
          <w:tcPr>
            <w:tcW w:w="2255" w:type="dxa"/>
            <w:tcBorders>
              <w:top w:val="single" w:sz="4" w:space="0" w:color="auto"/>
            </w:tcBorders>
          </w:tcPr>
          <w:p w:rsidR="00446BFE" w:rsidRDefault="00446BFE" w:rsidP="006A7EE1">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M1: </w:t>
            </w:r>
            <w:proofErr w:type="spellStart"/>
            <w:r>
              <w:rPr>
                <w:rFonts w:ascii="Times New Roman" w:hAnsi="Times New Roman" w:cs="Times New Roman"/>
                <w:bCs/>
                <w:sz w:val="24"/>
                <w:szCs w:val="24"/>
                <w:lang w:val="en-US"/>
              </w:rPr>
              <w:t>Configural</w:t>
            </w:r>
            <w:proofErr w:type="spellEnd"/>
            <w:r>
              <w:rPr>
                <w:rFonts w:ascii="Times New Roman" w:hAnsi="Times New Roman" w:cs="Times New Roman"/>
                <w:bCs/>
                <w:sz w:val="24"/>
                <w:szCs w:val="24"/>
                <w:lang w:val="en-US"/>
              </w:rPr>
              <w:t xml:space="preserve"> Invariance</w:t>
            </w:r>
          </w:p>
        </w:tc>
        <w:tc>
          <w:tcPr>
            <w:tcW w:w="1397" w:type="dxa"/>
            <w:tcBorders>
              <w:top w:val="single" w:sz="4" w:space="0" w:color="auto"/>
            </w:tcBorders>
            <w:vAlign w:val="center"/>
          </w:tcPr>
          <w:p w:rsidR="00446BFE" w:rsidRDefault="00974825"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76.79 (45</w:t>
            </w:r>
            <w:r w:rsidR="00446BFE">
              <w:rPr>
                <w:rFonts w:ascii="Times New Roman" w:hAnsi="Times New Roman" w:cs="Times New Roman"/>
                <w:bCs/>
                <w:sz w:val="24"/>
                <w:szCs w:val="24"/>
                <w:lang w:val="en-US"/>
              </w:rPr>
              <w:t>)</w:t>
            </w:r>
          </w:p>
        </w:tc>
        <w:tc>
          <w:tcPr>
            <w:tcW w:w="652" w:type="dxa"/>
            <w:tcBorders>
              <w:top w:val="single" w:sz="4" w:space="0" w:color="auto"/>
            </w:tcBorders>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.9</w:t>
            </w:r>
            <w:r w:rsidR="00974825">
              <w:rPr>
                <w:rFonts w:ascii="Times New Roman" w:hAnsi="Times New Roman" w:cs="Times New Roman"/>
                <w:bCs/>
                <w:sz w:val="24"/>
                <w:szCs w:val="24"/>
                <w:lang w:val="en-US"/>
              </w:rPr>
              <w:t>4</w:t>
            </w:r>
          </w:p>
        </w:tc>
        <w:tc>
          <w:tcPr>
            <w:tcW w:w="1157" w:type="dxa"/>
            <w:tcBorders>
              <w:top w:val="single" w:sz="4" w:space="0" w:color="auto"/>
            </w:tcBorders>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r w:rsidR="00974825">
              <w:rPr>
                <w:rFonts w:ascii="Times New Roman" w:hAnsi="Times New Roman" w:cs="Times New Roman"/>
                <w:bCs/>
                <w:sz w:val="24"/>
                <w:szCs w:val="24"/>
                <w:lang w:val="en-US"/>
              </w:rPr>
              <w:t>61</w:t>
            </w:r>
          </w:p>
        </w:tc>
        <w:tc>
          <w:tcPr>
            <w:tcW w:w="884" w:type="dxa"/>
            <w:tcBorders>
              <w:top w:val="single" w:sz="4" w:space="0" w:color="auto"/>
            </w:tcBorders>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r w:rsidR="00974825">
              <w:rPr>
                <w:rFonts w:ascii="Times New Roman" w:hAnsi="Times New Roman" w:cs="Times New Roman"/>
                <w:bCs/>
                <w:sz w:val="24"/>
                <w:szCs w:val="24"/>
                <w:lang w:val="en-US"/>
              </w:rPr>
              <w:t>57</w:t>
            </w:r>
          </w:p>
        </w:tc>
        <w:tc>
          <w:tcPr>
            <w:tcW w:w="995" w:type="dxa"/>
            <w:tcBorders>
              <w:top w:val="single" w:sz="4" w:space="0" w:color="auto"/>
            </w:tcBorders>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1198" w:type="dxa"/>
            <w:tcBorders>
              <w:top w:val="single" w:sz="4" w:space="0" w:color="auto"/>
            </w:tcBorders>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1038" w:type="dxa"/>
            <w:tcBorders>
              <w:top w:val="single" w:sz="4" w:space="0" w:color="auto"/>
            </w:tcBorders>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r>
      <w:tr w:rsidR="00714A1C" w:rsidTr="006A7EE1">
        <w:tc>
          <w:tcPr>
            <w:tcW w:w="2255" w:type="dxa"/>
          </w:tcPr>
          <w:p w:rsidR="00446BFE" w:rsidRDefault="00446BFE" w:rsidP="006A7EE1">
            <w:pPr>
              <w:rPr>
                <w:rFonts w:ascii="Times New Roman" w:hAnsi="Times New Roman" w:cs="Times New Roman"/>
                <w:bCs/>
                <w:sz w:val="24"/>
                <w:szCs w:val="24"/>
                <w:lang w:val="en-US"/>
              </w:rPr>
            </w:pPr>
            <w:r>
              <w:rPr>
                <w:rFonts w:ascii="Times New Roman" w:hAnsi="Times New Roman" w:cs="Times New Roman"/>
                <w:bCs/>
                <w:sz w:val="24"/>
                <w:szCs w:val="24"/>
                <w:lang w:val="en-US"/>
              </w:rPr>
              <w:t>M2: Metric Invariance</w:t>
            </w:r>
          </w:p>
        </w:tc>
        <w:tc>
          <w:tcPr>
            <w:tcW w:w="1397" w:type="dxa"/>
            <w:vAlign w:val="center"/>
          </w:tcPr>
          <w:p w:rsidR="00446BFE" w:rsidRDefault="00974825"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105.56 (53</w:t>
            </w:r>
            <w:r w:rsidR="00446BFE">
              <w:rPr>
                <w:rFonts w:ascii="Times New Roman" w:hAnsi="Times New Roman" w:cs="Times New Roman"/>
                <w:bCs/>
                <w:sz w:val="24"/>
                <w:szCs w:val="24"/>
                <w:lang w:val="en-US"/>
              </w:rPr>
              <w:t>)</w:t>
            </w:r>
          </w:p>
        </w:tc>
        <w:tc>
          <w:tcPr>
            <w:tcW w:w="652"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.9</w:t>
            </w:r>
            <w:r w:rsidR="00714A1C">
              <w:rPr>
                <w:rFonts w:ascii="Times New Roman" w:hAnsi="Times New Roman" w:cs="Times New Roman"/>
                <w:bCs/>
                <w:sz w:val="24"/>
                <w:szCs w:val="24"/>
                <w:lang w:val="en-US"/>
              </w:rPr>
              <w:t>0</w:t>
            </w:r>
          </w:p>
        </w:tc>
        <w:tc>
          <w:tcPr>
            <w:tcW w:w="1157"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r w:rsidR="00714A1C">
              <w:rPr>
                <w:rFonts w:ascii="Times New Roman" w:hAnsi="Times New Roman" w:cs="Times New Roman"/>
                <w:bCs/>
                <w:sz w:val="24"/>
                <w:szCs w:val="24"/>
                <w:lang w:val="en-US"/>
              </w:rPr>
              <w:t>73</w:t>
            </w:r>
          </w:p>
        </w:tc>
        <w:tc>
          <w:tcPr>
            <w:tcW w:w="884"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.09</w:t>
            </w:r>
            <w:r w:rsidR="00714A1C">
              <w:rPr>
                <w:rFonts w:ascii="Times New Roman" w:hAnsi="Times New Roman" w:cs="Times New Roman"/>
                <w:bCs/>
                <w:sz w:val="24"/>
                <w:szCs w:val="24"/>
                <w:lang w:val="en-US"/>
              </w:rPr>
              <w:t>8</w:t>
            </w:r>
          </w:p>
        </w:tc>
        <w:tc>
          <w:tcPr>
            <w:tcW w:w="995"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r w:rsidR="00714A1C">
              <w:rPr>
                <w:rFonts w:ascii="Times New Roman" w:hAnsi="Times New Roman" w:cs="Times New Roman"/>
                <w:bCs/>
                <w:sz w:val="24"/>
                <w:szCs w:val="24"/>
                <w:lang w:val="en-US"/>
              </w:rPr>
              <w:t>40</w:t>
            </w:r>
          </w:p>
        </w:tc>
        <w:tc>
          <w:tcPr>
            <w:tcW w:w="1198"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r w:rsidR="00714A1C">
              <w:rPr>
                <w:rFonts w:ascii="Times New Roman" w:hAnsi="Times New Roman" w:cs="Times New Roman"/>
                <w:bCs/>
                <w:sz w:val="24"/>
                <w:szCs w:val="24"/>
                <w:lang w:val="en-US"/>
              </w:rPr>
              <w:t>12</w:t>
            </w:r>
          </w:p>
        </w:tc>
        <w:tc>
          <w:tcPr>
            <w:tcW w:w="1038"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.04</w:t>
            </w:r>
            <w:r w:rsidR="00714A1C">
              <w:rPr>
                <w:rFonts w:ascii="Times New Roman" w:hAnsi="Times New Roman" w:cs="Times New Roman"/>
                <w:bCs/>
                <w:sz w:val="24"/>
                <w:szCs w:val="24"/>
                <w:lang w:val="en-US"/>
              </w:rPr>
              <w:t>1</w:t>
            </w:r>
          </w:p>
        </w:tc>
      </w:tr>
      <w:tr w:rsidR="00714A1C" w:rsidTr="006A7EE1">
        <w:tc>
          <w:tcPr>
            <w:tcW w:w="2255" w:type="dxa"/>
          </w:tcPr>
          <w:p w:rsidR="00446BFE" w:rsidRDefault="00446BFE" w:rsidP="006A7EE1">
            <w:pPr>
              <w:rPr>
                <w:rFonts w:ascii="Times New Roman" w:hAnsi="Times New Roman" w:cs="Times New Roman"/>
                <w:bCs/>
                <w:sz w:val="24"/>
                <w:szCs w:val="24"/>
                <w:lang w:val="en-US"/>
              </w:rPr>
            </w:pPr>
            <w:r>
              <w:rPr>
                <w:rFonts w:ascii="Times New Roman" w:hAnsi="Times New Roman" w:cs="Times New Roman"/>
                <w:bCs/>
                <w:sz w:val="24"/>
                <w:szCs w:val="24"/>
                <w:lang w:val="en-US"/>
              </w:rPr>
              <w:t>M2a: Partial Metric Invariance</w:t>
            </w:r>
          </w:p>
        </w:tc>
        <w:tc>
          <w:tcPr>
            <w:tcW w:w="1397" w:type="dxa"/>
            <w:vAlign w:val="center"/>
          </w:tcPr>
          <w:p w:rsidR="00446BFE" w:rsidRDefault="00714A1C"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88.78</w:t>
            </w:r>
            <w:r w:rsidR="0097482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52</w:t>
            </w:r>
            <w:r w:rsidR="00974825">
              <w:rPr>
                <w:rFonts w:ascii="Times New Roman" w:hAnsi="Times New Roman" w:cs="Times New Roman"/>
                <w:bCs/>
                <w:sz w:val="24"/>
                <w:szCs w:val="24"/>
                <w:lang w:val="en-US"/>
              </w:rPr>
              <w:t>)</w:t>
            </w:r>
          </w:p>
        </w:tc>
        <w:tc>
          <w:tcPr>
            <w:tcW w:w="652"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.9</w:t>
            </w:r>
            <w:r w:rsidR="00714A1C">
              <w:rPr>
                <w:rFonts w:ascii="Times New Roman" w:hAnsi="Times New Roman" w:cs="Times New Roman"/>
                <w:bCs/>
                <w:sz w:val="24"/>
                <w:szCs w:val="24"/>
                <w:lang w:val="en-US"/>
              </w:rPr>
              <w:t>3</w:t>
            </w:r>
          </w:p>
        </w:tc>
        <w:tc>
          <w:tcPr>
            <w:tcW w:w="1157"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r w:rsidR="00714A1C">
              <w:rPr>
                <w:rFonts w:ascii="Times New Roman" w:hAnsi="Times New Roman" w:cs="Times New Roman"/>
                <w:bCs/>
                <w:sz w:val="24"/>
                <w:szCs w:val="24"/>
                <w:lang w:val="en-US"/>
              </w:rPr>
              <w:t>61</w:t>
            </w:r>
          </w:p>
        </w:tc>
        <w:tc>
          <w:tcPr>
            <w:tcW w:w="884"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.08</w:t>
            </w:r>
            <w:r w:rsidR="00714A1C">
              <w:rPr>
                <w:rFonts w:ascii="Times New Roman" w:hAnsi="Times New Roman" w:cs="Times New Roman"/>
                <w:bCs/>
                <w:sz w:val="24"/>
                <w:szCs w:val="24"/>
                <w:lang w:val="en-US"/>
              </w:rPr>
              <w:t>7</w:t>
            </w:r>
          </w:p>
        </w:tc>
        <w:tc>
          <w:tcPr>
            <w:tcW w:w="995"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-.010</w:t>
            </w:r>
          </w:p>
        </w:tc>
        <w:tc>
          <w:tcPr>
            <w:tcW w:w="1198"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.00</w:t>
            </w:r>
            <w:r w:rsidR="00714A1C">
              <w:rPr>
                <w:rFonts w:ascii="Times New Roman" w:hAnsi="Times New Roman" w:cs="Times New Roman"/>
                <w:bCs/>
                <w:sz w:val="24"/>
                <w:szCs w:val="24"/>
                <w:lang w:val="en-US"/>
              </w:rPr>
              <w:t>0</w:t>
            </w:r>
          </w:p>
        </w:tc>
        <w:tc>
          <w:tcPr>
            <w:tcW w:w="1038"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.03</w:t>
            </w:r>
            <w:r w:rsidR="00714A1C">
              <w:rPr>
                <w:rFonts w:ascii="Times New Roman" w:hAnsi="Times New Roman" w:cs="Times New Roman"/>
                <w:bCs/>
                <w:sz w:val="24"/>
                <w:szCs w:val="24"/>
                <w:lang w:val="en-US"/>
              </w:rPr>
              <w:t>0</w:t>
            </w:r>
          </w:p>
        </w:tc>
      </w:tr>
      <w:tr w:rsidR="00714A1C" w:rsidTr="006A7EE1">
        <w:tc>
          <w:tcPr>
            <w:tcW w:w="2255" w:type="dxa"/>
          </w:tcPr>
          <w:p w:rsidR="00446BFE" w:rsidRDefault="00446BFE" w:rsidP="006A7EE1">
            <w:pPr>
              <w:rPr>
                <w:rFonts w:ascii="Times New Roman" w:hAnsi="Times New Roman" w:cs="Times New Roman"/>
                <w:bCs/>
                <w:sz w:val="24"/>
                <w:szCs w:val="24"/>
                <w:lang w:val="en-US"/>
              </w:rPr>
            </w:pPr>
            <w:r>
              <w:rPr>
                <w:rFonts w:ascii="Times New Roman" w:hAnsi="Times New Roman" w:cs="Times New Roman"/>
                <w:bCs/>
                <w:sz w:val="24"/>
                <w:szCs w:val="24"/>
                <w:lang w:val="en-US"/>
              </w:rPr>
              <w:t>M3: Scalar Invariance</w:t>
            </w:r>
          </w:p>
        </w:tc>
        <w:tc>
          <w:tcPr>
            <w:tcW w:w="1397" w:type="dxa"/>
            <w:vAlign w:val="center"/>
          </w:tcPr>
          <w:p w:rsidR="00446BFE" w:rsidRDefault="005B64C1"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93.64 (58)</w:t>
            </w:r>
          </w:p>
        </w:tc>
        <w:tc>
          <w:tcPr>
            <w:tcW w:w="652"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.9</w:t>
            </w:r>
            <w:r w:rsidR="005B64C1">
              <w:rPr>
                <w:rFonts w:ascii="Times New Roman" w:hAnsi="Times New Roman" w:cs="Times New Roman"/>
                <w:bCs/>
                <w:sz w:val="24"/>
                <w:szCs w:val="24"/>
                <w:lang w:val="en-US"/>
              </w:rPr>
              <w:t>3</w:t>
            </w:r>
          </w:p>
        </w:tc>
        <w:tc>
          <w:tcPr>
            <w:tcW w:w="1157"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r w:rsidR="005B64C1">
              <w:rPr>
                <w:rFonts w:ascii="Times New Roman" w:hAnsi="Times New Roman" w:cs="Times New Roman"/>
                <w:bCs/>
                <w:sz w:val="24"/>
                <w:szCs w:val="24"/>
                <w:lang w:val="en-US"/>
              </w:rPr>
              <w:t>57</w:t>
            </w:r>
          </w:p>
        </w:tc>
        <w:tc>
          <w:tcPr>
            <w:tcW w:w="884"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r w:rsidR="005B64C1">
              <w:rPr>
                <w:rFonts w:ascii="Times New Roman" w:hAnsi="Times New Roman" w:cs="Times New Roman"/>
                <w:bCs/>
                <w:sz w:val="24"/>
                <w:szCs w:val="24"/>
                <w:lang w:val="en-US"/>
              </w:rPr>
              <w:t>91</w:t>
            </w:r>
          </w:p>
        </w:tc>
        <w:tc>
          <w:tcPr>
            <w:tcW w:w="995"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r w:rsidR="005B64C1">
              <w:rPr>
                <w:rFonts w:ascii="Times New Roman" w:hAnsi="Times New Roman" w:cs="Times New Roman"/>
                <w:bCs/>
                <w:sz w:val="24"/>
                <w:szCs w:val="24"/>
                <w:lang w:val="en-US"/>
              </w:rPr>
              <w:t>00</w:t>
            </w:r>
          </w:p>
        </w:tc>
        <w:tc>
          <w:tcPr>
            <w:tcW w:w="1198" w:type="dxa"/>
            <w:vAlign w:val="center"/>
          </w:tcPr>
          <w:p w:rsidR="00446BFE" w:rsidRDefault="005B64C1"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r w:rsidR="00446BFE">
              <w:rPr>
                <w:rFonts w:ascii="Times New Roman" w:hAnsi="Times New Roman" w:cs="Times New Roman"/>
                <w:bCs/>
                <w:sz w:val="24"/>
                <w:szCs w:val="24"/>
                <w:lang w:val="en-US"/>
              </w:rPr>
              <w:t>.00</w:t>
            </w:r>
            <w:r>
              <w:rPr>
                <w:rFonts w:ascii="Times New Roman" w:hAnsi="Times New Roman" w:cs="Times New Roman"/>
                <w:bCs/>
                <w:sz w:val="24"/>
                <w:szCs w:val="24"/>
                <w:lang w:val="en-US"/>
              </w:rPr>
              <w:t>4</w:t>
            </w:r>
          </w:p>
        </w:tc>
        <w:tc>
          <w:tcPr>
            <w:tcW w:w="1038" w:type="dxa"/>
            <w:vAlign w:val="center"/>
          </w:tcPr>
          <w:p w:rsidR="00446BFE" w:rsidRDefault="00446BFE" w:rsidP="006A7EE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.00</w:t>
            </w:r>
            <w:r w:rsidR="005B64C1">
              <w:rPr>
                <w:rFonts w:ascii="Times New Roman" w:hAnsi="Times New Roman" w:cs="Times New Roman"/>
                <w:bCs/>
                <w:sz w:val="24"/>
                <w:szCs w:val="24"/>
                <w:lang w:val="en-US"/>
              </w:rPr>
              <w:t>4</w:t>
            </w:r>
          </w:p>
        </w:tc>
      </w:tr>
    </w:tbl>
    <w:p w:rsidR="006D42D7" w:rsidRDefault="006D42D7" w:rsidP="002F6712">
      <w:pPr>
        <w:spacing w:after="0" w:line="240" w:lineRule="auto"/>
        <w:ind w:firstLine="357"/>
        <w:rPr>
          <w:rFonts w:ascii="Times New Roman" w:hAnsi="Times New Roman" w:cs="Times New Roman"/>
          <w:sz w:val="24"/>
          <w:szCs w:val="24"/>
          <w:lang w:val="en-US"/>
        </w:rPr>
      </w:pPr>
    </w:p>
    <w:p w:rsidR="002F6712" w:rsidRDefault="002F6712" w:rsidP="002F6712">
      <w:pPr>
        <w:spacing w:after="0" w:line="240" w:lineRule="auto"/>
        <w:ind w:firstLine="357"/>
        <w:rPr>
          <w:rFonts w:ascii="Times New Roman" w:hAnsi="Times New Roman" w:cs="Times New Roman"/>
          <w:sz w:val="24"/>
          <w:szCs w:val="24"/>
          <w:lang w:val="en-US"/>
        </w:rPr>
      </w:pPr>
    </w:p>
    <w:p w:rsidR="006A7EE1" w:rsidRDefault="006A7EE1" w:rsidP="00E81B36">
      <w:pPr>
        <w:spacing w:after="0" w:line="240" w:lineRule="auto"/>
        <w:rPr>
          <w:rFonts w:ascii="Times New Roman" w:hAnsi="Times New Roman" w:cs="Times New Roman"/>
          <w:b/>
          <w:bCs/>
          <w:sz w:val="24"/>
          <w:szCs w:val="24"/>
          <w:lang w:val="en-US"/>
        </w:rPr>
      </w:pPr>
    </w:p>
    <w:p w:rsidR="001F0DC0" w:rsidRPr="00F804F2" w:rsidRDefault="00F804F2" w:rsidP="00E81B36">
      <w:pPr>
        <w:spacing w:after="0" w:line="240" w:lineRule="auto"/>
        <w:rPr>
          <w:rFonts w:ascii="Times New Roman" w:hAnsi="Times New Roman" w:cs="Times New Roman"/>
          <w:b/>
          <w:bCs/>
          <w:sz w:val="24"/>
          <w:szCs w:val="24"/>
          <w:lang w:val="en-US"/>
        </w:rPr>
      </w:pPr>
      <w:r w:rsidRPr="00F804F2">
        <w:rPr>
          <w:rFonts w:ascii="Times New Roman" w:hAnsi="Times New Roman" w:cs="Times New Roman"/>
          <w:b/>
          <w:bCs/>
          <w:sz w:val="24"/>
          <w:szCs w:val="24"/>
          <w:lang w:val="en-US"/>
        </w:rPr>
        <w:t>Measurement of Psychopathology Factors</w:t>
      </w:r>
    </w:p>
    <w:p w:rsidR="00C649B9" w:rsidRPr="002A678F" w:rsidRDefault="004C0B60" w:rsidP="004C0B60">
      <w:pPr>
        <w:spacing w:after="0" w:line="240" w:lineRule="auto"/>
        <w:ind w:firstLine="357"/>
        <w:rPr>
          <w:rFonts w:ascii="Times New Roman" w:hAnsi="Times New Roman" w:cs="Times New Roman"/>
          <w:bCs/>
          <w:sz w:val="24"/>
          <w:szCs w:val="24"/>
          <w:lang w:val="en-US"/>
        </w:rPr>
      </w:pPr>
      <w:r>
        <w:rPr>
          <w:rFonts w:ascii="Times New Roman" w:hAnsi="Times New Roman" w:cs="Times New Roman"/>
          <w:bCs/>
          <w:sz w:val="24"/>
          <w:szCs w:val="24"/>
          <w:lang w:val="en-US"/>
        </w:rPr>
        <w:t xml:space="preserve">Estimation of the P, INT, and EXT factors described in the main text followed the procedure outlined in Wade </w:t>
      </w:r>
      <w:r w:rsidRPr="004C0B60">
        <w:rPr>
          <w:rFonts w:ascii="Times New Roman" w:hAnsi="Times New Roman" w:cs="Times New Roman"/>
          <w:bCs/>
          <w:i/>
          <w:sz w:val="24"/>
          <w:szCs w:val="24"/>
          <w:lang w:val="en-US"/>
        </w:rPr>
        <w:t>et al.</w:t>
      </w:r>
      <w:r>
        <w:rPr>
          <w:rFonts w:ascii="Times New Roman" w:hAnsi="Times New Roman" w:cs="Times New Roman"/>
          <w:bCs/>
          <w:sz w:val="24"/>
          <w:szCs w:val="24"/>
          <w:lang w:val="en-US"/>
        </w:rPr>
        <w:t xml:space="preserve"> (2018)</w:t>
      </w:r>
      <w:r w:rsidR="00951005">
        <w:rPr>
          <w:rFonts w:ascii="Times New Roman" w:hAnsi="Times New Roman" w:cs="Times New Roman"/>
          <w:bCs/>
          <w:sz w:val="24"/>
          <w:szCs w:val="24"/>
          <w:lang w:val="en-US"/>
        </w:rPr>
        <w:t>. In short, teacher</w:t>
      </w:r>
      <w:r w:rsidR="001F7512">
        <w:rPr>
          <w:rFonts w:ascii="Times New Roman" w:hAnsi="Times New Roman" w:cs="Times New Roman"/>
          <w:bCs/>
          <w:sz w:val="24"/>
          <w:szCs w:val="24"/>
          <w:lang w:val="en-US"/>
        </w:rPr>
        <w:t>s</w:t>
      </w:r>
      <w:r w:rsidR="00951005">
        <w:rPr>
          <w:rFonts w:ascii="Times New Roman" w:hAnsi="Times New Roman" w:cs="Times New Roman"/>
          <w:bCs/>
          <w:sz w:val="24"/>
          <w:szCs w:val="24"/>
          <w:lang w:val="en-US"/>
        </w:rPr>
        <w:t xml:space="preserve"> and caregiver</w:t>
      </w:r>
      <w:r w:rsidR="001F7512">
        <w:rPr>
          <w:rFonts w:ascii="Times New Roman" w:hAnsi="Times New Roman" w:cs="Times New Roman"/>
          <w:bCs/>
          <w:sz w:val="24"/>
          <w:szCs w:val="24"/>
          <w:lang w:val="en-US"/>
        </w:rPr>
        <w:t>s provided ratings of psychopathology in eight domains (</w:t>
      </w:r>
      <w:r w:rsidR="001F7512">
        <w:rPr>
          <w:rFonts w:ascii="Times New Roman" w:hAnsi="Times New Roman" w:cs="Times New Roman"/>
          <w:iCs/>
          <w:sz w:val="24"/>
          <w:szCs w:val="24"/>
          <w:lang w:val="en-US"/>
        </w:rPr>
        <w:t>d</w:t>
      </w:r>
      <w:r w:rsidR="001F7512" w:rsidRPr="000B47DE">
        <w:rPr>
          <w:rFonts w:ascii="Times New Roman" w:hAnsi="Times New Roman" w:cs="Times New Roman"/>
          <w:iCs/>
          <w:sz w:val="24"/>
          <w:szCs w:val="24"/>
          <w:lang w:val="en-US"/>
        </w:rPr>
        <w:t xml:space="preserve">epression, </w:t>
      </w:r>
      <w:r w:rsidR="001F7512">
        <w:rPr>
          <w:rFonts w:ascii="Times New Roman" w:hAnsi="Times New Roman" w:cs="Times New Roman"/>
          <w:iCs/>
          <w:sz w:val="24"/>
          <w:szCs w:val="24"/>
          <w:lang w:val="en-US"/>
        </w:rPr>
        <w:t>overanxious, social anxiety, oppositional defiant, conduct problems, overt aggression, r</w:t>
      </w:r>
      <w:r w:rsidR="001F7512" w:rsidRPr="000B47DE">
        <w:rPr>
          <w:rFonts w:ascii="Times New Roman" w:hAnsi="Times New Roman" w:cs="Times New Roman"/>
          <w:iCs/>
          <w:sz w:val="24"/>
          <w:szCs w:val="24"/>
          <w:lang w:val="en-US"/>
        </w:rPr>
        <w:t xml:space="preserve">elational </w:t>
      </w:r>
      <w:r w:rsidR="001F7512">
        <w:rPr>
          <w:rFonts w:ascii="Times New Roman" w:hAnsi="Times New Roman" w:cs="Times New Roman"/>
          <w:iCs/>
          <w:sz w:val="24"/>
          <w:szCs w:val="24"/>
          <w:lang w:val="en-US"/>
        </w:rPr>
        <w:t>a</w:t>
      </w:r>
      <w:r w:rsidR="001F7512" w:rsidRPr="000B47DE">
        <w:rPr>
          <w:rFonts w:ascii="Times New Roman" w:hAnsi="Times New Roman" w:cs="Times New Roman"/>
          <w:iCs/>
          <w:sz w:val="24"/>
          <w:szCs w:val="24"/>
          <w:lang w:val="en-US"/>
        </w:rPr>
        <w:t>ggression, and ADHD</w:t>
      </w:r>
      <w:r w:rsidR="001F7512">
        <w:rPr>
          <w:rFonts w:ascii="Times New Roman" w:hAnsi="Times New Roman" w:cs="Times New Roman"/>
          <w:iCs/>
          <w:sz w:val="24"/>
          <w:szCs w:val="24"/>
          <w:lang w:val="en-US"/>
        </w:rPr>
        <w:t>)</w:t>
      </w:r>
      <w:r w:rsidR="00951005">
        <w:rPr>
          <w:rFonts w:ascii="Times New Roman" w:hAnsi="Times New Roman" w:cs="Times New Roman"/>
          <w:bCs/>
          <w:sz w:val="24"/>
          <w:szCs w:val="24"/>
          <w:lang w:val="en-US"/>
        </w:rPr>
        <w:t xml:space="preserve"> </w:t>
      </w:r>
      <w:r w:rsidR="001F7512">
        <w:rPr>
          <w:rFonts w:ascii="Times New Roman" w:hAnsi="Times New Roman" w:cs="Times New Roman"/>
          <w:bCs/>
          <w:sz w:val="24"/>
          <w:szCs w:val="24"/>
          <w:lang w:val="en-US"/>
        </w:rPr>
        <w:t>using the</w:t>
      </w:r>
      <w:r w:rsidR="00951005">
        <w:rPr>
          <w:rFonts w:ascii="Times New Roman" w:hAnsi="Times New Roman" w:cs="Times New Roman"/>
          <w:bCs/>
          <w:sz w:val="24"/>
          <w:szCs w:val="24"/>
          <w:lang w:val="en-US"/>
        </w:rPr>
        <w:t xml:space="preserve"> </w:t>
      </w:r>
      <w:r w:rsidR="00951005">
        <w:rPr>
          <w:rFonts w:ascii="Times New Roman" w:hAnsi="Times New Roman" w:cs="Times New Roman"/>
          <w:sz w:val="24"/>
          <w:szCs w:val="24"/>
        </w:rPr>
        <w:t xml:space="preserve">MacArthur Health and Behavior Questionnaire (HBQ; </w:t>
      </w:r>
      <w:r w:rsidR="00951005">
        <w:rPr>
          <w:rFonts w:ascii="Times New Roman" w:hAnsi="Times New Roman" w:cs="Times New Roman"/>
          <w:noProof/>
          <w:sz w:val="24"/>
          <w:szCs w:val="24"/>
        </w:rPr>
        <w:t>Essex</w:t>
      </w:r>
      <w:r w:rsidR="00951005" w:rsidRPr="00736BFA">
        <w:rPr>
          <w:rFonts w:ascii="Times New Roman" w:hAnsi="Times New Roman" w:cs="Times New Roman"/>
          <w:i/>
          <w:noProof/>
          <w:sz w:val="24"/>
          <w:szCs w:val="24"/>
        </w:rPr>
        <w:t xml:space="preserve"> et al.</w:t>
      </w:r>
      <w:r w:rsidR="00951005">
        <w:rPr>
          <w:rFonts w:ascii="Times New Roman" w:hAnsi="Times New Roman" w:cs="Times New Roman"/>
          <w:noProof/>
          <w:sz w:val="24"/>
          <w:szCs w:val="24"/>
        </w:rPr>
        <w:t>, 2002)</w:t>
      </w:r>
      <w:r w:rsidR="001F7512">
        <w:rPr>
          <w:rFonts w:ascii="Times New Roman" w:hAnsi="Times New Roman" w:cs="Times New Roman"/>
          <w:noProof/>
          <w:sz w:val="24"/>
          <w:szCs w:val="24"/>
        </w:rPr>
        <w:t xml:space="preserve"> at ages 8, 12, and 16 years. At age 8, reporters were the children’s teachers, and at age 12 and 16 both teachers and caregivers reported on problems, which were then combined into composite scores. Ratings were then </w:t>
      </w:r>
      <w:r w:rsidR="00883A71">
        <w:rPr>
          <w:rFonts w:ascii="Times New Roman" w:hAnsi="Times New Roman" w:cs="Times New Roman"/>
          <w:noProof/>
          <w:sz w:val="24"/>
          <w:szCs w:val="24"/>
        </w:rPr>
        <w:t>subjected to latent bifactor models</w:t>
      </w:r>
      <w:r w:rsidR="001F7512">
        <w:rPr>
          <w:rFonts w:ascii="Times New Roman" w:hAnsi="Times New Roman" w:cs="Times New Roman"/>
          <w:noProof/>
          <w:sz w:val="24"/>
          <w:szCs w:val="24"/>
        </w:rPr>
        <w:t xml:space="preserve"> (Reise, 2012)</w:t>
      </w:r>
      <w:r w:rsidR="002A678F">
        <w:rPr>
          <w:rFonts w:ascii="Times New Roman" w:hAnsi="Times New Roman" w:cs="Times New Roman"/>
          <w:noProof/>
          <w:sz w:val="24"/>
          <w:szCs w:val="24"/>
        </w:rPr>
        <w:t xml:space="preserve"> in order to estimate general (P), internalizing-specific (INT), and externalizing-specific (EXT) factors at each age. In this model, all eight domains of psychopathoogy were set to load onto the latent general (P) psychopathology factor and their respective INT and EXT factors simultaneously. The latent factors were forced to orthogonality within-time. Measurement invariance on these factors was previously established and is reported in Wade </w:t>
      </w:r>
      <w:r w:rsidR="002A678F">
        <w:rPr>
          <w:rFonts w:ascii="Times New Roman" w:hAnsi="Times New Roman" w:cs="Times New Roman"/>
          <w:i/>
          <w:noProof/>
          <w:sz w:val="24"/>
          <w:szCs w:val="24"/>
        </w:rPr>
        <w:t>et al</w:t>
      </w:r>
      <w:r w:rsidR="002A678F">
        <w:rPr>
          <w:rFonts w:ascii="Times New Roman" w:hAnsi="Times New Roman" w:cs="Times New Roman"/>
          <w:noProof/>
          <w:sz w:val="24"/>
          <w:szCs w:val="24"/>
        </w:rPr>
        <w:t>. (2018). The factors were then extracted from this model and were used in the longitudinal path analysis reported in the main text.</w:t>
      </w:r>
    </w:p>
    <w:p w:rsidR="006A7EE1" w:rsidRDefault="006A7EE1" w:rsidP="006A7EE1">
      <w:pPr>
        <w:spacing w:after="0" w:line="240" w:lineRule="auto"/>
        <w:rPr>
          <w:rFonts w:ascii="Times New Roman" w:hAnsi="Times New Roman" w:cs="Times New Roman"/>
          <w:b/>
          <w:bCs/>
          <w:sz w:val="24"/>
          <w:szCs w:val="24"/>
          <w:lang w:val="en-US"/>
        </w:rPr>
      </w:pPr>
    </w:p>
    <w:p w:rsidR="00825648" w:rsidRDefault="00825648" w:rsidP="006A7EE1">
      <w:pPr>
        <w:spacing w:after="0" w:line="240" w:lineRule="auto"/>
        <w:jc w:val="center"/>
        <w:rPr>
          <w:rFonts w:ascii="Times New Roman" w:hAnsi="Times New Roman" w:cs="Times New Roman"/>
          <w:b/>
          <w:bCs/>
          <w:sz w:val="24"/>
          <w:szCs w:val="24"/>
          <w:lang w:val="en-US"/>
        </w:rPr>
      </w:pPr>
    </w:p>
    <w:p w:rsidR="00C649B9" w:rsidRPr="00EB7891" w:rsidRDefault="00EB7891" w:rsidP="006A7EE1">
      <w:pPr>
        <w:spacing w:after="0" w:line="240" w:lineRule="auto"/>
        <w:jc w:val="center"/>
        <w:rPr>
          <w:rFonts w:ascii="Times New Roman" w:hAnsi="Times New Roman" w:cs="Times New Roman"/>
          <w:bCs/>
          <w:sz w:val="24"/>
          <w:szCs w:val="24"/>
          <w:lang w:val="en-US"/>
        </w:rPr>
      </w:pPr>
      <w:r>
        <w:rPr>
          <w:rFonts w:ascii="Times New Roman" w:hAnsi="Times New Roman" w:cs="Times New Roman"/>
          <w:b/>
          <w:bCs/>
          <w:sz w:val="24"/>
          <w:szCs w:val="24"/>
          <w:lang w:val="en-US"/>
        </w:rPr>
        <w:lastRenderedPageBreak/>
        <w:t>Results</w:t>
      </w:r>
    </w:p>
    <w:p w:rsidR="005F2B2D" w:rsidRDefault="005F2B2D" w:rsidP="00C649B9">
      <w:pPr>
        <w:spacing w:after="0" w:line="240" w:lineRule="auto"/>
        <w:rPr>
          <w:rFonts w:ascii="Times New Roman" w:hAnsi="Times New Roman" w:cs="Times New Roman"/>
          <w:b/>
          <w:i/>
          <w:sz w:val="24"/>
          <w:szCs w:val="24"/>
        </w:rPr>
      </w:pPr>
    </w:p>
    <w:p w:rsidR="00A250C5" w:rsidRPr="00A250C5" w:rsidRDefault="000D2EFF" w:rsidP="00C649B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0288" behindDoc="1" locked="0" layoutInCell="1" allowOverlap="1">
            <wp:simplePos x="0" y="0"/>
            <wp:positionH relativeFrom="column">
              <wp:posOffset>504825</wp:posOffset>
            </wp:positionH>
            <wp:positionV relativeFrom="paragraph">
              <wp:posOffset>68580</wp:posOffset>
            </wp:positionV>
            <wp:extent cx="5238750" cy="2819400"/>
            <wp:effectExtent l="19050" t="0" r="0" b="0"/>
            <wp:wrapTight wrapText="bothSides">
              <wp:wrapPolygon edited="0">
                <wp:start x="-79" y="0"/>
                <wp:lineTo x="-79" y="21454"/>
                <wp:lineTo x="21600" y="21454"/>
                <wp:lineTo x="21600" y="0"/>
                <wp:lineTo x="-79" y="0"/>
              </wp:wrapPolygon>
            </wp:wrapTight>
            <wp:docPr id="5" name="Picture 4" descr="FigureS3_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3_v2.tif"/>
                    <pic:cNvPicPr/>
                  </pic:nvPicPr>
                  <pic:blipFill>
                    <a:blip r:embed="rId5" cstate="print"/>
                    <a:srcRect t="14530" b="13675"/>
                    <a:stretch>
                      <a:fillRect/>
                    </a:stretch>
                  </pic:blipFill>
                  <pic:spPr>
                    <a:xfrm>
                      <a:off x="0" y="0"/>
                      <a:ext cx="5238750" cy="2819400"/>
                    </a:xfrm>
                    <a:prstGeom prst="rect">
                      <a:avLst/>
                    </a:prstGeom>
                  </pic:spPr>
                </pic:pic>
              </a:graphicData>
            </a:graphic>
          </wp:anchor>
        </w:drawing>
      </w: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Default="00A250C5" w:rsidP="00C649B9">
      <w:pPr>
        <w:spacing w:after="0" w:line="240" w:lineRule="auto"/>
        <w:rPr>
          <w:rFonts w:ascii="Times New Roman" w:hAnsi="Times New Roman" w:cs="Times New Roman"/>
          <w:b/>
          <w:i/>
          <w:sz w:val="24"/>
          <w:szCs w:val="24"/>
        </w:rPr>
      </w:pPr>
    </w:p>
    <w:p w:rsidR="00A250C5" w:rsidRPr="00856A44" w:rsidRDefault="00A250C5" w:rsidP="00C649B9">
      <w:pPr>
        <w:spacing w:after="0" w:line="240" w:lineRule="auto"/>
        <w:rPr>
          <w:rFonts w:ascii="Arial" w:hAnsi="Arial" w:cs="Arial"/>
          <w:b/>
          <w:i/>
          <w:sz w:val="24"/>
          <w:szCs w:val="24"/>
        </w:rPr>
      </w:pPr>
    </w:p>
    <w:p w:rsidR="00A250C5" w:rsidRPr="00856A44" w:rsidRDefault="000D2EFF" w:rsidP="00C649B9">
      <w:pPr>
        <w:spacing w:after="0" w:line="240" w:lineRule="auto"/>
        <w:rPr>
          <w:rFonts w:ascii="Arial" w:hAnsi="Arial" w:cs="Arial"/>
          <w:b/>
          <w:i/>
          <w:sz w:val="24"/>
          <w:szCs w:val="24"/>
        </w:rPr>
      </w:pPr>
      <w:r w:rsidRPr="00856A44">
        <w:rPr>
          <w:rFonts w:ascii="Arial" w:hAnsi="Arial" w:cs="Arial"/>
          <w:b/>
          <w:i/>
          <w:sz w:val="16"/>
          <w:szCs w:val="16"/>
        </w:rPr>
        <w:t>Figure S2.</w:t>
      </w:r>
      <w:r w:rsidRPr="00856A44">
        <w:rPr>
          <w:rFonts w:ascii="Arial" w:hAnsi="Arial" w:cs="Arial"/>
          <w:sz w:val="16"/>
          <w:szCs w:val="16"/>
        </w:rPr>
        <w:t xml:space="preserve"> Effect of placement stability on general psychopathology (A) and executive functioning (B) from age 8 to age 16. The y-axis is the factor score for each outcome, with a sample mean of zero. NIG – never-institutionalized group, FCG-S – foster care group with stable placements, FCG-U – foster care group with unstable placements, CAUG – care as usual group. At age 8, the NIG had lower P and higher EF compared to all other groups. By age 16, NIG continued to have higher EF than CAUG and FCG-U, but were not significantly different from FCG-S, who now outperformed both CAUG and FCG-U. At age 16, FCG-S also had lower P than CAUG, but continued to have higher P compared to NIG. </w:t>
      </w:r>
      <w:r w:rsidRPr="00856A44">
        <w:rPr>
          <w:rFonts w:ascii="Arial" w:hAnsi="Arial" w:cs="Arial"/>
          <w:sz w:val="16"/>
          <w:szCs w:val="16"/>
          <w:vertAlign w:val="superscript"/>
        </w:rPr>
        <w:t>*</w:t>
      </w:r>
      <w:r w:rsidRPr="00856A44">
        <w:rPr>
          <w:rFonts w:ascii="Arial" w:hAnsi="Arial" w:cs="Arial"/>
          <w:i/>
          <w:sz w:val="16"/>
          <w:szCs w:val="16"/>
        </w:rPr>
        <w:t>p</w:t>
      </w:r>
      <w:r w:rsidRPr="00856A44">
        <w:rPr>
          <w:rFonts w:ascii="Arial" w:hAnsi="Arial" w:cs="Arial"/>
          <w:sz w:val="16"/>
          <w:szCs w:val="16"/>
        </w:rPr>
        <w:t xml:space="preserve"> &lt; .05</w:t>
      </w:r>
    </w:p>
    <w:p w:rsidR="00A250C5" w:rsidRDefault="00A250C5" w:rsidP="00C649B9">
      <w:pPr>
        <w:spacing w:after="0" w:line="240" w:lineRule="auto"/>
        <w:rPr>
          <w:rFonts w:ascii="Times New Roman" w:hAnsi="Times New Roman" w:cs="Times New Roman"/>
          <w:b/>
          <w:i/>
          <w:sz w:val="24"/>
          <w:szCs w:val="24"/>
        </w:rPr>
      </w:pPr>
    </w:p>
    <w:tbl>
      <w:tblPr>
        <w:tblStyle w:val="TableGrid"/>
        <w:tblpPr w:leftFromText="180" w:rightFromText="180" w:vertAnchor="page" w:horzAnchor="margin" w:tblpY="9196"/>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850"/>
        <w:gridCol w:w="284"/>
        <w:gridCol w:w="709"/>
        <w:gridCol w:w="708"/>
        <w:gridCol w:w="709"/>
        <w:gridCol w:w="709"/>
        <w:gridCol w:w="283"/>
        <w:gridCol w:w="756"/>
        <w:gridCol w:w="662"/>
        <w:gridCol w:w="709"/>
        <w:gridCol w:w="723"/>
      </w:tblGrid>
      <w:tr w:rsidR="000D2EFF" w:rsidTr="000D2EFF">
        <w:tc>
          <w:tcPr>
            <w:tcW w:w="9937" w:type="dxa"/>
            <w:gridSpan w:val="12"/>
            <w:tcBorders>
              <w:top w:val="single" w:sz="4" w:space="0" w:color="auto"/>
            </w:tcBorders>
          </w:tcPr>
          <w:p w:rsidR="000D2EFF" w:rsidRDefault="000D2EFF" w:rsidP="000D2EFF">
            <w:pPr>
              <w:rPr>
                <w:rFonts w:ascii="Times New Roman" w:hAnsi="Times New Roman" w:cs="Times New Roman"/>
                <w:sz w:val="24"/>
                <w:szCs w:val="24"/>
              </w:rPr>
            </w:pPr>
            <w:r>
              <w:rPr>
                <w:rFonts w:ascii="Times New Roman" w:hAnsi="Times New Roman" w:cs="Times New Roman"/>
                <w:b/>
                <w:sz w:val="24"/>
                <w:szCs w:val="24"/>
              </w:rPr>
              <w:t>Tab</w:t>
            </w:r>
            <w:r w:rsidRPr="00837B5A">
              <w:rPr>
                <w:rFonts w:ascii="Times New Roman" w:hAnsi="Times New Roman" w:cs="Times New Roman"/>
                <w:b/>
                <w:sz w:val="24"/>
                <w:szCs w:val="24"/>
              </w:rPr>
              <w:t xml:space="preserve">le S2: </w:t>
            </w:r>
            <w:proofErr w:type="spellStart"/>
            <w:r w:rsidRPr="00851C4D">
              <w:rPr>
                <w:rFonts w:ascii="Times New Roman" w:hAnsi="Times New Roman" w:cs="Times New Roman"/>
                <w:sz w:val="24"/>
                <w:szCs w:val="24"/>
              </w:rPr>
              <w:t>Bivariate</w:t>
            </w:r>
            <w:proofErr w:type="spellEnd"/>
            <w:r w:rsidRPr="00851C4D">
              <w:rPr>
                <w:rFonts w:ascii="Times New Roman" w:hAnsi="Times New Roman" w:cs="Times New Roman"/>
                <w:sz w:val="24"/>
                <w:szCs w:val="24"/>
              </w:rPr>
              <w:t xml:space="preserve"> correlations between placement variables and outcome variables</w:t>
            </w:r>
          </w:p>
        </w:tc>
      </w:tr>
      <w:tr w:rsidR="000D2EFF" w:rsidTr="000D2EFF">
        <w:tc>
          <w:tcPr>
            <w:tcW w:w="2835" w:type="dxa"/>
            <w:vMerge w:val="restart"/>
            <w:tcBorders>
              <w:top w:val="single" w:sz="4" w:space="0" w:color="auto"/>
            </w:tcBorders>
          </w:tcPr>
          <w:p w:rsidR="000D2EFF" w:rsidRDefault="000D2EFF" w:rsidP="000D2EFF">
            <w:pPr>
              <w:rPr>
                <w:rFonts w:ascii="Times New Roman" w:hAnsi="Times New Roman" w:cs="Times New Roman"/>
                <w:b/>
                <w:sz w:val="24"/>
                <w:szCs w:val="24"/>
              </w:rPr>
            </w:pPr>
          </w:p>
        </w:tc>
        <w:tc>
          <w:tcPr>
            <w:tcW w:w="850"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Pr>
                <w:rFonts w:ascii="Times New Roman" w:hAnsi="Times New Roman" w:cs="Times New Roman"/>
                <w:sz w:val="24"/>
                <w:szCs w:val="24"/>
              </w:rPr>
              <w:t>Age 8</w:t>
            </w:r>
          </w:p>
        </w:tc>
        <w:tc>
          <w:tcPr>
            <w:tcW w:w="284" w:type="dxa"/>
            <w:tcBorders>
              <w:top w:val="single" w:sz="4" w:space="0" w:color="auto"/>
            </w:tcBorders>
          </w:tcPr>
          <w:p w:rsidR="000D2EFF" w:rsidRDefault="000D2EFF" w:rsidP="000D2EFF">
            <w:pPr>
              <w:jc w:val="center"/>
              <w:rPr>
                <w:rFonts w:ascii="Times New Roman" w:hAnsi="Times New Roman" w:cs="Times New Roman"/>
                <w:sz w:val="24"/>
                <w:szCs w:val="24"/>
              </w:rPr>
            </w:pPr>
          </w:p>
        </w:tc>
        <w:tc>
          <w:tcPr>
            <w:tcW w:w="2835" w:type="dxa"/>
            <w:gridSpan w:val="4"/>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Pr>
                <w:rFonts w:ascii="Times New Roman" w:hAnsi="Times New Roman" w:cs="Times New Roman"/>
                <w:sz w:val="24"/>
                <w:szCs w:val="24"/>
              </w:rPr>
              <w:t>Age 12</w:t>
            </w:r>
          </w:p>
        </w:tc>
        <w:tc>
          <w:tcPr>
            <w:tcW w:w="283" w:type="dxa"/>
            <w:tcBorders>
              <w:top w:val="single" w:sz="4" w:space="0" w:color="auto"/>
            </w:tcBorders>
          </w:tcPr>
          <w:p w:rsidR="000D2EFF" w:rsidRDefault="000D2EFF" w:rsidP="000D2EFF">
            <w:pPr>
              <w:jc w:val="center"/>
              <w:rPr>
                <w:rFonts w:ascii="Times New Roman" w:hAnsi="Times New Roman" w:cs="Times New Roman"/>
                <w:sz w:val="24"/>
                <w:szCs w:val="24"/>
              </w:rPr>
            </w:pPr>
          </w:p>
        </w:tc>
        <w:tc>
          <w:tcPr>
            <w:tcW w:w="2850" w:type="dxa"/>
            <w:gridSpan w:val="4"/>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Pr>
                <w:rFonts w:ascii="Times New Roman" w:hAnsi="Times New Roman" w:cs="Times New Roman"/>
                <w:sz w:val="24"/>
                <w:szCs w:val="24"/>
              </w:rPr>
              <w:t>Age 16</w:t>
            </w:r>
          </w:p>
        </w:tc>
      </w:tr>
      <w:tr w:rsidR="000D2EFF" w:rsidTr="000D2EFF">
        <w:tc>
          <w:tcPr>
            <w:tcW w:w="2835" w:type="dxa"/>
            <w:vMerge/>
            <w:tcBorders>
              <w:bottom w:val="single" w:sz="4" w:space="0" w:color="auto"/>
            </w:tcBorders>
          </w:tcPr>
          <w:p w:rsidR="000D2EFF" w:rsidRDefault="000D2EFF" w:rsidP="000D2EFF">
            <w:pPr>
              <w:rPr>
                <w:rFonts w:ascii="Times New Roman" w:hAnsi="Times New Roman" w:cs="Times New Roman"/>
                <w:b/>
                <w:sz w:val="24"/>
                <w:szCs w:val="24"/>
              </w:rPr>
            </w:pPr>
          </w:p>
        </w:tc>
        <w:tc>
          <w:tcPr>
            <w:tcW w:w="850"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sidRPr="00837B5A">
              <w:rPr>
                <w:rFonts w:ascii="Times New Roman" w:hAnsi="Times New Roman" w:cs="Times New Roman"/>
                <w:sz w:val="24"/>
                <w:szCs w:val="24"/>
              </w:rPr>
              <w:t>EF</w:t>
            </w:r>
          </w:p>
        </w:tc>
        <w:tc>
          <w:tcPr>
            <w:tcW w:w="284" w:type="dxa"/>
            <w:tcBorders>
              <w:bottom w:val="single" w:sz="4" w:space="0" w:color="auto"/>
            </w:tcBorders>
          </w:tcPr>
          <w:p w:rsidR="000D2EFF" w:rsidRPr="00837B5A" w:rsidRDefault="000D2EFF" w:rsidP="000D2EFF">
            <w:pPr>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sidRPr="00837B5A">
              <w:rPr>
                <w:rFonts w:ascii="Times New Roman" w:hAnsi="Times New Roman" w:cs="Times New Roman"/>
                <w:sz w:val="24"/>
                <w:szCs w:val="24"/>
              </w:rPr>
              <w:t>P</w:t>
            </w:r>
          </w:p>
        </w:tc>
        <w:tc>
          <w:tcPr>
            <w:tcW w:w="708"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sidRPr="00837B5A">
              <w:rPr>
                <w:rFonts w:ascii="Times New Roman" w:hAnsi="Times New Roman" w:cs="Times New Roman"/>
                <w:sz w:val="24"/>
                <w:szCs w:val="24"/>
              </w:rPr>
              <w:t>INT</w:t>
            </w:r>
          </w:p>
        </w:tc>
        <w:tc>
          <w:tcPr>
            <w:tcW w:w="709"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sidRPr="00837B5A">
              <w:rPr>
                <w:rFonts w:ascii="Times New Roman" w:hAnsi="Times New Roman" w:cs="Times New Roman"/>
                <w:sz w:val="24"/>
                <w:szCs w:val="24"/>
              </w:rPr>
              <w:t>EXT</w:t>
            </w:r>
          </w:p>
        </w:tc>
        <w:tc>
          <w:tcPr>
            <w:tcW w:w="709"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sidRPr="00837B5A">
              <w:rPr>
                <w:rFonts w:ascii="Times New Roman" w:hAnsi="Times New Roman" w:cs="Times New Roman"/>
                <w:sz w:val="24"/>
                <w:szCs w:val="24"/>
              </w:rPr>
              <w:t>EF</w:t>
            </w:r>
          </w:p>
        </w:tc>
        <w:tc>
          <w:tcPr>
            <w:tcW w:w="283" w:type="dxa"/>
            <w:tcBorders>
              <w:bottom w:val="single" w:sz="4" w:space="0" w:color="auto"/>
            </w:tcBorders>
          </w:tcPr>
          <w:p w:rsidR="000D2EFF" w:rsidRPr="00837B5A" w:rsidRDefault="000D2EFF" w:rsidP="000D2EFF">
            <w:pPr>
              <w:jc w:val="center"/>
              <w:rPr>
                <w:rFonts w:ascii="Times New Roman" w:hAnsi="Times New Roman" w:cs="Times New Roman"/>
                <w:sz w:val="24"/>
                <w:szCs w:val="24"/>
              </w:rPr>
            </w:pPr>
          </w:p>
        </w:tc>
        <w:tc>
          <w:tcPr>
            <w:tcW w:w="756"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sidRPr="00837B5A">
              <w:rPr>
                <w:rFonts w:ascii="Times New Roman" w:hAnsi="Times New Roman" w:cs="Times New Roman"/>
                <w:sz w:val="24"/>
                <w:szCs w:val="24"/>
              </w:rPr>
              <w:t>P</w:t>
            </w:r>
          </w:p>
        </w:tc>
        <w:tc>
          <w:tcPr>
            <w:tcW w:w="662"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sidRPr="00837B5A">
              <w:rPr>
                <w:rFonts w:ascii="Times New Roman" w:hAnsi="Times New Roman" w:cs="Times New Roman"/>
                <w:sz w:val="24"/>
                <w:szCs w:val="24"/>
              </w:rPr>
              <w:t>INT</w:t>
            </w:r>
          </w:p>
        </w:tc>
        <w:tc>
          <w:tcPr>
            <w:tcW w:w="709"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sidRPr="00837B5A">
              <w:rPr>
                <w:rFonts w:ascii="Times New Roman" w:hAnsi="Times New Roman" w:cs="Times New Roman"/>
                <w:sz w:val="24"/>
                <w:szCs w:val="24"/>
              </w:rPr>
              <w:t>EXT</w:t>
            </w:r>
          </w:p>
        </w:tc>
        <w:tc>
          <w:tcPr>
            <w:tcW w:w="723" w:type="dxa"/>
            <w:tcBorders>
              <w:top w:val="single" w:sz="4" w:space="0" w:color="auto"/>
              <w:bottom w:val="single" w:sz="4" w:space="0" w:color="auto"/>
            </w:tcBorders>
          </w:tcPr>
          <w:p w:rsidR="000D2EFF" w:rsidRPr="00837B5A" w:rsidRDefault="000D2EFF" w:rsidP="000D2EFF">
            <w:pPr>
              <w:jc w:val="center"/>
              <w:rPr>
                <w:rFonts w:ascii="Times New Roman" w:hAnsi="Times New Roman" w:cs="Times New Roman"/>
                <w:sz w:val="24"/>
                <w:szCs w:val="24"/>
              </w:rPr>
            </w:pPr>
            <w:r w:rsidRPr="00837B5A">
              <w:rPr>
                <w:rFonts w:ascii="Times New Roman" w:hAnsi="Times New Roman" w:cs="Times New Roman"/>
                <w:sz w:val="24"/>
                <w:szCs w:val="24"/>
              </w:rPr>
              <w:t>EF</w:t>
            </w:r>
          </w:p>
        </w:tc>
      </w:tr>
      <w:tr w:rsidR="000D2EFF" w:rsidTr="000D2EFF">
        <w:tc>
          <w:tcPr>
            <w:tcW w:w="2835" w:type="dxa"/>
            <w:tcBorders>
              <w:top w:val="single" w:sz="4" w:space="0" w:color="auto"/>
            </w:tcBorders>
          </w:tcPr>
          <w:p w:rsidR="000D2EFF" w:rsidRPr="001F5266" w:rsidRDefault="000D2EFF" w:rsidP="000D2EFF">
            <w:pPr>
              <w:rPr>
                <w:rFonts w:ascii="Times New Roman" w:hAnsi="Times New Roman" w:cs="Times New Roman"/>
                <w:sz w:val="24"/>
                <w:szCs w:val="24"/>
              </w:rPr>
            </w:pPr>
            <w:r>
              <w:rPr>
                <w:rFonts w:ascii="Times New Roman" w:hAnsi="Times New Roman" w:cs="Times New Roman"/>
                <w:sz w:val="24"/>
                <w:szCs w:val="24"/>
              </w:rPr>
              <w:t>Age</w:t>
            </w:r>
            <w:r w:rsidRPr="001F5266">
              <w:rPr>
                <w:rFonts w:ascii="Times New Roman" w:hAnsi="Times New Roman" w:cs="Times New Roman"/>
                <w:sz w:val="24"/>
                <w:szCs w:val="24"/>
              </w:rPr>
              <w:t xml:space="preserve"> entered institution</w:t>
            </w:r>
          </w:p>
        </w:tc>
        <w:tc>
          <w:tcPr>
            <w:tcW w:w="850" w:type="dxa"/>
            <w:tcBorders>
              <w:top w:val="single" w:sz="4" w:space="0" w:color="auto"/>
            </w:tcBorders>
            <w:vAlign w:val="center"/>
          </w:tcPr>
          <w:p w:rsidR="000D2EFF" w:rsidRPr="00CC37F8" w:rsidRDefault="000D2EFF" w:rsidP="000D2EFF">
            <w:pPr>
              <w:tabs>
                <w:tab w:val="decimal" w:pos="190"/>
              </w:tabs>
              <w:rPr>
                <w:rFonts w:ascii="Times New Roman" w:hAnsi="Times New Roman" w:cs="Times New Roman"/>
                <w:sz w:val="24"/>
                <w:szCs w:val="24"/>
              </w:rPr>
            </w:pPr>
            <w:r>
              <w:rPr>
                <w:rFonts w:ascii="Times New Roman" w:hAnsi="Times New Roman" w:cs="Times New Roman"/>
                <w:sz w:val="24"/>
                <w:szCs w:val="24"/>
              </w:rPr>
              <w:t>.01</w:t>
            </w:r>
          </w:p>
        </w:tc>
        <w:tc>
          <w:tcPr>
            <w:tcW w:w="284" w:type="dxa"/>
            <w:tcBorders>
              <w:top w:val="single" w:sz="4" w:space="0" w:color="auto"/>
            </w:tcBorders>
          </w:tcPr>
          <w:p w:rsidR="000D2EFF" w:rsidRDefault="000D2EFF" w:rsidP="000D2EFF">
            <w:pPr>
              <w:rPr>
                <w:rFonts w:ascii="Times New Roman" w:hAnsi="Times New Roman" w:cs="Times New Roman"/>
                <w:sz w:val="24"/>
                <w:szCs w:val="24"/>
              </w:rPr>
            </w:pPr>
          </w:p>
        </w:tc>
        <w:tc>
          <w:tcPr>
            <w:tcW w:w="709" w:type="dxa"/>
            <w:tcBorders>
              <w:top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-.15</w:t>
            </w:r>
          </w:p>
        </w:tc>
        <w:tc>
          <w:tcPr>
            <w:tcW w:w="708" w:type="dxa"/>
            <w:tcBorders>
              <w:top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-.06</w:t>
            </w:r>
          </w:p>
        </w:tc>
        <w:tc>
          <w:tcPr>
            <w:tcW w:w="709" w:type="dxa"/>
            <w:tcBorders>
              <w:top w:val="single" w:sz="4" w:space="0" w:color="auto"/>
            </w:tcBorders>
            <w:vAlign w:val="center"/>
          </w:tcPr>
          <w:p w:rsidR="000D2EFF" w:rsidRPr="00CC37F8" w:rsidRDefault="000D2EFF" w:rsidP="000D2EFF">
            <w:pPr>
              <w:tabs>
                <w:tab w:val="decimal" w:pos="49"/>
              </w:tabs>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.03</w:t>
            </w:r>
          </w:p>
        </w:tc>
        <w:tc>
          <w:tcPr>
            <w:tcW w:w="283" w:type="dxa"/>
            <w:tcBorders>
              <w:top w:val="single" w:sz="4" w:space="0" w:color="auto"/>
            </w:tcBorders>
          </w:tcPr>
          <w:p w:rsidR="000D2EFF" w:rsidRDefault="000D2EFF" w:rsidP="000D2EFF">
            <w:pPr>
              <w:rPr>
                <w:rFonts w:ascii="Times New Roman" w:hAnsi="Times New Roman" w:cs="Times New Roman"/>
                <w:sz w:val="24"/>
                <w:szCs w:val="24"/>
              </w:rPr>
            </w:pPr>
          </w:p>
        </w:tc>
        <w:tc>
          <w:tcPr>
            <w:tcW w:w="756" w:type="dxa"/>
            <w:tcBorders>
              <w:top w:val="single" w:sz="4" w:space="0" w:color="auto"/>
            </w:tcBorders>
            <w:vAlign w:val="center"/>
          </w:tcPr>
          <w:p w:rsidR="000D2EFF" w:rsidRPr="00CC37F8" w:rsidRDefault="000D2EFF" w:rsidP="000D2EFF">
            <w:pPr>
              <w:tabs>
                <w:tab w:val="decimal" w:pos="1"/>
              </w:tabs>
              <w:rPr>
                <w:rFonts w:ascii="Times New Roman" w:hAnsi="Times New Roman" w:cs="Times New Roman"/>
                <w:sz w:val="24"/>
                <w:szCs w:val="24"/>
              </w:rPr>
            </w:pPr>
            <w:r>
              <w:rPr>
                <w:rFonts w:ascii="Times New Roman" w:hAnsi="Times New Roman" w:cs="Times New Roman"/>
                <w:sz w:val="24"/>
                <w:szCs w:val="24"/>
              </w:rPr>
              <w:t>-.06</w:t>
            </w:r>
          </w:p>
        </w:tc>
        <w:tc>
          <w:tcPr>
            <w:tcW w:w="662" w:type="dxa"/>
            <w:tcBorders>
              <w:top w:val="single" w:sz="4" w:space="0" w:color="auto"/>
            </w:tcBorders>
            <w:vAlign w:val="center"/>
          </w:tcPr>
          <w:p w:rsidR="000D2EFF" w:rsidRPr="00CC37F8" w:rsidRDefault="000D2EFF" w:rsidP="000D2EFF">
            <w:pPr>
              <w:tabs>
                <w:tab w:val="decimal" w:pos="0"/>
              </w:tabs>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-.01</w:t>
            </w:r>
          </w:p>
        </w:tc>
        <w:tc>
          <w:tcPr>
            <w:tcW w:w="723" w:type="dxa"/>
            <w:tcBorders>
              <w:top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.02</w:t>
            </w:r>
          </w:p>
        </w:tc>
      </w:tr>
      <w:tr w:rsidR="000D2EFF" w:rsidTr="000D2EFF">
        <w:tc>
          <w:tcPr>
            <w:tcW w:w="2835" w:type="dxa"/>
          </w:tcPr>
          <w:p w:rsidR="000D2EFF" w:rsidRPr="001F5266" w:rsidRDefault="000D2EFF" w:rsidP="000D2EFF">
            <w:pPr>
              <w:rPr>
                <w:rFonts w:ascii="Times New Roman" w:hAnsi="Times New Roman" w:cs="Times New Roman"/>
                <w:sz w:val="24"/>
                <w:szCs w:val="24"/>
              </w:rPr>
            </w:pPr>
            <w:r w:rsidRPr="001F5266">
              <w:rPr>
                <w:rFonts w:ascii="Times New Roman" w:hAnsi="Times New Roman" w:cs="Times New Roman"/>
                <w:sz w:val="24"/>
                <w:szCs w:val="24"/>
              </w:rPr>
              <w:t>Age entered foster care</w:t>
            </w:r>
          </w:p>
        </w:tc>
        <w:tc>
          <w:tcPr>
            <w:tcW w:w="850" w:type="dxa"/>
            <w:vAlign w:val="center"/>
          </w:tcPr>
          <w:p w:rsidR="000D2EFF" w:rsidRPr="00CC37F8" w:rsidRDefault="000D2EFF" w:rsidP="000D2EFF">
            <w:pPr>
              <w:tabs>
                <w:tab w:val="decimal" w:pos="190"/>
              </w:tabs>
              <w:rPr>
                <w:rFonts w:ascii="Times New Roman" w:hAnsi="Times New Roman" w:cs="Times New Roman"/>
                <w:sz w:val="24"/>
                <w:szCs w:val="24"/>
              </w:rPr>
            </w:pPr>
            <w:r w:rsidRPr="00CC37F8">
              <w:rPr>
                <w:rFonts w:ascii="Times New Roman" w:hAnsi="Times New Roman" w:cs="Times New Roman"/>
                <w:sz w:val="24"/>
                <w:szCs w:val="24"/>
              </w:rPr>
              <w:t>-.0</w:t>
            </w:r>
            <w:r>
              <w:rPr>
                <w:rFonts w:ascii="Times New Roman" w:hAnsi="Times New Roman" w:cs="Times New Roman"/>
                <w:sz w:val="24"/>
                <w:szCs w:val="24"/>
              </w:rPr>
              <w:t>6</w:t>
            </w:r>
          </w:p>
        </w:tc>
        <w:tc>
          <w:tcPr>
            <w:tcW w:w="284" w:type="dxa"/>
          </w:tcPr>
          <w:p w:rsidR="000D2EFF" w:rsidRDefault="000D2EFF" w:rsidP="000D2EFF">
            <w:pPr>
              <w:rPr>
                <w:rFonts w:ascii="Times New Roman" w:hAnsi="Times New Roman" w:cs="Times New Roman"/>
                <w:sz w:val="24"/>
                <w:szCs w:val="24"/>
              </w:rPr>
            </w:pPr>
          </w:p>
        </w:tc>
        <w:tc>
          <w:tcPr>
            <w:tcW w:w="709" w:type="dxa"/>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-.10</w:t>
            </w:r>
          </w:p>
        </w:tc>
        <w:tc>
          <w:tcPr>
            <w:tcW w:w="708" w:type="dxa"/>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-.23</w:t>
            </w:r>
          </w:p>
        </w:tc>
        <w:tc>
          <w:tcPr>
            <w:tcW w:w="709" w:type="dxa"/>
            <w:vAlign w:val="center"/>
          </w:tcPr>
          <w:p w:rsidR="000D2EFF" w:rsidRPr="00CC37F8" w:rsidRDefault="000D2EFF" w:rsidP="000D2EFF">
            <w:pPr>
              <w:tabs>
                <w:tab w:val="decimal" w:pos="49"/>
              </w:tabs>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-.04</w:t>
            </w:r>
          </w:p>
        </w:tc>
        <w:tc>
          <w:tcPr>
            <w:tcW w:w="283" w:type="dxa"/>
          </w:tcPr>
          <w:p w:rsidR="000D2EFF" w:rsidRDefault="000D2EFF" w:rsidP="000D2EFF">
            <w:pPr>
              <w:rPr>
                <w:rFonts w:ascii="Times New Roman" w:hAnsi="Times New Roman" w:cs="Times New Roman"/>
                <w:sz w:val="24"/>
                <w:szCs w:val="24"/>
              </w:rPr>
            </w:pPr>
          </w:p>
        </w:tc>
        <w:tc>
          <w:tcPr>
            <w:tcW w:w="756" w:type="dxa"/>
            <w:vAlign w:val="center"/>
          </w:tcPr>
          <w:p w:rsidR="000D2EFF" w:rsidRPr="00CC37F8" w:rsidRDefault="000D2EFF" w:rsidP="000D2EFF">
            <w:pPr>
              <w:tabs>
                <w:tab w:val="decimal" w:pos="1"/>
              </w:tabs>
              <w:rPr>
                <w:rFonts w:ascii="Times New Roman" w:hAnsi="Times New Roman" w:cs="Times New Roman"/>
                <w:sz w:val="24"/>
                <w:szCs w:val="24"/>
              </w:rPr>
            </w:pPr>
            <w:r>
              <w:rPr>
                <w:rFonts w:ascii="Times New Roman" w:hAnsi="Times New Roman" w:cs="Times New Roman"/>
                <w:sz w:val="24"/>
                <w:szCs w:val="24"/>
              </w:rPr>
              <w:t>.02</w:t>
            </w:r>
          </w:p>
        </w:tc>
        <w:tc>
          <w:tcPr>
            <w:tcW w:w="662" w:type="dxa"/>
            <w:vAlign w:val="center"/>
          </w:tcPr>
          <w:p w:rsidR="000D2EFF" w:rsidRPr="00CC37F8" w:rsidRDefault="000D2EFF" w:rsidP="000D2EFF">
            <w:pPr>
              <w:tabs>
                <w:tab w:val="decimal" w:pos="0"/>
              </w:tabs>
              <w:jc w:val="center"/>
              <w:rPr>
                <w:rFonts w:ascii="Times New Roman" w:hAnsi="Times New Roman" w:cs="Times New Roman"/>
                <w:sz w:val="24"/>
                <w:szCs w:val="24"/>
              </w:rPr>
            </w:pPr>
            <w:r>
              <w:rPr>
                <w:rFonts w:ascii="Times New Roman" w:hAnsi="Times New Roman" w:cs="Times New Roman"/>
                <w:sz w:val="24"/>
                <w:szCs w:val="24"/>
              </w:rPr>
              <w:t>-.01</w:t>
            </w:r>
          </w:p>
        </w:tc>
        <w:tc>
          <w:tcPr>
            <w:tcW w:w="709" w:type="dxa"/>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.01</w:t>
            </w:r>
          </w:p>
        </w:tc>
        <w:tc>
          <w:tcPr>
            <w:tcW w:w="723" w:type="dxa"/>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-.05</w:t>
            </w:r>
          </w:p>
        </w:tc>
      </w:tr>
      <w:tr w:rsidR="000D2EFF" w:rsidTr="000D2EFF">
        <w:tc>
          <w:tcPr>
            <w:tcW w:w="2835" w:type="dxa"/>
          </w:tcPr>
          <w:p w:rsidR="000D2EFF" w:rsidRPr="001F5266" w:rsidRDefault="000D2EFF" w:rsidP="000D2EFF">
            <w:pPr>
              <w:rPr>
                <w:rFonts w:ascii="Times New Roman" w:hAnsi="Times New Roman" w:cs="Times New Roman"/>
                <w:sz w:val="24"/>
                <w:szCs w:val="24"/>
              </w:rPr>
            </w:pPr>
            <w:r>
              <w:rPr>
                <w:rFonts w:ascii="Times New Roman" w:hAnsi="Times New Roman" w:cs="Times New Roman"/>
                <w:sz w:val="24"/>
                <w:szCs w:val="24"/>
              </w:rPr>
              <w:t>%</w:t>
            </w:r>
            <w:r w:rsidRPr="001F5266">
              <w:rPr>
                <w:rFonts w:ascii="Times New Roman" w:hAnsi="Times New Roman" w:cs="Times New Roman"/>
                <w:sz w:val="24"/>
                <w:szCs w:val="24"/>
              </w:rPr>
              <w:t xml:space="preserve"> time in institution</w:t>
            </w:r>
          </w:p>
        </w:tc>
        <w:tc>
          <w:tcPr>
            <w:tcW w:w="850" w:type="dxa"/>
            <w:vAlign w:val="center"/>
          </w:tcPr>
          <w:p w:rsidR="000D2EFF" w:rsidRPr="00CC37F8" w:rsidRDefault="000D2EFF" w:rsidP="000D2EFF">
            <w:pPr>
              <w:tabs>
                <w:tab w:val="decimal" w:pos="190"/>
              </w:tabs>
              <w:rPr>
                <w:rFonts w:ascii="Times New Roman" w:hAnsi="Times New Roman" w:cs="Times New Roman"/>
                <w:sz w:val="24"/>
                <w:szCs w:val="24"/>
              </w:rPr>
            </w:pPr>
            <w:r>
              <w:rPr>
                <w:rFonts w:ascii="Times New Roman" w:hAnsi="Times New Roman" w:cs="Times New Roman"/>
                <w:sz w:val="24"/>
                <w:szCs w:val="24"/>
              </w:rPr>
              <w:t>-.05</w:t>
            </w:r>
          </w:p>
        </w:tc>
        <w:tc>
          <w:tcPr>
            <w:tcW w:w="284" w:type="dxa"/>
          </w:tcPr>
          <w:p w:rsidR="000D2EFF" w:rsidRDefault="000D2EFF" w:rsidP="000D2EFF">
            <w:pPr>
              <w:rPr>
                <w:rFonts w:ascii="Times New Roman" w:hAnsi="Times New Roman" w:cs="Times New Roman"/>
                <w:sz w:val="24"/>
                <w:szCs w:val="24"/>
              </w:rPr>
            </w:pPr>
          </w:p>
        </w:tc>
        <w:tc>
          <w:tcPr>
            <w:tcW w:w="709" w:type="dxa"/>
            <w:vAlign w:val="center"/>
          </w:tcPr>
          <w:p w:rsidR="000D2EFF" w:rsidRPr="00FF7B33" w:rsidRDefault="000D2EFF" w:rsidP="000D2EFF">
            <w:pPr>
              <w:tabs>
                <w:tab w:val="decimal" w:pos="48"/>
              </w:tabs>
              <w:rPr>
                <w:rFonts w:ascii="Times New Roman" w:hAnsi="Times New Roman" w:cs="Times New Roman"/>
                <w:sz w:val="24"/>
                <w:szCs w:val="24"/>
                <w:vertAlign w:val="superscript"/>
              </w:rPr>
            </w:pPr>
            <w:r>
              <w:rPr>
                <w:rFonts w:ascii="Times New Roman" w:hAnsi="Times New Roman" w:cs="Times New Roman"/>
                <w:sz w:val="24"/>
                <w:szCs w:val="24"/>
              </w:rPr>
              <w:t>.23</w:t>
            </w:r>
            <w:r>
              <w:rPr>
                <w:rFonts w:ascii="Times New Roman" w:hAnsi="Times New Roman" w:cs="Times New Roman"/>
                <w:sz w:val="24"/>
                <w:szCs w:val="24"/>
                <w:vertAlign w:val="superscript"/>
              </w:rPr>
              <w:t>*</w:t>
            </w:r>
          </w:p>
        </w:tc>
        <w:tc>
          <w:tcPr>
            <w:tcW w:w="708" w:type="dxa"/>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.03</w:t>
            </w:r>
          </w:p>
        </w:tc>
        <w:tc>
          <w:tcPr>
            <w:tcW w:w="709" w:type="dxa"/>
            <w:vAlign w:val="center"/>
          </w:tcPr>
          <w:p w:rsidR="000D2EFF" w:rsidRPr="00CC37F8" w:rsidRDefault="000D2EFF" w:rsidP="000D2EFF">
            <w:pPr>
              <w:tabs>
                <w:tab w:val="decimal" w:pos="49"/>
              </w:tabs>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-.09</w:t>
            </w:r>
          </w:p>
        </w:tc>
        <w:tc>
          <w:tcPr>
            <w:tcW w:w="283" w:type="dxa"/>
          </w:tcPr>
          <w:p w:rsidR="000D2EFF" w:rsidRDefault="000D2EFF" w:rsidP="000D2EFF">
            <w:pPr>
              <w:rPr>
                <w:rFonts w:ascii="Times New Roman" w:hAnsi="Times New Roman" w:cs="Times New Roman"/>
                <w:sz w:val="24"/>
                <w:szCs w:val="24"/>
              </w:rPr>
            </w:pPr>
          </w:p>
        </w:tc>
        <w:tc>
          <w:tcPr>
            <w:tcW w:w="756" w:type="dxa"/>
            <w:vAlign w:val="center"/>
          </w:tcPr>
          <w:p w:rsidR="000D2EFF" w:rsidRPr="00FF7B33" w:rsidRDefault="000D2EFF" w:rsidP="000D2EFF">
            <w:pPr>
              <w:tabs>
                <w:tab w:val="decimal" w:pos="1"/>
              </w:tabs>
              <w:rPr>
                <w:rFonts w:ascii="Times New Roman" w:hAnsi="Times New Roman" w:cs="Times New Roman"/>
                <w:sz w:val="24"/>
                <w:szCs w:val="24"/>
                <w:vertAlign w:val="superscript"/>
              </w:rPr>
            </w:pPr>
            <w:r>
              <w:rPr>
                <w:rFonts w:ascii="Times New Roman" w:hAnsi="Times New Roman" w:cs="Times New Roman"/>
                <w:sz w:val="24"/>
                <w:szCs w:val="24"/>
              </w:rPr>
              <w:t>.39</w:t>
            </w:r>
            <w:r>
              <w:rPr>
                <w:rFonts w:ascii="Times New Roman" w:hAnsi="Times New Roman" w:cs="Times New Roman"/>
                <w:sz w:val="24"/>
                <w:szCs w:val="24"/>
                <w:vertAlign w:val="superscript"/>
              </w:rPr>
              <w:t>***</w:t>
            </w:r>
          </w:p>
        </w:tc>
        <w:tc>
          <w:tcPr>
            <w:tcW w:w="662" w:type="dxa"/>
            <w:vAlign w:val="center"/>
          </w:tcPr>
          <w:p w:rsidR="000D2EFF" w:rsidRPr="00CC37F8" w:rsidRDefault="000D2EFF" w:rsidP="000D2EFF">
            <w:pPr>
              <w:tabs>
                <w:tab w:val="decimal" w:pos="0"/>
              </w:tabs>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.15</w:t>
            </w:r>
          </w:p>
        </w:tc>
        <w:tc>
          <w:tcPr>
            <w:tcW w:w="723" w:type="dxa"/>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-.16</w:t>
            </w:r>
          </w:p>
        </w:tc>
      </w:tr>
      <w:tr w:rsidR="000D2EFF" w:rsidTr="000D2EFF">
        <w:tc>
          <w:tcPr>
            <w:tcW w:w="2835" w:type="dxa"/>
            <w:tcBorders>
              <w:bottom w:val="single" w:sz="4" w:space="0" w:color="auto"/>
            </w:tcBorders>
          </w:tcPr>
          <w:p w:rsidR="000D2EFF" w:rsidRPr="00BF5941" w:rsidRDefault="000D2EFF" w:rsidP="000D2EFF">
            <w:pPr>
              <w:rPr>
                <w:rFonts w:ascii="Times New Roman" w:hAnsi="Times New Roman" w:cs="Times New Roman"/>
                <w:sz w:val="24"/>
                <w:szCs w:val="24"/>
              </w:rPr>
            </w:pPr>
            <w:r w:rsidRPr="00BF5941">
              <w:rPr>
                <w:rFonts w:ascii="Times New Roman" w:hAnsi="Times New Roman" w:cs="Times New Roman"/>
                <w:sz w:val="24"/>
                <w:szCs w:val="24"/>
              </w:rPr>
              <w:t># placement disruptions</w:t>
            </w:r>
          </w:p>
        </w:tc>
        <w:tc>
          <w:tcPr>
            <w:tcW w:w="850" w:type="dxa"/>
            <w:tcBorders>
              <w:bottom w:val="single" w:sz="4" w:space="0" w:color="auto"/>
            </w:tcBorders>
            <w:vAlign w:val="center"/>
          </w:tcPr>
          <w:p w:rsidR="000D2EFF" w:rsidRPr="00CC37F8" w:rsidRDefault="000D2EFF" w:rsidP="000D2EFF">
            <w:pPr>
              <w:tabs>
                <w:tab w:val="decimal" w:pos="190"/>
              </w:tabs>
              <w:rPr>
                <w:rFonts w:ascii="Times New Roman" w:hAnsi="Times New Roman" w:cs="Times New Roman"/>
                <w:sz w:val="24"/>
                <w:szCs w:val="24"/>
              </w:rPr>
            </w:pPr>
            <w:r>
              <w:rPr>
                <w:rFonts w:ascii="Times New Roman" w:hAnsi="Times New Roman" w:cs="Times New Roman"/>
                <w:sz w:val="24"/>
                <w:szCs w:val="24"/>
              </w:rPr>
              <w:t>-.09</w:t>
            </w:r>
          </w:p>
        </w:tc>
        <w:tc>
          <w:tcPr>
            <w:tcW w:w="284" w:type="dxa"/>
            <w:tcBorders>
              <w:bottom w:val="single" w:sz="4" w:space="0" w:color="auto"/>
            </w:tcBorders>
          </w:tcPr>
          <w:p w:rsidR="000D2EFF" w:rsidRDefault="000D2EFF" w:rsidP="000D2EFF">
            <w:pPr>
              <w:rPr>
                <w:rFonts w:ascii="Times New Roman" w:hAnsi="Times New Roman" w:cs="Times New Roman"/>
                <w:sz w:val="24"/>
                <w:szCs w:val="24"/>
              </w:rPr>
            </w:pPr>
          </w:p>
        </w:tc>
        <w:tc>
          <w:tcPr>
            <w:tcW w:w="709" w:type="dxa"/>
            <w:tcBorders>
              <w:bottom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.16</w:t>
            </w:r>
          </w:p>
        </w:tc>
        <w:tc>
          <w:tcPr>
            <w:tcW w:w="708" w:type="dxa"/>
            <w:tcBorders>
              <w:bottom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.04</w:t>
            </w:r>
          </w:p>
        </w:tc>
        <w:tc>
          <w:tcPr>
            <w:tcW w:w="709" w:type="dxa"/>
            <w:tcBorders>
              <w:bottom w:val="single" w:sz="4" w:space="0" w:color="auto"/>
            </w:tcBorders>
            <w:vAlign w:val="center"/>
          </w:tcPr>
          <w:p w:rsidR="000D2EFF" w:rsidRPr="00310AFD" w:rsidRDefault="000D2EFF" w:rsidP="000D2EFF">
            <w:pPr>
              <w:tabs>
                <w:tab w:val="decimal" w:pos="49"/>
              </w:tabs>
              <w:rPr>
                <w:rFonts w:ascii="Times New Roman" w:hAnsi="Times New Roman" w:cs="Times New Roman"/>
                <w:sz w:val="24"/>
                <w:szCs w:val="24"/>
              </w:rPr>
            </w:pPr>
            <w:r>
              <w:rPr>
                <w:rFonts w:ascii="Times New Roman" w:hAnsi="Times New Roman" w:cs="Times New Roman"/>
                <w:sz w:val="24"/>
                <w:szCs w:val="24"/>
              </w:rPr>
              <w:t>.16</w:t>
            </w:r>
          </w:p>
        </w:tc>
        <w:tc>
          <w:tcPr>
            <w:tcW w:w="709" w:type="dxa"/>
            <w:tcBorders>
              <w:bottom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-.11</w:t>
            </w:r>
          </w:p>
        </w:tc>
        <w:tc>
          <w:tcPr>
            <w:tcW w:w="283" w:type="dxa"/>
            <w:tcBorders>
              <w:bottom w:val="single" w:sz="4" w:space="0" w:color="auto"/>
            </w:tcBorders>
          </w:tcPr>
          <w:p w:rsidR="000D2EFF" w:rsidRDefault="000D2EFF" w:rsidP="000D2EFF">
            <w:pPr>
              <w:rPr>
                <w:rFonts w:ascii="Times New Roman" w:hAnsi="Times New Roman" w:cs="Times New Roman"/>
                <w:sz w:val="24"/>
                <w:szCs w:val="24"/>
              </w:rPr>
            </w:pPr>
          </w:p>
        </w:tc>
        <w:tc>
          <w:tcPr>
            <w:tcW w:w="756" w:type="dxa"/>
            <w:tcBorders>
              <w:bottom w:val="single" w:sz="4" w:space="0" w:color="auto"/>
            </w:tcBorders>
            <w:vAlign w:val="center"/>
          </w:tcPr>
          <w:p w:rsidR="000D2EFF" w:rsidRPr="00310AFD" w:rsidRDefault="000D2EFF" w:rsidP="000D2EFF">
            <w:pPr>
              <w:tabs>
                <w:tab w:val="decimal" w:pos="1"/>
              </w:tabs>
              <w:rPr>
                <w:rFonts w:ascii="Times New Roman" w:hAnsi="Times New Roman" w:cs="Times New Roman"/>
                <w:sz w:val="24"/>
                <w:szCs w:val="24"/>
                <w:vertAlign w:val="superscript"/>
              </w:rPr>
            </w:pPr>
            <w:r>
              <w:rPr>
                <w:rFonts w:ascii="Times New Roman" w:hAnsi="Times New Roman" w:cs="Times New Roman"/>
                <w:sz w:val="24"/>
                <w:szCs w:val="24"/>
              </w:rPr>
              <w:t>.3</w:t>
            </w:r>
            <w:r w:rsidR="00B10434">
              <w:rPr>
                <w:rFonts w:ascii="Times New Roman" w:hAnsi="Times New Roman" w:cs="Times New Roman"/>
                <w:sz w:val="24"/>
                <w:szCs w:val="24"/>
              </w:rPr>
              <w:t>4</w:t>
            </w:r>
            <w:r>
              <w:rPr>
                <w:rFonts w:ascii="Times New Roman" w:hAnsi="Times New Roman" w:cs="Times New Roman"/>
                <w:sz w:val="24"/>
                <w:szCs w:val="24"/>
                <w:vertAlign w:val="superscript"/>
              </w:rPr>
              <w:t>***</w:t>
            </w:r>
          </w:p>
        </w:tc>
        <w:tc>
          <w:tcPr>
            <w:tcW w:w="662" w:type="dxa"/>
            <w:tcBorders>
              <w:bottom w:val="single" w:sz="4" w:space="0" w:color="auto"/>
            </w:tcBorders>
            <w:vAlign w:val="center"/>
          </w:tcPr>
          <w:p w:rsidR="000D2EFF" w:rsidRPr="00CC37F8" w:rsidRDefault="000D2EFF" w:rsidP="000D2EFF">
            <w:pPr>
              <w:tabs>
                <w:tab w:val="decimal" w:pos="0"/>
              </w:tabs>
              <w:jc w:val="center"/>
              <w:rPr>
                <w:rFonts w:ascii="Times New Roman" w:hAnsi="Times New Roman" w:cs="Times New Roman"/>
                <w:sz w:val="24"/>
                <w:szCs w:val="24"/>
              </w:rPr>
            </w:pPr>
            <w:r>
              <w:rPr>
                <w:rFonts w:ascii="Times New Roman" w:hAnsi="Times New Roman" w:cs="Times New Roman"/>
                <w:sz w:val="24"/>
                <w:szCs w:val="24"/>
              </w:rPr>
              <w:t>-.0</w:t>
            </w:r>
            <w:r w:rsidR="00B10434">
              <w:rPr>
                <w:rFonts w:ascii="Times New Roman" w:hAnsi="Times New Roman" w:cs="Times New Roman"/>
                <w:sz w:val="24"/>
                <w:szCs w:val="24"/>
              </w:rPr>
              <w:t>1</w:t>
            </w:r>
          </w:p>
        </w:tc>
        <w:tc>
          <w:tcPr>
            <w:tcW w:w="709" w:type="dxa"/>
            <w:tcBorders>
              <w:bottom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.1</w:t>
            </w:r>
            <w:r w:rsidR="00B10434">
              <w:rPr>
                <w:rFonts w:ascii="Times New Roman" w:hAnsi="Times New Roman" w:cs="Times New Roman"/>
                <w:sz w:val="24"/>
                <w:szCs w:val="24"/>
              </w:rPr>
              <w:t>5</w:t>
            </w:r>
          </w:p>
        </w:tc>
        <w:tc>
          <w:tcPr>
            <w:tcW w:w="723" w:type="dxa"/>
            <w:tcBorders>
              <w:bottom w:val="single" w:sz="4" w:space="0" w:color="auto"/>
            </w:tcBorders>
            <w:vAlign w:val="center"/>
          </w:tcPr>
          <w:p w:rsidR="000D2EFF" w:rsidRPr="00CC37F8" w:rsidRDefault="000D2EFF" w:rsidP="000D2EFF">
            <w:pPr>
              <w:tabs>
                <w:tab w:val="decimal" w:pos="48"/>
              </w:tabs>
              <w:rPr>
                <w:rFonts w:ascii="Times New Roman" w:hAnsi="Times New Roman" w:cs="Times New Roman"/>
                <w:sz w:val="24"/>
                <w:szCs w:val="24"/>
              </w:rPr>
            </w:pPr>
            <w:r>
              <w:rPr>
                <w:rFonts w:ascii="Times New Roman" w:hAnsi="Times New Roman" w:cs="Times New Roman"/>
                <w:sz w:val="24"/>
                <w:szCs w:val="24"/>
              </w:rPr>
              <w:t>-.14</w:t>
            </w:r>
          </w:p>
        </w:tc>
      </w:tr>
      <w:tr w:rsidR="000D2EFF" w:rsidTr="000D2EFF">
        <w:tc>
          <w:tcPr>
            <w:tcW w:w="9937" w:type="dxa"/>
            <w:gridSpan w:val="12"/>
            <w:tcBorders>
              <w:top w:val="single" w:sz="4" w:space="0" w:color="auto"/>
            </w:tcBorders>
          </w:tcPr>
          <w:p w:rsidR="000D2EFF" w:rsidRDefault="000D2EFF" w:rsidP="000D2EFF">
            <w:pPr>
              <w:rPr>
                <w:rFonts w:ascii="Times New Roman" w:hAnsi="Times New Roman" w:cs="Times New Roman"/>
                <w:i/>
                <w:sz w:val="24"/>
                <w:szCs w:val="24"/>
              </w:rPr>
            </w:pPr>
            <w:r w:rsidRPr="00310AFD">
              <w:rPr>
                <w:rFonts w:ascii="Times New Roman" w:hAnsi="Times New Roman" w:cs="Times New Roman"/>
                <w:sz w:val="24"/>
                <w:szCs w:val="24"/>
                <w:vertAlign w:val="superscript"/>
              </w:rPr>
              <w:t>***</w:t>
            </w:r>
            <w:r w:rsidRPr="00310AFD">
              <w:rPr>
                <w:rFonts w:ascii="Times New Roman" w:hAnsi="Times New Roman" w:cs="Times New Roman"/>
                <w:i/>
                <w:sz w:val="24"/>
                <w:szCs w:val="24"/>
              </w:rPr>
              <w:t>p</w:t>
            </w:r>
            <w:r w:rsidRPr="00310AFD">
              <w:rPr>
                <w:rFonts w:ascii="Times New Roman" w:hAnsi="Times New Roman" w:cs="Times New Roman"/>
                <w:sz w:val="24"/>
                <w:szCs w:val="24"/>
              </w:rPr>
              <w:t xml:space="preserve"> &lt; .001.</w:t>
            </w:r>
            <w:r w:rsidRPr="00310AFD">
              <w:rPr>
                <w:rFonts w:ascii="Times New Roman" w:hAnsi="Times New Roman" w:cs="Times New Roman"/>
                <w:sz w:val="24"/>
                <w:szCs w:val="24"/>
                <w:vertAlign w:val="superscript"/>
              </w:rPr>
              <w:t xml:space="preserve"> **</w:t>
            </w:r>
            <w:r w:rsidRPr="00310AFD">
              <w:rPr>
                <w:rFonts w:ascii="Times New Roman" w:hAnsi="Times New Roman" w:cs="Times New Roman"/>
                <w:i/>
                <w:sz w:val="24"/>
                <w:szCs w:val="24"/>
              </w:rPr>
              <w:t>p</w:t>
            </w:r>
            <w:r w:rsidRPr="00310AFD">
              <w:rPr>
                <w:rFonts w:ascii="Times New Roman" w:hAnsi="Times New Roman" w:cs="Times New Roman"/>
                <w:sz w:val="24"/>
                <w:szCs w:val="24"/>
              </w:rPr>
              <w:t xml:space="preserve"> &lt; .01.</w:t>
            </w:r>
            <w:r w:rsidRPr="00310AFD">
              <w:rPr>
                <w:rFonts w:ascii="Times New Roman" w:hAnsi="Times New Roman" w:cs="Times New Roman"/>
                <w:sz w:val="24"/>
                <w:szCs w:val="24"/>
                <w:vertAlign w:val="superscript"/>
              </w:rPr>
              <w:t xml:space="preserve"> *</w:t>
            </w:r>
            <w:r w:rsidRPr="00310AFD">
              <w:rPr>
                <w:rFonts w:ascii="Times New Roman" w:hAnsi="Times New Roman" w:cs="Times New Roman"/>
                <w:i/>
                <w:sz w:val="24"/>
                <w:szCs w:val="24"/>
              </w:rPr>
              <w:t>p</w:t>
            </w:r>
            <w:r w:rsidRPr="00310AFD">
              <w:rPr>
                <w:rFonts w:ascii="Times New Roman" w:hAnsi="Times New Roman" w:cs="Times New Roman"/>
                <w:sz w:val="24"/>
                <w:szCs w:val="24"/>
              </w:rPr>
              <w:t xml:space="preserve"> &lt; .05.</w:t>
            </w:r>
          </w:p>
          <w:p w:rsidR="000D2EFF" w:rsidRDefault="000D2EFF" w:rsidP="000D2EFF">
            <w:pPr>
              <w:rPr>
                <w:rFonts w:ascii="Times New Roman" w:hAnsi="Times New Roman" w:cs="Times New Roman"/>
                <w:sz w:val="24"/>
                <w:szCs w:val="24"/>
              </w:rPr>
            </w:pPr>
            <w:r w:rsidRPr="00310AFD">
              <w:rPr>
                <w:rFonts w:ascii="Times New Roman" w:hAnsi="Times New Roman" w:cs="Times New Roman"/>
                <w:i/>
                <w:sz w:val="24"/>
                <w:szCs w:val="24"/>
              </w:rPr>
              <w:t xml:space="preserve">Note. </w:t>
            </w:r>
            <w:r>
              <w:rPr>
                <w:rFonts w:ascii="Times New Roman" w:hAnsi="Times New Roman" w:cs="Times New Roman"/>
                <w:sz w:val="24"/>
                <w:szCs w:val="24"/>
              </w:rPr>
              <w:t>These correlations are only among those who were ever raised in an institution</w:t>
            </w:r>
          </w:p>
        </w:tc>
      </w:tr>
    </w:tbl>
    <w:p w:rsidR="00A250C5" w:rsidRDefault="00A250C5" w:rsidP="00C649B9">
      <w:pPr>
        <w:spacing w:after="0" w:line="240" w:lineRule="auto"/>
        <w:rPr>
          <w:rFonts w:ascii="Times New Roman" w:hAnsi="Times New Roman" w:cs="Times New Roman"/>
          <w:b/>
          <w:i/>
          <w:sz w:val="24"/>
          <w:szCs w:val="24"/>
        </w:rPr>
      </w:pPr>
    </w:p>
    <w:p w:rsidR="004A54DC" w:rsidRDefault="004A54DC" w:rsidP="00C649B9">
      <w:pPr>
        <w:spacing w:after="0" w:line="240" w:lineRule="auto"/>
        <w:rPr>
          <w:rFonts w:ascii="Times New Roman" w:hAnsi="Times New Roman" w:cs="Times New Roman"/>
          <w:b/>
          <w:i/>
          <w:sz w:val="16"/>
          <w:szCs w:val="16"/>
        </w:rPr>
      </w:pPr>
    </w:p>
    <w:p w:rsidR="004A54DC" w:rsidRDefault="004A54DC" w:rsidP="00C649B9">
      <w:pPr>
        <w:spacing w:after="0" w:line="240" w:lineRule="auto"/>
        <w:rPr>
          <w:rFonts w:ascii="Times New Roman" w:hAnsi="Times New Roman" w:cs="Times New Roman"/>
          <w:b/>
          <w:i/>
          <w:sz w:val="16"/>
          <w:szCs w:val="16"/>
        </w:rPr>
      </w:pPr>
    </w:p>
    <w:p w:rsidR="005521FA" w:rsidRPr="005521FA" w:rsidRDefault="005521FA" w:rsidP="00C649B9">
      <w:pPr>
        <w:spacing w:after="0" w:line="240" w:lineRule="auto"/>
        <w:rPr>
          <w:rFonts w:ascii="Times New Roman" w:hAnsi="Times New Roman" w:cs="Times New Roman"/>
          <w:b/>
          <w:i/>
          <w:sz w:val="16"/>
          <w:szCs w:val="16"/>
        </w:rPr>
      </w:pPr>
    </w:p>
    <w:p w:rsidR="005521FA" w:rsidRDefault="005521FA" w:rsidP="00C649B9">
      <w:pPr>
        <w:spacing w:after="0" w:line="240" w:lineRule="auto"/>
        <w:rPr>
          <w:rFonts w:ascii="Times New Roman" w:hAnsi="Times New Roman" w:cs="Times New Roman"/>
          <w:b/>
          <w:i/>
          <w:sz w:val="16"/>
          <w:szCs w:val="16"/>
        </w:rPr>
      </w:pPr>
    </w:p>
    <w:p w:rsidR="005F2B2D" w:rsidRPr="00AE096A" w:rsidRDefault="005F2B2D" w:rsidP="00C649B9">
      <w:pPr>
        <w:spacing w:after="0" w:line="240" w:lineRule="auto"/>
        <w:rPr>
          <w:rFonts w:ascii="Times New Roman" w:hAnsi="Times New Roman" w:cs="Times New Roman"/>
          <w:b/>
          <w:i/>
          <w:sz w:val="24"/>
          <w:szCs w:val="24"/>
        </w:rPr>
      </w:pPr>
    </w:p>
    <w:p w:rsidR="00C649B9" w:rsidRDefault="00C649B9" w:rsidP="00C649B9">
      <w:pPr>
        <w:spacing w:after="0" w:line="240" w:lineRule="auto"/>
        <w:rPr>
          <w:rFonts w:ascii="Times New Roman" w:hAnsi="Times New Roman" w:cs="Times New Roman"/>
          <w:bCs/>
          <w:sz w:val="24"/>
          <w:szCs w:val="24"/>
          <w:lang w:val="en-US"/>
        </w:rPr>
      </w:pPr>
    </w:p>
    <w:p w:rsidR="00C649B9" w:rsidRPr="00C649B9" w:rsidRDefault="00C649B9" w:rsidP="00C649B9">
      <w:pPr>
        <w:spacing w:after="0" w:line="240" w:lineRule="auto"/>
        <w:jc w:val="center"/>
        <w:rPr>
          <w:rFonts w:ascii="Times New Roman" w:hAnsi="Times New Roman" w:cs="Times New Roman"/>
          <w:bCs/>
          <w:sz w:val="24"/>
          <w:szCs w:val="24"/>
          <w:lang w:val="en-US"/>
        </w:rPr>
        <w:sectPr w:rsidR="00C649B9" w:rsidRPr="00C649B9" w:rsidSect="00341973">
          <w:pgSz w:w="12240" w:h="15840"/>
          <w:pgMar w:top="1440" w:right="1440" w:bottom="1440" w:left="1440" w:header="708" w:footer="708" w:gutter="0"/>
          <w:cols w:space="708"/>
          <w:docGrid w:linePitch="360"/>
        </w:sectPr>
      </w:pPr>
    </w:p>
    <w:p w:rsidR="001F0DC0" w:rsidRPr="00AF3DC7" w:rsidRDefault="001F0DC0" w:rsidP="001F0DC0">
      <w:pPr>
        <w:spacing w:after="0" w:line="240" w:lineRule="auto"/>
        <w:jc w:val="center"/>
        <w:rPr>
          <w:rFonts w:ascii="Times New Roman" w:hAnsi="Times New Roman" w:cs="Times New Roman"/>
          <w:b/>
          <w:bCs/>
          <w:sz w:val="24"/>
          <w:szCs w:val="24"/>
          <w:lang w:val="en-US"/>
        </w:rPr>
      </w:pPr>
      <w:r w:rsidRPr="00AF3DC7">
        <w:rPr>
          <w:rFonts w:ascii="Times New Roman" w:hAnsi="Times New Roman" w:cs="Times New Roman"/>
          <w:b/>
          <w:bCs/>
          <w:sz w:val="24"/>
          <w:szCs w:val="24"/>
          <w:lang w:val="en-US"/>
        </w:rPr>
        <w:lastRenderedPageBreak/>
        <w:t>References</w:t>
      </w:r>
    </w:p>
    <w:p w:rsidR="001F0DC0" w:rsidRPr="00AF3DC7" w:rsidRDefault="001F0DC0" w:rsidP="001F0DC0">
      <w:pPr>
        <w:spacing w:after="0" w:line="240" w:lineRule="auto"/>
        <w:rPr>
          <w:rFonts w:ascii="Times New Roman" w:hAnsi="Times New Roman" w:cs="Times New Roman"/>
          <w:b/>
          <w:bCs/>
          <w:sz w:val="24"/>
          <w:szCs w:val="24"/>
          <w:lang w:val="en-US"/>
        </w:rPr>
      </w:pPr>
    </w:p>
    <w:p w:rsidR="001F0DC0" w:rsidRDefault="001F0DC0" w:rsidP="001F0DC0">
      <w:pPr>
        <w:spacing w:after="0" w:line="240" w:lineRule="auto"/>
        <w:rPr>
          <w:rFonts w:ascii="Times New Roman" w:hAnsi="Times New Roman" w:cs="Times New Roman"/>
          <w:sz w:val="24"/>
          <w:szCs w:val="24"/>
        </w:rPr>
      </w:pPr>
      <w:r w:rsidRPr="00AF3DC7">
        <w:rPr>
          <w:rFonts w:ascii="Times New Roman" w:hAnsi="Times New Roman" w:cs="Times New Roman"/>
          <w:sz w:val="24"/>
          <w:szCs w:val="24"/>
        </w:rPr>
        <w:t xml:space="preserve">Chen FF. Sensitivity of goodness of fit indexes to lack of measurement invariance. </w:t>
      </w:r>
      <w:proofErr w:type="gramStart"/>
      <w:r w:rsidRPr="00AF3DC7">
        <w:rPr>
          <w:rFonts w:ascii="Times New Roman" w:hAnsi="Times New Roman" w:cs="Times New Roman"/>
          <w:i/>
          <w:sz w:val="24"/>
          <w:szCs w:val="24"/>
        </w:rPr>
        <w:t>Structural Equation Modeling</w:t>
      </w:r>
      <w:r w:rsidRPr="00AF3DC7">
        <w:rPr>
          <w:rFonts w:ascii="Times New Roman" w:hAnsi="Times New Roman" w:cs="Times New Roman"/>
          <w:sz w:val="24"/>
          <w:szCs w:val="24"/>
        </w:rPr>
        <w:t>.</w:t>
      </w:r>
      <w:proofErr w:type="gramEnd"/>
      <w:r w:rsidRPr="00AF3DC7">
        <w:rPr>
          <w:rFonts w:ascii="Times New Roman" w:hAnsi="Times New Roman" w:cs="Times New Roman"/>
          <w:sz w:val="24"/>
          <w:szCs w:val="24"/>
        </w:rPr>
        <w:t xml:space="preserve"> 200</w:t>
      </w:r>
      <w:r w:rsidR="00AF3DC7">
        <w:rPr>
          <w:rFonts w:ascii="Times New Roman" w:hAnsi="Times New Roman" w:cs="Times New Roman"/>
          <w:sz w:val="24"/>
          <w:szCs w:val="24"/>
        </w:rPr>
        <w:t>7</w:t>
      </w:r>
      <w:r w:rsidRPr="00AF3DC7">
        <w:rPr>
          <w:rFonts w:ascii="Times New Roman" w:hAnsi="Times New Roman" w:cs="Times New Roman"/>
          <w:sz w:val="24"/>
          <w:szCs w:val="24"/>
        </w:rPr>
        <w:t>;</w:t>
      </w:r>
      <w:r w:rsidR="004C0B60">
        <w:rPr>
          <w:rFonts w:ascii="Times New Roman" w:hAnsi="Times New Roman" w:cs="Times New Roman"/>
          <w:sz w:val="24"/>
          <w:szCs w:val="24"/>
        </w:rPr>
        <w:t xml:space="preserve"> </w:t>
      </w:r>
      <w:r w:rsidRPr="00AF3DC7">
        <w:rPr>
          <w:rFonts w:ascii="Times New Roman" w:hAnsi="Times New Roman" w:cs="Times New Roman"/>
          <w:sz w:val="24"/>
          <w:szCs w:val="24"/>
        </w:rPr>
        <w:t>14(3):464-504.</w:t>
      </w:r>
    </w:p>
    <w:p w:rsidR="00951005" w:rsidRDefault="00951005" w:rsidP="001F0DC0">
      <w:pPr>
        <w:spacing w:after="0" w:line="240" w:lineRule="auto"/>
        <w:rPr>
          <w:rFonts w:ascii="Times New Roman" w:hAnsi="Times New Roman" w:cs="Times New Roman"/>
          <w:sz w:val="24"/>
          <w:szCs w:val="24"/>
        </w:rPr>
      </w:pPr>
    </w:p>
    <w:p w:rsidR="00951005" w:rsidRDefault="00951005" w:rsidP="001F0DC0">
      <w:pPr>
        <w:spacing w:after="0" w:line="240" w:lineRule="auto"/>
        <w:rPr>
          <w:rFonts w:ascii="Times New Roman" w:hAnsi="Times New Roman" w:cs="Times New Roman"/>
          <w:bCs/>
          <w:sz w:val="24"/>
          <w:szCs w:val="24"/>
        </w:rPr>
      </w:pPr>
      <w:r w:rsidRPr="00951005">
        <w:rPr>
          <w:rFonts w:ascii="Times New Roman" w:hAnsi="Times New Roman" w:cs="Times New Roman"/>
          <w:bCs/>
          <w:sz w:val="24"/>
          <w:szCs w:val="24"/>
        </w:rPr>
        <w:t xml:space="preserve">Essex MJ, Boyce WT, Goldstein LH, Armstrong JM, Kraemer HC, </w:t>
      </w:r>
      <w:proofErr w:type="spellStart"/>
      <w:r w:rsidRPr="00951005">
        <w:rPr>
          <w:rFonts w:ascii="Times New Roman" w:hAnsi="Times New Roman" w:cs="Times New Roman"/>
          <w:bCs/>
          <w:sz w:val="24"/>
          <w:szCs w:val="24"/>
        </w:rPr>
        <w:t>Kupfer</w:t>
      </w:r>
      <w:proofErr w:type="spellEnd"/>
      <w:r w:rsidRPr="00951005">
        <w:rPr>
          <w:rFonts w:ascii="Times New Roman" w:hAnsi="Times New Roman" w:cs="Times New Roman"/>
          <w:bCs/>
          <w:sz w:val="24"/>
          <w:szCs w:val="24"/>
        </w:rPr>
        <w:t xml:space="preserve"> DJ, MacArthur Assessment Battery Working Group. </w:t>
      </w:r>
      <w:proofErr w:type="gramStart"/>
      <w:r w:rsidRPr="00951005">
        <w:rPr>
          <w:rFonts w:ascii="Times New Roman" w:hAnsi="Times New Roman" w:cs="Times New Roman"/>
          <w:bCs/>
          <w:sz w:val="24"/>
          <w:szCs w:val="24"/>
        </w:rPr>
        <w:t>The confluence of mental, physical, social, and academic difficulties in middle childhood.</w:t>
      </w:r>
      <w:proofErr w:type="gramEnd"/>
      <w:r w:rsidRPr="00951005">
        <w:rPr>
          <w:rFonts w:ascii="Times New Roman" w:hAnsi="Times New Roman" w:cs="Times New Roman"/>
          <w:bCs/>
          <w:sz w:val="24"/>
          <w:szCs w:val="24"/>
        </w:rPr>
        <w:t xml:space="preserve"> II: Developing the MacArthur Health and Behavior Questionnaire. </w:t>
      </w:r>
      <w:proofErr w:type="gramStart"/>
      <w:r w:rsidRPr="00951005">
        <w:rPr>
          <w:rFonts w:ascii="Times New Roman" w:hAnsi="Times New Roman" w:cs="Times New Roman"/>
          <w:bCs/>
          <w:sz w:val="24"/>
          <w:szCs w:val="24"/>
        </w:rPr>
        <w:t>Journal of the American Academy of Child &amp; Adolescent Psychiatry.</w:t>
      </w:r>
      <w:proofErr w:type="gramEnd"/>
      <w:r w:rsidRPr="00951005">
        <w:rPr>
          <w:rFonts w:ascii="Times New Roman" w:hAnsi="Times New Roman" w:cs="Times New Roman"/>
          <w:bCs/>
          <w:sz w:val="24"/>
          <w:szCs w:val="24"/>
        </w:rPr>
        <w:t xml:space="preserve"> 2002;</w:t>
      </w:r>
      <w:r w:rsidR="00883A71">
        <w:rPr>
          <w:rFonts w:ascii="Times New Roman" w:hAnsi="Times New Roman" w:cs="Times New Roman"/>
          <w:bCs/>
          <w:sz w:val="24"/>
          <w:szCs w:val="24"/>
        </w:rPr>
        <w:t xml:space="preserve"> </w:t>
      </w:r>
      <w:r w:rsidRPr="00951005">
        <w:rPr>
          <w:rFonts w:ascii="Times New Roman" w:hAnsi="Times New Roman" w:cs="Times New Roman"/>
          <w:bCs/>
          <w:sz w:val="24"/>
          <w:szCs w:val="24"/>
        </w:rPr>
        <w:t>41(5):588-603.</w:t>
      </w:r>
    </w:p>
    <w:p w:rsidR="00951005" w:rsidRDefault="00951005" w:rsidP="001F0DC0">
      <w:pPr>
        <w:spacing w:after="0" w:line="240" w:lineRule="auto"/>
        <w:rPr>
          <w:rFonts w:ascii="Times New Roman" w:hAnsi="Times New Roman" w:cs="Times New Roman"/>
          <w:bCs/>
          <w:sz w:val="24"/>
          <w:szCs w:val="24"/>
        </w:rPr>
      </w:pPr>
    </w:p>
    <w:p w:rsidR="00951005" w:rsidRPr="00951005" w:rsidRDefault="00951005" w:rsidP="001F0DC0">
      <w:pPr>
        <w:spacing w:after="0" w:line="240" w:lineRule="auto"/>
        <w:rPr>
          <w:rFonts w:ascii="Times New Roman" w:hAnsi="Times New Roman" w:cs="Times New Roman"/>
          <w:bCs/>
          <w:sz w:val="24"/>
          <w:szCs w:val="24"/>
        </w:rPr>
      </w:pPr>
      <w:proofErr w:type="spellStart"/>
      <w:r w:rsidRPr="00AF3DC7">
        <w:rPr>
          <w:rFonts w:ascii="Times New Roman" w:hAnsi="Times New Roman" w:cs="Times New Roman"/>
          <w:bCs/>
          <w:sz w:val="24"/>
          <w:szCs w:val="24"/>
        </w:rPr>
        <w:t>Guenole</w:t>
      </w:r>
      <w:proofErr w:type="spellEnd"/>
      <w:r w:rsidRPr="00AF3DC7">
        <w:rPr>
          <w:rFonts w:ascii="Times New Roman" w:hAnsi="Times New Roman" w:cs="Times New Roman"/>
          <w:bCs/>
          <w:sz w:val="24"/>
          <w:szCs w:val="24"/>
        </w:rPr>
        <w:t xml:space="preserve"> N, Brown A. </w:t>
      </w:r>
      <w:proofErr w:type="gramStart"/>
      <w:r w:rsidRPr="00AF3DC7">
        <w:rPr>
          <w:rFonts w:ascii="Times New Roman" w:hAnsi="Times New Roman" w:cs="Times New Roman"/>
          <w:bCs/>
          <w:sz w:val="24"/>
          <w:szCs w:val="24"/>
        </w:rPr>
        <w:t>The consequences of ignoring measurement invariance for path coefficients in structural</w:t>
      </w:r>
      <w:r>
        <w:rPr>
          <w:rFonts w:ascii="Times New Roman" w:hAnsi="Times New Roman" w:cs="Times New Roman"/>
          <w:bCs/>
          <w:sz w:val="24"/>
          <w:szCs w:val="24"/>
        </w:rPr>
        <w:t xml:space="preserve"> equation models.</w:t>
      </w:r>
      <w:proofErr w:type="gramEnd"/>
      <w:r>
        <w:rPr>
          <w:rFonts w:ascii="Times New Roman" w:hAnsi="Times New Roman" w:cs="Times New Roman"/>
          <w:bCs/>
          <w:sz w:val="24"/>
          <w:szCs w:val="24"/>
        </w:rPr>
        <w:t xml:space="preserve"> </w:t>
      </w:r>
      <w:proofErr w:type="gramStart"/>
      <w:r w:rsidRPr="00AF3DC7">
        <w:rPr>
          <w:rFonts w:ascii="Times New Roman" w:hAnsi="Times New Roman" w:cs="Times New Roman"/>
          <w:bCs/>
          <w:i/>
          <w:sz w:val="24"/>
          <w:szCs w:val="24"/>
        </w:rPr>
        <w:t>Frontiers in Psychology</w:t>
      </w:r>
      <w:r w:rsidRPr="00AF3DC7">
        <w:rPr>
          <w:rFonts w:ascii="Times New Roman" w:hAnsi="Times New Roman" w:cs="Times New Roman"/>
          <w:bCs/>
          <w:sz w:val="24"/>
          <w:szCs w:val="24"/>
        </w:rPr>
        <w:t>.</w:t>
      </w:r>
      <w:proofErr w:type="gramEnd"/>
      <w:r w:rsidRPr="00AF3DC7">
        <w:rPr>
          <w:rFonts w:ascii="Times New Roman" w:hAnsi="Times New Roman" w:cs="Times New Roman"/>
          <w:bCs/>
          <w:sz w:val="24"/>
          <w:szCs w:val="24"/>
        </w:rPr>
        <w:t xml:space="preserve"> </w:t>
      </w:r>
      <w:proofErr w:type="gramStart"/>
      <w:r w:rsidRPr="00AF3DC7">
        <w:rPr>
          <w:rFonts w:ascii="Times New Roman" w:hAnsi="Times New Roman" w:cs="Times New Roman"/>
          <w:bCs/>
          <w:sz w:val="24"/>
          <w:szCs w:val="24"/>
        </w:rPr>
        <w:t>2014</w:t>
      </w:r>
      <w:r>
        <w:rPr>
          <w:rFonts w:ascii="Times New Roman" w:hAnsi="Times New Roman" w:cs="Times New Roman"/>
          <w:bCs/>
          <w:sz w:val="24"/>
          <w:szCs w:val="24"/>
        </w:rPr>
        <w:t xml:space="preserve">; </w:t>
      </w:r>
      <w:r w:rsidRPr="00AF3DC7">
        <w:rPr>
          <w:rFonts w:ascii="Times New Roman" w:hAnsi="Times New Roman" w:cs="Times New Roman"/>
          <w:bCs/>
          <w:sz w:val="24"/>
          <w:szCs w:val="24"/>
        </w:rPr>
        <w:t>5:980.</w:t>
      </w:r>
      <w:proofErr w:type="gramEnd"/>
    </w:p>
    <w:p w:rsidR="001F0DC0" w:rsidRPr="00AF3DC7" w:rsidRDefault="001F0DC0" w:rsidP="001F0DC0">
      <w:pPr>
        <w:spacing w:after="0" w:line="240" w:lineRule="auto"/>
        <w:rPr>
          <w:rFonts w:ascii="Times New Roman" w:hAnsi="Times New Roman" w:cs="Times New Roman"/>
          <w:sz w:val="24"/>
          <w:szCs w:val="24"/>
        </w:rPr>
      </w:pPr>
    </w:p>
    <w:p w:rsidR="001F0DC0" w:rsidRPr="00AF3DC7" w:rsidRDefault="001F0DC0" w:rsidP="001F0DC0">
      <w:pPr>
        <w:spacing w:after="0" w:line="240" w:lineRule="auto"/>
        <w:rPr>
          <w:rFonts w:ascii="Times New Roman" w:hAnsi="Times New Roman" w:cs="Times New Roman"/>
          <w:sz w:val="24"/>
          <w:szCs w:val="24"/>
        </w:rPr>
      </w:pPr>
      <w:proofErr w:type="spellStart"/>
      <w:r w:rsidRPr="00AF3DC7">
        <w:rPr>
          <w:rFonts w:ascii="Times New Roman" w:hAnsi="Times New Roman" w:cs="Times New Roman"/>
          <w:sz w:val="24"/>
          <w:szCs w:val="24"/>
        </w:rPr>
        <w:t>Putnick</w:t>
      </w:r>
      <w:proofErr w:type="spellEnd"/>
      <w:r w:rsidRPr="00AF3DC7">
        <w:rPr>
          <w:rFonts w:ascii="Times New Roman" w:hAnsi="Times New Roman" w:cs="Times New Roman"/>
          <w:sz w:val="24"/>
          <w:szCs w:val="24"/>
        </w:rPr>
        <w:t xml:space="preserve"> DL, Bornstein MH. Measurement invariance conventions and reporting: the state of the art and future directions for psychological research. </w:t>
      </w:r>
      <w:proofErr w:type="gramStart"/>
      <w:r w:rsidRPr="00AF3DC7">
        <w:rPr>
          <w:rFonts w:ascii="Times New Roman" w:hAnsi="Times New Roman" w:cs="Times New Roman"/>
          <w:i/>
          <w:sz w:val="24"/>
          <w:szCs w:val="24"/>
        </w:rPr>
        <w:t>Developmental Review</w:t>
      </w:r>
      <w:r w:rsidRPr="00AF3DC7">
        <w:rPr>
          <w:rFonts w:ascii="Times New Roman" w:hAnsi="Times New Roman" w:cs="Times New Roman"/>
          <w:sz w:val="24"/>
          <w:szCs w:val="24"/>
        </w:rPr>
        <w:t>.</w:t>
      </w:r>
      <w:proofErr w:type="gramEnd"/>
      <w:r w:rsidRPr="00AF3DC7">
        <w:rPr>
          <w:rFonts w:ascii="Times New Roman" w:hAnsi="Times New Roman" w:cs="Times New Roman"/>
          <w:sz w:val="24"/>
          <w:szCs w:val="24"/>
        </w:rPr>
        <w:t xml:space="preserve"> </w:t>
      </w:r>
      <w:proofErr w:type="gramStart"/>
      <w:r w:rsidRPr="00AF3DC7">
        <w:rPr>
          <w:rFonts w:ascii="Times New Roman" w:hAnsi="Times New Roman" w:cs="Times New Roman"/>
          <w:sz w:val="24"/>
          <w:szCs w:val="24"/>
        </w:rPr>
        <w:t>2016;</w:t>
      </w:r>
      <w:r w:rsidR="004C0B60">
        <w:rPr>
          <w:rFonts w:ascii="Times New Roman" w:hAnsi="Times New Roman" w:cs="Times New Roman"/>
          <w:sz w:val="24"/>
          <w:szCs w:val="24"/>
        </w:rPr>
        <w:t xml:space="preserve"> </w:t>
      </w:r>
      <w:r w:rsidRPr="00AF3DC7">
        <w:rPr>
          <w:rFonts w:ascii="Times New Roman" w:hAnsi="Times New Roman" w:cs="Times New Roman"/>
          <w:sz w:val="24"/>
          <w:szCs w:val="24"/>
        </w:rPr>
        <w:t>41:71-90.</w:t>
      </w:r>
      <w:proofErr w:type="gramEnd"/>
    </w:p>
    <w:p w:rsidR="00883A71" w:rsidRDefault="00883A71" w:rsidP="001F0DC0">
      <w:pPr>
        <w:spacing w:after="0" w:line="240" w:lineRule="auto"/>
        <w:rPr>
          <w:rFonts w:ascii="Times New Roman" w:hAnsi="Times New Roman" w:cs="Times New Roman"/>
          <w:sz w:val="24"/>
          <w:szCs w:val="24"/>
        </w:rPr>
      </w:pPr>
    </w:p>
    <w:p w:rsidR="00F85AAC" w:rsidRDefault="00883A71" w:rsidP="001F0DC0">
      <w:pPr>
        <w:spacing w:after="0" w:line="240" w:lineRule="auto"/>
        <w:rPr>
          <w:rFonts w:ascii="Times New Roman" w:hAnsi="Times New Roman" w:cs="Times New Roman"/>
          <w:sz w:val="24"/>
          <w:szCs w:val="24"/>
        </w:rPr>
      </w:pPr>
      <w:proofErr w:type="spellStart"/>
      <w:r w:rsidRPr="00883A71">
        <w:rPr>
          <w:rFonts w:ascii="Times New Roman" w:hAnsi="Times New Roman" w:cs="Times New Roman"/>
          <w:sz w:val="24"/>
          <w:szCs w:val="24"/>
        </w:rPr>
        <w:t>Reise</w:t>
      </w:r>
      <w:proofErr w:type="spellEnd"/>
      <w:r w:rsidRPr="00883A71">
        <w:rPr>
          <w:rFonts w:ascii="Times New Roman" w:hAnsi="Times New Roman" w:cs="Times New Roman"/>
          <w:sz w:val="24"/>
          <w:szCs w:val="24"/>
        </w:rPr>
        <w:t xml:space="preserve"> SP. </w:t>
      </w:r>
      <w:proofErr w:type="gramStart"/>
      <w:r w:rsidRPr="00883A71">
        <w:rPr>
          <w:rFonts w:ascii="Times New Roman" w:hAnsi="Times New Roman" w:cs="Times New Roman"/>
          <w:sz w:val="24"/>
          <w:szCs w:val="24"/>
        </w:rPr>
        <w:t xml:space="preserve">The rediscovery of </w:t>
      </w:r>
      <w:proofErr w:type="spellStart"/>
      <w:r w:rsidRPr="00883A71">
        <w:rPr>
          <w:rFonts w:ascii="Times New Roman" w:hAnsi="Times New Roman" w:cs="Times New Roman"/>
          <w:sz w:val="24"/>
          <w:szCs w:val="24"/>
        </w:rPr>
        <w:t>bifactor</w:t>
      </w:r>
      <w:proofErr w:type="spellEnd"/>
      <w:r w:rsidRPr="00883A71">
        <w:rPr>
          <w:rFonts w:ascii="Times New Roman" w:hAnsi="Times New Roman" w:cs="Times New Roman"/>
          <w:sz w:val="24"/>
          <w:szCs w:val="24"/>
        </w:rPr>
        <w:t xml:space="preserve"> measurement m</w:t>
      </w:r>
      <w:r>
        <w:rPr>
          <w:rFonts w:ascii="Times New Roman" w:hAnsi="Times New Roman" w:cs="Times New Roman"/>
          <w:sz w:val="24"/>
          <w:szCs w:val="24"/>
        </w:rPr>
        <w:t>odels.</w:t>
      </w:r>
      <w:proofErr w:type="gramEnd"/>
      <w:r>
        <w:rPr>
          <w:rFonts w:ascii="Times New Roman" w:hAnsi="Times New Roman" w:cs="Times New Roman"/>
          <w:sz w:val="24"/>
          <w:szCs w:val="24"/>
        </w:rPr>
        <w:t xml:space="preserve"> </w:t>
      </w:r>
      <w:proofErr w:type="gramStart"/>
      <w:r w:rsidRPr="00883A71">
        <w:rPr>
          <w:rFonts w:ascii="Times New Roman" w:hAnsi="Times New Roman" w:cs="Times New Roman"/>
          <w:i/>
          <w:sz w:val="24"/>
          <w:szCs w:val="24"/>
        </w:rPr>
        <w:t>Multivariate Behavioral Research</w:t>
      </w:r>
      <w:r w:rsidRPr="00883A71">
        <w:rPr>
          <w:rFonts w:ascii="Times New Roman" w:hAnsi="Times New Roman" w:cs="Times New Roman"/>
          <w:sz w:val="24"/>
          <w:szCs w:val="24"/>
        </w:rPr>
        <w:t>.</w:t>
      </w:r>
      <w:proofErr w:type="gramEnd"/>
      <w:r w:rsidRPr="00883A71">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883A71">
        <w:rPr>
          <w:rFonts w:ascii="Times New Roman" w:hAnsi="Times New Roman" w:cs="Times New Roman"/>
          <w:sz w:val="24"/>
          <w:szCs w:val="24"/>
        </w:rPr>
        <w:t>47(5):667-96.</w:t>
      </w:r>
    </w:p>
    <w:p w:rsidR="00883A71" w:rsidRPr="00AF3DC7" w:rsidRDefault="00883A71" w:rsidP="001F0DC0">
      <w:pPr>
        <w:spacing w:after="0" w:line="240" w:lineRule="auto"/>
        <w:rPr>
          <w:rFonts w:ascii="Times New Roman" w:hAnsi="Times New Roman" w:cs="Times New Roman"/>
          <w:sz w:val="24"/>
          <w:szCs w:val="24"/>
        </w:rPr>
      </w:pPr>
    </w:p>
    <w:p w:rsidR="00F85AAC" w:rsidRPr="00AF3DC7" w:rsidRDefault="00F85AAC" w:rsidP="001F0DC0">
      <w:pPr>
        <w:spacing w:after="0" w:line="240" w:lineRule="auto"/>
        <w:rPr>
          <w:rFonts w:ascii="Times New Roman" w:hAnsi="Times New Roman" w:cs="Times New Roman"/>
          <w:sz w:val="24"/>
          <w:szCs w:val="24"/>
        </w:rPr>
      </w:pPr>
      <w:r w:rsidRPr="00AF3DC7">
        <w:rPr>
          <w:rFonts w:ascii="Times New Roman" w:hAnsi="Times New Roman" w:cs="Times New Roman"/>
          <w:sz w:val="24"/>
          <w:szCs w:val="24"/>
        </w:rPr>
        <w:t xml:space="preserve">Steinmetz H. Analyzing observed composite differences across groups. </w:t>
      </w:r>
      <w:proofErr w:type="gramStart"/>
      <w:r w:rsidRPr="00AF3DC7">
        <w:rPr>
          <w:rFonts w:ascii="Times New Roman" w:hAnsi="Times New Roman" w:cs="Times New Roman"/>
          <w:i/>
          <w:sz w:val="24"/>
          <w:szCs w:val="24"/>
        </w:rPr>
        <w:t>Methodology</w:t>
      </w:r>
      <w:r w:rsidRPr="00AF3DC7">
        <w:rPr>
          <w:rFonts w:ascii="Times New Roman" w:hAnsi="Times New Roman" w:cs="Times New Roman"/>
          <w:sz w:val="24"/>
          <w:szCs w:val="24"/>
        </w:rPr>
        <w:t>.</w:t>
      </w:r>
      <w:proofErr w:type="gramEnd"/>
      <w:r w:rsidRPr="00AF3DC7">
        <w:rPr>
          <w:rFonts w:ascii="Times New Roman" w:hAnsi="Times New Roman" w:cs="Times New Roman"/>
          <w:sz w:val="24"/>
          <w:szCs w:val="24"/>
        </w:rPr>
        <w:t xml:space="preserve"> </w:t>
      </w:r>
      <w:proofErr w:type="gramStart"/>
      <w:r w:rsidRPr="00AF3DC7">
        <w:rPr>
          <w:rFonts w:ascii="Times New Roman" w:hAnsi="Times New Roman" w:cs="Times New Roman"/>
          <w:sz w:val="24"/>
          <w:szCs w:val="24"/>
        </w:rPr>
        <w:t>2013</w:t>
      </w:r>
      <w:r w:rsidR="00AF3DC7">
        <w:rPr>
          <w:rFonts w:ascii="Times New Roman" w:hAnsi="Times New Roman" w:cs="Times New Roman"/>
          <w:sz w:val="24"/>
          <w:szCs w:val="24"/>
        </w:rPr>
        <w:t>; 9: 1-12</w:t>
      </w:r>
      <w:r w:rsidRPr="00AF3DC7">
        <w:rPr>
          <w:rFonts w:ascii="Times New Roman" w:hAnsi="Times New Roman" w:cs="Times New Roman"/>
          <w:sz w:val="24"/>
          <w:szCs w:val="24"/>
        </w:rPr>
        <w:t>.</w:t>
      </w:r>
      <w:proofErr w:type="gramEnd"/>
    </w:p>
    <w:p w:rsidR="00951005" w:rsidRDefault="00951005" w:rsidP="001F0DC0">
      <w:pPr>
        <w:spacing w:after="0" w:line="240" w:lineRule="auto"/>
        <w:rPr>
          <w:rFonts w:ascii="Times New Roman" w:hAnsi="Times New Roman" w:cs="Times New Roman"/>
          <w:sz w:val="24"/>
          <w:szCs w:val="24"/>
        </w:rPr>
      </w:pPr>
    </w:p>
    <w:p w:rsidR="004C0B60" w:rsidRDefault="004C0B60" w:rsidP="001F0DC0">
      <w:pPr>
        <w:spacing w:after="0" w:line="240" w:lineRule="auto"/>
        <w:rPr>
          <w:rFonts w:ascii="Times New Roman" w:hAnsi="Times New Roman" w:cs="Times New Roman"/>
          <w:bCs/>
          <w:sz w:val="24"/>
          <w:szCs w:val="24"/>
        </w:rPr>
      </w:pPr>
      <w:r w:rsidRPr="004C0B60">
        <w:rPr>
          <w:rFonts w:ascii="Times New Roman" w:hAnsi="Times New Roman" w:cs="Times New Roman"/>
          <w:bCs/>
          <w:sz w:val="24"/>
          <w:szCs w:val="24"/>
        </w:rPr>
        <w:t xml:space="preserve">Wade M, Fox NA, </w:t>
      </w:r>
      <w:proofErr w:type="spellStart"/>
      <w:r w:rsidRPr="004C0B60">
        <w:rPr>
          <w:rFonts w:ascii="Times New Roman" w:hAnsi="Times New Roman" w:cs="Times New Roman"/>
          <w:bCs/>
          <w:sz w:val="24"/>
          <w:szCs w:val="24"/>
        </w:rPr>
        <w:t>Zeanah</w:t>
      </w:r>
      <w:proofErr w:type="spellEnd"/>
      <w:r w:rsidRPr="004C0B60">
        <w:rPr>
          <w:rFonts w:ascii="Times New Roman" w:hAnsi="Times New Roman" w:cs="Times New Roman"/>
          <w:bCs/>
          <w:sz w:val="24"/>
          <w:szCs w:val="24"/>
        </w:rPr>
        <w:t xml:space="preserve"> CH, Nelson CA. Effect of foster care intervention on trajectories of general and specific psychopathology among children with histories of institutional rearing: a r</w:t>
      </w:r>
      <w:r>
        <w:rPr>
          <w:rFonts w:ascii="Times New Roman" w:hAnsi="Times New Roman" w:cs="Times New Roman"/>
          <w:bCs/>
          <w:sz w:val="24"/>
          <w:szCs w:val="24"/>
        </w:rPr>
        <w:t xml:space="preserve">andomized clinical trial. </w:t>
      </w:r>
      <w:proofErr w:type="gramStart"/>
      <w:r w:rsidRPr="004C0B60">
        <w:rPr>
          <w:rFonts w:ascii="Times New Roman" w:hAnsi="Times New Roman" w:cs="Times New Roman"/>
          <w:bCs/>
          <w:i/>
          <w:sz w:val="24"/>
          <w:szCs w:val="24"/>
        </w:rPr>
        <w:t>JAMA Psychiatry</w:t>
      </w:r>
      <w:r w:rsidRPr="004C0B60">
        <w:rPr>
          <w:rFonts w:ascii="Times New Roman" w:hAnsi="Times New Roman" w:cs="Times New Roman"/>
          <w:bCs/>
          <w:sz w:val="24"/>
          <w:szCs w:val="24"/>
        </w:rPr>
        <w:t>.</w:t>
      </w:r>
      <w:proofErr w:type="gramEnd"/>
      <w:r w:rsidRPr="004C0B60">
        <w:rPr>
          <w:rFonts w:ascii="Times New Roman" w:hAnsi="Times New Roman" w:cs="Times New Roman"/>
          <w:bCs/>
          <w:sz w:val="24"/>
          <w:szCs w:val="24"/>
        </w:rPr>
        <w:t xml:space="preserve"> 2018;</w:t>
      </w:r>
      <w:r>
        <w:rPr>
          <w:rFonts w:ascii="Times New Roman" w:hAnsi="Times New Roman" w:cs="Times New Roman"/>
          <w:bCs/>
          <w:sz w:val="24"/>
          <w:szCs w:val="24"/>
        </w:rPr>
        <w:t xml:space="preserve"> </w:t>
      </w:r>
      <w:r w:rsidRPr="004C0B60">
        <w:rPr>
          <w:rFonts w:ascii="Times New Roman" w:hAnsi="Times New Roman" w:cs="Times New Roman"/>
          <w:bCs/>
          <w:sz w:val="24"/>
          <w:szCs w:val="24"/>
        </w:rPr>
        <w:t>75(11):1137-45.</w:t>
      </w:r>
    </w:p>
    <w:p w:rsidR="00951005" w:rsidRPr="00AF3DC7" w:rsidRDefault="00951005" w:rsidP="001F0DC0">
      <w:pPr>
        <w:spacing w:after="0" w:line="240" w:lineRule="auto"/>
        <w:rPr>
          <w:rFonts w:ascii="Times New Roman" w:hAnsi="Times New Roman" w:cs="Times New Roman"/>
          <w:bCs/>
          <w:sz w:val="24"/>
          <w:szCs w:val="24"/>
          <w:lang w:val="en-US"/>
        </w:rPr>
      </w:pPr>
    </w:p>
    <w:sectPr w:rsidR="00951005" w:rsidRPr="00AF3DC7" w:rsidSect="003419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712"/>
    <w:rsid w:val="00014DD2"/>
    <w:rsid w:val="0001711F"/>
    <w:rsid w:val="00077A92"/>
    <w:rsid w:val="000D2EFF"/>
    <w:rsid w:val="000D677E"/>
    <w:rsid w:val="000E1DF2"/>
    <w:rsid w:val="000E5EA7"/>
    <w:rsid w:val="00116B0F"/>
    <w:rsid w:val="00121CFA"/>
    <w:rsid w:val="0012422A"/>
    <w:rsid w:val="00137BDF"/>
    <w:rsid w:val="00137E7A"/>
    <w:rsid w:val="0014387D"/>
    <w:rsid w:val="001573CF"/>
    <w:rsid w:val="0018159E"/>
    <w:rsid w:val="0018732E"/>
    <w:rsid w:val="001C622D"/>
    <w:rsid w:val="001D2EEA"/>
    <w:rsid w:val="001E2395"/>
    <w:rsid w:val="001F0DC0"/>
    <w:rsid w:val="001F5266"/>
    <w:rsid w:val="001F7512"/>
    <w:rsid w:val="002679B4"/>
    <w:rsid w:val="0029097A"/>
    <w:rsid w:val="002A678F"/>
    <w:rsid w:val="002F6712"/>
    <w:rsid w:val="00310885"/>
    <w:rsid w:val="00310AFD"/>
    <w:rsid w:val="00341973"/>
    <w:rsid w:val="00386AC2"/>
    <w:rsid w:val="003E0C34"/>
    <w:rsid w:val="00434B84"/>
    <w:rsid w:val="00446BE3"/>
    <w:rsid w:val="00446BFE"/>
    <w:rsid w:val="004A54DC"/>
    <w:rsid w:val="004B7E9E"/>
    <w:rsid w:val="004C0B60"/>
    <w:rsid w:val="00532B7F"/>
    <w:rsid w:val="00550151"/>
    <w:rsid w:val="005521FA"/>
    <w:rsid w:val="005B64C1"/>
    <w:rsid w:val="005C0B78"/>
    <w:rsid w:val="005F2B2D"/>
    <w:rsid w:val="0060197B"/>
    <w:rsid w:val="006653C7"/>
    <w:rsid w:val="00693DA4"/>
    <w:rsid w:val="006A7EE1"/>
    <w:rsid w:val="006D42D7"/>
    <w:rsid w:val="00714A1C"/>
    <w:rsid w:val="00757E73"/>
    <w:rsid w:val="00765D4A"/>
    <w:rsid w:val="007A359B"/>
    <w:rsid w:val="007B4C0A"/>
    <w:rsid w:val="007D75C8"/>
    <w:rsid w:val="00825648"/>
    <w:rsid w:val="00837B5A"/>
    <w:rsid w:val="00851C4D"/>
    <w:rsid w:val="0085215A"/>
    <w:rsid w:val="00856A44"/>
    <w:rsid w:val="00874EF2"/>
    <w:rsid w:val="00883A71"/>
    <w:rsid w:val="00890940"/>
    <w:rsid w:val="008A2C2E"/>
    <w:rsid w:val="008B4054"/>
    <w:rsid w:val="008D0208"/>
    <w:rsid w:val="008F6DC6"/>
    <w:rsid w:val="00917631"/>
    <w:rsid w:val="00942FA9"/>
    <w:rsid w:val="00951005"/>
    <w:rsid w:val="009671D1"/>
    <w:rsid w:val="00974825"/>
    <w:rsid w:val="009C523D"/>
    <w:rsid w:val="00A178CA"/>
    <w:rsid w:val="00A250C5"/>
    <w:rsid w:val="00A35BE2"/>
    <w:rsid w:val="00A719AC"/>
    <w:rsid w:val="00AB1132"/>
    <w:rsid w:val="00AF3DC7"/>
    <w:rsid w:val="00B043CD"/>
    <w:rsid w:val="00B10434"/>
    <w:rsid w:val="00B95A1E"/>
    <w:rsid w:val="00BF5941"/>
    <w:rsid w:val="00C16BEE"/>
    <w:rsid w:val="00C21DC3"/>
    <w:rsid w:val="00C649B9"/>
    <w:rsid w:val="00CB4439"/>
    <w:rsid w:val="00CC37F8"/>
    <w:rsid w:val="00CE4549"/>
    <w:rsid w:val="00D06BAB"/>
    <w:rsid w:val="00D25735"/>
    <w:rsid w:val="00E034E7"/>
    <w:rsid w:val="00E279FB"/>
    <w:rsid w:val="00E81B36"/>
    <w:rsid w:val="00EB0CD1"/>
    <w:rsid w:val="00EB7891"/>
    <w:rsid w:val="00EE48C2"/>
    <w:rsid w:val="00F441A9"/>
    <w:rsid w:val="00F47BB8"/>
    <w:rsid w:val="00F804F2"/>
    <w:rsid w:val="00F85AAC"/>
    <w:rsid w:val="00F90E7E"/>
    <w:rsid w:val="00FB7E94"/>
    <w:rsid w:val="00FF7B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7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dcterms:created xsi:type="dcterms:W3CDTF">2019-04-18T13:49:00Z</dcterms:created>
  <dcterms:modified xsi:type="dcterms:W3CDTF">2019-04-21T11:39:00Z</dcterms:modified>
</cp:coreProperties>
</file>