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00F57" w14:textId="539CC139" w:rsidR="002D4853" w:rsidRPr="003F7C7F" w:rsidRDefault="00DB79E1" w:rsidP="006E16FE">
      <w:pPr>
        <w:pStyle w:val="Titel"/>
        <w:spacing w:after="0" w:line="480" w:lineRule="auto"/>
        <w:rPr>
          <w:lang w:val="en-GB"/>
        </w:rPr>
      </w:pPr>
      <w:r w:rsidRPr="00FB2BDC">
        <w:rPr>
          <w:sz w:val="28"/>
          <w:szCs w:val="28"/>
          <w:lang w:val="en-GB"/>
        </w:rPr>
        <w:t>Supplementary</w:t>
      </w:r>
      <w:r w:rsidR="005F250F" w:rsidRPr="00FB2BDC">
        <w:rPr>
          <w:sz w:val="28"/>
          <w:szCs w:val="28"/>
          <w:lang w:val="en-GB"/>
        </w:rPr>
        <w:t xml:space="preserve"> </w:t>
      </w:r>
      <w:r w:rsidR="003D1D85">
        <w:rPr>
          <w:sz w:val="28"/>
          <w:szCs w:val="28"/>
          <w:lang w:val="en-GB"/>
        </w:rPr>
        <w:t>m</w:t>
      </w:r>
      <w:r w:rsidR="005F250F" w:rsidRPr="00FB2BDC">
        <w:rPr>
          <w:sz w:val="28"/>
          <w:szCs w:val="28"/>
          <w:lang w:val="en-GB"/>
        </w:rPr>
        <w:t>aterial</w:t>
      </w:r>
    </w:p>
    <w:p w14:paraId="1C794EBB" w14:textId="77777777" w:rsidR="002D4853" w:rsidRPr="00FB2BDC" w:rsidRDefault="002D4853" w:rsidP="006E16FE">
      <w:pPr>
        <w:pStyle w:val="Standard"/>
        <w:spacing w:after="0" w:line="480" w:lineRule="auto"/>
        <w:rPr>
          <w:rFonts w:cs="Calibri"/>
          <w:sz w:val="24"/>
          <w:szCs w:val="24"/>
          <w:lang w:val="en-GB"/>
        </w:rPr>
      </w:pPr>
    </w:p>
    <w:p w14:paraId="74CE1DDE" w14:textId="77777777" w:rsidR="002D4853" w:rsidRPr="003F7C7F" w:rsidRDefault="00DB79E1" w:rsidP="006E16FE">
      <w:pPr>
        <w:pStyle w:val="Standard"/>
        <w:spacing w:after="0" w:line="480" w:lineRule="auto"/>
        <w:jc w:val="both"/>
        <w:rPr>
          <w:lang w:val="en-GB"/>
        </w:rPr>
      </w:pPr>
      <w:r w:rsidRPr="00FB2BDC">
        <w:rPr>
          <w:rFonts w:cs="Calibri"/>
          <w:b/>
          <w:bCs/>
          <w:sz w:val="24"/>
          <w:szCs w:val="24"/>
          <w:lang w:val="en-GB"/>
        </w:rPr>
        <w:t>Participants</w:t>
      </w:r>
    </w:p>
    <w:p w14:paraId="0A1F7BE5" w14:textId="3106E76E" w:rsidR="00141EB1" w:rsidRPr="00FB2BDC" w:rsidRDefault="00DB79E1" w:rsidP="00141EB1">
      <w:pPr>
        <w:pStyle w:val="Standard"/>
        <w:spacing w:after="0" w:line="360" w:lineRule="auto"/>
        <w:jc w:val="both"/>
        <w:rPr>
          <w:rFonts w:cs="Calibri"/>
          <w:sz w:val="24"/>
          <w:szCs w:val="24"/>
          <w:lang w:val="en-GB"/>
        </w:rPr>
      </w:pPr>
      <w:r w:rsidRPr="00FB2BDC">
        <w:rPr>
          <w:rFonts w:cs="Calibri"/>
          <w:sz w:val="24"/>
          <w:szCs w:val="24"/>
          <w:lang w:val="en-GB"/>
        </w:rPr>
        <w:t xml:space="preserve">Patients were recruited from in- and outpatient </w:t>
      </w:r>
      <w:r w:rsidR="00363691" w:rsidRPr="00FB2BDC">
        <w:rPr>
          <w:rFonts w:cs="Calibri"/>
          <w:sz w:val="24"/>
          <w:szCs w:val="24"/>
          <w:lang w:val="en-GB"/>
        </w:rPr>
        <w:t xml:space="preserve">mental health </w:t>
      </w:r>
      <w:r w:rsidRPr="00FB2BDC">
        <w:rPr>
          <w:rFonts w:cs="Calibri"/>
          <w:sz w:val="24"/>
          <w:szCs w:val="24"/>
          <w:lang w:val="en-GB"/>
        </w:rPr>
        <w:t xml:space="preserve">centres in the Capital Region of Denmark as part of the Pan European Collaboration on Antipsychotic Naive </w:t>
      </w:r>
      <w:r w:rsidRPr="00FB2BDC">
        <w:rPr>
          <w:rFonts w:cs="Calibri"/>
          <w:bCs/>
          <w:sz w:val="24"/>
          <w:szCs w:val="24"/>
          <w:lang w:val="en-GB"/>
        </w:rPr>
        <w:t>Schizophrenia</w:t>
      </w:r>
      <w:r w:rsidRPr="00FB2BDC">
        <w:rPr>
          <w:rFonts w:cs="Calibri"/>
          <w:sz w:val="24"/>
          <w:szCs w:val="24"/>
          <w:lang w:val="en-GB"/>
        </w:rPr>
        <w:t xml:space="preserve"> (PECANS) project, a large</w:t>
      </w:r>
      <w:r w:rsidR="00FB2BDC">
        <w:rPr>
          <w:rFonts w:cs="Calibri"/>
          <w:sz w:val="24"/>
          <w:szCs w:val="24"/>
          <w:lang w:val="en-GB"/>
        </w:rPr>
        <w:t>,</w:t>
      </w:r>
      <w:r w:rsidRPr="00FB2BDC">
        <w:rPr>
          <w:rFonts w:cs="Calibri"/>
          <w:sz w:val="24"/>
          <w:szCs w:val="24"/>
          <w:lang w:val="en-GB"/>
        </w:rPr>
        <w:t xml:space="preserve"> multimodal longitudinal study on antipsychotic-naïve first-episode schizophrenia patients. There is a partial </w:t>
      </w:r>
      <w:r w:rsidRPr="00D50895">
        <w:rPr>
          <w:rFonts w:cs="Calibri"/>
          <w:sz w:val="24"/>
          <w:szCs w:val="24"/>
          <w:lang w:val="en-GB"/>
        </w:rPr>
        <w:t>overlap between the participants in the present study and participants in previous publications from the PECANS study on psychophysiology</w:t>
      </w:r>
      <w:r w:rsidR="00FB2BDC">
        <w:rPr>
          <w:rFonts w:cs="Calibri"/>
          <w:sz w:val="24"/>
          <w:szCs w:val="24"/>
          <w:lang w:val="en-GB"/>
        </w:rPr>
        <w:t xml:space="preserve"> </w:t>
      </w:r>
      <w:r w:rsidR="001C7DC3" w:rsidRPr="00FB2BDC">
        <w:rPr>
          <w:rFonts w:cs="Calibri"/>
          <w:sz w:val="24"/>
          <w:szCs w:val="24"/>
          <w:lang w:val="en-GB"/>
        </w:rPr>
        <w:fldChar w:fldCharType="begin" w:fldLock="1"/>
      </w:r>
      <w:r w:rsidR="00FE6F88" w:rsidRPr="00FB2BDC">
        <w:rPr>
          <w:rFonts w:cs="Calibri"/>
          <w:sz w:val="24"/>
          <w:szCs w:val="24"/>
          <w:lang w:val="en-GB"/>
        </w:rPr>
        <w:instrText>ADDIN CSL_CITATION { "citationItems" : [ { "id" : "ITEM-1", "itemData" : { "abstract" : "It has been suggested that psychophysiological measures of sensory- and sensorimotor gating, P50 gating and prepulse inhibition of the startle reflex (PPI), underlie core features of schizophrenia and are linked to dopaminergic pathways in the striatum and prefrontal cortex. In the present study, the effects of a potent D2/D3 receptor antagonist, amisulpride, were investigated on PPI and P50 gating in a large sample of antipsychotic-na\u00efve, first-episode patients with schizophrenia. Fifty-two initially antipsychotic-na\u00efve, first-episode schizophrenia patients were assessed for their P50 gating, PPI, and habituation/sensitization abilities at baseline and after two and six weeks of treatment with flexible doses of amisulpride. Forty-seven matched healthy controls were assessed at baseline and after six weeks. At baseline, the patients showed significantly reduced PPI, yet normal levels of P50 gating, habituation and sensitization. Treatment with amisulpride showed no effects on these measures, either at two or six weeks follow-up. This is the first study investigating the effects of mono-therapy with a relatively selective dopamine D2/D3 receptor antagonist (amisulpride) on sensory and sensorimotor gating deficits in a longitudinal study of a large group of initially antipsychotic-na\u00efve, first-episode patients with schizophrenia. Our finding that amisulpride effectively reduced symptom severity in our patients without reducing their PPI deficits, indicates that increased activity of dopamine D2 receptors may be involved in symptomatology of patients with schizophrenia, but not in their sensorimotor gating deficits.Neuropsychopharmacology accepted article preview online, 23 June 2014; doi:10.1038/npp.2014.152.", "author" : [ { "dropping-particle" : "", "family" : "D\u00fcring", "given" : "Signe", "non-dropping-particle" : "", "parse-names" : false, "suffix" : "" }, { "dropping-particle" : "", "family" : "Glenth\u00f8j", "given" : "Birte Yding", "non-dropping-particle" : "", "parse-names" : false, "suffix" : "" }, { "dropping-particle" : "", "family" : "Andersen", "given" : "Gitte Saltoft", "non-dropping-particle" : "", "parse-names" : false, "suffix" : "" }, { "dropping-particle" : "", "family" : "Oranje", "given" : "Bob", "non-dropping-particle" : "", "parse-names" : false, "suffix" : "" } ], "container-title" : "Neuropsychopharmacology : official publication of the American College of Neuropsychopharmacology", "id" : "ITEM-1", "issue" : "June", "issued" : { "date-parts" : [ [ "2014" ] ] }, "page" : "3000-3008", "title" : "Effects of Dopamine D2/D3 Blockade on Human Sensory and Sensorimotor gating in Initially Antipsychotic-Na\u00efve, First-Episode Schizophrenia Patients.", "type" : "article-journal" }, "uris" : [ "http://www.mendeley.com/documents/?uuid=c50573c6-bb2b-4eba-b69a-c4e21a1a74f9", "http://www.mendeley.com/documents/?uuid=d257061a-08da-4389-8207-dbf508074456" ] }, { "id" : "ITEM-2", "itemData" : { "DOI" : "10.1093/ijnp/pyv109", "ISSN" : "1469-5111", "PMID" : "26453696", "abstract" : "BACKGROUND: Reduced mismatch negativity and P3a amplitude have been suggested to be among the core deficits in schizophrenia since the late 1970s. Blockade of dopamine D2 receptors play an important role in the treatment of schizophrenia. In addition, there is some evidence indicating that deficits in mismatch negativity and P3a amplitude are related to increased dopaminergic activity. This is the first study investigating the effect of amisulpride, a potent D2-antagonist, on mismatch negativity and P3a amplitude in a large group of antipsychotic-na\u00efve, first-episode schizophrenia patients.\n\nMETHODS: Fifty-one antipsychotic-na\u00efve, first-episode schizophrenia patients were tested in a mismatch negativity paradigm at baseline and after 6 weeks of treatment with amisulpride. We further examined 48 age- and gender-matched controls in this paradigm.\n\nRESULTS: At baseline, the patients showed significantly reduced P3a amplitude compared with healthy controls, but no differences in mismatch negativity. Although the treatment with amisulpride significantly improved the patients' psychopathological (PANSS) and functional (GAF) scores, it did not influence their mismatch negativity amplitude, while also their reduced P3a amplitude persisted.\n\nCONCLUSION: Our findings show that antipsychotic na\u00efve, first-episode patients with schizophrenia have normal mismatch negativity yet reduced P3a amplitude compared with healthy controls. In spite of the fact that the 6-week amisulpride treatment improved the patients both clinically and functionally, it had no effect on either mismatch negativity or P3a amplitude. This suggests that even though there is a dopaminergic involvement in global functioning and symptomatology in schizophrenia, there is no such involvement in these particular measures of early information processing.", "author" : [ { "dropping-particle" : "", "family" : "D\u00fcring", "given" : "Signe", "non-dropping-particle" : "", "parse-names" : false, "suffix" : "" }, { "dropping-particle" : "", "family" : "Glenth\u00f8j", "given" : "Birte Yding", "non-dropping-particle" : "", "parse-names" : false, "suffix" : "" }, { "dropping-particle" : "", "family" : "Oranje", "given" : "Bob", "non-dropping-particle" : "", "parse-names" : false, "suffix" : "" } ], "container-title" : "The international journal of neuropsychopharmacology", "id" : "ITEM-2", "issue" : "3", "issued" : { "date-parts" : [ [ "2015", "10" ] ] }, "page" : "pyv109", "title" : "Effects of Blocking D2/D3 Receptors on Mismatch Negativity and P3a Amplitude of Initially Antipsychotic Na\u00efve, First Episode Schizophrenia Patients.", "type" : "article-journal", "volume" : "19" }, "uris" : [ "http://www.mendeley.com/documents/?uuid=55860f18-696b-4f3c-937f-37e496b5d5ec", "http://www.mendeley.com/documents/?uuid=070636d7-89a9-4cce-aafd-f5a9d5134586" ] } ], "mendeley" : { "formattedCitation" : "(D\u00fcring &lt;i&gt;et al.&lt;/i&gt; 2014, 2015)", "plainTextFormattedCitation" : "(D\u00fcring et al. 2014, 2015)", "previouslyFormattedCitation" : "(D\u00fcring &lt;i&gt;et al.&lt;/i&gt;, 2014; D\u00fcring, Glenth\u00f8j and Oranje, 2015)" }, "properties" : {  }, "schema" : "https://github.com/citation-style-language/schema/raw/master/csl-citation.json" }</w:instrText>
      </w:r>
      <w:r w:rsidR="001C7DC3" w:rsidRPr="00FB2BDC">
        <w:rPr>
          <w:rFonts w:cs="Calibri"/>
          <w:sz w:val="24"/>
          <w:szCs w:val="24"/>
          <w:lang w:val="en-GB"/>
        </w:rPr>
        <w:fldChar w:fldCharType="separate"/>
      </w:r>
      <w:r w:rsidR="00FE6F88" w:rsidRPr="003F7C7F">
        <w:rPr>
          <w:rFonts w:cs="Calibri"/>
          <w:noProof/>
          <w:sz w:val="24"/>
          <w:szCs w:val="24"/>
          <w:lang w:val="en-GB"/>
        </w:rPr>
        <w:t xml:space="preserve">(Düring </w:t>
      </w:r>
      <w:r w:rsidR="00FE6F88" w:rsidRPr="003F7C7F">
        <w:rPr>
          <w:rFonts w:cs="Calibri"/>
          <w:i/>
          <w:noProof/>
          <w:sz w:val="24"/>
          <w:szCs w:val="24"/>
          <w:lang w:val="en-GB"/>
        </w:rPr>
        <w:t>et al.</w:t>
      </w:r>
      <w:r w:rsidR="00FE6F88" w:rsidRPr="003F7C7F">
        <w:rPr>
          <w:rFonts w:cs="Calibri"/>
          <w:noProof/>
          <w:sz w:val="24"/>
          <w:szCs w:val="24"/>
          <w:lang w:val="en-GB"/>
        </w:rPr>
        <w:t xml:space="preserve"> 2014, 2015)</w:t>
      </w:r>
      <w:r w:rsidR="001C7DC3" w:rsidRPr="00FB2BDC">
        <w:rPr>
          <w:rFonts w:cs="Calibri"/>
          <w:sz w:val="24"/>
          <w:szCs w:val="24"/>
          <w:lang w:val="en-GB"/>
        </w:rPr>
        <w:fldChar w:fldCharType="end"/>
      </w:r>
      <w:r w:rsidR="00363691" w:rsidRPr="003F7C7F">
        <w:rPr>
          <w:rFonts w:cs="Calibri"/>
          <w:sz w:val="24"/>
          <w:szCs w:val="24"/>
          <w:lang w:val="en-GB"/>
        </w:rPr>
        <w:t xml:space="preserve">, </w:t>
      </w:r>
      <w:r w:rsidRPr="003F7C7F">
        <w:rPr>
          <w:rFonts w:cs="Calibri"/>
          <w:sz w:val="24"/>
          <w:szCs w:val="24"/>
          <w:lang w:val="en-GB"/>
        </w:rPr>
        <w:t>reward processing</w:t>
      </w:r>
      <w:r w:rsidR="00FB2BDC">
        <w:rPr>
          <w:rFonts w:cs="Calibri"/>
          <w:sz w:val="24"/>
          <w:szCs w:val="24"/>
          <w:lang w:val="en-GB"/>
        </w:rPr>
        <w:t xml:space="preserve"> </w:t>
      </w:r>
      <w:r w:rsidR="000A1E02" w:rsidRPr="00FB2BDC">
        <w:rPr>
          <w:rFonts w:cs="Calibri"/>
          <w:sz w:val="24"/>
          <w:szCs w:val="24"/>
          <w:lang w:val="en-GB"/>
        </w:rPr>
        <w:fldChar w:fldCharType="begin" w:fldLock="1"/>
      </w:r>
      <w:r w:rsidR="00FE6F88" w:rsidRPr="003F7C7F">
        <w:rPr>
          <w:rFonts w:cs="Calibri"/>
          <w:sz w:val="24"/>
          <w:szCs w:val="24"/>
          <w:lang w:val="en-GB"/>
        </w:rPr>
        <w:instrText>ADDIN CSL_CITATION { "citationItems" : [ { "id" : "ITEM-1", "itemData" : { "DOI" : "10.1016/j.biopsych.2012.02.007", "ISSN" : "1873-2402", "PMID" : "22418013", "abstract" : "BACKGROUND: Various schizophrenic symptoms are suggested to be linked to a dysfunction of the brain reward system. Several studies have found alterations in the reward processing in patients with schizophrenia; however, most previous findings might be confounded by medication effects.\n\nMETHODS: Thirty-one antipsychotic-na\u00efve schizophrenia patients and 31 age- and gender-matched healthy control subjects were examined with functional magnetic resonance imaging while playing a variant of the monetary incentive delay task. The task variant made it possible to separate overall salience (defined as arousing events) into behavioral salience (events where a predicted reward requires performance) and valence anticipation (the anticipation of a monetarily significant outcome). Furthermore, the evaluation of monetary gain and loss was assessed.\n\nRESULTS: During reward anticipation, patients had a significant attenuation of the activation in ventral tegmentum, ventral striatum, and anterior cingulate cortex during presentation of salient cues. This signal attenuation in ventral striatum was correlated with the degree of positive symptoms. Signal attenuation was most pronounced for behavioral salience and nonsignificant for value anticipation. Furthermore, patients showed a changed activation pattern during outcome evaluation in right prefrontal cortex.\n\nCONCLUSION: Our results suggest that changes during reward anticipation in schizophrenia are present from the beginning of the disease. This supports a possible involvement of reward disturbances in the pathophysiology of schizophrenia. The most pronounced changes were seen in relation to overall salience. In ventral striatum these changes were associated with the degree of positive symptoms.", "author" : [ { "dropping-particle" : "", "family" : "Nielsen", "given" : "Mette \u00d8degaard", "non-dropping-particle" : "", "parse-names" : false, "suffix" : "" }, { "dropping-particle" : "", "family" : "Rostrup", "given" : "Egill", "non-dropping-particle" : "", "parse-names" : false, "suffix" : "" }, { "dropping-particle" : "", "family" : "Wulff", "given" : "Sanne", "non-dropping-particle" : "", "parse-names" : false, "suffix" : "" }, { "dropping-particle" : "", "family" : "Bak", "given" : "Nikolaj", "non-dropping-particle" : "", "parse-names" : false, "suffix" : "" }, { "dropping-particle" : "", "family" : "Lublin", "given" : "Henrik", "non-dropping-particle" : "", "parse-names" : false, "suffix" : "" }, { "dropping-particle" : "", "family" : "Kapur", "given" : "Shitij", "non-dropping-particle" : "", "parse-names" : false, "suffix" : "" }, { "dropping-particle" : "", "family" : "Glenth\u00f8j", "given" : "Birte", "non-dropping-particle" : "", "parse-names" : false, "suffix" : "" } ], "container-title" : "Biological psychiatry", "id" : "ITEM-1", "issue" : "10", "issued" : { "date-parts" : [ [ "2012", "5" ] ] }, "page" : "898-905", "title" : "Alterations of the brain reward system in antipsychotic na\u00efve schizophrenia patients.", "type" : "article-journal", "volume" : "71" }, "uris" : [ "http://www.mendeley.com/documents/?uuid=4a5572ee-eb91-4ce8-913e-8b0de18c67f2", "http://www.mendeley.com/documents/?uuid=a33e1d55-ea19-41d6-825c-d22cba42897f" ] }, { "id" : "ITEM-2", "itemData" : { "DOI" : "10.1001/archgenpsychiatry.2012.847", "ISBN" : "0003-990x", "ISSN" : "0003990X", "PMID" : "22868877", "abstract" : "CONTEXT Schizophrenic symptoms are linked to a dysfunction of dopamine neurotransmission and the brain reward system. However, it remains unclear whether antipsychotic treatment, which blocks dopamine transmission, improves, alters, or even worsens the reward-related abnormalities. OBJECTIVE To investigate changes in reward-related brain activations in schizophrenia before and after antipsychotic monotherapy with a dopamine D2/D3 antagonist. DESIGN Longitudinal cohort study. SETTING Psychiatric inpatients and outpatients in the Capital Region of Denmark. PARTICIPANTS Twenty-three antipsychotic-naive patients with first-episode schizophrenia and 24 healthy controls initially matched on age, sex, and parental socioeconomic status were examined with functional magnetic resonance imaging while playing a variant of the monetary incentive delay task. INTERVENTIONS Patients were treated for 6 weeks with the antipsychotic compound amisulpride. Controls were followed up without treatment. MAIN OUTCOME MEASURES Task-related blood oxygen level-dependent activations as measured by functional magnetic resonance imaging before and after antipsychotic treatment. RESULTS At baseline, patients, as compared with controls, demonstrated an attenuation of brain activation during reward anticipation in the ventral striatum, bilaterally. After 6 weeks of treatment, patients showed an increase in the anticipation-related functional magnetic resonance imaging signal and were no longer statistically distinguishable from healthy controls. Among the patients, there was a correlation between the improvement of positive symptoms and normalization of reward-related activation. Those who showed the greatest clinical improvement in positive symptoms also showed the greatest increase in reward-related activation after treatment. CONCLUSIONS To our knowledge, this is the first controlled, longitudinal study of reward disturbances in schizophrenic patients before and after their first antipsychotic treatment. Our results demonstrate that alterations in reward processing are fundamental to the illness and are seen prior to any treatment. Antipsychotic treatment tends to normalize the response of the reward system; this was especially seen in the patients with the most pronounced treatment effect on the positive symptoms. TRIAL REGISTRATION clinicaltrials.gov Identifier: NCT01154829.", "author" : [ { "dropping-particle" : "", "family" : "Nielsen", "given" : "Mette Odegaard", "non-dropping-particle" : "", "parse-names" : false, "suffix" : "" }, { "dropping-particle" : "", "family" : "Rostrup", "given" : "Egill", "non-dropping-particle" : "", "parse-names" : false, "suffix" : "" }, { "dropping-particle" : "", "family" : "Wulff", "given" : "Sanne", "non-dropping-particle" : "", "parse-names" : false, "suffix" : "" }, { "dropping-particle" : "", "family" : "Bak", "given" : "Nikolaj", "non-dropping-particle" : "", "parse-names" : false, "suffix" : "" }, { "dropping-particle" : "", "family" : "Broberg", "given" : "Brian Villumsen", "non-dropping-particle" : "", "parse-names" : false, "suffix" : "" }, { "dropping-particle" : "", "family" : "Lublin", "given" : "Henrik", "non-dropping-particle" : "", "parse-names" : false, "suffix" : "" }, { "dropping-particle" : "", "family" : "Kapur", "given" : "Shitij", "non-dropping-particle" : "", "parse-names" : false, "suffix" : "" }, { "dropping-particle" : "", "family" : "Glenthoj", "given" : "Birte", "non-dropping-particle" : "", "parse-names" : false, "suffix" : "" } ], "container-title" : "Archives of General Psychiatry", "id" : "ITEM-2", "issue" : "12", "issued" : { "date-parts" : [ [ "2012" ] ] }, "page" : "1195-1204", "title" : "Improvement of brain reward abnormalities by antipsychotic monotherapy in schizophrenia", "type" : "article-journal", "volume" : "69" }, "uris" : [ "http://www.mendeley.com/documents/?uuid=8e883304-cf9f-45e8-84ba-c7df75f4033a" ] }, { "id" : "ITEM-3", "itemData" : { "DOI" : "10.1001/jamapsychiatry.2015.2582", "ISBN" : "2168-622x", "ISSN" : "2168622X", "PMID" : "26747088", "abstract" : "Importance: Weight gain is a common and serious adverse effect of antipsychotic treatment. A variable individual predisposition to development of metabolic disturbances calls for predictive biological markers.\\n\\nObjectives: To investigate whether attenuated striatal activity during reward anticipation is associated with amisulpride-induced weight change in antipsychotic-naive patients with schizophrenia undergoing initial treatment and to examine the association between weight change and changes in reward anticipation activity after treatment.\\n\\nDesign, Setting, and Participants: Sixty-nine antipsychotic-naive inpatients and outpatients with schizophrenia were included in a multimodal longitudinal cohort study from December 16, 2008, to December 11, 2013. Fifty-eight patients underwent functional magnetic resonance imaging (fMRI) while performing a monetary reward task. After 6 weeks of treatment with amisulpride, a relatively selective dopamine D2 antagonist, 39 patients underwent a second fMRI scan and measurement of change in body weight. Final follow-up was completed on January 14, 2014, and data were analyzed from October 25, 2014, to June 15, 2015 and August 31 to September 19, 2015.\\n\\nExposures: Six weeks of individually dosed amisulpride treatment.\\n\\nMain Outcomes and Measures: Reward-anticipation activity in the striatum before and after treatment and weight change.\\n\\nResults: Of the 69 patients who consented to the study, 39 underwent the follow-up fMRI and weight measurement (age range, 18-45 years; 17 women and 22 men). The mean (SD) daily dose of amisulpride was 272 (168; range, 50-800) mg, and patients gained a mean (SD) of 2.3 (2.8; range, -4 to 8) kg in body weight. Improvement from baseline to follow-up was found on the mean (SD) positive (19.9 [4.1] to 14.3 [3.8]), general (39.7 [7.7] to 30.5 [7.7]), and total (78.5 [15.3] to 63.2 [13.9]) scores on the Positive and Negative Syndrome Scale (P\u2009&lt;\u2009.001). Weight gain was predicted by low mean (SD) baseline reward-related activity in the right-sided putamen (0.20 [0.93]; F35,3\u2009=\u20095.64; P\u2009=\u2009.003). After 6 weeks, weight gain was associated with an increase in mean (SD) reward activity in the same region during treatment (0.28 [0.74]; F37,1\u2009=\u20094.48; P\u2009=\u2009.04).\\n\\nConclusions and Relevance: Activity in striatal regions of the reward system appears to be associated with the individual variability in the predisposition for antipsychotic-associated weight gain. Moreover, pharmacologic modulation \u2026", "author" : [ { "dropping-particle" : "", "family" : "Nielsen", "given" : "Mette O.", "non-dropping-particle" : "", "parse-names" : false, "suffix" : "" }, { "dropping-particle" : "", "family" : "Rostrup", "given" : "Egill", "non-dropping-particle" : "", "parse-names" : false, "suffix" : "" }, { "dropping-particle" : "", "family" : "Wulff", "given" : "Sanne", "non-dropping-particle" : "", "parse-names" : false, "suffix" : "" }, { "dropping-particle" : "", "family" : "Glenth\u00f8j", "given" : "Birte", "non-dropping-particle" : "", "parse-names" : false, "suffix" : "" }, { "dropping-particle" : "", "family" : "Ebdrup", "given" : "Bj\u00f8rn H.", "non-dropping-particle" : "", "parse-names" : false, "suffix" : "" } ], "container-title" : "JAMA Psychiatry", "id" : "ITEM-3", "issue" : "2", "issued" : { "date-parts" : [ [ "2016" ] ] }, "page" : "121-128", "title" : "Striatal reward activity and antipsychotic-associated weight change in patients with schizophrenia undergoing initial treatment", "type" : "article-journal", "volume" : "73" }, "uris" : [ "http://www.mendeley.com/documents/?uuid=42fe1e30-e897-4dad-935c-553533ba2452" ] } ], "mendeley" : { "formattedCitation" : "(Nielsen &lt;i&gt;et al.&lt;/i&gt; 2012a, 2012b, 2016)", "plainTextFormattedCitation" : "(Nielsen et al. 2012a, 2012b, 2016)", "previouslyFormattedCitation" : "(M. O. Nielsen &lt;i&gt;et al.&lt;/i&gt;, 2012; M. \u00d8. Nielsen &lt;i&gt;et al.&lt;/i&gt;, 2012; Nielsen &lt;i&gt;et al.&lt;/i&gt;, 2016)" }, "properties" : {  }, "schema" : "https://github.com/citation-style-language/schema/raw/master/csl-citation.json" }</w:instrText>
      </w:r>
      <w:r w:rsidR="000A1E02" w:rsidRPr="00FB2BDC">
        <w:rPr>
          <w:rFonts w:cs="Calibri"/>
          <w:sz w:val="24"/>
          <w:szCs w:val="24"/>
          <w:lang w:val="en-GB"/>
        </w:rPr>
        <w:fldChar w:fldCharType="separate"/>
      </w:r>
      <w:r w:rsidR="00FE6F88" w:rsidRPr="003F7C7F">
        <w:rPr>
          <w:rFonts w:cs="Calibri"/>
          <w:noProof/>
          <w:sz w:val="24"/>
          <w:szCs w:val="24"/>
          <w:lang w:val="en-GB"/>
        </w:rPr>
        <w:t xml:space="preserve">(Nielsen </w:t>
      </w:r>
      <w:r w:rsidR="00FE6F88" w:rsidRPr="003F7C7F">
        <w:rPr>
          <w:rFonts w:cs="Calibri"/>
          <w:i/>
          <w:noProof/>
          <w:sz w:val="24"/>
          <w:szCs w:val="24"/>
          <w:lang w:val="en-GB"/>
        </w:rPr>
        <w:t>et al.</w:t>
      </w:r>
      <w:r w:rsidR="00FE6F88" w:rsidRPr="003F7C7F">
        <w:rPr>
          <w:rFonts w:cs="Calibri"/>
          <w:noProof/>
          <w:sz w:val="24"/>
          <w:szCs w:val="24"/>
          <w:lang w:val="en-GB"/>
        </w:rPr>
        <w:t xml:space="preserve"> 2012a, 2012b, 2016)</w:t>
      </w:r>
      <w:r w:rsidR="000A1E02" w:rsidRPr="00FB2BDC">
        <w:rPr>
          <w:rFonts w:cs="Calibri"/>
          <w:sz w:val="24"/>
          <w:szCs w:val="24"/>
          <w:lang w:val="en-GB"/>
        </w:rPr>
        <w:fldChar w:fldCharType="end"/>
      </w:r>
      <w:r w:rsidR="00363691" w:rsidRPr="003F7C7F">
        <w:rPr>
          <w:rFonts w:cs="Calibri"/>
          <w:sz w:val="24"/>
          <w:szCs w:val="24"/>
          <w:lang w:val="en-GB"/>
        </w:rPr>
        <w:t xml:space="preserve">, </w:t>
      </w:r>
      <w:r w:rsidR="00F65FBF" w:rsidRPr="003F7C7F">
        <w:rPr>
          <w:rFonts w:cs="Calibri"/>
          <w:sz w:val="24"/>
          <w:szCs w:val="24"/>
          <w:lang w:val="en-GB"/>
        </w:rPr>
        <w:t>dopamine D</w:t>
      </w:r>
      <w:r w:rsidR="00F65FBF" w:rsidRPr="003F7C7F">
        <w:rPr>
          <w:rFonts w:cs="Calibri"/>
          <w:sz w:val="24"/>
          <w:szCs w:val="24"/>
          <w:vertAlign w:val="subscript"/>
          <w:lang w:val="en-GB"/>
        </w:rPr>
        <w:t>2/3</w:t>
      </w:r>
      <w:r w:rsidR="00F65FBF" w:rsidRPr="003F7C7F">
        <w:rPr>
          <w:rFonts w:cs="Calibri"/>
          <w:sz w:val="24"/>
          <w:szCs w:val="24"/>
          <w:lang w:val="en-GB"/>
        </w:rPr>
        <w:t xml:space="preserve"> binding and treatment outcome</w:t>
      </w:r>
      <w:r w:rsidR="00FB2BDC">
        <w:rPr>
          <w:rFonts w:cs="Calibri"/>
          <w:sz w:val="24"/>
          <w:szCs w:val="24"/>
          <w:lang w:val="en-GB"/>
        </w:rPr>
        <w:t xml:space="preserve"> </w:t>
      </w:r>
      <w:r w:rsidR="00F062C6" w:rsidRPr="003F7C7F">
        <w:rPr>
          <w:rFonts w:cs="Calibri"/>
          <w:sz w:val="24"/>
          <w:szCs w:val="24"/>
          <w:lang w:val="en-GB"/>
        </w:rPr>
        <w:fldChar w:fldCharType="begin" w:fldLock="1"/>
      </w:r>
      <w:r w:rsidR="00FE6F88" w:rsidRPr="003F7C7F">
        <w:rPr>
          <w:rFonts w:cs="Calibri"/>
          <w:sz w:val="24"/>
          <w:szCs w:val="24"/>
          <w:lang w:val="en-GB"/>
        </w:rPr>
        <w:instrText>ADDIN CSL_CITATION { "citationItems" : [ { "id" : "ITEM-1", "itemData" : { "abstract" : "One of best validated findings in schizophrenia research is the association between blockade of dopamine D2 receptors and the effects of antipsychotics on positive psychotic symptoms. The aim of the present study was to examine correlations between baseline striatal D(2/3) receptor binding potential (BP(p)) values and treatment outcome in a cohort of antipsychotic-na\u00efve first-episode schizophrenia patients. Additionally, we wished to investigate associations between striatal dopamine D(2/3) receptor blockade and alterations of negative symptoms as well as functioning and subjective well-being. Twenty-eight antipsychotic-na\u00efve schizophrenia patients and 26 controls were included in the study. Single-photon emission computed tomography (SPECT) with [(123)I]iodobenzamide ([(123)I]-IBZM) was used to examine striatal D(2/3) receptor BP(p). Patients were examined before and after 6 weeks of treatment with the D(2/3) receptor antagonist amisulpride. There was a significant negative correlation between striatal D(2/3) receptor BP(p) at baseline and improvement of positive symptoms in the total group of patients. Comparing patients responding to treatment to nonresponders further showed significantly lower baseline BP(p) in the responders. At follow-up, the patients demonstrated a negative correlation between the blockade and functioning, whereas no associations between blockade and negative symptoms or subjective well-being were observed. The results show an association between striatal BP(p) of dopamine D(2/3) receptors in antipsychotic-na\u00efve first-episode patients with schizophrenia and treatment response. Patients with a low BP(p) have a better treatment response than patients with a high BP(p). The results further suggest that functioning may decline at high levels of dopamine receptor blockade.", "author" : [ { "dropping-particle" : "", "family" : "Wulff", "given" : "Sanne", "non-dropping-particle" : "", "parse-names" : false, "suffix" : "" }, { "dropping-particle" : "", "family" : "Pinborg", "given" : "Lars Hageman", "non-dropping-particle" : "", "parse-names" : false, "suffix" : "" }, { "dropping-particle" : "", "family" : "Svarer", "given" : "Claus", "non-dropping-particle" : "", "parse-names" : false, "suffix" : "" }, { "dropping-particle" : "", "family" : "Jensen", "given" : "Lars Thorbj\u00f8rn", "non-dropping-particle" : "", "parse-names" : false, "suffix" : "" }, { "dropping-particle" : "", "family" : "Nielsen", "given" : "Mette \u00d8degaard", "non-dropping-particle" : "", "parse-names" : false, "suffix" : "" }, { "dropping-particle" : "", "family" : "Allerup", "given" : "Peter", "non-dropping-particle" : "", "parse-names" : false, "suffix" : "" }, { "dropping-particle" : "", "family" : "Bak", "given" : "Nikolaj", "non-dropping-particle" : "", "parse-names" : false, "suffix" : "" }, { "dropping-particle" : "", "family" : "Rasmussen", "given" : "Hans", "non-dropping-particle" : "", "parse-names" : false, "suffix" : "" }, { "dropping-particle" : "", "family" : "Frandsen", "given" : "Erik", "non-dropping-particle" : "", "parse-names" : false, "suffix" : "" }, { "dropping-particle" : "", "family" : "Rostrup", "given" : "Egill", "non-dropping-particle" : "", "parse-names" : false, "suffix" : "" }, { "dropping-particle" : "", "family" : "Glenth\u00f8j", "given" : "Birte Yding", "non-dropping-particle" : "", "parse-names" : false, "suffix" : "" } ], "container-title" : "Schizophrenia Bulletin", "id" : "ITEM-1", "issue" : "5", "issued" : { "date-parts" : [ [ "2015" ] ] }, "page" : "1143-1152", "publisher" : "Oxford University Press", "title" : "Striatal D2/3 binding potential values in drug-na\u00efve first-episode schizophrenia patients correlate with treatment outcome", "type" : "article-journal", "volume" : "41" }, "uris" : [ "http://www.mendeley.com/documents/?uuid=62b92096-adec-4153-84d5-d3194d8d624c", "http://www.mendeley.com/documents/?uuid=4df99b62-f36b-4924-b54c-00b96dffd857" ] } ], "mendeley" : { "formattedCitation" : "(Wulff &lt;i&gt;et al.&lt;/i&gt; 2015)", "plainTextFormattedCitation" : "(Wulff et al. 2015)", "previouslyFormattedCitation" : "(Wulff &lt;i&gt;et al.&lt;/i&gt;, 2015)" }, "properties" : {  }, "schema" : "https://github.com/citation-style-language/schema/raw/master/csl-citation.json" }</w:instrText>
      </w:r>
      <w:r w:rsidR="00F062C6" w:rsidRPr="003F7C7F">
        <w:rPr>
          <w:rFonts w:cs="Calibri"/>
          <w:sz w:val="24"/>
          <w:szCs w:val="24"/>
          <w:lang w:val="en-GB"/>
        </w:rPr>
        <w:fldChar w:fldCharType="separate"/>
      </w:r>
      <w:r w:rsidR="00FE6F88" w:rsidRPr="003F7C7F">
        <w:rPr>
          <w:rFonts w:cs="Calibri"/>
          <w:noProof/>
          <w:sz w:val="24"/>
          <w:szCs w:val="24"/>
          <w:lang w:val="en-GB"/>
        </w:rPr>
        <w:t xml:space="preserve">(Wulff </w:t>
      </w:r>
      <w:r w:rsidR="00FE6F88" w:rsidRPr="003F7C7F">
        <w:rPr>
          <w:rFonts w:cs="Calibri"/>
          <w:i/>
          <w:noProof/>
          <w:sz w:val="24"/>
          <w:szCs w:val="24"/>
          <w:lang w:val="en-GB"/>
        </w:rPr>
        <w:t>et al.</w:t>
      </w:r>
      <w:r w:rsidR="00FE6F88" w:rsidRPr="003F7C7F">
        <w:rPr>
          <w:rFonts w:cs="Calibri"/>
          <w:noProof/>
          <w:sz w:val="24"/>
          <w:szCs w:val="24"/>
          <w:lang w:val="en-GB"/>
        </w:rPr>
        <w:t xml:space="preserve"> 2015)</w:t>
      </w:r>
      <w:r w:rsidR="00F062C6" w:rsidRPr="003F7C7F">
        <w:rPr>
          <w:rFonts w:cs="Calibri"/>
          <w:sz w:val="24"/>
          <w:szCs w:val="24"/>
          <w:lang w:val="en-GB"/>
        </w:rPr>
        <w:fldChar w:fldCharType="end"/>
      </w:r>
      <w:r w:rsidR="00F65FBF" w:rsidRPr="003F7C7F">
        <w:rPr>
          <w:rFonts w:cs="Calibri"/>
          <w:sz w:val="24"/>
          <w:szCs w:val="24"/>
          <w:lang w:val="en-GB"/>
        </w:rPr>
        <w:t xml:space="preserve">, </w:t>
      </w:r>
      <w:r w:rsidR="00363691" w:rsidRPr="003F7C7F">
        <w:rPr>
          <w:rFonts w:cs="Calibri"/>
          <w:sz w:val="24"/>
          <w:szCs w:val="24"/>
          <w:lang w:val="en-GB"/>
        </w:rPr>
        <w:t>structural brain changes</w:t>
      </w:r>
      <w:r w:rsidR="00FB2BDC">
        <w:rPr>
          <w:rFonts w:cs="Calibri"/>
          <w:sz w:val="24"/>
          <w:szCs w:val="24"/>
          <w:lang w:val="en-GB"/>
        </w:rPr>
        <w:t xml:space="preserve"> </w:t>
      </w:r>
      <w:r w:rsidR="005E037F" w:rsidRPr="003F7C7F">
        <w:rPr>
          <w:rFonts w:cs="Calibri"/>
          <w:sz w:val="24"/>
          <w:szCs w:val="24"/>
          <w:lang w:val="en-GB"/>
        </w:rPr>
        <w:fldChar w:fldCharType="begin" w:fldLock="1"/>
      </w:r>
      <w:r w:rsidR="00FE6F88" w:rsidRPr="003F7C7F">
        <w:rPr>
          <w:rFonts w:cs="Calibri"/>
          <w:sz w:val="24"/>
          <w:szCs w:val="24"/>
          <w:lang w:val="en-GB"/>
        </w:rPr>
        <w:instrText>ADDIN CSL_CITATION { "citationItems" : [ { "id" : "ITEM-1", "itemData" : { "DOI" : "10.1503/jpn.150030", "ISSN" : "14882434", "abstract" : "\u00a9 2016 8872147 Canada Inc. Psychotic symptoms are core clinical features of schizophrenia. We tested recent hypotheses proposing that psychotic, or positive, symptoms stem from irregularities in long-range white matter tracts projecting into the frontal cortex, and we predicted that selective dopamine D2/3 receptor blockade would restore white matter. Methods: Between December 2008 and July 2011, antipsychoticnaive patients with first-episode schizophrenia and matched healthy controls underwent baseline examination with 3 T MRI diffusion tensor imaging and clinical assessments. We assessed group differences of fractional anisotropy (FA) using voxelwise tract-based spatial statistics (TBSS) and anatomic region of interest (ROI)-based analyses. Subsequently, patients underwent 6 weeks of antipsychotic monotherapy with amisulpride. We repeated the examinations after 6 weeks. Results: We included 38 patients with first-episode schizophrenia and 38 controls in our analysis, and 28 individuals in each group completed the study. At baseline, whole brain TBSS analyses revealed lower FA in patients in the right anterior thalamic radiation (ATR), right cingulum, right inferior longitudinal fasciculus and right corticospinal tract (CT). Fractional anisotropy in the right ATR correlated with positive symptoms (z = 2.64, p = 0.008). The ROI analyses showed significant associations between positive  symptoms and FA of the frontal fasciculi, specifically the right arcuate fasciculus (z = 2.83, p = 0.005) and right superior longitudinal fasciculus (z =-3.31, p = 0.001). At re-examination, all correlations between positive symptoms and frontal fasciculi had resolved. Fractional anisotropy in the ATR increased more in patients than in controls (z =-4.92, p  &lt;  0.001). The amisulpride dose correlated positively with FA changes in the right CT (t = 2.52, p = 0.019). Limitations: Smoking and a previous diagnosis of substance abuse were potential confounders. Long-term effects of amisulpride on white matter were not evaluated. Conclusion: Antipsychotic-naive patients with schizophrenia displayed subtle deficits in white matter, and psychotic symptoms appeared specifically associated with frontal fasciculi integrity. Six weeks of amisulpride treatment normalized white matter. Potential remyelinating effects of dopamine D2/3 receptor antagonism warrant</w:instrText>
      </w:r>
      <w:r w:rsidR="00FE6F88" w:rsidRPr="003F7C7F">
        <w:rPr>
          <w:rFonts w:cs="Calibri"/>
          <w:sz w:val="24"/>
          <w:szCs w:val="24"/>
        </w:rPr>
        <w:instrText xml:space="preserve"> further clarification.", "author" : [ { "dropping-particle" : "", "family" : "Ebdrup", "given" : "B.H.", "non-dropping-particle" : "", "parse-names" : false, "suffix" : "" }, { "dropping-particle" : "", "family" : "Raghava", "given" : "J.M.", "non-dropping-particle" : "", "parse-names" : false, "suffix" : "" }, { "dropping-particle" : "", "family" : "Nielsen", "given" : "M.\u00d8.", "non-dropping-particle" : "", "parse-names" : false, "suffix" : "" }, { "dropping-particle" : "", "family" : "Rostrup", "given" : "E.", "non-dropping-particle" : "", "parse-names" : false, "suffix" : "" }, { "dropping-particle" : "", "family" : "Glenth\u00f8j", "given" : "B.", "non-dropping-particle" : "", "parse-names" : false, "suffix" : "" } ], "container-title" : "Journal of Psychiatry and Neuroscience", "id" : "ITEM-1", "issue" : "2", "issued" : { "date-parts" : [ [ "2016" ] ] }, "title" : "Frontal fasciculi and psychotic symptoms in antipsychotic-naive patients with schizophrenia before and after 6 weeks of selective dopamine D2/3 receptor blockade", "type" : "article-journal", "volume" : "41" }, "uris" : [ "http://www.mendeley.com/documents/?uuid=4f665150-01d1-3fde-8062-3e3ba16831d0" ] } ], "mendeley" : { "formattedCitation" : "(Ebdrup &lt;i&gt;et al.&lt;/i&gt; 2016)", "plainTextFormattedCitation" : "(Ebdrup et al. 2016)", "previouslyFormattedCitation" : "(Ebdrup &lt;i&gt;et al.&lt;/i&gt;, 2016)" }, "properties" : {  }, "schema" : "https://github.com/citation-style-language/schema/raw/master/csl-citation.json" }</w:instrText>
      </w:r>
      <w:r w:rsidR="005E037F" w:rsidRPr="003F7C7F">
        <w:rPr>
          <w:rFonts w:cs="Calibri"/>
          <w:sz w:val="24"/>
          <w:szCs w:val="24"/>
          <w:lang w:val="en-GB"/>
        </w:rPr>
        <w:fldChar w:fldCharType="separate"/>
      </w:r>
      <w:r w:rsidR="00FE6F88" w:rsidRPr="003F7C7F">
        <w:rPr>
          <w:rFonts w:cs="Calibri"/>
          <w:noProof/>
          <w:sz w:val="24"/>
          <w:szCs w:val="24"/>
        </w:rPr>
        <w:t xml:space="preserve">(Ebdrup </w:t>
      </w:r>
      <w:r w:rsidR="00FE6F88" w:rsidRPr="003F7C7F">
        <w:rPr>
          <w:rFonts w:cs="Calibri"/>
          <w:i/>
          <w:noProof/>
          <w:sz w:val="24"/>
          <w:szCs w:val="24"/>
        </w:rPr>
        <w:t>et al.</w:t>
      </w:r>
      <w:r w:rsidR="00FE6F88" w:rsidRPr="003F7C7F">
        <w:rPr>
          <w:rFonts w:cs="Calibri"/>
          <w:noProof/>
          <w:sz w:val="24"/>
          <w:szCs w:val="24"/>
        </w:rPr>
        <w:t xml:space="preserve"> 2016)</w:t>
      </w:r>
      <w:r w:rsidR="005E037F" w:rsidRPr="003F7C7F">
        <w:rPr>
          <w:rFonts w:cs="Calibri"/>
          <w:sz w:val="24"/>
          <w:szCs w:val="24"/>
          <w:lang w:val="en-GB"/>
        </w:rPr>
        <w:fldChar w:fldCharType="end"/>
      </w:r>
      <w:r w:rsidR="00D4156C" w:rsidRPr="003F7C7F">
        <w:rPr>
          <w:rFonts w:cs="Calibri"/>
          <w:sz w:val="24"/>
          <w:szCs w:val="24"/>
        </w:rPr>
        <w:t xml:space="preserve">, </w:t>
      </w:r>
      <w:proofErr w:type="spellStart"/>
      <w:r w:rsidR="00D4156C" w:rsidRPr="003F7C7F">
        <w:rPr>
          <w:rFonts w:cs="Calibri"/>
          <w:sz w:val="24"/>
          <w:szCs w:val="24"/>
        </w:rPr>
        <w:t>resting</w:t>
      </w:r>
      <w:proofErr w:type="spellEnd"/>
      <w:r w:rsidR="00D4156C" w:rsidRPr="003F7C7F">
        <w:rPr>
          <w:rFonts w:cs="Calibri"/>
          <w:sz w:val="24"/>
          <w:szCs w:val="24"/>
        </w:rPr>
        <w:t xml:space="preserve"> </w:t>
      </w:r>
      <w:proofErr w:type="spellStart"/>
      <w:r w:rsidR="00D4156C" w:rsidRPr="003F7C7F">
        <w:rPr>
          <w:rFonts w:cs="Calibri"/>
          <w:sz w:val="24"/>
          <w:szCs w:val="24"/>
        </w:rPr>
        <w:t>state</w:t>
      </w:r>
      <w:proofErr w:type="spellEnd"/>
      <w:r w:rsidR="00FB2BDC" w:rsidRPr="003F7C7F">
        <w:rPr>
          <w:rFonts w:cs="Calibri"/>
          <w:sz w:val="24"/>
          <w:szCs w:val="24"/>
        </w:rPr>
        <w:t xml:space="preserve"> </w:t>
      </w:r>
      <w:r w:rsidR="005E037F" w:rsidRPr="003F7C7F">
        <w:rPr>
          <w:rFonts w:cs="Calibri"/>
          <w:sz w:val="24"/>
          <w:szCs w:val="24"/>
          <w:lang w:val="en-GB"/>
        </w:rPr>
        <w:fldChar w:fldCharType="begin" w:fldLock="1"/>
      </w:r>
      <w:r w:rsidR="00FE6F88" w:rsidRPr="003F7C7F">
        <w:rPr>
          <w:rFonts w:cs="Calibri"/>
          <w:sz w:val="24"/>
          <w:szCs w:val="24"/>
        </w:rPr>
        <w:instrText>ADDIN CSL_CITATION { "citationItems" : [ { "id" : "ITEM-1", "itemData" : { "DOI" : "10.1093/schbul/sbx172", "ISSN" : "0586-7614", "author" : [ { "dropping-particle" : "", "family" : "Anh\u00f8j", "given" : "Simon", "non-dropping-particle" : "", "parse-names" : false, "suffix" : "" }, { "dropping-particle" : "", "family" : "Nielsen", "given" : "Mette \u00d8degaard", "non-dropping-particle" : "", "parse-names" : false, "suffix" : "" }, { "dropping-particle" : "", "family" : "Jensen", "given" : "Maria H\u00f8j", "non-dropping-particle" : "", "parse-names" : false, "suffix" : "" }, { "dropping-particle" : "", "family" : "Ford", "given" : "Kristin", "non-dropping-particle" : "", "parse-names" : false, "suffix" : "" }, { "dropping-particle" : "", "family" : "Fagerlund", "given" : "Birgitte", "non-dropping-particle" : "", "parse-names" : false, "suffix" : "" }, { "dropping-particle" : "", "family" : "Williamson", "given" : "Peter", "non-dropping-particle" : "", "parse-names" : false, "suffix" : "" } ], "container-title" : "Schizophrenia Bulletin", "id" : "ITEM-1", "issue" : "March", "issued" : { "date-parts" : [ [ "2017" ] ] }, "page" : "1-9", "title" : "OUP accepted manuscript", "type" : "article-journal" }, "uris" : [ "http://www.mendeley.com/documents/?uuid=39c833da-5920-422a-a57e-989dae75ac1a" ] } ], "mendeley" : { "formattedCitation" : "(Anh\u00f8j &lt;i&gt;et al.&lt;/i&gt; 2017)", "plainTextFormattedCitation" : "(Anh\u00f8j et al. 2017)", "previouslyFormattedCitation" : "(Anh\u00f8j &lt;i&gt;et al.&lt;/i&gt;, 2017)" }, "properties" : {  }, "schema" : "https://github.com/citation-style-language/schema/raw/master/csl-citation.json" }</w:instrText>
      </w:r>
      <w:r w:rsidR="005E037F" w:rsidRPr="003F7C7F">
        <w:rPr>
          <w:rFonts w:cs="Calibri"/>
          <w:sz w:val="24"/>
          <w:szCs w:val="24"/>
          <w:lang w:val="en-GB"/>
        </w:rPr>
        <w:fldChar w:fldCharType="separate"/>
      </w:r>
      <w:r w:rsidR="00FE6F88" w:rsidRPr="003F7C7F">
        <w:rPr>
          <w:rFonts w:cs="Calibri"/>
          <w:noProof/>
          <w:sz w:val="24"/>
          <w:szCs w:val="24"/>
        </w:rPr>
        <w:t xml:space="preserve">(Anhøj </w:t>
      </w:r>
      <w:r w:rsidR="00FE6F88" w:rsidRPr="003F7C7F">
        <w:rPr>
          <w:rFonts w:cs="Calibri"/>
          <w:i/>
          <w:noProof/>
          <w:sz w:val="24"/>
          <w:szCs w:val="24"/>
        </w:rPr>
        <w:t>et al.</w:t>
      </w:r>
      <w:r w:rsidR="00FE6F88" w:rsidRPr="003F7C7F">
        <w:rPr>
          <w:rFonts w:cs="Calibri"/>
          <w:noProof/>
          <w:sz w:val="24"/>
          <w:szCs w:val="24"/>
        </w:rPr>
        <w:t xml:space="preserve"> 2017)</w:t>
      </w:r>
      <w:r w:rsidR="005E037F" w:rsidRPr="003F7C7F">
        <w:rPr>
          <w:rFonts w:cs="Calibri"/>
          <w:sz w:val="24"/>
          <w:szCs w:val="24"/>
          <w:lang w:val="en-GB"/>
        </w:rPr>
        <w:fldChar w:fldCharType="end"/>
      </w:r>
      <w:r w:rsidR="005E037F" w:rsidRPr="003F7C7F">
        <w:rPr>
          <w:rFonts w:cs="Calibri"/>
          <w:sz w:val="24"/>
          <w:szCs w:val="24"/>
        </w:rPr>
        <w:t>,</w:t>
      </w:r>
      <w:r w:rsidR="00044FA1" w:rsidRPr="003F7C7F">
        <w:rPr>
          <w:rFonts w:cs="Calibri"/>
          <w:sz w:val="24"/>
          <w:szCs w:val="24"/>
        </w:rPr>
        <w:t xml:space="preserve"> </w:t>
      </w:r>
      <w:proofErr w:type="spellStart"/>
      <w:r w:rsidR="00044FA1" w:rsidRPr="003F7C7F">
        <w:rPr>
          <w:rFonts w:cs="Calibri"/>
          <w:sz w:val="24"/>
          <w:szCs w:val="24"/>
        </w:rPr>
        <w:t>oxidative</w:t>
      </w:r>
      <w:proofErr w:type="spellEnd"/>
      <w:r w:rsidR="00044FA1" w:rsidRPr="003F7C7F">
        <w:rPr>
          <w:rFonts w:cs="Calibri"/>
          <w:sz w:val="24"/>
          <w:szCs w:val="24"/>
        </w:rPr>
        <w:t xml:space="preserve"> stress</w:t>
      </w:r>
      <w:r w:rsidR="00FB2BDC" w:rsidRPr="003F7C7F">
        <w:rPr>
          <w:rFonts w:cs="Calibri"/>
          <w:sz w:val="24"/>
          <w:szCs w:val="24"/>
        </w:rPr>
        <w:t xml:space="preserve"> </w:t>
      </w:r>
      <w:r w:rsidR="005E037F" w:rsidRPr="003F7C7F">
        <w:rPr>
          <w:rFonts w:cs="Calibri"/>
          <w:sz w:val="24"/>
          <w:szCs w:val="24"/>
          <w:lang w:val="en-GB"/>
        </w:rPr>
        <w:fldChar w:fldCharType="begin" w:fldLock="1"/>
      </w:r>
      <w:r w:rsidR="00FE6F88" w:rsidRPr="003F7C7F">
        <w:rPr>
          <w:rFonts w:cs="Calibri"/>
          <w:sz w:val="24"/>
          <w:szCs w:val="24"/>
        </w:rPr>
        <w:instrText xml:space="preserve">ADDIN CSL_CITATION { "citationItems" : [ { "id" : "ITEM-1", "itemData" : { "DOI" : "10.1016/j.psychres.2016.04.062", "ISSN" : "18727123", "abstract" : "\u00a9 2016 Elsevier Ireland Ltd. It has been suggested that patients with schizophrenia develop higher levels of oxidative stress, which may contribute to deteriorating mental illness. In order to examine oxidative stress in the early stages of severe mental illness, we examined the levels of systemic Deoxyribonucleic Acid (DNA) and Ribonucleic Acid (RNA) oxidation, 8-oxo-7,8-dihydro-2'-deoxyguanosine and 8-oxo-7,8-dihydroguanosine, perceived stress and recent life events in patients at ultra high-risk (UHR) of developing psychosis, in antipsychotic na\u00efve patients with first-episode schizophrenia (FES), and in healthy controls. We included 41 UHR patients, 35 FES patients, and 29 healthy controls. There was no difference in the level of DNA/RNA oxidative damage between UHR patients and FES patients compared with healthy controls. We found no association between levels of DNA/RNA oxidative damage and perceived stress/life events. Based on the results, we suggest that DNA and RNA oxidative markers are not increased during the early stages of illness, but further longitudinal studies in first-episode psychosis should be carried out to examine whether DNA and RNA oxidative damage are potential markers of severe illness.", "author" : [ { "dropping-particle" : "", "family" : "Nordholm", </w:instrText>
      </w:r>
      <w:r w:rsidR="00FE6F88" w:rsidRPr="00C65378">
        <w:rPr>
          <w:rFonts w:cs="Calibri"/>
          <w:sz w:val="24"/>
          <w:szCs w:val="24"/>
        </w:rPr>
        <w:instrText>"given" : "D.", "non</w:instrText>
      </w:r>
      <w:r w:rsidR="00FE6F88" w:rsidRPr="003F7C7F">
        <w:rPr>
          <w:rFonts w:cs="Calibri"/>
          <w:sz w:val="24"/>
          <w:szCs w:val="24"/>
          <w:lang w:val="en-GB"/>
        </w:rPr>
        <w:instrText>-dropping-particle" : "", "parse-names" : false, "suffix" : "" }, { "dropping-particle" : "", "family" : "Poulsen", "given" : "H.E.", "non-dropping-particle" : "", "parse-names" : false, "suffix" : "" }, { "dropping-particle" : "", "family" : "Hjorth\u00f8j", "given" : "C.", "non-dropping-particle" : "", "parse-names" : false, "suffix" : "" }, { "dropping-particle" : "", "family" : "Randers", "given" : "L.", "non-dropping-particle" : "", "parse-names" : false, "suffix" : "" }, { "dropping-particle" : "", "family" : "Nielsen", "given" : "M.\u00d8.", "non-dropping-particle" : "", "parse-names" : false, "suffix" : "" }, { "dropping-particle" : "", "family" : "Wulff", "given" : "S.", "non-dropping-particle" : "", "parse-names" : false, "suffix" : "" }, { "dropping-particle" : "", "family" : "Krakauer", "given" : "K.", "non-dropping-particle" : "", "parse-names" : false, "suffix" : "" }, { "dropping-particle" : "", "family" : "N\u00f8rbak-Emig", "given" : "H.", "non-dropping-particle" : "", "parse-names" : false, "suffix" : "" }, { "dropping-particle" : "", "family" : "Henriksen", "given" : "T.", "non-dropping-particle" : "", "parse-names" : false, "suffix" : "" }, { "dropping-particle" : "", "family" : "Glenth\u00f8j", "given" : "B.", "non-dropping-particle" : "", "parse-names" : false, "suffix" : "" }, { "dropping-particle" : "", "family" : "Nordentoft", "given" : "M.", "non-dropping-particle" : "", "parse-names" : false, "suffix" : "" } ], "container-title" : "Psychiatry Research", "id" : "ITEM-1", "issued" : { "date-parts" : [ [ "2016" ] ] }, "title" : "Systemic oxidative DNA and RNA damage are not increased during early phases of psychosis: A case control study", "type" : "article-journal", "volume" : "241" }, "uris" : [ "http://www.mendeley.com/documents/?uuid=46339c2c-a351-352c-b4d8-dc8e3efaf38e" ] } ], "mendeley" : { "formattedCitation" : "(Nordholm &lt;i&gt;et al.&lt;/i&gt; 2016)", "plainTextFormattedCitation" : "(Nordholm et al. 2016)", "previouslyFormattedCitation" : "(Nordholm &lt;i&gt;et al.&lt;/i&gt;, 2016)" }, "properties" : {  }, "schema" : "https://github.com/citation-style-language/schema/raw/master/csl-citation.json" }</w:instrText>
      </w:r>
      <w:r w:rsidR="005E037F" w:rsidRPr="003F7C7F">
        <w:rPr>
          <w:rFonts w:cs="Calibri"/>
          <w:sz w:val="24"/>
          <w:szCs w:val="24"/>
          <w:lang w:val="en-GB"/>
        </w:rPr>
        <w:fldChar w:fldCharType="separate"/>
      </w:r>
      <w:r w:rsidR="00FE6F88" w:rsidRPr="003F7C7F">
        <w:rPr>
          <w:rFonts w:cs="Calibri"/>
          <w:noProof/>
          <w:sz w:val="24"/>
          <w:szCs w:val="24"/>
          <w:lang w:val="en-GB"/>
        </w:rPr>
        <w:t xml:space="preserve">(Nordholm </w:t>
      </w:r>
      <w:r w:rsidR="00FE6F88" w:rsidRPr="003F7C7F">
        <w:rPr>
          <w:rFonts w:cs="Calibri"/>
          <w:i/>
          <w:noProof/>
          <w:sz w:val="24"/>
          <w:szCs w:val="24"/>
          <w:lang w:val="en-GB"/>
        </w:rPr>
        <w:t>et al.</w:t>
      </w:r>
      <w:r w:rsidR="00FE6F88" w:rsidRPr="003F7C7F">
        <w:rPr>
          <w:rFonts w:cs="Calibri"/>
          <w:noProof/>
          <w:sz w:val="24"/>
          <w:szCs w:val="24"/>
          <w:lang w:val="en-GB"/>
        </w:rPr>
        <w:t xml:space="preserve"> 2016)</w:t>
      </w:r>
      <w:r w:rsidR="005E037F" w:rsidRPr="003F7C7F">
        <w:rPr>
          <w:rFonts w:cs="Calibri"/>
          <w:sz w:val="24"/>
          <w:szCs w:val="24"/>
          <w:lang w:val="en-GB"/>
        </w:rPr>
        <w:fldChar w:fldCharType="end"/>
      </w:r>
      <w:r w:rsidR="005E037F" w:rsidRPr="003F7C7F">
        <w:rPr>
          <w:rFonts w:cs="Calibri"/>
          <w:sz w:val="24"/>
          <w:szCs w:val="24"/>
          <w:lang w:val="en-GB"/>
        </w:rPr>
        <w:t xml:space="preserve"> and cognition</w:t>
      </w:r>
      <w:r w:rsidR="00FB2BDC">
        <w:rPr>
          <w:rFonts w:cs="Calibri"/>
          <w:sz w:val="24"/>
          <w:szCs w:val="24"/>
          <w:lang w:val="en-GB"/>
        </w:rPr>
        <w:t xml:space="preserve"> </w:t>
      </w:r>
      <w:r w:rsidR="005E037F" w:rsidRPr="003F7C7F">
        <w:rPr>
          <w:rFonts w:cs="Calibri"/>
          <w:sz w:val="24"/>
          <w:szCs w:val="24"/>
          <w:lang w:val="en-GB"/>
        </w:rPr>
        <w:fldChar w:fldCharType="begin" w:fldLock="1"/>
      </w:r>
      <w:r w:rsidR="00FE6F88" w:rsidRPr="003F7C7F">
        <w:rPr>
          <w:rFonts w:cs="Calibri"/>
          <w:sz w:val="24"/>
          <w:szCs w:val="24"/>
          <w:lang w:val="en-GB"/>
        </w:rPr>
        <w:instrText>ADDIN CSL_CITATION { "citationItems" : [ { "id" : "ITEM-1", "itemData" : { "DOI" : "10.1038/tp.2017.59", "ISSN" : "21583188", "PMID" : "28398342", "abstract" : "Deficits in information processing and cognition are among the most robust findings in schizophrenia patients. Previous efforts to translate group-level deficits into clinically relevant and individualized information have, however, been non-successful, which is possibly explained by biologically different disease subgroups. We applied machine learning algorithms on measures of electrophysiology and cognition to identify potential subgroups of schizophrenia. Next, we explored subgroup differences regarding treatment response. Sixty-six antipsychotic-naive first-episode schizophrenia patients and sixty-five healthy controls underwent extensive electrophysiological and neurocognitive test batteries. Patients were assessed on the Positive and Negative Syndrome Scale (PANSS) before and after 6 weeks of monotherapy with the relatively selective D2 receptor antagonist, amisulpride (280.3\u00b1159\u2009mg per day). A reduced principal component space based on 19 electrophysiological variables and 26 cognitive variables was used as input for a Gaussian mixture model to identify subgroups of patients. With support vector machines, we explored the relation between PANSS subscores and the identified subgroups. We identified two statistically distinct subgroups of patients. We found no significant baseline psychopathological differences between these subgroups, but the effect of treatment in the groups was predicted with an accuracy of 74.3% (P=0.003). In conclusion, electrophysiology and cognition data may be used to classify subgroups of schizophrenia patients. The two distinct subgroups, which we identified, were psychopathologically inseparable before treatment, yet their response to dopaminergic blockade was predicted with significant accuracy. This proof of principle encourages further endeavors to apply data-driven, multivariate and multimodal models to facilitate progress from symptom-based psychiatry toward individualized treatment regimens.", "author" : [ { "dropping-particle" : "", "family" : "Bak", "given" : "N.", "non-dropping-particle" : "", "parse-names" : false, "suffix" : "" }, { "dropping-particle" : "", "family" : "Ebdrup", "given" : "B. H.", "non-dropping-particle" : "", "parse-names" : false, "suffix" : "" }, { "dropping-particle" : "", "family" : "Oranje", "given" : "B.", "non-dropping-particle" : "", "parse-names" : false, "suffix" : "" }, { "dropping-particle" : "", "family" : "Fagerlund", "given" : "B.", "non-dropping-particle" : "", "parse-names" : false, "suffix" : "" }, { "dropping-particle" : "", "family" : "Jensen", "given" : "M. H.", "non-dropping-particle" : "", "parse-names" : false, "suffix" : "" }, { "dropping-particle" : "", "family" : "D\u00fcring", "given" : "S. W.", "non-dropping-particle" : "", "parse-names" : false, "suffix" : "" }, { "dropping-particle" : "", "family" : "Nielsen", "given" : "M.", "non-dropping-particle" : "", "parse-names" : false, "suffix" : "" }, { "dropping-particle" : "", "family" : "Glenth\u00d8j", "given" : "B. Y.", "non-dropping-particle" : "", "parse-names" : false, "suffix" : "" }, { "dropping-particle" : "", "family" : "Hansen", "given" : "L. K.", "non-dropping-particle" : "", "parse-names" : false, "suffix" : "" } ], "container-title" : "Translational Psychiatry", "id" : "ITEM-1", "issue" : "4", "issued" : { "date-parts" : [ [ "2017" ] ] }, "page" : "e1087-8", "publisher" : "Nature Publishing Group", "title" : "Two subgroups of antipsychotic-naive, first-episode schizophrenia patients identified with a Gaussian mixture model on cognition and electrophysiology", "type" : "article-journal", "volume" : "7" }, "uris" : [ "http://www.mendeley.com/documents/?uuid=cd91503e-0f6e-4dcb-a37c-4ec1e100c2c2" ] } ], "mendeley" : { "formattedCitation" : "(Bak &lt;i&gt;et al.&lt;/i&gt; 2017)", "plainTextFormattedCitation" : "(Bak et al. 2017)", "previouslyFormattedCitation" : "(Bak &lt;i&gt;et al.&lt;/i&gt;, 2017)" }, "properties" : {  }, "schema" : "https://github.com/citation-style-language/schema/raw/master/csl-citation.json" }</w:instrText>
      </w:r>
      <w:r w:rsidR="005E037F" w:rsidRPr="003F7C7F">
        <w:rPr>
          <w:rFonts w:cs="Calibri"/>
          <w:sz w:val="24"/>
          <w:szCs w:val="24"/>
          <w:lang w:val="en-GB"/>
        </w:rPr>
        <w:fldChar w:fldCharType="separate"/>
      </w:r>
      <w:r w:rsidR="00FE6F88" w:rsidRPr="003F7C7F">
        <w:rPr>
          <w:rFonts w:cs="Calibri"/>
          <w:noProof/>
          <w:sz w:val="24"/>
          <w:szCs w:val="24"/>
          <w:lang w:val="en-GB"/>
        </w:rPr>
        <w:t xml:space="preserve">(Bak </w:t>
      </w:r>
      <w:r w:rsidR="00FE6F88" w:rsidRPr="003F7C7F">
        <w:rPr>
          <w:rFonts w:cs="Calibri"/>
          <w:i/>
          <w:noProof/>
          <w:sz w:val="24"/>
          <w:szCs w:val="24"/>
          <w:lang w:val="en-GB"/>
        </w:rPr>
        <w:t>et al.</w:t>
      </w:r>
      <w:r w:rsidR="00FE6F88" w:rsidRPr="003F7C7F">
        <w:rPr>
          <w:rFonts w:cs="Calibri"/>
          <w:noProof/>
          <w:sz w:val="24"/>
          <w:szCs w:val="24"/>
          <w:lang w:val="en-GB"/>
        </w:rPr>
        <w:t xml:space="preserve"> 2017)</w:t>
      </w:r>
      <w:r w:rsidR="005E037F" w:rsidRPr="003F7C7F">
        <w:rPr>
          <w:rFonts w:cs="Calibri"/>
          <w:sz w:val="24"/>
          <w:szCs w:val="24"/>
          <w:lang w:val="en-GB"/>
        </w:rPr>
        <w:fldChar w:fldCharType="end"/>
      </w:r>
      <w:r w:rsidRPr="003F7C7F">
        <w:rPr>
          <w:rFonts w:cs="Calibri"/>
          <w:sz w:val="24"/>
          <w:szCs w:val="24"/>
          <w:lang w:val="en-GB"/>
        </w:rPr>
        <w:t xml:space="preserve">. </w:t>
      </w:r>
      <w:r w:rsidR="00044FA1" w:rsidRPr="00FB2BDC">
        <w:rPr>
          <w:rFonts w:cs="Calibri"/>
          <w:sz w:val="24"/>
          <w:szCs w:val="24"/>
          <w:lang w:val="en-GB"/>
        </w:rPr>
        <w:t>Other s</w:t>
      </w:r>
      <w:r w:rsidRPr="00FB2BDC">
        <w:rPr>
          <w:rFonts w:cs="Calibri"/>
          <w:sz w:val="24"/>
          <w:szCs w:val="24"/>
          <w:lang w:val="en-GB"/>
        </w:rPr>
        <w:t xml:space="preserve">tructural and fMRI data, data on cognitive disturbances, genetic data and data on the </w:t>
      </w:r>
      <w:r w:rsidRPr="00FB2BDC">
        <w:rPr>
          <w:bCs/>
          <w:sz w:val="24"/>
          <w:szCs w:val="24"/>
          <w:lang w:val="en-GB"/>
        </w:rPr>
        <w:t>hypothalamic-pituitary-adrenal</w:t>
      </w:r>
      <w:r w:rsidRPr="00FB2BDC">
        <w:rPr>
          <w:b/>
          <w:bCs/>
          <w:sz w:val="24"/>
          <w:szCs w:val="24"/>
          <w:lang w:val="en-GB"/>
        </w:rPr>
        <w:t xml:space="preserve"> </w:t>
      </w:r>
      <w:r w:rsidRPr="00D50895">
        <w:rPr>
          <w:rFonts w:cs="Calibri"/>
          <w:sz w:val="24"/>
          <w:szCs w:val="24"/>
          <w:lang w:val="en-GB"/>
        </w:rPr>
        <w:t>axis related to the PECANS cohort will be published elsewhere.</w:t>
      </w:r>
      <w:r w:rsidR="00D266CC" w:rsidRPr="00D50895">
        <w:rPr>
          <w:rFonts w:cs="Calibri"/>
          <w:sz w:val="24"/>
          <w:szCs w:val="24"/>
          <w:lang w:val="en-GB"/>
        </w:rPr>
        <w:t xml:space="preserve"> </w:t>
      </w:r>
      <w:r w:rsidR="00141EB1" w:rsidRPr="00D50895">
        <w:rPr>
          <w:rFonts w:cs="Calibri"/>
          <w:sz w:val="24"/>
          <w:szCs w:val="24"/>
          <w:lang w:val="en-GB"/>
        </w:rPr>
        <w:t>SPECT scan was only performed durin</w:t>
      </w:r>
      <w:r w:rsidR="00D266CC" w:rsidRPr="00DF6C17">
        <w:rPr>
          <w:rFonts w:cs="Calibri"/>
          <w:sz w:val="24"/>
          <w:szCs w:val="24"/>
          <w:lang w:val="en-GB"/>
        </w:rPr>
        <w:t xml:space="preserve">g the last period of the study, </w:t>
      </w:r>
      <w:r w:rsidR="00FB2BDC">
        <w:rPr>
          <w:rFonts w:cs="Calibri"/>
          <w:sz w:val="24"/>
          <w:szCs w:val="24"/>
          <w:lang w:val="en-GB"/>
        </w:rPr>
        <w:t xml:space="preserve">which means </w:t>
      </w:r>
      <w:r w:rsidR="00D266CC" w:rsidRPr="00FB2BDC">
        <w:rPr>
          <w:rFonts w:cs="Calibri"/>
          <w:sz w:val="24"/>
          <w:szCs w:val="24"/>
          <w:lang w:val="en-GB"/>
        </w:rPr>
        <w:t>th</w:t>
      </w:r>
      <w:r w:rsidR="00FB2BDC">
        <w:rPr>
          <w:rFonts w:cs="Calibri"/>
          <w:sz w:val="24"/>
          <w:szCs w:val="24"/>
          <w:lang w:val="en-GB"/>
        </w:rPr>
        <w:t>at</w:t>
      </w:r>
      <w:r w:rsidR="00D266CC" w:rsidRPr="00FB2BDC">
        <w:rPr>
          <w:rFonts w:cs="Calibri"/>
          <w:sz w:val="24"/>
          <w:szCs w:val="24"/>
          <w:lang w:val="en-GB"/>
        </w:rPr>
        <w:t xml:space="preserve"> only 32</w:t>
      </w:r>
      <w:r w:rsidR="00141EB1" w:rsidRPr="00FB2BDC">
        <w:rPr>
          <w:rFonts w:cs="Calibri"/>
          <w:sz w:val="24"/>
          <w:szCs w:val="24"/>
          <w:lang w:val="en-GB"/>
        </w:rPr>
        <w:t xml:space="preserve"> patients and 28 </w:t>
      </w:r>
      <w:r w:rsidR="00FB2BDC">
        <w:rPr>
          <w:rFonts w:cs="Calibri"/>
          <w:sz w:val="24"/>
          <w:szCs w:val="24"/>
          <w:lang w:val="en-GB"/>
        </w:rPr>
        <w:t>HC</w:t>
      </w:r>
      <w:r w:rsidR="00141EB1" w:rsidRPr="00FB2BDC">
        <w:rPr>
          <w:rFonts w:cs="Calibri"/>
          <w:sz w:val="24"/>
          <w:szCs w:val="24"/>
          <w:lang w:val="en-GB"/>
        </w:rPr>
        <w:t xml:space="preserve">s were included in the SPECT part of the </w:t>
      </w:r>
      <w:r w:rsidR="00AF507A" w:rsidRPr="00FB2BDC">
        <w:rPr>
          <w:rFonts w:cs="Calibri"/>
          <w:sz w:val="24"/>
          <w:szCs w:val="24"/>
          <w:lang w:val="en-GB"/>
        </w:rPr>
        <w:t>study</w:t>
      </w:r>
      <w:r w:rsidR="00FB2BDC">
        <w:rPr>
          <w:rFonts w:cs="Calibri"/>
          <w:sz w:val="24"/>
          <w:szCs w:val="24"/>
          <w:lang w:val="en-GB"/>
        </w:rPr>
        <w:t>;</w:t>
      </w:r>
      <w:r w:rsidR="00AF507A" w:rsidRPr="00FB2BDC">
        <w:rPr>
          <w:rFonts w:cs="Calibri"/>
          <w:sz w:val="24"/>
          <w:szCs w:val="24"/>
          <w:lang w:val="en-GB"/>
        </w:rPr>
        <w:t xml:space="preserve"> see </w:t>
      </w:r>
      <w:r w:rsidR="00FB2BDC">
        <w:rPr>
          <w:rFonts w:cs="Calibri"/>
          <w:sz w:val="24"/>
          <w:szCs w:val="24"/>
          <w:lang w:val="en-GB"/>
        </w:rPr>
        <w:t xml:space="preserve">the </w:t>
      </w:r>
      <w:r w:rsidR="00AF507A" w:rsidRPr="00FB2BDC">
        <w:rPr>
          <w:rFonts w:cs="Calibri"/>
          <w:sz w:val="24"/>
          <w:szCs w:val="24"/>
          <w:lang w:val="en-GB"/>
        </w:rPr>
        <w:t xml:space="preserve">flowchart </w:t>
      </w:r>
      <w:r w:rsidR="00FB2BDC">
        <w:rPr>
          <w:rFonts w:cs="Calibri"/>
          <w:sz w:val="24"/>
          <w:szCs w:val="24"/>
          <w:lang w:val="en-GB"/>
        </w:rPr>
        <w:t xml:space="preserve">in </w:t>
      </w:r>
      <w:r w:rsidR="00AF507A" w:rsidRPr="00FB2BDC">
        <w:rPr>
          <w:rFonts w:cs="Calibri"/>
          <w:sz w:val="24"/>
          <w:szCs w:val="24"/>
          <w:lang w:val="en-GB"/>
        </w:rPr>
        <w:t>Figure 1</w:t>
      </w:r>
      <w:r w:rsidR="00D266CC" w:rsidRPr="00FB2BDC">
        <w:rPr>
          <w:rFonts w:cs="Calibri"/>
          <w:sz w:val="24"/>
          <w:szCs w:val="24"/>
          <w:lang w:val="en-GB"/>
        </w:rPr>
        <w:t>.</w:t>
      </w:r>
    </w:p>
    <w:p w14:paraId="167B9A8D" w14:textId="1ED86103" w:rsidR="00141B9A" w:rsidRPr="00D50895" w:rsidRDefault="00141B9A" w:rsidP="006E16FE">
      <w:pPr>
        <w:pStyle w:val="Standard"/>
        <w:spacing w:after="0" w:line="480" w:lineRule="auto"/>
        <w:jc w:val="both"/>
        <w:rPr>
          <w:rFonts w:eastAsia="Times New Roman" w:cs="Calibri"/>
          <w:b/>
          <w:sz w:val="24"/>
          <w:szCs w:val="24"/>
          <w:lang w:val="en-GB" w:eastAsia="da-DK"/>
        </w:rPr>
      </w:pPr>
    </w:p>
    <w:p w14:paraId="6E0E6E94"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3AB51056"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4F4094B9"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7B96631B"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53650435"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655F59C4"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16039F5A"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24050FCC"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713BBF40"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1C24F8A8" w14:textId="77777777" w:rsidR="00D266CC" w:rsidRPr="003F7C7F" w:rsidRDefault="00D266CC" w:rsidP="006E16FE">
      <w:pPr>
        <w:pStyle w:val="Standard"/>
        <w:spacing w:after="0" w:line="480" w:lineRule="auto"/>
        <w:jc w:val="both"/>
        <w:rPr>
          <w:rFonts w:eastAsia="Times New Roman" w:cs="Calibri"/>
          <w:b/>
          <w:sz w:val="24"/>
          <w:szCs w:val="24"/>
          <w:lang w:val="en-GB" w:eastAsia="da-DK"/>
        </w:rPr>
      </w:pPr>
    </w:p>
    <w:p w14:paraId="0E34165C" w14:textId="77777777" w:rsidR="002D4853" w:rsidRPr="003F7C7F" w:rsidRDefault="00DB79E1" w:rsidP="006E7B37">
      <w:pPr>
        <w:pStyle w:val="Standard"/>
        <w:spacing w:after="0" w:line="360" w:lineRule="auto"/>
        <w:jc w:val="both"/>
        <w:rPr>
          <w:lang w:val="en-GB"/>
        </w:rPr>
      </w:pPr>
      <w:r w:rsidRPr="003F7C7F">
        <w:rPr>
          <w:rFonts w:eastAsia="Times New Roman" w:cs="Calibri"/>
          <w:b/>
          <w:sz w:val="24"/>
          <w:szCs w:val="24"/>
          <w:lang w:val="en-GB" w:eastAsia="da-DK"/>
        </w:rPr>
        <w:lastRenderedPageBreak/>
        <w:t>The reward paradigm</w:t>
      </w:r>
    </w:p>
    <w:p w14:paraId="7F4A8EAD" w14:textId="7DAE239D" w:rsidR="002D4853" w:rsidRPr="003F7C7F" w:rsidRDefault="00DB79E1" w:rsidP="006E7B37">
      <w:pPr>
        <w:autoSpaceDE w:val="0"/>
        <w:spacing w:after="0" w:line="360" w:lineRule="auto"/>
        <w:jc w:val="both"/>
        <w:rPr>
          <w:rFonts w:cs="Calibri"/>
          <w:sz w:val="24"/>
          <w:szCs w:val="24"/>
          <w:lang w:val="en-GB"/>
        </w:rPr>
      </w:pPr>
      <w:r w:rsidRPr="003F7C7F">
        <w:rPr>
          <w:rFonts w:cs="Calibri"/>
          <w:sz w:val="24"/>
          <w:szCs w:val="24"/>
          <w:lang w:val="en-GB"/>
        </w:rPr>
        <w:t xml:space="preserve">A variant of the </w:t>
      </w:r>
      <w:r w:rsidR="000B5250">
        <w:rPr>
          <w:sz w:val="24"/>
          <w:szCs w:val="24"/>
          <w:lang w:val="en-GB"/>
        </w:rPr>
        <w:t>m</w:t>
      </w:r>
      <w:r w:rsidRPr="003F7C7F">
        <w:rPr>
          <w:sz w:val="24"/>
          <w:szCs w:val="24"/>
          <w:lang w:val="en-GB"/>
        </w:rPr>
        <w:t xml:space="preserve">odified </w:t>
      </w:r>
      <w:r w:rsidR="000B5250">
        <w:rPr>
          <w:sz w:val="24"/>
          <w:szCs w:val="24"/>
          <w:lang w:val="en-GB"/>
        </w:rPr>
        <w:t>v</w:t>
      </w:r>
      <w:r w:rsidRPr="003F7C7F">
        <w:rPr>
          <w:sz w:val="24"/>
          <w:szCs w:val="24"/>
          <w:lang w:val="en-GB"/>
        </w:rPr>
        <w:t xml:space="preserve">ersion of the </w:t>
      </w:r>
      <w:r w:rsidR="000B5250">
        <w:rPr>
          <w:sz w:val="24"/>
          <w:szCs w:val="24"/>
          <w:lang w:val="en-GB"/>
        </w:rPr>
        <w:t>m</w:t>
      </w:r>
      <w:r w:rsidRPr="003F7C7F">
        <w:rPr>
          <w:sz w:val="24"/>
          <w:szCs w:val="24"/>
          <w:lang w:val="en-GB"/>
        </w:rPr>
        <w:t xml:space="preserve">onetary </w:t>
      </w:r>
      <w:r w:rsidR="000B5250">
        <w:rPr>
          <w:sz w:val="24"/>
          <w:szCs w:val="24"/>
          <w:lang w:val="en-GB"/>
        </w:rPr>
        <w:t>i</w:t>
      </w:r>
      <w:r w:rsidRPr="003F7C7F">
        <w:rPr>
          <w:sz w:val="24"/>
          <w:szCs w:val="24"/>
          <w:lang w:val="en-GB"/>
        </w:rPr>
        <w:t xml:space="preserve">ncentive </w:t>
      </w:r>
      <w:r w:rsidR="000B5250">
        <w:rPr>
          <w:sz w:val="24"/>
          <w:szCs w:val="24"/>
          <w:lang w:val="en-GB"/>
        </w:rPr>
        <w:t>d</w:t>
      </w:r>
      <w:r w:rsidRPr="003F7C7F">
        <w:rPr>
          <w:sz w:val="24"/>
          <w:szCs w:val="24"/>
          <w:lang w:val="en-GB"/>
        </w:rPr>
        <w:t xml:space="preserve">elay </w:t>
      </w:r>
      <w:r w:rsidRPr="003F7C7F">
        <w:rPr>
          <w:rFonts w:cs="Calibri"/>
          <w:sz w:val="24"/>
          <w:szCs w:val="24"/>
          <w:lang w:val="en-GB"/>
        </w:rPr>
        <w:t>task described by Knutson</w:t>
      </w:r>
      <w:r w:rsidR="000B5250">
        <w:rPr>
          <w:rFonts w:cs="Calibri"/>
          <w:sz w:val="24"/>
          <w:szCs w:val="24"/>
          <w:lang w:val="en-GB"/>
        </w:rPr>
        <w:t xml:space="preserve"> et al. </w:t>
      </w:r>
      <w:r w:rsidR="00EE261B" w:rsidRPr="003F7C7F">
        <w:rPr>
          <w:rFonts w:cs="Calibri"/>
          <w:sz w:val="24"/>
          <w:szCs w:val="24"/>
          <w:lang w:val="en-GB"/>
        </w:rPr>
        <w:fldChar w:fldCharType="begin" w:fldLock="1"/>
      </w:r>
      <w:r w:rsidR="00FE6F88" w:rsidRPr="003F7C7F">
        <w:rPr>
          <w:rFonts w:cs="Calibri"/>
          <w:sz w:val="24"/>
          <w:szCs w:val="24"/>
          <w:lang w:val="en-GB"/>
        </w:rPr>
        <w:instrText>ADDIN CSL_CITATION { "citationItems" : [ { "id" : "ITEM-1", "itemData" : { "DOI" : "10.1006/nimg.2000.0593", "ISBN" : "1053-8119 (Print)\\n1053-8119 (Linking)", "ISSN" : "10538119", "PMID" : "10875899", "abstract" : "Comparative studies have implicated striatal and mesial forebrain circuitry in the generation of autonomic, endocrine, and behavioral responses for incentives. Using blood oxygen level-dependent functional magnetic resonance imaging, we sought to visualize functional activation of these regions in 12 normal volunteers as they anticipated and responded for monetary incentives. Both individual and group analyses of time-series data revealed significant activation of striatal and mesial forebrain structures (including insula, caudate, putamen, and mesial prefrontal cortex) during trials involving both monetary rewards and punishments. In addition to these areas, during trials involving punishment, group analysis revealed activation foci in the anterior cingulate and thalamus. These results corroborate comparative studies which implicate striatal and mesial forebrain circuitry in the elaboration of incentive-driven behavior. This report also introduces a new paradigm for probing the functional integrity of this circuitry in humans. (C) 2000 Academic Press.", "author" : [ { "dropping-particle" : "", "family" : "Knutson", "given" : "Brian", "non-dropping-particle" : "", "parse-names" : false, "suffix" : "" }, { "dropping-particle" : "", "family" : "Westdorp", "given" : "Andrew", "non-dropping-particle" : "", "parse-names" : false, "suffix" : "" }, { "dropping-particle" : "", "family" : "Kaiser", "given" : "Erica", "non-dropping-particle" : "", "parse-names" : false, "suffix" : "" }, { "dropping-particle" : "", "family" : "Hommer", "given" : "Daniel", "non-dropping-particle" : "", "parse-names" : false, "suffix" : "" } ], "container-title" : "NeuroImage", "id" : "ITEM-1", "issue" : "1", "issued" : { "date-parts" : [ [ "2000" ] ] }, "page" : "20-27", "title" : "FMRI visualization of brain activity during a monetary incentive delay task", "type" : "article-journal", "volume" : "12" }, "uris" : [ "http://www.mendeley.com/documents/?uuid=6fed8ec2-3297-4680-825a-f46d3c7ddc2b" ] }, { "id" : "ITEM-2", "itemData" : { "ISSN" : "1529-2401", "PMID" : "11459880", "abstract" : "Comparative studies have implicated the nucleus accumbens (NAcc) in the anticipation of incentives, but the relative responsiveness of this neural substrate during anticipation of rewards versus punishments remains unclear. Using event-related functional magnetic resonance imaging, we investigated whether the anticipation of increasing monetary rewards and punishments would increase NAcc blood oxygen level-dependent contrast (hereafter, \"activation\") in eight healthy volunteers. Whereas anticipation of increasing rewards elicited both increasing self-reported happiness and NAcc activation, anticipation of increasing punishment elicited neither. However, anticipation of both rewards and punishments activated a different striatal region (the medial caudate). At the highest reward level ($5.00), NAcc activation was correlated with individual differences in self-reported happiness elicited by the reward cues. These findings suggest that whereas other striatal areas may code for expected incentive magnitude, a region in the NAcc codes for expected positive incentive value.", "author" : [ { "dropping-particle" : "", "family" : "Knutson", "given" : "B", "non-dropping-particle" : "", "parse-names" : false, "suffix" : "" }, { "dropping-particle" : "", "family" : "Adams", "given" : "C M", "non-dropping-particle" : "", "parse-names" : false, "suffix" : "" }, { "dropping-particle" : "", "family" : "Fong", "given" : "G W", "non-dropping-particle" : "", "parse-names" : false, "suffix" : "" }, { "dropping-particle" : "", "family" : "Hommer", "given" : "D", "non-dropping-particle" : "", "parse-names" : false, "suffix" : "" } ], "container-title" : "The Journal of neuroscience : the official journal of the Society for Neuroscience", "id" : "ITEM-2", "issue" : "16", "issued" : { "date-parts" : [ [ "2001", "8" ] ] }, "page" : "RC159", "title" : "Anticipation of increasing monetary reward selectively recruits nucleus accumbens.", "type" : "article-journal", "volume" : "21" }, "uris" : [ "http://www.mendeley.com/documents/?uuid=9b3fb09b-6e44-4fed-b325-2ea28b94a2e4", "http://www.mendeley.com/documents/?uuid=9c1bf1b5-3b91-4184-9cc9-eab7a2cff739" ] }, { "id" : "ITEM-3", "itemData" : { "ISSN" : "0959-4965", "PMID" : "11726774", "abstract" : "Reward processing involves both appetitive and consummatory phases. We sought to examine whether reward anticipation vs outcomes would recruit different regions of ventral forebrain circuitry using event-related fMRI. Nine healthy volunteers participated in a monetary incentive delays task in which they either responded to a cued target for monetary reward, responded to a cued target for no reward, or did not respond to a cued target during scanning. Multiple regression analyses indicated that while anticipation of reward vs non-reward activated foci in the ventral striatum, reward vs non-reward outcomes activated foci in the ventromedial frontal cortex. These findings suggest that reward anticipation and outcomes may differentially recruit distinct regions that lie along the trajectory of ascending dopamine projections.", "author" : [ { "dropping-particle" : "", "family" : "Knutson", "given" : "B", "non-dropping-particle" : "", "parse-names" : false, "suffix" : "" }, { "dropping-particle" : "", "family" : "Fong", "given" : "G W", "non-dropping-particle" : "", "parse-names" : false, "suffix" : "" }, { "dropping-particle" : "", "family" : "Adams", "given" : "C M", "non-dropping-particle" : "", "parse-names" : false, "suffix" : "" }, { "dropping-particle" : "", "family" : "Varner", "given" : "J L", "non-dropping-particle" : "", "parse-names" : false, "suffix" : "" }, { "dropping-particle" : "", "family" : "Hommer", "given" : "D", "non-dropping-particle" : "", "parse-names" : false, "suffix" : "" } ], "container-title" : "Neuroreport", "id" : "ITEM-3", "issue" : "17", "issued" : { "date-parts" : [ [ "2001", "12" ] ] }, "page" : "3683-7", "title" : "Dissociation of reward anticipation and outcome with event-related fMRI.", "type" : "article-journal", "volume" : "12" }, "uris" : [ "http://www.mendeley.com/documents/?uuid=34d52d8a-7ae1-4109-976f-77d6905b506d", "http://www.mendeley.com/documents/?uuid=f3a8aa8a-46a5-48c1-bbf5-b97e822eb28e" ] } ], "mendeley" : { "formattedCitation" : "(Knutson &lt;i&gt;et al.&lt;/i&gt; 2000, 2001a, 2001b)", "plainTextFormattedCitation" : "(Knutson et al. 2000, 2001a, 2001b)", "previouslyFormattedCitation" : "(Knutson &lt;i&gt;et al.&lt;/i&gt;, 2000; Knutson, Adams, &lt;i&gt;et al.&lt;/i&gt;, 2001; Knutson, Fong, &lt;i&gt;et al.&lt;/i&gt;, 2001)" }, "properties" : {  }, "schema" : "https://github.com/citation-style-language/schema/raw/master/csl-citation.json" }</w:instrText>
      </w:r>
      <w:r w:rsidR="00EE261B" w:rsidRPr="003F7C7F">
        <w:rPr>
          <w:rFonts w:cs="Calibri"/>
          <w:sz w:val="24"/>
          <w:szCs w:val="24"/>
          <w:lang w:val="en-GB"/>
        </w:rPr>
        <w:fldChar w:fldCharType="separate"/>
      </w:r>
      <w:r w:rsidR="00FE6F88" w:rsidRPr="003F7C7F">
        <w:rPr>
          <w:rFonts w:cs="Calibri"/>
          <w:noProof/>
          <w:sz w:val="24"/>
          <w:szCs w:val="24"/>
          <w:lang w:val="en-GB"/>
        </w:rPr>
        <w:t>(2000, 2001a, 2001b)</w:t>
      </w:r>
      <w:r w:rsidR="00EE261B" w:rsidRPr="003F7C7F">
        <w:rPr>
          <w:rFonts w:cs="Calibri"/>
          <w:sz w:val="24"/>
          <w:szCs w:val="24"/>
          <w:lang w:val="en-GB"/>
        </w:rPr>
        <w:fldChar w:fldCharType="end"/>
      </w:r>
      <w:r w:rsidR="00481627" w:rsidRPr="003F7C7F">
        <w:rPr>
          <w:rFonts w:cs="Calibri"/>
          <w:sz w:val="24"/>
          <w:szCs w:val="24"/>
          <w:lang w:val="en-GB"/>
        </w:rPr>
        <w:t xml:space="preserve"> </w:t>
      </w:r>
      <w:r w:rsidRPr="003F7C7F">
        <w:rPr>
          <w:rFonts w:cs="Calibri"/>
          <w:sz w:val="24"/>
          <w:szCs w:val="24"/>
          <w:lang w:val="en-GB"/>
        </w:rPr>
        <w:t>and modified by Cooper and Knutson</w:t>
      </w:r>
      <w:r w:rsidR="000B5250">
        <w:rPr>
          <w:rFonts w:cs="Calibri"/>
          <w:sz w:val="24"/>
          <w:szCs w:val="24"/>
          <w:lang w:val="en-GB"/>
        </w:rPr>
        <w:t xml:space="preserve"> </w:t>
      </w:r>
      <w:r w:rsidR="00EE261B" w:rsidRPr="003F7C7F">
        <w:rPr>
          <w:rFonts w:cs="Calibri"/>
          <w:sz w:val="24"/>
          <w:szCs w:val="24"/>
          <w:lang w:val="en-GB"/>
        </w:rPr>
        <w:fldChar w:fldCharType="begin" w:fldLock="1"/>
      </w:r>
      <w:r w:rsidR="003F7C7F">
        <w:rPr>
          <w:rFonts w:cs="Calibri"/>
          <w:sz w:val="24"/>
          <w:szCs w:val="24"/>
          <w:lang w:val="en-GB"/>
        </w:rPr>
        <w:instrText>ADDIN CSL_CITATION {"citationItems":[{"id":"ITEM-1","itemData":{"DOI":"10.1016/j.neuroimage.2007.08.009","ISBN":"1053-8119 (Print)\\r1053-8119 (Linking)","ISSN":"10538119","PMID":"17904386","abstract":"Different accounts of nucleus accumbens (NAcc) function have emphasized its role in representing either valence or salience during incentive anticipation. In an event-related FMRI experiment, we independently manipulated valence and salience by cuing participants to anticipate certain and uncertain monetary gains and losses. NAcc activation correlated with both valence and salience. On trials with certain outcomes, NAcc activation increased for anticipated gains and decreased for anticipated losses. On trials with uncertain outcomes, NAcc activation increased for both anticipated gains and losses but did not differ between them. These findings suggest that NAcc activation separately represents both valence and salience, consistent with its hypothesized role in appetitive motivation. ?? 2007 Elsevier Inc. All rights reserved.","author":[{"dropping-particle":"","family":"Cooper","given":"Jeffrey C.","non-dropping-particle":"","parse-names":false,"suffix":""},{"dropping-particle":"","family":"Knutson","given":"Brian","non-dropping-particle":"","parse-names":false,"suffix":""}],"container-title":"NeuroImage","id":"ITEM-1","issue":"1","issued":{"date-parts":[["2008"]]},"page":"538-547","title":"Valence and salience contribute to nucleus accumbens activation","type":"article-journal","volume":"39"},"uris":["http://www.mendeley.com/documents/?uuid=6ee6dab1-6a6c-4ef4-a563-15c533ffb634"]}],"mendeley":{"formattedCitation":"(Cooper &amp; Knutson 2008)","manualFormatting":"(2008)","plainTextFormattedCitation":"(Cooper &amp; Knutson 2008)","previouslyFormattedCitation":"(Cooper and Knutson, 2008)"},"properties":{"noteIndex":0},"schema":"https://github.com/citation-style-language/schema/raw/master/csl-citation.json"}</w:instrText>
      </w:r>
      <w:r w:rsidR="00EE261B" w:rsidRPr="003F7C7F">
        <w:rPr>
          <w:rFonts w:cs="Calibri"/>
          <w:sz w:val="24"/>
          <w:szCs w:val="24"/>
          <w:lang w:val="en-GB"/>
        </w:rPr>
        <w:fldChar w:fldCharType="separate"/>
      </w:r>
      <w:r w:rsidR="00FE6F88" w:rsidRPr="003F7C7F">
        <w:rPr>
          <w:rFonts w:cs="Calibri"/>
          <w:noProof/>
          <w:sz w:val="24"/>
          <w:szCs w:val="24"/>
          <w:lang w:val="en-GB"/>
        </w:rPr>
        <w:t>(2008)</w:t>
      </w:r>
      <w:r w:rsidR="00EE261B" w:rsidRPr="003F7C7F">
        <w:rPr>
          <w:rFonts w:cs="Calibri"/>
          <w:sz w:val="24"/>
          <w:szCs w:val="24"/>
          <w:lang w:val="en-GB"/>
        </w:rPr>
        <w:fldChar w:fldCharType="end"/>
      </w:r>
      <w:r w:rsidRPr="003F7C7F">
        <w:rPr>
          <w:rFonts w:cs="Calibri"/>
          <w:sz w:val="24"/>
          <w:szCs w:val="24"/>
          <w:lang w:val="en-GB"/>
        </w:rPr>
        <w:t xml:space="preserve"> was used to elicit VS activation during reward anticipation. </w:t>
      </w:r>
      <w:r w:rsidR="000B5250">
        <w:rPr>
          <w:rFonts w:cs="Calibri"/>
          <w:sz w:val="24"/>
          <w:szCs w:val="24"/>
          <w:lang w:val="en-GB" w:eastAsia="da-DK"/>
        </w:rPr>
        <w:t>P</w:t>
      </w:r>
      <w:r w:rsidRPr="003F7C7F">
        <w:rPr>
          <w:rFonts w:cs="Calibri"/>
          <w:sz w:val="24"/>
          <w:szCs w:val="24"/>
          <w:lang w:val="en-GB" w:eastAsia="da-DK"/>
        </w:rPr>
        <w:t xml:space="preserve">resented during the fMRI acquisition, </w:t>
      </w:r>
      <w:r w:rsidR="000B5250">
        <w:rPr>
          <w:rFonts w:cs="Calibri"/>
          <w:sz w:val="24"/>
          <w:szCs w:val="24"/>
          <w:lang w:val="en-GB" w:eastAsia="da-DK"/>
        </w:rPr>
        <w:t>the task</w:t>
      </w:r>
      <w:r w:rsidRPr="003F7C7F">
        <w:rPr>
          <w:rFonts w:cs="Calibri"/>
          <w:sz w:val="24"/>
          <w:szCs w:val="24"/>
          <w:lang w:val="en-GB" w:eastAsia="da-DK"/>
        </w:rPr>
        <w:t xml:space="preserve"> consisted of two runs with </w:t>
      </w:r>
      <w:r w:rsidR="000B5250">
        <w:rPr>
          <w:rFonts w:cs="Calibri"/>
          <w:sz w:val="24"/>
          <w:szCs w:val="24"/>
          <w:lang w:val="en-GB" w:eastAsia="da-DK"/>
        </w:rPr>
        <w:t>a</w:t>
      </w:r>
      <w:r w:rsidRPr="003F7C7F">
        <w:rPr>
          <w:rFonts w:cs="Calibri"/>
          <w:sz w:val="24"/>
          <w:szCs w:val="24"/>
          <w:lang w:val="en-GB" w:eastAsia="da-DK"/>
        </w:rPr>
        <w:t xml:space="preserve"> total time of 36 min (18 min/run). </w:t>
      </w:r>
      <w:r w:rsidRPr="003F7C7F">
        <w:rPr>
          <w:rFonts w:cs="Calibri"/>
          <w:sz w:val="24"/>
          <w:szCs w:val="24"/>
          <w:lang w:val="en-GB"/>
        </w:rPr>
        <w:t>Prior to the scanning participants had 10 minutes outside the scanner to practice the task to minimise later learning effects in the scanner.</w:t>
      </w:r>
    </w:p>
    <w:p w14:paraId="6A507915" w14:textId="35662E88" w:rsidR="002D4853" w:rsidRPr="003F7C7F" w:rsidRDefault="00F65FBF" w:rsidP="006E7B37">
      <w:pPr>
        <w:autoSpaceDE w:val="0"/>
        <w:spacing w:after="0" w:line="360" w:lineRule="auto"/>
        <w:jc w:val="both"/>
        <w:rPr>
          <w:lang w:val="en-GB"/>
        </w:rPr>
      </w:pPr>
      <w:r w:rsidRPr="003F7C7F">
        <w:rPr>
          <w:rFonts w:cs="Calibri"/>
          <w:noProof/>
          <w:sz w:val="24"/>
          <w:szCs w:val="24"/>
          <w:lang w:val="en-GB" w:eastAsia="da-DK"/>
        </w:rPr>
        <mc:AlternateContent>
          <mc:Choice Requires="wps">
            <w:drawing>
              <wp:anchor distT="0" distB="0" distL="114300" distR="114300" simplePos="0" relativeHeight="251660288" behindDoc="0" locked="0" layoutInCell="1" allowOverlap="1" wp14:anchorId="2DD4A820" wp14:editId="2575DB2E">
                <wp:simplePos x="0" y="0"/>
                <wp:positionH relativeFrom="column">
                  <wp:posOffset>-205740</wp:posOffset>
                </wp:positionH>
                <wp:positionV relativeFrom="paragraph">
                  <wp:posOffset>238760</wp:posOffset>
                </wp:positionV>
                <wp:extent cx="2489835" cy="1781175"/>
                <wp:effectExtent l="19050" t="17145" r="15240" b="20955"/>
                <wp:wrapNone/>
                <wp:docPr id="28"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9835" cy="1781175"/>
                        </a:xfrm>
                        <a:custGeom>
                          <a:avLst/>
                          <a:gdLst>
                            <a:gd name="T0" fmla="*/ 1244919 w 2489838"/>
                            <a:gd name="T1" fmla="*/ 0 h 1781178"/>
                            <a:gd name="T2" fmla="*/ 2489838 w 2489838"/>
                            <a:gd name="T3" fmla="*/ 890589 h 1781178"/>
                            <a:gd name="T4" fmla="*/ 1244919 w 2489838"/>
                            <a:gd name="T5" fmla="*/ 1781178 h 1781178"/>
                            <a:gd name="T6" fmla="*/ 0 w 2489838"/>
                            <a:gd name="T7" fmla="*/ 890589 h 1781178"/>
                            <a:gd name="T8" fmla="*/ 364628 w 2489838"/>
                            <a:gd name="T9" fmla="*/ 260847 h 1781178"/>
                            <a:gd name="T10" fmla="*/ 364628 w 2489838"/>
                            <a:gd name="T11" fmla="*/ 1520331 h 1781178"/>
                            <a:gd name="T12" fmla="*/ 2125210 w 2489838"/>
                            <a:gd name="T13" fmla="*/ 1520331 h 1781178"/>
                            <a:gd name="T14" fmla="*/ 2125210 w 2489838"/>
                            <a:gd name="T15" fmla="*/ 260847 h 1781178"/>
                            <a:gd name="T16" fmla="*/ 17694720 60000 65536"/>
                            <a:gd name="T17" fmla="*/ 0 60000 65536"/>
                            <a:gd name="T18" fmla="*/ 5898240 60000 65536"/>
                            <a:gd name="T19" fmla="*/ 11796480 60000 65536"/>
                            <a:gd name="T20" fmla="*/ 17694720 60000 65536"/>
                            <a:gd name="T21" fmla="*/ 5898240 60000 65536"/>
                            <a:gd name="T22" fmla="*/ 5898240 60000 65536"/>
                            <a:gd name="T23" fmla="*/ 17694720 60000 65536"/>
                            <a:gd name="T24" fmla="*/ 364628 w 2489838"/>
                            <a:gd name="T25" fmla="*/ 260847 h 1781178"/>
                            <a:gd name="T26" fmla="*/ 2125210 w 2489838"/>
                            <a:gd name="T27" fmla="*/ 1520331 h 178117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489838" h="1781178">
                              <a:moveTo>
                                <a:pt x="0" y="890589"/>
                              </a:moveTo>
                              <a:lnTo>
                                <a:pt x="0" y="890589"/>
                              </a:lnTo>
                              <a:cubicBezTo>
                                <a:pt x="0" y="1382447"/>
                                <a:pt x="557369" y="1781177"/>
                                <a:pt x="1244918" y="1781178"/>
                              </a:cubicBezTo>
                              <a:cubicBezTo>
                                <a:pt x="1932468" y="1781178"/>
                                <a:pt x="2489838" y="1382447"/>
                                <a:pt x="2489838" y="890589"/>
                              </a:cubicBezTo>
                              <a:cubicBezTo>
                                <a:pt x="2489838" y="398730"/>
                                <a:pt x="1932468" y="0"/>
                                <a:pt x="1244919" y="0"/>
                              </a:cubicBezTo>
                              <a:cubicBezTo>
                                <a:pt x="557369" y="0"/>
                                <a:pt x="0" y="398730"/>
                                <a:pt x="0" y="890589"/>
                              </a:cubicBezTo>
                              <a:close/>
                            </a:path>
                          </a:pathLst>
                        </a:custGeom>
                        <a:solidFill>
                          <a:srgbClr val="000000"/>
                        </a:solidFill>
                        <a:ln w="25401">
                          <a:solidFill>
                            <a:srgbClr val="000000"/>
                          </a:solidFill>
                          <a:miter lim="800000"/>
                          <a:headEnd/>
                          <a:tailEnd/>
                        </a:ln>
                      </wps:spPr>
                      <wps:txbx>
                        <w:txbxContent>
                          <w:p w14:paraId="5485B4B4" w14:textId="5E87BD67" w:rsidR="002562AC" w:rsidRDefault="00182C82">
                            <w:pPr>
                              <w:pStyle w:val="NormalWeb"/>
                              <w:spacing w:before="0" w:after="0"/>
                              <w:jc w:val="center"/>
                              <w:textAlignment w:val="baseline"/>
                            </w:pPr>
                            <w:r>
                              <w:rPr>
                                <w:noProof/>
                              </w:rPr>
                              <w:drawing>
                                <wp:inline distT="0" distB="0" distL="0" distR="0" wp14:anchorId="23A65924" wp14:editId="75466A11">
                                  <wp:extent cx="1613535" cy="105007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3535" cy="1050078"/>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D4A820" id="Ellipse 1" o:spid="_x0000_s1026" style="position:absolute;left:0;text-align:left;margin-left:-16.2pt;margin-top:18.8pt;width:196.05pt;height:14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89838,1781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" adj="-11796480,,5400" path="m,890589r,c,1382447,557369,1781177,1244918,1781178v687550,,1244920,-398731,1244920,-890589c2489838,398730,1932468,,1244919,,557369,,,398730,,890589xe" fillcolor="black" strokeweight=".70558mm">
                <v:stroke joinstyle="miter"/>
                <v:formulas/>
                <v:path arrowok="t" o:connecttype="custom" o:connectlocs="1244918,0;2489835,890588;1244918,1781175;0,890588;364628,260847;364628,1520328;2125207,1520328;2125207,260847" o:connectangles="270,0,90,180,270,90,90,270" textboxrect="364628,260847,2125210,1520331"/>
                <v:textbox>
                  <w:txbxContent>
                    <w:p w14:paraId="5485B4B4" w14:textId="5E87BD67" w:rsidR="002562AC" w:rsidRDefault="00182C82">
                      <w:pPr>
                        <w:pStyle w:val="NormalWeb"/>
                        <w:spacing w:before="0" w:after="0"/>
                        <w:jc w:val="center"/>
                        <w:textAlignment w:val="baseline"/>
                      </w:pPr>
                      <w:r>
                        <w:rPr>
                          <w:noProof/>
                        </w:rPr>
                        <w:drawing>
                          <wp:inline distT="0" distB="0" distL="0" distR="0" wp14:anchorId="23A65924" wp14:editId="75466A11">
                            <wp:extent cx="1613535" cy="105007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3535" cy="1050078"/>
                                    </a:xfrm>
                                    <a:prstGeom prst="rect">
                                      <a:avLst/>
                                    </a:prstGeom>
                                    <a:noFill/>
                                    <a:ln>
                                      <a:noFill/>
                                    </a:ln>
                                  </pic:spPr>
                                </pic:pic>
                              </a:graphicData>
                            </a:graphic>
                          </wp:inline>
                        </w:drawing>
                      </w:r>
                    </w:p>
                  </w:txbxContent>
                </v:textbox>
              </v:shape>
            </w:pict>
          </mc:Fallback>
        </mc:AlternateContent>
      </w:r>
    </w:p>
    <w:p w14:paraId="2C420CBF" w14:textId="77777777" w:rsidR="002D4853" w:rsidRPr="003F7C7F" w:rsidRDefault="002D4853" w:rsidP="006E7B37">
      <w:pPr>
        <w:autoSpaceDE w:val="0"/>
        <w:spacing w:after="0" w:line="360" w:lineRule="auto"/>
        <w:jc w:val="both"/>
        <w:rPr>
          <w:rFonts w:cs="Calibri"/>
          <w:sz w:val="24"/>
          <w:szCs w:val="24"/>
          <w:lang w:val="en-GB"/>
        </w:rPr>
      </w:pPr>
    </w:p>
    <w:p w14:paraId="7CEFC75C" w14:textId="11F84545" w:rsidR="002D4853" w:rsidRPr="003F7C7F" w:rsidRDefault="00F65FBF" w:rsidP="006E7B37">
      <w:pPr>
        <w:autoSpaceDE w:val="0"/>
        <w:spacing w:after="0" w:line="360" w:lineRule="auto"/>
        <w:jc w:val="both"/>
        <w:rPr>
          <w:lang w:val="en-GB"/>
        </w:rPr>
      </w:pPr>
      <w:r w:rsidRPr="003F7C7F">
        <w:rPr>
          <w:rFonts w:cs="Calibri"/>
          <w:noProof/>
          <w:sz w:val="24"/>
          <w:szCs w:val="24"/>
          <w:lang w:val="en-GB" w:eastAsia="da-DK"/>
        </w:rPr>
        <mc:AlternateContent>
          <mc:Choice Requires="wps">
            <w:drawing>
              <wp:anchor distT="0" distB="0" distL="114300" distR="114300" simplePos="0" relativeHeight="251659264" behindDoc="0" locked="0" layoutInCell="1" allowOverlap="1" wp14:anchorId="5242B029" wp14:editId="40016E7B">
                <wp:simplePos x="0" y="0"/>
                <wp:positionH relativeFrom="column">
                  <wp:posOffset>2242185</wp:posOffset>
                </wp:positionH>
                <wp:positionV relativeFrom="paragraph">
                  <wp:posOffset>276225</wp:posOffset>
                </wp:positionV>
                <wp:extent cx="789940" cy="731520"/>
                <wp:effectExtent l="19050" t="15240" r="19685" b="15240"/>
                <wp:wrapNone/>
                <wp:docPr id="27" name="Rektange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731520"/>
                        </a:xfrm>
                        <a:prstGeom prst="rect">
                          <a:avLst/>
                        </a:prstGeom>
                        <a:solidFill>
                          <a:srgbClr val="000000"/>
                        </a:solidFill>
                        <a:ln w="25401">
                          <a:solidFill>
                            <a:srgbClr val="000000"/>
                          </a:solidFill>
                          <a:miter lim="800000"/>
                          <a:headEnd/>
                          <a:tailEnd/>
                        </a:ln>
                      </wps:spPr>
                      <wps:txbx>
                        <w:txbxContent>
                          <w:p w14:paraId="3FC0AF7D" w14:textId="77777777" w:rsidR="002562AC" w:rsidRDefault="002562AC">
                            <w:pPr>
                              <w:pStyle w:val="NormalWeb"/>
                              <w:spacing w:before="0" w:after="0"/>
                              <w:jc w:val="center"/>
                              <w:textAlignment w:val="baseline"/>
                            </w:pPr>
                            <w:r>
                              <w:rPr>
                                <w:rFonts w:ascii="Calibri" w:hAnsi="Calibri"/>
                                <w:color w:val="FFFFFF"/>
                                <w:kern w:val="3"/>
                                <w:sz w:val="36"/>
                                <w:szCs w:val="3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42B029" id="Rektangel 19" o:spid="_x0000_s1027" style="position:absolute;left:0;text-align:left;margin-left:176.55pt;margin-top:21.75pt;width:62.2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" fillcolor="black" strokeweight=".70558mm">
                <v:textbox>
                  <w:txbxContent>
                    <w:p w14:paraId="3FC0AF7D" w14:textId="77777777" w:rsidR="002562AC" w:rsidRDefault="002562AC">
                      <w:pPr>
                        <w:pStyle w:val="NormalWeb"/>
                        <w:spacing w:before="0" w:after="0"/>
                        <w:jc w:val="center"/>
                        <w:textAlignment w:val="baseline"/>
                      </w:pPr>
                      <w:r>
                        <w:rPr>
                          <w:rFonts w:ascii="Calibri" w:hAnsi="Calibri"/>
                          <w:color w:val="FFFFFF"/>
                          <w:kern w:val="3"/>
                          <w:sz w:val="36"/>
                          <w:szCs w:val="36"/>
                        </w:rPr>
                        <w:t>+</w:t>
                      </w:r>
                    </w:p>
                  </w:txbxContent>
                </v:textbox>
              </v:rect>
            </w:pict>
          </mc:Fallback>
        </mc:AlternateContent>
      </w:r>
    </w:p>
    <w:p w14:paraId="15C01BAC" w14:textId="0C94A564" w:rsidR="002D4853" w:rsidRPr="003F7C7F" w:rsidRDefault="00F65FBF" w:rsidP="006E7B37">
      <w:pPr>
        <w:autoSpaceDE w:val="0"/>
        <w:spacing w:after="0" w:line="360" w:lineRule="auto"/>
        <w:jc w:val="both"/>
        <w:rPr>
          <w:lang w:val="en-GB"/>
        </w:rPr>
      </w:pPr>
      <w:r w:rsidRPr="003F7C7F">
        <w:rPr>
          <w:rFonts w:cs="Calibri"/>
          <w:noProof/>
          <w:sz w:val="24"/>
          <w:szCs w:val="24"/>
          <w:lang w:val="en-GB" w:eastAsia="da-DK"/>
        </w:rPr>
        <mc:AlternateContent>
          <mc:Choice Requires="wps">
            <w:drawing>
              <wp:anchor distT="0" distB="0" distL="114300" distR="114300" simplePos="0" relativeHeight="251661312" behindDoc="0" locked="0" layoutInCell="1" allowOverlap="1" wp14:anchorId="636CFB3F" wp14:editId="395F0020">
                <wp:simplePos x="0" y="0"/>
                <wp:positionH relativeFrom="column">
                  <wp:posOffset>3680460</wp:posOffset>
                </wp:positionH>
                <wp:positionV relativeFrom="paragraph">
                  <wp:posOffset>266065</wp:posOffset>
                </wp:positionV>
                <wp:extent cx="2352675" cy="1744345"/>
                <wp:effectExtent l="19050" t="22225" r="19050" b="14605"/>
                <wp:wrapNone/>
                <wp:docPr id="26"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2675" cy="1744345"/>
                        </a:xfrm>
                        <a:custGeom>
                          <a:avLst/>
                          <a:gdLst>
                            <a:gd name="T0" fmla="*/ 1176339 w 2352678"/>
                            <a:gd name="T1" fmla="*/ 0 h 1744346"/>
                            <a:gd name="T2" fmla="*/ 2352678 w 2352678"/>
                            <a:gd name="T3" fmla="*/ 872173 h 1744346"/>
                            <a:gd name="T4" fmla="*/ 1176339 w 2352678"/>
                            <a:gd name="T5" fmla="*/ 1744346 h 1744346"/>
                            <a:gd name="T6" fmla="*/ 0 w 2352678"/>
                            <a:gd name="T7" fmla="*/ 872173 h 1744346"/>
                            <a:gd name="T8" fmla="*/ 344542 w 2352678"/>
                            <a:gd name="T9" fmla="*/ 255454 h 1744346"/>
                            <a:gd name="T10" fmla="*/ 344542 w 2352678"/>
                            <a:gd name="T11" fmla="*/ 1488892 h 1744346"/>
                            <a:gd name="T12" fmla="*/ 2008136 w 2352678"/>
                            <a:gd name="T13" fmla="*/ 1488892 h 1744346"/>
                            <a:gd name="T14" fmla="*/ 2008136 w 2352678"/>
                            <a:gd name="T15" fmla="*/ 255454 h 1744346"/>
                            <a:gd name="T16" fmla="*/ 17694720 60000 65536"/>
                            <a:gd name="T17" fmla="*/ 0 60000 65536"/>
                            <a:gd name="T18" fmla="*/ 5898240 60000 65536"/>
                            <a:gd name="T19" fmla="*/ 11796480 60000 65536"/>
                            <a:gd name="T20" fmla="*/ 17694720 60000 65536"/>
                            <a:gd name="T21" fmla="*/ 5898240 60000 65536"/>
                            <a:gd name="T22" fmla="*/ 5898240 60000 65536"/>
                            <a:gd name="T23" fmla="*/ 17694720 60000 65536"/>
                            <a:gd name="T24" fmla="*/ 344542 w 2352678"/>
                            <a:gd name="T25" fmla="*/ 255454 h 1744346"/>
                            <a:gd name="T26" fmla="*/ 2008136 w 2352678"/>
                            <a:gd name="T27" fmla="*/ 1488892 h 174434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352678" h="1744346">
                              <a:moveTo>
                                <a:pt x="0" y="872173"/>
                              </a:moveTo>
                              <a:lnTo>
                                <a:pt x="0" y="872173"/>
                              </a:lnTo>
                              <a:cubicBezTo>
                                <a:pt x="0" y="1353860"/>
                                <a:pt x="526664" y="1744345"/>
                                <a:pt x="1176338" y="1744346"/>
                              </a:cubicBezTo>
                              <a:cubicBezTo>
                                <a:pt x="1826013" y="1744346"/>
                                <a:pt x="2352678" y="1353860"/>
                                <a:pt x="2352678" y="872173"/>
                              </a:cubicBezTo>
                              <a:cubicBezTo>
                                <a:pt x="2352678" y="390485"/>
                                <a:pt x="1826013" y="0"/>
                                <a:pt x="1176339" y="0"/>
                              </a:cubicBezTo>
                              <a:cubicBezTo>
                                <a:pt x="526664" y="0"/>
                                <a:pt x="0" y="390485"/>
                                <a:pt x="0" y="872173"/>
                              </a:cubicBezTo>
                              <a:close/>
                            </a:path>
                          </a:pathLst>
                        </a:custGeom>
                        <a:solidFill>
                          <a:srgbClr val="000000"/>
                        </a:solidFill>
                        <a:ln w="25401">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B8633" id="Ellipse 3" o:spid="_x0000_s1026" style="position:absolute;margin-left:289.8pt;margin-top:20.95pt;width:185.25pt;height:13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2678,1744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" path="m,872173r,c,1353860,526664,1744345,1176338,1744346v649675,,1176340,-390486,1176340,-872173c2352678,390485,1826013,,1176339,,526664,,,390485,,872173xe" fillcolor="black" strokeweight=".70558mm">
                <v:path arrowok="t" o:connecttype="custom" o:connectlocs="1176338,0;2352675,872173;1176338,1744345;0,872173;344542,255454;344542,1488891;2008133,1488891;2008133,255454" o:connectangles="270,0,90,180,270,90,90,270" textboxrect="344542,255454,2008136,1488892"/>
              </v:shape>
            </w:pict>
          </mc:Fallback>
        </mc:AlternateContent>
      </w:r>
      <w:r w:rsidRPr="003F7C7F">
        <w:rPr>
          <w:rFonts w:cs="Calibri"/>
          <w:noProof/>
          <w:sz w:val="24"/>
          <w:szCs w:val="24"/>
          <w:lang w:val="en-GB" w:eastAsia="da-DK"/>
        </w:rPr>
        <mc:AlternateContent>
          <mc:Choice Requires="wps">
            <w:drawing>
              <wp:anchor distT="0" distB="0" distL="114300" distR="114300" simplePos="0" relativeHeight="251675648" behindDoc="0" locked="0" layoutInCell="1" allowOverlap="1" wp14:anchorId="66EF7E5F" wp14:editId="77F0AF4C">
                <wp:simplePos x="0" y="0"/>
                <wp:positionH relativeFrom="column">
                  <wp:posOffset>3042285</wp:posOffset>
                </wp:positionH>
                <wp:positionV relativeFrom="paragraph">
                  <wp:posOffset>189865</wp:posOffset>
                </wp:positionV>
                <wp:extent cx="761365" cy="731520"/>
                <wp:effectExtent l="19050" t="22225" r="19685" b="17780"/>
                <wp:wrapNone/>
                <wp:docPr id="25"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731520"/>
                        </a:xfrm>
                        <a:prstGeom prst="rect">
                          <a:avLst/>
                        </a:prstGeom>
                        <a:solidFill>
                          <a:srgbClr val="000000"/>
                        </a:solidFill>
                        <a:ln w="25401">
                          <a:solidFill>
                            <a:srgbClr val="000000"/>
                          </a:solidFill>
                          <a:miter lim="800000"/>
                          <a:headEnd/>
                          <a:tailEnd/>
                        </a:ln>
                      </wps:spPr>
                      <wps:txbx>
                        <w:txbxContent>
                          <w:p w14:paraId="02F3D5EA" w14:textId="77777777" w:rsidR="002562AC" w:rsidRDefault="002562AC">
                            <w:pPr>
                              <w:pStyle w:val="NormalWeb"/>
                              <w:spacing w:before="0" w:after="0"/>
                              <w:jc w:val="center"/>
                              <w:textAlignment w:val="baseline"/>
                            </w:pPr>
                            <w:r>
                              <w:rPr>
                                <w:rFonts w:ascii="Calibri" w:hAnsi="Calibri"/>
                                <w:color w:val="FFFFFF"/>
                                <w:kern w:val="3"/>
                                <w:sz w:val="36"/>
                                <w:szCs w:val="36"/>
                              </w:rPr>
                              <w:t>Press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EF7E5F" id="Rektangel 20" o:spid="_x0000_s1028" style="position:absolute;left:0;text-align:left;margin-left:239.55pt;margin-top:14.95pt;width:59.95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" fillcolor="black" strokeweight=".70558mm">
                <v:textbox>
                  <w:txbxContent>
                    <w:p w14:paraId="02F3D5EA" w14:textId="77777777" w:rsidR="002562AC" w:rsidRDefault="002562AC">
                      <w:pPr>
                        <w:pStyle w:val="NormalWeb"/>
                        <w:spacing w:before="0" w:after="0"/>
                        <w:jc w:val="center"/>
                        <w:textAlignment w:val="baseline"/>
                      </w:pPr>
                      <w:r>
                        <w:rPr>
                          <w:rFonts w:ascii="Calibri" w:hAnsi="Calibri"/>
                          <w:color w:val="FFFFFF"/>
                          <w:kern w:val="3"/>
                          <w:sz w:val="36"/>
                          <w:szCs w:val="36"/>
                        </w:rPr>
                        <w:t>Press</w:t>
                      </w:r>
                    </w:p>
                  </w:txbxContent>
                </v:textbox>
              </v:rect>
            </w:pict>
          </mc:Fallback>
        </mc:AlternateContent>
      </w:r>
    </w:p>
    <w:p w14:paraId="05F243B8" w14:textId="77777777" w:rsidR="002D4853" w:rsidRPr="003F7C7F" w:rsidRDefault="00DB79E1" w:rsidP="006E7B37">
      <w:pPr>
        <w:autoSpaceDE w:val="0"/>
        <w:spacing w:after="0" w:line="360" w:lineRule="auto"/>
        <w:jc w:val="both"/>
        <w:rPr>
          <w:lang w:val="en-GB"/>
        </w:rPr>
      </w:pPr>
      <w:r w:rsidRPr="003F7C7F">
        <w:rPr>
          <w:rFonts w:cs="Calibri"/>
          <w:noProof/>
          <w:sz w:val="24"/>
          <w:szCs w:val="24"/>
          <w:lang w:val="en-GB" w:eastAsia="da-DK"/>
        </w:rPr>
        <w:drawing>
          <wp:anchor distT="0" distB="0" distL="114300" distR="114300" simplePos="0" relativeHeight="251673600" behindDoc="0" locked="0" layoutInCell="1" allowOverlap="1" wp14:anchorId="0CCFDE3A" wp14:editId="1D8D1723">
            <wp:simplePos x="0" y="0"/>
            <wp:positionH relativeFrom="column">
              <wp:posOffset>4027803</wp:posOffset>
            </wp:positionH>
            <wp:positionV relativeFrom="paragraph">
              <wp:posOffset>318138</wp:posOffset>
            </wp:positionV>
            <wp:extent cx="1644648" cy="923928"/>
            <wp:effectExtent l="0" t="0" r="0" b="9522"/>
            <wp:wrapNone/>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1644648" cy="923928"/>
                    </a:xfrm>
                    <a:prstGeom prst="rect">
                      <a:avLst/>
                    </a:prstGeom>
                    <a:noFill/>
                    <a:ln>
                      <a:noFill/>
                      <a:prstDash/>
                    </a:ln>
                  </pic:spPr>
                </pic:pic>
              </a:graphicData>
            </a:graphic>
          </wp:anchor>
        </w:drawing>
      </w:r>
    </w:p>
    <w:p w14:paraId="3A1CA018" w14:textId="77777777" w:rsidR="002D4853" w:rsidRPr="003F7C7F" w:rsidRDefault="002D4853" w:rsidP="006E7B37">
      <w:pPr>
        <w:autoSpaceDE w:val="0"/>
        <w:spacing w:after="0" w:line="360" w:lineRule="auto"/>
        <w:jc w:val="both"/>
        <w:rPr>
          <w:rFonts w:cs="Calibri"/>
          <w:sz w:val="24"/>
          <w:szCs w:val="24"/>
          <w:lang w:val="en-GB"/>
        </w:rPr>
      </w:pPr>
    </w:p>
    <w:p w14:paraId="51D2A937" w14:textId="77777777" w:rsidR="006E7B37" w:rsidRPr="003F7C7F" w:rsidRDefault="006E7B37" w:rsidP="006E7B37">
      <w:pPr>
        <w:autoSpaceDE w:val="0"/>
        <w:spacing w:after="0" w:line="360" w:lineRule="auto"/>
        <w:jc w:val="both"/>
        <w:rPr>
          <w:rFonts w:cs="Calibri"/>
          <w:szCs w:val="24"/>
          <w:lang w:val="en-GB"/>
        </w:rPr>
      </w:pPr>
    </w:p>
    <w:p w14:paraId="19B285D0" w14:textId="77777777" w:rsidR="006E7B37" w:rsidRPr="003F7C7F" w:rsidRDefault="006E7B37" w:rsidP="006E7B37">
      <w:pPr>
        <w:autoSpaceDE w:val="0"/>
        <w:spacing w:after="0" w:line="360" w:lineRule="auto"/>
        <w:jc w:val="both"/>
        <w:rPr>
          <w:rFonts w:cs="Calibri"/>
          <w:szCs w:val="24"/>
          <w:lang w:val="en-GB"/>
        </w:rPr>
      </w:pPr>
    </w:p>
    <w:p w14:paraId="480192BF" w14:textId="77777777" w:rsidR="00D266CC" w:rsidRPr="003F7C7F" w:rsidRDefault="00D266CC" w:rsidP="006E7B37">
      <w:pPr>
        <w:autoSpaceDE w:val="0"/>
        <w:spacing w:after="0" w:line="360" w:lineRule="auto"/>
        <w:jc w:val="both"/>
        <w:rPr>
          <w:rFonts w:cs="Calibri"/>
          <w:b/>
          <w:szCs w:val="24"/>
          <w:lang w:val="en-GB"/>
        </w:rPr>
      </w:pPr>
    </w:p>
    <w:p w14:paraId="7F679402" w14:textId="77777777" w:rsidR="00D266CC" w:rsidRPr="003F7C7F" w:rsidRDefault="00D266CC" w:rsidP="006E7B37">
      <w:pPr>
        <w:autoSpaceDE w:val="0"/>
        <w:spacing w:after="0" w:line="360" w:lineRule="auto"/>
        <w:jc w:val="both"/>
        <w:rPr>
          <w:rFonts w:cs="Calibri"/>
          <w:b/>
          <w:szCs w:val="24"/>
          <w:lang w:val="en-GB"/>
        </w:rPr>
      </w:pPr>
    </w:p>
    <w:p w14:paraId="5041F5DA" w14:textId="4060506B" w:rsidR="002D4853" w:rsidRPr="003F7C7F" w:rsidRDefault="00DB79E1" w:rsidP="006E7B37">
      <w:pPr>
        <w:autoSpaceDE w:val="0"/>
        <w:spacing w:after="0" w:line="360" w:lineRule="auto"/>
        <w:jc w:val="both"/>
        <w:rPr>
          <w:rFonts w:cs="Calibri"/>
          <w:szCs w:val="24"/>
          <w:lang w:val="en-GB"/>
        </w:rPr>
      </w:pPr>
      <w:r w:rsidRPr="003F7C7F">
        <w:rPr>
          <w:rFonts w:cs="Calibri"/>
          <w:b/>
          <w:szCs w:val="24"/>
          <w:lang w:val="en-GB"/>
        </w:rPr>
        <w:t>Figure S</w:t>
      </w:r>
      <w:r w:rsidR="00D266CC" w:rsidRPr="003F7C7F">
        <w:rPr>
          <w:rFonts w:cs="Calibri"/>
          <w:b/>
          <w:szCs w:val="24"/>
          <w:lang w:val="en-GB"/>
        </w:rPr>
        <w:t>1</w:t>
      </w:r>
      <w:r w:rsidRPr="003F7C7F">
        <w:rPr>
          <w:rFonts w:cs="Calibri"/>
          <w:b/>
          <w:szCs w:val="24"/>
          <w:lang w:val="en-GB"/>
        </w:rPr>
        <w:t>.</w:t>
      </w:r>
      <w:r w:rsidRPr="003F7C7F">
        <w:rPr>
          <w:rFonts w:cs="Calibri"/>
          <w:szCs w:val="24"/>
          <w:lang w:val="en-GB"/>
        </w:rPr>
        <w:t xml:space="preserve"> </w:t>
      </w:r>
      <w:r w:rsidRPr="003F7C7F">
        <w:rPr>
          <w:rFonts w:cs="Calibri"/>
          <w:i/>
          <w:szCs w:val="24"/>
          <w:lang w:val="en-GB"/>
        </w:rPr>
        <w:t xml:space="preserve">The reward </w:t>
      </w:r>
      <w:proofErr w:type="gramStart"/>
      <w:r w:rsidRPr="003F7C7F">
        <w:rPr>
          <w:rFonts w:cs="Calibri"/>
          <w:i/>
          <w:szCs w:val="24"/>
          <w:lang w:val="en-GB"/>
        </w:rPr>
        <w:t>task</w:t>
      </w:r>
      <w:proofErr w:type="gramEnd"/>
    </w:p>
    <w:p w14:paraId="434BA4E4" w14:textId="43A5FCC6" w:rsidR="00D266CC" w:rsidRPr="003F7C7F" w:rsidRDefault="00F65FBF" w:rsidP="006E7B37">
      <w:pPr>
        <w:autoSpaceDE w:val="0"/>
        <w:spacing w:after="0" w:line="360" w:lineRule="auto"/>
        <w:jc w:val="both"/>
        <w:rPr>
          <w:lang w:val="en-GB"/>
        </w:rPr>
      </w:pPr>
      <w:r w:rsidRPr="003F7C7F">
        <w:rPr>
          <w:rFonts w:cs="Calibri"/>
          <w:noProof/>
          <w:sz w:val="24"/>
          <w:szCs w:val="24"/>
          <w:lang w:val="en-GB" w:eastAsia="da-DK"/>
        </w:rPr>
        <mc:AlternateContent>
          <mc:Choice Requires="wps">
            <w:drawing>
              <wp:anchor distT="0" distB="0" distL="114300" distR="114300" simplePos="0" relativeHeight="251667456" behindDoc="0" locked="0" layoutInCell="1" allowOverlap="1" wp14:anchorId="48BD58CE" wp14:editId="35ADA6CD">
                <wp:simplePos x="0" y="0"/>
                <wp:positionH relativeFrom="column">
                  <wp:posOffset>149225</wp:posOffset>
                </wp:positionH>
                <wp:positionV relativeFrom="paragraph">
                  <wp:posOffset>-2724150</wp:posOffset>
                </wp:positionV>
                <wp:extent cx="483870" cy="977265"/>
                <wp:effectExtent l="2540" t="2540" r="0" b="1270"/>
                <wp:wrapNone/>
                <wp:docPr id="24" name="Opadgående pi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977265"/>
                        </a:xfrm>
                        <a:custGeom>
                          <a:avLst/>
                          <a:gdLst>
                            <a:gd name="T0" fmla="*/ 241937 w 21600"/>
                            <a:gd name="T1" fmla="*/ 0 h 21600"/>
                            <a:gd name="T2" fmla="*/ 483873 w 21600"/>
                            <a:gd name="T3" fmla="*/ 488633 h 21600"/>
                            <a:gd name="T4" fmla="*/ 241937 w 21600"/>
                            <a:gd name="T5" fmla="*/ 977265 h 21600"/>
                            <a:gd name="T6" fmla="*/ 0 w 21600"/>
                            <a:gd name="T7" fmla="*/ 488633 h 21600"/>
                            <a:gd name="T8" fmla="*/ 0 w 21600"/>
                            <a:gd name="T9" fmla="*/ 242099 h 21600"/>
                            <a:gd name="T10" fmla="*/ 483873 w 21600"/>
                            <a:gd name="T11" fmla="*/ 242099 h 21600"/>
                            <a:gd name="T12" fmla="*/ 17694720 60000 65536"/>
                            <a:gd name="T13" fmla="*/ 0 60000 65536"/>
                            <a:gd name="T14" fmla="*/ 5898240 60000 65536"/>
                            <a:gd name="T15" fmla="*/ 11796480 60000 65536"/>
                            <a:gd name="T16" fmla="*/ 11796480 60000 65536"/>
                            <a:gd name="T17" fmla="*/ 0 60000 65536"/>
                            <a:gd name="T18" fmla="*/ 5400 w 21600"/>
                            <a:gd name="T19" fmla="*/ 2676 h 21600"/>
                            <a:gd name="T20" fmla="*/ 162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custGeom>
                        <a:gradFill rotWithShape="0">
                          <a:gsLst>
                            <a:gs pos="0">
                              <a:srgbClr val="769535"/>
                            </a:gs>
                            <a:gs pos="100000">
                              <a:srgbClr val="9BC348"/>
                            </a:gs>
                          </a:gsLst>
                          <a:lin ang="16200000"/>
                        </a:gra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CC2E1" id="Opadgående pil 11" o:spid="_x0000_s1026" style="position:absolute;margin-left:11.75pt;margin-top:-214.5pt;width:38.1pt;height:7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" fillcolor="#769535" stroked="f">
                <v:fill color2="#9bc348" angle="180" focus="100%" type="gradient">
                  <o:fill v:ext="view" type="gradientUnscaled"/>
                </v:fill>
                <v:shadow on="t" opacity="22936f" origin="-.5,-.5" offset="0,.63881mm"/>
                <v:path arrowok="t" o:connecttype="custom" o:connectlocs="5419725,0;10839427,22107589;5419725,44215133;0,22107589;0,10953467;10839427,10953467" o:connectangles="270,0,90,180,180,0" textboxrect="@1,@1,@1,@1"/>
              </v:shape>
            </w:pict>
          </mc:Fallback>
        </mc:AlternateContent>
      </w:r>
      <w:r w:rsidRPr="003F7C7F">
        <w:rPr>
          <w:rFonts w:cs="Calibri"/>
          <w:noProof/>
          <w:sz w:val="24"/>
          <w:szCs w:val="24"/>
          <w:lang w:val="en-GB" w:eastAsia="da-DK"/>
        </w:rPr>
        <mc:AlternateContent>
          <mc:Choice Requires="wps">
            <w:drawing>
              <wp:anchor distT="0" distB="0" distL="114300" distR="114300" simplePos="0" relativeHeight="251668480" behindDoc="0" locked="0" layoutInCell="1" allowOverlap="1" wp14:anchorId="2304AE6E" wp14:editId="0428393D">
                <wp:simplePos x="0" y="0"/>
                <wp:positionH relativeFrom="column">
                  <wp:posOffset>756285</wp:posOffset>
                </wp:positionH>
                <wp:positionV relativeFrom="paragraph">
                  <wp:posOffset>-2652395</wp:posOffset>
                </wp:positionV>
                <wp:extent cx="483870" cy="977265"/>
                <wp:effectExtent l="0" t="0" r="1905" b="0"/>
                <wp:wrapNone/>
                <wp:docPr id="23" name="Nedadgående pi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977265"/>
                        </a:xfrm>
                        <a:custGeom>
                          <a:avLst/>
                          <a:gdLst>
                            <a:gd name="T0" fmla="*/ 241937 w 21600"/>
                            <a:gd name="T1" fmla="*/ 0 h 21600"/>
                            <a:gd name="T2" fmla="*/ 483873 w 21600"/>
                            <a:gd name="T3" fmla="*/ 488633 h 21600"/>
                            <a:gd name="T4" fmla="*/ 241937 w 21600"/>
                            <a:gd name="T5" fmla="*/ 977265 h 21600"/>
                            <a:gd name="T6" fmla="*/ 0 w 21600"/>
                            <a:gd name="T7" fmla="*/ 488633 h 21600"/>
                            <a:gd name="T8" fmla="*/ 0 w 21600"/>
                            <a:gd name="T9" fmla="*/ 735166 h 21600"/>
                            <a:gd name="T10" fmla="*/ 483873 w 21600"/>
                            <a:gd name="T11" fmla="*/ 735166 h 21600"/>
                            <a:gd name="T12" fmla="*/ 17694720 60000 65536"/>
                            <a:gd name="T13" fmla="*/ 0 60000 65536"/>
                            <a:gd name="T14" fmla="*/ 5898240 60000 65536"/>
                            <a:gd name="T15" fmla="*/ 11796480 60000 65536"/>
                            <a:gd name="T16" fmla="*/ 11796480 60000 65536"/>
                            <a:gd name="T17" fmla="*/ 0 60000 65536"/>
                            <a:gd name="T18" fmla="*/ 5400 w 21600"/>
                            <a:gd name="T19" fmla="*/ 0 h 21600"/>
                            <a:gd name="T20" fmla="*/ 16200 w 21600"/>
                            <a:gd name="T21" fmla="*/ 18924 h 21600"/>
                          </a:gdLst>
                          <a:ahLst/>
                          <a:cxnLst>
                            <a:cxn ang="T12">
                              <a:pos x="T0" y="T1"/>
                            </a:cxn>
                            <a:cxn ang="T13">
                              <a:pos x="T2" y="T3"/>
                            </a:cxn>
                            <a:cxn ang="T14">
                              <a:pos x="T4" y="T5"/>
                            </a:cxn>
                            <a:cxn ang="T15">
                              <a:pos x="T6" y="T7"/>
                            </a:cxn>
                            <a:cxn ang="T16">
                              <a:pos x="T8" y="T9"/>
                            </a:cxn>
                            <a:cxn ang="T17">
                              <a:pos x="T10" y="T11"/>
                            </a:cxn>
                          </a:cxnLst>
                          <a:rect l="T18" t="T19" r="T20" b="T21"/>
                          <a:pathLst/>
                        </a:custGeom>
                        <a:gradFill rotWithShape="0">
                          <a:gsLst>
                            <a:gs pos="0">
                              <a:srgbClr val="769535"/>
                            </a:gs>
                            <a:gs pos="100000">
                              <a:srgbClr val="9BC348"/>
                            </a:gs>
                          </a:gsLst>
                          <a:lin ang="16200000"/>
                        </a:gra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15063" id="Nedadgående pil 12" o:spid="_x0000_s1026" style="position:absolute;margin-left:59.55pt;margin-top:-208.85pt;width:38.1pt;height:7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" fillcolor="#769535" stroked="f">
                <v:fill color2="#9bc348" angle="180" focus="100%" type="gradient">
                  <o:fill v:ext="view" type="gradientUnscaled"/>
                </v:fill>
                <v:shadow on="t" opacity="22936f" origin="-.5,-.5" offset="0,.63881mm"/>
                <v:path arrowok="t" o:connecttype="custom" o:connectlocs="5419725,0;10839427,22107589;5419725,44215133;0,22107589;0,33261667;10839427,33261667" o:connectangles="270,0,90,180,180,0" textboxrect="@1,@1,@1,@1"/>
              </v:shape>
            </w:pict>
          </mc:Fallback>
        </mc:AlternateContent>
      </w:r>
      <w:r w:rsidRPr="003F7C7F">
        <w:rPr>
          <w:rFonts w:cs="Calibri"/>
          <w:noProof/>
          <w:sz w:val="24"/>
          <w:szCs w:val="24"/>
          <w:lang w:val="en-GB" w:eastAsia="da-DK"/>
        </w:rPr>
        <mc:AlternateContent>
          <mc:Choice Requires="wps">
            <w:drawing>
              <wp:anchor distT="0" distB="0" distL="114300" distR="114300" simplePos="0" relativeHeight="251669504" behindDoc="0" locked="0" layoutInCell="1" allowOverlap="1" wp14:anchorId="05A47267" wp14:editId="27DC855D">
                <wp:simplePos x="0" y="0"/>
                <wp:positionH relativeFrom="column">
                  <wp:posOffset>1393190</wp:posOffset>
                </wp:positionH>
                <wp:positionV relativeFrom="paragraph">
                  <wp:posOffset>-2825750</wp:posOffset>
                </wp:positionV>
                <wp:extent cx="483870" cy="1143000"/>
                <wp:effectExtent l="0" t="0" r="3175" b="3810"/>
                <wp:wrapNone/>
                <wp:docPr id="14" name="Opad-nedadgående pi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1143000"/>
                        </a:xfrm>
                        <a:custGeom>
                          <a:avLst/>
                          <a:gdLst>
                            <a:gd name="T0" fmla="*/ 241937 w 483873"/>
                            <a:gd name="T1" fmla="*/ 0 h 1143000"/>
                            <a:gd name="T2" fmla="*/ 483873 w 483873"/>
                            <a:gd name="T3" fmla="*/ 571500 h 1143000"/>
                            <a:gd name="T4" fmla="*/ 241937 w 483873"/>
                            <a:gd name="T5" fmla="*/ 1143000 h 1143000"/>
                            <a:gd name="T6" fmla="*/ 0 w 483873"/>
                            <a:gd name="T7" fmla="*/ 571500 h 1143000"/>
                            <a:gd name="T8" fmla="*/ 0 w 483873"/>
                            <a:gd name="T9" fmla="*/ 241936 h 1143000"/>
                            <a:gd name="T10" fmla="*/ 120968 w 483873"/>
                            <a:gd name="T11" fmla="*/ 571500 h 1143000"/>
                            <a:gd name="T12" fmla="*/ 0 w 483873"/>
                            <a:gd name="T13" fmla="*/ 901063 h 1143000"/>
                            <a:gd name="T14" fmla="*/ 483873 w 483873"/>
                            <a:gd name="T15" fmla="*/ 901063 h 1143000"/>
                            <a:gd name="T16" fmla="*/ 362905 w 483873"/>
                            <a:gd name="T17" fmla="*/ 571500 h 1143000"/>
                            <a:gd name="T18" fmla="*/ 483873 w 483873"/>
                            <a:gd name="T19" fmla="*/ 241936 h 1143000"/>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20968 w 483873"/>
                            <a:gd name="T31" fmla="*/ 120968 h 1143000"/>
                            <a:gd name="T32" fmla="*/ 362905 w 483873"/>
                            <a:gd name="T33" fmla="*/ 1022032 h 11430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gradFill rotWithShape="0">
                          <a:gsLst>
                            <a:gs pos="0">
                              <a:srgbClr val="769535"/>
                            </a:gs>
                            <a:gs pos="100000">
                              <a:srgbClr val="9BC348"/>
                            </a:gs>
                          </a:gsLst>
                          <a:lin ang="16200000"/>
                        </a:gra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DF28E" id="Opad-nedadgående pil 13" o:spid="_x0000_s1026" style="position:absolute;margin-left:109.7pt;margin-top:-222.5pt;width:38.1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" fillcolor="#769535" stroked="f">
                <v:fill color2="#9bc348" angle="180" focus="100%" type="gradient">
                  <o:fill v:ext="view" type="gradientUnscaled"/>
                </v:fill>
                <v:shadow on="t" opacity="22936f" origin="-.5,-.5" offset="0,.63881mm"/>
                <v:path arrowok="t" o:connecttype="custom" o:connectlocs="241935,0;483870,571500;241935,1143000;0,571500;0,241936;120967,571500;0,901063;483870,901063;362903,571500;483870,241936" o:connectangles="270,0,90,180,180,180,180,0,0,0" textboxrect="@1,@1,@1,@1"/>
              </v:shape>
            </w:pict>
          </mc:Fallback>
        </mc:AlternateContent>
      </w:r>
      <w:r w:rsidRPr="003F7C7F">
        <w:rPr>
          <w:rFonts w:cs="Calibri"/>
          <w:noProof/>
          <w:sz w:val="24"/>
          <w:szCs w:val="24"/>
          <w:lang w:val="en-GB" w:eastAsia="da-DK"/>
        </w:rPr>
        <mc:AlternateContent>
          <mc:Choice Requires="wps">
            <w:drawing>
              <wp:anchor distT="0" distB="0" distL="114300" distR="114300" simplePos="0" relativeHeight="251670528" behindDoc="0" locked="0" layoutInCell="1" allowOverlap="1" wp14:anchorId="10C594FD" wp14:editId="4A02FE58">
                <wp:simplePos x="0" y="0"/>
                <wp:positionH relativeFrom="column">
                  <wp:posOffset>240665</wp:posOffset>
                </wp:positionH>
                <wp:positionV relativeFrom="paragraph">
                  <wp:posOffset>-2724150</wp:posOffset>
                </wp:positionV>
                <wp:extent cx="483870" cy="977265"/>
                <wp:effectExtent l="0" t="2540" r="3175" b="1270"/>
                <wp:wrapNone/>
                <wp:docPr id="13" name="Opadgående pi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977265"/>
                        </a:xfrm>
                        <a:custGeom>
                          <a:avLst/>
                          <a:gdLst>
                            <a:gd name="T0" fmla="*/ 241937 w 21600"/>
                            <a:gd name="T1" fmla="*/ 0 h 21600"/>
                            <a:gd name="T2" fmla="*/ 483873 w 21600"/>
                            <a:gd name="T3" fmla="*/ 488633 h 21600"/>
                            <a:gd name="T4" fmla="*/ 241937 w 21600"/>
                            <a:gd name="T5" fmla="*/ 977265 h 21600"/>
                            <a:gd name="T6" fmla="*/ 0 w 21600"/>
                            <a:gd name="T7" fmla="*/ 488633 h 21600"/>
                            <a:gd name="T8" fmla="*/ 0 w 21600"/>
                            <a:gd name="T9" fmla="*/ 242099 h 21600"/>
                            <a:gd name="T10" fmla="*/ 483873 w 21600"/>
                            <a:gd name="T11" fmla="*/ 242099 h 21600"/>
                            <a:gd name="T12" fmla="*/ 17694720 60000 65536"/>
                            <a:gd name="T13" fmla="*/ 0 60000 65536"/>
                            <a:gd name="T14" fmla="*/ 5898240 60000 65536"/>
                            <a:gd name="T15" fmla="*/ 11796480 60000 65536"/>
                            <a:gd name="T16" fmla="*/ 11796480 60000 65536"/>
                            <a:gd name="T17" fmla="*/ 0 60000 65536"/>
                            <a:gd name="T18" fmla="*/ 5400 w 21600"/>
                            <a:gd name="T19" fmla="*/ 2676 h 21600"/>
                            <a:gd name="T20" fmla="*/ 162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custGeom>
                        <a:gradFill rotWithShape="0">
                          <a:gsLst>
                            <a:gs pos="0">
                              <a:srgbClr val="2C5D98"/>
                            </a:gs>
                            <a:gs pos="100000">
                              <a:srgbClr val="3C7BC7"/>
                            </a:gs>
                          </a:gsLst>
                          <a:lin ang="16200000"/>
                        </a:gra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048B" id="Opadgående pil 14" o:spid="_x0000_s1026" style="position:absolute;margin-left:18.95pt;margin-top:-214.5pt;width:38.1pt;height:7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" fillcolor="#2c5d98" stroked="f">
                <v:fill color2="#3c7bc7" angle="180" focus="100%" type="gradient">
                  <o:fill v:ext="view" type="gradientUnscaled"/>
                </v:fill>
                <v:shadow on="t" opacity="22936f" origin="-.5,-.5" offset="0,.63881mm"/>
                <v:path arrowok="t" o:connecttype="custom" o:connectlocs="5419725,0;10839427,22107589;5419725,44215133;0,22107589;0,10953467;10839427,10953467" o:connectangles="270,0,90,180,180,0" textboxrect="@1,@1,@1,@1"/>
              </v:shape>
            </w:pict>
          </mc:Fallback>
        </mc:AlternateContent>
      </w:r>
      <w:r w:rsidRPr="003F7C7F">
        <w:rPr>
          <w:rFonts w:cs="Calibri"/>
          <w:noProof/>
          <w:sz w:val="24"/>
          <w:szCs w:val="24"/>
          <w:lang w:val="en-GB" w:eastAsia="da-DK"/>
        </w:rPr>
        <mc:AlternateContent>
          <mc:Choice Requires="wps">
            <w:drawing>
              <wp:anchor distT="0" distB="0" distL="114300" distR="114300" simplePos="0" relativeHeight="251671552" behindDoc="0" locked="0" layoutInCell="1" allowOverlap="1" wp14:anchorId="06F170E6" wp14:editId="0F45942C">
                <wp:simplePos x="0" y="0"/>
                <wp:positionH relativeFrom="column">
                  <wp:posOffset>817245</wp:posOffset>
                </wp:positionH>
                <wp:positionV relativeFrom="paragraph">
                  <wp:posOffset>-2681605</wp:posOffset>
                </wp:positionV>
                <wp:extent cx="483870" cy="977265"/>
                <wp:effectExtent l="3810" t="0" r="0" b="0"/>
                <wp:wrapNone/>
                <wp:docPr id="12" name="Nedadgående pi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870" cy="977265"/>
                        </a:xfrm>
                        <a:custGeom>
                          <a:avLst/>
                          <a:gdLst>
                            <a:gd name="T0" fmla="*/ 241937 w 21600"/>
                            <a:gd name="T1" fmla="*/ 0 h 21600"/>
                            <a:gd name="T2" fmla="*/ 483873 w 21600"/>
                            <a:gd name="T3" fmla="*/ 488633 h 21600"/>
                            <a:gd name="T4" fmla="*/ 241937 w 21600"/>
                            <a:gd name="T5" fmla="*/ 977265 h 21600"/>
                            <a:gd name="T6" fmla="*/ 0 w 21600"/>
                            <a:gd name="T7" fmla="*/ 488633 h 21600"/>
                            <a:gd name="T8" fmla="*/ 0 w 21600"/>
                            <a:gd name="T9" fmla="*/ 735166 h 21600"/>
                            <a:gd name="T10" fmla="*/ 483873 w 21600"/>
                            <a:gd name="T11" fmla="*/ 735166 h 21600"/>
                            <a:gd name="T12" fmla="*/ 17694720 60000 65536"/>
                            <a:gd name="T13" fmla="*/ 0 60000 65536"/>
                            <a:gd name="T14" fmla="*/ 5898240 60000 65536"/>
                            <a:gd name="T15" fmla="*/ 11796480 60000 65536"/>
                            <a:gd name="T16" fmla="*/ 11796480 60000 65536"/>
                            <a:gd name="T17" fmla="*/ 0 60000 65536"/>
                            <a:gd name="T18" fmla="*/ 5400 w 21600"/>
                            <a:gd name="T19" fmla="*/ 0 h 21600"/>
                            <a:gd name="T20" fmla="*/ 16200 w 21600"/>
                            <a:gd name="T21" fmla="*/ 18924 h 21600"/>
                          </a:gdLst>
                          <a:ahLst/>
                          <a:cxnLst>
                            <a:cxn ang="T12">
                              <a:pos x="T0" y="T1"/>
                            </a:cxn>
                            <a:cxn ang="T13">
                              <a:pos x="T2" y="T3"/>
                            </a:cxn>
                            <a:cxn ang="T14">
                              <a:pos x="T4" y="T5"/>
                            </a:cxn>
                            <a:cxn ang="T15">
                              <a:pos x="T6" y="T7"/>
                            </a:cxn>
                            <a:cxn ang="T16">
                              <a:pos x="T8" y="T9"/>
                            </a:cxn>
                            <a:cxn ang="T17">
                              <a:pos x="T10" y="T11"/>
                            </a:cxn>
                          </a:cxnLst>
                          <a:rect l="T18" t="T19" r="T20" b="T21"/>
                          <a:pathLst/>
                        </a:custGeom>
                        <a:gradFill rotWithShape="0">
                          <a:gsLst>
                            <a:gs pos="0">
                              <a:srgbClr val="2C5D98"/>
                            </a:gs>
                            <a:gs pos="100000">
                              <a:srgbClr val="3C7BC7"/>
                            </a:gs>
                          </a:gsLst>
                          <a:lin ang="16200000"/>
                        </a:gra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917A" id="Nedadgående pil 15" o:spid="_x0000_s1026" style="position:absolute;margin-left:64.35pt;margin-top:-211.15pt;width:38.1pt;height:7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" fillcolor="#2c5d98" stroked="f">
                <v:fill color2="#3c7bc7" angle="180" focus="100%" type="gradient">
                  <o:fill v:ext="view" type="gradientUnscaled"/>
                </v:fill>
                <v:shadow on="t" opacity="22936f" origin="-.5,-.5" offset="0,.63881mm"/>
                <v:path arrowok="t" o:connecttype="custom" o:connectlocs="5419725,0;10839427,22107589;5419725,44215133;0,22107589;0,33261667;10839427,33261667" o:connectangles="270,0,90,180,180,0" textboxrect="@1,@1,@1,@1"/>
              </v:shape>
            </w:pict>
          </mc:Fallback>
        </mc:AlternateContent>
      </w:r>
      <w:r w:rsidRPr="003F7C7F">
        <w:rPr>
          <w:rFonts w:cs="Calibri"/>
          <w:noProof/>
          <w:sz w:val="24"/>
          <w:szCs w:val="24"/>
          <w:lang w:val="en-GB" w:eastAsia="da-DK"/>
        </w:rPr>
        <mc:AlternateContent>
          <mc:Choice Requires="wps">
            <w:drawing>
              <wp:anchor distT="0" distB="0" distL="114300" distR="114300" simplePos="0" relativeHeight="251672576" behindDoc="0" locked="0" layoutInCell="1" allowOverlap="1" wp14:anchorId="7784E9DD" wp14:editId="4ECC1C63">
                <wp:simplePos x="0" y="0"/>
                <wp:positionH relativeFrom="column">
                  <wp:posOffset>1445895</wp:posOffset>
                </wp:positionH>
                <wp:positionV relativeFrom="paragraph">
                  <wp:posOffset>-2825750</wp:posOffset>
                </wp:positionV>
                <wp:extent cx="513715" cy="1151255"/>
                <wp:effectExtent l="3810" t="0" r="0" b="0"/>
                <wp:wrapNone/>
                <wp:docPr id="11" name="Opad-nedadgående pi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715" cy="1151255"/>
                        </a:xfrm>
                        <a:custGeom>
                          <a:avLst/>
                          <a:gdLst>
                            <a:gd name="T0" fmla="*/ 256860 w 513719"/>
                            <a:gd name="T1" fmla="*/ 0 h 1151257"/>
                            <a:gd name="T2" fmla="*/ 513719 w 513719"/>
                            <a:gd name="T3" fmla="*/ 575629 h 1151257"/>
                            <a:gd name="T4" fmla="*/ 256860 w 513719"/>
                            <a:gd name="T5" fmla="*/ 1151257 h 1151257"/>
                            <a:gd name="T6" fmla="*/ 0 w 513719"/>
                            <a:gd name="T7" fmla="*/ 575629 h 1151257"/>
                            <a:gd name="T8" fmla="*/ 0 w 513719"/>
                            <a:gd name="T9" fmla="*/ 256859 h 1151257"/>
                            <a:gd name="T10" fmla="*/ 128430 w 513719"/>
                            <a:gd name="T11" fmla="*/ 575628 h 1151257"/>
                            <a:gd name="T12" fmla="*/ 0 w 513719"/>
                            <a:gd name="T13" fmla="*/ 894397 h 1151257"/>
                            <a:gd name="T14" fmla="*/ 513719 w 513719"/>
                            <a:gd name="T15" fmla="*/ 894397 h 1151257"/>
                            <a:gd name="T16" fmla="*/ 385289 w 513719"/>
                            <a:gd name="T17" fmla="*/ 575628 h 1151257"/>
                            <a:gd name="T18" fmla="*/ 513719 w 513719"/>
                            <a:gd name="T19" fmla="*/ 256859 h 1151257"/>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28430 w 513719"/>
                            <a:gd name="T31" fmla="*/ 128430 h 1151257"/>
                            <a:gd name="T32" fmla="*/ 385289 w 513719"/>
                            <a:gd name="T33" fmla="*/ 1022827 h 115125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gradFill rotWithShape="0">
                          <a:gsLst>
                            <a:gs pos="0">
                              <a:srgbClr val="2C5D98"/>
                            </a:gs>
                            <a:gs pos="100000">
                              <a:srgbClr val="3C7BC7"/>
                            </a:gs>
                          </a:gsLst>
                          <a:lin ang="16200000"/>
                        </a:gra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B3D33" id="Opad-nedadgående pil 16" o:spid="_x0000_s1026" style="position:absolute;margin-left:113.85pt;margin-top:-222.5pt;width:40.45pt;height:9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" fillcolor="#2c5d98" stroked="f">
                <v:fill color2="#3c7bc7" angle="180" focus="100%" type="gradient">
                  <o:fill v:ext="view" type="gradientUnscaled"/>
                </v:fill>
                <v:shadow on="t" opacity="22936f" origin="-.5,-.5" offset="0,.63881mm"/>
                <v:path arrowok="t" o:connecttype="custom" o:connectlocs="256858,0;513715,575628;256858,1151255;0,575628;0,256859;128429,575627;0,894395;513715,894395;385286,575627;513715,256859" o:connectangles="270,0,90,180,180,180,180,0,0,0" textboxrect="@1,@1,@1,@1"/>
              </v:shape>
            </w:pict>
          </mc:Fallback>
        </mc:AlternateContent>
      </w:r>
    </w:p>
    <w:p w14:paraId="40725CB4" w14:textId="405D8E1F" w:rsidR="002D4853" w:rsidRPr="003F7C7F" w:rsidRDefault="00DB79E1" w:rsidP="006E7B37">
      <w:pPr>
        <w:autoSpaceDE w:val="0"/>
        <w:spacing w:after="0" w:line="360" w:lineRule="auto"/>
        <w:jc w:val="both"/>
        <w:rPr>
          <w:lang w:val="en-GB"/>
        </w:rPr>
      </w:pPr>
      <w:r w:rsidRPr="003F7C7F">
        <w:rPr>
          <w:rFonts w:eastAsia="Times New Roman" w:cs="Calibri"/>
          <w:sz w:val="24"/>
          <w:szCs w:val="24"/>
          <w:lang w:val="en-GB" w:eastAsia="da-DK"/>
        </w:rPr>
        <w:t>Participants were presented initially with a cue indicating the conditions of the trial (one of six conditions)</w:t>
      </w:r>
      <w:r w:rsidR="00F65FBF" w:rsidRPr="003F7C7F">
        <w:rPr>
          <w:rFonts w:eastAsia="Times New Roman" w:cs="Calibri"/>
          <w:sz w:val="24"/>
          <w:szCs w:val="24"/>
          <w:lang w:val="en-GB" w:eastAsia="da-DK"/>
        </w:rPr>
        <w:t>; s</w:t>
      </w:r>
      <w:r w:rsidRPr="003F7C7F">
        <w:rPr>
          <w:rFonts w:eastAsia="Times New Roman" w:cs="Calibri"/>
          <w:sz w:val="24"/>
          <w:szCs w:val="24"/>
          <w:lang w:val="en-GB" w:eastAsia="da-DK"/>
        </w:rPr>
        <w:t>ee Figure S1. After a short delay (2-4s), a visual target appeared briefly (200-300ms) on the screen and participants were instructed to press a button while the target was on the screen. After another delay (2-4s), participants received feedback on the outcome</w:t>
      </w:r>
      <w:r w:rsidR="000B5250">
        <w:rPr>
          <w:rFonts w:eastAsia="Times New Roman" w:cs="Calibri"/>
          <w:sz w:val="24"/>
          <w:szCs w:val="24"/>
          <w:lang w:val="en-GB" w:eastAsia="da-DK"/>
        </w:rPr>
        <w:t>,</w:t>
      </w:r>
      <w:r w:rsidRPr="003F7C7F">
        <w:rPr>
          <w:rFonts w:eastAsia="Times New Roman" w:cs="Calibri"/>
          <w:sz w:val="24"/>
          <w:szCs w:val="24"/>
          <w:lang w:val="en-GB" w:eastAsia="da-DK"/>
        </w:rPr>
        <w:t xml:space="preserve"> including the total amount of money they had gained.</w:t>
      </w:r>
      <w:r w:rsidRPr="003F7C7F">
        <w:rPr>
          <w:rFonts w:cs="Calibri"/>
          <w:sz w:val="24"/>
          <w:szCs w:val="24"/>
          <w:lang w:val="en-GB"/>
        </w:rPr>
        <w:t xml:space="preserve"> The initial target duration for all participants and trial conditions was 300ms, and the paradigm timing was automatically adjusted to obtain an average hit rate of 66%, depending on individual subject performance.</w:t>
      </w:r>
      <w:r w:rsidR="000B5250">
        <w:rPr>
          <w:rFonts w:cs="Calibri"/>
          <w:sz w:val="24"/>
          <w:szCs w:val="24"/>
          <w:lang w:val="en-GB"/>
        </w:rPr>
        <w:tab/>
      </w:r>
      <w:r w:rsidR="000B5250">
        <w:rPr>
          <w:rFonts w:cs="Calibri"/>
          <w:sz w:val="24"/>
          <w:szCs w:val="24"/>
          <w:lang w:val="en-GB"/>
        </w:rPr>
        <w:br/>
      </w:r>
      <w:r w:rsidRPr="003F7C7F">
        <w:rPr>
          <w:rFonts w:cs="Calibri"/>
          <w:sz w:val="24"/>
          <w:szCs w:val="24"/>
          <w:lang w:val="en-GB"/>
        </w:rPr>
        <w:t xml:space="preserve"> </w:t>
      </w:r>
    </w:p>
    <w:p w14:paraId="7E5B3795" w14:textId="7351C089" w:rsidR="002D4853" w:rsidRPr="003F7C7F" w:rsidRDefault="00DB79E1" w:rsidP="006E7B37">
      <w:pPr>
        <w:autoSpaceDE w:val="0"/>
        <w:spacing w:after="0" w:line="360" w:lineRule="auto"/>
        <w:jc w:val="both"/>
        <w:rPr>
          <w:rFonts w:cs="Calibri"/>
          <w:sz w:val="24"/>
          <w:szCs w:val="24"/>
          <w:lang w:val="en-GB"/>
        </w:rPr>
      </w:pPr>
      <w:r w:rsidRPr="003F7C7F">
        <w:rPr>
          <w:rFonts w:cs="Calibri"/>
          <w:sz w:val="24"/>
          <w:szCs w:val="24"/>
          <w:lang w:val="en-GB"/>
        </w:rPr>
        <w:t>There were six different trial conditions representing two levels of uncertainty (certain and uncertain), combined with three levels of value expectation (gain, neutral and loss). Certain gain or loss w</w:t>
      </w:r>
      <w:r w:rsidR="000B5250">
        <w:rPr>
          <w:rFonts w:cs="Calibri"/>
          <w:sz w:val="24"/>
          <w:szCs w:val="24"/>
          <w:lang w:val="en-GB"/>
        </w:rPr>
        <w:t>as</w:t>
      </w:r>
      <w:r w:rsidRPr="003F7C7F">
        <w:rPr>
          <w:rFonts w:cs="Calibri"/>
          <w:sz w:val="24"/>
          <w:szCs w:val="24"/>
          <w:lang w:val="en-GB"/>
        </w:rPr>
        <w:t xml:space="preserve"> represented with blue arrows and w</w:t>
      </w:r>
      <w:r w:rsidR="000B5250">
        <w:rPr>
          <w:rFonts w:cs="Calibri"/>
          <w:sz w:val="24"/>
          <w:szCs w:val="24"/>
          <w:lang w:val="en-GB"/>
        </w:rPr>
        <w:t>as</w:t>
      </w:r>
      <w:r w:rsidRPr="003F7C7F">
        <w:rPr>
          <w:rFonts w:cs="Calibri"/>
          <w:sz w:val="24"/>
          <w:szCs w:val="24"/>
          <w:lang w:val="en-GB"/>
        </w:rPr>
        <w:t xml:space="preserve"> independent of the participants’ performance. Uncertain gain or loss, represented </w:t>
      </w:r>
      <w:r w:rsidR="000B5250">
        <w:rPr>
          <w:rFonts w:cs="Calibri"/>
          <w:sz w:val="24"/>
          <w:szCs w:val="24"/>
          <w:lang w:val="en-GB"/>
        </w:rPr>
        <w:t>with</w:t>
      </w:r>
      <w:r w:rsidRPr="003F7C7F">
        <w:rPr>
          <w:rFonts w:cs="Calibri"/>
          <w:sz w:val="24"/>
          <w:szCs w:val="24"/>
          <w:lang w:val="en-GB"/>
        </w:rPr>
        <w:t xml:space="preserve"> green arrows, indicated that the outcome required the participants to press the button in time. In these uncertain-gain trials, participants earned €7 on a </w:t>
      </w:r>
      <w:r w:rsidRPr="003F7C7F">
        <w:rPr>
          <w:rFonts w:cs="Calibri"/>
          <w:sz w:val="24"/>
          <w:szCs w:val="24"/>
          <w:lang w:val="en-GB"/>
        </w:rPr>
        <w:lastRenderedPageBreak/>
        <w:t xml:space="preserve">hit and €0 on a miss. In uncertain-loss trials, participants earned €0 on a hit and lost €7 on a miss. In the two neutral trials (arrows pointing both ways), participants knew the outcome would be €0, regardless of whether they hit the button in time. The participants were instructed to respond rapidly in all trial conditions but were not informed about the adaptive timing algorithm. </w:t>
      </w:r>
      <w:r w:rsidR="00991B1C">
        <w:rPr>
          <w:rFonts w:cs="Calibri"/>
          <w:sz w:val="24"/>
          <w:szCs w:val="24"/>
          <w:lang w:val="en-GB"/>
        </w:rPr>
        <w:t xml:space="preserve">A single </w:t>
      </w:r>
      <w:r w:rsidRPr="003F7C7F">
        <w:rPr>
          <w:rFonts w:cs="Calibri"/>
          <w:sz w:val="24"/>
          <w:szCs w:val="24"/>
          <w:lang w:val="en-GB"/>
        </w:rPr>
        <w:t xml:space="preserve">trial </w:t>
      </w:r>
      <w:r w:rsidR="00991B1C">
        <w:rPr>
          <w:rFonts w:cs="Calibri"/>
          <w:sz w:val="24"/>
          <w:szCs w:val="24"/>
          <w:lang w:val="en-GB"/>
        </w:rPr>
        <w:t>lasted</w:t>
      </w:r>
      <w:r w:rsidRPr="003F7C7F">
        <w:rPr>
          <w:rFonts w:cs="Calibri"/>
          <w:sz w:val="24"/>
          <w:szCs w:val="24"/>
          <w:lang w:val="en-GB"/>
        </w:rPr>
        <w:t xml:space="preserve"> 15 seconds, and each of the six trial conditions was presented </w:t>
      </w:r>
      <w:r w:rsidR="003773E8">
        <w:rPr>
          <w:rFonts w:cs="Calibri"/>
          <w:sz w:val="24"/>
          <w:szCs w:val="24"/>
          <w:lang w:val="en-GB"/>
        </w:rPr>
        <w:t xml:space="preserve">12 times </w:t>
      </w:r>
      <w:r w:rsidRPr="003F7C7F">
        <w:rPr>
          <w:rFonts w:cs="Calibri"/>
          <w:sz w:val="24"/>
          <w:szCs w:val="24"/>
          <w:lang w:val="en-GB"/>
        </w:rPr>
        <w:t xml:space="preserve">in a </w:t>
      </w:r>
      <w:r w:rsidR="003F7C7F">
        <w:rPr>
          <w:rFonts w:cs="Calibri"/>
          <w:sz w:val="24"/>
          <w:szCs w:val="24"/>
          <w:lang w:val="en-GB"/>
        </w:rPr>
        <w:t>pseudo</w:t>
      </w:r>
      <w:r w:rsidR="008159DC">
        <w:rPr>
          <w:rFonts w:cs="Calibri"/>
          <w:sz w:val="24"/>
          <w:szCs w:val="24"/>
          <w:lang w:val="en-GB"/>
        </w:rPr>
        <w:t>-</w:t>
      </w:r>
      <w:r w:rsidRPr="003F7C7F">
        <w:rPr>
          <w:rFonts w:cs="Calibri"/>
          <w:sz w:val="24"/>
          <w:szCs w:val="24"/>
          <w:lang w:val="en-GB"/>
        </w:rPr>
        <w:t xml:space="preserve">randomised order in each of the two runs. After the entire scanning, the participants received the amount of money they had won, typically €45–85 per run. </w:t>
      </w:r>
    </w:p>
    <w:p w14:paraId="45FF5DB9" w14:textId="783D24FF" w:rsidR="002A6BB3" w:rsidRPr="003F7C7F" w:rsidRDefault="002A6BB3" w:rsidP="006E7B37">
      <w:pPr>
        <w:autoSpaceDE w:val="0"/>
        <w:spacing w:after="0" w:line="360" w:lineRule="auto"/>
        <w:jc w:val="both"/>
        <w:rPr>
          <w:rFonts w:cs="Calibri"/>
          <w:sz w:val="24"/>
          <w:szCs w:val="24"/>
          <w:lang w:val="en-GB"/>
        </w:rPr>
      </w:pPr>
    </w:p>
    <w:p w14:paraId="717B9F22" w14:textId="67440F25" w:rsidR="00CF7592" w:rsidRPr="00CF7592" w:rsidRDefault="00CF7592" w:rsidP="00CF7592">
      <w:pPr>
        <w:autoSpaceDE w:val="0"/>
        <w:spacing w:after="0" w:line="360" w:lineRule="auto"/>
        <w:jc w:val="both"/>
        <w:rPr>
          <w:rFonts w:cs="Calibri"/>
          <w:b/>
          <w:sz w:val="24"/>
          <w:szCs w:val="24"/>
          <w:lang w:val="en-GB"/>
        </w:rPr>
      </w:pPr>
      <w:r w:rsidRPr="00CF7592">
        <w:rPr>
          <w:rFonts w:cs="Calibri"/>
          <w:b/>
          <w:sz w:val="24"/>
          <w:szCs w:val="24"/>
          <w:lang w:val="en-GB"/>
        </w:rPr>
        <w:t>Behavioural data</w:t>
      </w:r>
    </w:p>
    <w:p w14:paraId="2E94D08A" w14:textId="77777777" w:rsidR="00CF7592" w:rsidRPr="00CF7592" w:rsidRDefault="00CF7592" w:rsidP="00CF7592">
      <w:pPr>
        <w:autoSpaceDE w:val="0"/>
        <w:spacing w:after="0" w:line="360" w:lineRule="auto"/>
        <w:jc w:val="both"/>
        <w:rPr>
          <w:rFonts w:cs="Calibri"/>
          <w:sz w:val="24"/>
          <w:szCs w:val="24"/>
          <w:lang w:val="en-GB"/>
        </w:rPr>
      </w:pPr>
      <w:r w:rsidRPr="00CF7592">
        <w:rPr>
          <w:rFonts w:cs="Calibri"/>
          <w:sz w:val="24"/>
          <w:szCs w:val="24"/>
          <w:lang w:val="en-GB"/>
        </w:rPr>
        <w:t xml:space="preserve">The total amount of monetary gain was compared between patients and controls using 2*2 repeated measures ANOVA, with group as between-subject factor and time as within-subject factor. </w:t>
      </w:r>
    </w:p>
    <w:p w14:paraId="1E111B45" w14:textId="77777777" w:rsidR="00CF7592" w:rsidRPr="00CF7592" w:rsidRDefault="00CF7592" w:rsidP="00CF7592">
      <w:pPr>
        <w:autoSpaceDE w:val="0"/>
        <w:spacing w:after="0" w:line="360" w:lineRule="auto"/>
        <w:jc w:val="both"/>
        <w:rPr>
          <w:rFonts w:cs="Calibri"/>
          <w:sz w:val="24"/>
          <w:szCs w:val="24"/>
          <w:lang w:val="en-GB"/>
        </w:rPr>
      </w:pPr>
      <w:r w:rsidRPr="00CF7592">
        <w:rPr>
          <w:rFonts w:cs="Calibri"/>
          <w:sz w:val="24"/>
          <w:szCs w:val="24"/>
          <w:lang w:val="en-GB"/>
        </w:rPr>
        <w:t>Hit rate and reaction time were analysed with 2*2*4 repeated measures ANOVA with group as between-subject factor and time and trial type as within-subject factors. Only the four conditions used for the fMRI contrasts were included in these analyses (uncertain gain, uncertain loss and the two neutral conditions).</w:t>
      </w:r>
    </w:p>
    <w:p w14:paraId="114FF771" w14:textId="77777777" w:rsidR="00CF7592" w:rsidRPr="00CF7592" w:rsidRDefault="00CF7592" w:rsidP="00CF7592">
      <w:pPr>
        <w:autoSpaceDE w:val="0"/>
        <w:spacing w:after="0" w:line="360" w:lineRule="auto"/>
        <w:jc w:val="both"/>
        <w:rPr>
          <w:rFonts w:cs="Calibri"/>
          <w:sz w:val="24"/>
          <w:szCs w:val="24"/>
          <w:lang w:val="en-GB"/>
        </w:rPr>
      </w:pPr>
    </w:p>
    <w:p w14:paraId="43D46791" w14:textId="77777777" w:rsidR="00CF7592" w:rsidRPr="00CF7592" w:rsidRDefault="00CF7592" w:rsidP="00CF7592">
      <w:pPr>
        <w:autoSpaceDE w:val="0"/>
        <w:spacing w:after="0" w:line="360" w:lineRule="auto"/>
        <w:jc w:val="both"/>
        <w:rPr>
          <w:rFonts w:cs="Calibri"/>
          <w:b/>
          <w:sz w:val="24"/>
          <w:szCs w:val="24"/>
          <w:lang w:val="en-GB"/>
        </w:rPr>
      </w:pPr>
      <w:r w:rsidRPr="00CF7592">
        <w:rPr>
          <w:rFonts w:cs="Calibri"/>
          <w:b/>
          <w:sz w:val="24"/>
          <w:szCs w:val="24"/>
          <w:lang w:val="en-GB"/>
        </w:rPr>
        <w:t xml:space="preserve">Results </w:t>
      </w:r>
    </w:p>
    <w:p w14:paraId="46960463" w14:textId="77777777" w:rsidR="00CF7592" w:rsidRPr="00CF7592" w:rsidRDefault="00CF7592" w:rsidP="00CF7592">
      <w:pPr>
        <w:autoSpaceDE w:val="0"/>
        <w:spacing w:after="0" w:line="360" w:lineRule="auto"/>
        <w:jc w:val="both"/>
        <w:rPr>
          <w:rFonts w:cs="Calibri"/>
          <w:sz w:val="24"/>
          <w:szCs w:val="24"/>
          <w:lang w:val="en-GB"/>
        </w:rPr>
      </w:pPr>
      <w:r w:rsidRPr="00CF7592">
        <w:rPr>
          <w:rFonts w:cs="Calibri"/>
          <w:sz w:val="24"/>
          <w:szCs w:val="24"/>
          <w:lang w:val="en-GB"/>
        </w:rPr>
        <w:t>For monetary gain, there was no effect of group or time and no group*time interaction.</w:t>
      </w:r>
    </w:p>
    <w:p w14:paraId="04331439" w14:textId="77777777" w:rsidR="00CF7592" w:rsidRPr="003F7C7F" w:rsidRDefault="00CF7592" w:rsidP="00CF7592">
      <w:pPr>
        <w:autoSpaceDE w:val="0"/>
        <w:spacing w:after="0" w:line="360" w:lineRule="auto"/>
        <w:jc w:val="both"/>
        <w:rPr>
          <w:rFonts w:cs="Calibri"/>
          <w:sz w:val="24"/>
          <w:szCs w:val="24"/>
          <w:lang w:val="en-GB"/>
        </w:rPr>
      </w:pPr>
      <w:r w:rsidRPr="00CF7592">
        <w:rPr>
          <w:rFonts w:cs="Calibri"/>
          <w:sz w:val="24"/>
          <w:szCs w:val="24"/>
          <w:lang w:val="en-GB"/>
        </w:rPr>
        <w:t>For hit rate, there was a main effect of trial type, which was highest in the two uncertain trials (F</w:t>
      </w:r>
      <w:r w:rsidRPr="00CF7592">
        <w:rPr>
          <w:rFonts w:cs="Calibri"/>
          <w:sz w:val="24"/>
          <w:szCs w:val="24"/>
          <w:vertAlign w:val="subscript"/>
          <w:lang w:val="en-GB"/>
        </w:rPr>
        <w:t>3,39</w:t>
      </w:r>
      <w:r w:rsidRPr="00CF7592">
        <w:rPr>
          <w:rFonts w:cs="Calibri"/>
          <w:sz w:val="24"/>
          <w:szCs w:val="24"/>
          <w:lang w:val="en-GB"/>
        </w:rPr>
        <w:t>=31.7, p&lt;0.001). There was no effect of group or time and no interactions. This was also the case for reaction time (shortest in uncertain trials, F</w:t>
      </w:r>
      <w:r w:rsidRPr="00CF7592">
        <w:rPr>
          <w:rFonts w:cs="Calibri"/>
          <w:sz w:val="24"/>
          <w:szCs w:val="24"/>
          <w:vertAlign w:val="subscript"/>
          <w:lang w:val="en-GB"/>
        </w:rPr>
        <w:t>3,39</w:t>
      </w:r>
      <w:r w:rsidRPr="00CF7592">
        <w:rPr>
          <w:rFonts w:cs="Calibri"/>
          <w:sz w:val="24"/>
          <w:szCs w:val="24"/>
          <w:lang w:val="en-GB"/>
        </w:rPr>
        <w:t>=13.3, p&lt;0.001), although there was a significant group*trial*time interaction (F</w:t>
      </w:r>
      <w:r w:rsidRPr="00CF7592">
        <w:rPr>
          <w:rFonts w:cs="Calibri"/>
          <w:sz w:val="24"/>
          <w:szCs w:val="24"/>
          <w:vertAlign w:val="subscript"/>
          <w:lang w:val="en-GB"/>
        </w:rPr>
        <w:t>1,3,39</w:t>
      </w:r>
      <w:r w:rsidRPr="00CF7592">
        <w:rPr>
          <w:rFonts w:cs="Calibri"/>
          <w:sz w:val="24"/>
          <w:szCs w:val="24"/>
          <w:lang w:val="en-GB"/>
        </w:rPr>
        <w:t>=3.0, p=0.034). Over time, HCs improved in reaction time in uncertain gain trial, whereas patients improved in reaction time in uncertain neutral trials but were slower in certain neutral trials.</w:t>
      </w:r>
    </w:p>
    <w:p w14:paraId="67D4BC23" w14:textId="77777777" w:rsidR="002A6BB3" w:rsidRPr="003F7C7F" w:rsidRDefault="002A6BB3" w:rsidP="006E7B37">
      <w:pPr>
        <w:autoSpaceDE w:val="0"/>
        <w:spacing w:after="0" w:line="360" w:lineRule="auto"/>
        <w:jc w:val="both"/>
        <w:rPr>
          <w:rFonts w:cs="Calibri"/>
          <w:sz w:val="24"/>
          <w:szCs w:val="24"/>
          <w:lang w:val="en-GB"/>
        </w:rPr>
      </w:pPr>
    </w:p>
    <w:p w14:paraId="0C70594D" w14:textId="77777777" w:rsidR="002D4853" w:rsidRPr="003F7C7F" w:rsidRDefault="002D4853" w:rsidP="006E7B37">
      <w:pPr>
        <w:autoSpaceDE w:val="0"/>
        <w:spacing w:after="0" w:line="360" w:lineRule="auto"/>
        <w:jc w:val="both"/>
        <w:rPr>
          <w:rFonts w:cs="Calibri"/>
          <w:sz w:val="24"/>
          <w:szCs w:val="24"/>
          <w:lang w:val="en-GB"/>
        </w:rPr>
      </w:pPr>
    </w:p>
    <w:p w14:paraId="4D1E905A" w14:textId="42AF5830" w:rsidR="002D4853" w:rsidRPr="003F7C7F" w:rsidRDefault="00F65FBF" w:rsidP="006E7B37">
      <w:pPr>
        <w:autoSpaceDE w:val="0"/>
        <w:spacing w:after="0" w:line="360" w:lineRule="auto"/>
        <w:jc w:val="both"/>
        <w:rPr>
          <w:rFonts w:cs="Calibri"/>
          <w:b/>
          <w:sz w:val="24"/>
          <w:szCs w:val="24"/>
          <w:lang w:val="en-GB"/>
        </w:rPr>
      </w:pPr>
      <w:r w:rsidRPr="003F7C7F">
        <w:rPr>
          <w:rFonts w:cs="Calibri"/>
          <w:b/>
          <w:sz w:val="24"/>
          <w:szCs w:val="24"/>
          <w:lang w:val="en-GB"/>
        </w:rPr>
        <w:t xml:space="preserve">fMRI </w:t>
      </w:r>
      <w:r w:rsidR="00014EA5" w:rsidRPr="003F7C7F">
        <w:rPr>
          <w:rFonts w:cs="Calibri"/>
          <w:b/>
          <w:sz w:val="24"/>
          <w:szCs w:val="24"/>
          <w:lang w:val="en-GB"/>
        </w:rPr>
        <w:t>analyses</w:t>
      </w:r>
    </w:p>
    <w:p w14:paraId="6D1BB6FB" w14:textId="056F0956" w:rsidR="006E7B37" w:rsidRPr="003F7C7F" w:rsidRDefault="00F65FBF" w:rsidP="006E7B37">
      <w:pPr>
        <w:pStyle w:val="Standard"/>
        <w:spacing w:after="0" w:line="360" w:lineRule="auto"/>
        <w:jc w:val="both"/>
        <w:rPr>
          <w:sz w:val="24"/>
          <w:lang w:val="en-GB"/>
        </w:rPr>
      </w:pPr>
      <w:r w:rsidRPr="003F7C7F">
        <w:rPr>
          <w:rFonts w:cs="Calibri"/>
          <w:noProof/>
          <w:color w:val="5B9BD5" w:themeColor="accent1"/>
          <w:sz w:val="24"/>
          <w:szCs w:val="24"/>
          <w:lang w:val="en-GB" w:eastAsia="da-DK"/>
        </w:rPr>
        <mc:AlternateContent>
          <mc:Choice Requires="wps">
            <w:drawing>
              <wp:anchor distT="0" distB="0" distL="114300" distR="114300" simplePos="0" relativeHeight="251682816" behindDoc="0" locked="0" layoutInCell="1" allowOverlap="1" wp14:anchorId="410CB9F9" wp14:editId="5883B2A4">
                <wp:simplePos x="0" y="0"/>
                <wp:positionH relativeFrom="column">
                  <wp:posOffset>2423160</wp:posOffset>
                </wp:positionH>
                <wp:positionV relativeFrom="paragraph">
                  <wp:posOffset>49530</wp:posOffset>
                </wp:positionV>
                <wp:extent cx="431165" cy="1125220"/>
                <wp:effectExtent l="0" t="1270" r="0" b="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1125220"/>
                        </a:xfrm>
                        <a:custGeom>
                          <a:avLst/>
                          <a:gdLst>
                            <a:gd name="T0" fmla="*/ 215583 w 431165"/>
                            <a:gd name="T1" fmla="*/ 0 h 1125220"/>
                            <a:gd name="T2" fmla="*/ 431165 w 431165"/>
                            <a:gd name="T3" fmla="*/ 562610 h 1125220"/>
                            <a:gd name="T4" fmla="*/ 215583 w 431165"/>
                            <a:gd name="T5" fmla="*/ 1125220 h 1125220"/>
                            <a:gd name="T6" fmla="*/ 0 w 431165"/>
                            <a:gd name="T7" fmla="*/ 562610 h 1125220"/>
                            <a:gd name="T8" fmla="*/ 0 w 431165"/>
                            <a:gd name="T9" fmla="*/ 215582 h 1125220"/>
                            <a:gd name="T10" fmla="*/ 107791 w 431165"/>
                            <a:gd name="T11" fmla="*/ 562610 h 1125220"/>
                            <a:gd name="T12" fmla="*/ 0 w 431165"/>
                            <a:gd name="T13" fmla="*/ 909638 h 1125220"/>
                            <a:gd name="T14" fmla="*/ 431165 w 431165"/>
                            <a:gd name="T15" fmla="*/ 909638 h 1125220"/>
                            <a:gd name="T16" fmla="*/ 323374 w 431165"/>
                            <a:gd name="T17" fmla="*/ 562610 h 1125220"/>
                            <a:gd name="T18" fmla="*/ 431165 w 431165"/>
                            <a:gd name="T19" fmla="*/ 215582 h 1125220"/>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07791 w 431165"/>
                            <a:gd name="T31" fmla="*/ 107791 h 1125220"/>
                            <a:gd name="T32" fmla="*/ 323374 w 431165"/>
                            <a:gd name="T33" fmla="*/ 1017429 h 11252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solidFill>
                          <a:schemeClr val="accent5">
                            <a:lumMod val="100000"/>
                            <a:lumOff val="0"/>
                          </a:schemeClr>
                        </a:soli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F5440" id="AutoShape 9" o:spid="_x0000_s1026" style="position:absolute;margin-left:190.8pt;margin-top:3.9pt;width:33.95pt;height:8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" fillcolor="#4472c4 [3208]" stroked="f">
                <v:shadow on="t" opacity="22936f" origin="-.5,-.5" offset="0,.63881mm"/>
                <v:path arrowok="t" o:connecttype="custom" o:connectlocs="215583,0;431165,562610;215583,1125220;0,562610;0,215582;107791,562610;0,909638;431165,909638;323374,562610;431165,215582" o:connectangles="270,0,90,180,180,180,180,0,0,0" textboxrect="@1,@1,@1,@1"/>
              </v:shape>
            </w:pict>
          </mc:Fallback>
        </mc:AlternateContent>
      </w:r>
      <w:r w:rsidRPr="003F7C7F">
        <w:rPr>
          <w:rFonts w:cs="Calibri"/>
          <w:noProof/>
          <w:sz w:val="24"/>
          <w:szCs w:val="24"/>
          <w:lang w:val="en-GB" w:eastAsia="da-DK"/>
        </w:rPr>
        <mc:AlternateContent>
          <mc:Choice Requires="wps">
            <w:drawing>
              <wp:anchor distT="0" distB="0" distL="114300" distR="114300" simplePos="0" relativeHeight="251680768" behindDoc="0" locked="0" layoutInCell="1" allowOverlap="1" wp14:anchorId="20475482" wp14:editId="6D43C6A5">
                <wp:simplePos x="0" y="0"/>
                <wp:positionH relativeFrom="column">
                  <wp:posOffset>737235</wp:posOffset>
                </wp:positionH>
                <wp:positionV relativeFrom="paragraph">
                  <wp:posOffset>88265</wp:posOffset>
                </wp:positionV>
                <wp:extent cx="514350" cy="1049655"/>
                <wp:effectExtent l="0" t="1905" r="0" b="0"/>
                <wp:wrapNone/>
                <wp:docPr id="4" name="Nedadgående pi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1049655"/>
                        </a:xfrm>
                        <a:custGeom>
                          <a:avLst/>
                          <a:gdLst>
                            <a:gd name="T0" fmla="*/ 257175 w 21600"/>
                            <a:gd name="T1" fmla="*/ 0 h 21600"/>
                            <a:gd name="T2" fmla="*/ 514350 w 21600"/>
                            <a:gd name="T3" fmla="*/ 524829 h 21600"/>
                            <a:gd name="T4" fmla="*/ 257175 w 21600"/>
                            <a:gd name="T5" fmla="*/ 1049658 h 21600"/>
                            <a:gd name="T6" fmla="*/ 0 w 21600"/>
                            <a:gd name="T7" fmla="*/ 524829 h 21600"/>
                            <a:gd name="T8" fmla="*/ 0 w 21600"/>
                            <a:gd name="T9" fmla="*/ 792297 h 21600"/>
                            <a:gd name="T10" fmla="*/ 514350 w 21600"/>
                            <a:gd name="T11" fmla="*/ 792297 h 21600"/>
                            <a:gd name="T12" fmla="*/ 17694720 60000 65536"/>
                            <a:gd name="T13" fmla="*/ 0 60000 65536"/>
                            <a:gd name="T14" fmla="*/ 5898240 60000 65536"/>
                            <a:gd name="T15" fmla="*/ 11796480 60000 65536"/>
                            <a:gd name="T16" fmla="*/ 11796480 60000 65536"/>
                            <a:gd name="T17" fmla="*/ 0 60000 65536"/>
                            <a:gd name="T18" fmla="*/ 5400 w 21600"/>
                            <a:gd name="T19" fmla="*/ 0 h 21600"/>
                            <a:gd name="T20" fmla="*/ 16200 w 21600"/>
                            <a:gd name="T21" fmla="*/ 18952 h 21600"/>
                          </a:gdLst>
                          <a:ahLst/>
                          <a:cxnLst>
                            <a:cxn ang="T12">
                              <a:pos x="T0" y="T1"/>
                            </a:cxn>
                            <a:cxn ang="T13">
                              <a:pos x="T2" y="T3"/>
                            </a:cxn>
                            <a:cxn ang="T14">
                              <a:pos x="T4" y="T5"/>
                            </a:cxn>
                            <a:cxn ang="T15">
                              <a:pos x="T6" y="T7"/>
                            </a:cxn>
                            <a:cxn ang="T16">
                              <a:pos x="T8" y="T9"/>
                            </a:cxn>
                            <a:cxn ang="T17">
                              <a:pos x="T10" y="T11"/>
                            </a:cxn>
                          </a:cxnLst>
                          <a:rect l="T18" t="T19" r="T20" b="T21"/>
                          <a:pathLst/>
                        </a:custGeom>
                        <a:gradFill rotWithShape="0">
                          <a:gsLst>
                            <a:gs pos="0">
                              <a:srgbClr val="769535"/>
                            </a:gs>
                            <a:gs pos="100000">
                              <a:srgbClr val="9BC348"/>
                            </a:gs>
                          </a:gsLst>
                          <a:lin ang="16200000"/>
                        </a:gra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4FF07" id="Nedadgående pil 10" o:spid="_x0000_s1026" style="position:absolute;margin-left:58.05pt;margin-top:6.95pt;width:40.5pt;height:8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" fillcolor="#769535" stroked="f">
                <v:fill color2="#9bc348" angle="180" focus="100%" type="gradient">
                  <o:fill v:ext="view" type="gradientUnscaled"/>
                </v:fill>
                <v:shadow on="t" opacity="22936f" origin="-.5,-.5" offset="0,.63881mm"/>
                <v:path arrowok="t" o:connecttype="custom" o:connectlocs="6123980,0;12247959,25504138;6123980,51008276;0,25504138;0,38501783;12247959,38501783" o:connectangles="270,0,90,180,180,0" textboxrect="@1,@1,@1,@1"/>
              </v:shape>
            </w:pict>
          </mc:Fallback>
        </mc:AlternateContent>
      </w:r>
      <w:r w:rsidRPr="003F7C7F">
        <w:rPr>
          <w:rFonts w:cs="Calibri"/>
          <w:noProof/>
          <w:sz w:val="24"/>
          <w:szCs w:val="24"/>
          <w:lang w:val="en-GB" w:eastAsia="da-DK"/>
        </w:rPr>
        <mc:AlternateContent>
          <mc:Choice Requires="wps">
            <w:drawing>
              <wp:anchor distT="0" distB="0" distL="114300" distR="114300" simplePos="0" relativeHeight="251679744" behindDoc="0" locked="0" layoutInCell="1" allowOverlap="1" wp14:anchorId="6B81CAE7" wp14:editId="6D041244">
                <wp:simplePos x="0" y="0"/>
                <wp:positionH relativeFrom="column">
                  <wp:posOffset>22860</wp:posOffset>
                </wp:positionH>
                <wp:positionV relativeFrom="paragraph">
                  <wp:posOffset>40640</wp:posOffset>
                </wp:positionV>
                <wp:extent cx="476885" cy="1052830"/>
                <wp:effectExtent l="0" t="1905" r="0" b="2540"/>
                <wp:wrapNone/>
                <wp:docPr id="3" name="Opadgående pi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885" cy="1052830"/>
                        </a:xfrm>
                        <a:custGeom>
                          <a:avLst/>
                          <a:gdLst>
                            <a:gd name="T0" fmla="*/ 238444 w 21600"/>
                            <a:gd name="T1" fmla="*/ 0 h 21600"/>
                            <a:gd name="T2" fmla="*/ 476887 w 21600"/>
                            <a:gd name="T3" fmla="*/ 526416 h 21600"/>
                            <a:gd name="T4" fmla="*/ 238444 w 21600"/>
                            <a:gd name="T5" fmla="*/ 1052831 h 21600"/>
                            <a:gd name="T6" fmla="*/ 0 w 21600"/>
                            <a:gd name="T7" fmla="*/ 526416 h 21600"/>
                            <a:gd name="T8" fmla="*/ 0 w 21600"/>
                            <a:gd name="T9" fmla="*/ 238593 h 21600"/>
                            <a:gd name="T10" fmla="*/ 476887 w 21600"/>
                            <a:gd name="T11" fmla="*/ 238593 h 21600"/>
                            <a:gd name="T12" fmla="*/ 17694720 60000 65536"/>
                            <a:gd name="T13" fmla="*/ 0 60000 65536"/>
                            <a:gd name="T14" fmla="*/ 5898240 60000 65536"/>
                            <a:gd name="T15" fmla="*/ 11796480 60000 65536"/>
                            <a:gd name="T16" fmla="*/ 11796480 60000 65536"/>
                            <a:gd name="T17" fmla="*/ 0 60000 65536"/>
                            <a:gd name="T18" fmla="*/ 5400 w 21600"/>
                            <a:gd name="T19" fmla="*/ 2447 h 21600"/>
                            <a:gd name="T20" fmla="*/ 162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custGeom>
                        <a:gradFill rotWithShape="0">
                          <a:gsLst>
                            <a:gs pos="0">
                              <a:srgbClr val="769535"/>
                            </a:gs>
                            <a:gs pos="100000">
                              <a:srgbClr val="9BC348"/>
                            </a:gs>
                          </a:gsLst>
                          <a:lin ang="16200000"/>
                        </a:gra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92603" id="Opadgående pil 9" o:spid="_x0000_s1026" style="position:absolute;margin-left:1.8pt;margin-top:3.2pt;width:37.55pt;height:8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" fillcolor="#769535" stroked="f">
                <v:fill color2="#9bc348" angle="180" focus="100%" type="gradient">
                  <o:fill v:ext="view" type="gradientUnscaled"/>
                </v:fill>
                <v:shadow on="t" opacity="22936f" origin="-.5,-.5" offset="0,.63881mm"/>
                <v:path arrowok="t" o:connecttype="custom" o:connectlocs="5264369,0;10528716,25658637;5264369,51317225;0,25658637;0,11629531;10528716,11629531" o:connectangles="270,0,90,180,180,0" textboxrect="@1,@1,@1,@1"/>
              </v:shape>
            </w:pict>
          </mc:Fallback>
        </mc:AlternateContent>
      </w:r>
      <w:r w:rsidRPr="003F7C7F">
        <w:rPr>
          <w:rFonts w:cs="Calibri"/>
          <w:noProof/>
          <w:sz w:val="24"/>
          <w:szCs w:val="24"/>
          <w:lang w:val="en-GB" w:eastAsia="da-DK"/>
        </w:rPr>
        <mc:AlternateContent>
          <mc:Choice Requires="wps">
            <w:drawing>
              <wp:anchor distT="0" distB="0" distL="114300" distR="114300" simplePos="0" relativeHeight="251678720" behindDoc="0" locked="0" layoutInCell="1" allowOverlap="1" wp14:anchorId="6D51EB4A" wp14:editId="1AAB546C">
                <wp:simplePos x="0" y="0"/>
                <wp:positionH relativeFrom="column">
                  <wp:posOffset>1746885</wp:posOffset>
                </wp:positionH>
                <wp:positionV relativeFrom="paragraph">
                  <wp:posOffset>40640</wp:posOffset>
                </wp:positionV>
                <wp:extent cx="431165" cy="1125220"/>
                <wp:effectExtent l="0" t="1905" r="0" b="0"/>
                <wp:wrapNone/>
                <wp:docPr id="2" name="Opad-nedadgående pi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1125220"/>
                        </a:xfrm>
                        <a:custGeom>
                          <a:avLst/>
                          <a:gdLst>
                            <a:gd name="T0" fmla="*/ 215584 w 431167"/>
                            <a:gd name="T1" fmla="*/ 0 h 1125224"/>
                            <a:gd name="T2" fmla="*/ 431167 w 431167"/>
                            <a:gd name="T3" fmla="*/ 562612 h 1125224"/>
                            <a:gd name="T4" fmla="*/ 215584 w 431167"/>
                            <a:gd name="T5" fmla="*/ 1125224 h 1125224"/>
                            <a:gd name="T6" fmla="*/ 0 w 431167"/>
                            <a:gd name="T7" fmla="*/ 562612 h 1125224"/>
                            <a:gd name="T8" fmla="*/ 0 w 431167"/>
                            <a:gd name="T9" fmla="*/ 215584 h 1125224"/>
                            <a:gd name="T10" fmla="*/ 107792 w 431167"/>
                            <a:gd name="T11" fmla="*/ 562612 h 1125224"/>
                            <a:gd name="T12" fmla="*/ 0 w 431167"/>
                            <a:gd name="T13" fmla="*/ 909640 h 1125224"/>
                            <a:gd name="T14" fmla="*/ 431167 w 431167"/>
                            <a:gd name="T15" fmla="*/ 909640 h 1125224"/>
                            <a:gd name="T16" fmla="*/ 323375 w 431167"/>
                            <a:gd name="T17" fmla="*/ 562612 h 1125224"/>
                            <a:gd name="T18" fmla="*/ 431167 w 431167"/>
                            <a:gd name="T19" fmla="*/ 215584 h 1125224"/>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07792 w 431167"/>
                            <a:gd name="T31" fmla="*/ 107792 h 1125224"/>
                            <a:gd name="T32" fmla="*/ 323375 w 431167"/>
                            <a:gd name="T33" fmla="*/ 1017432 h 11252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custGeom>
                        <a:gradFill rotWithShape="0">
                          <a:gsLst>
                            <a:gs pos="0">
                              <a:srgbClr val="769535"/>
                            </a:gs>
                            <a:gs pos="100000">
                              <a:srgbClr val="9BC348"/>
                            </a:gs>
                          </a:gsLst>
                          <a:lin ang="16200000"/>
                        </a:gradFill>
                        <a:ln>
                          <a:noFill/>
                        </a:ln>
                        <a:effectLst>
                          <a:outerShdw dist="22997" dir="5400000" algn="tl"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F6293" id="Opad-nedadgående pil 8" o:spid="_x0000_s1026" style="position:absolute;margin-left:137.55pt;margin-top:3.2pt;width:33.95pt;height:8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" fillcolor="#769535" stroked="f">
                <v:fill color2="#9bc348" angle="180" focus="100%" type="gradient">
                  <o:fill v:ext="view" type="gradientUnscaled"/>
                </v:fill>
                <v:shadow on="t" opacity="22936f" origin="-.5,-.5" offset="0,.63881mm"/>
                <v:path arrowok="t" o:connecttype="custom" o:connectlocs="215583,0;431165,562610;215583,1125220;0,562610;0,215583;107791,562610;0,909637;431165,909637;323374,562610;431165,215583" o:connectangles="270,0,90,180,180,180,180,0,0,0" textboxrect="@1,@1,@1,@1"/>
              </v:shape>
            </w:pict>
          </mc:Fallback>
        </mc:AlternateContent>
      </w:r>
      <w:r w:rsidR="006E7B37" w:rsidRPr="003F7C7F">
        <w:rPr>
          <w:sz w:val="24"/>
          <w:lang w:val="en-GB"/>
        </w:rPr>
        <w:t>Second</w:t>
      </w:r>
      <w:r w:rsidR="003773E8">
        <w:rPr>
          <w:sz w:val="24"/>
          <w:lang w:val="en-GB"/>
        </w:rPr>
        <w:t>-</w:t>
      </w:r>
      <w:r w:rsidR="006E7B37" w:rsidRPr="003F7C7F">
        <w:rPr>
          <w:sz w:val="24"/>
          <w:lang w:val="en-GB"/>
        </w:rPr>
        <w:t xml:space="preserve">level analyses of group differences </w:t>
      </w:r>
      <w:r w:rsidR="0021537E" w:rsidRPr="003F7C7F">
        <w:rPr>
          <w:sz w:val="24"/>
          <w:lang w:val="en-GB"/>
        </w:rPr>
        <w:t>of the salience contrast (</w:t>
      </w:r>
      <w:r w:rsidR="003773E8">
        <w:rPr>
          <w:sz w:val="24"/>
          <w:lang w:val="en-GB"/>
        </w:rPr>
        <w:t>F</w:t>
      </w:r>
      <w:r w:rsidR="0021537E" w:rsidRPr="003F7C7F">
        <w:rPr>
          <w:sz w:val="24"/>
          <w:lang w:val="en-GB"/>
        </w:rPr>
        <w:t xml:space="preserve">igure </w:t>
      </w:r>
      <w:r w:rsidR="003773E8">
        <w:rPr>
          <w:sz w:val="24"/>
          <w:lang w:val="en-GB"/>
        </w:rPr>
        <w:t>S</w:t>
      </w:r>
      <w:r w:rsidR="0021537E" w:rsidRPr="003F7C7F">
        <w:rPr>
          <w:sz w:val="24"/>
          <w:lang w:val="en-GB"/>
        </w:rPr>
        <w:t xml:space="preserve">2) </w:t>
      </w:r>
      <w:r w:rsidR="006E7B37" w:rsidRPr="003F7C7F">
        <w:rPr>
          <w:sz w:val="24"/>
          <w:lang w:val="en-GB"/>
        </w:rPr>
        <w:t>at baseline and follow</w:t>
      </w:r>
      <w:r w:rsidR="003773E8">
        <w:rPr>
          <w:sz w:val="24"/>
          <w:lang w:val="en-GB"/>
        </w:rPr>
        <w:t>-</w:t>
      </w:r>
      <w:r w:rsidR="006E7B37" w:rsidRPr="003F7C7F">
        <w:rPr>
          <w:sz w:val="24"/>
          <w:lang w:val="en-GB"/>
        </w:rPr>
        <w:t>up was performed</w:t>
      </w:r>
      <w:r w:rsidR="0021537E" w:rsidRPr="003F7C7F">
        <w:rPr>
          <w:sz w:val="24"/>
          <w:lang w:val="en-GB"/>
        </w:rPr>
        <w:t>.</w:t>
      </w:r>
      <w:r w:rsidR="006E7B37" w:rsidRPr="003F7C7F">
        <w:rPr>
          <w:sz w:val="24"/>
          <w:lang w:val="en-GB"/>
        </w:rPr>
        <w:t xml:space="preserve"> Additionally, t</w:t>
      </w:r>
      <w:r w:rsidR="001E2A25" w:rsidRPr="003F7C7F">
        <w:rPr>
          <w:sz w:val="24"/>
          <w:lang w:val="en-GB"/>
        </w:rPr>
        <w:t xml:space="preserve">o illustrate the </w:t>
      </w:r>
      <w:r w:rsidR="00E64976" w:rsidRPr="003F7C7F">
        <w:rPr>
          <w:sz w:val="24"/>
          <w:lang w:val="en-GB"/>
        </w:rPr>
        <w:t xml:space="preserve">salience </w:t>
      </w:r>
      <w:r w:rsidR="001E2A25" w:rsidRPr="003F7C7F">
        <w:rPr>
          <w:sz w:val="24"/>
          <w:lang w:val="en-GB"/>
        </w:rPr>
        <w:t>contrast activity at group level</w:t>
      </w:r>
      <w:r w:rsidR="006E7B37" w:rsidRPr="003F7C7F">
        <w:rPr>
          <w:sz w:val="24"/>
          <w:lang w:val="en-GB"/>
        </w:rPr>
        <w:t>,</w:t>
      </w:r>
      <w:r w:rsidR="001E2A25" w:rsidRPr="003F7C7F">
        <w:rPr>
          <w:sz w:val="24"/>
          <w:lang w:val="en-GB"/>
        </w:rPr>
        <w:t xml:space="preserve"> </w:t>
      </w:r>
      <w:r w:rsidR="006E7B37" w:rsidRPr="003F7C7F">
        <w:rPr>
          <w:sz w:val="24"/>
          <w:lang w:val="en-GB"/>
        </w:rPr>
        <w:t>t</w:t>
      </w:r>
      <w:r w:rsidR="00E64976" w:rsidRPr="003F7C7F">
        <w:rPr>
          <w:sz w:val="24"/>
          <w:lang w:val="en-GB"/>
        </w:rPr>
        <w:t xml:space="preserve">he main effect of the salience contrast </w:t>
      </w:r>
      <w:r w:rsidR="0021537E" w:rsidRPr="003F7C7F">
        <w:rPr>
          <w:sz w:val="24"/>
          <w:lang w:val="en-GB"/>
        </w:rPr>
        <w:t>was extracted</w:t>
      </w:r>
      <w:r w:rsidR="00E64976" w:rsidRPr="003F7C7F">
        <w:rPr>
          <w:sz w:val="24"/>
          <w:lang w:val="en-GB"/>
        </w:rPr>
        <w:t xml:space="preserve"> for each group at each time</w:t>
      </w:r>
      <w:r w:rsidR="003773E8">
        <w:rPr>
          <w:sz w:val="24"/>
          <w:lang w:val="en-GB"/>
        </w:rPr>
        <w:t xml:space="preserve"> </w:t>
      </w:r>
      <w:r w:rsidR="00E64976" w:rsidRPr="003F7C7F">
        <w:rPr>
          <w:sz w:val="24"/>
          <w:lang w:val="en-GB"/>
        </w:rPr>
        <w:t>point</w:t>
      </w:r>
      <w:r w:rsidR="001E2A25" w:rsidRPr="003F7C7F">
        <w:rPr>
          <w:sz w:val="24"/>
          <w:lang w:val="en-GB"/>
        </w:rPr>
        <w:t xml:space="preserve">. </w:t>
      </w:r>
      <w:r w:rsidR="006E7B37" w:rsidRPr="003F7C7F">
        <w:rPr>
          <w:sz w:val="24"/>
          <w:lang w:val="en-GB"/>
        </w:rPr>
        <w:t xml:space="preserve">The resulting z </w:t>
      </w:r>
      <w:r w:rsidR="006E7B37" w:rsidRPr="003F7C7F">
        <w:rPr>
          <w:sz w:val="24"/>
          <w:lang w:val="en-GB"/>
        </w:rPr>
        <w:lastRenderedPageBreak/>
        <w:t xml:space="preserve">statistic images were </w:t>
      </w:r>
      <w:proofErr w:type="spellStart"/>
      <w:r w:rsidR="006E7B37" w:rsidRPr="003F7C7F">
        <w:rPr>
          <w:sz w:val="24"/>
          <w:lang w:val="en-GB"/>
        </w:rPr>
        <w:t>thresholded</w:t>
      </w:r>
      <w:proofErr w:type="spellEnd"/>
      <w:r w:rsidR="006E7B37" w:rsidRPr="003F7C7F">
        <w:rPr>
          <w:sz w:val="24"/>
          <w:lang w:val="en-GB"/>
        </w:rPr>
        <w:t xml:space="preserve"> using clusters determined by Z&gt;2.3 and a corrected cluster significance threshold of p=0.05.</w:t>
      </w:r>
    </w:p>
    <w:p w14:paraId="64BE578B" w14:textId="2E974676" w:rsidR="00E81F84" w:rsidRPr="003F7C7F" w:rsidRDefault="00E81F84" w:rsidP="006E7B37">
      <w:pPr>
        <w:pStyle w:val="Standard"/>
        <w:spacing w:after="0" w:line="360" w:lineRule="auto"/>
        <w:jc w:val="both"/>
        <w:rPr>
          <w:sz w:val="24"/>
          <w:lang w:val="en-GB"/>
        </w:rPr>
      </w:pPr>
    </w:p>
    <w:p w14:paraId="7C76F26F" w14:textId="77777777" w:rsidR="00E81F84" w:rsidRPr="003F7C7F" w:rsidRDefault="00E81F84" w:rsidP="006E7B37">
      <w:pPr>
        <w:pStyle w:val="Standard"/>
        <w:spacing w:after="0" w:line="360" w:lineRule="auto"/>
        <w:jc w:val="both"/>
        <w:rPr>
          <w:sz w:val="24"/>
          <w:lang w:val="en-GB"/>
        </w:rPr>
      </w:pPr>
    </w:p>
    <w:p w14:paraId="3D2B6941" w14:textId="0FC5D5BA" w:rsidR="0021537E" w:rsidRPr="003F7C7F" w:rsidRDefault="0021537E" w:rsidP="0021537E">
      <w:pPr>
        <w:pStyle w:val="Standard"/>
        <w:spacing w:after="0" w:line="360" w:lineRule="auto"/>
        <w:jc w:val="both"/>
        <w:rPr>
          <w:i/>
          <w:noProof/>
          <w:lang w:val="en-GB" w:eastAsia="da-DK"/>
        </w:rPr>
      </w:pPr>
      <w:r w:rsidRPr="003F7C7F">
        <w:rPr>
          <w:b/>
          <w:i/>
          <w:lang w:val="en-GB"/>
        </w:rPr>
        <w:t>Figure S2.</w:t>
      </w:r>
      <w:r w:rsidRPr="003F7C7F">
        <w:rPr>
          <w:b/>
          <w:lang w:val="en-GB"/>
        </w:rPr>
        <w:t xml:space="preserve"> </w:t>
      </w:r>
      <w:r w:rsidRPr="003F7C7F">
        <w:rPr>
          <w:i/>
          <w:lang w:val="en-GB"/>
        </w:rPr>
        <w:t>The salience contrast: Uncertain gain and loss (salient) cues versus neutral cues</w:t>
      </w:r>
      <w:r w:rsidRPr="003F7C7F">
        <w:rPr>
          <w:i/>
          <w:noProof/>
          <w:lang w:val="en-GB" w:eastAsia="da-DK"/>
        </w:rPr>
        <w:t xml:space="preserve"> </w:t>
      </w:r>
    </w:p>
    <w:p w14:paraId="5B479E9D" w14:textId="547D0E21" w:rsidR="006E7B37" w:rsidRPr="003F7C7F" w:rsidRDefault="0021537E" w:rsidP="006E7B37">
      <w:pPr>
        <w:pStyle w:val="Standard"/>
        <w:spacing w:after="0" w:line="360" w:lineRule="auto"/>
        <w:jc w:val="both"/>
        <w:rPr>
          <w:sz w:val="24"/>
          <w:lang w:val="en-GB"/>
        </w:rPr>
      </w:pPr>
      <w:r w:rsidRPr="003F7C7F">
        <w:rPr>
          <w:noProof/>
          <w:lang w:val="en-GB" w:eastAsia="da-DK"/>
        </w:rPr>
        <mc:AlternateContent>
          <mc:Choice Requires="wps">
            <w:drawing>
              <wp:anchor distT="0" distB="0" distL="114300" distR="114300" simplePos="0" relativeHeight="251687936" behindDoc="0" locked="0" layoutInCell="1" allowOverlap="1" wp14:anchorId="7E8E5A00" wp14:editId="5C93FA2D">
                <wp:simplePos x="0" y="0"/>
                <wp:positionH relativeFrom="column">
                  <wp:posOffset>2486025</wp:posOffset>
                </wp:positionH>
                <wp:positionV relativeFrom="paragraph">
                  <wp:posOffset>99060</wp:posOffset>
                </wp:positionV>
                <wp:extent cx="431165" cy="1125220"/>
                <wp:effectExtent l="0" t="0" r="6985" b="36830"/>
                <wp:wrapNone/>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1125220"/>
                        </a:xfrm>
                        <a:custGeom>
                          <a:avLst/>
                          <a:gdLst>
                            <a:gd name="T0" fmla="*/ 215583 w 431165"/>
                            <a:gd name="T1" fmla="*/ 0 h 1125220"/>
                            <a:gd name="T2" fmla="*/ 431165 w 431165"/>
                            <a:gd name="T3" fmla="*/ 562610 h 1125220"/>
                            <a:gd name="T4" fmla="*/ 215583 w 431165"/>
                            <a:gd name="T5" fmla="*/ 1125220 h 1125220"/>
                            <a:gd name="T6" fmla="*/ 0 w 431165"/>
                            <a:gd name="T7" fmla="*/ 562610 h 1125220"/>
                            <a:gd name="T8" fmla="*/ 0 w 431165"/>
                            <a:gd name="T9" fmla="*/ 215582 h 1125220"/>
                            <a:gd name="T10" fmla="*/ 107791 w 431165"/>
                            <a:gd name="T11" fmla="*/ 562610 h 1125220"/>
                            <a:gd name="T12" fmla="*/ 0 w 431165"/>
                            <a:gd name="T13" fmla="*/ 909638 h 1125220"/>
                            <a:gd name="T14" fmla="*/ 431165 w 431165"/>
                            <a:gd name="T15" fmla="*/ 909638 h 1125220"/>
                            <a:gd name="T16" fmla="*/ 323374 w 431165"/>
                            <a:gd name="T17" fmla="*/ 562610 h 1125220"/>
                            <a:gd name="T18" fmla="*/ 431165 w 431165"/>
                            <a:gd name="T19" fmla="*/ 215582 h 1125220"/>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07791 w 431165"/>
                            <a:gd name="T31" fmla="*/ 107791 h 1125220"/>
                            <a:gd name="T32" fmla="*/ 323374 w 431165"/>
                            <a:gd name="T33" fmla="*/ 1017429 h 112522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1165" h="1125220">
                              <a:moveTo>
                                <a:pt x="0" y="215582"/>
                              </a:moveTo>
                              <a:lnTo>
                                <a:pt x="215582" y="0"/>
                              </a:lnTo>
                              <a:lnTo>
                                <a:pt x="431165" y="215582"/>
                              </a:lnTo>
                              <a:lnTo>
                                <a:pt x="323374" y="215582"/>
                              </a:lnTo>
                              <a:lnTo>
                                <a:pt x="323374" y="909638"/>
                              </a:lnTo>
                              <a:lnTo>
                                <a:pt x="431165" y="909638"/>
                              </a:lnTo>
                              <a:lnTo>
                                <a:pt x="215582" y="1125220"/>
                              </a:lnTo>
                              <a:lnTo>
                                <a:pt x="0" y="909638"/>
                              </a:lnTo>
                              <a:lnTo>
                                <a:pt x="107791" y="909638"/>
                              </a:lnTo>
                              <a:lnTo>
                                <a:pt x="107791" y="215582"/>
                              </a:lnTo>
                              <a:lnTo>
                                <a:pt x="0" y="215582"/>
                              </a:lnTo>
                              <a:close/>
                            </a:path>
                          </a:pathLst>
                        </a:custGeom>
                        <a:solidFill>
                          <a:schemeClr val="accent5">
                            <a:lumMod val="100000"/>
                            <a:lumOff val="0"/>
                          </a:schemeClr>
                        </a:solidFill>
                        <a:ln>
                          <a:noFill/>
                        </a:ln>
                        <a:effectLst>
                          <a:outerShdw dist="22997" dir="5400000" algn="tl"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5A970" id="AutoShape 22" o:spid="_x0000_s1026" style="position:absolute;margin-left:195.75pt;margin-top:7.8pt;width:33.95pt;height:8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165,11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" path="m,215582l215582,,431165,215582r-107791,l323374,909638r107791,l215582,1125220,,909638r107791,l107791,215582,,215582xe" fillcolor="#4472c4 [3208]" stroked="f">
                <v:shadow on="t" color="black" opacity="22936f" origin="-.5,-.5" offset="0,.63881mm"/>
                <v:path arrowok="t" o:connecttype="custom" o:connectlocs="215583,0;431165,562610;215583,1125220;0,562610;0,215582;107791,562610;0,909638;431165,909638;323374,562610;431165,215582" o:connectangles="270,0,90,180,180,180,180,0,0,0" textboxrect="107791,107791,323374,1017429"/>
              </v:shape>
            </w:pict>
          </mc:Fallback>
        </mc:AlternateContent>
      </w:r>
      <w:r w:rsidRPr="003F7C7F">
        <w:rPr>
          <w:noProof/>
          <w:lang w:val="en-GB" w:eastAsia="da-DK"/>
        </w:rPr>
        <mc:AlternateContent>
          <mc:Choice Requires="wps">
            <w:drawing>
              <wp:anchor distT="0" distB="0" distL="114300" distR="114300" simplePos="0" relativeHeight="251686912" behindDoc="0" locked="0" layoutInCell="1" allowOverlap="1" wp14:anchorId="5975239A" wp14:editId="7A0532CD">
                <wp:simplePos x="0" y="0"/>
                <wp:positionH relativeFrom="column">
                  <wp:posOffset>619125</wp:posOffset>
                </wp:positionH>
                <wp:positionV relativeFrom="paragraph">
                  <wp:posOffset>137795</wp:posOffset>
                </wp:positionV>
                <wp:extent cx="514350" cy="1049655"/>
                <wp:effectExtent l="0" t="0" r="0" b="36195"/>
                <wp:wrapNone/>
                <wp:docPr id="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1049655"/>
                        </a:xfrm>
                        <a:custGeom>
                          <a:avLst/>
                          <a:gdLst>
                            <a:gd name="T0" fmla="*/ 257175 w 21600"/>
                            <a:gd name="T1" fmla="*/ 0 h 21600"/>
                            <a:gd name="T2" fmla="*/ 514350 w 21600"/>
                            <a:gd name="T3" fmla="*/ 524829 h 21600"/>
                            <a:gd name="T4" fmla="*/ 257175 w 21600"/>
                            <a:gd name="T5" fmla="*/ 1049658 h 21600"/>
                            <a:gd name="T6" fmla="*/ 0 w 21600"/>
                            <a:gd name="T7" fmla="*/ 524829 h 21600"/>
                            <a:gd name="T8" fmla="*/ 0 w 21600"/>
                            <a:gd name="T9" fmla="*/ 792297 h 21600"/>
                            <a:gd name="T10" fmla="*/ 514350 w 21600"/>
                            <a:gd name="T11" fmla="*/ 792297 h 21600"/>
                            <a:gd name="T12" fmla="*/ 17694720 60000 65536"/>
                            <a:gd name="T13" fmla="*/ 0 60000 65536"/>
                            <a:gd name="T14" fmla="*/ 5898240 60000 65536"/>
                            <a:gd name="T15" fmla="*/ 11796480 60000 65536"/>
                            <a:gd name="T16" fmla="*/ 11796480 60000 65536"/>
                            <a:gd name="T17" fmla="*/ 0 60000 65536"/>
                            <a:gd name="T18" fmla="*/ 5400 w 21600"/>
                            <a:gd name="T19" fmla="*/ 0 h 21600"/>
                            <a:gd name="T20" fmla="*/ 16200 w 21600"/>
                            <a:gd name="T21" fmla="*/ 18952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5400" y="0"/>
                              </a:moveTo>
                              <a:lnTo>
                                <a:pt x="5400" y="16304"/>
                              </a:lnTo>
                              <a:lnTo>
                                <a:pt x="0" y="16304"/>
                              </a:lnTo>
                              <a:lnTo>
                                <a:pt x="10800" y="21600"/>
                              </a:lnTo>
                              <a:lnTo>
                                <a:pt x="21600" y="16304"/>
                              </a:lnTo>
                              <a:lnTo>
                                <a:pt x="16200" y="16304"/>
                              </a:lnTo>
                              <a:lnTo>
                                <a:pt x="16200" y="0"/>
                              </a:lnTo>
                              <a:lnTo>
                                <a:pt x="5400" y="0"/>
                              </a:lnTo>
                              <a:close/>
                            </a:path>
                          </a:pathLst>
                        </a:custGeom>
                        <a:gradFill rotWithShape="0">
                          <a:gsLst>
                            <a:gs pos="0">
                              <a:srgbClr val="769535"/>
                            </a:gs>
                            <a:gs pos="100000">
                              <a:srgbClr val="9BC348"/>
                            </a:gs>
                          </a:gsLst>
                          <a:lin ang="16200000"/>
                        </a:gradFill>
                        <a:ln>
                          <a:noFill/>
                        </a:ln>
                        <a:effectLst>
                          <a:outerShdw dist="22997" dir="5400000" algn="tl"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9BA31" id="AutoShape 23" o:spid="_x0000_s1026" style="position:absolute;margin-left:48.75pt;margin-top:10.85pt;width:40.5pt;height:8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" path="m5400,r,16304l,16304r10800,5296l21600,16304r-5400,l16200,,5400,xe" fillcolor="#769535" stroked="f">
                <v:fill color2="#9bc348" angle="180" focus="100%" type="gradient">
                  <o:fill v:ext="view" type="gradientUnscaled"/>
                </v:fill>
                <v:shadow on="t" color="black" opacity="22936f" origin="-.5,-.5" offset="0,.63881mm"/>
                <v:path arrowok="t" o:connecttype="custom" o:connectlocs="6123980,0;12247959,25504138;6123980,51008276;0,25504138;0,38501783;12247959,38501783" o:connectangles="270,0,90,180,180,0" textboxrect="5400,0,16200,18952"/>
              </v:shape>
            </w:pict>
          </mc:Fallback>
        </mc:AlternateContent>
      </w:r>
      <w:r w:rsidRPr="003F7C7F">
        <w:rPr>
          <w:noProof/>
          <w:lang w:val="en-GB" w:eastAsia="da-DK"/>
        </w:rPr>
        <mc:AlternateContent>
          <mc:Choice Requires="wps">
            <w:drawing>
              <wp:anchor distT="0" distB="0" distL="114300" distR="114300" simplePos="0" relativeHeight="251684864" behindDoc="0" locked="0" layoutInCell="1" allowOverlap="1" wp14:anchorId="6CE4C7C3" wp14:editId="1D5A91EA">
                <wp:simplePos x="0" y="0"/>
                <wp:positionH relativeFrom="column">
                  <wp:posOffset>1914525</wp:posOffset>
                </wp:positionH>
                <wp:positionV relativeFrom="paragraph">
                  <wp:posOffset>99060</wp:posOffset>
                </wp:positionV>
                <wp:extent cx="431165" cy="1125220"/>
                <wp:effectExtent l="0" t="0" r="6985" b="36830"/>
                <wp:wrapNone/>
                <wp:docPr id="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1125220"/>
                        </a:xfrm>
                        <a:custGeom>
                          <a:avLst/>
                          <a:gdLst>
                            <a:gd name="T0" fmla="*/ 215584 w 431167"/>
                            <a:gd name="T1" fmla="*/ 0 h 1125224"/>
                            <a:gd name="T2" fmla="*/ 431167 w 431167"/>
                            <a:gd name="T3" fmla="*/ 562612 h 1125224"/>
                            <a:gd name="T4" fmla="*/ 215584 w 431167"/>
                            <a:gd name="T5" fmla="*/ 1125224 h 1125224"/>
                            <a:gd name="T6" fmla="*/ 0 w 431167"/>
                            <a:gd name="T7" fmla="*/ 562612 h 1125224"/>
                            <a:gd name="T8" fmla="*/ 0 w 431167"/>
                            <a:gd name="T9" fmla="*/ 215584 h 1125224"/>
                            <a:gd name="T10" fmla="*/ 107792 w 431167"/>
                            <a:gd name="T11" fmla="*/ 562612 h 1125224"/>
                            <a:gd name="T12" fmla="*/ 0 w 431167"/>
                            <a:gd name="T13" fmla="*/ 909640 h 1125224"/>
                            <a:gd name="T14" fmla="*/ 431167 w 431167"/>
                            <a:gd name="T15" fmla="*/ 909640 h 1125224"/>
                            <a:gd name="T16" fmla="*/ 323375 w 431167"/>
                            <a:gd name="T17" fmla="*/ 562612 h 1125224"/>
                            <a:gd name="T18" fmla="*/ 431167 w 431167"/>
                            <a:gd name="T19" fmla="*/ 215584 h 1125224"/>
                            <a:gd name="T20" fmla="*/ 17694720 60000 65536"/>
                            <a:gd name="T21" fmla="*/ 0 60000 65536"/>
                            <a:gd name="T22" fmla="*/ 5898240 60000 65536"/>
                            <a:gd name="T23" fmla="*/ 11796480 60000 65536"/>
                            <a:gd name="T24" fmla="*/ 11796480 60000 65536"/>
                            <a:gd name="T25" fmla="*/ 11796480 60000 65536"/>
                            <a:gd name="T26" fmla="*/ 11796480 60000 65536"/>
                            <a:gd name="T27" fmla="*/ 0 60000 65536"/>
                            <a:gd name="T28" fmla="*/ 0 60000 65536"/>
                            <a:gd name="T29" fmla="*/ 0 60000 65536"/>
                            <a:gd name="T30" fmla="*/ 107792 w 431167"/>
                            <a:gd name="T31" fmla="*/ 107792 h 1125224"/>
                            <a:gd name="T32" fmla="*/ 323375 w 431167"/>
                            <a:gd name="T33" fmla="*/ 1017432 h 11252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431167" h="1125224">
                              <a:moveTo>
                                <a:pt x="0" y="215584"/>
                              </a:moveTo>
                              <a:lnTo>
                                <a:pt x="215584" y="0"/>
                              </a:lnTo>
                              <a:lnTo>
                                <a:pt x="431167" y="215584"/>
                              </a:lnTo>
                              <a:lnTo>
                                <a:pt x="323375" y="215584"/>
                              </a:lnTo>
                              <a:lnTo>
                                <a:pt x="323375" y="909640"/>
                              </a:lnTo>
                              <a:lnTo>
                                <a:pt x="431167" y="909640"/>
                              </a:lnTo>
                              <a:lnTo>
                                <a:pt x="215584" y="1125224"/>
                              </a:lnTo>
                              <a:lnTo>
                                <a:pt x="0" y="909640"/>
                              </a:lnTo>
                              <a:lnTo>
                                <a:pt x="107792" y="909640"/>
                              </a:lnTo>
                              <a:lnTo>
                                <a:pt x="107792" y="215584"/>
                              </a:lnTo>
                              <a:lnTo>
                                <a:pt x="0" y="215584"/>
                              </a:lnTo>
                              <a:close/>
                            </a:path>
                          </a:pathLst>
                        </a:custGeom>
                        <a:gradFill rotWithShape="0">
                          <a:gsLst>
                            <a:gs pos="0">
                              <a:srgbClr val="769535"/>
                            </a:gs>
                            <a:gs pos="100000">
                              <a:srgbClr val="9BC348"/>
                            </a:gs>
                          </a:gsLst>
                          <a:lin ang="16200000"/>
                        </a:gradFill>
                        <a:ln>
                          <a:noFill/>
                        </a:ln>
                        <a:effectLst>
                          <a:outerShdw dist="22997" dir="5400000" algn="tl"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FEBE" id="AutoShape 25" o:spid="_x0000_s1026" style="position:absolute;margin-left:150.75pt;margin-top:7.8pt;width:33.95pt;height:8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167,112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" path="m,215584l215584,,431167,215584r-107792,l323375,909640r107792,l215584,1125224,,909640r107792,l107792,215584,,215584xe" fillcolor="#769535" stroked="f">
                <v:fill color2="#9bc348" angle="180" focus="100%" type="gradient">
                  <o:fill v:ext="view" type="gradientUnscaled"/>
                </v:fill>
                <v:shadow on="t" color="black" opacity="22936f" origin="-.5,-.5" offset="0,.63881mm"/>
                <v:path arrowok="t" o:connecttype="custom" o:connectlocs="215583,0;431165,562610;215583,1125220;0,562610;0,215583;107791,562610;0,909637;431165,909637;323374,562610;431165,215583" o:connectangles="270,0,90,180,180,180,180,0,0,0" textboxrect="107791,107792,323376,1017432"/>
              </v:shape>
            </w:pict>
          </mc:Fallback>
        </mc:AlternateContent>
      </w:r>
      <w:r w:rsidRPr="003F7C7F">
        <w:rPr>
          <w:noProof/>
          <w:lang w:val="en-GB" w:eastAsia="da-DK"/>
        </w:rPr>
        <mc:AlternateContent>
          <mc:Choice Requires="wps">
            <w:drawing>
              <wp:anchor distT="0" distB="0" distL="114300" distR="114300" simplePos="0" relativeHeight="251685888" behindDoc="0" locked="0" layoutInCell="1" allowOverlap="1" wp14:anchorId="1CE5879B" wp14:editId="2335FC32">
                <wp:simplePos x="0" y="0"/>
                <wp:positionH relativeFrom="column">
                  <wp:posOffset>57150</wp:posOffset>
                </wp:positionH>
                <wp:positionV relativeFrom="paragraph">
                  <wp:posOffset>99060</wp:posOffset>
                </wp:positionV>
                <wp:extent cx="476885" cy="1052830"/>
                <wp:effectExtent l="0" t="0" r="0" b="33020"/>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885" cy="1052830"/>
                        </a:xfrm>
                        <a:custGeom>
                          <a:avLst/>
                          <a:gdLst>
                            <a:gd name="T0" fmla="*/ 238444 w 21600"/>
                            <a:gd name="T1" fmla="*/ 0 h 21600"/>
                            <a:gd name="T2" fmla="*/ 476887 w 21600"/>
                            <a:gd name="T3" fmla="*/ 526416 h 21600"/>
                            <a:gd name="T4" fmla="*/ 238444 w 21600"/>
                            <a:gd name="T5" fmla="*/ 1052831 h 21600"/>
                            <a:gd name="T6" fmla="*/ 0 w 21600"/>
                            <a:gd name="T7" fmla="*/ 526416 h 21600"/>
                            <a:gd name="T8" fmla="*/ 0 w 21600"/>
                            <a:gd name="T9" fmla="*/ 238593 h 21600"/>
                            <a:gd name="T10" fmla="*/ 476887 w 21600"/>
                            <a:gd name="T11" fmla="*/ 238593 h 21600"/>
                            <a:gd name="T12" fmla="*/ 17694720 60000 65536"/>
                            <a:gd name="T13" fmla="*/ 0 60000 65536"/>
                            <a:gd name="T14" fmla="*/ 5898240 60000 65536"/>
                            <a:gd name="T15" fmla="*/ 11796480 60000 65536"/>
                            <a:gd name="T16" fmla="*/ 11796480 60000 65536"/>
                            <a:gd name="T17" fmla="*/ 0 60000 65536"/>
                            <a:gd name="T18" fmla="*/ 5400 w 21600"/>
                            <a:gd name="T19" fmla="*/ 2447 h 21600"/>
                            <a:gd name="T20" fmla="*/ 162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5400" y="21600"/>
                              </a:moveTo>
                              <a:lnTo>
                                <a:pt x="5400" y="4895"/>
                              </a:lnTo>
                              <a:lnTo>
                                <a:pt x="0" y="4895"/>
                              </a:lnTo>
                              <a:lnTo>
                                <a:pt x="10800" y="0"/>
                              </a:lnTo>
                              <a:lnTo>
                                <a:pt x="21600" y="4895"/>
                              </a:lnTo>
                              <a:lnTo>
                                <a:pt x="16200" y="4895"/>
                              </a:lnTo>
                              <a:lnTo>
                                <a:pt x="16200" y="21600"/>
                              </a:lnTo>
                              <a:lnTo>
                                <a:pt x="5400" y="21600"/>
                              </a:lnTo>
                              <a:close/>
                            </a:path>
                          </a:pathLst>
                        </a:custGeom>
                        <a:gradFill rotWithShape="0">
                          <a:gsLst>
                            <a:gs pos="0">
                              <a:srgbClr val="769535"/>
                            </a:gs>
                            <a:gs pos="100000">
                              <a:srgbClr val="9BC348"/>
                            </a:gs>
                          </a:gsLst>
                          <a:lin ang="16200000"/>
                        </a:gradFill>
                        <a:ln>
                          <a:noFill/>
                        </a:ln>
                        <a:effectLst>
                          <a:outerShdw dist="22997" dir="5400000" algn="tl"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225E7" id="AutoShape 24" o:spid="_x0000_s1026" style="position:absolute;margin-left:4.5pt;margin-top:7.8pt;width:37.55pt;height:8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" path="m5400,21600r,-16705l,4895,10800,,21600,4895r-5400,l16200,21600r-10800,xe" fillcolor="#769535" stroked="f">
                <v:fill color2="#9bc348" angle="180" focus="100%" type="gradient">
                  <o:fill v:ext="view" type="gradientUnscaled"/>
                </v:fill>
                <v:shadow on="t" color="black" opacity="22936f" origin="-.5,-.5" offset="0,.63881mm"/>
                <v:path arrowok="t" o:connecttype="custom" o:connectlocs="5264369,0;10528716,25658637;5264369,51317225;0,25658637;0,11629531;10528716,11629531" o:connectangles="270,0,90,180,180,0" textboxrect="5400,2447,16200,21600"/>
              </v:shape>
            </w:pict>
          </mc:Fallback>
        </mc:AlternateContent>
      </w:r>
    </w:p>
    <w:p w14:paraId="659CC85F" w14:textId="239D63B4" w:rsidR="006E7B37" w:rsidRPr="003F7C7F" w:rsidRDefault="0021537E" w:rsidP="006E7B37">
      <w:pPr>
        <w:pStyle w:val="Standard"/>
        <w:spacing w:after="0" w:line="360" w:lineRule="auto"/>
        <w:jc w:val="both"/>
        <w:rPr>
          <w:sz w:val="24"/>
          <w:lang w:val="en-GB"/>
        </w:rPr>
      </w:pPr>
      <w:r w:rsidRPr="003F7C7F">
        <w:rPr>
          <w:rFonts w:cs="Calibri"/>
          <w:noProof/>
          <w:sz w:val="24"/>
          <w:szCs w:val="24"/>
          <w:lang w:val="en-GB" w:eastAsia="da-DK"/>
        </w:rPr>
        <mc:AlternateContent>
          <mc:Choice Requires="wps">
            <w:drawing>
              <wp:anchor distT="0" distB="0" distL="114300" distR="114300" simplePos="0" relativeHeight="251677696" behindDoc="0" locked="0" layoutInCell="1" allowOverlap="1" wp14:anchorId="7ABC5AF5" wp14:editId="623C4825">
                <wp:simplePos x="0" y="0"/>
                <wp:positionH relativeFrom="column">
                  <wp:posOffset>1346835</wp:posOffset>
                </wp:positionH>
                <wp:positionV relativeFrom="paragraph">
                  <wp:posOffset>141605</wp:posOffset>
                </wp:positionV>
                <wp:extent cx="335915" cy="353695"/>
                <wp:effectExtent l="0" t="0" r="0" b="3810"/>
                <wp:wrapNone/>
                <wp:docPr id="15" name="Tekstboks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353695"/>
                        </a:xfrm>
                        <a:prstGeom prst="rect">
                          <a:avLst/>
                        </a:prstGeom>
                        <a:noFill/>
                        <a:ln>
                          <a:noFill/>
                          <a:prstDash/>
                        </a:ln>
                      </wps:spPr>
                      <wps:txbx>
                        <w:txbxContent>
                          <w:p w14:paraId="519B6ADC" w14:textId="77777777" w:rsidR="002562AC" w:rsidRPr="00617F03" w:rsidRDefault="002562AC">
                            <w:pPr>
                              <w:pStyle w:val="NormalWeb"/>
                              <w:spacing w:before="0" w:after="0"/>
                              <w:textAlignment w:val="baseline"/>
                              <w:rPr>
                                <w:b/>
                              </w:rPr>
                            </w:pPr>
                            <w:r w:rsidRPr="00617F03">
                              <w:rPr>
                                <w:rFonts w:ascii="Perpetua" w:eastAsia="ヒラギノ角ゴ Pro W3" w:hAnsi="Perpetua" w:cs="ヒラギノ角ゴ Pro W3"/>
                                <w:b/>
                                <w:color w:val="000000"/>
                                <w:kern w:val="3"/>
                                <w:sz w:val="36"/>
                                <w:szCs w:val="36"/>
                              </w:rPr>
                              <w:t>&gt;</w:t>
                            </w:r>
                          </w:p>
                        </w:txbxContent>
                      </wps:txbx>
                      <wps:bodyPr vert="horz" wrap="none" lIns="91440" tIns="45720" rIns="91440" bIns="4572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7ABC5AF5" id="_x0000_t202" coordsize="21600,21600" o:spt="202" path="m,l,21600r21600,l21600,xe">
                <v:stroke joinstyle="miter"/>
                <v:path gradientshapeok="t" o:connecttype="rect"/>
              </v:shapetype>
              <v:shape id="Tekstboks 10" o:spid="_x0000_s1029" type="#_x0000_t202" style="position:absolute;left:0;text-align:left;margin-left:106.05pt;margin-top:11.15pt;width:26.45pt;height:27.8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" filled="f" stroked="f">
                <v:textbox style="mso-fit-shape-to-text:t">
                  <w:txbxContent>
                    <w:p w14:paraId="519B6ADC" w14:textId="77777777" w:rsidR="002562AC" w:rsidRPr="00617F03" w:rsidRDefault="002562AC">
                      <w:pPr>
                        <w:pStyle w:val="NormalWeb"/>
                        <w:spacing w:before="0" w:after="0"/>
                        <w:textAlignment w:val="baseline"/>
                        <w:rPr>
                          <w:b/>
                        </w:rPr>
                      </w:pPr>
                      <w:r w:rsidRPr="00617F03">
                        <w:rPr>
                          <w:rFonts w:ascii="Perpetua" w:eastAsia="ヒラギノ角ゴ Pro W3" w:hAnsi="Perpetua" w:cs="ヒラギノ角ゴ Pro W3"/>
                          <w:b/>
                          <w:color w:val="000000"/>
                          <w:kern w:val="3"/>
                          <w:sz w:val="36"/>
                          <w:szCs w:val="36"/>
                        </w:rPr>
                        <w:t>&gt;</w:t>
                      </w:r>
                    </w:p>
                  </w:txbxContent>
                </v:textbox>
              </v:shape>
            </w:pict>
          </mc:Fallback>
        </mc:AlternateContent>
      </w:r>
    </w:p>
    <w:p w14:paraId="4ABFCE76" w14:textId="0BDA3568" w:rsidR="006E7B37" w:rsidRPr="003F7C7F" w:rsidRDefault="006E7B37" w:rsidP="006E7B37">
      <w:pPr>
        <w:pStyle w:val="Standard"/>
        <w:spacing w:after="0" w:line="360" w:lineRule="auto"/>
        <w:jc w:val="both"/>
        <w:rPr>
          <w:sz w:val="24"/>
          <w:lang w:val="en-GB"/>
        </w:rPr>
      </w:pPr>
    </w:p>
    <w:p w14:paraId="3B605890" w14:textId="77777777" w:rsidR="006E7B37" w:rsidRPr="003F7C7F" w:rsidRDefault="006E7B37" w:rsidP="006E7B37">
      <w:pPr>
        <w:pStyle w:val="Standard"/>
        <w:spacing w:after="0" w:line="360" w:lineRule="auto"/>
        <w:jc w:val="both"/>
        <w:rPr>
          <w:sz w:val="24"/>
          <w:lang w:val="en-GB"/>
        </w:rPr>
      </w:pPr>
    </w:p>
    <w:p w14:paraId="7A326207" w14:textId="77777777" w:rsidR="006E7B37" w:rsidRPr="003F7C7F" w:rsidRDefault="006E7B37" w:rsidP="006E7B37">
      <w:pPr>
        <w:pStyle w:val="Standard"/>
        <w:spacing w:after="0" w:line="360" w:lineRule="auto"/>
        <w:jc w:val="both"/>
        <w:rPr>
          <w:sz w:val="24"/>
          <w:lang w:val="en-GB"/>
        </w:rPr>
      </w:pPr>
    </w:p>
    <w:p w14:paraId="72BE2322" w14:textId="67C05278" w:rsidR="0021537E" w:rsidRPr="003F7C7F" w:rsidRDefault="0021537E" w:rsidP="0021537E">
      <w:pPr>
        <w:pStyle w:val="Standard"/>
        <w:spacing w:after="0" w:line="360" w:lineRule="auto"/>
        <w:jc w:val="both"/>
        <w:rPr>
          <w:sz w:val="24"/>
          <w:lang w:val="en-GB"/>
        </w:rPr>
      </w:pPr>
      <w:r w:rsidRPr="00FB2BDC">
        <w:rPr>
          <w:rFonts w:eastAsia="Times New Roman" w:cs="Calibri"/>
          <w:sz w:val="24"/>
          <w:szCs w:val="24"/>
          <w:lang w:val="en-GB" w:eastAsia="da-DK"/>
        </w:rPr>
        <w:t>Similar to our previous studies</w:t>
      </w:r>
      <w:r w:rsidR="003773E8">
        <w:rPr>
          <w:rFonts w:eastAsia="Times New Roman" w:cs="Calibri"/>
          <w:sz w:val="24"/>
          <w:szCs w:val="24"/>
          <w:lang w:val="en-GB" w:eastAsia="da-DK"/>
        </w:rPr>
        <w:t xml:space="preserve"> </w:t>
      </w:r>
      <w:r w:rsidRPr="00FB2BDC">
        <w:rPr>
          <w:rFonts w:eastAsia="Times New Roman" w:cs="Calibri"/>
          <w:sz w:val="24"/>
          <w:szCs w:val="24"/>
          <w:lang w:val="en-GB" w:eastAsia="da-DK"/>
        </w:rPr>
        <w:fldChar w:fldCharType="begin" w:fldLock="1"/>
      </w:r>
      <w:r w:rsidR="00FE6F88" w:rsidRPr="00FB2BDC">
        <w:rPr>
          <w:rFonts w:eastAsia="Times New Roman" w:cs="Calibri"/>
          <w:sz w:val="24"/>
          <w:szCs w:val="24"/>
          <w:lang w:val="en-GB" w:eastAsia="da-DK"/>
        </w:rPr>
        <w:instrText>ADDIN CSL_CITATION { "citationItems" : [ { "id" : "ITEM-1", "itemData" : { "DOI" : "10.1016/j.biopsych.2012.02.007", "ISSN" : "1873-2402", "PMID" : "22418013", "abstract" : "BACKGROUND: Various schizophrenic symptoms are suggested to be linked to a dysfunction of the brain reward system. Several studies have found alterations in the reward processing in patients with schizophrenia; however, most previous findings might be confounded by medication effects.\n\nMETHODS: Thirty-one antipsychotic-na\u00efve schizophrenia patients and 31 age- and gender-matched healthy control subjects were examined with functional magnetic resonance imaging while playing a variant of the monetary incentive delay task. The task variant made it possible to separate overall salience (defined as arousing events) into behavioral salience (events where a predicted reward requires performance) and valence anticipation (the anticipation of a monetarily significant outcome). Furthermore, the evaluation of monetary gain and loss was assessed.\n\nRESULTS: During reward anticipation, patients had a significant attenuation of the activation in ventral tegmentum, ventral striatum, and anterior cingulate cortex during presentation of salient cues. This signal attenuation in ventral striatum was correlated with the degree of positive symptoms. Signal attenuation was most pronounced for behavioral salience and nonsignificant for value anticipation. Furthermore, patients showed a changed activation pattern during outcome evaluation in right prefrontal cortex.\n\nCONCLUSION: Our results suggest that changes during reward anticipation in schizophrenia are present from the beginning of the disease. This supports a possible involvement of reward disturbances in the pathophysiology of schizophrenia. The most pronounced changes were seen in relation to overall salience. In ventral striatum these changes were associated with the degree of positive symptoms.", "author" : [ { "dropping-particle" : "", "family" : "Nielsen", "given" : "Mette \u00d8degaard", "non-dropping-particle" : "", "parse-names" : false, "suffix" : "" }, { "dropping-particle" : "", "family" : "Rostrup", "given" : "Egill", "non-dropping-particle" : "", "parse-names" : false, "suffix" : "" }, { "dropping-particle" : "", "family" : "Wulff", "given" : "Sanne", "non-dropping-particle" : "", "parse-names" : false, "suffix" : "" }, { "dropping-particle" : "", "family" : "Bak", "given" : "Nikolaj", "non-dropping-particle" : "", "parse-names" : false, "suffix" : "" }, { "dropping-particle" : "", "family" : "Lublin", "given" : "Henrik", "non-dropping-particle" : "", "parse-names" : false, "suffix" : "" }, { "dropping-particle" : "", "family" : "Kapur", "given" : "Shitij", "non-dropping-particle" : "", "parse-names" : false, "suffix" : "" }, { "dropping-particle" : "", "family" : "Glenth\u00f8j", "given" : "Birte", "non-dropping-particle" : "", "parse-names" : false, "suffix" : "" } ], "container-title" : "Biological psychiatry", "id" : "ITEM-1", "issue" : "10", "issued" : { "date-parts" : [ [ "2012", "5" ] ] }, "page" : "898-905", "title" : "Alterations of the brain reward system in antipsychotic na\u00efve schizophrenia patients.", "type" : "article-journal", "volume" : "71" }, "uris" : [ "http://www.mendeley.com/documents/?uuid=a33e1d55-ea19-41d6-825c-d22cba42897f", "http://www.mendeley.com/documents/?uuid=4a5572ee-eb91-4ce8-913e-8b0de18c67f2" ] }, { "id" : "ITEM-2", "itemData" : { "DOI" : "10.1001/archgenpsychiatry.2012.847", "ISBN" : "0003-990x", "ISSN" : "0003990X", "PMID" : "22868877", "abstract" : "CONTEXT Schizophrenic symptoms are linked to a dysfunction of dopamine neurotransmission and the brain reward system. However, it remains unclear whether antipsychotic treatment, which blocks dopamine transmission, improves, alters, or even worsens the reward-related abnormalities. OBJECTIVE To investigate changes in reward-related brain activations in schizophrenia before and after antipsychotic monotherapy with a dopamine D2/D3 antagonist. DESIGN Longitudinal cohort study. SETTING Psychiatric inpatients and outpatients in the Capital Region of Denmark. PARTICIPANTS Twenty-three antipsychotic-naive patients with first-episode schizophrenia and 24 healthy controls initially matched on age, sex, and parental socioeconomic status were examined with functional magnetic resonance imaging while playing a variant of the monetary incentive delay task. INTERVENTIONS Patients were treated for 6 weeks with the antipsychotic compound amisulpride. Controls were followed up without treatment. MAIN OUTCOME MEASURES Task-related blood oxygen level-dependent activations as measured by functional magnetic resonance imaging before and after antipsychotic treatment. RESULTS At baseline, patients, as compared with controls, demonstrated an attenuation of brain activation during reward anticipation in the ventral striatum, bilaterally. After 6 weeks of treatment, patients showed an increase in the anticipation-related functional magnetic resonance imaging signal and were no longer statistically distinguishable from healthy controls. Among the patients, there was a correlation between the improvement of positive symptoms and normalization of reward-related activation. Those who showed the greatest clinical improvement in positive symptoms also showed the greatest increase in reward-related activation after treatment. CONCLUSIONS To our knowledge, this is the first controlled, longitudinal study of reward disturbances in schizophrenic patients before and after their first antipsychotic treatment. Our results demonstrate that alterations in reward processing are fundamental to the illness and are seen prior to any treatment. Antipsychotic treatment tends to normalize the response of the reward system; this was especially seen in the patients with the most pronounced treatment effect on the positive symptoms. TRIAL REGISTRATION clinicaltrials.gov Identifier: NCT01154829.", "author" : [ { "dropping-particle" : "", "family" : "Nielsen", "given" : "Mette Odegaard", "non-dropping-particle" : "", "parse-names" : false, "suffix" : "" }, { "dropping-particle" : "", "family" : "Rostrup", "given" : "Egill", "non-dropping-particle" : "", "parse-names" : false, "suffix" : "" }, { "dropping-particle" : "", "family" : "Wulff", "given" : "Sanne", "non-dropping-particle" : "", "parse-names" : false, "suffix" : "" }, { "dropping-particle" : "", "family" : "Bak", "given" : "Nikolaj", "non-dropping-particle" : "", "parse-names" : false, "suffix" : "" }, { "dropping-particle" : "", "family" : "Broberg", "given" : "Brian Villumsen", "non-dropping-particle" : "", "parse-names" : false, "suffix" : "" }, { "dropping-particle" : "", "family" : "Lublin", "given" : "Henrik", "non-dropping-particle" : "", "parse-names" : false, "suffix" : "" }, { "dropping-particle" : "", "family" : "Kapur", "given" : "Shitij", "non-dropping-particle" : "", "parse-names" : false, "suffix" : "" }, { "dropping-particle" : "", "family" : "Glenthoj", "given" : "Birte", "non-dropping-particle" : "", "parse-names" : false, "suffix" : "" } ], "container-title" : "Archives of General Psychiatry", "id" : "ITEM-2", "issue" : "12", "issued" : { "date-parts" : [ [ "2012" ] ] }, "page" : "1195-1204", "title" : "Improvement of brain reward abnormalities by antipsychotic monotherapy in schizophrenia", "type" : "article-journal", "volume" : "69" }, "uris" : [ "http://www.mendeley.com/documents/?uuid=8e883304-cf9f-45e8-84ba-c7df75f4033a" ] } ], "mendeley" : { "formattedCitation" : "(Nielsen &lt;i&gt;et al.&lt;/i&gt; 2012a, 2012b)", "plainTextFormattedCitation" : "(Nielsen et al. 2012a, 2012b)", "previouslyFormattedCitation" : "(M. O. Nielsen &lt;i&gt;et al.&lt;/i&gt;, 2012; M. \u00d8. Nielsen &lt;i&gt;et al.&lt;/i&gt;, 2012)" }, "properties" : {  }, "schema" : "https://github.com/citation-style-language/schema/raw/master/csl-citation.json" }</w:instrText>
      </w:r>
      <w:r w:rsidRPr="00FB2BDC">
        <w:rPr>
          <w:rFonts w:eastAsia="Times New Roman" w:cs="Calibri"/>
          <w:sz w:val="24"/>
          <w:szCs w:val="24"/>
          <w:lang w:val="en-GB" w:eastAsia="da-DK"/>
        </w:rPr>
        <w:fldChar w:fldCharType="separate"/>
      </w:r>
      <w:r w:rsidR="00FE6F88" w:rsidRPr="00FB2BDC">
        <w:rPr>
          <w:rFonts w:eastAsia="Times New Roman" w:cs="Calibri"/>
          <w:noProof/>
          <w:sz w:val="24"/>
          <w:szCs w:val="24"/>
          <w:lang w:val="en-GB" w:eastAsia="da-DK"/>
        </w:rPr>
        <w:t xml:space="preserve">(Nielsen </w:t>
      </w:r>
      <w:r w:rsidR="00FE6F88" w:rsidRPr="00FB2BDC">
        <w:rPr>
          <w:rFonts w:eastAsia="Times New Roman" w:cs="Calibri"/>
          <w:i/>
          <w:noProof/>
          <w:sz w:val="24"/>
          <w:szCs w:val="24"/>
          <w:lang w:val="en-GB" w:eastAsia="da-DK"/>
        </w:rPr>
        <w:t>et al.</w:t>
      </w:r>
      <w:r w:rsidR="00FE6F88" w:rsidRPr="00FB2BDC">
        <w:rPr>
          <w:rFonts w:eastAsia="Times New Roman" w:cs="Calibri"/>
          <w:noProof/>
          <w:sz w:val="24"/>
          <w:szCs w:val="24"/>
          <w:lang w:val="en-GB" w:eastAsia="da-DK"/>
        </w:rPr>
        <w:t xml:space="preserve"> 2012a, 2012b)</w:t>
      </w:r>
      <w:r w:rsidRPr="00FB2BDC">
        <w:rPr>
          <w:rFonts w:eastAsia="Times New Roman" w:cs="Calibri"/>
          <w:sz w:val="24"/>
          <w:szCs w:val="24"/>
          <w:lang w:val="en-GB" w:eastAsia="da-DK"/>
        </w:rPr>
        <w:fldChar w:fldCharType="end"/>
      </w:r>
      <w:r w:rsidRPr="00FB2BDC">
        <w:rPr>
          <w:rFonts w:eastAsia="Times New Roman" w:cs="Calibri"/>
          <w:sz w:val="24"/>
          <w:szCs w:val="24"/>
          <w:lang w:val="en-GB" w:eastAsia="da-DK"/>
        </w:rPr>
        <w:t xml:space="preserve"> we found significant differences at baseline between the antipsychotic-naïve first-episode patients and </w:t>
      </w:r>
      <w:r w:rsidR="003773E8">
        <w:rPr>
          <w:rFonts w:eastAsia="Times New Roman" w:cs="Calibri"/>
          <w:sz w:val="24"/>
          <w:szCs w:val="24"/>
          <w:lang w:val="en-GB" w:eastAsia="da-DK"/>
        </w:rPr>
        <w:t>HCs</w:t>
      </w:r>
      <w:r w:rsidRPr="00FB2BDC">
        <w:rPr>
          <w:rFonts w:eastAsia="Times New Roman" w:cs="Calibri"/>
          <w:sz w:val="24"/>
          <w:szCs w:val="24"/>
          <w:lang w:val="en-GB" w:eastAsia="da-DK"/>
        </w:rPr>
        <w:t xml:space="preserve"> in the salience contrast activity. At follow</w:t>
      </w:r>
      <w:r w:rsidR="003773E8">
        <w:rPr>
          <w:rFonts w:eastAsia="Times New Roman" w:cs="Calibri"/>
          <w:sz w:val="24"/>
          <w:szCs w:val="24"/>
          <w:lang w:val="en-GB" w:eastAsia="da-DK"/>
        </w:rPr>
        <w:t>-</w:t>
      </w:r>
      <w:r w:rsidRPr="00FB2BDC">
        <w:rPr>
          <w:rFonts w:eastAsia="Times New Roman" w:cs="Calibri"/>
          <w:sz w:val="24"/>
          <w:szCs w:val="24"/>
          <w:lang w:val="en-GB" w:eastAsia="da-DK"/>
        </w:rPr>
        <w:t>up, the group difference was less pronounced and no longer present in the striatal region</w:t>
      </w:r>
      <w:r w:rsidR="003773E8">
        <w:rPr>
          <w:rFonts w:eastAsia="Times New Roman" w:cs="Calibri"/>
          <w:sz w:val="24"/>
          <w:szCs w:val="24"/>
          <w:lang w:val="en-GB" w:eastAsia="da-DK"/>
        </w:rPr>
        <w:t>;</w:t>
      </w:r>
      <w:r w:rsidRPr="00FB2BDC">
        <w:rPr>
          <w:rFonts w:eastAsia="Times New Roman" w:cs="Calibri"/>
          <w:sz w:val="24"/>
          <w:szCs w:val="24"/>
          <w:lang w:val="en-GB" w:eastAsia="da-DK"/>
        </w:rPr>
        <w:t xml:space="preserve"> see Figure S3. </w:t>
      </w:r>
      <w:r w:rsidRPr="003F7C7F">
        <w:rPr>
          <w:sz w:val="24"/>
          <w:lang w:val="en-GB"/>
        </w:rPr>
        <w:t>T</w:t>
      </w:r>
      <w:r w:rsidR="00AC35BE" w:rsidRPr="003F7C7F">
        <w:rPr>
          <w:sz w:val="24"/>
          <w:lang w:val="en-GB"/>
        </w:rPr>
        <w:t>here w</w:t>
      </w:r>
      <w:r w:rsidR="000273EF">
        <w:rPr>
          <w:sz w:val="24"/>
          <w:lang w:val="en-GB"/>
        </w:rPr>
        <w:t>as</w:t>
      </w:r>
      <w:r w:rsidR="00AC35BE" w:rsidRPr="003F7C7F">
        <w:rPr>
          <w:sz w:val="24"/>
          <w:lang w:val="en-GB"/>
        </w:rPr>
        <w:t xml:space="preserve"> no significant group*</w:t>
      </w:r>
      <w:r w:rsidRPr="003F7C7F">
        <w:rPr>
          <w:sz w:val="24"/>
          <w:lang w:val="en-GB"/>
        </w:rPr>
        <w:t xml:space="preserve">time interaction using </w:t>
      </w:r>
      <w:r w:rsidR="000273EF">
        <w:rPr>
          <w:sz w:val="24"/>
          <w:lang w:val="en-GB"/>
        </w:rPr>
        <w:t xml:space="preserve">the </w:t>
      </w:r>
      <w:r w:rsidRPr="003F7C7F">
        <w:rPr>
          <w:sz w:val="24"/>
          <w:lang w:val="en-GB"/>
        </w:rPr>
        <w:t>whole</w:t>
      </w:r>
      <w:r w:rsidR="000273EF">
        <w:rPr>
          <w:sz w:val="24"/>
          <w:lang w:val="en-GB"/>
        </w:rPr>
        <w:t>-</w:t>
      </w:r>
      <w:r w:rsidRPr="003F7C7F">
        <w:rPr>
          <w:sz w:val="24"/>
          <w:lang w:val="en-GB"/>
        </w:rPr>
        <w:t>brain approach.</w:t>
      </w:r>
    </w:p>
    <w:p w14:paraId="39EC884B" w14:textId="77777777" w:rsidR="006E7B37" w:rsidRPr="003F7C7F" w:rsidRDefault="006E7B37" w:rsidP="006E7B37">
      <w:pPr>
        <w:pStyle w:val="Standard"/>
        <w:spacing w:after="0" w:line="360" w:lineRule="auto"/>
        <w:jc w:val="both"/>
        <w:rPr>
          <w:sz w:val="24"/>
          <w:lang w:val="en-GB"/>
        </w:rPr>
      </w:pPr>
    </w:p>
    <w:p w14:paraId="7F823BCA" w14:textId="72AB64AC" w:rsidR="00AF507A" w:rsidRPr="00FB2BDC" w:rsidRDefault="00AF507A" w:rsidP="00AF507A">
      <w:pPr>
        <w:pStyle w:val="Standard"/>
        <w:spacing w:after="0" w:line="360" w:lineRule="auto"/>
        <w:jc w:val="both"/>
        <w:rPr>
          <w:rFonts w:eastAsia="Times New Roman" w:cs="Calibri"/>
          <w:i/>
          <w:lang w:val="en-GB" w:eastAsia="da-DK"/>
        </w:rPr>
      </w:pPr>
      <w:r w:rsidRPr="003F7C7F">
        <w:rPr>
          <w:b/>
          <w:i/>
          <w:lang w:val="en-GB"/>
        </w:rPr>
        <w:t>Figure S</w:t>
      </w:r>
      <w:r w:rsidR="00D266CC" w:rsidRPr="003F7C7F">
        <w:rPr>
          <w:b/>
          <w:i/>
          <w:lang w:val="en-GB"/>
        </w:rPr>
        <w:t>3</w:t>
      </w:r>
      <w:r w:rsidRPr="003F7C7F">
        <w:rPr>
          <w:i/>
          <w:lang w:val="en-GB"/>
        </w:rPr>
        <w:t>. Whole</w:t>
      </w:r>
      <w:r w:rsidR="0092002B">
        <w:rPr>
          <w:i/>
          <w:lang w:val="en-GB"/>
        </w:rPr>
        <w:t>-</w:t>
      </w:r>
      <w:r w:rsidRPr="003F7C7F">
        <w:rPr>
          <w:i/>
          <w:lang w:val="en-GB"/>
        </w:rPr>
        <w:t>brain group comparison of the salience contrast at baseline (A) and at follow</w:t>
      </w:r>
      <w:r w:rsidR="0092002B">
        <w:rPr>
          <w:i/>
          <w:lang w:val="en-GB"/>
        </w:rPr>
        <w:t>-</w:t>
      </w:r>
      <w:r w:rsidRPr="003F7C7F">
        <w:rPr>
          <w:i/>
          <w:lang w:val="en-GB"/>
        </w:rPr>
        <w:t>up (B). The clusters are areas where there is increased activity in the healthy controls compared to patients. For illustrative purpose</w:t>
      </w:r>
      <w:r w:rsidR="00D50895">
        <w:rPr>
          <w:i/>
          <w:lang w:val="en-GB"/>
        </w:rPr>
        <w:t>s</w:t>
      </w:r>
      <w:r w:rsidRPr="003F7C7F">
        <w:rPr>
          <w:i/>
          <w:lang w:val="en-GB"/>
        </w:rPr>
        <w:t>, significant cluster activity of the s</w:t>
      </w:r>
      <w:r w:rsidR="004E2797" w:rsidRPr="003F7C7F">
        <w:rPr>
          <w:i/>
          <w:lang w:val="en-GB"/>
        </w:rPr>
        <w:t xml:space="preserve">alience contrast is </w:t>
      </w:r>
      <w:r w:rsidR="00D50895">
        <w:rPr>
          <w:i/>
          <w:lang w:val="en-GB"/>
        </w:rPr>
        <w:t>shown</w:t>
      </w:r>
      <w:r w:rsidRPr="003F7C7F">
        <w:rPr>
          <w:i/>
          <w:lang w:val="en-GB"/>
        </w:rPr>
        <w:t xml:space="preserve"> in patients at baseline (C) and follow</w:t>
      </w:r>
      <w:r w:rsidR="00D50895">
        <w:rPr>
          <w:i/>
          <w:lang w:val="en-GB"/>
        </w:rPr>
        <w:t>-</w:t>
      </w:r>
      <w:r w:rsidRPr="003F7C7F">
        <w:rPr>
          <w:i/>
          <w:lang w:val="en-GB"/>
        </w:rPr>
        <w:t>up (D)</w:t>
      </w:r>
      <w:r w:rsidR="00D50895">
        <w:rPr>
          <w:i/>
          <w:lang w:val="en-GB"/>
        </w:rPr>
        <w:t>,</w:t>
      </w:r>
      <w:r w:rsidRPr="003F7C7F">
        <w:rPr>
          <w:i/>
          <w:lang w:val="en-GB"/>
        </w:rPr>
        <w:t xml:space="preserve"> and in healthy controls </w:t>
      </w:r>
      <w:r w:rsidR="00D50895">
        <w:rPr>
          <w:i/>
          <w:lang w:val="en-GB"/>
        </w:rPr>
        <w:t>at</w:t>
      </w:r>
      <w:r w:rsidRPr="003F7C7F">
        <w:rPr>
          <w:i/>
          <w:lang w:val="en-GB"/>
        </w:rPr>
        <w:t xml:space="preserve"> baseline</w:t>
      </w:r>
      <w:r w:rsidRPr="00FB2BDC">
        <w:rPr>
          <w:rFonts w:eastAsia="Times New Roman" w:cs="Calibri"/>
          <w:i/>
          <w:lang w:val="en-GB" w:eastAsia="da-DK"/>
        </w:rPr>
        <w:t xml:space="preserve"> (E) and follow</w:t>
      </w:r>
      <w:r w:rsidR="00D50895">
        <w:rPr>
          <w:rFonts w:eastAsia="Times New Roman" w:cs="Calibri"/>
          <w:i/>
          <w:lang w:val="en-GB" w:eastAsia="da-DK"/>
        </w:rPr>
        <w:t>-</w:t>
      </w:r>
      <w:r w:rsidRPr="00FB2BDC">
        <w:rPr>
          <w:rFonts w:eastAsia="Times New Roman" w:cs="Calibri"/>
          <w:i/>
          <w:lang w:val="en-GB" w:eastAsia="da-DK"/>
        </w:rPr>
        <w:t>up</w:t>
      </w:r>
      <w:r w:rsidR="004E2797" w:rsidRPr="00FB2BDC">
        <w:rPr>
          <w:rFonts w:eastAsia="Times New Roman" w:cs="Calibri"/>
          <w:i/>
          <w:lang w:val="en-GB" w:eastAsia="da-DK"/>
        </w:rPr>
        <w:t xml:space="preserve"> </w:t>
      </w:r>
      <w:r w:rsidRPr="00FB2BDC">
        <w:rPr>
          <w:rFonts w:eastAsia="Times New Roman" w:cs="Calibri"/>
          <w:i/>
          <w:lang w:val="en-GB" w:eastAsia="da-DK"/>
        </w:rPr>
        <w:t xml:space="preserve">(F). </w:t>
      </w:r>
    </w:p>
    <w:p w14:paraId="423CB7BB" w14:textId="67BE9B68" w:rsidR="00AF507A" w:rsidRPr="00FB2BDC" w:rsidRDefault="00AF507A" w:rsidP="00AF507A">
      <w:pPr>
        <w:pStyle w:val="Standard"/>
        <w:spacing w:after="0" w:line="360" w:lineRule="auto"/>
        <w:jc w:val="both"/>
        <w:rPr>
          <w:i/>
          <w:lang w:val="en-GB"/>
        </w:rPr>
      </w:pPr>
      <w:r w:rsidRPr="003F7C7F">
        <w:rPr>
          <w:i/>
          <w:lang w:val="en-GB"/>
        </w:rPr>
        <w:t xml:space="preserve">All the z statistic images illustrate a corrected cluster significance threshold of p=0.05, with clusters determined by </w:t>
      </w:r>
      <w:r w:rsidR="00D50895">
        <w:rPr>
          <w:i/>
          <w:lang w:val="en-GB"/>
        </w:rPr>
        <w:t>z</w:t>
      </w:r>
      <w:r w:rsidRPr="003F7C7F">
        <w:rPr>
          <w:i/>
          <w:lang w:val="en-GB"/>
        </w:rPr>
        <w:t>&gt;2.3.</w:t>
      </w:r>
    </w:p>
    <w:p w14:paraId="7AF234FA" w14:textId="77777777" w:rsidR="00E81F84" w:rsidRPr="00FB2BDC" w:rsidRDefault="00E81F84" w:rsidP="006E7B37">
      <w:pPr>
        <w:pStyle w:val="Standard"/>
        <w:spacing w:after="0" w:line="360" w:lineRule="auto"/>
        <w:jc w:val="both"/>
        <w:rPr>
          <w:rFonts w:eastAsia="Times New Roman" w:cs="Calibri"/>
          <w:lang w:val="en-GB" w:eastAsia="da-DK"/>
        </w:rPr>
      </w:pPr>
    </w:p>
    <w:p w14:paraId="665E1584" w14:textId="1FF1A167" w:rsidR="00E81F84" w:rsidRDefault="00CF7592" w:rsidP="006E7B37">
      <w:pPr>
        <w:pStyle w:val="Standard"/>
        <w:spacing w:after="0" w:line="360" w:lineRule="auto"/>
        <w:jc w:val="both"/>
        <w:rPr>
          <w:rFonts w:eastAsia="Times New Roman" w:cs="Calibri"/>
          <w:lang w:val="en-GB" w:eastAsia="da-DK"/>
        </w:rPr>
      </w:pPr>
      <w:r>
        <w:rPr>
          <w:rFonts w:eastAsia="Times New Roman" w:cs="Calibri"/>
          <w:noProof/>
          <w:lang w:val="en-GB" w:eastAsia="da-DK"/>
        </w:rPr>
        <w:lastRenderedPageBreak/>
        <w:drawing>
          <wp:inline distT="0" distB="0" distL="0" distR="0" wp14:anchorId="70DB08A2" wp14:editId="4CF61EAD">
            <wp:extent cx="5123382" cy="3863546"/>
            <wp:effectExtent l="0" t="0" r="1270" b="381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3a.png"/>
                    <pic:cNvPicPr/>
                  </pic:nvPicPr>
                  <pic:blipFill rotWithShape="1">
                    <a:blip r:embed="rId9"/>
                    <a:srcRect b="15389"/>
                    <a:stretch/>
                  </pic:blipFill>
                  <pic:spPr bwMode="auto">
                    <a:xfrm>
                      <a:off x="0" y="0"/>
                      <a:ext cx="5126290" cy="3865739"/>
                    </a:xfrm>
                    <a:prstGeom prst="rect">
                      <a:avLst/>
                    </a:prstGeom>
                    <a:ln>
                      <a:noFill/>
                    </a:ln>
                    <a:extLst>
                      <a:ext uri="{53640926-AAD7-44D8-BBD7-CCE9431645EC}">
                        <a14:shadowObscured xmlns:a14="http://schemas.microsoft.com/office/drawing/2010/main"/>
                      </a:ext>
                    </a:extLst>
                  </pic:spPr>
                </pic:pic>
              </a:graphicData>
            </a:graphic>
          </wp:inline>
        </w:drawing>
      </w:r>
    </w:p>
    <w:p w14:paraId="13C9A42B" w14:textId="53CF0D1F" w:rsidR="00CF7592" w:rsidRDefault="00CF7592" w:rsidP="006E7B37">
      <w:pPr>
        <w:pStyle w:val="Standard"/>
        <w:spacing w:after="0" w:line="360" w:lineRule="auto"/>
        <w:jc w:val="both"/>
        <w:rPr>
          <w:rFonts w:eastAsia="Times New Roman" w:cs="Calibri"/>
          <w:lang w:val="en-GB" w:eastAsia="da-DK"/>
        </w:rPr>
      </w:pPr>
      <w:r>
        <w:rPr>
          <w:rFonts w:eastAsia="Times New Roman" w:cs="Calibri"/>
          <w:noProof/>
          <w:lang w:val="en-GB" w:eastAsia="da-DK"/>
        </w:rPr>
        <w:drawing>
          <wp:inline distT="0" distB="0" distL="0" distR="0" wp14:anchorId="7FC51EA0" wp14:editId="69469500">
            <wp:extent cx="5137291" cy="3904735"/>
            <wp:effectExtent l="0" t="0" r="6350" b="63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3b.png"/>
                    <pic:cNvPicPr/>
                  </pic:nvPicPr>
                  <pic:blipFill rotWithShape="1">
                    <a:blip r:embed="rId10"/>
                    <a:srcRect b="15623"/>
                    <a:stretch/>
                  </pic:blipFill>
                  <pic:spPr bwMode="auto">
                    <a:xfrm>
                      <a:off x="0" y="0"/>
                      <a:ext cx="5146656" cy="3911853"/>
                    </a:xfrm>
                    <a:prstGeom prst="rect">
                      <a:avLst/>
                    </a:prstGeom>
                    <a:ln>
                      <a:noFill/>
                    </a:ln>
                    <a:extLst>
                      <a:ext uri="{53640926-AAD7-44D8-BBD7-CCE9431645EC}">
                        <a14:shadowObscured xmlns:a14="http://schemas.microsoft.com/office/drawing/2010/main"/>
                      </a:ext>
                    </a:extLst>
                  </pic:spPr>
                </pic:pic>
              </a:graphicData>
            </a:graphic>
          </wp:inline>
        </w:drawing>
      </w:r>
    </w:p>
    <w:p w14:paraId="49373C39" w14:textId="09351306" w:rsidR="00CF7592" w:rsidRDefault="00CF7592" w:rsidP="006E7B37">
      <w:pPr>
        <w:pStyle w:val="Standard"/>
        <w:spacing w:after="0" w:line="360" w:lineRule="auto"/>
        <w:jc w:val="both"/>
        <w:rPr>
          <w:rFonts w:eastAsia="Times New Roman" w:cs="Calibri"/>
          <w:lang w:val="en-GB" w:eastAsia="da-DK"/>
        </w:rPr>
      </w:pPr>
      <w:r>
        <w:rPr>
          <w:rFonts w:eastAsia="Times New Roman" w:cs="Calibri"/>
          <w:noProof/>
          <w:lang w:val="en-GB" w:eastAsia="da-DK"/>
        </w:rPr>
        <w:lastRenderedPageBreak/>
        <w:drawing>
          <wp:inline distT="0" distB="0" distL="0" distR="0" wp14:anchorId="7EC3EB47" wp14:editId="7364DA62">
            <wp:extent cx="5153364" cy="3904461"/>
            <wp:effectExtent l="0" t="0" r="0" b="127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3c.png"/>
                    <pic:cNvPicPr/>
                  </pic:nvPicPr>
                  <pic:blipFill rotWithShape="1">
                    <a:blip r:embed="rId11"/>
                    <a:srcRect b="15659"/>
                    <a:stretch/>
                  </pic:blipFill>
                  <pic:spPr bwMode="auto">
                    <a:xfrm>
                      <a:off x="0" y="0"/>
                      <a:ext cx="5169472" cy="3916666"/>
                    </a:xfrm>
                    <a:prstGeom prst="rect">
                      <a:avLst/>
                    </a:prstGeom>
                    <a:ln>
                      <a:noFill/>
                    </a:ln>
                    <a:extLst>
                      <a:ext uri="{53640926-AAD7-44D8-BBD7-CCE9431645EC}">
                        <a14:shadowObscured xmlns:a14="http://schemas.microsoft.com/office/drawing/2010/main"/>
                      </a:ext>
                    </a:extLst>
                  </pic:spPr>
                </pic:pic>
              </a:graphicData>
            </a:graphic>
          </wp:inline>
        </w:drawing>
      </w:r>
    </w:p>
    <w:p w14:paraId="54277198" w14:textId="7F1AD61D" w:rsidR="00CF7592" w:rsidRDefault="00CF7592" w:rsidP="006E7B37">
      <w:pPr>
        <w:pStyle w:val="Standard"/>
        <w:spacing w:after="0" w:line="360" w:lineRule="auto"/>
        <w:jc w:val="both"/>
        <w:rPr>
          <w:rFonts w:eastAsia="Times New Roman" w:cs="Calibri"/>
          <w:lang w:val="en-GB" w:eastAsia="da-DK"/>
        </w:rPr>
      </w:pPr>
      <w:r>
        <w:rPr>
          <w:rFonts w:eastAsia="Times New Roman" w:cs="Calibri"/>
          <w:noProof/>
          <w:lang w:val="en-GB" w:eastAsia="da-DK"/>
        </w:rPr>
        <w:drawing>
          <wp:inline distT="0" distB="0" distL="0" distR="0" wp14:anchorId="1034399C" wp14:editId="79C85913">
            <wp:extent cx="5169535" cy="3871784"/>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3d.png"/>
                    <pic:cNvPicPr/>
                  </pic:nvPicPr>
                  <pic:blipFill rotWithShape="1">
                    <a:blip r:embed="rId12"/>
                    <a:srcRect b="16142"/>
                    <a:stretch/>
                  </pic:blipFill>
                  <pic:spPr bwMode="auto">
                    <a:xfrm>
                      <a:off x="0" y="0"/>
                      <a:ext cx="5174393" cy="3875422"/>
                    </a:xfrm>
                    <a:prstGeom prst="rect">
                      <a:avLst/>
                    </a:prstGeom>
                    <a:ln>
                      <a:noFill/>
                    </a:ln>
                    <a:extLst>
                      <a:ext uri="{53640926-AAD7-44D8-BBD7-CCE9431645EC}">
                        <a14:shadowObscured xmlns:a14="http://schemas.microsoft.com/office/drawing/2010/main"/>
                      </a:ext>
                    </a:extLst>
                  </pic:spPr>
                </pic:pic>
              </a:graphicData>
            </a:graphic>
          </wp:inline>
        </w:drawing>
      </w:r>
    </w:p>
    <w:p w14:paraId="439501C2" w14:textId="7AB2AAE2" w:rsidR="00CF7592" w:rsidRDefault="00CF7592" w:rsidP="006E7B37">
      <w:pPr>
        <w:pStyle w:val="Standard"/>
        <w:spacing w:after="0" w:line="360" w:lineRule="auto"/>
        <w:jc w:val="both"/>
        <w:rPr>
          <w:rFonts w:eastAsia="Times New Roman" w:cs="Calibri"/>
          <w:lang w:val="en-GB" w:eastAsia="da-DK"/>
        </w:rPr>
      </w:pPr>
    </w:p>
    <w:p w14:paraId="249A0A61" w14:textId="3F2A5501" w:rsidR="00CF7592" w:rsidRDefault="00CF7592" w:rsidP="006E7B37">
      <w:pPr>
        <w:pStyle w:val="Standard"/>
        <w:spacing w:after="0" w:line="360" w:lineRule="auto"/>
        <w:jc w:val="both"/>
        <w:rPr>
          <w:rFonts w:eastAsia="Times New Roman" w:cs="Calibri"/>
          <w:lang w:val="en-GB" w:eastAsia="da-DK"/>
        </w:rPr>
      </w:pPr>
      <w:r>
        <w:rPr>
          <w:rFonts w:eastAsia="Times New Roman" w:cs="Calibri"/>
          <w:noProof/>
          <w:lang w:val="en-GB" w:eastAsia="da-DK"/>
        </w:rPr>
        <w:lastRenderedPageBreak/>
        <w:drawing>
          <wp:inline distT="0" distB="0" distL="0" distR="0" wp14:anchorId="7B37E0D9" wp14:editId="406E5F31">
            <wp:extent cx="5198076" cy="3918168"/>
            <wp:effectExtent l="0" t="0" r="3175" b="635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3e.png"/>
                    <pic:cNvPicPr/>
                  </pic:nvPicPr>
                  <pic:blipFill rotWithShape="1">
                    <a:blip r:embed="rId13"/>
                    <a:srcRect b="15426"/>
                    <a:stretch/>
                  </pic:blipFill>
                  <pic:spPr bwMode="auto">
                    <a:xfrm>
                      <a:off x="0" y="0"/>
                      <a:ext cx="5237667" cy="3948010"/>
                    </a:xfrm>
                    <a:prstGeom prst="rect">
                      <a:avLst/>
                    </a:prstGeom>
                    <a:ln>
                      <a:noFill/>
                    </a:ln>
                    <a:extLst>
                      <a:ext uri="{53640926-AAD7-44D8-BBD7-CCE9431645EC}">
                        <a14:shadowObscured xmlns:a14="http://schemas.microsoft.com/office/drawing/2010/main"/>
                      </a:ext>
                    </a:extLst>
                  </pic:spPr>
                </pic:pic>
              </a:graphicData>
            </a:graphic>
          </wp:inline>
        </w:drawing>
      </w:r>
    </w:p>
    <w:p w14:paraId="6E8F0525" w14:textId="4DEDE0D0" w:rsidR="00CF7592" w:rsidRPr="000B5250" w:rsidRDefault="00CF7592" w:rsidP="006E7B37">
      <w:pPr>
        <w:pStyle w:val="Standard"/>
        <w:spacing w:after="0" w:line="360" w:lineRule="auto"/>
        <w:jc w:val="both"/>
        <w:rPr>
          <w:rFonts w:eastAsia="Times New Roman" w:cs="Calibri"/>
          <w:lang w:val="en-GB" w:eastAsia="da-DK"/>
        </w:rPr>
      </w:pPr>
      <w:r>
        <w:rPr>
          <w:rFonts w:eastAsia="Times New Roman" w:cs="Calibri"/>
          <w:noProof/>
          <w:lang w:val="en-GB" w:eastAsia="da-DK"/>
        </w:rPr>
        <w:drawing>
          <wp:inline distT="0" distB="0" distL="0" distR="0" wp14:anchorId="39D67224" wp14:editId="4EF13566">
            <wp:extent cx="5197475" cy="3917717"/>
            <wp:effectExtent l="0" t="0" r="3175" b="698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3f.png"/>
                    <pic:cNvPicPr/>
                  </pic:nvPicPr>
                  <pic:blipFill rotWithShape="1">
                    <a:blip r:embed="rId14"/>
                    <a:srcRect b="15593"/>
                    <a:stretch/>
                  </pic:blipFill>
                  <pic:spPr bwMode="auto">
                    <a:xfrm>
                      <a:off x="0" y="0"/>
                      <a:ext cx="5202149" cy="3921240"/>
                    </a:xfrm>
                    <a:prstGeom prst="rect">
                      <a:avLst/>
                    </a:prstGeom>
                    <a:ln>
                      <a:noFill/>
                    </a:ln>
                    <a:extLst>
                      <a:ext uri="{53640926-AAD7-44D8-BBD7-CCE9431645EC}">
                        <a14:shadowObscured xmlns:a14="http://schemas.microsoft.com/office/drawing/2010/main"/>
                      </a:ext>
                    </a:extLst>
                  </pic:spPr>
                </pic:pic>
              </a:graphicData>
            </a:graphic>
          </wp:inline>
        </w:drawing>
      </w:r>
    </w:p>
    <w:p w14:paraId="494A3DD3" w14:textId="77777777" w:rsidR="00E81F84" w:rsidRPr="000B5250" w:rsidRDefault="00E81F84" w:rsidP="006E7B37">
      <w:pPr>
        <w:pStyle w:val="Standard"/>
        <w:spacing w:after="0" w:line="360" w:lineRule="auto"/>
        <w:jc w:val="both"/>
        <w:rPr>
          <w:rFonts w:eastAsia="Times New Roman" w:cs="Calibri"/>
          <w:lang w:val="en-GB" w:eastAsia="da-DK"/>
        </w:rPr>
      </w:pPr>
    </w:p>
    <w:p w14:paraId="4DF04A65" w14:textId="77777777" w:rsidR="00E81F84" w:rsidRPr="003773E8" w:rsidRDefault="00E81F84" w:rsidP="006E7B37">
      <w:pPr>
        <w:pStyle w:val="Standard"/>
        <w:spacing w:after="0" w:line="360" w:lineRule="auto"/>
        <w:jc w:val="both"/>
        <w:rPr>
          <w:rFonts w:eastAsia="Times New Roman" w:cs="Calibri"/>
          <w:lang w:val="en-GB" w:eastAsia="da-DK"/>
        </w:rPr>
      </w:pPr>
    </w:p>
    <w:p w14:paraId="18AAAF5B" w14:textId="77777777" w:rsidR="002D4853" w:rsidRPr="003F7C7F" w:rsidRDefault="00DB79E1" w:rsidP="006E7B37">
      <w:pPr>
        <w:pStyle w:val="Standard"/>
        <w:spacing w:after="0" w:line="360" w:lineRule="auto"/>
        <w:jc w:val="both"/>
        <w:rPr>
          <w:lang w:val="en-GB"/>
        </w:rPr>
      </w:pPr>
      <w:r w:rsidRPr="00FB2BDC">
        <w:rPr>
          <w:rFonts w:eastAsia="Times New Roman" w:cs="Calibri"/>
          <w:b/>
          <w:sz w:val="24"/>
          <w:szCs w:val="24"/>
          <w:lang w:val="en-GB" w:eastAsia="da-DK"/>
        </w:rPr>
        <w:lastRenderedPageBreak/>
        <w:t>SPECT acquisition</w:t>
      </w:r>
    </w:p>
    <w:p w14:paraId="6715F9B7" w14:textId="1A68115A" w:rsidR="002D4853" w:rsidRPr="003F7C7F" w:rsidRDefault="00DB79E1" w:rsidP="006E7B37">
      <w:pPr>
        <w:pStyle w:val="Standard"/>
        <w:spacing w:after="0" w:line="360" w:lineRule="auto"/>
        <w:jc w:val="both"/>
        <w:rPr>
          <w:lang w:val="en-GB"/>
        </w:rPr>
      </w:pPr>
      <w:r w:rsidRPr="00FB2BDC">
        <w:rPr>
          <w:rFonts w:eastAsia="Times New Roman" w:cs="Calibri"/>
          <w:sz w:val="24"/>
          <w:szCs w:val="24"/>
          <w:lang w:val="en-GB" w:eastAsia="da-DK"/>
        </w:rPr>
        <w:t xml:space="preserve">The SPECT and </w:t>
      </w:r>
      <w:r w:rsidRPr="00FB2BDC">
        <w:rPr>
          <w:rStyle w:val="st1"/>
          <w:rFonts w:cs="Arial"/>
          <w:sz w:val="24"/>
          <w:szCs w:val="24"/>
          <w:lang w:val="en-GB"/>
        </w:rPr>
        <w:t xml:space="preserve">computerised </w:t>
      </w:r>
      <w:r w:rsidRPr="00FB2BDC">
        <w:rPr>
          <w:rStyle w:val="st1"/>
          <w:rFonts w:cs="Calibri"/>
          <w:sz w:val="24"/>
          <w:szCs w:val="24"/>
          <w:lang w:val="en-GB"/>
        </w:rPr>
        <w:t>tomography (</w:t>
      </w:r>
      <w:r w:rsidRPr="00FB2BDC">
        <w:rPr>
          <w:rFonts w:eastAsia="Times New Roman" w:cs="Calibri"/>
          <w:sz w:val="24"/>
          <w:szCs w:val="24"/>
          <w:lang w:val="en-GB" w:eastAsia="da-DK"/>
        </w:rPr>
        <w:t xml:space="preserve">CT) data were obtained with a Siemens </w:t>
      </w:r>
      <w:proofErr w:type="spellStart"/>
      <w:r w:rsidRPr="00FB2BDC">
        <w:rPr>
          <w:rFonts w:eastAsia="Times New Roman" w:cs="Calibri"/>
          <w:sz w:val="24"/>
          <w:szCs w:val="24"/>
          <w:lang w:val="en-GB" w:eastAsia="da-DK"/>
        </w:rPr>
        <w:t>Symbia</w:t>
      </w:r>
      <w:proofErr w:type="spellEnd"/>
      <w:r w:rsidRPr="00FB2BDC">
        <w:rPr>
          <w:rFonts w:eastAsia="Times New Roman" w:cs="Calibri"/>
          <w:sz w:val="24"/>
          <w:szCs w:val="24"/>
          <w:lang w:val="en-GB" w:eastAsia="da-DK"/>
        </w:rPr>
        <w:t>™ T2 series SPECT•CT scanner with low</w:t>
      </w:r>
      <w:r w:rsidR="00DF6C17">
        <w:rPr>
          <w:rFonts w:eastAsia="Times New Roman" w:cs="Calibri"/>
          <w:sz w:val="24"/>
          <w:szCs w:val="24"/>
          <w:lang w:val="en-GB" w:eastAsia="da-DK"/>
        </w:rPr>
        <w:t>-</w:t>
      </w:r>
      <w:r w:rsidRPr="00FB2BDC">
        <w:rPr>
          <w:rFonts w:eastAsia="Times New Roman" w:cs="Calibri"/>
          <w:sz w:val="24"/>
          <w:szCs w:val="24"/>
          <w:lang w:val="en-GB" w:eastAsia="da-DK"/>
        </w:rPr>
        <w:t>energy</w:t>
      </w:r>
      <w:r w:rsidR="00DF6C17">
        <w:rPr>
          <w:rFonts w:eastAsia="Times New Roman" w:cs="Calibri"/>
          <w:sz w:val="24"/>
          <w:szCs w:val="24"/>
          <w:lang w:val="en-GB" w:eastAsia="da-DK"/>
        </w:rPr>
        <w:t>,</w:t>
      </w:r>
      <w:r w:rsidRPr="00FB2BDC">
        <w:rPr>
          <w:rFonts w:eastAsia="Times New Roman" w:cs="Calibri"/>
          <w:sz w:val="24"/>
          <w:szCs w:val="24"/>
          <w:lang w:val="en-GB" w:eastAsia="da-DK"/>
        </w:rPr>
        <w:t xml:space="preserve"> high</w:t>
      </w:r>
      <w:r w:rsidR="00DF6C17">
        <w:rPr>
          <w:rFonts w:eastAsia="Times New Roman" w:cs="Calibri"/>
          <w:sz w:val="24"/>
          <w:szCs w:val="24"/>
          <w:lang w:val="en-GB" w:eastAsia="da-DK"/>
        </w:rPr>
        <w:t>-</w:t>
      </w:r>
      <w:r w:rsidRPr="00FB2BDC">
        <w:rPr>
          <w:rFonts w:eastAsia="Times New Roman" w:cs="Calibri"/>
          <w:sz w:val="24"/>
          <w:szCs w:val="24"/>
          <w:lang w:val="en-GB" w:eastAsia="da-DK"/>
        </w:rPr>
        <w:t xml:space="preserve">resolution collimators (full width at half maximum 7.5 mm) and two slice CT. </w:t>
      </w:r>
      <w:r w:rsidRPr="000B5250">
        <w:rPr>
          <w:rFonts w:cs="Calibri"/>
          <w:sz w:val="24"/>
          <w:szCs w:val="24"/>
          <w:lang w:val="en-GB"/>
        </w:rPr>
        <w:t>The ligand [</w:t>
      </w:r>
      <w:r w:rsidRPr="000B5250">
        <w:rPr>
          <w:rFonts w:cs="Calibri"/>
          <w:sz w:val="24"/>
          <w:szCs w:val="24"/>
          <w:vertAlign w:val="superscript"/>
          <w:lang w:val="en-GB"/>
        </w:rPr>
        <w:t>123</w:t>
      </w:r>
      <w:r w:rsidRPr="000B5250">
        <w:rPr>
          <w:rFonts w:cs="Calibri"/>
          <w:sz w:val="24"/>
          <w:szCs w:val="24"/>
          <w:lang w:val="en-GB"/>
        </w:rPr>
        <w:t>I]-IBZM was chosen due to its selectivity for striatal D</w:t>
      </w:r>
      <w:r w:rsidRPr="000B5250">
        <w:rPr>
          <w:rFonts w:cs="Calibri"/>
          <w:sz w:val="24"/>
          <w:szCs w:val="24"/>
          <w:vertAlign w:val="subscript"/>
          <w:lang w:val="en-GB"/>
        </w:rPr>
        <w:t>2/3</w:t>
      </w:r>
      <w:r w:rsidRPr="000B5250">
        <w:rPr>
          <w:rFonts w:cs="Calibri"/>
          <w:sz w:val="24"/>
          <w:szCs w:val="24"/>
          <w:lang w:val="en-GB"/>
        </w:rPr>
        <w:t xml:space="preserve"> receptors</w:t>
      </w:r>
      <w:r w:rsidR="00DF6C17">
        <w:rPr>
          <w:rFonts w:cs="Calibri"/>
          <w:sz w:val="24"/>
          <w:szCs w:val="24"/>
          <w:lang w:val="en-GB"/>
        </w:rPr>
        <w:t xml:space="preserve"> </w:t>
      </w:r>
      <w:r w:rsidR="00AB4D0E" w:rsidRPr="00FB2BDC">
        <w:rPr>
          <w:rFonts w:cs="Calibri"/>
          <w:sz w:val="24"/>
          <w:szCs w:val="24"/>
          <w:lang w:val="en-GB"/>
        </w:rPr>
        <w:fldChar w:fldCharType="begin" w:fldLock="1"/>
      </w:r>
      <w:r w:rsidR="00FE6F88" w:rsidRPr="00FB2BDC">
        <w:rPr>
          <w:rFonts w:cs="Calibri"/>
          <w:sz w:val="24"/>
          <w:szCs w:val="24"/>
          <w:lang w:val="en-GB"/>
        </w:rPr>
        <w:instrText>ADDIN CSL_CITATION { "citationItems" : [ { "id" : "ITEM-1", "itemData" : { "author" : [ { "dropping-particle" : "", "family" : "Kung", "given" : "Hank F", "non-dropping-particle" : "", "parse-names" : false, "suffix" : "" }, { "dropping-particle" : "", "family" : "Alavi", "given" : "Abass", "non-dropping-particle" : "", "parse-names" : false, "suffix" : "" }, { "dropping-particle" : "", "family" : "Chang", "given" : "Wei", "non-dropping-particle" : "", "parse-names" : false, "suffix" : "" }, { "dropping-particle" : "", "family" : "Kung", "given" : "Mei-ping", "non-dropping-particle" : "", "parse-names" : false, "suffix" : "" }, { "dropping-particle" : "", "family" : "Keyes", "given" : "John W", "non-dropping-particle" : "", "parse-names" : false, "suffix" : "" }, { "dropping-particle" : "", "family" : "Velchik", "given" : "Michael G", "non-dropping-particle" : "", "parse-names" : false, "suffix" : "" }, { "dropping-particle" : "", "family" : "Billings", "given" : "Jeffrey", "non-dropping-particle" : "", "parse-names" : false, "suffix" : "" }, { "dropping-particle" : "", "family" : "Pan", "given" : "Sangren", "non-dropping-particle" : "", "parse-names" : false, "suffix" : "" }, { "dropping-particle" : "", "family" : "Noto", "given" : "Richard", "non-dropping-particle" : "", "parse-names" : false, "suffix" : "" } ], "id" : "ITEM-1", "issued" : { "date-parts" : [ [ "1989" ] ] }, "page" : "573-579", "title" : "In Vivo SPECT Imaging of CNS D . -2 Dopamine Receptors : Initial Studies Iodine-123-IBZM in Humans", "type" : "article-journal" }, "uris" : [ "http://www.mendeley.com/documents/?uuid=d2f719a5-6026-417d-8c21-afe0be810dc3", "http://www.mendeley.com/documents/?uuid=752b9b92-b08a-4929-bebb-84af84fc4d41" ] }, { "id" : "ITEM-2", "itemData" : { "author" : [ { "dropping-particle" : "", "family" : "Seibyl", "given" : "John P", "non-dropping-particle" : "", "parse-names" : false, "suffix" : "" }, { "dropping-particle" : "", "family" : "Woods", "given" : "Scott W", "non-dropping-particle" : "", "parse-names" : false, "suffix" : "" }, { "dropping-particle" : "", "family" : "Zoghbi", "given" : "Sami S", "non-dropping-particle" : "", "parse-names" : false, "suffix" : "" }, { "dropping-particle" : "", "family" : "Baldwin", "given" : "Ronald M", "non-dropping-particle" : "", "parse-names" : false, "suffix" : "" }, { "dropping-particle" : "", "family" : "Dey", "given" : "Holley M", "non-dropping-particle" : "", "parse-names" : false, "suffix" : "" }, { "dropping-particle" : "", "family" : "Goddard", "given" : "Andrew W", "non-dropping-particle" : "", "parse-names" : false, "suffix" : "" }, { "dropping-particle" : "", "family" : "Zea-ponce", "given" : "Yolanda", "non-dropping-particle" : "", "parse-names" : false, "suffix" : "" }, { "dropping-particle" : "", "family" : "Zubal", "given" : "George", "non-dropping-particle" : "", "parse-names" : false, "suffix" : "" }, { "dropping-particle" : "", "family" : "Germine", "given" : "Mark", "non-dropping-particle" : "", "parse-names" : false, "suffix" : "" }, { "dropping-particle" : "", "family" : "Smith", "given" : "Eileen", "non-dropping-particle" : "", "parse-names" : false, "suffix" : "" }, { "dropping-particle" : "", "family" : "Heninger", "given" : "George R", "non-dropping-particle" : "", "parse-names" : false, "suffix" : "" }, { "dropping-particle" : "", "family" : "Charney", "given" : "Dennis S", "non-dropping-particle" : "", "parse-names" : false, "suffix" : "" }, { "dropping-particle" : "", "family" : "Kung", "given" : "Hank F", "non-dropping-particle" : "", "parse-names" : false, "suffix" : "" }, { "dropping-particle" : "", "family" : "Alavi", "given" : "Abass", "non-dropping-particle" : "", "parse-names" : false, "suffix" : "" }, { "dropping-particle" : "", "family" : "Hoffer", "given" : "Paul B", "non-dropping-particle" : "", "parse-names" : false, "suffix" : "" }, { "dropping-particle" : "", "family" : "Innis", "given" : "Robert B", "non-dropping-particle" : "", "parse-names" : false, "suffix" : "" } ], "id" : "ITEM-2", "issue" : "11", "issued" : { "date-parts" : [ [ "1992" ] ] }, "page" : "1964-1971", "title" : "Dynamic SPECT Imaging of Dopamine D2 Receptors in Human Subjects with", "type" : "article-journal", "volume" : "33" }, "uris" : [ "http://www.mendeley.com/documents/?uuid=2e46bdf9-5ead-4322-9000-cc8887053b97", "http://www.mendeley.com/documents/?uuid=e4d526c3-e903-43cd-b64c-a5a57ba11561" ] } ], "mendeley" : { "formattedCitation" : "(Kung &lt;i&gt;et al.&lt;/i&gt; 1989; Seibyl &lt;i&gt;et al.&lt;/i&gt; 1992)", "plainTextFormattedCitation" : "(Kung et al. 1989; Seibyl et al. 1992)", "previouslyFormattedCitation" : "(Kung &lt;i&gt;et al.&lt;/i&gt;, 1989; Seibyl &lt;i&gt;et al.&lt;/i&gt;, 1992)" }, "properties" : {  }, "schema" : "https://github.com/citation-style-language/schema/raw/master/csl-citation.json" }</w:instrText>
      </w:r>
      <w:r w:rsidR="00AB4D0E" w:rsidRPr="00FB2BDC">
        <w:rPr>
          <w:rFonts w:cs="Calibri"/>
          <w:sz w:val="24"/>
          <w:szCs w:val="24"/>
          <w:lang w:val="en-GB"/>
        </w:rPr>
        <w:fldChar w:fldCharType="separate"/>
      </w:r>
      <w:r w:rsidR="00FE6F88" w:rsidRPr="00FB2BDC">
        <w:rPr>
          <w:rFonts w:cs="Calibri"/>
          <w:noProof/>
          <w:sz w:val="24"/>
          <w:szCs w:val="24"/>
          <w:lang w:val="en-GB"/>
        </w:rPr>
        <w:t xml:space="preserve">(Kung </w:t>
      </w:r>
      <w:r w:rsidR="00FE6F88" w:rsidRPr="00FB2BDC">
        <w:rPr>
          <w:rFonts w:cs="Calibri"/>
          <w:i/>
          <w:noProof/>
          <w:sz w:val="24"/>
          <w:szCs w:val="24"/>
          <w:lang w:val="en-GB"/>
        </w:rPr>
        <w:t>et al.</w:t>
      </w:r>
      <w:r w:rsidR="00FE6F88" w:rsidRPr="00FB2BDC">
        <w:rPr>
          <w:rFonts w:cs="Calibri"/>
          <w:noProof/>
          <w:sz w:val="24"/>
          <w:szCs w:val="24"/>
          <w:lang w:val="en-GB"/>
        </w:rPr>
        <w:t xml:space="preserve"> 1989; Seibyl </w:t>
      </w:r>
      <w:r w:rsidR="00FE6F88" w:rsidRPr="00FB2BDC">
        <w:rPr>
          <w:rFonts w:cs="Calibri"/>
          <w:i/>
          <w:noProof/>
          <w:sz w:val="24"/>
          <w:szCs w:val="24"/>
          <w:lang w:val="en-GB"/>
        </w:rPr>
        <w:t>et al.</w:t>
      </w:r>
      <w:r w:rsidR="00FE6F88" w:rsidRPr="000B5250">
        <w:rPr>
          <w:rFonts w:cs="Calibri"/>
          <w:noProof/>
          <w:sz w:val="24"/>
          <w:szCs w:val="24"/>
          <w:lang w:val="en-GB"/>
        </w:rPr>
        <w:t xml:space="preserve"> 1992)</w:t>
      </w:r>
      <w:r w:rsidR="00AB4D0E" w:rsidRPr="00FB2BDC">
        <w:rPr>
          <w:rFonts w:cs="Calibri"/>
          <w:sz w:val="24"/>
          <w:szCs w:val="24"/>
          <w:lang w:val="en-GB"/>
        </w:rPr>
        <w:fldChar w:fldCharType="end"/>
      </w:r>
      <w:r w:rsidR="00DF6C17">
        <w:rPr>
          <w:rFonts w:cs="Calibri"/>
          <w:sz w:val="24"/>
          <w:szCs w:val="24"/>
          <w:lang w:val="en-GB"/>
        </w:rPr>
        <w:t>,</w:t>
      </w:r>
      <w:r w:rsidRPr="00FB2BDC">
        <w:rPr>
          <w:rFonts w:cs="Calibri"/>
          <w:sz w:val="24"/>
          <w:szCs w:val="24"/>
          <w:lang w:val="en-GB"/>
        </w:rPr>
        <w:t xml:space="preserve"> and the SPECT</w:t>
      </w:r>
      <w:r w:rsidRPr="00FB2BDC">
        <w:rPr>
          <w:rFonts w:eastAsia="Times New Roman" w:cs="Calibri"/>
          <w:sz w:val="24"/>
          <w:szCs w:val="24"/>
          <w:lang w:val="en-GB" w:eastAsia="da-DK"/>
        </w:rPr>
        <w:t xml:space="preserve"> scanning was performed using the constant infusion technique</w:t>
      </w:r>
      <w:r w:rsidR="00DF6C17">
        <w:rPr>
          <w:rFonts w:eastAsia="Times New Roman" w:cs="Calibri"/>
          <w:sz w:val="24"/>
          <w:szCs w:val="24"/>
          <w:lang w:val="en-GB" w:eastAsia="da-DK"/>
        </w:rPr>
        <w:t xml:space="preserve"> </w:t>
      </w:r>
      <w:r w:rsidR="00AB4D0E" w:rsidRPr="00FB2BDC">
        <w:rPr>
          <w:rFonts w:eastAsia="Times New Roman" w:cs="Calibri"/>
          <w:sz w:val="24"/>
          <w:szCs w:val="24"/>
          <w:lang w:val="en-GB" w:eastAsia="da-DK"/>
        </w:rPr>
        <w:fldChar w:fldCharType="begin" w:fldLock="1"/>
      </w:r>
      <w:r w:rsidR="00FE6F88" w:rsidRPr="00FB2BDC">
        <w:rPr>
          <w:rFonts w:eastAsia="Times New Roman" w:cs="Calibri"/>
          <w:sz w:val="24"/>
          <w:szCs w:val="24"/>
          <w:lang w:val="en-GB" w:eastAsia="da-DK"/>
        </w:rPr>
        <w:instrText>ADDIN CSL_CITATION { "citationItems" : [ { "id" : "ITEM-1", "itemData" : { "author" : [ { "dropping-particle" : "", "family" : "Carson", "given" : "Richard E", "non-dropping-particle" : "", "parse-names" : false, "suffix" : "" }, { "dropping-particle" : "", "family" : "Channing", "given" : "Michael A", "non-dropping-particle" : "", "parse-names" : false, "suffix" : "" }, { "dropping-particle" : "", "family" : "Blasberg", "given" : "Ronald G", "non-dropping-particle" : "", "parse-names" : false, "suffix" : "" }, { "dropping-particle" : "", "family" : "Dunn", "given" : "Bonnie B", "non-dropping-particle" : "", "parse-names" : false, "suffix" : "" }, { "dropping-particle" : "", "family" : "Cohen", "given" : "M", "non-dropping-particle" : "", "parse-names" : false, "suffix" : "" }, { "dropping-particle" : "", "family" : "Rice", "given" : "Kenner C", "non-dropping-particle" : "", "parse-names" : false, "suffix" : "" }, { "dropping-particle" : "", "family" : "Herscovitch", "given" : "Peter", "non-dropping-particle" : "", "parse-names" : false, "suffix" : "" } ], "id" : "ITEM-1", "issued" : { "date-parts" : [ [ "1993" ] ] }, "title" : "Comparison of Bolus and Infusion Methods for Receptor Quantitation : Application to e8p ] Cyclofoxy and Positron Emission Tomography", "type" : "article-journal" }, "uris" : [ "http://www.mendeley.com/documents/?uuid=0526fc12-b69b-4e19-bb8f-311b2a108038", "http://www.mendeley.com/documents/?uuid=96db68a1-f1f0-43fa-b18c-67d0838af645" ] }, { "id" : "ITEM-2", "itemData" : { "author" : [ { "dropping-particle" : "", "family" : "Laruelle", "given" : "Marc", "non-dropping-particle" : "", "parse-names" : false, "suffix" : "" }, { "dropping-particle" : "", "family" : "Abi-dargham", "given" : "Anissa", "non-dropping-particle" : "", "parse-names" : false, "suffix" : "" }, { "dropping-particle" : "", "family" : "Ai-tikriti", "given" : "Mohammed S", "non-dropping-particle" : "", "parse-names" : false, "suffix" : "" }, { "dropping-particle" : "", "family" : "Baldwin", "given" : "Ronald M", "non-dropping-particle" : "", "parse-names" : false, "suffix" : "" }, { "dropping-particle" : "", "family" : "Zea-ponce", "given" : "Yolanda", "non-dropping-particle" : "", "parse-names" : false, "suffix" : "" }, { "dropping-particle" : "", "family" : "Zoghbi", "given" : "Sami S", "non-dropping-particle" : "", "parse-names" : false, "suffix" : "" }, { "dropping-particle" : "", "family" : "Charney", "given" : "Dennis S", "non-dropping-particle" : "", "parse-names" : false, "suffix" : "" }, { "dropping-particle" : "", "family" : "Hoffer", "given" : "Paul B", "non-dropping-particle" : "", "parse-names" : false, "suffix" : "" }, { "dropping-particle" : "", "family" : "Innis", "given" : "Robert B", "non-dropping-particle" : "", "parse-names" : false, "suffix" : "" } ], "id" : "ITEM-2", "issued" : { "date-parts" : [ [ "1994" ] ] }, "title" : "SPECT Quantification of [ 1231 ] lomazenil Binding to Benzodiazepine Receptors in Nonhuman Primates : II . Equilibrium Analysis of Constant Infusion Experiments and Correlation with In Vitro Parameters", "type" : "article-journal" }, "uris" : [ "http://www.mendeley.com/documents/?uuid=286eb3b7-737b-491b-9455-171b54c5f311", "http://www.mendeley.com/documents/?uuid=bde599d1-8289-4d88-be8d-7ac50fa175e8" ] } ], "mendeley" : { "formattedCitation" : "(Carson &lt;i&gt;et al.&lt;/i&gt; 1993; Laruelle &lt;i&gt;et al.&lt;/i&gt; 1994)", "plainTextFormattedCitation" : "(Carson et al. 1993; Laruelle et al. 1994)", "previouslyFormattedCitation" : "(Carson &lt;i&gt;et al.&lt;/i&gt;, 1993; Laruelle &lt;i&gt;et al.&lt;/i&gt;, 1994)" }, "properties" : {  }, "schema" : "https://github.com/citation-style-language/schema/raw/master/csl-citation.json" }</w:instrText>
      </w:r>
      <w:r w:rsidR="00AB4D0E" w:rsidRPr="00FB2BDC">
        <w:rPr>
          <w:rFonts w:eastAsia="Times New Roman" w:cs="Calibri"/>
          <w:sz w:val="24"/>
          <w:szCs w:val="24"/>
          <w:lang w:val="en-GB" w:eastAsia="da-DK"/>
        </w:rPr>
        <w:fldChar w:fldCharType="separate"/>
      </w:r>
      <w:r w:rsidR="00FE6F88" w:rsidRPr="00FB2BDC">
        <w:rPr>
          <w:rFonts w:eastAsia="Times New Roman" w:cs="Calibri"/>
          <w:noProof/>
          <w:sz w:val="24"/>
          <w:szCs w:val="24"/>
          <w:lang w:val="en-GB" w:eastAsia="da-DK"/>
        </w:rPr>
        <w:t xml:space="preserve">(Carson </w:t>
      </w:r>
      <w:r w:rsidR="00FE6F88" w:rsidRPr="00FB2BDC">
        <w:rPr>
          <w:rFonts w:eastAsia="Times New Roman" w:cs="Calibri"/>
          <w:i/>
          <w:noProof/>
          <w:sz w:val="24"/>
          <w:szCs w:val="24"/>
          <w:lang w:val="en-GB" w:eastAsia="da-DK"/>
        </w:rPr>
        <w:t>et al.</w:t>
      </w:r>
      <w:r w:rsidR="00FE6F88" w:rsidRPr="00FB2BDC">
        <w:rPr>
          <w:rFonts w:eastAsia="Times New Roman" w:cs="Calibri"/>
          <w:noProof/>
          <w:sz w:val="24"/>
          <w:szCs w:val="24"/>
          <w:lang w:val="en-GB" w:eastAsia="da-DK"/>
        </w:rPr>
        <w:t xml:space="preserve"> 1993; Laruelle </w:t>
      </w:r>
      <w:r w:rsidR="00FE6F88" w:rsidRPr="00FB2BDC">
        <w:rPr>
          <w:rFonts w:eastAsia="Times New Roman" w:cs="Calibri"/>
          <w:i/>
          <w:noProof/>
          <w:sz w:val="24"/>
          <w:szCs w:val="24"/>
          <w:lang w:val="en-GB" w:eastAsia="da-DK"/>
        </w:rPr>
        <w:t>et al.</w:t>
      </w:r>
      <w:r w:rsidR="00FE6F88" w:rsidRPr="000B5250">
        <w:rPr>
          <w:rFonts w:eastAsia="Times New Roman" w:cs="Calibri"/>
          <w:noProof/>
          <w:sz w:val="24"/>
          <w:szCs w:val="24"/>
          <w:lang w:val="en-GB" w:eastAsia="da-DK"/>
        </w:rPr>
        <w:t xml:space="preserve"> 1994)</w:t>
      </w:r>
      <w:r w:rsidR="00AB4D0E" w:rsidRPr="00FB2BDC">
        <w:rPr>
          <w:rFonts w:eastAsia="Times New Roman" w:cs="Calibri"/>
          <w:sz w:val="24"/>
          <w:szCs w:val="24"/>
          <w:lang w:val="en-GB" w:eastAsia="da-DK"/>
        </w:rPr>
        <w:fldChar w:fldCharType="end"/>
      </w:r>
      <w:r w:rsidR="00DF6C17">
        <w:rPr>
          <w:rFonts w:eastAsia="Times New Roman" w:cs="Calibri"/>
          <w:sz w:val="24"/>
          <w:szCs w:val="24"/>
          <w:lang w:val="en-GB" w:eastAsia="da-DK"/>
        </w:rPr>
        <w:t>.</w:t>
      </w:r>
    </w:p>
    <w:p w14:paraId="121BD294" w14:textId="2F1F831C" w:rsidR="00BA0F94" w:rsidRPr="00BA0F94" w:rsidRDefault="00DF6C17" w:rsidP="00BA0F94">
      <w:pPr>
        <w:pStyle w:val="Standard"/>
        <w:shd w:val="clear" w:color="auto" w:fill="FFFFFF"/>
        <w:spacing w:after="0" w:line="360" w:lineRule="auto"/>
        <w:jc w:val="both"/>
        <w:rPr>
          <w:rFonts w:cs="Calibri"/>
          <w:sz w:val="24"/>
          <w:szCs w:val="24"/>
          <w:lang w:val="en-GB"/>
        </w:rPr>
      </w:pPr>
      <w:r>
        <w:rPr>
          <w:rFonts w:cs="Calibri"/>
          <w:sz w:val="24"/>
          <w:szCs w:val="24"/>
          <w:lang w:val="en-GB"/>
        </w:rPr>
        <w:br/>
      </w:r>
      <w:r w:rsidR="00DB79E1" w:rsidRPr="00FB2BDC">
        <w:rPr>
          <w:rFonts w:cs="Calibri"/>
          <w:sz w:val="24"/>
          <w:szCs w:val="24"/>
          <w:lang w:val="en-GB"/>
        </w:rPr>
        <w:t>The participants received 185mBq [</w:t>
      </w:r>
      <w:r w:rsidR="00DB79E1" w:rsidRPr="00FB2BDC">
        <w:rPr>
          <w:rFonts w:cs="Calibri"/>
          <w:sz w:val="24"/>
          <w:szCs w:val="24"/>
          <w:vertAlign w:val="superscript"/>
          <w:lang w:val="en-GB"/>
        </w:rPr>
        <w:t>123</w:t>
      </w:r>
      <w:r w:rsidR="00DB79E1" w:rsidRPr="00FB2BDC">
        <w:rPr>
          <w:rFonts w:cs="Calibri"/>
          <w:sz w:val="24"/>
          <w:szCs w:val="24"/>
          <w:lang w:val="en-GB"/>
        </w:rPr>
        <w:t xml:space="preserve">I]-IBZM (GE Healthcare, Eindhoven, Holland), one half given as </w:t>
      </w:r>
      <w:r>
        <w:rPr>
          <w:rFonts w:cs="Calibri"/>
          <w:sz w:val="24"/>
          <w:szCs w:val="24"/>
          <w:lang w:val="en-GB"/>
        </w:rPr>
        <w:t xml:space="preserve">a </w:t>
      </w:r>
      <w:r w:rsidR="00DB79E1" w:rsidRPr="00FB2BDC">
        <w:rPr>
          <w:rFonts w:cs="Calibri"/>
          <w:sz w:val="24"/>
          <w:szCs w:val="24"/>
          <w:lang w:val="en-GB"/>
        </w:rPr>
        <w:t>bolus injection</w:t>
      </w:r>
      <w:r>
        <w:rPr>
          <w:rFonts w:cs="Calibri"/>
          <w:sz w:val="24"/>
          <w:szCs w:val="24"/>
          <w:lang w:val="en-GB"/>
        </w:rPr>
        <w:t xml:space="preserve"> and the other</w:t>
      </w:r>
      <w:r w:rsidR="00DB79E1" w:rsidRPr="00FB2BDC">
        <w:rPr>
          <w:rFonts w:cs="Calibri"/>
          <w:sz w:val="24"/>
          <w:szCs w:val="24"/>
          <w:lang w:val="en-GB"/>
        </w:rPr>
        <w:t xml:space="preserve"> half given as </w:t>
      </w:r>
      <w:r>
        <w:rPr>
          <w:rFonts w:cs="Calibri"/>
          <w:sz w:val="24"/>
          <w:szCs w:val="24"/>
          <w:lang w:val="en-GB"/>
        </w:rPr>
        <w:t xml:space="preserve">an </w:t>
      </w:r>
      <w:r w:rsidR="00DB79E1" w:rsidRPr="00FB2BDC">
        <w:rPr>
          <w:rFonts w:cs="Calibri"/>
          <w:sz w:val="24"/>
          <w:szCs w:val="24"/>
          <w:lang w:val="en-GB"/>
        </w:rPr>
        <w:t>infusion during the entire 240-minute session. Prior to administration of the [</w:t>
      </w:r>
      <w:r w:rsidR="00DB79E1" w:rsidRPr="000B5250">
        <w:rPr>
          <w:rFonts w:cs="Calibri"/>
          <w:sz w:val="24"/>
          <w:szCs w:val="24"/>
          <w:vertAlign w:val="superscript"/>
          <w:lang w:val="en-GB"/>
        </w:rPr>
        <w:t>123</w:t>
      </w:r>
      <w:r w:rsidR="00DB79E1" w:rsidRPr="000B5250">
        <w:rPr>
          <w:rFonts w:cs="Calibri"/>
          <w:sz w:val="24"/>
          <w:szCs w:val="24"/>
          <w:lang w:val="en-GB"/>
        </w:rPr>
        <w:t>I]-IBZM bolus, 200 mg perchlorate mixture iv was given to block thyroid uptake of free radioactive iodine. After 180 min, a CT scout and 2 x 30 min SPECT scans were performed. Between the two scans, a low-dose CT scan was acquired for attenuation correction.</w:t>
      </w:r>
      <w:r w:rsidR="00BA0F94" w:rsidRPr="00BA0F94">
        <w:rPr>
          <w:lang w:val="en-US"/>
        </w:rPr>
        <w:t xml:space="preserve"> </w:t>
      </w:r>
      <w:bookmarkStart w:id="0" w:name="_Hlk526753771"/>
      <w:r w:rsidR="00BA0F94" w:rsidRPr="00BA0F94">
        <w:rPr>
          <w:rFonts w:cs="Calibri"/>
          <w:sz w:val="24"/>
          <w:szCs w:val="24"/>
          <w:lang w:val="en-GB"/>
        </w:rPr>
        <w:t>Tracer steady state was assumed after 180 min of constant infusion following the bolus injection with [123I]-IBZM. It was assumed that the total parent radioligand (free plus protein-bound radioligand) in plasma at steady-state equals the concentration in the brain tissue</w:t>
      </w:r>
      <w:r w:rsidR="00C14AFC">
        <w:rPr>
          <w:rFonts w:cs="Calibri"/>
          <w:sz w:val="24"/>
          <w:szCs w:val="24"/>
          <w:lang w:val="en-GB"/>
        </w:rPr>
        <w:t xml:space="preserve">, </w:t>
      </w:r>
      <w:r w:rsidR="00BA0F94" w:rsidRPr="00BA0F94">
        <w:rPr>
          <w:rFonts w:cs="Calibri"/>
          <w:sz w:val="24"/>
          <w:szCs w:val="24"/>
          <w:lang w:val="en-GB"/>
        </w:rPr>
        <w:t>which is not directly measurable</w:t>
      </w:r>
      <w:r w:rsidR="00C14AFC">
        <w:rPr>
          <w:lang w:val="en-US"/>
        </w:rPr>
        <w:t xml:space="preserve"> (</w:t>
      </w:r>
      <w:proofErr w:type="spellStart"/>
      <w:r w:rsidR="00C14AFC" w:rsidRPr="00C14AFC">
        <w:rPr>
          <w:rFonts w:cs="Calibri"/>
          <w:sz w:val="24"/>
          <w:szCs w:val="24"/>
          <w:lang w:val="en-GB"/>
        </w:rPr>
        <w:t>Laruelle</w:t>
      </w:r>
      <w:proofErr w:type="spellEnd"/>
      <w:r w:rsidR="00C14AFC" w:rsidRPr="00C14AFC">
        <w:rPr>
          <w:rFonts w:cs="Calibri"/>
          <w:sz w:val="24"/>
          <w:szCs w:val="24"/>
          <w:lang w:val="en-GB"/>
        </w:rPr>
        <w:t xml:space="preserve"> </w:t>
      </w:r>
      <w:r w:rsidR="00C14AFC" w:rsidRPr="00C14AFC">
        <w:rPr>
          <w:rFonts w:cs="Calibri"/>
          <w:i/>
          <w:sz w:val="24"/>
          <w:szCs w:val="24"/>
          <w:lang w:val="en-GB"/>
        </w:rPr>
        <w:t>et al.</w:t>
      </w:r>
      <w:r w:rsidR="00C14AFC" w:rsidRPr="00C14AFC">
        <w:rPr>
          <w:rFonts w:cs="Calibri"/>
          <w:sz w:val="24"/>
          <w:szCs w:val="24"/>
          <w:lang w:val="en-GB"/>
        </w:rPr>
        <w:t xml:space="preserve"> 1995</w:t>
      </w:r>
      <w:r w:rsidR="00BA0F94" w:rsidRPr="00BA0F94">
        <w:rPr>
          <w:rFonts w:cs="Calibri"/>
          <w:sz w:val="24"/>
          <w:szCs w:val="24"/>
          <w:lang w:val="en-GB"/>
        </w:rPr>
        <w:t>). Figure S4 displays typical examples of the activity measured in the plasma during the time of the scanning (A) from a patient baseline scanning, (B) from a patient follow-up scanning and (C) from a control subject.</w:t>
      </w:r>
      <w:bookmarkEnd w:id="0"/>
    </w:p>
    <w:p w14:paraId="506A42D8" w14:textId="77777777" w:rsidR="00BA0F94" w:rsidRPr="00BA0F94" w:rsidRDefault="00BA0F94" w:rsidP="00BA0F94">
      <w:pPr>
        <w:pStyle w:val="Standard"/>
        <w:shd w:val="clear" w:color="auto" w:fill="FFFFFF"/>
        <w:spacing w:after="0" w:line="360" w:lineRule="auto"/>
        <w:jc w:val="both"/>
        <w:rPr>
          <w:rFonts w:cs="Calibri"/>
          <w:sz w:val="24"/>
          <w:szCs w:val="24"/>
          <w:lang w:val="en-GB"/>
        </w:rPr>
      </w:pPr>
      <w:bookmarkStart w:id="1" w:name="_GoBack"/>
      <w:bookmarkEnd w:id="1"/>
    </w:p>
    <w:p w14:paraId="5119E282" w14:textId="7BD755FE" w:rsidR="002D4853" w:rsidRDefault="00CF7592" w:rsidP="00BA0F94">
      <w:pPr>
        <w:pStyle w:val="Standard"/>
        <w:shd w:val="clear" w:color="auto" w:fill="FFFFFF"/>
        <w:spacing w:after="0" w:line="360" w:lineRule="auto"/>
        <w:jc w:val="both"/>
        <w:rPr>
          <w:rFonts w:eastAsia="Times New Roman" w:cs="Calibri"/>
          <w:sz w:val="24"/>
          <w:szCs w:val="24"/>
          <w:lang w:val="en-GB" w:eastAsia="da-DK"/>
        </w:rPr>
      </w:pPr>
      <w:r w:rsidRPr="00CF7592">
        <w:rPr>
          <w:rFonts w:cs="Calibri"/>
          <w:sz w:val="24"/>
          <w:szCs w:val="24"/>
          <w:lang w:val="en-GB"/>
        </w:rPr>
        <w:t>Venous</w:t>
      </w:r>
      <w:r w:rsidR="00057668" w:rsidRPr="003773E8">
        <w:rPr>
          <w:rFonts w:cs="Calibri"/>
          <w:sz w:val="24"/>
          <w:szCs w:val="24"/>
          <w:lang w:val="en-GB"/>
        </w:rPr>
        <w:t xml:space="preserve"> b</w:t>
      </w:r>
      <w:r w:rsidR="00DB79E1" w:rsidRPr="003773E8">
        <w:rPr>
          <w:rFonts w:cs="Calibri"/>
          <w:sz w:val="24"/>
          <w:szCs w:val="24"/>
          <w:lang w:val="en-GB"/>
        </w:rPr>
        <w:t>lood samples were collected prior to administration of the bolus and every 30 min during the scanning period. The p</w:t>
      </w:r>
      <w:r w:rsidR="00DB79E1" w:rsidRPr="00D50895">
        <w:rPr>
          <w:rFonts w:eastAsia="Times New Roman" w:cs="Calibri"/>
          <w:sz w:val="24"/>
          <w:szCs w:val="24"/>
          <w:lang w:val="en-GB" w:eastAsia="da-DK"/>
        </w:rPr>
        <w:t>lasma-free fraction of [</w:t>
      </w:r>
      <w:r w:rsidR="00DB79E1" w:rsidRPr="00D50895">
        <w:rPr>
          <w:rFonts w:eastAsia="Times New Roman" w:cs="Calibri"/>
          <w:sz w:val="24"/>
          <w:szCs w:val="24"/>
          <w:vertAlign w:val="superscript"/>
          <w:lang w:val="en-GB" w:eastAsia="da-DK"/>
        </w:rPr>
        <w:t>123</w:t>
      </w:r>
      <w:r w:rsidR="00DB79E1" w:rsidRPr="00D50895">
        <w:rPr>
          <w:rFonts w:eastAsia="Times New Roman" w:cs="Calibri"/>
          <w:sz w:val="24"/>
          <w:szCs w:val="24"/>
          <w:lang w:val="en-GB" w:eastAsia="da-DK"/>
        </w:rPr>
        <w:t>I]-IBZM was determined using ultrafiltration (</w:t>
      </w:r>
      <w:proofErr w:type="spellStart"/>
      <w:r w:rsidR="00DB79E1" w:rsidRPr="00D50895">
        <w:rPr>
          <w:rFonts w:eastAsia="Times New Roman" w:cs="Calibri"/>
          <w:sz w:val="24"/>
          <w:szCs w:val="24"/>
          <w:lang w:val="en-GB" w:eastAsia="da-DK"/>
        </w:rPr>
        <w:t>Centrifree</w:t>
      </w:r>
      <w:proofErr w:type="spellEnd"/>
      <w:r w:rsidR="00DB79E1" w:rsidRPr="00D50895">
        <w:rPr>
          <w:rFonts w:eastAsia="Times New Roman" w:cs="Calibri"/>
          <w:sz w:val="24"/>
          <w:szCs w:val="24"/>
          <w:lang w:val="en-GB" w:eastAsia="da-DK"/>
        </w:rPr>
        <w:t>, 30,000 MW)</w:t>
      </w:r>
      <w:r w:rsidR="00DF6C17">
        <w:rPr>
          <w:rFonts w:eastAsia="Times New Roman" w:cs="Calibri"/>
          <w:sz w:val="24"/>
          <w:szCs w:val="24"/>
          <w:lang w:val="en-GB" w:eastAsia="da-DK"/>
        </w:rPr>
        <w:t xml:space="preserve"> </w:t>
      </w:r>
      <w:r w:rsidR="00C23129" w:rsidRPr="00FB2BDC">
        <w:rPr>
          <w:rFonts w:eastAsia="Times New Roman" w:cs="Calibri"/>
          <w:sz w:val="24"/>
          <w:szCs w:val="24"/>
          <w:lang w:val="en-GB" w:eastAsia="da-DK"/>
        </w:rPr>
        <w:fldChar w:fldCharType="begin" w:fldLock="1"/>
      </w:r>
      <w:r w:rsidR="00FE6F88" w:rsidRPr="00FB2BDC">
        <w:rPr>
          <w:rFonts w:eastAsia="Times New Roman" w:cs="Calibri"/>
          <w:sz w:val="24"/>
          <w:szCs w:val="24"/>
          <w:lang w:val="en-GB" w:eastAsia="da-DK"/>
        </w:rPr>
        <w:instrText>ADDIN CSL_CITATION { "citationItems" : [ { "id" : "ITEM-1", "itemData" : { "ISSN" : "0969-8051", "PMID" : "10628561", "abstract" : "Plasma metabolite analysis of the single photon emission computed tomography (SPECT) D2/D3 receptor radiotracer (S)(-)-N-[(1-ethyl-2-pyrrolidinyl)methyl]-2-hydroxy-3-[123I]iodo-6-metho xybenzamide ([123I]IBZM) is needed for the equilibrium analysis of the SPECT data, in brain imaging studies involving bolus plus constant infusion paradigm. The purpose of these experiments was to find an appropriate procedure to expedite this analysis during routine determinations. The procedure was applied to the plasma analysis of 22 human subjects. Each plasma sample was subjected to acetonitrile protein precipitation. After separation of the pellet, the acetonitrile fraction contained 91% +/- 2% (n = 88) of the mixture of labeled metabolites and parent compound. The recovery coefficient of unmetabolized [123I]IBZM determined with an standard plasma sample was 95% +/- 2% (n = 22). The percent parent compound present in the extracted fraction, measured by high performance liquid chromatography, was 16% +/- 9% (n = 85) and the percent metabolites was 84% +/- 9% (n = 85). Free fraction determination (f1, fraction of radiotracer unbound to protein), was 4% +/- 0.8% (n = 22). Free fraction of parent was 15% +/- 8% (n = 85). The results indicate that acetonitrile protein precipitation is an adequate method for the analysis of the [123I]IBZM plasma metabolites.", "author" : [ { "dropping-particle" : "", "family" : "Zea-Ponce", "given" : "Y", "non-dropping-particle" : "", "parse-names" : false, "suffix" : "" }, { "dropping-particle" : "", "family" : "Laruelle", "given" : "M", "non-dropping-particle" : "", "parse-names" : false, "suffix" : "" } ], "container-title" : "Nuclear medicine and biology", "id" : "ITEM-1", "issue" : "7", "issued" : { "date-parts" : [ [ "1999", "10" ] ] }, "page" : "811-4", "title" : "Protein precipitation: an expedient procedure for the routine analysis of the plasma metabolites of [123I]IBZM.", "type" : "article-journal", "volume" : "26" }, "uris" : [ "http://www.mendeley.com/documents/?uuid=d780e127-42da-48c7-9359-f18049e58fc5", "http://www.mendeley.com/documents/?uuid=55d39166-cb3a-476d-9980-fda7e0ea0336" ] } ], "mendeley" : { "formattedCitation" : "(Zea-Ponce &amp; Laruelle 1999)", "plainTextFormattedCitation" : "(Zea-Ponce &amp; Laruelle 1999)", "previouslyFormattedCitation" : "(Zea-Ponce and Laruelle, 1999)" }, "properties" : {  }, "schema" : "https://github.com/citation-style-language/schema/raw/master/csl-citation.json" }</w:instrText>
      </w:r>
      <w:r w:rsidR="00C23129" w:rsidRPr="00FB2BDC">
        <w:rPr>
          <w:rFonts w:eastAsia="Times New Roman" w:cs="Calibri"/>
          <w:sz w:val="24"/>
          <w:szCs w:val="24"/>
          <w:lang w:val="en-GB" w:eastAsia="da-DK"/>
        </w:rPr>
        <w:fldChar w:fldCharType="separate"/>
      </w:r>
      <w:r w:rsidR="00FE6F88" w:rsidRPr="00FB2BDC">
        <w:rPr>
          <w:rFonts w:eastAsia="Times New Roman" w:cs="Calibri"/>
          <w:noProof/>
          <w:sz w:val="24"/>
          <w:szCs w:val="24"/>
          <w:lang w:val="en-GB" w:eastAsia="da-DK"/>
        </w:rPr>
        <w:t>(Zea-Ponce &amp; Laruelle 1999)</w:t>
      </w:r>
      <w:r w:rsidR="00C23129" w:rsidRPr="00FB2BDC">
        <w:rPr>
          <w:rFonts w:eastAsia="Times New Roman" w:cs="Calibri"/>
          <w:sz w:val="24"/>
          <w:szCs w:val="24"/>
          <w:lang w:val="en-GB" w:eastAsia="da-DK"/>
        </w:rPr>
        <w:fldChar w:fldCharType="end"/>
      </w:r>
      <w:r w:rsidR="00DF6C17">
        <w:rPr>
          <w:rFonts w:eastAsia="Times New Roman" w:cs="Calibri"/>
          <w:sz w:val="24"/>
          <w:szCs w:val="24"/>
          <w:lang w:val="en-GB" w:eastAsia="da-DK"/>
        </w:rPr>
        <w:t>.</w:t>
      </w:r>
      <w:r w:rsidR="00DB79E1" w:rsidRPr="00FB2BDC">
        <w:rPr>
          <w:rFonts w:eastAsia="Times New Roman" w:cs="Calibri"/>
          <w:sz w:val="24"/>
          <w:szCs w:val="24"/>
          <w:lang w:val="en-GB" w:eastAsia="da-DK"/>
        </w:rPr>
        <w:t xml:space="preserve"> The plasma metabolite analysis of [</w:t>
      </w:r>
      <w:r w:rsidR="00DB79E1" w:rsidRPr="00FB2BDC">
        <w:rPr>
          <w:rFonts w:eastAsia="Times New Roman" w:cs="Calibri"/>
          <w:sz w:val="24"/>
          <w:szCs w:val="24"/>
          <w:vertAlign w:val="superscript"/>
          <w:lang w:val="en-GB" w:eastAsia="da-DK"/>
        </w:rPr>
        <w:t>123</w:t>
      </w:r>
      <w:r w:rsidR="00DB79E1" w:rsidRPr="00FB2BDC">
        <w:rPr>
          <w:rFonts w:eastAsia="Times New Roman" w:cs="Calibri"/>
          <w:sz w:val="24"/>
          <w:szCs w:val="24"/>
          <w:lang w:val="en-GB" w:eastAsia="da-DK"/>
        </w:rPr>
        <w:t>I]-IBZM was performed using Oasis WCX solid-phase extraction units, Waters and stepwise elution with water, 40% acetonitrile and acidified 95% methanol. The native compound was eluted in the water phase</w:t>
      </w:r>
      <w:r w:rsidR="00DF6C17">
        <w:rPr>
          <w:rFonts w:eastAsia="Times New Roman" w:cs="Calibri"/>
          <w:sz w:val="24"/>
          <w:szCs w:val="24"/>
          <w:lang w:val="en-GB" w:eastAsia="da-DK"/>
        </w:rPr>
        <w:t>,</w:t>
      </w:r>
      <w:r w:rsidR="00DB79E1" w:rsidRPr="00FB2BDC">
        <w:rPr>
          <w:rFonts w:eastAsia="Times New Roman" w:cs="Calibri"/>
          <w:sz w:val="24"/>
          <w:szCs w:val="24"/>
          <w:lang w:val="en-GB" w:eastAsia="da-DK"/>
        </w:rPr>
        <w:t xml:space="preserve"> and the metabolites in the subsequent elution.</w:t>
      </w:r>
    </w:p>
    <w:p w14:paraId="08101A80" w14:textId="53FFCF7E" w:rsidR="00BA0F94" w:rsidRDefault="00BA0F94" w:rsidP="006E7B37">
      <w:pPr>
        <w:pStyle w:val="Standard"/>
        <w:shd w:val="clear" w:color="auto" w:fill="FFFFFF"/>
        <w:spacing w:after="0" w:line="360" w:lineRule="auto"/>
        <w:jc w:val="both"/>
        <w:rPr>
          <w:lang w:val="en-US"/>
        </w:rPr>
      </w:pPr>
    </w:p>
    <w:p w14:paraId="17C7F668" w14:textId="6D44C141" w:rsidR="00C544A3" w:rsidRDefault="00C544A3" w:rsidP="006E7B37">
      <w:pPr>
        <w:pStyle w:val="Standard"/>
        <w:shd w:val="clear" w:color="auto" w:fill="FFFFFF"/>
        <w:spacing w:after="0" w:line="360" w:lineRule="auto"/>
        <w:jc w:val="both"/>
        <w:rPr>
          <w:lang w:val="en-US"/>
        </w:rPr>
      </w:pPr>
    </w:p>
    <w:p w14:paraId="01B6D3C7" w14:textId="77777777" w:rsidR="00C544A3" w:rsidRPr="00BA0F94" w:rsidRDefault="00C544A3" w:rsidP="006E7B37">
      <w:pPr>
        <w:pStyle w:val="Standard"/>
        <w:shd w:val="clear" w:color="auto" w:fill="FFFFFF"/>
        <w:spacing w:after="0" w:line="360" w:lineRule="auto"/>
        <w:jc w:val="both"/>
        <w:rPr>
          <w:lang w:val="en-US"/>
        </w:rPr>
      </w:pPr>
    </w:p>
    <w:p w14:paraId="691366D2" w14:textId="77777777" w:rsidR="002D4853" w:rsidRPr="00FB2BDC" w:rsidRDefault="002D4853" w:rsidP="006E7B37">
      <w:pPr>
        <w:pStyle w:val="Standard"/>
        <w:spacing w:after="0" w:line="360" w:lineRule="auto"/>
        <w:jc w:val="both"/>
        <w:rPr>
          <w:rFonts w:eastAsia="Times New Roman" w:cs="Calibri"/>
          <w:b/>
          <w:sz w:val="24"/>
          <w:szCs w:val="24"/>
          <w:lang w:val="en-GB" w:eastAsia="da-DK"/>
        </w:rPr>
      </w:pPr>
    </w:p>
    <w:p w14:paraId="6BD15070" w14:textId="4FF38548" w:rsidR="00FE6F88" w:rsidRPr="000B5250" w:rsidRDefault="00BA0F94" w:rsidP="006E7B37">
      <w:pPr>
        <w:pStyle w:val="Standard"/>
        <w:spacing w:after="0" w:line="360" w:lineRule="auto"/>
        <w:jc w:val="both"/>
        <w:rPr>
          <w:rFonts w:eastAsia="Times New Roman" w:cs="Calibri"/>
          <w:b/>
          <w:sz w:val="24"/>
          <w:szCs w:val="24"/>
          <w:lang w:val="en-GB" w:eastAsia="da-DK"/>
        </w:rPr>
      </w:pPr>
      <w:r w:rsidRPr="00BA0F94">
        <w:rPr>
          <w:rFonts w:cs="Calibri"/>
          <w:sz w:val="24"/>
          <w:szCs w:val="24"/>
          <w:lang w:val="en-GB"/>
        </w:rPr>
        <w:t>Figure S4. [123I]-IBZM activity shown in blood plasma during the time of scanning. Patient baseline (A), patient follow up (B) and control subject (C).</w:t>
      </w:r>
    </w:p>
    <w:p w14:paraId="687A1124" w14:textId="2B6A4111" w:rsidR="00BA0F94" w:rsidRDefault="00BA0F94" w:rsidP="00BA0F94">
      <w:pPr>
        <w:tabs>
          <w:tab w:val="left" w:pos="0"/>
        </w:tabs>
        <w:spacing w:after="240" w:line="240" w:lineRule="auto"/>
        <w:rPr>
          <w:rFonts w:cs="Calibri"/>
          <w:noProof/>
          <w:szCs w:val="24"/>
          <w:lang w:val="en-US"/>
        </w:rPr>
      </w:pPr>
      <w:r>
        <w:rPr>
          <w:rFonts w:cs="Calibri"/>
          <w:noProof/>
          <w:szCs w:val="24"/>
          <w:lang w:val="en-US"/>
        </w:rPr>
        <w:lastRenderedPageBreak/>
        <w:t xml:space="preserve"> (A)</w:t>
      </w:r>
    </w:p>
    <w:p w14:paraId="2DF07057" w14:textId="19F77B57" w:rsidR="00BA0F94" w:rsidRDefault="00BA0F94" w:rsidP="00BA0F94">
      <w:pPr>
        <w:tabs>
          <w:tab w:val="left" w:pos="0"/>
        </w:tabs>
        <w:spacing w:after="240" w:line="240" w:lineRule="auto"/>
        <w:rPr>
          <w:rFonts w:cs="Calibri"/>
          <w:noProof/>
          <w:szCs w:val="24"/>
          <w:lang w:val="en-US"/>
        </w:rPr>
      </w:pPr>
      <w:r>
        <w:rPr>
          <w:noProof/>
        </w:rPr>
        <w:drawing>
          <wp:inline distT="0" distB="0" distL="0" distR="0" wp14:anchorId="4BD061F3" wp14:editId="7195C6C6">
            <wp:extent cx="5886450" cy="3552825"/>
            <wp:effectExtent l="0" t="0" r="0" b="9525"/>
            <wp:docPr id="38" name="Diagram 38">
              <a:extLst xmlns:a="http://schemas.openxmlformats.org/drawingml/2006/main">
                <a:ext uri="{FF2B5EF4-FFF2-40B4-BE49-F238E27FC236}">
                  <a16:creationId xmlns:a16="http://schemas.microsoft.com/office/drawing/2014/main" id="{673C0F16-E7B1-4573-9C29-930D5D7250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128069" w14:textId="77777777" w:rsidR="00BA0F94" w:rsidRDefault="00BA0F94" w:rsidP="00BA0F94">
      <w:pPr>
        <w:tabs>
          <w:tab w:val="left" w:pos="0"/>
        </w:tabs>
        <w:spacing w:after="240" w:line="240" w:lineRule="auto"/>
        <w:rPr>
          <w:rFonts w:cs="Calibri"/>
          <w:noProof/>
          <w:szCs w:val="24"/>
          <w:lang w:val="en-US"/>
        </w:rPr>
      </w:pPr>
    </w:p>
    <w:p w14:paraId="6CD52EEF" w14:textId="77777777" w:rsidR="00BA0F94" w:rsidRDefault="00BA0F94" w:rsidP="00BA0F94">
      <w:pPr>
        <w:tabs>
          <w:tab w:val="left" w:pos="0"/>
        </w:tabs>
        <w:spacing w:after="240" w:line="240" w:lineRule="auto"/>
        <w:rPr>
          <w:rFonts w:cs="Calibri"/>
          <w:noProof/>
          <w:szCs w:val="24"/>
          <w:lang w:val="en-US"/>
        </w:rPr>
      </w:pPr>
      <w:r>
        <w:rPr>
          <w:rFonts w:cs="Calibri"/>
          <w:noProof/>
          <w:szCs w:val="24"/>
          <w:lang w:val="en-US"/>
        </w:rPr>
        <w:t>(B)</w:t>
      </w:r>
    </w:p>
    <w:p w14:paraId="49766B27" w14:textId="774FD8FC" w:rsidR="00BA0F94" w:rsidRDefault="00BA0F94" w:rsidP="00BA0F94">
      <w:pPr>
        <w:tabs>
          <w:tab w:val="left" w:pos="0"/>
        </w:tabs>
        <w:spacing w:after="240" w:line="240" w:lineRule="auto"/>
        <w:rPr>
          <w:rFonts w:cs="Calibri"/>
          <w:noProof/>
          <w:szCs w:val="24"/>
          <w:lang w:val="en-US"/>
        </w:rPr>
      </w:pPr>
      <w:r>
        <w:rPr>
          <w:noProof/>
        </w:rPr>
        <w:drawing>
          <wp:inline distT="0" distB="0" distL="0" distR="0" wp14:anchorId="144A74FB" wp14:editId="4DE8CEBC">
            <wp:extent cx="5886450" cy="3552825"/>
            <wp:effectExtent l="0" t="0" r="0" b="9525"/>
            <wp:docPr id="37" name="Diagram 37">
              <a:extLst xmlns:a="http://schemas.openxmlformats.org/drawingml/2006/main">
                <a:ext uri="{FF2B5EF4-FFF2-40B4-BE49-F238E27FC236}">
                  <a16:creationId xmlns:a16="http://schemas.microsoft.com/office/drawing/2014/main" id="{596C6536-92D4-4869-81D1-715346EDA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F99966" w14:textId="77777777" w:rsidR="00BA0F94" w:rsidRDefault="00BA0F94" w:rsidP="00BA0F94">
      <w:pPr>
        <w:tabs>
          <w:tab w:val="left" w:pos="0"/>
        </w:tabs>
        <w:spacing w:after="240" w:line="240" w:lineRule="auto"/>
        <w:rPr>
          <w:rFonts w:cs="Calibri"/>
          <w:noProof/>
          <w:szCs w:val="24"/>
          <w:lang w:val="en-US"/>
        </w:rPr>
      </w:pPr>
    </w:p>
    <w:p w14:paraId="287EBCEA" w14:textId="77777777" w:rsidR="00BA0F94" w:rsidRDefault="00BA0F94" w:rsidP="00BA0F94">
      <w:pPr>
        <w:tabs>
          <w:tab w:val="left" w:pos="0"/>
        </w:tabs>
        <w:spacing w:after="240" w:line="240" w:lineRule="auto"/>
        <w:rPr>
          <w:rFonts w:cs="Calibri"/>
          <w:noProof/>
          <w:szCs w:val="24"/>
          <w:lang w:val="en-US"/>
        </w:rPr>
      </w:pPr>
      <w:r>
        <w:rPr>
          <w:rFonts w:cs="Calibri"/>
          <w:noProof/>
          <w:szCs w:val="24"/>
          <w:lang w:val="en-US"/>
        </w:rPr>
        <w:t>(C)</w:t>
      </w:r>
    </w:p>
    <w:p w14:paraId="21223533" w14:textId="5AD2C7E6" w:rsidR="00BA0F94" w:rsidRDefault="00BA0F94" w:rsidP="00BA0F94">
      <w:pPr>
        <w:rPr>
          <w:rFonts w:asciiTheme="minorHAnsi" w:hAnsiTheme="minorHAnsi" w:cstheme="minorBidi"/>
          <w:lang w:val="en-US"/>
        </w:rPr>
      </w:pPr>
      <w:r>
        <w:rPr>
          <w:noProof/>
        </w:rPr>
        <w:drawing>
          <wp:inline distT="0" distB="0" distL="0" distR="0" wp14:anchorId="07768286" wp14:editId="0BAF300B">
            <wp:extent cx="5886450" cy="3552825"/>
            <wp:effectExtent l="0" t="0" r="0" b="9525"/>
            <wp:docPr id="36" name="Diagram 36">
              <a:extLst xmlns:a="http://schemas.openxmlformats.org/drawingml/2006/main">
                <a:ext uri="{FF2B5EF4-FFF2-40B4-BE49-F238E27FC236}">
                  <a16:creationId xmlns:a16="http://schemas.microsoft.com/office/drawing/2014/main" id="{8C9C0DC2-FD2A-4E2C-BED4-CCD92D0EC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5FB75A" w14:textId="77777777" w:rsidR="00BA0F94" w:rsidRDefault="00BA0F94" w:rsidP="00BA0F94">
      <w:pPr>
        <w:rPr>
          <w:lang w:val="en-US"/>
        </w:rPr>
      </w:pPr>
    </w:p>
    <w:p w14:paraId="4B09B8A8" w14:textId="77777777" w:rsidR="00BA0F94" w:rsidRDefault="00BA0F94" w:rsidP="00BA0F94">
      <w:pPr>
        <w:rPr>
          <w:lang w:val="en-US"/>
        </w:rPr>
      </w:pPr>
    </w:p>
    <w:p w14:paraId="08D00A9F" w14:textId="77777777" w:rsidR="00BA0F94" w:rsidRPr="003773E8" w:rsidRDefault="00BA0F94" w:rsidP="006E7B37">
      <w:pPr>
        <w:pStyle w:val="Standard"/>
        <w:spacing w:after="0" w:line="360" w:lineRule="auto"/>
        <w:jc w:val="both"/>
        <w:rPr>
          <w:rFonts w:eastAsia="Times New Roman" w:cs="Calibri"/>
          <w:b/>
          <w:sz w:val="24"/>
          <w:szCs w:val="24"/>
          <w:lang w:val="en-GB" w:eastAsia="da-DK"/>
        </w:rPr>
      </w:pPr>
    </w:p>
    <w:p w14:paraId="3B166E41" w14:textId="77777777" w:rsidR="00FE6F88" w:rsidRPr="003773E8" w:rsidRDefault="00FE6F88" w:rsidP="006E7B37">
      <w:pPr>
        <w:pStyle w:val="Standard"/>
        <w:spacing w:after="0" w:line="360" w:lineRule="auto"/>
        <w:jc w:val="both"/>
        <w:rPr>
          <w:rFonts w:eastAsia="Times New Roman" w:cs="Calibri"/>
          <w:b/>
          <w:sz w:val="24"/>
          <w:szCs w:val="24"/>
          <w:lang w:val="en-GB" w:eastAsia="da-DK"/>
        </w:rPr>
      </w:pPr>
    </w:p>
    <w:p w14:paraId="66909086" w14:textId="77777777" w:rsidR="00FE6F88" w:rsidRPr="00D50895" w:rsidRDefault="00FE6F88" w:rsidP="006E7B37">
      <w:pPr>
        <w:pStyle w:val="Standard"/>
        <w:spacing w:after="0" w:line="360" w:lineRule="auto"/>
        <w:jc w:val="both"/>
        <w:rPr>
          <w:rFonts w:eastAsia="Times New Roman" w:cs="Calibri"/>
          <w:b/>
          <w:sz w:val="24"/>
          <w:szCs w:val="24"/>
          <w:lang w:val="en-GB" w:eastAsia="da-DK"/>
        </w:rPr>
      </w:pPr>
    </w:p>
    <w:p w14:paraId="53054782" w14:textId="77777777" w:rsidR="00FE6F88" w:rsidRPr="00D50895" w:rsidRDefault="00FE6F88" w:rsidP="006E7B37">
      <w:pPr>
        <w:pStyle w:val="Standard"/>
        <w:spacing w:after="0" w:line="360" w:lineRule="auto"/>
        <w:jc w:val="both"/>
        <w:rPr>
          <w:rFonts w:eastAsia="Times New Roman" w:cs="Calibri"/>
          <w:b/>
          <w:sz w:val="24"/>
          <w:szCs w:val="24"/>
          <w:lang w:val="en-GB" w:eastAsia="da-DK"/>
        </w:rPr>
      </w:pPr>
    </w:p>
    <w:p w14:paraId="0C953679" w14:textId="77777777" w:rsidR="00FE6F88" w:rsidRPr="00D50895" w:rsidRDefault="00FE6F88" w:rsidP="006E7B37">
      <w:pPr>
        <w:pStyle w:val="Standard"/>
        <w:spacing w:after="0" w:line="360" w:lineRule="auto"/>
        <w:jc w:val="both"/>
        <w:rPr>
          <w:rFonts w:eastAsia="Times New Roman" w:cs="Calibri"/>
          <w:b/>
          <w:sz w:val="24"/>
          <w:szCs w:val="24"/>
          <w:lang w:val="en-GB" w:eastAsia="da-DK"/>
        </w:rPr>
      </w:pPr>
    </w:p>
    <w:p w14:paraId="5357772E" w14:textId="77777777" w:rsidR="00FE6F88" w:rsidRPr="00D50895" w:rsidRDefault="00FE6F88" w:rsidP="006E7B37">
      <w:pPr>
        <w:pStyle w:val="Standard"/>
        <w:spacing w:after="0" w:line="360" w:lineRule="auto"/>
        <w:jc w:val="both"/>
        <w:rPr>
          <w:rFonts w:eastAsia="Times New Roman" w:cs="Calibri"/>
          <w:b/>
          <w:sz w:val="24"/>
          <w:szCs w:val="24"/>
          <w:lang w:val="en-GB" w:eastAsia="da-DK"/>
        </w:rPr>
      </w:pPr>
    </w:p>
    <w:p w14:paraId="5D83F487" w14:textId="77777777" w:rsidR="00FE6F88" w:rsidRPr="00D50895" w:rsidRDefault="00FE6F88" w:rsidP="006E7B37">
      <w:pPr>
        <w:pStyle w:val="Standard"/>
        <w:spacing w:after="0" w:line="360" w:lineRule="auto"/>
        <w:jc w:val="both"/>
        <w:rPr>
          <w:rFonts w:eastAsia="Times New Roman" w:cs="Calibri"/>
          <w:b/>
          <w:sz w:val="24"/>
          <w:szCs w:val="24"/>
          <w:lang w:val="en-GB" w:eastAsia="da-DK"/>
        </w:rPr>
      </w:pPr>
    </w:p>
    <w:p w14:paraId="2A48D090" w14:textId="766ABE9C" w:rsidR="00FE6F88" w:rsidRDefault="00FE6F88" w:rsidP="006E7B37">
      <w:pPr>
        <w:pStyle w:val="Standard"/>
        <w:spacing w:after="0" w:line="360" w:lineRule="auto"/>
        <w:jc w:val="both"/>
        <w:rPr>
          <w:rFonts w:eastAsia="Times New Roman" w:cs="Calibri"/>
          <w:b/>
          <w:sz w:val="24"/>
          <w:szCs w:val="24"/>
          <w:lang w:val="en-GB" w:eastAsia="da-DK"/>
        </w:rPr>
      </w:pPr>
    </w:p>
    <w:p w14:paraId="781F5364" w14:textId="64CF12BF" w:rsidR="00BA0F94" w:rsidRDefault="00BA0F94" w:rsidP="006E7B37">
      <w:pPr>
        <w:pStyle w:val="Standard"/>
        <w:spacing w:after="0" w:line="360" w:lineRule="auto"/>
        <w:jc w:val="both"/>
        <w:rPr>
          <w:rFonts w:eastAsia="Times New Roman" w:cs="Calibri"/>
          <w:b/>
          <w:sz w:val="24"/>
          <w:szCs w:val="24"/>
          <w:lang w:val="en-GB" w:eastAsia="da-DK"/>
        </w:rPr>
      </w:pPr>
    </w:p>
    <w:p w14:paraId="770F071E" w14:textId="16911305" w:rsidR="00BA0F94" w:rsidRDefault="00BA0F94" w:rsidP="006E7B37">
      <w:pPr>
        <w:pStyle w:val="Standard"/>
        <w:spacing w:after="0" w:line="360" w:lineRule="auto"/>
        <w:jc w:val="both"/>
        <w:rPr>
          <w:rFonts w:eastAsia="Times New Roman" w:cs="Calibri"/>
          <w:b/>
          <w:sz w:val="24"/>
          <w:szCs w:val="24"/>
          <w:lang w:val="en-GB" w:eastAsia="da-DK"/>
        </w:rPr>
      </w:pPr>
    </w:p>
    <w:p w14:paraId="569369E0" w14:textId="77777777" w:rsidR="00BA0F94" w:rsidRPr="00D50895" w:rsidRDefault="00BA0F94" w:rsidP="006E7B37">
      <w:pPr>
        <w:pStyle w:val="Standard"/>
        <w:spacing w:after="0" w:line="360" w:lineRule="auto"/>
        <w:jc w:val="both"/>
        <w:rPr>
          <w:rFonts w:eastAsia="Times New Roman" w:cs="Calibri"/>
          <w:b/>
          <w:sz w:val="24"/>
          <w:szCs w:val="24"/>
          <w:lang w:val="en-GB" w:eastAsia="da-DK"/>
        </w:rPr>
      </w:pPr>
    </w:p>
    <w:p w14:paraId="4675DEE8" w14:textId="77777777" w:rsidR="00FE6F88" w:rsidRPr="00D50895" w:rsidRDefault="00FE6F88" w:rsidP="006E7B37">
      <w:pPr>
        <w:pStyle w:val="Standard"/>
        <w:spacing w:after="0" w:line="360" w:lineRule="auto"/>
        <w:jc w:val="both"/>
        <w:rPr>
          <w:rFonts w:eastAsia="Times New Roman" w:cs="Calibri"/>
          <w:b/>
          <w:sz w:val="24"/>
          <w:szCs w:val="24"/>
          <w:lang w:val="en-GB" w:eastAsia="da-DK"/>
        </w:rPr>
      </w:pPr>
    </w:p>
    <w:p w14:paraId="0BEC6194" w14:textId="0230015C" w:rsidR="008B4A17" w:rsidRPr="003F7C7F" w:rsidRDefault="008B4A17" w:rsidP="006E7B37">
      <w:pPr>
        <w:pStyle w:val="Standard"/>
        <w:spacing w:after="0" w:line="360" w:lineRule="auto"/>
        <w:jc w:val="both"/>
        <w:rPr>
          <w:rFonts w:cs="Calibri"/>
          <w:b/>
          <w:sz w:val="24"/>
          <w:szCs w:val="24"/>
        </w:rPr>
      </w:pPr>
      <w:r w:rsidRPr="003F7C7F">
        <w:rPr>
          <w:rFonts w:cs="Calibri"/>
          <w:b/>
          <w:sz w:val="24"/>
          <w:szCs w:val="24"/>
        </w:rPr>
        <w:lastRenderedPageBreak/>
        <w:t>Reference</w:t>
      </w:r>
      <w:r w:rsidR="00DF6C17" w:rsidRPr="003F7C7F">
        <w:rPr>
          <w:rFonts w:cs="Calibri"/>
          <w:b/>
          <w:sz w:val="24"/>
          <w:szCs w:val="24"/>
        </w:rPr>
        <w:t>s</w:t>
      </w:r>
    </w:p>
    <w:p w14:paraId="02CE5237" w14:textId="18F32800" w:rsidR="00FE6F88" w:rsidRPr="003F7C7F" w:rsidRDefault="005E037F" w:rsidP="00FE6F88">
      <w:pPr>
        <w:autoSpaceDE w:val="0"/>
        <w:adjustRightInd w:val="0"/>
        <w:spacing w:after="0" w:line="360" w:lineRule="auto"/>
        <w:rPr>
          <w:rFonts w:cs="Times New Roman"/>
          <w:noProof/>
          <w:szCs w:val="24"/>
        </w:rPr>
      </w:pPr>
      <w:r w:rsidRPr="003F7C7F">
        <w:rPr>
          <w:lang w:val="en-GB"/>
        </w:rPr>
        <w:fldChar w:fldCharType="begin" w:fldLock="1"/>
      </w:r>
      <w:r w:rsidRPr="003F7C7F">
        <w:instrText xml:space="preserve">ADDIN Mendeley Bibliography CSL_BIBLIOGRAPHY </w:instrText>
      </w:r>
      <w:r w:rsidRPr="003F7C7F">
        <w:rPr>
          <w:lang w:val="en-GB"/>
        </w:rPr>
        <w:fldChar w:fldCharType="separate"/>
      </w:r>
      <w:r w:rsidR="00FE6F88" w:rsidRPr="003F7C7F">
        <w:rPr>
          <w:rFonts w:cs="Times New Roman"/>
          <w:b/>
          <w:bCs/>
          <w:noProof/>
          <w:szCs w:val="24"/>
        </w:rPr>
        <w:t>Anhøj S, Nielsen MØ, Jensen MH, Ford K, Fagerlund B, Williamson P</w:t>
      </w:r>
      <w:r w:rsidR="00FE6F88" w:rsidRPr="003F7C7F">
        <w:rPr>
          <w:rFonts w:cs="Times New Roman"/>
          <w:noProof/>
          <w:szCs w:val="24"/>
        </w:rPr>
        <w:t xml:space="preserve"> (2017). OUP accepted manuscript. </w:t>
      </w:r>
      <w:r w:rsidR="00FE6F88" w:rsidRPr="003F7C7F">
        <w:rPr>
          <w:rFonts w:cs="Times New Roman"/>
          <w:i/>
          <w:iCs/>
          <w:noProof/>
          <w:szCs w:val="24"/>
        </w:rPr>
        <w:t>Schizophrenia Bulletin</w:t>
      </w:r>
      <w:r w:rsidR="00FE6F88" w:rsidRPr="003F7C7F">
        <w:rPr>
          <w:rFonts w:cs="Times New Roman"/>
          <w:noProof/>
          <w:szCs w:val="24"/>
        </w:rPr>
        <w:t>, 1–9.</w:t>
      </w:r>
    </w:p>
    <w:p w14:paraId="4034C1AD"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rPr>
        <w:t>Bak N, Ebdrup BH, Oranje B, Fagerlund B, Jensen MH, Düring SW, Nielsen M, GlenthØj BY, Hansen LK</w:t>
      </w:r>
      <w:r w:rsidRPr="003F7C7F">
        <w:rPr>
          <w:rFonts w:cs="Times New Roman"/>
          <w:noProof/>
          <w:szCs w:val="24"/>
        </w:rPr>
        <w:t xml:space="preserve"> (2017). </w:t>
      </w:r>
      <w:r w:rsidRPr="003F7C7F">
        <w:rPr>
          <w:rFonts w:cs="Times New Roman"/>
          <w:noProof/>
          <w:szCs w:val="24"/>
          <w:lang w:val="en-GB"/>
        </w:rPr>
        <w:t xml:space="preserve">Two subgroups of antipsychotic-naive, first-episode schizophrenia patients identified with a Gaussian mixture model on cognition and electrophysiology. . Nature Publishing Group </w:t>
      </w:r>
      <w:r w:rsidRPr="003F7C7F">
        <w:rPr>
          <w:rFonts w:cs="Times New Roman"/>
          <w:i/>
          <w:iCs/>
          <w:noProof/>
          <w:szCs w:val="24"/>
          <w:lang w:val="en-GB"/>
        </w:rPr>
        <w:t>Translational Psychiatry</w:t>
      </w:r>
      <w:r w:rsidRPr="003F7C7F">
        <w:rPr>
          <w:rFonts w:cs="Times New Roman"/>
          <w:noProof/>
          <w:szCs w:val="24"/>
          <w:lang w:val="en-GB"/>
        </w:rPr>
        <w:t xml:space="preserve"> </w:t>
      </w:r>
      <w:r w:rsidRPr="003F7C7F">
        <w:rPr>
          <w:rFonts w:cs="Times New Roman"/>
          <w:b/>
          <w:bCs/>
          <w:noProof/>
          <w:szCs w:val="24"/>
          <w:lang w:val="en-GB"/>
        </w:rPr>
        <w:t>7</w:t>
      </w:r>
      <w:r w:rsidRPr="003F7C7F">
        <w:rPr>
          <w:rFonts w:cs="Times New Roman"/>
          <w:noProof/>
          <w:szCs w:val="24"/>
          <w:lang w:val="en-GB"/>
        </w:rPr>
        <w:t>, e1087-8.</w:t>
      </w:r>
    </w:p>
    <w:p w14:paraId="42F6DE72"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Carson RE, Channing MA, Blasberg RG, Dunn BB, Cohen M, Rice KC, Herscovitch P</w:t>
      </w:r>
      <w:r w:rsidRPr="003F7C7F">
        <w:rPr>
          <w:rFonts w:cs="Times New Roman"/>
          <w:noProof/>
          <w:szCs w:val="24"/>
          <w:lang w:val="en-GB"/>
        </w:rPr>
        <w:t xml:space="preserve"> (1993). Comparison of Bolus and Infusion Methods for Receptor Quantitation : Application to e8p ] Cyclofoxy and Positron Emission Tomography</w:t>
      </w:r>
    </w:p>
    <w:p w14:paraId="13C088AB"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Cooper JC, Knutson B</w:t>
      </w:r>
      <w:r w:rsidRPr="003F7C7F">
        <w:rPr>
          <w:rFonts w:cs="Times New Roman"/>
          <w:noProof/>
          <w:szCs w:val="24"/>
          <w:lang w:val="en-GB"/>
        </w:rPr>
        <w:t xml:space="preserve"> (2008). Valence and salience contribute to nucleus accumbens activation. </w:t>
      </w:r>
      <w:r w:rsidRPr="003F7C7F">
        <w:rPr>
          <w:rFonts w:cs="Times New Roman"/>
          <w:i/>
          <w:iCs/>
          <w:noProof/>
          <w:szCs w:val="24"/>
          <w:lang w:val="en-GB"/>
        </w:rPr>
        <w:t>NeuroImage</w:t>
      </w:r>
      <w:r w:rsidRPr="003F7C7F">
        <w:rPr>
          <w:rFonts w:cs="Times New Roman"/>
          <w:noProof/>
          <w:szCs w:val="24"/>
          <w:lang w:val="en-GB"/>
        </w:rPr>
        <w:t xml:space="preserve"> </w:t>
      </w:r>
      <w:r w:rsidRPr="003F7C7F">
        <w:rPr>
          <w:rFonts w:cs="Times New Roman"/>
          <w:b/>
          <w:bCs/>
          <w:noProof/>
          <w:szCs w:val="24"/>
          <w:lang w:val="en-GB"/>
        </w:rPr>
        <w:t>39</w:t>
      </w:r>
      <w:r w:rsidRPr="003F7C7F">
        <w:rPr>
          <w:rFonts w:cs="Times New Roman"/>
          <w:noProof/>
          <w:szCs w:val="24"/>
          <w:lang w:val="en-GB"/>
        </w:rPr>
        <w:t>, 538–547.</w:t>
      </w:r>
    </w:p>
    <w:p w14:paraId="5C47C603"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Düring S, Glenthøj BY, Oranje B</w:t>
      </w:r>
      <w:r w:rsidRPr="003F7C7F">
        <w:rPr>
          <w:rFonts w:cs="Times New Roman"/>
          <w:noProof/>
          <w:szCs w:val="24"/>
          <w:lang w:val="en-GB"/>
        </w:rPr>
        <w:t xml:space="preserve"> (2015). Effects of Blocking D2/D3 Receptors on Mismatch Negativity and P3a Amplitude of Initially Antipsychotic Naïve, First Episode Schizophrenia Patients. </w:t>
      </w:r>
      <w:r w:rsidRPr="003F7C7F">
        <w:rPr>
          <w:rFonts w:cs="Times New Roman"/>
          <w:i/>
          <w:iCs/>
          <w:noProof/>
          <w:szCs w:val="24"/>
          <w:lang w:val="en-GB"/>
        </w:rPr>
        <w:t>The international journal of neuropsychopharmacology</w:t>
      </w:r>
      <w:r w:rsidRPr="003F7C7F">
        <w:rPr>
          <w:rFonts w:cs="Times New Roman"/>
          <w:noProof/>
          <w:szCs w:val="24"/>
          <w:lang w:val="en-GB"/>
        </w:rPr>
        <w:t xml:space="preserve"> </w:t>
      </w:r>
      <w:r w:rsidRPr="003F7C7F">
        <w:rPr>
          <w:rFonts w:cs="Times New Roman"/>
          <w:b/>
          <w:bCs/>
          <w:noProof/>
          <w:szCs w:val="24"/>
          <w:lang w:val="en-GB"/>
        </w:rPr>
        <w:t>19</w:t>
      </w:r>
      <w:r w:rsidRPr="003F7C7F">
        <w:rPr>
          <w:rFonts w:cs="Times New Roman"/>
          <w:noProof/>
          <w:szCs w:val="24"/>
          <w:lang w:val="en-GB"/>
        </w:rPr>
        <w:t>, pyv109.</w:t>
      </w:r>
    </w:p>
    <w:p w14:paraId="48843C47" w14:textId="32F545C5"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Düring S, Glenthøj BY, Andersen GS, Oranje B</w:t>
      </w:r>
      <w:r w:rsidRPr="003F7C7F">
        <w:rPr>
          <w:rFonts w:cs="Times New Roman"/>
          <w:noProof/>
          <w:szCs w:val="24"/>
          <w:lang w:val="en-GB"/>
        </w:rPr>
        <w:t xml:space="preserve"> (2014). Effects of Dopamine D2/D3 Blockade on Human Sensory and Sensorimotor gating in Initially Antipsychotic-Naïve, First-Episode Schizophrenia Patients. </w:t>
      </w:r>
      <w:r w:rsidRPr="003F7C7F">
        <w:rPr>
          <w:rFonts w:cs="Times New Roman"/>
          <w:i/>
          <w:iCs/>
          <w:noProof/>
          <w:szCs w:val="24"/>
          <w:lang w:val="en-GB"/>
        </w:rPr>
        <w:t xml:space="preserve">Neuropsychopharmacology : </w:t>
      </w:r>
      <w:r w:rsidRPr="003F7C7F">
        <w:rPr>
          <w:rFonts w:cs="Times New Roman"/>
          <w:noProof/>
          <w:szCs w:val="24"/>
          <w:lang w:val="en-GB"/>
        </w:rPr>
        <w:t>3000–3008.</w:t>
      </w:r>
    </w:p>
    <w:p w14:paraId="14094BCF"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Ebdrup BH, Raghava JM, Nielsen MØ, Rostrup E, Glenthøj B</w:t>
      </w:r>
      <w:r w:rsidRPr="003F7C7F">
        <w:rPr>
          <w:rFonts w:cs="Times New Roman"/>
          <w:noProof/>
          <w:szCs w:val="24"/>
          <w:lang w:val="en-GB"/>
        </w:rPr>
        <w:t xml:space="preserve"> (2016). Frontal fasciculi and psychotic symptoms in antipsychotic-naive patients with schizophrenia before and after 6 weeks of selective dopamine D2/3 receptor blockade. </w:t>
      </w:r>
      <w:r w:rsidRPr="003F7C7F">
        <w:rPr>
          <w:rFonts w:cs="Times New Roman"/>
          <w:i/>
          <w:iCs/>
          <w:noProof/>
          <w:szCs w:val="24"/>
          <w:lang w:val="en-GB"/>
        </w:rPr>
        <w:t>Journal of Psychiatry and Neuroscience</w:t>
      </w:r>
      <w:r w:rsidRPr="003F7C7F">
        <w:rPr>
          <w:rFonts w:cs="Times New Roman"/>
          <w:noProof/>
          <w:szCs w:val="24"/>
          <w:lang w:val="en-GB"/>
        </w:rPr>
        <w:t xml:space="preserve"> </w:t>
      </w:r>
      <w:r w:rsidRPr="003F7C7F">
        <w:rPr>
          <w:rFonts w:cs="Times New Roman"/>
          <w:b/>
          <w:bCs/>
          <w:noProof/>
          <w:szCs w:val="24"/>
          <w:lang w:val="en-GB"/>
        </w:rPr>
        <w:t>41</w:t>
      </w:r>
    </w:p>
    <w:p w14:paraId="43ADF9C6"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Knutson B, Fong GW, Adams CM, Varner JL, Hommer D</w:t>
      </w:r>
      <w:r w:rsidRPr="003F7C7F">
        <w:rPr>
          <w:rFonts w:cs="Times New Roman"/>
          <w:noProof/>
          <w:szCs w:val="24"/>
          <w:lang w:val="en-GB"/>
        </w:rPr>
        <w:t xml:space="preserve"> (2001a). Dissociation of reward anticipation and outcome with event-related fMRI. </w:t>
      </w:r>
      <w:r w:rsidRPr="003F7C7F">
        <w:rPr>
          <w:rFonts w:cs="Times New Roman"/>
          <w:i/>
          <w:iCs/>
          <w:noProof/>
          <w:szCs w:val="24"/>
          <w:lang w:val="en-GB"/>
        </w:rPr>
        <w:t>Neuroreport</w:t>
      </w:r>
      <w:r w:rsidRPr="003F7C7F">
        <w:rPr>
          <w:rFonts w:cs="Times New Roman"/>
          <w:noProof/>
          <w:szCs w:val="24"/>
          <w:lang w:val="en-GB"/>
        </w:rPr>
        <w:t xml:space="preserve"> </w:t>
      </w:r>
      <w:r w:rsidRPr="003F7C7F">
        <w:rPr>
          <w:rFonts w:cs="Times New Roman"/>
          <w:b/>
          <w:bCs/>
          <w:noProof/>
          <w:szCs w:val="24"/>
          <w:lang w:val="en-GB"/>
        </w:rPr>
        <w:t>12</w:t>
      </w:r>
      <w:r w:rsidRPr="003F7C7F">
        <w:rPr>
          <w:rFonts w:cs="Times New Roman"/>
          <w:noProof/>
          <w:szCs w:val="24"/>
          <w:lang w:val="en-GB"/>
        </w:rPr>
        <w:t>, 3683–7.</w:t>
      </w:r>
    </w:p>
    <w:p w14:paraId="0453F5E7"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Knutson B, Westdorp A, Kaiser E, Hommer D</w:t>
      </w:r>
      <w:r w:rsidRPr="003F7C7F">
        <w:rPr>
          <w:rFonts w:cs="Times New Roman"/>
          <w:noProof/>
          <w:szCs w:val="24"/>
          <w:lang w:val="en-GB"/>
        </w:rPr>
        <w:t xml:space="preserve"> (2000). FMRI visualization of brain activity during a monetary incentive delay task. </w:t>
      </w:r>
      <w:r w:rsidRPr="003F7C7F">
        <w:rPr>
          <w:rFonts w:cs="Times New Roman"/>
          <w:i/>
          <w:iCs/>
          <w:noProof/>
          <w:szCs w:val="24"/>
          <w:lang w:val="en-GB"/>
        </w:rPr>
        <w:t>NeuroImage</w:t>
      </w:r>
      <w:r w:rsidRPr="003F7C7F">
        <w:rPr>
          <w:rFonts w:cs="Times New Roman"/>
          <w:noProof/>
          <w:szCs w:val="24"/>
          <w:lang w:val="en-GB"/>
        </w:rPr>
        <w:t xml:space="preserve"> </w:t>
      </w:r>
      <w:r w:rsidRPr="003F7C7F">
        <w:rPr>
          <w:rFonts w:cs="Times New Roman"/>
          <w:b/>
          <w:bCs/>
          <w:noProof/>
          <w:szCs w:val="24"/>
          <w:lang w:val="en-GB"/>
        </w:rPr>
        <w:t>12</w:t>
      </w:r>
      <w:r w:rsidRPr="003F7C7F">
        <w:rPr>
          <w:rFonts w:cs="Times New Roman"/>
          <w:noProof/>
          <w:szCs w:val="24"/>
          <w:lang w:val="en-GB"/>
        </w:rPr>
        <w:t>, 20–27.</w:t>
      </w:r>
    </w:p>
    <w:p w14:paraId="240D51A5" w14:textId="06826818"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Knutson B, Adams CM, Fong GW, Hommer D</w:t>
      </w:r>
      <w:r w:rsidRPr="003F7C7F">
        <w:rPr>
          <w:rFonts w:cs="Times New Roman"/>
          <w:noProof/>
          <w:szCs w:val="24"/>
          <w:lang w:val="en-GB"/>
        </w:rPr>
        <w:t xml:space="preserve"> (2001b). Anticipation of increasing monetary reward selectively recruits nucleus accumbens. </w:t>
      </w:r>
      <w:r w:rsidRPr="003F7C7F">
        <w:rPr>
          <w:rFonts w:cs="Times New Roman"/>
          <w:i/>
          <w:iCs/>
          <w:noProof/>
          <w:szCs w:val="24"/>
          <w:lang w:val="en-GB"/>
        </w:rPr>
        <w:t xml:space="preserve">The Journal of neuroscience : </w:t>
      </w:r>
      <w:r w:rsidRPr="003F7C7F">
        <w:rPr>
          <w:rFonts w:cs="Times New Roman"/>
          <w:b/>
          <w:bCs/>
          <w:noProof/>
          <w:szCs w:val="24"/>
          <w:lang w:val="en-GB"/>
        </w:rPr>
        <w:t>21</w:t>
      </w:r>
      <w:r w:rsidRPr="003F7C7F">
        <w:rPr>
          <w:rFonts w:cs="Times New Roman"/>
          <w:noProof/>
          <w:szCs w:val="24"/>
          <w:lang w:val="en-GB"/>
        </w:rPr>
        <w:t>, RC159.</w:t>
      </w:r>
    </w:p>
    <w:p w14:paraId="2E01FFA8"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Kung HF, Alavi A, Chang W, Kung M, Keyes JW, Velchik MG, Billings J, Pan S, Noto R</w:t>
      </w:r>
      <w:r w:rsidRPr="003F7C7F">
        <w:rPr>
          <w:rFonts w:cs="Times New Roman"/>
          <w:noProof/>
          <w:szCs w:val="24"/>
          <w:lang w:val="en-GB"/>
        </w:rPr>
        <w:t xml:space="preserve"> (1989). In Vivo SPECT Imaging of CNS D . -2 Dopamine Receptors : Initial Studies Iodine-123-IBZM in Humans, 573–579.</w:t>
      </w:r>
    </w:p>
    <w:p w14:paraId="1DB9AC45" w14:textId="7051A604" w:rsidR="00FE6F88"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Laruelle M, Abi-dargham A, Ai-tikriti MS, Baldwin RM, Zea-ponce Y, Zoghbi SS, Charney DS, Hoffer PB, Innis RB</w:t>
      </w:r>
      <w:r w:rsidRPr="003F7C7F">
        <w:rPr>
          <w:rFonts w:cs="Times New Roman"/>
          <w:noProof/>
          <w:szCs w:val="24"/>
          <w:lang w:val="en-GB"/>
        </w:rPr>
        <w:t xml:space="preserve"> (1994). SPECT Quantification of [ 1231 ] lomazenil Binding to Benzodiazepine Receptors in Nonhuman Primates : II . Equilibrium Analysis of Constant Infusion Experiments and Correlation with In Vitro Parameters</w:t>
      </w:r>
    </w:p>
    <w:p w14:paraId="075ADA06" w14:textId="414863FA" w:rsidR="00BA0F94" w:rsidRPr="003F7C7F" w:rsidRDefault="00C14AFC" w:rsidP="00FE6F88">
      <w:pPr>
        <w:autoSpaceDE w:val="0"/>
        <w:adjustRightInd w:val="0"/>
        <w:spacing w:after="0" w:line="360" w:lineRule="auto"/>
        <w:rPr>
          <w:rFonts w:cs="Times New Roman"/>
          <w:noProof/>
          <w:szCs w:val="24"/>
          <w:lang w:val="en-GB"/>
        </w:rPr>
      </w:pPr>
      <w:r w:rsidRPr="00C14AFC">
        <w:rPr>
          <w:rFonts w:cs="Times New Roman"/>
          <w:b/>
          <w:noProof/>
          <w:szCs w:val="24"/>
          <w:lang w:val="en-GB"/>
        </w:rPr>
        <w:lastRenderedPageBreak/>
        <w:t xml:space="preserve">Laruelle M, Abi-Dargham A, van Dyck CH, Rosenblatt W, Zea-Ponce Y, Zoghbi SS, et </w:t>
      </w:r>
      <w:r w:rsidRPr="00C14AFC">
        <w:rPr>
          <w:rFonts w:cs="Times New Roman"/>
          <w:noProof/>
          <w:szCs w:val="24"/>
          <w:lang w:val="en-GB"/>
        </w:rPr>
        <w:t>al (1995): SPECT imaging of striatal dopamine release after amphetamine challenge. J Nucl Med 36:1182-1190.</w:t>
      </w:r>
    </w:p>
    <w:p w14:paraId="77129D8B"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Nielsen MO, Rostrup E, Wulff S, Bak N, Broberg BV, Lublin H, Kapur S, Glenthoj B</w:t>
      </w:r>
      <w:r w:rsidRPr="003F7C7F">
        <w:rPr>
          <w:rFonts w:cs="Times New Roman"/>
          <w:noProof/>
          <w:szCs w:val="24"/>
          <w:lang w:val="en-GB"/>
        </w:rPr>
        <w:t xml:space="preserve"> (2012a). Improvement of brain reward abnormalities by antipsychotic monotherapy in schizophrenia. </w:t>
      </w:r>
      <w:r w:rsidRPr="003F7C7F">
        <w:rPr>
          <w:rFonts w:cs="Times New Roman"/>
          <w:i/>
          <w:iCs/>
          <w:noProof/>
          <w:szCs w:val="24"/>
          <w:lang w:val="en-GB"/>
        </w:rPr>
        <w:t>Archives of General Psychiatry</w:t>
      </w:r>
      <w:r w:rsidRPr="003F7C7F">
        <w:rPr>
          <w:rFonts w:cs="Times New Roman"/>
          <w:noProof/>
          <w:szCs w:val="24"/>
          <w:lang w:val="en-GB"/>
        </w:rPr>
        <w:t xml:space="preserve"> </w:t>
      </w:r>
      <w:r w:rsidRPr="003F7C7F">
        <w:rPr>
          <w:rFonts w:cs="Times New Roman"/>
          <w:b/>
          <w:bCs/>
          <w:noProof/>
          <w:szCs w:val="24"/>
          <w:lang w:val="en-GB"/>
        </w:rPr>
        <w:t>69</w:t>
      </w:r>
      <w:r w:rsidRPr="003F7C7F">
        <w:rPr>
          <w:rFonts w:cs="Times New Roman"/>
          <w:noProof/>
          <w:szCs w:val="24"/>
          <w:lang w:val="en-GB"/>
        </w:rPr>
        <w:t>, 1195–1204.</w:t>
      </w:r>
    </w:p>
    <w:p w14:paraId="2032CC78"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Nielsen MO, Rostrup E, Wulff S, Glenthøj B, Ebdrup BH</w:t>
      </w:r>
      <w:r w:rsidRPr="003F7C7F">
        <w:rPr>
          <w:rFonts w:cs="Times New Roman"/>
          <w:noProof/>
          <w:szCs w:val="24"/>
          <w:lang w:val="en-GB"/>
        </w:rPr>
        <w:t xml:space="preserve"> (2016). Striatal reward activity and antipsychotic-associated weight change in patients with schizophrenia undergoing initial treatment. </w:t>
      </w:r>
      <w:r w:rsidRPr="003F7C7F">
        <w:rPr>
          <w:rFonts w:cs="Times New Roman"/>
          <w:i/>
          <w:iCs/>
          <w:noProof/>
          <w:szCs w:val="24"/>
          <w:lang w:val="en-GB"/>
        </w:rPr>
        <w:t>JAMA Psychiatry</w:t>
      </w:r>
      <w:r w:rsidRPr="003F7C7F">
        <w:rPr>
          <w:rFonts w:cs="Times New Roman"/>
          <w:noProof/>
          <w:szCs w:val="24"/>
          <w:lang w:val="en-GB"/>
        </w:rPr>
        <w:t xml:space="preserve"> </w:t>
      </w:r>
      <w:r w:rsidRPr="003F7C7F">
        <w:rPr>
          <w:rFonts w:cs="Times New Roman"/>
          <w:b/>
          <w:bCs/>
          <w:noProof/>
          <w:szCs w:val="24"/>
          <w:lang w:val="en-GB"/>
        </w:rPr>
        <w:t>73</w:t>
      </w:r>
      <w:r w:rsidRPr="003F7C7F">
        <w:rPr>
          <w:rFonts w:cs="Times New Roman"/>
          <w:noProof/>
          <w:szCs w:val="24"/>
          <w:lang w:val="en-GB"/>
        </w:rPr>
        <w:t>, 121–128.</w:t>
      </w:r>
    </w:p>
    <w:p w14:paraId="57DACB85"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Nielsen MØ, Rostrup E, Wulff S, Bak N, Lublin H, Kapur S, Glenthøj B</w:t>
      </w:r>
      <w:r w:rsidRPr="003F7C7F">
        <w:rPr>
          <w:rFonts w:cs="Times New Roman"/>
          <w:noProof/>
          <w:szCs w:val="24"/>
          <w:lang w:val="en-GB"/>
        </w:rPr>
        <w:t xml:space="preserve"> (2012b). Alterations of the brain reward system in antipsychotic naïve schizophrenia patients. </w:t>
      </w:r>
      <w:r w:rsidRPr="003F7C7F">
        <w:rPr>
          <w:rFonts w:cs="Times New Roman"/>
          <w:i/>
          <w:iCs/>
          <w:noProof/>
          <w:szCs w:val="24"/>
          <w:lang w:val="en-GB"/>
        </w:rPr>
        <w:t>Biological psychiatry</w:t>
      </w:r>
      <w:r w:rsidRPr="003F7C7F">
        <w:rPr>
          <w:rFonts w:cs="Times New Roman"/>
          <w:noProof/>
          <w:szCs w:val="24"/>
          <w:lang w:val="en-GB"/>
        </w:rPr>
        <w:t xml:space="preserve"> </w:t>
      </w:r>
      <w:r w:rsidRPr="003F7C7F">
        <w:rPr>
          <w:rFonts w:cs="Times New Roman"/>
          <w:b/>
          <w:bCs/>
          <w:noProof/>
          <w:szCs w:val="24"/>
          <w:lang w:val="en-GB"/>
        </w:rPr>
        <w:t>71</w:t>
      </w:r>
      <w:r w:rsidRPr="003F7C7F">
        <w:rPr>
          <w:rFonts w:cs="Times New Roman"/>
          <w:noProof/>
          <w:szCs w:val="24"/>
          <w:lang w:val="en-GB"/>
        </w:rPr>
        <w:t>, 898–905.</w:t>
      </w:r>
    </w:p>
    <w:p w14:paraId="7FBE826E"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lang w:val="en-GB"/>
        </w:rPr>
        <w:t>Nordholm D, Poulsen HE, Hjorthøj C, Randers L, Nielsen MØ, Wulff S, Krakauer K, Nørbak-Emig H, Henriksen T, Glenthøj B, Nordentoft M</w:t>
      </w:r>
      <w:r w:rsidRPr="003F7C7F">
        <w:rPr>
          <w:rFonts w:cs="Times New Roman"/>
          <w:noProof/>
          <w:szCs w:val="24"/>
          <w:lang w:val="en-GB"/>
        </w:rPr>
        <w:t xml:space="preserve"> (2016). Systemic oxidative DNA and RNA damage are not increased during early phases of psychosis: A case control study. </w:t>
      </w:r>
      <w:r w:rsidRPr="003F7C7F">
        <w:rPr>
          <w:rFonts w:cs="Times New Roman"/>
          <w:i/>
          <w:iCs/>
          <w:noProof/>
          <w:szCs w:val="24"/>
          <w:lang w:val="en-GB"/>
        </w:rPr>
        <w:t>Psychiatry Research</w:t>
      </w:r>
      <w:r w:rsidRPr="003F7C7F">
        <w:rPr>
          <w:rFonts w:cs="Times New Roman"/>
          <w:noProof/>
          <w:szCs w:val="24"/>
          <w:lang w:val="en-GB"/>
        </w:rPr>
        <w:t xml:space="preserve"> </w:t>
      </w:r>
      <w:r w:rsidRPr="003F7C7F">
        <w:rPr>
          <w:rFonts w:cs="Times New Roman"/>
          <w:b/>
          <w:bCs/>
          <w:noProof/>
          <w:szCs w:val="24"/>
          <w:lang w:val="en-GB"/>
        </w:rPr>
        <w:t>241</w:t>
      </w:r>
    </w:p>
    <w:p w14:paraId="4A9EC35A" w14:textId="32412C87" w:rsidR="00FE6F88" w:rsidRPr="003F7C7F" w:rsidRDefault="00FE6F88" w:rsidP="00FE6F88">
      <w:pPr>
        <w:autoSpaceDE w:val="0"/>
        <w:adjustRightInd w:val="0"/>
        <w:spacing w:after="0" w:line="360" w:lineRule="auto"/>
        <w:rPr>
          <w:rFonts w:cs="Times New Roman"/>
          <w:noProof/>
          <w:szCs w:val="24"/>
        </w:rPr>
      </w:pPr>
      <w:r w:rsidRPr="003F7C7F">
        <w:rPr>
          <w:rFonts w:cs="Times New Roman"/>
          <w:b/>
          <w:bCs/>
          <w:noProof/>
          <w:szCs w:val="24"/>
          <w:lang w:val="en-GB"/>
        </w:rPr>
        <w:t>Seibyl JP, Woods SW, Zoghbi SS, Baldwin RM, Dey HM, Goddard AW, Zea-ponce Y, Zubal G, Germine M, Smith E, Heninger GR, Charney DS, Kung HF, Alavi A, Hoffer PB, Innis RB</w:t>
      </w:r>
      <w:r w:rsidRPr="003F7C7F">
        <w:rPr>
          <w:rFonts w:cs="Times New Roman"/>
          <w:noProof/>
          <w:szCs w:val="24"/>
          <w:lang w:val="en-GB"/>
        </w:rPr>
        <w:t xml:space="preserve"> (1992). Dynamic SPECT Imaging of Dopamine D2 Receptors in Human Subjects with</w:t>
      </w:r>
      <w:r w:rsidR="004B3640" w:rsidRPr="003F7C7F">
        <w:rPr>
          <w:rFonts w:cs="Times New Roman"/>
          <w:noProof/>
          <w:szCs w:val="24"/>
          <w:lang w:val="en-GB"/>
        </w:rPr>
        <w:t xml:space="preserve"> iodine-123-IBZM</w:t>
      </w:r>
      <w:r w:rsidRPr="003F7C7F">
        <w:rPr>
          <w:rFonts w:cs="Times New Roman"/>
          <w:noProof/>
          <w:szCs w:val="24"/>
          <w:lang w:val="en-GB"/>
        </w:rPr>
        <w:t>.</w:t>
      </w:r>
      <w:r w:rsidR="004B3640" w:rsidRPr="003F7C7F">
        <w:rPr>
          <w:rFonts w:cs="Times New Roman"/>
          <w:i/>
          <w:noProof/>
          <w:szCs w:val="24"/>
          <w:lang w:val="en-GB"/>
        </w:rPr>
        <w:t xml:space="preserve"> </w:t>
      </w:r>
      <w:r w:rsidR="004B3640" w:rsidRPr="003F7C7F">
        <w:rPr>
          <w:rFonts w:cs="Times New Roman"/>
          <w:i/>
          <w:noProof/>
          <w:szCs w:val="24"/>
        </w:rPr>
        <w:t>J. Nucl: Med</w:t>
      </w:r>
      <w:r w:rsidRPr="003F7C7F">
        <w:rPr>
          <w:rFonts w:cs="Times New Roman"/>
          <w:noProof/>
          <w:szCs w:val="24"/>
        </w:rPr>
        <w:t xml:space="preserve"> </w:t>
      </w:r>
      <w:r w:rsidRPr="003F7C7F">
        <w:rPr>
          <w:rFonts w:cs="Times New Roman"/>
          <w:b/>
          <w:bCs/>
          <w:noProof/>
          <w:szCs w:val="24"/>
        </w:rPr>
        <w:t>33</w:t>
      </w:r>
      <w:r w:rsidRPr="003F7C7F">
        <w:rPr>
          <w:rFonts w:cs="Times New Roman"/>
          <w:noProof/>
          <w:szCs w:val="24"/>
        </w:rPr>
        <w:t>, 1964–1971.</w:t>
      </w:r>
    </w:p>
    <w:p w14:paraId="47B9243E" w14:textId="77777777" w:rsidR="00FE6F88" w:rsidRPr="003F7C7F" w:rsidRDefault="00FE6F88" w:rsidP="00FE6F88">
      <w:pPr>
        <w:autoSpaceDE w:val="0"/>
        <w:adjustRightInd w:val="0"/>
        <w:spacing w:after="0" w:line="360" w:lineRule="auto"/>
        <w:rPr>
          <w:rFonts w:cs="Times New Roman"/>
          <w:noProof/>
          <w:szCs w:val="24"/>
          <w:lang w:val="en-GB"/>
        </w:rPr>
      </w:pPr>
      <w:r w:rsidRPr="003F7C7F">
        <w:rPr>
          <w:rFonts w:cs="Times New Roman"/>
          <w:b/>
          <w:bCs/>
          <w:noProof/>
          <w:szCs w:val="24"/>
        </w:rPr>
        <w:t>Wulff S, Pinborg LH, Svarer C, Jensen LT, Nielsen MØ, Allerup P, Bak N, Rasmussen H, Frandsen E, Rostrup E, Glenthøj BY</w:t>
      </w:r>
      <w:r w:rsidRPr="003F7C7F">
        <w:rPr>
          <w:rFonts w:cs="Times New Roman"/>
          <w:noProof/>
          <w:szCs w:val="24"/>
        </w:rPr>
        <w:t xml:space="preserve"> (2015). </w:t>
      </w:r>
      <w:r w:rsidRPr="003F7C7F">
        <w:rPr>
          <w:rFonts w:cs="Times New Roman"/>
          <w:noProof/>
          <w:szCs w:val="24"/>
          <w:lang w:val="en-GB"/>
        </w:rPr>
        <w:t xml:space="preserve">Striatal D2/3 binding potential values in drug-naïve first-episode schizophrenia patients correlate with treatment outcome. . Oxford University Press </w:t>
      </w:r>
      <w:r w:rsidRPr="003F7C7F">
        <w:rPr>
          <w:rFonts w:cs="Times New Roman"/>
          <w:i/>
          <w:iCs/>
          <w:noProof/>
          <w:szCs w:val="24"/>
          <w:lang w:val="en-GB"/>
        </w:rPr>
        <w:t>Schizophrenia Bulletin</w:t>
      </w:r>
      <w:r w:rsidRPr="003F7C7F">
        <w:rPr>
          <w:rFonts w:cs="Times New Roman"/>
          <w:noProof/>
          <w:szCs w:val="24"/>
          <w:lang w:val="en-GB"/>
        </w:rPr>
        <w:t xml:space="preserve"> </w:t>
      </w:r>
      <w:r w:rsidRPr="003F7C7F">
        <w:rPr>
          <w:rFonts w:cs="Times New Roman"/>
          <w:b/>
          <w:bCs/>
          <w:noProof/>
          <w:szCs w:val="24"/>
          <w:lang w:val="en-GB"/>
        </w:rPr>
        <w:t>41</w:t>
      </w:r>
      <w:r w:rsidRPr="003F7C7F">
        <w:rPr>
          <w:rFonts w:cs="Times New Roman"/>
          <w:noProof/>
          <w:szCs w:val="24"/>
          <w:lang w:val="en-GB"/>
        </w:rPr>
        <w:t>, 1143–1152.</w:t>
      </w:r>
    </w:p>
    <w:p w14:paraId="24B0427B" w14:textId="77777777" w:rsidR="00FE6F88" w:rsidRPr="003F7C7F" w:rsidRDefault="00FE6F88" w:rsidP="00FE6F88">
      <w:pPr>
        <w:autoSpaceDE w:val="0"/>
        <w:adjustRightInd w:val="0"/>
        <w:spacing w:after="0" w:line="360" w:lineRule="auto"/>
        <w:rPr>
          <w:noProof/>
          <w:lang w:val="en-GB"/>
        </w:rPr>
      </w:pPr>
      <w:r w:rsidRPr="003F7C7F">
        <w:rPr>
          <w:rFonts w:cs="Times New Roman"/>
          <w:b/>
          <w:bCs/>
          <w:noProof/>
          <w:szCs w:val="24"/>
          <w:lang w:val="en-GB"/>
        </w:rPr>
        <w:t>Zea-Ponce Y, Laruelle M</w:t>
      </w:r>
      <w:r w:rsidRPr="003F7C7F">
        <w:rPr>
          <w:rFonts w:cs="Times New Roman"/>
          <w:noProof/>
          <w:szCs w:val="24"/>
          <w:lang w:val="en-GB"/>
        </w:rPr>
        <w:t xml:space="preserve"> (1999). Protein precipitation: an expedient procedure for the routine analysis of the plasma metabolites of [123I]IBZM. </w:t>
      </w:r>
      <w:r w:rsidRPr="003F7C7F">
        <w:rPr>
          <w:rFonts w:cs="Times New Roman"/>
          <w:i/>
          <w:iCs/>
          <w:noProof/>
          <w:szCs w:val="24"/>
          <w:lang w:val="en-GB"/>
        </w:rPr>
        <w:t>Nuclear medicine and biology</w:t>
      </w:r>
      <w:r w:rsidRPr="003F7C7F">
        <w:rPr>
          <w:rFonts w:cs="Times New Roman"/>
          <w:noProof/>
          <w:szCs w:val="24"/>
          <w:lang w:val="en-GB"/>
        </w:rPr>
        <w:t xml:space="preserve"> </w:t>
      </w:r>
      <w:r w:rsidRPr="003F7C7F">
        <w:rPr>
          <w:rFonts w:cs="Times New Roman"/>
          <w:b/>
          <w:bCs/>
          <w:noProof/>
          <w:szCs w:val="24"/>
          <w:lang w:val="en-GB"/>
        </w:rPr>
        <w:t>26</w:t>
      </w:r>
      <w:r w:rsidRPr="003F7C7F">
        <w:rPr>
          <w:rFonts w:cs="Times New Roman"/>
          <w:noProof/>
          <w:szCs w:val="24"/>
          <w:lang w:val="en-GB"/>
        </w:rPr>
        <w:t>, 811–4.</w:t>
      </w:r>
    </w:p>
    <w:p w14:paraId="5A37E839" w14:textId="755DEAA3" w:rsidR="002D4853" w:rsidRPr="00CF7592" w:rsidRDefault="005E037F" w:rsidP="00FE6F88">
      <w:pPr>
        <w:autoSpaceDE w:val="0"/>
        <w:adjustRightInd w:val="0"/>
        <w:spacing w:after="0" w:line="360" w:lineRule="auto"/>
        <w:rPr>
          <w:lang w:val="en-GB"/>
        </w:rPr>
      </w:pPr>
      <w:r w:rsidRPr="003F7C7F">
        <w:rPr>
          <w:lang w:val="en-GB"/>
        </w:rPr>
        <w:fldChar w:fldCharType="end"/>
      </w:r>
    </w:p>
    <w:sectPr w:rsidR="002D4853" w:rsidRPr="00CF7592" w:rsidSect="000813CD">
      <w:headerReference w:type="even" r:id="rId18"/>
      <w:headerReference w:type="default" r:id="rId19"/>
      <w:footerReference w:type="even" r:id="rId20"/>
      <w:footerReference w:type="default" r:id="rId21"/>
      <w:headerReference w:type="first" r:id="rId22"/>
      <w:footerReference w:type="first" r:id="rId23"/>
      <w:pgSz w:w="11906" w:h="16838"/>
      <w:pgMar w:top="1701" w:right="1134" w:bottom="170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ED245" w14:textId="77777777" w:rsidR="00216029" w:rsidRDefault="00216029">
      <w:pPr>
        <w:spacing w:after="0" w:line="240" w:lineRule="auto"/>
      </w:pPr>
      <w:r>
        <w:separator/>
      </w:r>
    </w:p>
  </w:endnote>
  <w:endnote w:type="continuationSeparator" w:id="0">
    <w:p w14:paraId="7755C19D" w14:textId="77777777" w:rsidR="00216029" w:rsidRDefault="00216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1D4A2" w14:textId="77777777" w:rsidR="00157A49" w:rsidRDefault="00157A4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3787D" w14:textId="61136630" w:rsidR="002562AC" w:rsidRDefault="002562AC">
    <w:pPr>
      <w:pStyle w:val="Sidefod"/>
    </w:pPr>
    <w:r>
      <w:fldChar w:fldCharType="begin"/>
    </w:r>
    <w:r>
      <w:instrText xml:space="preserve"> PAGE </w:instrText>
    </w:r>
    <w:r>
      <w:fldChar w:fldCharType="separate"/>
    </w:r>
    <w:r w:rsidR="002662C8">
      <w:rPr>
        <w:noProof/>
      </w:rPr>
      <w:t>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B8586" w14:textId="77777777" w:rsidR="00157A49" w:rsidRDefault="00157A4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0E50D" w14:textId="77777777" w:rsidR="00216029" w:rsidRDefault="00216029">
      <w:pPr>
        <w:spacing w:after="0" w:line="240" w:lineRule="auto"/>
      </w:pPr>
      <w:r>
        <w:rPr>
          <w:color w:val="000000"/>
        </w:rPr>
        <w:separator/>
      </w:r>
    </w:p>
  </w:footnote>
  <w:footnote w:type="continuationSeparator" w:id="0">
    <w:p w14:paraId="067AA2F6" w14:textId="77777777" w:rsidR="00216029" w:rsidRDefault="00216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8B142" w14:textId="77777777" w:rsidR="00157A49" w:rsidRDefault="00157A4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E875B" w14:textId="77777777" w:rsidR="00157A49" w:rsidRDefault="00157A4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08E1E" w14:textId="77777777" w:rsidR="00157A49" w:rsidRDefault="00157A49">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853"/>
    <w:rsid w:val="00014EA5"/>
    <w:rsid w:val="000273EF"/>
    <w:rsid w:val="00032506"/>
    <w:rsid w:val="00044FA1"/>
    <w:rsid w:val="000452BF"/>
    <w:rsid w:val="0005757B"/>
    <w:rsid w:val="00057632"/>
    <w:rsid w:val="00057668"/>
    <w:rsid w:val="00071373"/>
    <w:rsid w:val="000813CD"/>
    <w:rsid w:val="00085E74"/>
    <w:rsid w:val="000A1E02"/>
    <w:rsid w:val="000B5250"/>
    <w:rsid w:val="00141B9A"/>
    <w:rsid w:val="00141EB1"/>
    <w:rsid w:val="00157A49"/>
    <w:rsid w:val="001711AC"/>
    <w:rsid w:val="00182C82"/>
    <w:rsid w:val="001A14D8"/>
    <w:rsid w:val="001C1A65"/>
    <w:rsid w:val="001C4DB1"/>
    <w:rsid w:val="001C5424"/>
    <w:rsid w:val="001C7DC3"/>
    <w:rsid w:val="001D1840"/>
    <w:rsid w:val="001E2A25"/>
    <w:rsid w:val="00204A9D"/>
    <w:rsid w:val="00207BDE"/>
    <w:rsid w:val="0021537E"/>
    <w:rsid w:val="00216029"/>
    <w:rsid w:val="00233A4C"/>
    <w:rsid w:val="002562AC"/>
    <w:rsid w:val="00261EE2"/>
    <w:rsid w:val="002662C8"/>
    <w:rsid w:val="0028183F"/>
    <w:rsid w:val="00281CE3"/>
    <w:rsid w:val="00291553"/>
    <w:rsid w:val="002A3C45"/>
    <w:rsid w:val="002A6BB3"/>
    <w:rsid w:val="002B174B"/>
    <w:rsid w:val="002C09CD"/>
    <w:rsid w:val="002D4853"/>
    <w:rsid w:val="002F5116"/>
    <w:rsid w:val="0030075C"/>
    <w:rsid w:val="0031540E"/>
    <w:rsid w:val="00333AE0"/>
    <w:rsid w:val="00341C65"/>
    <w:rsid w:val="00363691"/>
    <w:rsid w:val="003649F4"/>
    <w:rsid w:val="003754A8"/>
    <w:rsid w:val="003773E8"/>
    <w:rsid w:val="0038034D"/>
    <w:rsid w:val="003B1486"/>
    <w:rsid w:val="003D1D85"/>
    <w:rsid w:val="003E226F"/>
    <w:rsid w:val="003F7C7F"/>
    <w:rsid w:val="00417F32"/>
    <w:rsid w:val="00481627"/>
    <w:rsid w:val="004A3BDA"/>
    <w:rsid w:val="004B3640"/>
    <w:rsid w:val="004E01EC"/>
    <w:rsid w:val="004E2797"/>
    <w:rsid w:val="00503A5A"/>
    <w:rsid w:val="005214FA"/>
    <w:rsid w:val="0058327F"/>
    <w:rsid w:val="005904B4"/>
    <w:rsid w:val="005B134F"/>
    <w:rsid w:val="005B2464"/>
    <w:rsid w:val="005B5203"/>
    <w:rsid w:val="005C2D5F"/>
    <w:rsid w:val="005E037F"/>
    <w:rsid w:val="005E7DED"/>
    <w:rsid w:val="005F250F"/>
    <w:rsid w:val="006029DE"/>
    <w:rsid w:val="00617F03"/>
    <w:rsid w:val="00630414"/>
    <w:rsid w:val="00634FC0"/>
    <w:rsid w:val="0069149C"/>
    <w:rsid w:val="00695398"/>
    <w:rsid w:val="0069567A"/>
    <w:rsid w:val="00696E55"/>
    <w:rsid w:val="006E01EA"/>
    <w:rsid w:val="006E16FE"/>
    <w:rsid w:val="006E7B37"/>
    <w:rsid w:val="0073257D"/>
    <w:rsid w:val="00750638"/>
    <w:rsid w:val="0075367E"/>
    <w:rsid w:val="007A6816"/>
    <w:rsid w:val="007C6258"/>
    <w:rsid w:val="007F3FC3"/>
    <w:rsid w:val="007F49AF"/>
    <w:rsid w:val="008159DC"/>
    <w:rsid w:val="0084655B"/>
    <w:rsid w:val="008A73E0"/>
    <w:rsid w:val="008B4A17"/>
    <w:rsid w:val="008D7CB4"/>
    <w:rsid w:val="008E1A58"/>
    <w:rsid w:val="008F5903"/>
    <w:rsid w:val="0092002B"/>
    <w:rsid w:val="009269E6"/>
    <w:rsid w:val="00945479"/>
    <w:rsid w:val="00967AE7"/>
    <w:rsid w:val="00985AF1"/>
    <w:rsid w:val="00991B1C"/>
    <w:rsid w:val="009C72E2"/>
    <w:rsid w:val="009D10EB"/>
    <w:rsid w:val="009E1037"/>
    <w:rsid w:val="00A069E5"/>
    <w:rsid w:val="00A31B2C"/>
    <w:rsid w:val="00A35EA5"/>
    <w:rsid w:val="00A35FC5"/>
    <w:rsid w:val="00A550DB"/>
    <w:rsid w:val="00A61F74"/>
    <w:rsid w:val="00AA4095"/>
    <w:rsid w:val="00AB4D0E"/>
    <w:rsid w:val="00AB513E"/>
    <w:rsid w:val="00AC35BE"/>
    <w:rsid w:val="00AF507A"/>
    <w:rsid w:val="00B21CF2"/>
    <w:rsid w:val="00B26D0D"/>
    <w:rsid w:val="00B87847"/>
    <w:rsid w:val="00B912E7"/>
    <w:rsid w:val="00BA0F94"/>
    <w:rsid w:val="00BC0C5C"/>
    <w:rsid w:val="00BE1811"/>
    <w:rsid w:val="00C14AFC"/>
    <w:rsid w:val="00C23129"/>
    <w:rsid w:val="00C3566D"/>
    <w:rsid w:val="00C544A3"/>
    <w:rsid w:val="00C65378"/>
    <w:rsid w:val="00CB0107"/>
    <w:rsid w:val="00CF7592"/>
    <w:rsid w:val="00D104D0"/>
    <w:rsid w:val="00D266CC"/>
    <w:rsid w:val="00D26FC9"/>
    <w:rsid w:val="00D4156C"/>
    <w:rsid w:val="00D50895"/>
    <w:rsid w:val="00D720B0"/>
    <w:rsid w:val="00D86804"/>
    <w:rsid w:val="00DB79E1"/>
    <w:rsid w:val="00DD0874"/>
    <w:rsid w:val="00DF6C17"/>
    <w:rsid w:val="00E01843"/>
    <w:rsid w:val="00E31ADA"/>
    <w:rsid w:val="00E645C8"/>
    <w:rsid w:val="00E64976"/>
    <w:rsid w:val="00E76582"/>
    <w:rsid w:val="00E81F84"/>
    <w:rsid w:val="00E82E58"/>
    <w:rsid w:val="00EA738A"/>
    <w:rsid w:val="00ED2B51"/>
    <w:rsid w:val="00ED33FA"/>
    <w:rsid w:val="00EE261B"/>
    <w:rsid w:val="00F03FE6"/>
    <w:rsid w:val="00F062C6"/>
    <w:rsid w:val="00F27ABB"/>
    <w:rsid w:val="00F65FBF"/>
    <w:rsid w:val="00FB2BDC"/>
    <w:rsid w:val="00FC12F2"/>
    <w:rsid w:val="00FE6F8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6D38E6"/>
  <w15:docId w15:val="{41E351FB-C383-40BE-86D1-EDEF0858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F"/>
        <w:kern w:val="3"/>
        <w:sz w:val="22"/>
        <w:szCs w:val="22"/>
        <w:lang w:val="da-DK"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Overskrift2">
    <w:name w:val="heading 2"/>
    <w:basedOn w:val="Normal"/>
    <w:next w:val="Normal"/>
    <w:pPr>
      <w:keepNext/>
      <w:keepLines/>
      <w:widowControl/>
      <w:suppressAutoHyphens w:val="0"/>
      <w:spacing w:before="200" w:after="0"/>
      <w:textAlignment w:val="auto"/>
      <w:outlineLvl w:val="1"/>
    </w:pPr>
    <w:rPr>
      <w:rFonts w:ascii="Cambria" w:eastAsia="Times New Roman" w:hAnsi="Cambria" w:cs="Times New Roman"/>
      <w:b/>
      <w:bCs/>
      <w:color w:val="4F81BD"/>
      <w:kern w:val="0"/>
      <w:sz w:val="26"/>
      <w:szCs w:val="26"/>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customStyle="1" w:styleId="Opstilling1">
    <w:name w:val="Opstilling1"/>
    <w:basedOn w:val="Textbody"/>
    <w:rPr>
      <w:rFonts w:cs="Lucida Sans"/>
    </w:rPr>
  </w:style>
  <w:style w:type="paragraph" w:styleId="Billedtekst">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Kommentartekst">
    <w:name w:val="annotation text"/>
    <w:basedOn w:val="Standard"/>
    <w:uiPriority w:val="99"/>
    <w:pPr>
      <w:spacing w:after="0" w:line="240" w:lineRule="auto"/>
    </w:pPr>
    <w:rPr>
      <w:rFonts w:ascii="Times New Roman" w:eastAsia="Times New Roman" w:hAnsi="Times New Roman" w:cs="Times New Roman"/>
      <w:sz w:val="20"/>
      <w:szCs w:val="20"/>
      <w:lang w:eastAsia="da-DK"/>
    </w:rPr>
  </w:style>
  <w:style w:type="paragraph" w:styleId="Markeringsbobletekst">
    <w:name w:val="Balloon Text"/>
    <w:basedOn w:val="Standard"/>
    <w:pPr>
      <w:spacing w:after="0" w:line="240" w:lineRule="auto"/>
    </w:pPr>
    <w:rPr>
      <w:rFonts w:ascii="Tahoma" w:hAnsi="Tahoma" w:cs="Tahoma"/>
      <w:sz w:val="16"/>
      <w:szCs w:val="16"/>
    </w:rPr>
  </w:style>
  <w:style w:type="paragraph" w:styleId="Kommentaremne">
    <w:name w:val="annotation subject"/>
    <w:basedOn w:val="Kommentartekst"/>
    <w:pPr>
      <w:spacing w:after="200"/>
    </w:pPr>
    <w:rPr>
      <w:rFonts w:ascii="Calibri" w:hAnsi="Calibri" w:cs="F"/>
      <w:b/>
      <w:bCs/>
      <w:lang w:eastAsia="en-US"/>
    </w:rPr>
  </w:style>
  <w:style w:type="paragraph" w:styleId="Sidehoved">
    <w:name w:val="header"/>
    <w:basedOn w:val="Standard"/>
    <w:pPr>
      <w:suppressLineNumbers/>
      <w:tabs>
        <w:tab w:val="center" w:pos="4819"/>
        <w:tab w:val="right" w:pos="9638"/>
      </w:tabs>
      <w:spacing w:after="0" w:line="240" w:lineRule="auto"/>
    </w:pPr>
  </w:style>
  <w:style w:type="paragraph" w:styleId="Sidefod">
    <w:name w:val="footer"/>
    <w:basedOn w:val="Standard"/>
    <w:pPr>
      <w:suppressLineNumbers/>
      <w:tabs>
        <w:tab w:val="center" w:pos="4819"/>
        <w:tab w:val="right" w:pos="9638"/>
      </w:tabs>
      <w:spacing w:after="0" w:line="240" w:lineRule="auto"/>
    </w:pPr>
  </w:style>
  <w:style w:type="paragraph" w:styleId="Titel">
    <w:name w:val="Title"/>
    <w:basedOn w:val="Standard"/>
    <w:next w:val="Undertitel"/>
    <w:pPr>
      <w:pBdr>
        <w:bottom w:val="single" w:sz="8" w:space="4" w:color="4F81BD"/>
      </w:pBdr>
      <w:spacing w:after="300" w:line="240" w:lineRule="auto"/>
    </w:pPr>
    <w:rPr>
      <w:rFonts w:ascii="Cambria" w:hAnsi="Cambria"/>
      <w:b/>
      <w:bCs/>
      <w:color w:val="17365D"/>
      <w:spacing w:val="5"/>
      <w:sz w:val="52"/>
      <w:szCs w:val="52"/>
    </w:rPr>
  </w:style>
  <w:style w:type="paragraph" w:styleId="Undertitel">
    <w:name w:val="Subtitle"/>
    <w:basedOn w:val="Heading"/>
    <w:next w:val="Textbody"/>
    <w:pPr>
      <w:jc w:val="center"/>
    </w:pPr>
    <w:rPr>
      <w:i/>
      <w:iCs/>
    </w:rPr>
  </w:style>
  <w:style w:type="character" w:styleId="Kommentarhenvisning">
    <w:name w:val="annotation reference"/>
    <w:basedOn w:val="Standardskrifttypeiafsnit"/>
    <w:rPr>
      <w:sz w:val="16"/>
      <w:szCs w:val="16"/>
    </w:rPr>
  </w:style>
  <w:style w:type="character" w:customStyle="1" w:styleId="KommentartekstTegn">
    <w:name w:val="Kommentartekst Tegn"/>
    <w:basedOn w:val="Standardskrifttypeiafsnit"/>
    <w:uiPriority w:val="99"/>
    <w:rPr>
      <w:rFonts w:ascii="Times New Roman" w:eastAsia="Times New Roman" w:hAnsi="Times New Roman" w:cs="Times New Roman"/>
      <w:sz w:val="20"/>
      <w:szCs w:val="20"/>
      <w:lang w:eastAsia="da-DK"/>
    </w:rPr>
  </w:style>
  <w:style w:type="character" w:customStyle="1" w:styleId="MarkeringsbobletekstTegn">
    <w:name w:val="Markeringsbobletekst Tegn"/>
    <w:basedOn w:val="Standardskrifttypeiafsnit"/>
    <w:rPr>
      <w:rFonts w:ascii="Tahoma" w:hAnsi="Tahoma" w:cs="Tahoma"/>
      <w:sz w:val="16"/>
      <w:szCs w:val="16"/>
    </w:rPr>
  </w:style>
  <w:style w:type="character" w:customStyle="1" w:styleId="KommentaremneTegn">
    <w:name w:val="Kommentaremne Tegn"/>
    <w:basedOn w:val="KommentartekstTegn"/>
    <w:rPr>
      <w:rFonts w:ascii="Times New Roman" w:eastAsia="Times New Roman" w:hAnsi="Times New Roman" w:cs="Times New Roman"/>
      <w:b/>
      <w:bCs/>
      <w:sz w:val="20"/>
      <w:szCs w:val="20"/>
      <w:lang w:eastAsia="da-DK"/>
    </w:rPr>
  </w:style>
  <w:style w:type="character" w:customStyle="1" w:styleId="st1">
    <w:name w:val="st1"/>
    <w:basedOn w:val="Standardskrifttypeiafsnit"/>
  </w:style>
  <w:style w:type="character" w:customStyle="1" w:styleId="SidehovedTegn">
    <w:name w:val="Sidehoved Tegn"/>
    <w:basedOn w:val="Standardskrifttypeiafsnit"/>
  </w:style>
  <w:style w:type="character" w:customStyle="1" w:styleId="SidefodTegn">
    <w:name w:val="Sidefod Tegn"/>
    <w:basedOn w:val="Standardskrifttypeiafsnit"/>
  </w:style>
  <w:style w:type="character" w:customStyle="1" w:styleId="TitelTegn">
    <w:name w:val="Titel Tegn"/>
    <w:basedOn w:val="Standardskrifttypeiafsnit"/>
    <w:rPr>
      <w:rFonts w:ascii="Cambria" w:hAnsi="Cambria" w:cs="F"/>
      <w:color w:val="17365D"/>
      <w:spacing w:val="5"/>
      <w:kern w:val="3"/>
      <w:sz w:val="52"/>
      <w:szCs w:val="52"/>
    </w:rPr>
  </w:style>
  <w:style w:type="character" w:customStyle="1" w:styleId="Overskrift2Tegn">
    <w:name w:val="Overskrift 2 Tegn"/>
    <w:basedOn w:val="Standardskrifttypeiafsnit"/>
    <w:rPr>
      <w:rFonts w:ascii="Cambria" w:eastAsia="Times New Roman" w:hAnsi="Cambria" w:cs="Times New Roman"/>
      <w:b/>
      <w:bCs/>
      <w:color w:val="4F81BD"/>
      <w:kern w:val="0"/>
      <w:sz w:val="26"/>
      <w:szCs w:val="26"/>
      <w:lang w:val="en-GB"/>
    </w:rPr>
  </w:style>
  <w:style w:type="paragraph" w:styleId="NormalWeb">
    <w:name w:val="Normal (Web)"/>
    <w:basedOn w:val="Normal"/>
    <w:pPr>
      <w:widowControl/>
      <w:suppressAutoHyphens w:val="0"/>
      <w:spacing w:before="100" w:after="100" w:line="240" w:lineRule="auto"/>
      <w:textAlignment w:val="auto"/>
    </w:pPr>
    <w:rPr>
      <w:rFonts w:ascii="Times New Roman" w:eastAsia="Times New Roman" w:hAnsi="Times New Roman" w:cs="Times New Roman"/>
      <w:kern w:val="0"/>
      <w:sz w:val="24"/>
      <w:szCs w:val="24"/>
      <w:lang w:eastAsia="da-DK"/>
    </w:rPr>
  </w:style>
  <w:style w:type="paragraph" w:styleId="Citat">
    <w:name w:val="Quote"/>
    <w:basedOn w:val="Normal"/>
    <w:next w:val="Normal"/>
    <w:pPr>
      <w:widowControl/>
      <w:suppressAutoHyphens w:val="0"/>
      <w:textAlignment w:val="auto"/>
    </w:pPr>
    <w:rPr>
      <w:rFonts w:eastAsia="Times New Roman" w:cs="Times New Roman"/>
      <w:i/>
      <w:iCs/>
      <w:color w:val="000000"/>
      <w:kern w:val="0"/>
      <w:lang w:eastAsia="da-DK"/>
    </w:rPr>
  </w:style>
  <w:style w:type="character" w:customStyle="1" w:styleId="CitatTegn">
    <w:name w:val="Citat Tegn"/>
    <w:basedOn w:val="Standardskrifttypeiafsnit"/>
    <w:rPr>
      <w:rFonts w:ascii="Calibri" w:eastAsia="Times New Roman" w:hAnsi="Calibri" w:cs="Times New Roman"/>
      <w:i/>
      <w:iCs/>
      <w:color w:val="000000"/>
      <w:kern w:val="0"/>
      <w:lang w:eastAsia="da-DK"/>
    </w:rPr>
  </w:style>
  <w:style w:type="paragraph" w:styleId="Listeafsnit">
    <w:name w:val="List Paragraph"/>
    <w:basedOn w:val="Normal"/>
    <w:uiPriority w:val="34"/>
    <w:qFormat/>
    <w:rsid w:val="00044FA1"/>
    <w:pPr>
      <w:widowControl/>
      <w:suppressAutoHyphens w:val="0"/>
      <w:autoSpaceDN/>
      <w:spacing w:before="200" w:line="240" w:lineRule="auto"/>
      <w:ind w:left="720"/>
      <w:contextualSpacing/>
      <w:textAlignment w:val="auto"/>
    </w:pPr>
    <w:rPr>
      <w:rFonts w:eastAsia="Times New Roman" w:cs="Times New Roman"/>
      <w:kern w:val="0"/>
      <w:lang w:val="en-BZ"/>
    </w:rPr>
  </w:style>
  <w:style w:type="character" w:customStyle="1" w:styleId="commentauthor">
    <w:name w:val="commentauthor"/>
    <w:basedOn w:val="Standardskrifttypeiafsnit"/>
    <w:rsid w:val="003649F4"/>
  </w:style>
  <w:style w:type="paragraph" w:customStyle="1" w:styleId="commentcontentpara">
    <w:name w:val="commentcontentpara"/>
    <w:basedOn w:val="Normal"/>
    <w:rsid w:val="003649F4"/>
    <w:pPr>
      <w:widowControl/>
      <w:suppressAutoHyphens w:val="0"/>
      <w:autoSpaceDN/>
      <w:spacing w:before="100" w:beforeAutospacing="1" w:after="100" w:afterAutospacing="1" w:line="240" w:lineRule="auto"/>
      <w:textAlignment w:val="auto"/>
    </w:pPr>
    <w:rPr>
      <w:rFonts w:ascii="Times" w:hAnsi="Time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8700">
      <w:bodyDiv w:val="1"/>
      <w:marLeft w:val="0"/>
      <w:marRight w:val="0"/>
      <w:marTop w:val="0"/>
      <w:marBottom w:val="0"/>
      <w:divBdr>
        <w:top w:val="none" w:sz="0" w:space="0" w:color="auto"/>
        <w:left w:val="none" w:sz="0" w:space="0" w:color="auto"/>
        <w:bottom w:val="none" w:sz="0" w:space="0" w:color="auto"/>
        <w:right w:val="none" w:sz="0" w:space="0" w:color="auto"/>
      </w:divBdr>
    </w:div>
    <w:div w:id="954023804">
      <w:bodyDiv w:val="1"/>
      <w:marLeft w:val="0"/>
      <w:marRight w:val="0"/>
      <w:marTop w:val="0"/>
      <w:marBottom w:val="0"/>
      <w:divBdr>
        <w:top w:val="none" w:sz="0" w:space="0" w:color="auto"/>
        <w:left w:val="none" w:sz="0" w:space="0" w:color="auto"/>
        <w:bottom w:val="none" w:sz="0" w:space="0" w:color="auto"/>
        <w:right w:val="none" w:sz="0" w:space="0" w:color="auto"/>
      </w:divBdr>
    </w:div>
    <w:div w:id="1556620100">
      <w:bodyDiv w:val="1"/>
      <w:marLeft w:val="0"/>
      <w:marRight w:val="0"/>
      <w:marTop w:val="0"/>
      <w:marBottom w:val="0"/>
      <w:divBdr>
        <w:top w:val="none" w:sz="0" w:space="0" w:color="auto"/>
        <w:left w:val="none" w:sz="0" w:space="0" w:color="auto"/>
        <w:bottom w:val="none" w:sz="0" w:space="0" w:color="auto"/>
        <w:right w:val="none" w:sz="0" w:space="0" w:color="auto"/>
      </w:divBdr>
    </w:div>
    <w:div w:id="1578512905">
      <w:bodyDiv w:val="1"/>
      <w:marLeft w:val="0"/>
      <w:marRight w:val="0"/>
      <w:marTop w:val="0"/>
      <w:marBottom w:val="0"/>
      <w:divBdr>
        <w:top w:val="none" w:sz="0" w:space="0" w:color="auto"/>
        <w:left w:val="none" w:sz="0" w:space="0" w:color="auto"/>
        <w:bottom w:val="none" w:sz="0" w:space="0" w:color="auto"/>
        <w:right w:val="none" w:sz="0" w:space="0" w:color="auto"/>
      </w:divBdr>
    </w:div>
    <w:div w:id="1701513908">
      <w:bodyDiv w:val="1"/>
      <w:marLeft w:val="0"/>
      <w:marRight w:val="0"/>
      <w:marTop w:val="0"/>
      <w:marBottom w:val="0"/>
      <w:divBdr>
        <w:top w:val="none" w:sz="0" w:space="0" w:color="auto"/>
        <w:left w:val="none" w:sz="0" w:space="0" w:color="auto"/>
        <w:bottom w:val="none" w:sz="0" w:space="0" w:color="auto"/>
        <w:right w:val="none" w:sz="0" w:space="0" w:color="auto"/>
      </w:divBdr>
    </w:div>
    <w:div w:id="1708796272">
      <w:bodyDiv w:val="1"/>
      <w:marLeft w:val="0"/>
      <w:marRight w:val="0"/>
      <w:marTop w:val="0"/>
      <w:marBottom w:val="0"/>
      <w:divBdr>
        <w:top w:val="none" w:sz="0" w:space="0" w:color="auto"/>
        <w:left w:val="none" w:sz="0" w:space="0" w:color="auto"/>
        <w:bottom w:val="none" w:sz="0" w:space="0" w:color="auto"/>
        <w:right w:val="none" w:sz="0" w:space="0" w:color="auto"/>
      </w:divBdr>
      <w:divsChild>
        <w:div w:id="447354207">
          <w:marLeft w:val="0"/>
          <w:marRight w:val="30"/>
          <w:marTop w:val="0"/>
          <w:marBottom w:val="0"/>
          <w:divBdr>
            <w:top w:val="none" w:sz="0" w:space="0" w:color="auto"/>
            <w:left w:val="none" w:sz="0" w:space="0" w:color="auto"/>
            <w:bottom w:val="none" w:sz="0" w:space="0" w:color="auto"/>
            <w:right w:val="none" w:sz="0" w:space="0" w:color="auto"/>
          </w:divBdr>
        </w:div>
        <w:div w:id="1923641381">
          <w:marLeft w:val="0"/>
          <w:marRight w:val="0"/>
          <w:marTop w:val="0"/>
          <w:marBottom w:val="0"/>
          <w:divBdr>
            <w:top w:val="none" w:sz="0" w:space="0" w:color="auto"/>
            <w:left w:val="none" w:sz="0" w:space="0" w:color="auto"/>
            <w:bottom w:val="none" w:sz="0" w:space="0" w:color="auto"/>
            <w:right w:val="none" w:sz="0" w:space="0" w:color="auto"/>
          </w:divBdr>
        </w:div>
      </w:divsChild>
    </w:div>
    <w:div w:id="1717075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0.emf"/><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RGHNAS01.regionh.top.local\Home-S\SWUL0004\IBZM%20data\d134a_IBZM%2003.09.201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GHNAS01.regionh.top.local\Home-S\SWUL0004\IBZM%20data\d134c_IBZM%2029.10.201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GHNAS01.regionh.top.local\Home-S\SWUL0004\IBZM%20data\d231_IBZM%2020.07.20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7815972984888"/>
          <c:y val="6.9705185082399201E-2"/>
          <c:w val="0.63106895837909327"/>
          <c:h val="0.74530928665026841"/>
        </c:manualLayout>
      </c:layout>
      <c:lineChart>
        <c:grouping val="standard"/>
        <c:varyColors val="0"/>
        <c:ser>
          <c:idx val="2"/>
          <c:order val="0"/>
          <c:tx>
            <c:strRef>
              <c:f>IBZM!$C$31</c:f>
              <c:strCache>
                <c:ptCount val="1"/>
                <c:pt idx="0">
                  <c:v>Tracer</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IBZM!$A$32:$A$39</c:f>
              <c:numCache>
                <c:formatCode>General</c:formatCode>
                <c:ptCount val="8"/>
                <c:pt idx="0">
                  <c:v>0</c:v>
                </c:pt>
                <c:pt idx="1">
                  <c:v>10</c:v>
                </c:pt>
                <c:pt idx="2">
                  <c:v>20</c:v>
                </c:pt>
                <c:pt idx="3">
                  <c:v>30</c:v>
                </c:pt>
                <c:pt idx="4">
                  <c:v>40</c:v>
                </c:pt>
                <c:pt idx="5">
                  <c:v>50</c:v>
                </c:pt>
                <c:pt idx="6">
                  <c:v>60</c:v>
                </c:pt>
                <c:pt idx="7">
                  <c:v>70</c:v>
                </c:pt>
              </c:numCache>
            </c:numRef>
          </c:cat>
          <c:val>
            <c:numRef>
              <c:f>IBZM!$C$32:$C$39</c:f>
              <c:numCache>
                <c:formatCode>General</c:formatCode>
                <c:ptCount val="8"/>
                <c:pt idx="0">
                  <c:v>27.98</c:v>
                </c:pt>
                <c:pt idx="1">
                  <c:v>27.98</c:v>
                </c:pt>
                <c:pt idx="2">
                  <c:v>31.41</c:v>
                </c:pt>
                <c:pt idx="3">
                  <c:v>30.63</c:v>
                </c:pt>
                <c:pt idx="4">
                  <c:v>32.65</c:v>
                </c:pt>
                <c:pt idx="5">
                  <c:v>27.06</c:v>
                </c:pt>
                <c:pt idx="6">
                  <c:v>32.75</c:v>
                </c:pt>
                <c:pt idx="7">
                  <c:v>32.049999999999997</c:v>
                </c:pt>
              </c:numCache>
            </c:numRef>
          </c:val>
          <c:smooth val="0"/>
          <c:extLst>
            <c:ext xmlns:c16="http://schemas.microsoft.com/office/drawing/2014/chart" uri="{C3380CC4-5D6E-409C-BE32-E72D297353CC}">
              <c16:uniqueId val="{00000000-E849-42FA-8C3C-10EB5DF918B0}"/>
            </c:ext>
          </c:extLst>
        </c:ser>
        <c:ser>
          <c:idx val="0"/>
          <c:order val="1"/>
          <c:tx>
            <c:strRef>
              <c:f>IBZM!$B$31</c:f>
              <c:strCache>
                <c:ptCount val="1"/>
                <c:pt idx="0">
                  <c:v>Polar metabolites</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IBZM!$B$32:$B$39</c:f>
              <c:numCache>
                <c:formatCode>General</c:formatCode>
                <c:ptCount val="8"/>
                <c:pt idx="0">
                  <c:v>72.02</c:v>
                </c:pt>
                <c:pt idx="1">
                  <c:v>72.02</c:v>
                </c:pt>
                <c:pt idx="2">
                  <c:v>68.59</c:v>
                </c:pt>
                <c:pt idx="3">
                  <c:v>69.37</c:v>
                </c:pt>
                <c:pt idx="4">
                  <c:v>67.349999999999994</c:v>
                </c:pt>
                <c:pt idx="5">
                  <c:v>72.94</c:v>
                </c:pt>
                <c:pt idx="6">
                  <c:v>67.25</c:v>
                </c:pt>
                <c:pt idx="7">
                  <c:v>67.95</c:v>
                </c:pt>
              </c:numCache>
            </c:numRef>
          </c:val>
          <c:smooth val="0"/>
          <c:extLst>
            <c:ext xmlns:c16="http://schemas.microsoft.com/office/drawing/2014/chart" uri="{C3380CC4-5D6E-409C-BE32-E72D297353CC}">
              <c16:uniqueId val="{00000001-E849-42FA-8C3C-10EB5DF918B0}"/>
            </c:ext>
          </c:extLst>
        </c:ser>
        <c:dLbls>
          <c:showLegendKey val="0"/>
          <c:showVal val="0"/>
          <c:showCatName val="0"/>
          <c:showSerName val="0"/>
          <c:showPercent val="0"/>
          <c:showBubbleSize val="0"/>
        </c:dLbls>
        <c:marker val="1"/>
        <c:smooth val="0"/>
        <c:axId val="305571544"/>
        <c:axId val="1"/>
      </c:lineChart>
      <c:catAx>
        <c:axId val="305571544"/>
        <c:scaling>
          <c:orientation val="minMax"/>
        </c:scaling>
        <c:delete val="0"/>
        <c:axPos val="b"/>
        <c:title>
          <c:tx>
            <c:rich>
              <a:bodyPr/>
              <a:lstStyle/>
              <a:p>
                <a:pPr>
                  <a:defRPr sz="950" b="1" i="0" u="none" strike="noStrike" baseline="0">
                    <a:solidFill>
                      <a:srgbClr val="000000"/>
                    </a:solidFill>
                    <a:latin typeface="Arial"/>
                    <a:ea typeface="Arial"/>
                    <a:cs typeface="Arial"/>
                  </a:defRPr>
                </a:pPr>
                <a:r>
                  <a:rPr lang="da-DK"/>
                  <a:t>Time after scan start (min)</a:t>
                </a:r>
              </a:p>
            </c:rich>
          </c:tx>
          <c:layout>
            <c:manualLayout>
              <c:xMode val="edge"/>
              <c:yMode val="edge"/>
              <c:x val="0.28479015365797722"/>
              <c:y val="0.898124450261411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da-DK"/>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da-DK"/>
                  <a:t>kBq/ml</a:t>
                </a:r>
              </a:p>
            </c:rich>
          </c:tx>
          <c:layout>
            <c:manualLayout>
              <c:xMode val="edge"/>
              <c:yMode val="edge"/>
              <c:x val="2.5889967637540454E-2"/>
              <c:y val="0.378016648723199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da-DK"/>
          </a:p>
        </c:txPr>
        <c:crossAx val="305571544"/>
        <c:crosses val="autoZero"/>
        <c:crossBetween val="between"/>
      </c:valAx>
      <c:spPr>
        <a:solidFill>
          <a:srgbClr val="C0C0C0"/>
        </a:solidFill>
        <a:ln w="12700">
          <a:solidFill>
            <a:srgbClr val="808080"/>
          </a:solidFill>
          <a:prstDash val="solid"/>
        </a:ln>
      </c:spPr>
    </c:plotArea>
    <c:legend>
      <c:legendPos val="r"/>
      <c:layout>
        <c:manualLayout>
          <c:xMode val="edge"/>
          <c:yMode val="edge"/>
          <c:x val="0.75404649661510759"/>
          <c:y val="0.38605954416555838"/>
          <c:w val="0.17637574429409919"/>
          <c:h val="0.50402201065349406"/>
        </c:manualLayout>
      </c:layout>
      <c:overlay val="0"/>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7815972984888"/>
          <c:y val="6.9705185082399201E-2"/>
          <c:w val="0.63106895837909327"/>
          <c:h val="0.74530928665026841"/>
        </c:manualLayout>
      </c:layout>
      <c:lineChart>
        <c:grouping val="standard"/>
        <c:varyColors val="0"/>
        <c:ser>
          <c:idx val="2"/>
          <c:order val="0"/>
          <c:tx>
            <c:strRef>
              <c:f>IBZM!$C$31</c:f>
              <c:strCache>
                <c:ptCount val="1"/>
                <c:pt idx="0">
                  <c:v>Tracer</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IBZM!$A$32:$A$39</c:f>
              <c:numCache>
                <c:formatCode>General</c:formatCode>
                <c:ptCount val="8"/>
                <c:pt idx="0">
                  <c:v>0</c:v>
                </c:pt>
                <c:pt idx="1">
                  <c:v>10</c:v>
                </c:pt>
                <c:pt idx="2">
                  <c:v>20</c:v>
                </c:pt>
                <c:pt idx="3">
                  <c:v>30</c:v>
                </c:pt>
                <c:pt idx="4">
                  <c:v>40</c:v>
                </c:pt>
                <c:pt idx="5">
                  <c:v>50</c:v>
                </c:pt>
                <c:pt idx="6">
                  <c:v>60</c:v>
                </c:pt>
                <c:pt idx="7">
                  <c:v>70</c:v>
                </c:pt>
              </c:numCache>
            </c:numRef>
          </c:cat>
          <c:val>
            <c:numRef>
              <c:f>IBZM!$C$32:$C$39</c:f>
              <c:numCache>
                <c:formatCode>General</c:formatCode>
                <c:ptCount val="8"/>
                <c:pt idx="0">
                  <c:v>33.450000000000003</c:v>
                </c:pt>
                <c:pt idx="1">
                  <c:v>32.049999999999997</c:v>
                </c:pt>
                <c:pt idx="2">
                  <c:v>40.01</c:v>
                </c:pt>
                <c:pt idx="3">
                  <c:v>36.76</c:v>
                </c:pt>
                <c:pt idx="4">
                  <c:v>36.14</c:v>
                </c:pt>
                <c:pt idx="5">
                  <c:v>33.729999999999997</c:v>
                </c:pt>
                <c:pt idx="6">
                  <c:v>30.78</c:v>
                </c:pt>
                <c:pt idx="7" formatCode="0.0">
                  <c:v>34.702857142857134</c:v>
                </c:pt>
              </c:numCache>
            </c:numRef>
          </c:val>
          <c:smooth val="0"/>
          <c:extLst>
            <c:ext xmlns:c16="http://schemas.microsoft.com/office/drawing/2014/chart" uri="{C3380CC4-5D6E-409C-BE32-E72D297353CC}">
              <c16:uniqueId val="{00000000-7690-446E-8264-8FA1E2949F51}"/>
            </c:ext>
          </c:extLst>
        </c:ser>
        <c:ser>
          <c:idx val="0"/>
          <c:order val="1"/>
          <c:tx>
            <c:strRef>
              <c:f>IBZM!$B$31</c:f>
              <c:strCache>
                <c:ptCount val="1"/>
                <c:pt idx="0">
                  <c:v>Polar metabolites</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IBZM!$B$32:$B$39</c:f>
              <c:numCache>
                <c:formatCode>General</c:formatCode>
                <c:ptCount val="8"/>
                <c:pt idx="0">
                  <c:v>66.55</c:v>
                </c:pt>
                <c:pt idx="1">
                  <c:v>67.95</c:v>
                </c:pt>
                <c:pt idx="2">
                  <c:v>59.99</c:v>
                </c:pt>
                <c:pt idx="3">
                  <c:v>63.24</c:v>
                </c:pt>
                <c:pt idx="4">
                  <c:v>63.86</c:v>
                </c:pt>
                <c:pt idx="5">
                  <c:v>66.27</c:v>
                </c:pt>
                <c:pt idx="6">
                  <c:v>69.22</c:v>
                </c:pt>
              </c:numCache>
            </c:numRef>
          </c:val>
          <c:smooth val="0"/>
          <c:extLst>
            <c:ext xmlns:c16="http://schemas.microsoft.com/office/drawing/2014/chart" uri="{C3380CC4-5D6E-409C-BE32-E72D297353CC}">
              <c16:uniqueId val="{00000001-7690-446E-8264-8FA1E2949F51}"/>
            </c:ext>
          </c:extLst>
        </c:ser>
        <c:dLbls>
          <c:showLegendKey val="0"/>
          <c:showVal val="0"/>
          <c:showCatName val="0"/>
          <c:showSerName val="0"/>
          <c:showPercent val="0"/>
          <c:showBubbleSize val="0"/>
        </c:dLbls>
        <c:marker val="1"/>
        <c:smooth val="0"/>
        <c:axId val="434595240"/>
        <c:axId val="1"/>
      </c:lineChart>
      <c:catAx>
        <c:axId val="434595240"/>
        <c:scaling>
          <c:orientation val="minMax"/>
        </c:scaling>
        <c:delete val="0"/>
        <c:axPos val="b"/>
        <c:title>
          <c:tx>
            <c:rich>
              <a:bodyPr/>
              <a:lstStyle/>
              <a:p>
                <a:pPr>
                  <a:defRPr sz="950" b="1" i="0" u="none" strike="noStrike" baseline="0">
                    <a:solidFill>
                      <a:srgbClr val="000000"/>
                    </a:solidFill>
                    <a:latin typeface="Arial"/>
                    <a:ea typeface="Arial"/>
                    <a:cs typeface="Arial"/>
                  </a:defRPr>
                </a:pPr>
                <a:r>
                  <a:rPr lang="da-DK"/>
                  <a:t>Time after scan start (min)</a:t>
                </a:r>
              </a:p>
            </c:rich>
          </c:tx>
          <c:layout>
            <c:manualLayout>
              <c:xMode val="edge"/>
              <c:yMode val="edge"/>
              <c:x val="0.28479015365797722"/>
              <c:y val="0.898124450261411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da-DK"/>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da-DK"/>
                  <a:t>kBq/ml</a:t>
                </a:r>
              </a:p>
            </c:rich>
          </c:tx>
          <c:layout>
            <c:manualLayout>
              <c:xMode val="edge"/>
              <c:yMode val="edge"/>
              <c:x val="2.5889967637540454E-2"/>
              <c:y val="0.378016648723199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da-DK"/>
          </a:p>
        </c:txPr>
        <c:crossAx val="434595240"/>
        <c:crosses val="autoZero"/>
        <c:crossBetween val="between"/>
      </c:valAx>
      <c:spPr>
        <a:solidFill>
          <a:srgbClr val="C0C0C0"/>
        </a:solidFill>
        <a:ln w="12700">
          <a:solidFill>
            <a:srgbClr val="808080"/>
          </a:solidFill>
          <a:prstDash val="solid"/>
        </a:ln>
      </c:spPr>
    </c:plotArea>
    <c:legend>
      <c:legendPos val="r"/>
      <c:layout>
        <c:manualLayout>
          <c:xMode val="edge"/>
          <c:yMode val="edge"/>
          <c:x val="0.75404649661510759"/>
          <c:y val="0.38605954416555838"/>
          <c:w val="0.17637574429409919"/>
          <c:h val="0.50402201065349406"/>
        </c:manualLayout>
      </c:layout>
      <c:overlay val="0"/>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da-D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7815972984888"/>
          <c:y val="6.9705185082399201E-2"/>
          <c:w val="0.63106895837909327"/>
          <c:h val="0.74530928665026841"/>
        </c:manualLayout>
      </c:layout>
      <c:lineChart>
        <c:grouping val="standard"/>
        <c:varyColors val="0"/>
        <c:ser>
          <c:idx val="2"/>
          <c:order val="0"/>
          <c:tx>
            <c:strRef>
              <c:f>IBZM!$C$31</c:f>
              <c:strCache>
                <c:ptCount val="1"/>
                <c:pt idx="0">
                  <c:v>Tracer</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IBZM!$A$32:$A$39</c:f>
              <c:numCache>
                <c:formatCode>General</c:formatCode>
                <c:ptCount val="8"/>
                <c:pt idx="0">
                  <c:v>0</c:v>
                </c:pt>
                <c:pt idx="1">
                  <c:v>10</c:v>
                </c:pt>
                <c:pt idx="2">
                  <c:v>20</c:v>
                </c:pt>
                <c:pt idx="3">
                  <c:v>30</c:v>
                </c:pt>
                <c:pt idx="4">
                  <c:v>40</c:v>
                </c:pt>
                <c:pt idx="5">
                  <c:v>50</c:v>
                </c:pt>
                <c:pt idx="6">
                  <c:v>60</c:v>
                </c:pt>
                <c:pt idx="7">
                  <c:v>70</c:v>
                </c:pt>
              </c:numCache>
            </c:numRef>
          </c:cat>
          <c:val>
            <c:numRef>
              <c:f>IBZM!$C$32:$C$39</c:f>
              <c:numCache>
                <c:formatCode>General</c:formatCode>
                <c:ptCount val="8"/>
                <c:pt idx="0">
                  <c:v>24.78</c:v>
                </c:pt>
                <c:pt idx="1">
                  <c:v>21.89</c:v>
                </c:pt>
                <c:pt idx="2">
                  <c:v>23.11</c:v>
                </c:pt>
                <c:pt idx="3">
                  <c:v>22.75</c:v>
                </c:pt>
                <c:pt idx="4">
                  <c:v>24.9</c:v>
                </c:pt>
                <c:pt idx="5">
                  <c:v>25.43</c:v>
                </c:pt>
                <c:pt idx="6">
                  <c:v>24.98</c:v>
                </c:pt>
                <c:pt idx="7" formatCode="0.0">
                  <c:v>23.977142857142859</c:v>
                </c:pt>
              </c:numCache>
            </c:numRef>
          </c:val>
          <c:smooth val="0"/>
          <c:extLst>
            <c:ext xmlns:c16="http://schemas.microsoft.com/office/drawing/2014/chart" uri="{C3380CC4-5D6E-409C-BE32-E72D297353CC}">
              <c16:uniqueId val="{00000000-9296-47F2-956F-C2E0391BE975}"/>
            </c:ext>
          </c:extLst>
        </c:ser>
        <c:ser>
          <c:idx val="0"/>
          <c:order val="1"/>
          <c:tx>
            <c:strRef>
              <c:f>IBZM!$B$31</c:f>
              <c:strCache>
                <c:ptCount val="1"/>
                <c:pt idx="0">
                  <c:v>Polar metabolites</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IBZM!$B$32:$B$39</c:f>
              <c:numCache>
                <c:formatCode>General</c:formatCode>
                <c:ptCount val="8"/>
                <c:pt idx="0">
                  <c:v>75.22</c:v>
                </c:pt>
                <c:pt idx="1">
                  <c:v>78.11</c:v>
                </c:pt>
                <c:pt idx="2">
                  <c:v>76.89</c:v>
                </c:pt>
                <c:pt idx="3">
                  <c:v>77.25</c:v>
                </c:pt>
                <c:pt idx="4">
                  <c:v>75.099999999999994</c:v>
                </c:pt>
                <c:pt idx="5">
                  <c:v>74.569999999999993</c:v>
                </c:pt>
                <c:pt idx="6">
                  <c:v>75.02</c:v>
                </c:pt>
              </c:numCache>
            </c:numRef>
          </c:val>
          <c:smooth val="0"/>
          <c:extLst>
            <c:ext xmlns:c16="http://schemas.microsoft.com/office/drawing/2014/chart" uri="{C3380CC4-5D6E-409C-BE32-E72D297353CC}">
              <c16:uniqueId val="{00000001-9296-47F2-956F-C2E0391BE975}"/>
            </c:ext>
          </c:extLst>
        </c:ser>
        <c:dLbls>
          <c:showLegendKey val="0"/>
          <c:showVal val="0"/>
          <c:showCatName val="0"/>
          <c:showSerName val="0"/>
          <c:showPercent val="0"/>
          <c:showBubbleSize val="0"/>
        </c:dLbls>
        <c:marker val="1"/>
        <c:smooth val="0"/>
        <c:axId val="442228840"/>
        <c:axId val="1"/>
      </c:lineChart>
      <c:catAx>
        <c:axId val="442228840"/>
        <c:scaling>
          <c:orientation val="minMax"/>
        </c:scaling>
        <c:delete val="0"/>
        <c:axPos val="b"/>
        <c:title>
          <c:tx>
            <c:rich>
              <a:bodyPr/>
              <a:lstStyle/>
              <a:p>
                <a:pPr>
                  <a:defRPr sz="950" b="1" i="0" u="none" strike="noStrike" baseline="0">
                    <a:solidFill>
                      <a:srgbClr val="000000"/>
                    </a:solidFill>
                    <a:latin typeface="Arial"/>
                    <a:ea typeface="Arial"/>
                    <a:cs typeface="Arial"/>
                  </a:defRPr>
                </a:pPr>
                <a:r>
                  <a:rPr lang="da-DK"/>
                  <a:t>Time after scan start (min)</a:t>
                </a:r>
              </a:p>
            </c:rich>
          </c:tx>
          <c:layout>
            <c:manualLayout>
              <c:xMode val="edge"/>
              <c:yMode val="edge"/>
              <c:x val="0.28479015365797722"/>
              <c:y val="0.898124450261411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da-DK"/>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da-DK"/>
                  <a:t>kBq/ml</a:t>
                </a:r>
              </a:p>
            </c:rich>
          </c:tx>
          <c:layout>
            <c:manualLayout>
              <c:xMode val="edge"/>
              <c:yMode val="edge"/>
              <c:x val="2.5889967637540454E-2"/>
              <c:y val="0.378016648723199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da-DK"/>
          </a:p>
        </c:txPr>
        <c:crossAx val="442228840"/>
        <c:crosses val="autoZero"/>
        <c:crossBetween val="between"/>
      </c:valAx>
      <c:spPr>
        <a:solidFill>
          <a:srgbClr val="C0C0C0"/>
        </a:solidFill>
        <a:ln w="12700">
          <a:solidFill>
            <a:srgbClr val="808080"/>
          </a:solidFill>
          <a:prstDash val="solid"/>
        </a:ln>
      </c:spPr>
    </c:plotArea>
    <c:legend>
      <c:legendPos val="r"/>
      <c:layout>
        <c:manualLayout>
          <c:xMode val="edge"/>
          <c:yMode val="edge"/>
          <c:x val="0.75404649661510759"/>
          <c:y val="0.38605954416555838"/>
          <c:w val="0.17637574429409919"/>
          <c:h val="0.50402201065349406"/>
        </c:manualLayout>
      </c:layout>
      <c:overlay val="0"/>
      <c:spPr>
        <a:solidFill>
          <a:srgbClr val="FFFFFF"/>
        </a:solidFill>
        <a:ln w="3175">
          <a:solidFill>
            <a:srgbClr val="000000"/>
          </a:solidFill>
          <a:prstDash val="solid"/>
        </a:ln>
      </c:spPr>
      <c:txPr>
        <a:bodyPr/>
        <a:lstStyle/>
        <a:p>
          <a:pPr>
            <a:defRPr sz="870"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da-DK"/>
    </a:p>
  </c:txPr>
  <c:externalData r:id="rId1">
    <c:autoUpdate val="0"/>
  </c:externalData>
</c:chartSpac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10818</Words>
  <Characters>65994</Characters>
  <Application>Microsoft Office Word</Application>
  <DocSecurity>0</DocSecurity>
  <Lines>549</Lines>
  <Paragraphs>153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Region Sjælland</Company>
  <LinksUpToDate>false</LinksUpToDate>
  <CharactersWithSpaces>76659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Sanne Wulff</dc:creator>
  <cp:lastModifiedBy>Mette Ødegaard Nielsen</cp:lastModifiedBy>
  <cp:revision>2</cp:revision>
  <dcterms:created xsi:type="dcterms:W3CDTF">2018-12-12T22:20:00Z</dcterms:created>
  <dcterms:modified xsi:type="dcterms:W3CDTF">2018-12-12T22:20:00Z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Region Hovedstaden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Document_1">
    <vt:lpwstr>True</vt:lpwstr>
  </property>
  <property fmtid="{D5CDD505-2E9C-101B-9397-08002B2CF9AE}" pid="10" name="Mendeley Unique User Id_1">
    <vt:lpwstr>192b57ee-4754-33a4-931d-172f7cfe8358</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http://www.zotero.org/styles/apa</vt:lpwstr>
  </property>
  <property fmtid="{D5CDD505-2E9C-101B-9397-08002B2CF9AE}" pid="14" name="Mendeley Recent Style Name 1_1">
    <vt:lpwstr>American Psychological Association 6th edition</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vt:lpwstr>
  </property>
  <property fmtid="{D5CDD505-2E9C-101B-9397-08002B2CF9AE}" pid="17" name="Mendeley Recent Style Id 3_1">
    <vt:lpwstr>http://www.zotero.org/styles/biological-psychiatry</vt:lpwstr>
  </property>
  <property fmtid="{D5CDD505-2E9C-101B-9397-08002B2CF9AE}" pid="18" name="Mendeley Recent Style Name 3_1">
    <vt:lpwstr>Biological Psychiatry</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17th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(deprecated)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8th edition</vt:lpwstr>
  </property>
  <property fmtid="{D5CDD505-2E9C-101B-9397-08002B2CF9AE}" pid="29" name="Mendeley Recent Style Id 9_1">
    <vt:lpwstr>http://www.zotero.org/styles/psychological-medicine</vt:lpwstr>
  </property>
  <property fmtid="{D5CDD505-2E9C-101B-9397-08002B2CF9AE}" pid="30" name="Mendeley Recent Style Name 9_1">
    <vt:lpwstr>Psychological Medicine</vt:lpwstr>
  </property>
  <property fmtid="{D5CDD505-2E9C-101B-9397-08002B2CF9AE}" pid="31" name="Mendeley Citation Style_1">
    <vt:lpwstr>http://www.zotero.org/styles/psychological-medicine</vt:lpwstr>
  </property>
</Properties>
</file>