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4F" w:rsidRPr="00FA1713" w:rsidRDefault="003F2D4F" w:rsidP="003F2D4F">
      <w:pPr>
        <w:pStyle w:val="Heading1"/>
        <w:spacing w:after="240" w:line="480" w:lineRule="auto"/>
        <w:rPr>
          <w:szCs w:val="24"/>
        </w:rPr>
      </w:pPr>
      <w:r w:rsidRPr="00FA1713">
        <w:rPr>
          <w:szCs w:val="24"/>
        </w:rPr>
        <w:t>Prefrontal glutamate levels predict altered amygdala – prefrontal connectivity in traumatized youths</w:t>
      </w:r>
    </w:p>
    <w:p w:rsidR="009E2049" w:rsidRPr="00FA1713" w:rsidRDefault="00FD61BE" w:rsidP="00050FA3">
      <w:pPr>
        <w:pStyle w:val="Heading1"/>
        <w:ind w:left="2160" w:firstLine="720"/>
        <w:rPr>
          <w:sz w:val="28"/>
        </w:rPr>
      </w:pPr>
      <w:r w:rsidRPr="00FA1713">
        <w:rPr>
          <w:sz w:val="28"/>
        </w:rPr>
        <w:t>Supplemental</w:t>
      </w:r>
      <w:r w:rsidR="009E2049" w:rsidRPr="00FA1713">
        <w:rPr>
          <w:sz w:val="28"/>
        </w:rPr>
        <w:t xml:space="preserve"> </w:t>
      </w:r>
      <w:r w:rsidRPr="00FA1713">
        <w:rPr>
          <w:sz w:val="28"/>
        </w:rPr>
        <w:t>Information</w:t>
      </w:r>
    </w:p>
    <w:p w:rsidR="009E2049" w:rsidRPr="00FA1713" w:rsidRDefault="009E2049" w:rsidP="009E2049">
      <w:pPr>
        <w:rPr>
          <w:b/>
        </w:rPr>
      </w:pPr>
    </w:p>
    <w:p w:rsidR="009E2049" w:rsidRPr="00FA1713" w:rsidRDefault="009E2049" w:rsidP="00050FA3">
      <w:pPr>
        <w:pStyle w:val="Heading2"/>
        <w:rPr>
          <w:rFonts w:ascii="Times New Roman" w:hAnsi="Times New Roman" w:cs="Times New Roman"/>
          <w:color w:val="auto"/>
          <w:sz w:val="28"/>
        </w:rPr>
      </w:pPr>
      <w:r w:rsidRPr="00FA1713">
        <w:rPr>
          <w:rFonts w:ascii="Times New Roman" w:hAnsi="Times New Roman" w:cs="Times New Roman"/>
          <w:color w:val="auto"/>
          <w:sz w:val="28"/>
        </w:rPr>
        <w:t>Supplementary Method</w:t>
      </w:r>
    </w:p>
    <w:p w:rsidR="00727B80" w:rsidRPr="00FA1713" w:rsidRDefault="009E2049" w:rsidP="00050FA3">
      <w:pPr>
        <w:pStyle w:val="Heading3"/>
        <w:rPr>
          <w:rFonts w:ascii="Times New Roman" w:hAnsi="Times New Roman" w:cs="Times New Roman"/>
          <w:color w:val="auto"/>
          <w:sz w:val="24"/>
        </w:rPr>
      </w:pPr>
      <w:r w:rsidRPr="00FA1713">
        <w:rPr>
          <w:rFonts w:ascii="Times New Roman" w:hAnsi="Times New Roman" w:cs="Times New Roman"/>
          <w:color w:val="auto"/>
          <w:sz w:val="24"/>
        </w:rPr>
        <w:t xml:space="preserve">MR image acquisition parameters </w:t>
      </w:r>
    </w:p>
    <w:p w:rsidR="009E2049" w:rsidRPr="00FA1713" w:rsidRDefault="00727B80" w:rsidP="006A0907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A1713">
        <w:rPr>
          <w:rFonts w:ascii="Times New Roman" w:hAnsi="Times New Roman"/>
          <w:color w:val="000000"/>
          <w:sz w:val="24"/>
          <w:szCs w:val="24"/>
        </w:rPr>
        <w:t xml:space="preserve">Whole-brain, T2*-weighted, echo-planar (EPI) images (TR= 2000 ms, TE= 25 ms, Flip angle 90º, 260 mm x 260 mm field of view, 64 x 64 matrix) were acquired using a </w:t>
      </w:r>
      <w:r w:rsidRPr="00FA1713">
        <w:rPr>
          <w:rFonts w:ascii="Times New Roman" w:hAnsi="Times New Roman"/>
          <w:sz w:val="24"/>
          <w:szCs w:val="24"/>
        </w:rPr>
        <w:t>GE Signa HDx 3T MR</w:t>
      </w:r>
      <w:r w:rsidRPr="00FA1713">
        <w:rPr>
          <w:rFonts w:ascii="Times New Roman" w:hAnsi="Times New Roman"/>
          <w:color w:val="000000"/>
          <w:sz w:val="24"/>
          <w:szCs w:val="24"/>
        </w:rPr>
        <w:t xml:space="preserve"> scanner (General Electric Company; Milwaukee, WI, USA) supplied with a standard eight-channel head coil. A total of 160 volumes were acquired in addition to 5 </w:t>
      </w:r>
      <w:proofErr w:type="gramStart"/>
      <w:r w:rsidRPr="00FA1713">
        <w:rPr>
          <w:rFonts w:ascii="Times New Roman" w:hAnsi="Times New Roman"/>
          <w:color w:val="000000"/>
          <w:sz w:val="24"/>
          <w:szCs w:val="24"/>
        </w:rPr>
        <w:t>dummy</w:t>
      </w:r>
      <w:proofErr w:type="gramEnd"/>
      <w:r w:rsidRPr="00FA1713">
        <w:rPr>
          <w:rFonts w:ascii="Times New Roman" w:hAnsi="Times New Roman"/>
          <w:color w:val="000000"/>
          <w:sz w:val="24"/>
          <w:szCs w:val="24"/>
        </w:rPr>
        <w:t xml:space="preserve"> volumes which were discarded, to allow for magnetization equilibrium. Each volume consisted of 36 slices acquired parallel to the AC-PC plane (interleaved acquisition; 3.5 mm thick with a 0.5 mm gap). Participants were instructed to relax with their eyes closed. </w:t>
      </w:r>
    </w:p>
    <w:p w:rsidR="00577FAE" w:rsidRPr="00FA1713" w:rsidRDefault="00727B80" w:rsidP="009E2049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A1713">
        <w:rPr>
          <w:rFonts w:ascii="Times New Roman" w:hAnsi="Times New Roman"/>
          <w:color w:val="000000"/>
          <w:sz w:val="24"/>
          <w:szCs w:val="24"/>
        </w:rPr>
        <w:t xml:space="preserve">For anatomical comparison purposes, FSPGR T1-weighted anatomical images </w:t>
      </w:r>
      <w:r w:rsidRPr="00FA1713">
        <w:rPr>
          <w:rFonts w:ascii="Times New Roman" w:hAnsi="Times New Roman"/>
          <w:sz w:val="24"/>
          <w:szCs w:val="24"/>
        </w:rPr>
        <w:t xml:space="preserve">(TR = 7.8 ms, TE = 3.0 ms, Flip angle 14º, 256 mm x 256 mm field of view, 256 x 256 matrix) </w:t>
      </w:r>
      <w:r w:rsidRPr="00FA1713">
        <w:rPr>
          <w:rFonts w:ascii="Times New Roman" w:hAnsi="Times New Roman"/>
          <w:color w:val="000000"/>
          <w:sz w:val="24"/>
          <w:szCs w:val="24"/>
        </w:rPr>
        <w:t>were acquired prior to the functional imaging.</w:t>
      </w:r>
    </w:p>
    <w:p w:rsidR="009E2049" w:rsidRPr="00FA1713" w:rsidRDefault="009E2049" w:rsidP="00050FA3">
      <w:pPr>
        <w:pStyle w:val="Heading3"/>
        <w:rPr>
          <w:rFonts w:ascii="Times New Roman" w:hAnsi="Times New Roman" w:cs="Times New Roman"/>
          <w:color w:val="auto"/>
          <w:sz w:val="24"/>
        </w:rPr>
      </w:pPr>
      <w:proofErr w:type="gramStart"/>
      <w:r w:rsidRPr="00FA1713">
        <w:rPr>
          <w:rFonts w:ascii="Times New Roman" w:hAnsi="Times New Roman" w:cs="Times New Roman"/>
          <w:color w:val="auto"/>
          <w:sz w:val="24"/>
        </w:rPr>
        <w:t>Magnetic resonance spectroscopy (</w:t>
      </w:r>
      <w:r w:rsidRPr="00FA1713">
        <w:rPr>
          <w:rFonts w:ascii="Times New Roman" w:hAnsi="Times New Roman" w:cs="Times New Roman"/>
          <w:color w:val="auto"/>
          <w:sz w:val="24"/>
          <w:vertAlign w:val="superscript"/>
        </w:rPr>
        <w:t>1</w:t>
      </w:r>
      <w:r w:rsidRPr="00FA1713">
        <w:rPr>
          <w:rFonts w:ascii="Times New Roman" w:hAnsi="Times New Roman" w:cs="Times New Roman"/>
          <w:color w:val="auto"/>
          <w:sz w:val="24"/>
        </w:rPr>
        <w:t>H-MRS) acquisition and analysis.</w:t>
      </w:r>
      <w:proofErr w:type="gramEnd"/>
    </w:p>
    <w:p w:rsidR="00577FAE" w:rsidRPr="00FA1713" w:rsidRDefault="009E2049" w:rsidP="009E2049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A1713">
        <w:rPr>
          <w:rFonts w:ascii="Times New Roman" w:hAnsi="Times New Roman"/>
          <w:sz w:val="24"/>
          <w:szCs w:val="24"/>
          <w:vertAlign w:val="superscript"/>
        </w:rPr>
        <w:t>1</w:t>
      </w:r>
      <w:r w:rsidRPr="00FA1713">
        <w:rPr>
          <w:rFonts w:ascii="Times New Roman" w:hAnsi="Times New Roman"/>
          <w:sz w:val="24"/>
          <w:szCs w:val="24"/>
        </w:rPr>
        <w:t>H-spectra were obtained from the ventromedial prefrontal cortex (vmPFC) and dorsal anterior cin</w:t>
      </w:r>
      <w:r w:rsidR="00050FA3" w:rsidRPr="00FA1713">
        <w:rPr>
          <w:rFonts w:ascii="Times New Roman" w:hAnsi="Times New Roman"/>
          <w:sz w:val="24"/>
          <w:szCs w:val="24"/>
        </w:rPr>
        <w:t>gulate cortex (dACC)/ anterior m</w:t>
      </w:r>
      <w:r w:rsidRPr="00FA1713">
        <w:rPr>
          <w:rFonts w:ascii="Times New Roman" w:hAnsi="Times New Roman"/>
          <w:sz w:val="24"/>
          <w:szCs w:val="24"/>
        </w:rPr>
        <w:t xml:space="preserve">idcingulate cortex (aMCC) using a single voxel point resolved spectroscopy (PRESS) sequence </w:t>
      </w:r>
      <w:r w:rsidR="00577FAE" w:rsidRPr="00FA1713">
        <w:rPr>
          <w:rFonts w:ascii="Times New Roman" w:hAnsi="Times New Roman"/>
          <w:sz w:val="24"/>
          <w:szCs w:val="24"/>
        </w:rPr>
        <w:t xml:space="preserve">(TR = 1500 ms, TE = 35 ms, 128 averages). The two MRS voxels were positioned from a high-resolution T1-image, across the midline, covering the vmPFC (voxel size 25 x 40 x 40 mm) and the aMCC (voxel size 30 x 40 x 25 mm) respectively. We used a standard 15-component basis set. The quality of the spectra was ensured by applying pre-scanning iteratively to achieve water suppression level at minimum </w:t>
      </w:r>
      <w:r w:rsidR="00577FAE" w:rsidRPr="00FA1713">
        <w:rPr>
          <w:rFonts w:ascii="Times New Roman" w:hAnsi="Times New Roman"/>
          <w:sz w:val="24"/>
          <w:szCs w:val="24"/>
        </w:rPr>
        <w:lastRenderedPageBreak/>
        <w:t xml:space="preserve">94% and a line-width of less than 8 Hz. The Linear Combination Modelling (LCModel) software (Version 6.2-4A </w:t>
      </w:r>
      <w:r w:rsidR="00577FAE" w:rsidRPr="00FA1713">
        <w:rPr>
          <w:rFonts w:ascii="Times New Roman" w:hAnsi="Times New Roman"/>
          <w:sz w:val="24"/>
          <w:szCs w:val="24"/>
        </w:rPr>
        <w:fldChar w:fldCharType="begin"/>
      </w:r>
      <w:r w:rsidR="00FA1713">
        <w:rPr>
          <w:rFonts w:ascii="Times New Roman" w:hAnsi="Times New Roman"/>
          <w:sz w:val="24"/>
          <w:szCs w:val="24"/>
        </w:rPr>
        <w:instrText xml:space="preserve"> ADDIN EN.CITE &lt;EndNote&gt;&lt;Cite&gt;&lt;Author&gt;Provencher&lt;/Author&gt;&lt;Year&gt;1993&lt;/Year&gt;&lt;RecNum&gt;82&lt;/RecNum&gt;&lt;DisplayText&gt;(Provencher 1993)&lt;/DisplayText&gt;&lt;record&gt;&lt;rec-number&gt;82&lt;/rec-number&gt;&lt;foreign-keys&gt;&lt;key app="EN" db-id="efta5v099trapte2ts5p2zaux9xx05svrztw" timestamp="0"&gt;82&lt;/key&gt;&lt;/foreign-keys&gt;&lt;ref-type name="Journal Article"&gt;17&lt;/ref-type&gt;&lt;contributors&gt;&lt;authors&gt;&lt;author&gt;Provencher, S. W.&lt;/author&gt;&lt;/authors&gt;&lt;/contributors&gt;&lt;auth-address&gt;Max-Planck-Institut fur biophysikalische Chemie, Gottingen, Federal Republic of Germany.&lt;/auth-address&gt;&lt;titles&gt;&lt;title&gt;Estimation of metabolite concentrations from localized in vivo proton NMR spectra&lt;/title&gt;&lt;secondary-title&gt;Magn Reson Med&lt;/secondary-title&gt;&lt;alt-title&gt;Magnetic resonance in medicine : official journal of the Society of Magnetic Resonance in Medicine / Society of Magnetic Resonance in Medicine&lt;/alt-title&gt;&lt;/titles&gt;&lt;periodical&gt;&lt;full-title&gt;Magn Reson Med&lt;/full-title&gt;&lt;/periodical&gt;&lt;pages&gt;672-9&lt;/pages&gt;&lt;volume&gt;30&lt;/volume&gt;&lt;number&gt;6&lt;/number&gt;&lt;keywords&gt;&lt;keyword&gt;*Brain Chemistry&lt;/keyword&gt;&lt;keyword&gt;Humans&lt;/keyword&gt;&lt;keyword&gt;*Magnetic Resonance Spectroscopy/methods&lt;/keyword&gt;&lt;/keywords&gt;&lt;dates&gt;&lt;year&gt;1993&lt;/year&gt;&lt;pub-dates&gt;&lt;date&gt;Dec&lt;/date&gt;&lt;/pub-dates&gt;&lt;/dates&gt;&lt;isbn&gt;0740-3194 (Print)&amp;#xD;0740-3194 (Linking)&lt;/isbn&gt;&lt;accession-num&gt;8139448&lt;/accession-num&gt;&lt;urls&gt;&lt;related-urls&gt;&lt;url&gt;http://www.ncbi.nlm.nih.gov/pubmed/8139448&lt;/url&gt;&lt;/related-urls&gt;&lt;/urls&gt;&lt;/record&gt;&lt;/Cite&gt;&lt;/EndNote&gt;</w:instrText>
      </w:r>
      <w:r w:rsidR="00577FAE" w:rsidRPr="00FA1713">
        <w:rPr>
          <w:rFonts w:ascii="Times New Roman" w:hAnsi="Times New Roman"/>
          <w:sz w:val="24"/>
          <w:szCs w:val="24"/>
        </w:rPr>
        <w:fldChar w:fldCharType="separate"/>
      </w:r>
      <w:r w:rsidR="00FA1713">
        <w:rPr>
          <w:rFonts w:ascii="Times New Roman" w:hAnsi="Times New Roman"/>
          <w:noProof/>
          <w:sz w:val="24"/>
          <w:szCs w:val="24"/>
        </w:rPr>
        <w:t>(Provencher 1993)</w:t>
      </w:r>
      <w:r w:rsidR="00577FAE" w:rsidRPr="00FA1713">
        <w:rPr>
          <w:rFonts w:ascii="Times New Roman" w:hAnsi="Times New Roman"/>
          <w:sz w:val="24"/>
          <w:szCs w:val="24"/>
        </w:rPr>
        <w:fldChar w:fldCharType="end"/>
      </w:r>
      <w:r w:rsidR="00577FAE" w:rsidRPr="00FA1713">
        <w:rPr>
          <w:rFonts w:ascii="Times New Roman" w:hAnsi="Times New Roman"/>
          <w:sz w:val="24"/>
          <w:szCs w:val="24"/>
        </w:rPr>
        <w:t xml:space="preserve">) was used for quantification of the </w:t>
      </w:r>
      <w:r w:rsidR="00577FAE" w:rsidRPr="00FA1713">
        <w:rPr>
          <w:rFonts w:ascii="Times New Roman" w:hAnsi="Times New Roman"/>
          <w:sz w:val="24"/>
          <w:szCs w:val="24"/>
          <w:vertAlign w:val="superscript"/>
        </w:rPr>
        <w:t>1</w:t>
      </w:r>
      <w:r w:rsidR="00577FAE" w:rsidRPr="00FA1713">
        <w:rPr>
          <w:rFonts w:ascii="Times New Roman" w:hAnsi="Times New Roman"/>
          <w:sz w:val="24"/>
          <w:szCs w:val="24"/>
        </w:rPr>
        <w:t>H-MRS spectra. We excluded spectra with</w:t>
      </w:r>
      <w:r w:rsidR="00577FAE" w:rsidRPr="00FA1713">
        <w:rPr>
          <w:rFonts w:ascii="Times New Roman" w:hAnsi="Times New Roman"/>
          <w:color w:val="000000"/>
          <w:sz w:val="24"/>
          <w:szCs w:val="24"/>
        </w:rPr>
        <w:t xml:space="preserve"> a Cramer-Rao minimum variance bounds (CRLB) &gt;20 or with aberrations in the spectrum of residuals, determined on visual inspection guided by local quality control algorithms.</w:t>
      </w:r>
    </w:p>
    <w:p w:rsidR="00577FAE" w:rsidRPr="00FA1713" w:rsidRDefault="00577FAE" w:rsidP="00050FA3">
      <w:pPr>
        <w:spacing w:before="240" w:after="240" w:line="480" w:lineRule="auto"/>
        <w:ind w:firstLine="720"/>
        <w:rPr>
          <w:rFonts w:ascii="Times New Roman" w:hAnsi="Times New Roman"/>
          <w:sz w:val="24"/>
          <w:szCs w:val="24"/>
        </w:rPr>
      </w:pPr>
      <w:r w:rsidRPr="00FA1713">
        <w:rPr>
          <w:rFonts w:ascii="Times New Roman" w:hAnsi="Times New Roman"/>
          <w:sz w:val="24"/>
          <w:szCs w:val="24"/>
        </w:rPr>
        <w:t>Resting-state Glu and Glx levels relative to Creatine (Cr) were used from the LCModel output. Cr levels in aMCC (</w:t>
      </w:r>
      <w:proofErr w:type="gramStart"/>
      <w:r w:rsidRPr="00FA1713">
        <w:rPr>
          <w:rFonts w:ascii="Times New Roman" w:hAnsi="Times New Roman"/>
          <w:sz w:val="24"/>
          <w:szCs w:val="24"/>
        </w:rPr>
        <w:t>t</w:t>
      </w:r>
      <w:r w:rsidRPr="00FA1713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FA1713">
        <w:rPr>
          <w:rFonts w:ascii="Times New Roman" w:hAnsi="Times New Roman"/>
          <w:sz w:val="24"/>
          <w:szCs w:val="24"/>
          <w:vertAlign w:val="subscript"/>
        </w:rPr>
        <w:t>45)</w:t>
      </w:r>
      <w:r w:rsidRPr="00FA1713">
        <w:rPr>
          <w:rFonts w:ascii="Times New Roman" w:hAnsi="Times New Roman"/>
          <w:sz w:val="24"/>
          <w:szCs w:val="24"/>
        </w:rPr>
        <w:t xml:space="preserve"> = 0.58, p=0.56) or vmPFC (t</w:t>
      </w:r>
      <w:r w:rsidRPr="00FA1713">
        <w:rPr>
          <w:rFonts w:ascii="Times New Roman" w:hAnsi="Times New Roman"/>
          <w:sz w:val="24"/>
          <w:szCs w:val="24"/>
          <w:vertAlign w:val="subscript"/>
        </w:rPr>
        <w:t>(45)</w:t>
      </w:r>
      <w:r w:rsidRPr="00FA1713">
        <w:rPr>
          <w:rFonts w:ascii="Times New Roman" w:hAnsi="Times New Roman"/>
          <w:sz w:val="24"/>
          <w:szCs w:val="24"/>
        </w:rPr>
        <w:t xml:space="preserve"> = -0.45, p=0.66) did not differ significantly between the two groups. Moreover, there was no difference in the quality of LC model fits for the two groups as indexed by the signal-to-noise ratio for the aMCC (</w:t>
      </w:r>
      <w:proofErr w:type="gramStart"/>
      <w:r w:rsidRPr="00FA1713">
        <w:rPr>
          <w:rFonts w:ascii="Times New Roman" w:hAnsi="Times New Roman"/>
          <w:sz w:val="24"/>
          <w:szCs w:val="24"/>
        </w:rPr>
        <w:t>t</w:t>
      </w:r>
      <w:r w:rsidRPr="00FA1713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FA1713">
        <w:rPr>
          <w:rFonts w:ascii="Times New Roman" w:hAnsi="Times New Roman"/>
          <w:sz w:val="24"/>
          <w:szCs w:val="24"/>
          <w:vertAlign w:val="subscript"/>
        </w:rPr>
        <w:t>45)</w:t>
      </w:r>
      <w:r w:rsidRPr="00FA1713">
        <w:rPr>
          <w:rFonts w:ascii="Times New Roman" w:hAnsi="Times New Roman"/>
          <w:sz w:val="24"/>
          <w:szCs w:val="24"/>
        </w:rPr>
        <w:t xml:space="preserve"> = -0.34, p = 0.74) or the vmPFC (t</w:t>
      </w:r>
      <w:r w:rsidRPr="00FA1713">
        <w:rPr>
          <w:rFonts w:ascii="Times New Roman" w:hAnsi="Times New Roman"/>
          <w:sz w:val="24"/>
          <w:szCs w:val="24"/>
          <w:vertAlign w:val="subscript"/>
        </w:rPr>
        <w:t>(45)</w:t>
      </w:r>
      <w:r w:rsidRPr="00FA1713">
        <w:rPr>
          <w:rFonts w:ascii="Times New Roman" w:hAnsi="Times New Roman"/>
          <w:sz w:val="24"/>
          <w:szCs w:val="24"/>
        </w:rPr>
        <w:t xml:space="preserve"> =-0.26, p = 0.80) voxel. </w:t>
      </w:r>
    </w:p>
    <w:p w:rsidR="00B81686" w:rsidRPr="00841D9B" w:rsidRDefault="005E7E2D" w:rsidP="00841D9B">
      <w:pPr>
        <w:spacing w:after="240" w:line="480" w:lineRule="auto"/>
        <w:ind w:firstLine="720"/>
        <w:rPr>
          <w:rFonts w:ascii="Times New Roman" w:hAnsi="Times New Roman"/>
          <w:sz w:val="24"/>
          <w:szCs w:val="24"/>
        </w:rPr>
      </w:pPr>
      <w:r w:rsidRPr="00FA1713">
        <w:rPr>
          <w:rFonts w:ascii="Times New Roman" w:hAnsi="Times New Roman"/>
          <w:sz w:val="24"/>
          <w:szCs w:val="24"/>
        </w:rPr>
        <w:t xml:space="preserve">As glutamate levels might depend on the amount of </w:t>
      </w:r>
      <w:r w:rsidR="00FA1713" w:rsidRPr="00FA1713">
        <w:rPr>
          <w:rFonts w:ascii="Times New Roman" w:hAnsi="Times New Roman"/>
          <w:sz w:val="24"/>
          <w:szCs w:val="24"/>
        </w:rPr>
        <w:t>grey</w:t>
      </w:r>
      <w:r w:rsidRPr="00FA1713">
        <w:rPr>
          <w:rFonts w:ascii="Times New Roman" w:hAnsi="Times New Roman"/>
          <w:sz w:val="24"/>
          <w:szCs w:val="24"/>
        </w:rPr>
        <w:t xml:space="preserve"> or white matter within the voxel</w:t>
      </w:r>
      <w:r w:rsidR="00577FAE" w:rsidRPr="00FA1713">
        <w:rPr>
          <w:rFonts w:ascii="Times New Roman" w:hAnsi="Times New Roman"/>
          <w:sz w:val="24"/>
          <w:szCs w:val="24"/>
        </w:rPr>
        <w:t xml:space="preserve">, we additionally tested </w:t>
      </w:r>
      <w:r w:rsidRPr="00FA1713">
        <w:rPr>
          <w:rFonts w:ascii="Times New Roman" w:hAnsi="Times New Roman"/>
          <w:sz w:val="24"/>
          <w:szCs w:val="24"/>
        </w:rPr>
        <w:t xml:space="preserve">whether anatomical differences within the voxels impacted on </w:t>
      </w:r>
      <w:r w:rsidR="00577FAE" w:rsidRPr="00FA1713">
        <w:rPr>
          <w:rFonts w:ascii="Times New Roman" w:hAnsi="Times New Roman"/>
          <w:sz w:val="24"/>
          <w:szCs w:val="24"/>
        </w:rPr>
        <w:t xml:space="preserve">our results. </w:t>
      </w:r>
      <w:r w:rsidRPr="00FA1713">
        <w:rPr>
          <w:rFonts w:ascii="Times New Roman" w:hAnsi="Times New Roman"/>
          <w:sz w:val="24"/>
          <w:szCs w:val="24"/>
        </w:rPr>
        <w:t>The proportion</w:t>
      </w:r>
      <w:r w:rsidR="00163BCE" w:rsidRPr="00FA1713">
        <w:rPr>
          <w:rFonts w:ascii="Times New Roman" w:hAnsi="Times New Roman"/>
          <w:sz w:val="24"/>
          <w:szCs w:val="24"/>
        </w:rPr>
        <w:t xml:space="preserve"> of </w:t>
      </w:r>
      <w:r w:rsidR="00FA1713" w:rsidRPr="00FA1713">
        <w:rPr>
          <w:rFonts w:ascii="Times New Roman" w:hAnsi="Times New Roman"/>
          <w:sz w:val="24"/>
          <w:szCs w:val="24"/>
        </w:rPr>
        <w:t>grey</w:t>
      </w:r>
      <w:r w:rsidR="00577FAE" w:rsidRPr="00FA1713">
        <w:rPr>
          <w:rFonts w:ascii="Times New Roman" w:hAnsi="Times New Roman"/>
          <w:sz w:val="24"/>
          <w:szCs w:val="24"/>
        </w:rPr>
        <w:t xml:space="preserve"> and white matter in each voxel </w:t>
      </w:r>
      <w:r w:rsidRPr="00FA1713">
        <w:rPr>
          <w:rFonts w:ascii="Times New Roman" w:hAnsi="Times New Roman"/>
          <w:sz w:val="24"/>
          <w:szCs w:val="24"/>
        </w:rPr>
        <w:t xml:space="preserve">was calculated </w:t>
      </w:r>
      <w:r w:rsidR="00577FAE" w:rsidRPr="00FA1713">
        <w:rPr>
          <w:rFonts w:ascii="Times New Roman" w:hAnsi="Times New Roman"/>
          <w:sz w:val="24"/>
          <w:szCs w:val="24"/>
        </w:rPr>
        <w:t xml:space="preserve">using in-house written Matlab scripts that leverage the SPM8 software’s (http://www.fil.ion.ucl.ac.uk/spm) combined segmentation and normalization functions. Coordinates and orientation in scanner space was read directly from the raw spectroscopy </w:t>
      </w:r>
      <w:r w:rsidRPr="00FA1713">
        <w:rPr>
          <w:rFonts w:ascii="Times New Roman" w:hAnsi="Times New Roman"/>
          <w:sz w:val="24"/>
          <w:szCs w:val="24"/>
        </w:rPr>
        <w:t>files. Subsequently</w:t>
      </w:r>
      <w:r w:rsidR="00577FAE" w:rsidRPr="00FA1713">
        <w:rPr>
          <w:rFonts w:ascii="Times New Roman" w:hAnsi="Times New Roman"/>
          <w:sz w:val="24"/>
          <w:szCs w:val="24"/>
        </w:rPr>
        <w:t xml:space="preserve">, the T1 image was co-registered to a standard MNI template and segmented into tissue probability maps for </w:t>
      </w:r>
      <w:r w:rsidRPr="00FA1713">
        <w:rPr>
          <w:rFonts w:ascii="Times New Roman" w:hAnsi="Times New Roman"/>
          <w:sz w:val="24"/>
          <w:szCs w:val="24"/>
        </w:rPr>
        <w:t>three classes of tissue (</w:t>
      </w:r>
      <w:r w:rsidR="00577FAE" w:rsidRPr="00FA1713">
        <w:rPr>
          <w:rFonts w:ascii="Times New Roman" w:hAnsi="Times New Roman"/>
          <w:sz w:val="24"/>
          <w:szCs w:val="24"/>
        </w:rPr>
        <w:t>grey mat</w:t>
      </w:r>
      <w:r w:rsidRPr="00FA1713">
        <w:rPr>
          <w:rFonts w:ascii="Times New Roman" w:hAnsi="Times New Roman"/>
          <w:sz w:val="24"/>
          <w:szCs w:val="24"/>
        </w:rPr>
        <w:t>ter, white matter and CSF)</w:t>
      </w:r>
      <w:r w:rsidR="00577FAE" w:rsidRPr="00FA1713">
        <w:rPr>
          <w:rFonts w:ascii="Times New Roman" w:hAnsi="Times New Roman"/>
          <w:sz w:val="24"/>
          <w:szCs w:val="24"/>
        </w:rPr>
        <w:t xml:space="preserve">. </w:t>
      </w:r>
      <w:r w:rsidR="00B81686">
        <w:rPr>
          <w:rFonts w:ascii="Times New Roman" w:hAnsi="Times New Roman"/>
          <w:sz w:val="24"/>
          <w:szCs w:val="24"/>
        </w:rPr>
        <w:t xml:space="preserve">Ventromedial </w:t>
      </w:r>
      <w:r w:rsidR="00B81686" w:rsidRPr="00FA1713">
        <w:rPr>
          <w:rFonts w:ascii="Times New Roman" w:hAnsi="Times New Roman"/>
          <w:sz w:val="24"/>
          <w:szCs w:val="24"/>
        </w:rPr>
        <w:t>PFC</w:t>
      </w:r>
      <w:r w:rsidR="004B0F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0FE3">
        <w:rPr>
          <w:rFonts w:ascii="Times New Roman" w:hAnsi="Times New Roman"/>
          <w:sz w:val="24"/>
          <w:szCs w:val="24"/>
        </w:rPr>
        <w:t>vmPFC</w:t>
      </w:r>
      <w:proofErr w:type="spellEnd"/>
      <w:r w:rsidR="004B0FE3">
        <w:rPr>
          <w:rFonts w:ascii="Times New Roman" w:hAnsi="Times New Roman"/>
          <w:sz w:val="24"/>
          <w:szCs w:val="24"/>
        </w:rPr>
        <w:t>)</w:t>
      </w:r>
      <w:r w:rsidR="00B81686" w:rsidRPr="00FA1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86" w:rsidRPr="00FA1713">
        <w:rPr>
          <w:rFonts w:ascii="Times New Roman" w:hAnsi="Times New Roman"/>
          <w:sz w:val="24"/>
          <w:szCs w:val="24"/>
        </w:rPr>
        <w:t>Glu</w:t>
      </w:r>
      <w:proofErr w:type="spellEnd"/>
      <w:r w:rsidR="00B81686" w:rsidRPr="00FA1713">
        <w:rPr>
          <w:rFonts w:ascii="Times New Roman" w:hAnsi="Times New Roman"/>
          <w:sz w:val="24"/>
          <w:szCs w:val="24"/>
        </w:rPr>
        <w:t>/Cr levels were associated with voxel grey (r=0.33, p = 0.02) and white (r=-0.31, p = 0.03) matter</w:t>
      </w:r>
      <w:r w:rsidR="00B81686">
        <w:rPr>
          <w:rFonts w:ascii="Times New Roman" w:hAnsi="Times New Roman"/>
          <w:sz w:val="24"/>
          <w:szCs w:val="24"/>
        </w:rPr>
        <w:t xml:space="preserve">. </w:t>
      </w:r>
      <w:r w:rsidR="00B81686" w:rsidRPr="00FA1713">
        <w:rPr>
          <w:rFonts w:ascii="Times New Roman" w:hAnsi="Times New Roman"/>
          <w:sz w:val="24"/>
          <w:szCs w:val="24"/>
        </w:rPr>
        <w:t>Accordingly, we corrected for voxel grey and voxel white matter in a</w:t>
      </w:r>
      <w:r w:rsidR="00841D9B">
        <w:rPr>
          <w:rFonts w:ascii="Times New Roman" w:hAnsi="Times New Roman"/>
          <w:sz w:val="24"/>
          <w:szCs w:val="24"/>
        </w:rPr>
        <w:t>ll analyses of these data</w:t>
      </w:r>
      <w:r w:rsidR="00B81686" w:rsidRPr="00FA1713">
        <w:rPr>
          <w:rFonts w:ascii="Times New Roman" w:hAnsi="Times New Roman"/>
          <w:sz w:val="24"/>
          <w:szCs w:val="24"/>
        </w:rPr>
        <w:t>.</w:t>
      </w:r>
      <w:r w:rsidR="00841D9B">
        <w:rPr>
          <w:rFonts w:ascii="Times New Roman" w:hAnsi="Times New Roman"/>
          <w:sz w:val="24"/>
          <w:szCs w:val="24"/>
        </w:rPr>
        <w:t xml:space="preserve"> </w:t>
      </w:r>
      <w:r w:rsidR="004B0FE3">
        <w:rPr>
          <w:rFonts w:ascii="Times New Roman" w:hAnsi="Times New Roman"/>
          <w:sz w:val="24"/>
          <w:szCs w:val="24"/>
        </w:rPr>
        <w:t xml:space="preserve">Similar analyses for </w:t>
      </w:r>
      <w:proofErr w:type="spellStart"/>
      <w:r w:rsidR="004B0FE3">
        <w:rPr>
          <w:rFonts w:ascii="Times New Roman" w:hAnsi="Times New Roman"/>
          <w:sz w:val="24"/>
          <w:szCs w:val="24"/>
        </w:rPr>
        <w:t>vmPFC</w:t>
      </w:r>
      <w:proofErr w:type="spellEnd"/>
      <w:r w:rsidR="004B0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E3">
        <w:rPr>
          <w:rFonts w:ascii="Times New Roman" w:hAnsi="Times New Roman"/>
          <w:sz w:val="24"/>
          <w:szCs w:val="24"/>
        </w:rPr>
        <w:t>Glx</w:t>
      </w:r>
      <w:proofErr w:type="spellEnd"/>
      <w:r w:rsidR="004B0FE3">
        <w:rPr>
          <w:rFonts w:ascii="Times New Roman" w:hAnsi="Times New Roman"/>
          <w:sz w:val="24"/>
          <w:szCs w:val="24"/>
        </w:rPr>
        <w:t xml:space="preserve">/Cr </w:t>
      </w:r>
      <w:r w:rsidR="004B0FE3" w:rsidRPr="00E1066E">
        <w:rPr>
          <w:rFonts w:ascii="Times New Roman" w:hAnsi="Times New Roman"/>
          <w:sz w:val="24"/>
          <w:szCs w:val="24"/>
        </w:rPr>
        <w:t>(</w:t>
      </w:r>
      <w:r w:rsidR="00E1066E" w:rsidRPr="00E1066E">
        <w:rPr>
          <w:rFonts w:ascii="Times New Roman" w:hAnsi="Times New Roman"/>
          <w:sz w:val="24"/>
          <w:szCs w:val="24"/>
        </w:rPr>
        <w:t>grey matter: r=-0.28, p = 0.06, white matter: r=-0.25, p = 0.09</w:t>
      </w:r>
      <w:r w:rsidR="004B0FE3" w:rsidRPr="00E1066E">
        <w:rPr>
          <w:rFonts w:ascii="Times New Roman" w:hAnsi="Times New Roman"/>
          <w:sz w:val="24"/>
          <w:szCs w:val="24"/>
        </w:rPr>
        <w:t>),</w:t>
      </w:r>
      <w:r w:rsidR="004B0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789" w:rsidRPr="00FA1713">
        <w:rPr>
          <w:rFonts w:ascii="Times New Roman" w:hAnsi="Times New Roman"/>
          <w:sz w:val="24"/>
          <w:szCs w:val="24"/>
        </w:rPr>
        <w:t>aMCC</w:t>
      </w:r>
      <w:proofErr w:type="spellEnd"/>
      <w:r w:rsidR="00D16789" w:rsidRPr="00FA1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789" w:rsidRPr="00FA1713">
        <w:rPr>
          <w:rFonts w:ascii="Times New Roman" w:hAnsi="Times New Roman"/>
          <w:sz w:val="24"/>
          <w:szCs w:val="24"/>
        </w:rPr>
        <w:t>Glu</w:t>
      </w:r>
      <w:proofErr w:type="spellEnd"/>
      <w:r w:rsidR="00D16789" w:rsidRPr="00FA1713">
        <w:rPr>
          <w:rFonts w:ascii="Times New Roman" w:hAnsi="Times New Roman"/>
          <w:sz w:val="24"/>
          <w:szCs w:val="24"/>
        </w:rPr>
        <w:t xml:space="preserve">/Cr </w:t>
      </w:r>
      <w:r w:rsidR="00841D9B" w:rsidRPr="00FA1713">
        <w:rPr>
          <w:rFonts w:ascii="Times New Roman" w:hAnsi="Times New Roman"/>
          <w:sz w:val="24"/>
          <w:szCs w:val="24"/>
        </w:rPr>
        <w:t>(grey matter: r=-0.20, p = 0.17, white matter: r=0.24, p = 0.10)</w:t>
      </w:r>
      <w:r w:rsidR="00841D9B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="00841D9B">
        <w:rPr>
          <w:rFonts w:ascii="Times New Roman" w:hAnsi="Times New Roman"/>
          <w:sz w:val="24"/>
          <w:szCs w:val="24"/>
        </w:rPr>
        <w:t>aMCC</w:t>
      </w:r>
      <w:proofErr w:type="spellEnd"/>
      <w:r w:rsidR="00841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9B">
        <w:rPr>
          <w:rFonts w:ascii="Times New Roman" w:hAnsi="Times New Roman"/>
          <w:sz w:val="24"/>
          <w:szCs w:val="24"/>
        </w:rPr>
        <w:t>Glx</w:t>
      </w:r>
      <w:proofErr w:type="spellEnd"/>
      <w:r w:rsidR="00841D9B">
        <w:rPr>
          <w:rFonts w:ascii="Times New Roman" w:hAnsi="Times New Roman"/>
          <w:sz w:val="24"/>
          <w:szCs w:val="24"/>
        </w:rPr>
        <w:t>/Cr</w:t>
      </w:r>
      <w:r w:rsidR="00841D9B" w:rsidRPr="00FA1713">
        <w:rPr>
          <w:rFonts w:ascii="Times New Roman" w:hAnsi="Times New Roman"/>
          <w:sz w:val="24"/>
          <w:szCs w:val="24"/>
        </w:rPr>
        <w:t xml:space="preserve"> </w:t>
      </w:r>
      <w:r w:rsidR="00841D9B">
        <w:rPr>
          <w:rFonts w:ascii="Times New Roman" w:hAnsi="Times New Roman"/>
          <w:sz w:val="24"/>
          <w:szCs w:val="24"/>
        </w:rPr>
        <w:t>(</w:t>
      </w:r>
      <w:r w:rsidR="00841D9B" w:rsidRPr="00FA1713">
        <w:rPr>
          <w:rFonts w:ascii="Times New Roman" w:hAnsi="Times New Roman"/>
          <w:sz w:val="24"/>
          <w:szCs w:val="24"/>
        </w:rPr>
        <w:t>grey</w:t>
      </w:r>
      <w:r w:rsidR="00841D9B">
        <w:rPr>
          <w:rFonts w:ascii="Times New Roman" w:hAnsi="Times New Roman"/>
          <w:sz w:val="24"/>
          <w:szCs w:val="24"/>
        </w:rPr>
        <w:t xml:space="preserve"> matter: r=0.17, p = 0.26, white matter: r=0.12, p = 0.41) levels </w:t>
      </w:r>
      <w:r w:rsidR="00D16789" w:rsidRPr="00FA1713">
        <w:rPr>
          <w:rFonts w:ascii="Times New Roman" w:hAnsi="Times New Roman"/>
          <w:sz w:val="24"/>
          <w:szCs w:val="24"/>
        </w:rPr>
        <w:t xml:space="preserve">did </w:t>
      </w:r>
      <w:r w:rsidR="00163BCE" w:rsidRPr="00FA1713">
        <w:rPr>
          <w:rFonts w:ascii="Times New Roman" w:hAnsi="Times New Roman"/>
          <w:sz w:val="24"/>
          <w:szCs w:val="24"/>
        </w:rPr>
        <w:t>not reach significance</w:t>
      </w:r>
      <w:r w:rsidR="00841D9B">
        <w:rPr>
          <w:rFonts w:ascii="Times New Roman" w:hAnsi="Times New Roman"/>
          <w:sz w:val="24"/>
          <w:szCs w:val="24"/>
        </w:rPr>
        <w:t>.</w:t>
      </w:r>
      <w:r w:rsidR="00163BCE" w:rsidRPr="00FA1713">
        <w:rPr>
          <w:rFonts w:ascii="Times New Roman" w:hAnsi="Times New Roman"/>
          <w:sz w:val="24"/>
          <w:szCs w:val="24"/>
        </w:rPr>
        <w:t xml:space="preserve"> </w:t>
      </w:r>
    </w:p>
    <w:p w:rsidR="00F05E7E" w:rsidRPr="00FA1713" w:rsidRDefault="00F05E7E" w:rsidP="008C1D6A">
      <w:pPr>
        <w:pStyle w:val="Heading2"/>
        <w:rPr>
          <w:rFonts w:ascii="Times New Roman" w:hAnsi="Times New Roman" w:cs="Times New Roman"/>
          <w:color w:val="auto"/>
          <w:sz w:val="28"/>
        </w:rPr>
      </w:pPr>
      <w:r w:rsidRPr="00FA1713">
        <w:rPr>
          <w:rFonts w:ascii="Times New Roman" w:hAnsi="Times New Roman" w:cs="Times New Roman"/>
          <w:color w:val="auto"/>
          <w:sz w:val="28"/>
        </w:rPr>
        <w:lastRenderedPageBreak/>
        <w:t>Supplementary Table 1</w:t>
      </w:r>
    </w:p>
    <w:p w:rsidR="00F05E7E" w:rsidRPr="00FA1713" w:rsidRDefault="00F05E7E" w:rsidP="00050F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1713">
        <w:rPr>
          <w:rFonts w:ascii="Times New Roman" w:hAnsi="Times New Roman"/>
          <w:sz w:val="24"/>
          <w:szCs w:val="24"/>
        </w:rPr>
        <w:t xml:space="preserve">The table shows the results from a one-sample t-test contrasting </w:t>
      </w:r>
      <w:r w:rsidR="00050FA3" w:rsidRPr="00FA1713">
        <w:rPr>
          <w:rFonts w:ascii="Times New Roman" w:hAnsi="Times New Roman"/>
          <w:sz w:val="24"/>
          <w:szCs w:val="24"/>
        </w:rPr>
        <w:t xml:space="preserve">amygdala functional </w:t>
      </w:r>
      <w:r w:rsidRPr="00FA1713">
        <w:rPr>
          <w:rFonts w:ascii="Times New Roman" w:hAnsi="Times New Roman"/>
          <w:sz w:val="24"/>
          <w:szCs w:val="24"/>
        </w:rPr>
        <w:t xml:space="preserve">connectivity maps across all participants. </w:t>
      </w:r>
    </w:p>
    <w:tbl>
      <w:tblPr>
        <w:tblpPr w:leftFromText="180" w:rightFromText="180" w:vertAnchor="page" w:horzAnchor="margin" w:tblpY="26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851"/>
        <w:gridCol w:w="708"/>
        <w:gridCol w:w="1134"/>
        <w:gridCol w:w="1276"/>
      </w:tblGrid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Region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L/R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FA171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Medial temporal lobe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48.34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Medial temporal lobe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44.83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Anterior midcingulate cortex / dorsal anterior cingulate cortex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Ventromedial prefrontal cortex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4.88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712" w:rsidRPr="00FA1713" w:rsidTr="00877712">
        <w:trPr>
          <w:trHeight w:val="70"/>
        </w:trPr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Medial frontal gyrus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</w:tbl>
    <w:p w:rsidR="00F05E7E" w:rsidRPr="00FA1713" w:rsidRDefault="0013499D" w:rsidP="00277C56">
      <w:pPr>
        <w:spacing w:after="240" w:line="360" w:lineRule="auto"/>
        <w:rPr>
          <w:rFonts w:ascii="Times New Roman" w:hAnsi="Times New Roman"/>
        </w:rPr>
      </w:pPr>
      <w:proofErr w:type="gramStart"/>
      <w:r w:rsidRPr="00FA1713">
        <w:rPr>
          <w:rFonts w:ascii="Times New Roman" w:hAnsi="Times New Roman"/>
          <w:vertAlign w:val="superscript"/>
        </w:rPr>
        <w:t>a</w:t>
      </w:r>
      <w:r w:rsidR="00F05E7E" w:rsidRPr="00FA1713">
        <w:rPr>
          <w:rFonts w:ascii="Times New Roman" w:hAnsi="Times New Roman"/>
        </w:rPr>
        <w:t>FWE</w:t>
      </w:r>
      <w:proofErr w:type="gramEnd"/>
      <w:r w:rsidR="00F05E7E" w:rsidRPr="00FA1713">
        <w:rPr>
          <w:rFonts w:ascii="Times New Roman" w:hAnsi="Times New Roman"/>
        </w:rPr>
        <w:t xml:space="preserve"> cluster level significance</w:t>
      </w:r>
    </w:p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252002" w:rsidRPr="00FA1713" w:rsidRDefault="00252002"/>
    <w:p w:rsidR="00877712" w:rsidRPr="00FA1713" w:rsidRDefault="00877712"/>
    <w:p w:rsidR="00877712" w:rsidRPr="00FA1713" w:rsidRDefault="00877712"/>
    <w:p w:rsidR="00D16789" w:rsidRPr="00FA1713" w:rsidRDefault="00D16789"/>
    <w:p w:rsidR="00877712" w:rsidRPr="00FA1713" w:rsidRDefault="00877712" w:rsidP="00877712">
      <w:pPr>
        <w:pStyle w:val="Heading2"/>
        <w:rPr>
          <w:rFonts w:ascii="Times New Roman" w:hAnsi="Times New Roman" w:cs="Times New Roman"/>
          <w:color w:val="auto"/>
          <w:sz w:val="28"/>
        </w:rPr>
      </w:pPr>
      <w:r w:rsidRPr="00FA1713">
        <w:rPr>
          <w:rFonts w:ascii="Times New Roman" w:hAnsi="Times New Roman" w:cs="Times New Roman"/>
          <w:color w:val="auto"/>
          <w:sz w:val="28"/>
        </w:rPr>
        <w:lastRenderedPageBreak/>
        <w:t>Supplementary Table 2</w:t>
      </w:r>
    </w:p>
    <w:p w:rsidR="00877712" w:rsidRPr="00FA1713" w:rsidRDefault="00877712" w:rsidP="00877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1713">
        <w:rPr>
          <w:rFonts w:ascii="Times New Roman" w:hAnsi="Times New Roman"/>
          <w:sz w:val="24"/>
          <w:szCs w:val="24"/>
        </w:rPr>
        <w:t xml:space="preserve">The table shows the results from a multiple regression analysis assessing the association between groups (i.e trauma survivors vs. controls) and amygdala functional connectivity while controlling for comorbid post-traumatic stress disorder (PTSD) and panic disorder. </w:t>
      </w:r>
    </w:p>
    <w:tbl>
      <w:tblPr>
        <w:tblpPr w:leftFromText="180" w:rightFromText="180" w:vertAnchor="page" w:horzAnchor="margin" w:tblpY="31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851"/>
        <w:gridCol w:w="708"/>
        <w:gridCol w:w="1134"/>
        <w:gridCol w:w="1276"/>
      </w:tblGrid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Region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L/R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FA171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4511C3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Anterior midcingulate cortex</w:t>
            </w:r>
            <w:r w:rsidR="001276D5" w:rsidRPr="00FA1713">
              <w:rPr>
                <w:rFonts w:ascii="Times New Roman" w:hAnsi="Times New Roman"/>
                <w:sz w:val="24"/>
                <w:szCs w:val="24"/>
              </w:rPr>
              <w:t xml:space="preserve"> / Supplementary motor cortex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5.99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4511C3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Ventromedial prefrontal cortex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</w:t>
            </w:r>
            <w:r w:rsidR="00877712" w:rsidRPr="00FA171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4511C3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Dorsolateral prefrontal cortex</w:t>
            </w:r>
          </w:p>
          <w:p w:rsidR="004511C3" w:rsidRPr="00FA1713" w:rsidRDefault="004511C3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877712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877712" w:rsidRPr="00FA1713" w:rsidTr="00877712">
        <w:tc>
          <w:tcPr>
            <w:tcW w:w="3936" w:type="dxa"/>
            <w:shd w:val="clear" w:color="auto" w:fill="auto"/>
            <w:vAlign w:val="center"/>
          </w:tcPr>
          <w:p w:rsidR="00877712" w:rsidRPr="00FA1713" w:rsidRDefault="004511C3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Cerebellum</w:t>
            </w:r>
          </w:p>
          <w:p w:rsidR="00877712" w:rsidRPr="00FA1713" w:rsidRDefault="00877712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</w:t>
            </w:r>
            <w:r w:rsidR="00877712" w:rsidRPr="00FA1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708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-6</w:t>
            </w:r>
            <w:r w:rsidR="00877712" w:rsidRPr="00FA1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shd w:val="clear" w:color="auto" w:fill="auto"/>
          </w:tcPr>
          <w:p w:rsidR="00877712" w:rsidRPr="00FA1713" w:rsidRDefault="001276D5" w:rsidP="0087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</w:tbl>
    <w:p w:rsidR="00877712" w:rsidRPr="00FA1713" w:rsidRDefault="00877712" w:rsidP="00877712">
      <w:pPr>
        <w:spacing w:after="240" w:line="360" w:lineRule="auto"/>
        <w:rPr>
          <w:rFonts w:ascii="Times New Roman" w:hAnsi="Times New Roman"/>
        </w:rPr>
      </w:pPr>
      <w:proofErr w:type="gramStart"/>
      <w:r w:rsidRPr="00FA1713">
        <w:rPr>
          <w:rFonts w:ascii="Times New Roman" w:hAnsi="Times New Roman"/>
          <w:vertAlign w:val="superscript"/>
        </w:rPr>
        <w:t>a</w:t>
      </w:r>
      <w:r w:rsidRPr="00FA1713">
        <w:rPr>
          <w:rFonts w:ascii="Times New Roman" w:hAnsi="Times New Roman"/>
        </w:rPr>
        <w:t>FWE</w:t>
      </w:r>
      <w:proofErr w:type="gramEnd"/>
      <w:r w:rsidRPr="00FA1713">
        <w:rPr>
          <w:rFonts w:ascii="Times New Roman" w:hAnsi="Times New Roman"/>
        </w:rPr>
        <w:t xml:space="preserve"> cluster level significance</w:t>
      </w:r>
    </w:p>
    <w:p w:rsidR="00877712" w:rsidRPr="00FA1713" w:rsidRDefault="00877712" w:rsidP="00877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72EA" w:rsidRPr="00FA1713" w:rsidRDefault="000072EA" w:rsidP="000072E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0072EA" w:rsidRPr="00FA1713" w:rsidRDefault="000072EA" w:rsidP="000072E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0072EA" w:rsidRPr="00FA1713" w:rsidRDefault="000072EA" w:rsidP="000072E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072EA" w:rsidRPr="00FA1713" w:rsidRDefault="000072EA" w:rsidP="000072EA"/>
    <w:p w:rsidR="000072EA" w:rsidRPr="00FA1713" w:rsidRDefault="000072EA" w:rsidP="000072EA"/>
    <w:p w:rsidR="004511C3" w:rsidRPr="00FA1713" w:rsidRDefault="004511C3" w:rsidP="000072EA"/>
    <w:p w:rsidR="000072EA" w:rsidRPr="00FA1713" w:rsidRDefault="000072EA" w:rsidP="000072EA">
      <w:pPr>
        <w:pStyle w:val="Heading2"/>
        <w:rPr>
          <w:rFonts w:ascii="Times New Roman" w:hAnsi="Times New Roman" w:cs="Times New Roman"/>
          <w:color w:val="auto"/>
          <w:sz w:val="28"/>
        </w:rPr>
      </w:pPr>
      <w:r w:rsidRPr="00FA1713">
        <w:rPr>
          <w:rFonts w:ascii="Times New Roman" w:hAnsi="Times New Roman" w:cs="Times New Roman"/>
          <w:color w:val="auto"/>
          <w:sz w:val="28"/>
        </w:rPr>
        <w:lastRenderedPageBreak/>
        <w:t>Supplementary Table 3</w:t>
      </w:r>
    </w:p>
    <w:p w:rsidR="000072EA" w:rsidRPr="00FA1713" w:rsidRDefault="000072EA" w:rsidP="00007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1713">
        <w:rPr>
          <w:rFonts w:ascii="Times New Roman" w:hAnsi="Times New Roman"/>
          <w:sz w:val="24"/>
          <w:szCs w:val="24"/>
        </w:rPr>
        <w:t xml:space="preserve">The table shows the results from a two-sample t-test comparing amygdala functional connectivity between trauma survivors and controls in un-scrubbed </w:t>
      </w:r>
      <w:r w:rsidR="00841D9B">
        <w:rPr>
          <w:rFonts w:ascii="Times New Roman" w:hAnsi="Times New Roman"/>
          <w:sz w:val="24"/>
          <w:szCs w:val="24"/>
        </w:rPr>
        <w:t xml:space="preserve">(i.e. without interpolation) </w:t>
      </w:r>
      <w:r w:rsidRPr="00FA1713">
        <w:rPr>
          <w:rFonts w:ascii="Times New Roman" w:hAnsi="Times New Roman"/>
          <w:sz w:val="24"/>
          <w:szCs w:val="24"/>
        </w:rPr>
        <w:t>data</w:t>
      </w:r>
      <w:r w:rsidR="00150B7A">
        <w:rPr>
          <w:rFonts w:ascii="Times New Roman" w:hAnsi="Times New Roman"/>
          <w:sz w:val="24"/>
          <w:szCs w:val="24"/>
        </w:rPr>
        <w:t>.</w:t>
      </w:r>
      <w:r w:rsidR="00841D9B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1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851"/>
        <w:gridCol w:w="708"/>
        <w:gridCol w:w="1134"/>
        <w:gridCol w:w="1276"/>
      </w:tblGrid>
      <w:tr w:rsidR="0029603C" w:rsidRPr="00FA1713" w:rsidTr="007B76C4">
        <w:tc>
          <w:tcPr>
            <w:tcW w:w="3936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Region</w:t>
            </w:r>
          </w:p>
          <w:p w:rsidR="0029603C" w:rsidRPr="00FA1713" w:rsidRDefault="0029603C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L/R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71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FA171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29603C" w:rsidRPr="00FA1713" w:rsidTr="007B76C4">
        <w:tc>
          <w:tcPr>
            <w:tcW w:w="3936" w:type="dxa"/>
            <w:shd w:val="clear" w:color="auto" w:fill="auto"/>
            <w:vAlign w:val="center"/>
          </w:tcPr>
          <w:p w:rsidR="0029603C" w:rsidRPr="00FA1713" w:rsidRDefault="0029603C" w:rsidP="00E7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 xml:space="preserve">Anterior midcingulate cortex </w:t>
            </w:r>
          </w:p>
          <w:p w:rsidR="00E7032E" w:rsidRPr="00FA1713" w:rsidRDefault="00E7032E" w:rsidP="00E7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8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5.99</w:t>
            </w:r>
          </w:p>
        </w:tc>
        <w:tc>
          <w:tcPr>
            <w:tcW w:w="1276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29603C" w:rsidRPr="00FA1713" w:rsidTr="007B76C4">
        <w:tc>
          <w:tcPr>
            <w:tcW w:w="3936" w:type="dxa"/>
            <w:shd w:val="clear" w:color="auto" w:fill="auto"/>
            <w:vAlign w:val="center"/>
          </w:tcPr>
          <w:p w:rsidR="0029603C" w:rsidRPr="00FA1713" w:rsidRDefault="00E7032E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Cerebellum</w:t>
            </w:r>
          </w:p>
          <w:p w:rsidR="0029603C" w:rsidRPr="00FA1713" w:rsidRDefault="0029603C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851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708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-2</w:t>
            </w:r>
            <w:r w:rsidR="0029603C" w:rsidRPr="00FA1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1276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29603C" w:rsidRPr="00FA1713" w:rsidTr="007B76C4">
        <w:tc>
          <w:tcPr>
            <w:tcW w:w="3936" w:type="dxa"/>
            <w:shd w:val="clear" w:color="auto" w:fill="auto"/>
            <w:vAlign w:val="center"/>
          </w:tcPr>
          <w:p w:rsidR="0029603C" w:rsidRPr="00FA1713" w:rsidRDefault="00E7032E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Ventromedial prefrontal cortex</w:t>
            </w:r>
          </w:p>
          <w:p w:rsidR="0029603C" w:rsidRPr="00FA1713" w:rsidRDefault="0029603C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851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</w:t>
            </w:r>
            <w:r w:rsidR="00E7032E" w:rsidRPr="00FA17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</w:tr>
      <w:tr w:rsidR="0029603C" w:rsidRPr="00FA1713" w:rsidTr="007B76C4">
        <w:tc>
          <w:tcPr>
            <w:tcW w:w="3936" w:type="dxa"/>
            <w:shd w:val="clear" w:color="auto" w:fill="auto"/>
            <w:vAlign w:val="center"/>
          </w:tcPr>
          <w:p w:rsidR="0029603C" w:rsidRPr="00FA1713" w:rsidRDefault="00E7032E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Supramarginal gyrus</w:t>
            </w:r>
          </w:p>
          <w:p w:rsidR="0029603C" w:rsidRPr="00FA1713" w:rsidRDefault="0029603C" w:rsidP="007B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-62</w:t>
            </w:r>
          </w:p>
        </w:tc>
        <w:tc>
          <w:tcPr>
            <w:tcW w:w="851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708" w:type="dxa"/>
            <w:shd w:val="clear" w:color="auto" w:fill="auto"/>
          </w:tcPr>
          <w:p w:rsidR="0029603C" w:rsidRPr="00FA1713" w:rsidRDefault="00E7032E" w:rsidP="00E7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9603C" w:rsidRPr="00FA1713" w:rsidRDefault="00E7032E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shd w:val="clear" w:color="auto" w:fill="auto"/>
          </w:tcPr>
          <w:p w:rsidR="0029603C" w:rsidRPr="00FA1713" w:rsidRDefault="0029603C" w:rsidP="007B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13">
              <w:rPr>
                <w:rFonts w:ascii="Times New Roman" w:hAnsi="Times New Roman"/>
                <w:sz w:val="24"/>
                <w:szCs w:val="24"/>
              </w:rPr>
              <w:t>0.0</w:t>
            </w:r>
            <w:r w:rsidR="00E7032E" w:rsidRPr="00FA171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4511C3" w:rsidRPr="00FA1713" w:rsidRDefault="004511C3" w:rsidP="004511C3">
      <w:pPr>
        <w:spacing w:after="240" w:line="360" w:lineRule="auto"/>
        <w:rPr>
          <w:rFonts w:ascii="Times New Roman" w:hAnsi="Times New Roman"/>
        </w:rPr>
      </w:pPr>
      <w:proofErr w:type="gramStart"/>
      <w:r w:rsidRPr="00FA1713">
        <w:rPr>
          <w:rFonts w:ascii="Times New Roman" w:hAnsi="Times New Roman"/>
          <w:vertAlign w:val="superscript"/>
        </w:rPr>
        <w:t>a</w:t>
      </w:r>
      <w:r w:rsidRPr="00FA1713">
        <w:rPr>
          <w:rFonts w:ascii="Times New Roman" w:hAnsi="Times New Roman"/>
        </w:rPr>
        <w:t>FWE</w:t>
      </w:r>
      <w:proofErr w:type="gramEnd"/>
      <w:r w:rsidRPr="00FA1713">
        <w:rPr>
          <w:rFonts w:ascii="Times New Roman" w:hAnsi="Times New Roman"/>
        </w:rPr>
        <w:t xml:space="preserve"> cluster level significance</w:t>
      </w: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877712" w:rsidRPr="00FA1713" w:rsidRDefault="00877712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</w:p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0072EA" w:rsidRPr="00FA1713" w:rsidRDefault="000072EA" w:rsidP="000072EA"/>
    <w:p w:rsidR="00611D4A" w:rsidRPr="00FA1713" w:rsidRDefault="0013499D" w:rsidP="00611D4A">
      <w:pPr>
        <w:pStyle w:val="Heading2"/>
        <w:rPr>
          <w:rFonts w:ascii="Times New Roman" w:hAnsi="Times New Roman" w:cs="Times New Roman"/>
          <w:color w:val="auto"/>
          <w:sz w:val="28"/>
        </w:rPr>
      </w:pPr>
      <w:r w:rsidRPr="00FA1713">
        <w:rPr>
          <w:rFonts w:ascii="Times New Roman" w:hAnsi="Times New Roman" w:cs="Times New Roman"/>
          <w:color w:val="auto"/>
          <w:sz w:val="28"/>
        </w:rPr>
        <w:lastRenderedPageBreak/>
        <w:t>Supplementary Table</w:t>
      </w:r>
      <w:r w:rsidR="00877712" w:rsidRPr="00FA1713">
        <w:rPr>
          <w:rFonts w:ascii="Times New Roman" w:hAnsi="Times New Roman" w:cs="Times New Roman"/>
          <w:color w:val="auto"/>
          <w:sz w:val="28"/>
        </w:rPr>
        <w:t xml:space="preserve"> 4</w:t>
      </w:r>
    </w:p>
    <w:p w:rsidR="00E00D03" w:rsidRPr="00FA1713" w:rsidRDefault="00E00D03" w:rsidP="00611D4A">
      <w:pPr>
        <w:rPr>
          <w:rFonts w:ascii="Times New Roman" w:hAnsi="Times New Roman" w:cs="Times New Roman"/>
          <w:sz w:val="28"/>
        </w:rPr>
      </w:pPr>
      <w:r w:rsidRPr="00FA1713">
        <w:rPr>
          <w:rFonts w:ascii="Times New Roman" w:hAnsi="Times New Roman" w:cs="Times New Roman"/>
          <w:sz w:val="24"/>
        </w:rPr>
        <w:t xml:space="preserve"> </w:t>
      </w:r>
      <w:r w:rsidRPr="00FA1713">
        <w:rPr>
          <w:rFonts w:ascii="Times New Roman" w:hAnsi="Times New Roman" w:cs="Times New Roman"/>
          <w:sz w:val="24"/>
          <w:vertAlign w:val="superscript"/>
        </w:rPr>
        <w:t>1</w:t>
      </w:r>
      <w:r w:rsidRPr="00FA1713">
        <w:rPr>
          <w:rFonts w:ascii="Times New Roman" w:hAnsi="Times New Roman" w:cs="Times New Roman"/>
          <w:sz w:val="24"/>
        </w:rPr>
        <w:t xml:space="preserve">H-MRS-values from the voxel </w:t>
      </w:r>
      <w:r w:rsidR="008C1D6A" w:rsidRPr="00FA1713">
        <w:rPr>
          <w:rFonts w:ascii="Times New Roman" w:hAnsi="Times New Roman" w:cs="Times New Roman"/>
          <w:sz w:val="24"/>
        </w:rPr>
        <w:t>in aMCC</w:t>
      </w:r>
      <w:r w:rsidRPr="00FA1713">
        <w:rPr>
          <w:rFonts w:ascii="Times New Roman" w:hAnsi="Times New Roman" w:cs="Times New Roman"/>
          <w:sz w:val="24"/>
        </w:rPr>
        <w:t xml:space="preserve"> and vmPFC</w:t>
      </w:r>
      <w:r w:rsidR="008C1D6A" w:rsidRPr="00FA1713">
        <w:rPr>
          <w:rFonts w:ascii="Times New Roman" w:hAnsi="Times New Roman" w:cs="Times New Roman"/>
          <w:sz w:val="24"/>
        </w:rPr>
        <w:t xml:space="preserve"> divided by group.</w:t>
      </w:r>
    </w:p>
    <w:tbl>
      <w:tblPr>
        <w:tblStyle w:val="TableGrid1"/>
        <w:tblpPr w:leftFromText="180" w:rightFromText="180" w:vertAnchor="page" w:horzAnchor="margin" w:tblpY="2716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1559"/>
      </w:tblGrid>
      <w:tr w:rsidR="00150B7A" w:rsidRPr="00FA1713" w:rsidTr="00150B7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aMCC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vmPFC</w:t>
            </w:r>
          </w:p>
        </w:tc>
      </w:tr>
      <w:tr w:rsidR="00150B7A" w:rsidRPr="00FA1713" w:rsidTr="00150B7A">
        <w:tc>
          <w:tcPr>
            <w:tcW w:w="23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0B7A" w:rsidRPr="00FA1713" w:rsidRDefault="00150B7A" w:rsidP="00150B7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Trauma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Trauma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</w:tr>
      <w:tr w:rsidR="00150B7A" w:rsidRPr="00FA1713" w:rsidTr="00150B7A">
        <w:tc>
          <w:tcPr>
            <w:tcW w:w="2376" w:type="dxa"/>
            <w:vAlign w:val="center"/>
          </w:tcPr>
          <w:p w:rsidR="00150B7A" w:rsidRPr="00FA1713" w:rsidRDefault="00150B7A" w:rsidP="00150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Glu/Cr</w:t>
            </w:r>
          </w:p>
        </w:tc>
        <w:tc>
          <w:tcPr>
            <w:tcW w:w="1843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1.85 ± 0.17</w:t>
            </w:r>
          </w:p>
        </w:tc>
        <w:tc>
          <w:tcPr>
            <w:tcW w:w="1701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1.87 ± 0.14</w:t>
            </w:r>
          </w:p>
        </w:tc>
        <w:tc>
          <w:tcPr>
            <w:tcW w:w="1701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1.63 ± 0.56</w:t>
            </w:r>
          </w:p>
        </w:tc>
        <w:tc>
          <w:tcPr>
            <w:tcW w:w="1559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1.86 ± 0.39</w:t>
            </w:r>
          </w:p>
        </w:tc>
      </w:tr>
      <w:tr w:rsidR="00150B7A" w:rsidRPr="00FA1713" w:rsidTr="00150B7A">
        <w:tc>
          <w:tcPr>
            <w:tcW w:w="2376" w:type="dxa"/>
            <w:vAlign w:val="center"/>
          </w:tcPr>
          <w:p w:rsidR="00150B7A" w:rsidRPr="00FA1713" w:rsidRDefault="00150B7A" w:rsidP="00150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1843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42.95 ± 3.06</w:t>
            </w:r>
          </w:p>
        </w:tc>
        <w:tc>
          <w:tcPr>
            <w:tcW w:w="1701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43.43 ± 4.23</w:t>
            </w:r>
          </w:p>
        </w:tc>
        <w:tc>
          <w:tcPr>
            <w:tcW w:w="1701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37.16 ± 6.18</w:t>
            </w:r>
          </w:p>
        </w:tc>
        <w:tc>
          <w:tcPr>
            <w:tcW w:w="1559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38.30 ± 5.12</w:t>
            </w:r>
          </w:p>
        </w:tc>
      </w:tr>
      <w:tr w:rsidR="00150B7A" w:rsidRPr="00FA1713" w:rsidTr="00150B7A">
        <w:tc>
          <w:tcPr>
            <w:tcW w:w="2376" w:type="dxa"/>
            <w:vAlign w:val="center"/>
          </w:tcPr>
          <w:p w:rsidR="00150B7A" w:rsidRPr="00FA1713" w:rsidRDefault="00150B7A" w:rsidP="00150B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WM</w:t>
            </w:r>
          </w:p>
        </w:tc>
        <w:tc>
          <w:tcPr>
            <w:tcW w:w="1843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48.86 ± 3.44</w:t>
            </w:r>
          </w:p>
        </w:tc>
        <w:tc>
          <w:tcPr>
            <w:tcW w:w="1701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47.98 ± 3.90</w:t>
            </w:r>
          </w:p>
        </w:tc>
        <w:tc>
          <w:tcPr>
            <w:tcW w:w="1701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50.94 ± 4.46</w:t>
            </w:r>
          </w:p>
        </w:tc>
        <w:tc>
          <w:tcPr>
            <w:tcW w:w="1559" w:type="dxa"/>
            <w:vAlign w:val="center"/>
          </w:tcPr>
          <w:p w:rsidR="00150B7A" w:rsidRPr="00FA1713" w:rsidRDefault="00150B7A" w:rsidP="00150B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49.92 ± 3.98</w:t>
            </w:r>
          </w:p>
        </w:tc>
      </w:tr>
    </w:tbl>
    <w:p w:rsidR="00E00D03" w:rsidRPr="00FA1713" w:rsidRDefault="00E00D03" w:rsidP="00E00D03">
      <w:pPr>
        <w:spacing w:after="0" w:line="480" w:lineRule="auto"/>
        <w:rPr>
          <w:rFonts w:ascii="Times New Roman" w:hAnsi="Times New Roman" w:cs="Times New Roman"/>
        </w:rPr>
      </w:pPr>
      <w:r w:rsidRPr="00FA1713">
        <w:rPr>
          <w:rFonts w:ascii="Times New Roman" w:hAnsi="Times New Roman" w:cs="Times New Roman"/>
        </w:rPr>
        <w:t>± indicates SD</w:t>
      </w:r>
    </w:p>
    <w:p w:rsidR="00E00D03" w:rsidRPr="00FA1713" w:rsidRDefault="00E00D03" w:rsidP="00E00D03">
      <w:pPr>
        <w:spacing w:after="0" w:line="480" w:lineRule="auto"/>
        <w:rPr>
          <w:rFonts w:ascii="Times New Roman" w:hAnsi="Times New Roman" w:cs="Times New Roman"/>
        </w:rPr>
      </w:pPr>
      <w:r w:rsidRPr="00FA1713">
        <w:rPr>
          <w:rFonts w:ascii="Times New Roman" w:hAnsi="Times New Roman" w:cs="Times New Roman"/>
        </w:rPr>
        <w:t xml:space="preserve">Abbreviations: </w:t>
      </w:r>
      <w:r w:rsidR="00D5770F" w:rsidRPr="00FA1713">
        <w:rPr>
          <w:rFonts w:ascii="Times New Roman" w:hAnsi="Times New Roman" w:cs="Times New Roman"/>
        </w:rPr>
        <w:t>Glu/Cr = resting-state Glu</w:t>
      </w:r>
      <w:r w:rsidR="00BB4CBD" w:rsidRPr="00FA1713">
        <w:rPr>
          <w:rFonts w:ascii="Times New Roman" w:hAnsi="Times New Roman" w:cs="Times New Roman"/>
        </w:rPr>
        <w:t>tamate</w:t>
      </w:r>
      <w:r w:rsidR="00D5770F" w:rsidRPr="00FA1713">
        <w:rPr>
          <w:rFonts w:ascii="Times New Roman" w:hAnsi="Times New Roman" w:cs="Times New Roman"/>
        </w:rPr>
        <w:t xml:space="preserve"> relative to Creatine. </w:t>
      </w:r>
      <w:r w:rsidR="00FA1713">
        <w:rPr>
          <w:rFonts w:ascii="Times New Roman" w:hAnsi="Times New Roman" w:cs="Times New Roman"/>
        </w:rPr>
        <w:t>GM = Gre</w:t>
      </w:r>
      <w:r w:rsidRPr="00FA1713">
        <w:rPr>
          <w:rFonts w:ascii="Times New Roman" w:hAnsi="Times New Roman" w:cs="Times New Roman"/>
        </w:rPr>
        <w:t xml:space="preserve">y matter proportion in voxel; WM = White matter proportion in voxel. </w:t>
      </w:r>
    </w:p>
    <w:p w:rsidR="00E00D03" w:rsidRPr="00FA1713" w:rsidRDefault="00E00D03" w:rsidP="00252002">
      <w:pPr>
        <w:pStyle w:val="Heading1"/>
      </w:pPr>
    </w:p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E00D03" w:rsidRPr="00FA1713" w:rsidRDefault="00E00D03" w:rsidP="00E00D03"/>
    <w:p w:rsidR="0013499D" w:rsidRPr="00FA1713" w:rsidRDefault="0013499D" w:rsidP="0013499D">
      <w:pPr>
        <w:pStyle w:val="Heading2"/>
        <w:rPr>
          <w:rFonts w:ascii="Times New Roman" w:hAnsi="Times New Roman" w:cs="Times New Roman"/>
          <w:color w:val="auto"/>
          <w:sz w:val="28"/>
        </w:rPr>
      </w:pPr>
      <w:r w:rsidRPr="00FA1713">
        <w:rPr>
          <w:rFonts w:ascii="Times New Roman" w:hAnsi="Times New Roman" w:cs="Times New Roman"/>
          <w:color w:val="auto"/>
          <w:sz w:val="28"/>
        </w:rPr>
        <w:lastRenderedPageBreak/>
        <w:t>Supplementary Figure 1</w:t>
      </w:r>
    </w:p>
    <w:p w:rsidR="0013499D" w:rsidRPr="00FA1713" w:rsidRDefault="0013499D" w:rsidP="0050718C">
      <w:pPr>
        <w:spacing w:after="24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A1713">
        <w:rPr>
          <w:rFonts w:ascii="Times New Roman" w:hAnsi="Times New Roman"/>
          <w:bCs/>
          <w:iCs/>
          <w:sz w:val="24"/>
          <w:szCs w:val="24"/>
        </w:rPr>
        <w:t>Statistical Parametric Map (SPM) demonstrating amygdala functional connectivity across groups.</w:t>
      </w:r>
      <w:proofErr w:type="gramEnd"/>
      <w:r w:rsidRPr="00FA1713">
        <w:rPr>
          <w:rFonts w:ascii="Times New Roman" w:hAnsi="Times New Roman"/>
          <w:bCs/>
          <w:iCs/>
          <w:sz w:val="24"/>
          <w:szCs w:val="24"/>
        </w:rPr>
        <w:t xml:space="preserve"> Images are whole-brain FWE cluster corrected. </w:t>
      </w:r>
      <w:r w:rsidRPr="00FA1713">
        <w:rPr>
          <w:rFonts w:ascii="Times New Roman" w:hAnsi="Times New Roman"/>
          <w:sz w:val="24"/>
          <w:szCs w:val="24"/>
        </w:rPr>
        <w:t xml:space="preserve">See also Supplementary Table 1. </w:t>
      </w:r>
    </w:p>
    <w:p w:rsidR="0013499D" w:rsidRPr="00FA1713" w:rsidRDefault="0013499D" w:rsidP="0013499D">
      <w:pPr>
        <w:pStyle w:val="Heading1"/>
        <w:jc w:val="center"/>
      </w:pPr>
      <w:r w:rsidRPr="00FA1713">
        <w:rPr>
          <w:b w:val="0"/>
          <w:bCs w:val="0"/>
          <w:iCs/>
          <w:noProof/>
          <w:sz w:val="24"/>
          <w:szCs w:val="24"/>
          <w:lang w:eastAsia="en-GB"/>
        </w:rPr>
        <w:drawing>
          <wp:inline distT="0" distB="0" distL="0" distR="0" wp14:anchorId="75EC5482" wp14:editId="067307F9">
            <wp:extent cx="3736800" cy="3222000"/>
            <wp:effectExtent l="0" t="0" r="0" b="0"/>
            <wp:docPr id="3" name="Picture 3" descr="D:\Utoya\rsfmri\figures\Supplementary_f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oya\rsfmri\figures\Supplementary_fig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9D" w:rsidRPr="00FA1713" w:rsidRDefault="0013499D" w:rsidP="00252002">
      <w:pPr>
        <w:pStyle w:val="Heading1"/>
      </w:pPr>
    </w:p>
    <w:p w:rsidR="0013499D" w:rsidRPr="00FA1713" w:rsidRDefault="0013499D" w:rsidP="00252002">
      <w:pPr>
        <w:pStyle w:val="Heading1"/>
      </w:pPr>
    </w:p>
    <w:p w:rsidR="0013499D" w:rsidRPr="00FA1713" w:rsidRDefault="0013499D" w:rsidP="00252002">
      <w:pPr>
        <w:pStyle w:val="Heading1"/>
      </w:pPr>
    </w:p>
    <w:p w:rsidR="0013499D" w:rsidRPr="00FA1713" w:rsidRDefault="0013499D" w:rsidP="00252002">
      <w:pPr>
        <w:pStyle w:val="Heading1"/>
      </w:pPr>
    </w:p>
    <w:p w:rsidR="0013499D" w:rsidRPr="00FA1713" w:rsidRDefault="0013499D" w:rsidP="0013499D"/>
    <w:p w:rsidR="0013499D" w:rsidRPr="00FA1713" w:rsidRDefault="0013499D" w:rsidP="0013499D"/>
    <w:p w:rsidR="0013499D" w:rsidRPr="00FA1713" w:rsidRDefault="0013499D" w:rsidP="0013499D"/>
    <w:p w:rsidR="0013499D" w:rsidRPr="00FA1713" w:rsidRDefault="0013499D" w:rsidP="0013499D"/>
    <w:p w:rsidR="0013499D" w:rsidRPr="00FA1713" w:rsidRDefault="0013499D" w:rsidP="0013499D"/>
    <w:p w:rsidR="00F81717" w:rsidRPr="00FA1713" w:rsidRDefault="00F81717" w:rsidP="0013499D"/>
    <w:p w:rsidR="0013499D" w:rsidRDefault="0013499D" w:rsidP="0013499D"/>
    <w:p w:rsidR="00FB5CFF" w:rsidRDefault="00FB5CFF" w:rsidP="0013499D"/>
    <w:p w:rsidR="00FB5CFF" w:rsidRDefault="00FB5CFF" w:rsidP="0013499D"/>
    <w:p w:rsidR="00FB5CFF" w:rsidRPr="00FA1713" w:rsidRDefault="00FB5CFF" w:rsidP="0013499D"/>
    <w:p w:rsidR="00B61D84" w:rsidRDefault="00B61D84" w:rsidP="00B61D84">
      <w:pPr>
        <w:pStyle w:val="Heading2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Supplementary Figure 2</w:t>
      </w:r>
    </w:p>
    <w:p w:rsidR="004B3FEB" w:rsidRPr="004B3FEB" w:rsidRDefault="004B3FEB" w:rsidP="004B3F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3FEB">
        <w:rPr>
          <w:rFonts w:ascii="Times New Roman" w:hAnsi="Times New Roman" w:cs="Times New Roman"/>
          <w:bCs/>
          <w:sz w:val="24"/>
          <w:szCs w:val="24"/>
        </w:rPr>
        <w:t xml:space="preserve">Overlap between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aMCC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vmPFC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clusters identified from the group comparison of amygdala functional connectivity and the medial prefrontal MRS </w:t>
      </w:r>
      <w:proofErr w:type="gramStart"/>
      <w:r w:rsidRPr="004B3FEB">
        <w:rPr>
          <w:rFonts w:ascii="Times New Roman" w:hAnsi="Times New Roman" w:cs="Times New Roman"/>
          <w:bCs/>
          <w:sz w:val="24"/>
          <w:szCs w:val="24"/>
        </w:rPr>
        <w:t>voxels</w:t>
      </w:r>
      <w:proofErr w:type="gram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. A: Overlap between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aMCC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MRS voxel and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aMCC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cluster. The SPM image (violet) is displayed at an uncorrected p&lt;0.005 for illustrative reasons.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aMCC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MRS voxel is displayed in green-blue colour indicating the probability distribution for the anatomical placement</w:t>
      </w:r>
      <w:r w:rsidR="004013FC">
        <w:rPr>
          <w:rFonts w:ascii="Times New Roman" w:hAnsi="Times New Roman" w:cs="Times New Roman"/>
          <w:bCs/>
          <w:sz w:val="24"/>
          <w:szCs w:val="24"/>
        </w:rPr>
        <w:t xml:space="preserve"> across subjects</w:t>
      </w:r>
      <w:r w:rsidRPr="004B3F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58E8" w:rsidRPr="003A58E8">
        <w:rPr>
          <w:rFonts w:ascii="Times New Roman" w:hAnsi="Times New Roman" w:cs="Times New Roman"/>
          <w:bCs/>
          <w:sz w:val="24"/>
          <w:szCs w:val="24"/>
        </w:rPr>
        <w:t>Green indicates regions covered by at least 50% of placements, while blue indicates regions covered by at least 95% of placements.</w:t>
      </w:r>
      <w:r w:rsidR="003A58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B3FEB">
        <w:rPr>
          <w:rFonts w:ascii="Times New Roman" w:hAnsi="Times New Roman" w:cs="Times New Roman"/>
          <w:bCs/>
          <w:sz w:val="24"/>
          <w:szCs w:val="24"/>
        </w:rPr>
        <w:t xml:space="preserve">B: Overlap between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vmPFC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MRS voxel and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vmPFC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cluster. The SPM image (violet) is displayed at an uncorrected p&lt;0.005 for illustrative reasons. The </w:t>
      </w:r>
      <w:proofErr w:type="spellStart"/>
      <w:r w:rsidRPr="004B3FEB">
        <w:rPr>
          <w:rFonts w:ascii="Times New Roman" w:hAnsi="Times New Roman" w:cs="Times New Roman"/>
          <w:bCs/>
          <w:sz w:val="24"/>
          <w:szCs w:val="24"/>
        </w:rPr>
        <w:t>vmPFC</w:t>
      </w:r>
      <w:proofErr w:type="spellEnd"/>
      <w:r w:rsidRPr="004B3FEB">
        <w:rPr>
          <w:rFonts w:ascii="Times New Roman" w:hAnsi="Times New Roman" w:cs="Times New Roman"/>
          <w:bCs/>
          <w:sz w:val="24"/>
          <w:szCs w:val="24"/>
        </w:rPr>
        <w:t xml:space="preserve"> MRS voxel is displayed in green-blue colour indicating the probability distribution for the anatomical placement</w:t>
      </w:r>
      <w:r w:rsidR="004013FC">
        <w:rPr>
          <w:rFonts w:ascii="Times New Roman" w:hAnsi="Times New Roman" w:cs="Times New Roman"/>
          <w:bCs/>
          <w:sz w:val="24"/>
          <w:szCs w:val="24"/>
        </w:rPr>
        <w:t xml:space="preserve"> across subjects</w:t>
      </w:r>
      <w:r w:rsidRPr="004B3FEB">
        <w:rPr>
          <w:rFonts w:ascii="Times New Roman" w:hAnsi="Times New Roman" w:cs="Times New Roman"/>
          <w:bCs/>
          <w:sz w:val="24"/>
          <w:szCs w:val="24"/>
        </w:rPr>
        <w:t xml:space="preserve">. Green indicates </w:t>
      </w:r>
      <w:r w:rsidR="003A58E8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4B3FEB">
        <w:rPr>
          <w:rFonts w:ascii="Times New Roman" w:hAnsi="Times New Roman" w:cs="Times New Roman"/>
          <w:bCs/>
          <w:sz w:val="24"/>
          <w:szCs w:val="24"/>
        </w:rPr>
        <w:t>50%</w:t>
      </w:r>
      <w:r w:rsidR="003A58E8">
        <w:rPr>
          <w:rFonts w:ascii="Times New Roman" w:hAnsi="Times New Roman" w:cs="Times New Roman"/>
          <w:bCs/>
          <w:sz w:val="24"/>
          <w:szCs w:val="24"/>
        </w:rPr>
        <w:t xml:space="preserve"> coverage</w:t>
      </w:r>
      <w:r w:rsidRPr="004B3FEB">
        <w:rPr>
          <w:rFonts w:ascii="Times New Roman" w:hAnsi="Times New Roman" w:cs="Times New Roman"/>
          <w:bCs/>
          <w:sz w:val="24"/>
          <w:szCs w:val="24"/>
        </w:rPr>
        <w:t xml:space="preserve"> and blue </w:t>
      </w:r>
      <w:r w:rsidR="003A58E8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4B3FEB">
        <w:rPr>
          <w:rFonts w:ascii="Times New Roman" w:hAnsi="Times New Roman" w:cs="Times New Roman"/>
          <w:bCs/>
          <w:sz w:val="24"/>
          <w:szCs w:val="24"/>
        </w:rPr>
        <w:t>95%</w:t>
      </w:r>
      <w:r w:rsidR="003A58E8">
        <w:rPr>
          <w:rFonts w:ascii="Times New Roman" w:hAnsi="Times New Roman" w:cs="Times New Roman"/>
          <w:bCs/>
          <w:sz w:val="24"/>
          <w:szCs w:val="24"/>
        </w:rPr>
        <w:t xml:space="preserve"> coverage</w:t>
      </w:r>
      <w:r w:rsidRPr="004B3FEB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FEB" w:rsidRPr="004B3FEB" w:rsidRDefault="004B3FEB" w:rsidP="004B3FEB"/>
    <w:p w:rsidR="00FB5CFF" w:rsidRPr="00FB5CFF" w:rsidRDefault="004B3FEB" w:rsidP="00FB5CF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drawing>
          <wp:inline distT="0" distB="0" distL="0" distR="0" wp14:anchorId="00CFF1A6" wp14:editId="44761B29">
            <wp:extent cx="3463200" cy="1828800"/>
            <wp:effectExtent l="0" t="0" r="4445" b="0"/>
            <wp:docPr id="1" name="Picture 1" descr="D:\Utoya\rsfmri\figures\Supplementary_fi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oya\rsfmri\figures\Supplementary_fig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F" w:rsidRDefault="00FB5CFF" w:rsidP="0013499D"/>
    <w:p w:rsidR="00FB5CFF" w:rsidRDefault="00FB5CFF" w:rsidP="0013499D"/>
    <w:p w:rsidR="00FB5CFF" w:rsidRDefault="00FB5CFF" w:rsidP="0013499D"/>
    <w:p w:rsidR="00FB5CFF" w:rsidRDefault="00FB5CFF" w:rsidP="0013499D"/>
    <w:p w:rsidR="00FB5CFF" w:rsidRDefault="00FB5CFF" w:rsidP="0013499D"/>
    <w:p w:rsidR="00FB5CFF" w:rsidRDefault="00FB5CFF" w:rsidP="0013499D"/>
    <w:p w:rsidR="00FB5CFF" w:rsidRDefault="00FB5CFF" w:rsidP="0013499D"/>
    <w:p w:rsidR="00FB5CFF" w:rsidRDefault="00FB5CFF" w:rsidP="0013499D"/>
    <w:p w:rsidR="00FB5CFF" w:rsidRDefault="00FB5CFF" w:rsidP="0013499D"/>
    <w:p w:rsidR="00B61D84" w:rsidRPr="00FA1713" w:rsidRDefault="00B61D84" w:rsidP="0013499D">
      <w:bookmarkStart w:id="0" w:name="_GoBack"/>
      <w:bookmarkEnd w:id="0"/>
    </w:p>
    <w:p w:rsidR="00252002" w:rsidRPr="00FA1713" w:rsidRDefault="00252002" w:rsidP="00252002">
      <w:pPr>
        <w:pStyle w:val="Heading1"/>
      </w:pPr>
      <w:r w:rsidRPr="00FA1713">
        <w:lastRenderedPageBreak/>
        <w:t>REFERENCES</w:t>
      </w:r>
    </w:p>
    <w:p w:rsidR="00FA1713" w:rsidRPr="00FA1713" w:rsidRDefault="00252002" w:rsidP="00FA1713">
      <w:pPr>
        <w:pStyle w:val="EndNoteBibliography"/>
      </w:pPr>
      <w:r w:rsidRPr="00FA1713">
        <w:rPr>
          <w:lang w:val="en-GB"/>
        </w:rPr>
        <w:fldChar w:fldCharType="begin"/>
      </w:r>
      <w:r w:rsidRPr="00FA1713">
        <w:rPr>
          <w:lang w:val="en-GB"/>
        </w:rPr>
        <w:instrText xml:space="preserve"> ADDIN EN.REFLIST </w:instrText>
      </w:r>
      <w:r w:rsidRPr="00FA1713">
        <w:rPr>
          <w:lang w:val="en-GB"/>
        </w:rPr>
        <w:fldChar w:fldCharType="separate"/>
      </w:r>
      <w:r w:rsidR="00FA1713" w:rsidRPr="00FA1713">
        <w:rPr>
          <w:b/>
        </w:rPr>
        <w:t xml:space="preserve">Provencher SW </w:t>
      </w:r>
      <w:r w:rsidR="00FA1713" w:rsidRPr="00FA1713">
        <w:t xml:space="preserve">(1993). Estimation of metabolite concentrations from localized in vivo proton NMR spectra. </w:t>
      </w:r>
      <w:r w:rsidR="00FA1713" w:rsidRPr="00FA1713">
        <w:rPr>
          <w:i/>
        </w:rPr>
        <w:t>Magn</w:t>
      </w:r>
      <w:r w:rsidR="00FA1713">
        <w:rPr>
          <w:i/>
        </w:rPr>
        <w:t>etic</w:t>
      </w:r>
      <w:r w:rsidR="00FA1713" w:rsidRPr="00FA1713">
        <w:rPr>
          <w:i/>
        </w:rPr>
        <w:t xml:space="preserve"> Reson</w:t>
      </w:r>
      <w:r w:rsidR="00FA1713">
        <w:rPr>
          <w:i/>
        </w:rPr>
        <w:t>ance</w:t>
      </w:r>
      <w:r w:rsidR="00FA1713" w:rsidRPr="00FA1713">
        <w:rPr>
          <w:i/>
        </w:rPr>
        <w:t xml:space="preserve"> Med</w:t>
      </w:r>
      <w:r w:rsidR="00FA1713">
        <w:rPr>
          <w:i/>
        </w:rPr>
        <w:t>icine</w:t>
      </w:r>
      <w:r w:rsidR="00FA1713" w:rsidRPr="00FA1713">
        <w:t xml:space="preserve"> </w:t>
      </w:r>
      <w:r w:rsidR="00FA1713" w:rsidRPr="00FA1713">
        <w:rPr>
          <w:b/>
        </w:rPr>
        <w:t>30</w:t>
      </w:r>
      <w:r w:rsidR="00FA1713" w:rsidRPr="00FA1713">
        <w:t>, 672-679.</w:t>
      </w:r>
    </w:p>
    <w:p w:rsidR="00577FAE" w:rsidRPr="00FA1713" w:rsidRDefault="00252002">
      <w:r w:rsidRPr="00FA1713">
        <w:fldChar w:fldCharType="end"/>
      </w:r>
    </w:p>
    <w:sectPr w:rsidR="00577FAE" w:rsidRPr="00FA1713" w:rsidSect="007150D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sychological Medi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ta5v099trapte2ts5p2zaux9xx05svrztw&quot;&gt;OlgaTherese&lt;record-ids&gt;&lt;item&gt;82&lt;/item&gt;&lt;/record-ids&gt;&lt;/item&gt;&lt;/Libraries&gt;"/>
  </w:docVars>
  <w:rsids>
    <w:rsidRoot w:val="00727B80"/>
    <w:rsid w:val="000072EA"/>
    <w:rsid w:val="0001701F"/>
    <w:rsid w:val="00050FA3"/>
    <w:rsid w:val="0006029F"/>
    <w:rsid w:val="000C23B9"/>
    <w:rsid w:val="000D4195"/>
    <w:rsid w:val="001276D5"/>
    <w:rsid w:val="0013499D"/>
    <w:rsid w:val="00150B7A"/>
    <w:rsid w:val="00161F46"/>
    <w:rsid w:val="00163BCE"/>
    <w:rsid w:val="001F1EA5"/>
    <w:rsid w:val="00211CF6"/>
    <w:rsid w:val="00246F3A"/>
    <w:rsid w:val="00252002"/>
    <w:rsid w:val="00277C56"/>
    <w:rsid w:val="0029603C"/>
    <w:rsid w:val="00390D46"/>
    <w:rsid w:val="003A58E8"/>
    <w:rsid w:val="003F2D4F"/>
    <w:rsid w:val="004013FC"/>
    <w:rsid w:val="00427109"/>
    <w:rsid w:val="004511C3"/>
    <w:rsid w:val="004B0FE3"/>
    <w:rsid w:val="004B3FEB"/>
    <w:rsid w:val="0050718C"/>
    <w:rsid w:val="00544BE8"/>
    <w:rsid w:val="00577FAE"/>
    <w:rsid w:val="005E7E2D"/>
    <w:rsid w:val="00604A22"/>
    <w:rsid w:val="00611D4A"/>
    <w:rsid w:val="0062413B"/>
    <w:rsid w:val="00652607"/>
    <w:rsid w:val="006A0907"/>
    <w:rsid w:val="006A362F"/>
    <w:rsid w:val="007120A7"/>
    <w:rsid w:val="007150DD"/>
    <w:rsid w:val="00727B80"/>
    <w:rsid w:val="00757DBF"/>
    <w:rsid w:val="007D0A44"/>
    <w:rsid w:val="00841748"/>
    <w:rsid w:val="00841D9B"/>
    <w:rsid w:val="00877712"/>
    <w:rsid w:val="00877B66"/>
    <w:rsid w:val="008A0942"/>
    <w:rsid w:val="008C1D6A"/>
    <w:rsid w:val="008E6304"/>
    <w:rsid w:val="00964E5B"/>
    <w:rsid w:val="009C4CE7"/>
    <w:rsid w:val="009E2049"/>
    <w:rsid w:val="00B61D84"/>
    <w:rsid w:val="00B70C42"/>
    <w:rsid w:val="00B81686"/>
    <w:rsid w:val="00BB4CBD"/>
    <w:rsid w:val="00BD46D0"/>
    <w:rsid w:val="00CC2B03"/>
    <w:rsid w:val="00CF427C"/>
    <w:rsid w:val="00D16789"/>
    <w:rsid w:val="00D5770F"/>
    <w:rsid w:val="00E00D03"/>
    <w:rsid w:val="00E1066E"/>
    <w:rsid w:val="00E635A5"/>
    <w:rsid w:val="00E7032E"/>
    <w:rsid w:val="00ED09CD"/>
    <w:rsid w:val="00ED473B"/>
    <w:rsid w:val="00F05E7E"/>
    <w:rsid w:val="00F33BC4"/>
    <w:rsid w:val="00F81717"/>
    <w:rsid w:val="00F85AE3"/>
    <w:rsid w:val="00FA1713"/>
    <w:rsid w:val="00FB5CFF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049"/>
    <w:pPr>
      <w:keepNext/>
      <w:spacing w:before="240" w:after="60" w:line="240" w:lineRule="auto"/>
      <w:jc w:val="both"/>
      <w:outlineLvl w:val="0"/>
    </w:pPr>
    <w:rPr>
      <w:rFonts w:ascii="Times New Roman" w:eastAsia="MS Gothic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049"/>
    <w:rPr>
      <w:rFonts w:ascii="Times New Roman" w:eastAsia="MS Gothic" w:hAnsi="Times New Roman" w:cs="Times New Roman"/>
      <w:b/>
      <w:bCs/>
      <w:kern w:val="32"/>
      <w:sz w:val="32"/>
      <w:szCs w:val="32"/>
    </w:rPr>
  </w:style>
  <w:style w:type="paragraph" w:customStyle="1" w:styleId="Heading11">
    <w:name w:val="Heading 11"/>
    <w:basedOn w:val="Normal"/>
    <w:next w:val="Normal"/>
    <w:rsid w:val="009E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5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0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4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E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E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5200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200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200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2002"/>
    <w:rPr>
      <w:rFonts w:ascii="Calibri" w:hAnsi="Calibri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0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9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9F"/>
    <w:rPr>
      <w:rFonts w:ascii="Calibri" w:eastAsia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1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049"/>
    <w:pPr>
      <w:keepNext/>
      <w:spacing w:before="240" w:after="60" w:line="240" w:lineRule="auto"/>
      <w:jc w:val="both"/>
      <w:outlineLvl w:val="0"/>
    </w:pPr>
    <w:rPr>
      <w:rFonts w:ascii="Times New Roman" w:eastAsia="MS Gothic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049"/>
    <w:rPr>
      <w:rFonts w:ascii="Times New Roman" w:eastAsia="MS Gothic" w:hAnsi="Times New Roman" w:cs="Times New Roman"/>
      <w:b/>
      <w:bCs/>
      <w:kern w:val="32"/>
      <w:sz w:val="32"/>
      <w:szCs w:val="32"/>
    </w:rPr>
  </w:style>
  <w:style w:type="paragraph" w:customStyle="1" w:styleId="Heading11">
    <w:name w:val="Heading 11"/>
    <w:basedOn w:val="Normal"/>
    <w:next w:val="Normal"/>
    <w:rsid w:val="009E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5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0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4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E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E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5200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200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200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2002"/>
    <w:rPr>
      <w:rFonts w:ascii="Calibri" w:hAnsi="Calibri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0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9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9F"/>
    <w:rPr>
      <w:rFonts w:ascii="Calibri" w:eastAsia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1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9133-05BA-44A3-B5B1-F214AFDA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Ousdal</dc:creator>
  <cp:lastModifiedBy>Olga Ousdal</cp:lastModifiedBy>
  <cp:revision>4</cp:revision>
  <dcterms:created xsi:type="dcterms:W3CDTF">2018-05-22T08:19:00Z</dcterms:created>
  <dcterms:modified xsi:type="dcterms:W3CDTF">2018-05-22T08:19:00Z</dcterms:modified>
</cp:coreProperties>
</file>