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8C" w:rsidRPr="00D92FD6" w:rsidRDefault="00D92FD6">
      <w:pPr>
        <w:rPr>
          <w:rFonts w:ascii="Arial" w:hAnsi="Arial" w:cs="Arial"/>
          <w:b/>
        </w:rPr>
      </w:pPr>
      <w:r w:rsidRPr="00D92FD6">
        <w:rPr>
          <w:rFonts w:ascii="Arial" w:hAnsi="Arial" w:cs="Arial"/>
          <w:b/>
        </w:rPr>
        <w:t>Other Supplementary Material</w:t>
      </w:r>
    </w:p>
    <w:p w:rsidR="00D92FD6" w:rsidRPr="00D92FD6" w:rsidRDefault="00D92FD6">
      <w:pPr>
        <w:rPr>
          <w:rFonts w:ascii="Arial" w:hAnsi="Arial" w:cs="Arial"/>
          <w:b/>
        </w:rPr>
      </w:pPr>
    </w:p>
    <w:p w:rsidR="00564D10" w:rsidRDefault="00564D10" w:rsidP="00564D10">
      <w:pPr>
        <w:keepNext/>
      </w:pPr>
      <w:r>
        <w:rPr>
          <w:rFonts w:ascii="Helvetica" w:hAnsi="Helvetica" w:cs="Helvetica"/>
          <w:noProof/>
        </w:rPr>
        <w:drawing>
          <wp:inline distT="0" distB="0" distL="0" distR="0" wp14:anchorId="11AA20E3" wp14:editId="46BC6AD3">
            <wp:extent cx="5943600" cy="367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D6" w:rsidRDefault="00564D10" w:rsidP="00564D10">
      <w:pPr>
        <w:pStyle w:val="Caption"/>
        <w:rPr>
          <w:rFonts w:ascii="Arial" w:hAnsi="Arial" w:cs="Arial"/>
          <w:i w:val="0"/>
          <w:color w:val="000000" w:themeColor="text1"/>
          <w:sz w:val="16"/>
          <w:szCs w:val="16"/>
        </w:rPr>
      </w:pPr>
      <w:r w:rsidRPr="00C5004D">
        <w:rPr>
          <w:rFonts w:ascii="Arial" w:hAnsi="Arial" w:cs="Arial"/>
          <w:b/>
          <w:i w:val="0"/>
          <w:color w:val="000000" w:themeColor="text1"/>
          <w:sz w:val="16"/>
          <w:szCs w:val="16"/>
        </w:rPr>
        <w:t>Fig</w:t>
      </w:r>
      <w:r w:rsidR="00C5004D" w:rsidRPr="00C5004D">
        <w:rPr>
          <w:rFonts w:ascii="Arial" w:hAnsi="Arial" w:cs="Arial"/>
          <w:b/>
          <w:i w:val="0"/>
          <w:color w:val="000000" w:themeColor="text1"/>
          <w:sz w:val="16"/>
          <w:szCs w:val="16"/>
        </w:rPr>
        <w:t>.</w:t>
      </w:r>
      <w:r w:rsidRPr="00C5004D">
        <w:rPr>
          <w:rFonts w:ascii="Arial" w:hAnsi="Arial" w:cs="Arial"/>
          <w:b/>
          <w:i w:val="0"/>
          <w:color w:val="000000" w:themeColor="text1"/>
          <w:sz w:val="16"/>
          <w:szCs w:val="16"/>
        </w:rPr>
        <w:t xml:space="preserve"> </w:t>
      </w:r>
      <w:r w:rsidRPr="00C5004D">
        <w:rPr>
          <w:rFonts w:ascii="Arial" w:hAnsi="Arial" w:cs="Arial"/>
          <w:b/>
          <w:i w:val="0"/>
          <w:color w:val="000000" w:themeColor="text1"/>
          <w:sz w:val="16"/>
          <w:szCs w:val="16"/>
        </w:rPr>
        <w:fldChar w:fldCharType="begin"/>
      </w:r>
      <w:r w:rsidRPr="00C5004D">
        <w:rPr>
          <w:rFonts w:ascii="Arial" w:hAnsi="Arial" w:cs="Arial"/>
          <w:b/>
          <w:i w:val="0"/>
          <w:color w:val="000000" w:themeColor="text1"/>
          <w:sz w:val="16"/>
          <w:szCs w:val="16"/>
        </w:rPr>
        <w:instrText xml:space="preserve"> SEQ Fig \* ARABIC </w:instrText>
      </w:r>
      <w:r w:rsidRPr="00C5004D">
        <w:rPr>
          <w:rFonts w:ascii="Arial" w:hAnsi="Arial" w:cs="Arial"/>
          <w:b/>
          <w:i w:val="0"/>
          <w:color w:val="000000" w:themeColor="text1"/>
          <w:sz w:val="16"/>
          <w:szCs w:val="16"/>
        </w:rPr>
        <w:fldChar w:fldCharType="separate"/>
      </w:r>
      <w:r w:rsidRPr="00C5004D">
        <w:rPr>
          <w:rFonts w:ascii="Arial" w:hAnsi="Arial" w:cs="Arial"/>
          <w:b/>
          <w:i w:val="0"/>
          <w:noProof/>
          <w:color w:val="000000" w:themeColor="text1"/>
          <w:sz w:val="16"/>
          <w:szCs w:val="16"/>
        </w:rPr>
        <w:t>1</w:t>
      </w:r>
      <w:r w:rsidRPr="00C5004D">
        <w:rPr>
          <w:rFonts w:ascii="Arial" w:hAnsi="Arial" w:cs="Arial"/>
          <w:b/>
          <w:i w:val="0"/>
          <w:color w:val="000000" w:themeColor="text1"/>
          <w:sz w:val="16"/>
          <w:szCs w:val="16"/>
        </w:rPr>
        <w:fldChar w:fldCharType="end"/>
      </w:r>
      <w:r w:rsidR="00C5004D" w:rsidRPr="00C5004D">
        <w:rPr>
          <w:rFonts w:ascii="Arial" w:hAnsi="Arial" w:cs="Arial"/>
          <w:b/>
          <w:i w:val="0"/>
          <w:color w:val="000000" w:themeColor="text1"/>
          <w:sz w:val="16"/>
          <w:szCs w:val="16"/>
        </w:rPr>
        <w:t>.</w:t>
      </w:r>
      <w:r w:rsidRPr="00564D10">
        <w:rPr>
          <w:rFonts w:ascii="Arial" w:hAnsi="Arial" w:cs="Arial"/>
          <w:i w:val="0"/>
          <w:color w:val="000000" w:themeColor="text1"/>
          <w:sz w:val="16"/>
          <w:szCs w:val="16"/>
        </w:rPr>
        <w:t xml:space="preserve"> </w:t>
      </w:r>
      <w:r w:rsidRPr="00564D10">
        <w:rPr>
          <w:rFonts w:ascii="Arial" w:hAnsi="Arial" w:cs="Arial"/>
          <w:i w:val="0"/>
          <w:color w:val="000000" w:themeColor="text1"/>
          <w:sz w:val="16"/>
          <w:szCs w:val="16"/>
        </w:rPr>
        <w:t>Correlation heat map between right hemisphere pars triangularis structural measures and clinical scales of mania and depression. Based on 30 individuals with available data within 1 month of scanning.</w:t>
      </w:r>
    </w:p>
    <w:p w:rsidR="00564D10" w:rsidRDefault="00564D10" w:rsidP="00564D10"/>
    <w:p w:rsidR="00564D10" w:rsidRPr="00E638BA" w:rsidRDefault="00E638BA" w:rsidP="00564D10">
      <w:pPr>
        <w:rPr>
          <w:rFonts w:ascii="Arial" w:eastAsia="Times New Roman" w:hAnsi="Arial" w:cs="Arial"/>
          <w:bCs/>
          <w:color w:val="222222"/>
          <w:sz w:val="22"/>
          <w:szCs w:val="22"/>
          <w:lang w:val="en-CA"/>
        </w:rPr>
      </w:pPr>
      <w:r w:rsidRPr="00E638BA">
        <w:rPr>
          <w:rFonts w:ascii="Arial" w:eastAsia="Times New Roman" w:hAnsi="Arial" w:cs="Arial"/>
          <w:bCs/>
          <w:color w:val="222222"/>
          <w:sz w:val="22"/>
          <w:szCs w:val="22"/>
          <w:lang w:val="en-CA"/>
        </w:rPr>
        <w:t>A subset of the participants has completed the Hamilton Depression Rating Scale (HAM-D) and Young Mania Rating Scale (YMRS)</w:t>
      </w:r>
      <w:r>
        <w:rPr>
          <w:rFonts w:ascii="Arial" w:eastAsia="Times New Roman" w:hAnsi="Arial" w:cs="Arial"/>
          <w:bCs/>
          <w:color w:val="222222"/>
          <w:sz w:val="22"/>
          <w:szCs w:val="22"/>
          <w:lang w:val="en-CA"/>
        </w:rPr>
        <w:t xml:space="preserve"> within one month of scanning</w:t>
      </w:r>
      <w:r w:rsidRPr="00E638BA">
        <w:rPr>
          <w:rFonts w:ascii="Arial" w:eastAsia="Times New Roman" w:hAnsi="Arial" w:cs="Arial"/>
          <w:bCs/>
          <w:color w:val="222222"/>
          <w:sz w:val="22"/>
          <w:szCs w:val="22"/>
          <w:lang w:val="en-CA"/>
        </w:rPr>
        <w:t>.</w:t>
      </w:r>
      <w:r>
        <w:rPr>
          <w:rFonts w:ascii="Arial" w:eastAsia="Times New Roman" w:hAnsi="Arial" w:cs="Arial"/>
          <w:bCs/>
          <w:color w:val="222222"/>
          <w:sz w:val="22"/>
          <w:szCs w:val="22"/>
          <w:lang w:val="en-CA"/>
        </w:rPr>
        <w:t xml:space="preserve"> </w:t>
      </w:r>
      <w:r w:rsidRPr="00E638BA">
        <w:rPr>
          <w:rFonts w:ascii="Arial" w:eastAsia="Times New Roman" w:hAnsi="Arial" w:cs="Arial"/>
          <w:bCs/>
          <w:color w:val="222222"/>
          <w:sz w:val="22"/>
          <w:szCs w:val="22"/>
          <w:lang w:val="en-CA"/>
        </w:rPr>
        <w:t>There were no statistically significant associations between the cortical m</w:t>
      </w:r>
      <w:r w:rsidR="00B01752">
        <w:rPr>
          <w:rFonts w:ascii="Arial" w:eastAsia="Times New Roman" w:hAnsi="Arial" w:cs="Arial"/>
          <w:bCs/>
          <w:color w:val="222222"/>
          <w:sz w:val="22"/>
          <w:szCs w:val="22"/>
          <w:lang w:val="en-CA"/>
        </w:rPr>
        <w:t xml:space="preserve">easures and the clinical scales, with the greatest negative relationship being between </w:t>
      </w:r>
      <w:r w:rsidR="00167D09">
        <w:rPr>
          <w:rFonts w:ascii="Arial" w:eastAsia="Times New Roman" w:hAnsi="Arial" w:cs="Arial"/>
          <w:bCs/>
          <w:color w:val="222222"/>
          <w:sz w:val="22"/>
          <w:szCs w:val="22"/>
          <w:lang w:val="en-CA"/>
        </w:rPr>
        <w:t xml:space="preserve">right pars triangularis </w:t>
      </w:r>
      <w:bookmarkStart w:id="0" w:name="_GoBack"/>
      <w:bookmarkEnd w:id="0"/>
      <w:r w:rsidR="00B01752">
        <w:rPr>
          <w:rFonts w:ascii="Arial" w:eastAsia="Times New Roman" w:hAnsi="Arial" w:cs="Arial"/>
          <w:bCs/>
          <w:color w:val="222222"/>
          <w:sz w:val="22"/>
          <w:szCs w:val="22"/>
          <w:lang w:val="en-CA"/>
        </w:rPr>
        <w:t>thickness and YMRS (</w:t>
      </w:r>
      <w:r w:rsidR="00B01752" w:rsidRPr="004F323E">
        <w:rPr>
          <w:rFonts w:ascii="Arial" w:hAnsi="Arial" w:cs="Arial"/>
          <w:sz w:val="22"/>
          <w:szCs w:val="22"/>
        </w:rPr>
        <w:t xml:space="preserve">Pearson </w:t>
      </w:r>
      <w:r w:rsidR="00B01752">
        <w:rPr>
          <w:rFonts w:ascii="Arial" w:hAnsi="Arial" w:cs="Arial"/>
          <w:i/>
          <w:sz w:val="22"/>
          <w:szCs w:val="22"/>
        </w:rPr>
        <w:t>r(28</w:t>
      </w:r>
      <w:r w:rsidR="00B01752" w:rsidRPr="004F323E">
        <w:rPr>
          <w:rFonts w:ascii="Arial" w:hAnsi="Arial" w:cs="Arial"/>
          <w:i/>
          <w:sz w:val="22"/>
          <w:szCs w:val="22"/>
        </w:rPr>
        <w:t>)</w:t>
      </w:r>
      <w:r w:rsidR="00B01752">
        <w:rPr>
          <w:rFonts w:ascii="Arial" w:hAnsi="Arial" w:cs="Arial"/>
          <w:i/>
          <w:sz w:val="22"/>
          <w:szCs w:val="22"/>
        </w:rPr>
        <w:t xml:space="preserve"> </w:t>
      </w:r>
      <w:r w:rsidR="00B01752" w:rsidRPr="004F323E">
        <w:rPr>
          <w:rFonts w:ascii="Arial" w:hAnsi="Arial" w:cs="Arial"/>
          <w:sz w:val="22"/>
          <w:szCs w:val="22"/>
        </w:rPr>
        <w:t>=</w:t>
      </w:r>
      <w:r w:rsidR="00B01752" w:rsidRPr="004F323E">
        <w:rPr>
          <w:rFonts w:ascii="Arial" w:eastAsia="Times New Roman" w:hAnsi="Arial" w:cs="Arial"/>
          <w:color w:val="000000"/>
          <w:sz w:val="22"/>
          <w:szCs w:val="22"/>
        </w:rPr>
        <w:t xml:space="preserve"> –</w:t>
      </w:r>
      <w:r w:rsidR="00B01752" w:rsidRPr="004F323E">
        <w:rPr>
          <w:rFonts w:ascii="Arial" w:hAnsi="Arial" w:cs="Arial"/>
          <w:sz w:val="22"/>
          <w:szCs w:val="22"/>
        </w:rPr>
        <w:t>.</w:t>
      </w:r>
      <w:r w:rsidR="00B01752">
        <w:rPr>
          <w:rFonts w:ascii="Arial" w:hAnsi="Arial" w:cs="Arial"/>
          <w:sz w:val="22"/>
          <w:szCs w:val="22"/>
        </w:rPr>
        <w:t>25</w:t>
      </w:r>
      <w:r w:rsidR="00B01752" w:rsidRPr="004F323E">
        <w:rPr>
          <w:rFonts w:ascii="Arial" w:hAnsi="Arial" w:cs="Arial"/>
          <w:sz w:val="22"/>
          <w:szCs w:val="22"/>
        </w:rPr>
        <w:t xml:space="preserve">, </w:t>
      </w:r>
      <w:r w:rsidR="00B01752" w:rsidRPr="00BA5A0F">
        <w:rPr>
          <w:rFonts w:ascii="Arial" w:hAnsi="Arial" w:cs="Arial"/>
          <w:i/>
          <w:sz w:val="22"/>
          <w:szCs w:val="22"/>
        </w:rPr>
        <w:t>p</w:t>
      </w:r>
      <w:r w:rsidR="00B01752">
        <w:rPr>
          <w:rFonts w:ascii="Arial" w:hAnsi="Arial" w:cs="Arial"/>
          <w:sz w:val="22"/>
          <w:szCs w:val="22"/>
        </w:rPr>
        <w:t xml:space="preserve"> </w:t>
      </w:r>
      <w:r w:rsidR="00B01752" w:rsidRPr="004F323E">
        <w:rPr>
          <w:rFonts w:ascii="Arial" w:hAnsi="Arial" w:cs="Arial"/>
          <w:sz w:val="22"/>
          <w:szCs w:val="22"/>
        </w:rPr>
        <w:t>=</w:t>
      </w:r>
      <w:r w:rsidR="00B01752">
        <w:rPr>
          <w:rFonts w:ascii="Arial" w:hAnsi="Arial" w:cs="Arial"/>
          <w:sz w:val="22"/>
          <w:szCs w:val="22"/>
        </w:rPr>
        <w:t xml:space="preserve"> </w:t>
      </w:r>
      <w:r w:rsidR="00B01752" w:rsidRPr="004F323E">
        <w:rPr>
          <w:rFonts w:ascii="Arial" w:hAnsi="Arial" w:cs="Arial"/>
          <w:sz w:val="22"/>
          <w:szCs w:val="22"/>
        </w:rPr>
        <w:t>.1</w:t>
      </w:r>
      <w:r w:rsidR="00B01752">
        <w:rPr>
          <w:rFonts w:ascii="Arial" w:hAnsi="Arial" w:cs="Arial"/>
          <w:sz w:val="22"/>
          <w:szCs w:val="22"/>
        </w:rPr>
        <w:t>9</w:t>
      </w:r>
      <w:r w:rsidR="00B01752" w:rsidRPr="004F323E">
        <w:rPr>
          <w:rFonts w:ascii="Arial" w:hAnsi="Arial" w:cs="Arial"/>
          <w:sz w:val="22"/>
          <w:szCs w:val="22"/>
        </w:rPr>
        <w:t>).</w:t>
      </w:r>
    </w:p>
    <w:p w:rsidR="00564D10" w:rsidRPr="00564D10" w:rsidRDefault="00564D10" w:rsidP="00564D10"/>
    <w:sectPr w:rsidR="00564D10" w:rsidRPr="00564D10" w:rsidSect="00CA5F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D6"/>
    <w:rsid w:val="00167D09"/>
    <w:rsid w:val="00466CDB"/>
    <w:rsid w:val="005353CE"/>
    <w:rsid w:val="00564D10"/>
    <w:rsid w:val="00607DFF"/>
    <w:rsid w:val="00635330"/>
    <w:rsid w:val="00B01752"/>
    <w:rsid w:val="00C5004D"/>
    <w:rsid w:val="00CA5FB9"/>
    <w:rsid w:val="00D27571"/>
    <w:rsid w:val="00D92FD6"/>
    <w:rsid w:val="00E638BA"/>
    <w:rsid w:val="00F77DE4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0167C"/>
  <w15:chartTrackingRefBased/>
  <w15:docId w15:val="{9F80C7D8-5E83-1849-8176-C4699D18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64D1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Drobinin</dc:creator>
  <cp:keywords/>
  <dc:description/>
  <cp:lastModifiedBy>Vlad Drobinin</cp:lastModifiedBy>
  <cp:revision>5</cp:revision>
  <dcterms:created xsi:type="dcterms:W3CDTF">2018-05-01T20:35:00Z</dcterms:created>
  <dcterms:modified xsi:type="dcterms:W3CDTF">2018-05-01T20:56:00Z</dcterms:modified>
</cp:coreProperties>
</file>