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AE2BA" w14:textId="77777777" w:rsidR="002A5D6F" w:rsidRDefault="000F1253" w:rsidP="000F1253">
      <w:pPr>
        <w:pStyle w:val="Heading1"/>
        <w:spacing w:line="480" w:lineRule="auto"/>
        <w:ind w:left="0"/>
        <w:jc w:val="both"/>
      </w:pPr>
      <w:r>
        <w:t>Supplementary Information</w:t>
      </w:r>
    </w:p>
    <w:p w14:paraId="6708F7D3" w14:textId="77777777" w:rsidR="002A5D6F" w:rsidRDefault="002A5D6F" w:rsidP="000F1253">
      <w:pPr>
        <w:pStyle w:val="BodyText"/>
        <w:spacing w:line="480" w:lineRule="auto"/>
        <w:ind w:left="0" w:right="0"/>
        <w:jc w:val="both"/>
        <w:rPr>
          <w:b/>
        </w:rPr>
      </w:pPr>
    </w:p>
    <w:p w14:paraId="5E18360A" w14:textId="77777777" w:rsidR="002A5D6F" w:rsidRDefault="000F1253" w:rsidP="000F1253">
      <w:p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>Flow cytometric analysis of DR and pSTAT3 on human monocytes</w:t>
      </w:r>
    </w:p>
    <w:p w14:paraId="61DDF60C" w14:textId="77777777" w:rsidR="002A5D6F" w:rsidRDefault="002A5D6F" w:rsidP="000F1253">
      <w:pPr>
        <w:pStyle w:val="BodyText"/>
        <w:spacing w:line="480" w:lineRule="auto"/>
        <w:ind w:left="0" w:right="0"/>
        <w:jc w:val="both"/>
        <w:rPr>
          <w:b/>
          <w:sz w:val="22"/>
        </w:rPr>
      </w:pPr>
    </w:p>
    <w:p w14:paraId="1B351117" w14:textId="77777777" w:rsidR="002A5D6F" w:rsidRPr="000F1253" w:rsidRDefault="000F1253" w:rsidP="000F1253">
      <w:pPr>
        <w:pStyle w:val="BodyText"/>
        <w:spacing w:line="480" w:lineRule="auto"/>
        <w:ind w:left="0" w:right="0"/>
        <w:jc w:val="both"/>
      </w:pPr>
      <w:r w:rsidRPr="000F1253">
        <w:t>Analysis</w:t>
      </w:r>
      <w:r w:rsidRPr="000F1253">
        <w:rPr>
          <w:spacing w:val="-13"/>
        </w:rPr>
        <w:t xml:space="preserve"> </w:t>
      </w:r>
      <w:r w:rsidRPr="000F1253">
        <w:t>of</w:t>
      </w:r>
      <w:r w:rsidRPr="000F1253">
        <w:rPr>
          <w:spacing w:val="-19"/>
        </w:rPr>
        <w:t xml:space="preserve"> </w:t>
      </w:r>
      <w:r w:rsidRPr="000F1253">
        <w:t>DR</w:t>
      </w:r>
      <w:r w:rsidRPr="000F1253">
        <w:rPr>
          <w:spacing w:val="-13"/>
        </w:rPr>
        <w:t xml:space="preserve"> </w:t>
      </w:r>
      <w:r w:rsidRPr="000F1253">
        <w:t>on</w:t>
      </w:r>
      <w:r w:rsidRPr="000F1253">
        <w:rPr>
          <w:spacing w:val="-11"/>
        </w:rPr>
        <w:t xml:space="preserve"> </w:t>
      </w:r>
      <w:r w:rsidRPr="000F1253">
        <w:t>monocytes</w:t>
      </w:r>
      <w:r w:rsidRPr="000F1253">
        <w:rPr>
          <w:spacing w:val="-13"/>
        </w:rPr>
        <w:t xml:space="preserve"> </w:t>
      </w:r>
      <w:r w:rsidRPr="000F1253">
        <w:t>was</w:t>
      </w:r>
      <w:r w:rsidRPr="000F1253">
        <w:rPr>
          <w:spacing w:val="-13"/>
        </w:rPr>
        <w:t xml:space="preserve"> </w:t>
      </w:r>
      <w:r w:rsidRPr="000F1253">
        <w:t>performed</w:t>
      </w:r>
      <w:r w:rsidRPr="000F1253">
        <w:rPr>
          <w:spacing w:val="-11"/>
        </w:rPr>
        <w:t xml:space="preserve"> </w:t>
      </w:r>
      <w:r w:rsidRPr="000F1253">
        <w:t>according</w:t>
      </w:r>
      <w:r w:rsidRPr="000F1253">
        <w:rPr>
          <w:spacing w:val="-11"/>
        </w:rPr>
        <w:t xml:space="preserve"> </w:t>
      </w:r>
      <w:r w:rsidRPr="000F1253">
        <w:t>to</w:t>
      </w:r>
      <w:r w:rsidRPr="000F1253">
        <w:rPr>
          <w:spacing w:val="-7"/>
        </w:rPr>
        <w:t xml:space="preserve"> </w:t>
      </w:r>
      <w:r w:rsidRPr="000F1253">
        <w:t>a</w:t>
      </w:r>
      <w:r w:rsidRPr="000F1253">
        <w:rPr>
          <w:spacing w:val="-6"/>
        </w:rPr>
        <w:t xml:space="preserve"> </w:t>
      </w:r>
      <w:r w:rsidRPr="000F1253">
        <w:t>previously</w:t>
      </w:r>
      <w:r w:rsidRPr="000F1253">
        <w:rPr>
          <w:spacing w:val="-15"/>
        </w:rPr>
        <w:t xml:space="preserve"> </w:t>
      </w:r>
      <w:r w:rsidRPr="000F1253">
        <w:t>established</w:t>
      </w:r>
      <w:r w:rsidRPr="000F1253">
        <w:rPr>
          <w:spacing w:val="-7"/>
        </w:rPr>
        <w:t xml:space="preserve"> </w:t>
      </w:r>
      <w:r w:rsidRPr="000F1253">
        <w:t>method</w:t>
      </w:r>
      <w:r w:rsidR="0092332C" w:rsidRPr="000F1253">
        <w:t xml:space="preserve"> (</w:t>
      </w:r>
      <w:r w:rsidR="0092332C" w:rsidRPr="000F1253">
        <w:rPr>
          <w:color w:val="131413"/>
        </w:rPr>
        <w:t xml:space="preserve">Kustrimovic N </w:t>
      </w:r>
      <w:r w:rsidR="0092332C" w:rsidRPr="000F1253">
        <w:rPr>
          <w:i/>
          <w:color w:val="131413"/>
        </w:rPr>
        <w:t>et al</w:t>
      </w:r>
      <w:r w:rsidR="0092332C" w:rsidRPr="000F1253">
        <w:rPr>
          <w:color w:val="131413"/>
        </w:rPr>
        <w:t xml:space="preserve">. </w:t>
      </w:r>
      <w:r w:rsidR="0092332C" w:rsidRPr="000F1253">
        <w:t xml:space="preserve">2014; Kustrimovic N </w:t>
      </w:r>
      <w:r w:rsidR="0092332C" w:rsidRPr="000F1253">
        <w:rPr>
          <w:i/>
        </w:rPr>
        <w:t>et al</w:t>
      </w:r>
      <w:r w:rsidR="0092332C" w:rsidRPr="000F1253">
        <w:t xml:space="preserve">. 2016) </w:t>
      </w:r>
      <w:r w:rsidRPr="000F1253">
        <w:t xml:space="preserve">modified. Briefly, aliquots of 200 </w:t>
      </w:r>
      <w:r>
        <w:sym w:font="Symbol" w:char="F06D"/>
      </w:r>
      <w:r w:rsidRPr="000F1253">
        <w:t>L whole blood were prepared, and erythrocytes were removed</w:t>
      </w:r>
      <w:r w:rsidRPr="000F1253">
        <w:rPr>
          <w:spacing w:val="-12"/>
        </w:rPr>
        <w:t xml:space="preserve"> </w:t>
      </w:r>
      <w:r w:rsidRPr="000F1253">
        <w:t>by</w:t>
      </w:r>
      <w:r w:rsidRPr="000F1253">
        <w:rPr>
          <w:spacing w:val="-12"/>
        </w:rPr>
        <w:t xml:space="preserve"> </w:t>
      </w:r>
      <w:r w:rsidRPr="000F1253">
        <w:t>means</w:t>
      </w:r>
      <w:r w:rsidRPr="000F1253">
        <w:rPr>
          <w:spacing w:val="-14"/>
        </w:rPr>
        <w:t xml:space="preserve"> </w:t>
      </w:r>
      <w:r w:rsidRPr="000F1253">
        <w:rPr>
          <w:spacing w:val="3"/>
        </w:rPr>
        <w:t>of</w:t>
      </w:r>
      <w:r w:rsidRPr="000F1253">
        <w:rPr>
          <w:spacing w:val="-20"/>
        </w:rPr>
        <w:t xml:space="preserve"> </w:t>
      </w:r>
      <w:r w:rsidRPr="000F1253">
        <w:t>a</w:t>
      </w:r>
      <w:r w:rsidRPr="000F1253">
        <w:rPr>
          <w:spacing w:val="-13"/>
        </w:rPr>
        <w:t xml:space="preserve"> </w:t>
      </w:r>
      <w:r w:rsidRPr="000F1253">
        <w:t>lysis</w:t>
      </w:r>
      <w:r w:rsidRPr="000F1253">
        <w:rPr>
          <w:spacing w:val="-10"/>
        </w:rPr>
        <w:t xml:space="preserve"> </w:t>
      </w:r>
      <w:r w:rsidRPr="000F1253">
        <w:t>buffer.</w:t>
      </w:r>
      <w:r w:rsidRPr="000F1253">
        <w:rPr>
          <w:spacing w:val="-11"/>
        </w:rPr>
        <w:t xml:space="preserve"> </w:t>
      </w:r>
      <w:r w:rsidRPr="000F1253">
        <w:t>The</w:t>
      </w:r>
      <w:r w:rsidRPr="000F1253">
        <w:rPr>
          <w:spacing w:val="-13"/>
        </w:rPr>
        <w:t xml:space="preserve"> </w:t>
      </w:r>
      <w:r w:rsidRPr="000F1253">
        <w:t>staining</w:t>
      </w:r>
      <w:r w:rsidRPr="000F1253">
        <w:rPr>
          <w:spacing w:val="-12"/>
        </w:rPr>
        <w:t xml:space="preserve"> </w:t>
      </w:r>
      <w:r w:rsidRPr="000F1253">
        <w:t>protocol</w:t>
      </w:r>
      <w:r w:rsidRPr="000F1253">
        <w:rPr>
          <w:spacing w:val="-16"/>
        </w:rPr>
        <w:t xml:space="preserve"> </w:t>
      </w:r>
      <w:r w:rsidRPr="000F1253">
        <w:t>included</w:t>
      </w:r>
      <w:r w:rsidRPr="000F1253">
        <w:rPr>
          <w:spacing w:val="-12"/>
        </w:rPr>
        <w:t xml:space="preserve"> </w:t>
      </w:r>
      <w:r w:rsidRPr="000F1253">
        <w:t>treatment</w:t>
      </w:r>
      <w:r w:rsidRPr="000F1253">
        <w:rPr>
          <w:spacing w:val="-12"/>
        </w:rPr>
        <w:t xml:space="preserve"> </w:t>
      </w:r>
      <w:r w:rsidRPr="000F1253">
        <w:t>of</w:t>
      </w:r>
      <w:r w:rsidRPr="000F1253">
        <w:rPr>
          <w:spacing w:val="-20"/>
        </w:rPr>
        <w:t xml:space="preserve"> </w:t>
      </w:r>
      <w:r w:rsidRPr="000F1253">
        <w:t>aliquots</w:t>
      </w:r>
      <w:r w:rsidRPr="000F1253">
        <w:rPr>
          <w:spacing w:val="-14"/>
        </w:rPr>
        <w:t xml:space="preserve"> </w:t>
      </w:r>
      <w:r w:rsidRPr="000F1253">
        <w:t>with</w:t>
      </w:r>
      <w:r>
        <w:t xml:space="preserve"> </w:t>
      </w:r>
      <w:r w:rsidRPr="000F1253">
        <w:t xml:space="preserve">5 μL Fc Block Solution (Biolegend-Campoverde, code 422302) for 10 </w:t>
      </w:r>
      <w:r w:rsidRPr="000F1253">
        <w:rPr>
          <w:spacing w:val="-4"/>
        </w:rPr>
        <w:t xml:space="preserve">min </w:t>
      </w:r>
      <w:r w:rsidRPr="000F1253">
        <w:t xml:space="preserve">at room temperature, </w:t>
      </w:r>
      <w:r w:rsidRPr="000F1253">
        <w:rPr>
          <w:spacing w:val="-3"/>
        </w:rPr>
        <w:t xml:space="preserve">followed </w:t>
      </w:r>
      <w:r w:rsidRPr="000F1253">
        <w:t xml:space="preserve">by incubation with the primary anti-DR ab (D1: Merck-Millipore, code 324390; D2: LifeSpan-Space, code LS-C22924; D3: Merck-Millipore, code 324402; D4: LifeSpan-Space, code LS-C22938; D5: Merck-Millipore, code 324408) for 30 </w:t>
      </w:r>
      <w:r w:rsidRPr="000F1253">
        <w:rPr>
          <w:spacing w:val="-4"/>
        </w:rPr>
        <w:t xml:space="preserve">min </w:t>
      </w:r>
      <w:r w:rsidRPr="000F1253">
        <w:t>on ice</w:t>
      </w:r>
      <w:r w:rsidRPr="000F1253">
        <w:rPr>
          <w:spacing w:val="-11"/>
        </w:rPr>
        <w:t xml:space="preserve"> </w:t>
      </w:r>
      <w:r w:rsidRPr="000F1253">
        <w:rPr>
          <w:spacing w:val="-3"/>
        </w:rPr>
        <w:t>in</w:t>
      </w:r>
      <w:r w:rsidRPr="000F1253">
        <w:rPr>
          <w:spacing w:val="-13"/>
        </w:rPr>
        <w:t xml:space="preserve"> </w:t>
      </w:r>
      <w:r w:rsidRPr="000F1253">
        <w:t>the</w:t>
      </w:r>
      <w:r w:rsidRPr="000F1253">
        <w:rPr>
          <w:spacing w:val="-14"/>
        </w:rPr>
        <w:t xml:space="preserve"> </w:t>
      </w:r>
      <w:r w:rsidRPr="000F1253">
        <w:t>dark,</w:t>
      </w:r>
      <w:r w:rsidRPr="000F1253">
        <w:rPr>
          <w:spacing w:val="-12"/>
        </w:rPr>
        <w:t xml:space="preserve"> </w:t>
      </w:r>
      <w:r w:rsidRPr="000F1253">
        <w:t>washing</w:t>
      </w:r>
      <w:r w:rsidRPr="000F1253">
        <w:rPr>
          <w:spacing w:val="-13"/>
        </w:rPr>
        <w:t xml:space="preserve"> </w:t>
      </w:r>
      <w:r w:rsidRPr="000F1253">
        <w:t>and</w:t>
      </w:r>
      <w:r w:rsidRPr="000F1253">
        <w:rPr>
          <w:spacing w:val="-10"/>
        </w:rPr>
        <w:t xml:space="preserve"> </w:t>
      </w:r>
      <w:r w:rsidRPr="000F1253">
        <w:t>incubation</w:t>
      </w:r>
      <w:r w:rsidRPr="000F1253">
        <w:rPr>
          <w:spacing w:val="-18"/>
        </w:rPr>
        <w:t xml:space="preserve"> </w:t>
      </w:r>
      <w:r w:rsidRPr="000F1253">
        <w:t>with</w:t>
      </w:r>
      <w:r w:rsidRPr="000F1253">
        <w:rPr>
          <w:spacing w:val="-18"/>
        </w:rPr>
        <w:t xml:space="preserve"> </w:t>
      </w:r>
      <w:r w:rsidRPr="000F1253">
        <w:t>the</w:t>
      </w:r>
      <w:r w:rsidRPr="000F1253">
        <w:rPr>
          <w:spacing w:val="-11"/>
        </w:rPr>
        <w:t xml:space="preserve"> </w:t>
      </w:r>
      <w:r w:rsidRPr="000F1253">
        <w:t>secondary</w:t>
      </w:r>
      <w:r w:rsidRPr="000F1253">
        <w:rPr>
          <w:spacing w:val="-23"/>
        </w:rPr>
        <w:t xml:space="preserve"> </w:t>
      </w:r>
      <w:r w:rsidRPr="000F1253">
        <w:t>ab</w:t>
      </w:r>
      <w:r w:rsidRPr="000F1253">
        <w:rPr>
          <w:spacing w:val="-18"/>
        </w:rPr>
        <w:t xml:space="preserve"> </w:t>
      </w:r>
      <w:r w:rsidRPr="000F1253">
        <w:t>(Alexa</w:t>
      </w:r>
      <w:r w:rsidRPr="000F1253">
        <w:rPr>
          <w:spacing w:val="-11"/>
        </w:rPr>
        <w:t xml:space="preserve"> </w:t>
      </w:r>
      <w:r w:rsidRPr="000F1253">
        <w:t>Fluor®</w:t>
      </w:r>
      <w:r w:rsidRPr="000F1253">
        <w:rPr>
          <w:spacing w:val="-13"/>
        </w:rPr>
        <w:t xml:space="preserve"> </w:t>
      </w:r>
      <w:r w:rsidRPr="000F1253">
        <w:t>647,</w:t>
      </w:r>
      <w:r w:rsidRPr="000F1253">
        <w:rPr>
          <w:spacing w:val="-12"/>
        </w:rPr>
        <w:t xml:space="preserve"> </w:t>
      </w:r>
      <w:r w:rsidRPr="000F1253">
        <w:t xml:space="preserve">Biolegend- Campoverde, code 406414) for 30 </w:t>
      </w:r>
      <w:r w:rsidRPr="000F1253">
        <w:rPr>
          <w:spacing w:val="-4"/>
        </w:rPr>
        <w:t xml:space="preserve">min </w:t>
      </w:r>
      <w:r w:rsidRPr="000F1253">
        <w:t xml:space="preserve">on ice </w:t>
      </w:r>
      <w:r w:rsidRPr="000F1253">
        <w:rPr>
          <w:spacing w:val="-3"/>
        </w:rPr>
        <w:t xml:space="preserve">in </w:t>
      </w:r>
      <w:r w:rsidRPr="000F1253">
        <w:t xml:space="preserve">the dark. Aliquots were then washed and incubated with a cocktail </w:t>
      </w:r>
      <w:r w:rsidRPr="000F1253">
        <w:rPr>
          <w:spacing w:val="3"/>
        </w:rPr>
        <w:t xml:space="preserve">of </w:t>
      </w:r>
      <w:r w:rsidRPr="000F1253">
        <w:t>anti-human CD45 (BD Biosciences-Italy, code 555407), HLA- DR</w:t>
      </w:r>
      <w:r w:rsidRPr="000F1253">
        <w:rPr>
          <w:spacing w:val="-14"/>
        </w:rPr>
        <w:t xml:space="preserve"> </w:t>
      </w:r>
      <w:r w:rsidRPr="000F1253">
        <w:t>(Biolegend-Campoverde,</w:t>
      </w:r>
      <w:r w:rsidRPr="000F1253">
        <w:rPr>
          <w:spacing w:val="-11"/>
        </w:rPr>
        <w:t xml:space="preserve"> </w:t>
      </w:r>
      <w:r w:rsidRPr="000F1253">
        <w:t>code</w:t>
      </w:r>
      <w:r w:rsidRPr="000F1253">
        <w:rPr>
          <w:spacing w:val="-13"/>
        </w:rPr>
        <w:t xml:space="preserve"> </w:t>
      </w:r>
      <w:r w:rsidRPr="000F1253">
        <w:t>307628),</w:t>
      </w:r>
      <w:r w:rsidRPr="000F1253">
        <w:rPr>
          <w:spacing w:val="-14"/>
        </w:rPr>
        <w:t xml:space="preserve"> </w:t>
      </w:r>
      <w:r w:rsidRPr="000F1253">
        <w:t>CD14</w:t>
      </w:r>
      <w:r w:rsidRPr="000F1253">
        <w:rPr>
          <w:spacing w:val="-17"/>
        </w:rPr>
        <w:t xml:space="preserve"> </w:t>
      </w:r>
      <w:r w:rsidRPr="000F1253">
        <w:t>(BD</w:t>
      </w:r>
      <w:r w:rsidRPr="000F1253">
        <w:rPr>
          <w:spacing w:val="-12"/>
        </w:rPr>
        <w:t xml:space="preserve"> </w:t>
      </w:r>
      <w:r w:rsidRPr="000F1253">
        <w:t>Biosciences-Italy,</w:t>
      </w:r>
      <w:r w:rsidRPr="000F1253">
        <w:rPr>
          <w:spacing w:val="-11"/>
        </w:rPr>
        <w:t xml:space="preserve"> </w:t>
      </w:r>
      <w:r w:rsidRPr="000F1253">
        <w:t>code</w:t>
      </w:r>
      <w:r w:rsidRPr="000F1253">
        <w:rPr>
          <w:spacing w:val="-13"/>
        </w:rPr>
        <w:t xml:space="preserve"> </w:t>
      </w:r>
      <w:r w:rsidRPr="000F1253">
        <w:t>557742)</w:t>
      </w:r>
      <w:r w:rsidRPr="000F1253">
        <w:rPr>
          <w:spacing w:val="-15"/>
        </w:rPr>
        <w:t xml:space="preserve"> </w:t>
      </w:r>
      <w:r w:rsidRPr="000F1253">
        <w:t>and CD16 (BD Biosciences-Italy, code 555407) for the identification of classical (CD14++/CD16-), non-classical (CD14+/CD16++) and intermediate (CD14++/CD16+) monocytes.</w:t>
      </w:r>
    </w:p>
    <w:p w14:paraId="5DDD53F4" w14:textId="77777777" w:rsidR="002A5D6F" w:rsidRPr="000F1253" w:rsidRDefault="000F1253" w:rsidP="000F1253">
      <w:pPr>
        <w:pStyle w:val="BodyText"/>
        <w:tabs>
          <w:tab w:val="left" w:pos="829"/>
          <w:tab w:val="left" w:pos="1678"/>
          <w:tab w:val="left" w:pos="3093"/>
          <w:tab w:val="left" w:pos="4427"/>
          <w:tab w:val="left" w:pos="5189"/>
          <w:tab w:val="left" w:pos="5985"/>
          <w:tab w:val="left" w:pos="7204"/>
          <w:tab w:val="left" w:pos="8360"/>
        </w:tabs>
        <w:spacing w:line="480" w:lineRule="auto"/>
        <w:ind w:left="0" w:right="0"/>
        <w:jc w:val="both"/>
      </w:pPr>
      <w:r w:rsidRPr="000F1253">
        <w:t xml:space="preserve">STAT3 phosphorylation </w:t>
      </w:r>
      <w:r w:rsidRPr="000F1253">
        <w:rPr>
          <w:spacing w:val="-3"/>
        </w:rPr>
        <w:t xml:space="preserve">in </w:t>
      </w:r>
      <w:r w:rsidRPr="000F1253">
        <w:t xml:space="preserve">human monocytes was assessed </w:t>
      </w:r>
      <w:r w:rsidRPr="000F1253">
        <w:rPr>
          <w:spacing w:val="-3"/>
        </w:rPr>
        <w:t xml:space="preserve">in </w:t>
      </w:r>
      <w:r w:rsidRPr="000F1253">
        <w:t xml:space="preserve">samples of 200 μL human whole blood kept for 5 </w:t>
      </w:r>
      <w:r w:rsidRPr="000F1253">
        <w:rPr>
          <w:spacing w:val="-4"/>
        </w:rPr>
        <w:t xml:space="preserve">min </w:t>
      </w:r>
      <w:r w:rsidRPr="000F1253">
        <w:t xml:space="preserve">on ice </w:t>
      </w:r>
      <w:r w:rsidRPr="000F1253">
        <w:rPr>
          <w:spacing w:val="-3"/>
        </w:rPr>
        <w:t xml:space="preserve">in </w:t>
      </w:r>
      <w:r w:rsidRPr="000F1253">
        <w:t xml:space="preserve">the dark, alone or </w:t>
      </w:r>
      <w:r w:rsidRPr="000F1253">
        <w:rPr>
          <w:spacing w:val="-3"/>
        </w:rPr>
        <w:t xml:space="preserve">in </w:t>
      </w:r>
      <w:r w:rsidRPr="000F1253">
        <w:t xml:space="preserve">the presence of dopamine hydrochloride (Sigma, Italy, code H8502), thereafter added with anti-human CD14 ab (BD Biosciences-Italy, code 557742) and incubated for 20 </w:t>
      </w:r>
      <w:r w:rsidRPr="000F1253">
        <w:rPr>
          <w:spacing w:val="-4"/>
        </w:rPr>
        <w:t xml:space="preserve">min </w:t>
      </w:r>
      <w:r w:rsidRPr="000F1253">
        <w:t xml:space="preserve">at 37°C </w:t>
      </w:r>
      <w:r w:rsidRPr="000F1253">
        <w:rPr>
          <w:spacing w:val="-3"/>
        </w:rPr>
        <w:t xml:space="preserve">in </w:t>
      </w:r>
      <w:r w:rsidRPr="000F1253">
        <w:t xml:space="preserve">a water bath. </w:t>
      </w:r>
      <w:r w:rsidRPr="000F1253">
        <w:rPr>
          <w:spacing w:val="-3"/>
        </w:rPr>
        <w:t xml:space="preserve">During </w:t>
      </w:r>
      <w:r w:rsidRPr="000F1253">
        <w:t xml:space="preserve">this period, 100 ng/mL interleukin (IL)-6 (Biolegend, San Diego, </w:t>
      </w:r>
      <w:r w:rsidRPr="000F1253">
        <w:rPr>
          <w:spacing w:val="-3"/>
        </w:rPr>
        <w:t xml:space="preserve">CA, </w:t>
      </w:r>
      <w:r w:rsidRPr="000F1253">
        <w:t>code 570804) was eventually</w:t>
      </w:r>
      <w:r w:rsidRPr="000F1253">
        <w:rPr>
          <w:spacing w:val="-19"/>
        </w:rPr>
        <w:t xml:space="preserve"> </w:t>
      </w:r>
      <w:r w:rsidRPr="000F1253">
        <w:t>added</w:t>
      </w:r>
      <w:r w:rsidRPr="000F1253">
        <w:rPr>
          <w:spacing w:val="-15"/>
        </w:rPr>
        <w:t xml:space="preserve"> </w:t>
      </w:r>
      <w:r w:rsidRPr="000F1253">
        <w:t>after</w:t>
      </w:r>
      <w:r w:rsidRPr="000F1253">
        <w:rPr>
          <w:spacing w:val="-14"/>
        </w:rPr>
        <w:t xml:space="preserve"> </w:t>
      </w:r>
      <w:r w:rsidRPr="000F1253">
        <w:t>5</w:t>
      </w:r>
      <w:r w:rsidRPr="000F1253">
        <w:rPr>
          <w:spacing w:val="-11"/>
        </w:rPr>
        <w:t xml:space="preserve"> </w:t>
      </w:r>
      <w:r w:rsidRPr="000F1253">
        <w:rPr>
          <w:spacing w:val="-3"/>
        </w:rPr>
        <w:t>min.</w:t>
      </w:r>
      <w:r w:rsidRPr="000F1253">
        <w:rPr>
          <w:spacing w:val="-13"/>
        </w:rPr>
        <w:t xml:space="preserve"> </w:t>
      </w:r>
      <w:r w:rsidRPr="000F1253">
        <w:t>Intracellular</w:t>
      </w:r>
      <w:r w:rsidRPr="000F1253">
        <w:rPr>
          <w:spacing w:val="-14"/>
        </w:rPr>
        <w:t xml:space="preserve"> </w:t>
      </w:r>
      <w:r w:rsidRPr="000F1253">
        <w:t>staining</w:t>
      </w:r>
      <w:r w:rsidRPr="000F1253">
        <w:rPr>
          <w:spacing w:val="-4"/>
        </w:rPr>
        <w:t xml:space="preserve"> </w:t>
      </w:r>
      <w:r w:rsidRPr="000F1253">
        <w:t>of</w:t>
      </w:r>
      <w:r w:rsidRPr="000F1253">
        <w:rPr>
          <w:spacing w:val="-22"/>
        </w:rPr>
        <w:t xml:space="preserve"> </w:t>
      </w:r>
      <w:r w:rsidRPr="000F1253">
        <w:t>pSTAT3</w:t>
      </w:r>
      <w:r w:rsidRPr="000F1253">
        <w:rPr>
          <w:spacing w:val="-15"/>
        </w:rPr>
        <w:t xml:space="preserve"> </w:t>
      </w:r>
      <w:r w:rsidRPr="000F1253">
        <w:t>was</w:t>
      </w:r>
      <w:r w:rsidRPr="000F1253">
        <w:rPr>
          <w:spacing w:val="-17"/>
        </w:rPr>
        <w:t xml:space="preserve"> </w:t>
      </w:r>
      <w:r w:rsidRPr="000F1253">
        <w:t>then</w:t>
      </w:r>
      <w:r w:rsidRPr="000F1253">
        <w:rPr>
          <w:spacing w:val="-19"/>
        </w:rPr>
        <w:t xml:space="preserve"> </w:t>
      </w:r>
      <w:r w:rsidRPr="000F1253">
        <w:t>performed</w:t>
      </w:r>
      <w:r w:rsidRPr="000F1253">
        <w:rPr>
          <w:spacing w:val="-15"/>
        </w:rPr>
        <w:t xml:space="preserve"> </w:t>
      </w:r>
      <w:r w:rsidRPr="000F1253">
        <w:t>according to</w:t>
      </w:r>
      <w:r w:rsidR="009725BB" w:rsidRPr="000F1253">
        <w:t xml:space="preserve"> </w:t>
      </w:r>
      <w:r w:rsidRPr="000F1253">
        <w:t>BD</w:t>
      </w:r>
      <w:r w:rsidR="009725BB" w:rsidRPr="000F1253">
        <w:t xml:space="preserve"> </w:t>
      </w:r>
      <w:r w:rsidRPr="000F1253">
        <w:t>Phosflow</w:t>
      </w:r>
      <w:r w:rsidR="009725BB" w:rsidRPr="000F1253">
        <w:t xml:space="preserve"> </w:t>
      </w:r>
      <w:r w:rsidRPr="000F1253">
        <w:t>Protocol</w:t>
      </w:r>
      <w:r w:rsidR="009725BB" w:rsidRPr="000F1253">
        <w:t xml:space="preserve"> </w:t>
      </w:r>
      <w:r w:rsidRPr="000F1253">
        <w:t>III</w:t>
      </w:r>
      <w:r w:rsidR="009725BB" w:rsidRPr="000F1253">
        <w:t xml:space="preserve"> </w:t>
      </w:r>
      <w:r w:rsidRPr="000F1253">
        <w:t>for</w:t>
      </w:r>
      <w:r w:rsidR="009725BB" w:rsidRPr="000F1253">
        <w:t xml:space="preserve"> </w:t>
      </w:r>
      <w:r w:rsidRPr="000F1253">
        <w:t>Human</w:t>
      </w:r>
      <w:r w:rsidR="009725BB" w:rsidRPr="000F1253">
        <w:t xml:space="preserve"> </w:t>
      </w:r>
      <w:r w:rsidRPr="000F1253">
        <w:t>Whole</w:t>
      </w:r>
      <w:r w:rsidR="009725BB" w:rsidRPr="000F1253">
        <w:t xml:space="preserve"> </w:t>
      </w:r>
      <w:r w:rsidRPr="000F1253">
        <w:t xml:space="preserve">Blood </w:t>
      </w:r>
      <w:r w:rsidRPr="000F1253">
        <w:lastRenderedPageBreak/>
        <w:t>(</w:t>
      </w:r>
      <w:hyperlink r:id="rId6">
        <w:r w:rsidRPr="000F1253">
          <w:t>http://www.bdbiosciences.com/us/applications/research/intracellular-</w:t>
        </w:r>
      </w:hyperlink>
      <w:r w:rsidRPr="000F1253">
        <w:t>flow/m/745716/resources).</w:t>
      </w:r>
      <w:r w:rsidR="0092332C" w:rsidRPr="000F1253">
        <w:t xml:space="preserve"> </w:t>
      </w:r>
      <w:r w:rsidRPr="000F1253">
        <w:t xml:space="preserve">Acquisition and analysis were performed on a BD FACSCanto II </w:t>
      </w:r>
      <w:r w:rsidRPr="000F1253">
        <w:rPr>
          <w:spacing w:val="-3"/>
        </w:rPr>
        <w:t xml:space="preserve">flow </w:t>
      </w:r>
      <w:r w:rsidRPr="000F1253">
        <w:t xml:space="preserve">cytometer (Becton Dickinson, </w:t>
      </w:r>
      <w:r w:rsidRPr="000F1253">
        <w:rPr>
          <w:spacing w:val="-3"/>
        </w:rPr>
        <w:t xml:space="preserve">Milan, </w:t>
      </w:r>
      <w:r w:rsidRPr="000F1253">
        <w:t>Italy) with BD FACSDiva software (version 6.1.3). The results were finally expressed as absolute numbers (10</w:t>
      </w:r>
      <w:r w:rsidRPr="000F1253">
        <w:rPr>
          <w:position w:val="9"/>
        </w:rPr>
        <w:t>3</w:t>
      </w:r>
      <w:r w:rsidRPr="000F1253">
        <w:t>/mm</w:t>
      </w:r>
      <w:r w:rsidRPr="000F1253">
        <w:rPr>
          <w:position w:val="9"/>
        </w:rPr>
        <w:t>3</w:t>
      </w:r>
      <w:r w:rsidRPr="000F1253">
        <w:t>) as well as percentage of positive cells</w:t>
      </w:r>
      <w:r w:rsidRPr="000F1253">
        <w:rPr>
          <w:spacing w:val="-37"/>
        </w:rPr>
        <w:t xml:space="preserve"> </w:t>
      </w:r>
      <w:r w:rsidRPr="000F1253">
        <w:t xml:space="preserve">(%), as well as median fluorescence intensity (MFI) of positive cells, calculated as the difference between </w:t>
      </w:r>
      <w:r w:rsidRPr="000F1253">
        <w:rPr>
          <w:spacing w:val="-3"/>
        </w:rPr>
        <w:t xml:space="preserve">MFI in </w:t>
      </w:r>
      <w:r w:rsidRPr="000F1253">
        <w:t>anti-human DR ab stained aliquots and aliquots stained with the secondary ab</w:t>
      </w:r>
      <w:r w:rsidRPr="000F1253">
        <w:rPr>
          <w:spacing w:val="-4"/>
        </w:rPr>
        <w:t xml:space="preserve"> </w:t>
      </w:r>
      <w:r w:rsidRPr="000F1253">
        <w:t>alone.</w:t>
      </w:r>
    </w:p>
    <w:p w14:paraId="0EEAA51D" w14:textId="77777777" w:rsidR="0092332C" w:rsidRPr="000F1253" w:rsidRDefault="0092332C" w:rsidP="000F1253">
      <w:pPr>
        <w:pStyle w:val="BodyText"/>
        <w:tabs>
          <w:tab w:val="left" w:pos="829"/>
          <w:tab w:val="left" w:pos="1678"/>
          <w:tab w:val="left" w:pos="3093"/>
          <w:tab w:val="left" w:pos="4427"/>
          <w:tab w:val="left" w:pos="5189"/>
          <w:tab w:val="left" w:pos="5985"/>
          <w:tab w:val="left" w:pos="7204"/>
          <w:tab w:val="left" w:pos="8360"/>
        </w:tabs>
        <w:spacing w:line="480" w:lineRule="auto"/>
        <w:ind w:left="0" w:right="0"/>
        <w:jc w:val="both"/>
      </w:pPr>
    </w:p>
    <w:p w14:paraId="5ACD0B79" w14:textId="77777777" w:rsidR="0092332C" w:rsidRPr="000F1253" w:rsidRDefault="0092332C" w:rsidP="000F1253">
      <w:pPr>
        <w:pStyle w:val="BodyText"/>
        <w:tabs>
          <w:tab w:val="left" w:pos="829"/>
          <w:tab w:val="left" w:pos="1678"/>
          <w:tab w:val="left" w:pos="3093"/>
          <w:tab w:val="left" w:pos="4427"/>
          <w:tab w:val="left" w:pos="5189"/>
          <w:tab w:val="left" w:pos="5985"/>
          <w:tab w:val="left" w:pos="7204"/>
          <w:tab w:val="left" w:pos="8360"/>
        </w:tabs>
        <w:spacing w:line="480" w:lineRule="auto"/>
        <w:ind w:left="0" w:right="0"/>
        <w:jc w:val="both"/>
        <w:rPr>
          <w:b/>
        </w:rPr>
      </w:pPr>
      <w:r w:rsidRPr="000F1253">
        <w:rPr>
          <w:b/>
        </w:rPr>
        <w:t>References</w:t>
      </w:r>
    </w:p>
    <w:p w14:paraId="073DF4CE" w14:textId="77777777" w:rsidR="0092332C" w:rsidRPr="000F1253" w:rsidRDefault="0092332C" w:rsidP="000F1253">
      <w:pPr>
        <w:pStyle w:val="BodyText"/>
        <w:tabs>
          <w:tab w:val="left" w:pos="829"/>
          <w:tab w:val="left" w:pos="1678"/>
          <w:tab w:val="left" w:pos="3093"/>
          <w:tab w:val="left" w:pos="4427"/>
          <w:tab w:val="left" w:pos="5189"/>
          <w:tab w:val="left" w:pos="5985"/>
          <w:tab w:val="left" w:pos="7204"/>
          <w:tab w:val="left" w:pos="8360"/>
        </w:tabs>
        <w:spacing w:line="480" w:lineRule="auto"/>
        <w:ind w:left="567" w:right="0" w:hanging="567"/>
        <w:jc w:val="both"/>
        <w:rPr>
          <w:color w:val="131413"/>
          <w:sz w:val="22"/>
          <w:szCs w:val="22"/>
        </w:rPr>
      </w:pPr>
      <w:bookmarkStart w:id="0" w:name="_Hlk512954900"/>
      <w:r w:rsidRPr="000F1253">
        <w:rPr>
          <w:b/>
          <w:color w:val="131413"/>
          <w:sz w:val="22"/>
          <w:szCs w:val="22"/>
          <w:lang w:val="pt-PT"/>
        </w:rPr>
        <w:t xml:space="preserve">Kustrimovic N, Rasini E, Legnaro M, Marino F &amp; Cosentino M </w:t>
      </w:r>
      <w:r w:rsidRPr="000F1253">
        <w:rPr>
          <w:color w:val="131413"/>
          <w:sz w:val="22"/>
          <w:szCs w:val="22"/>
          <w:lang w:val="pt-PT"/>
        </w:rPr>
        <w:t>(</w:t>
      </w:r>
      <w:r w:rsidRPr="000F1253">
        <w:rPr>
          <w:sz w:val="22"/>
          <w:szCs w:val="22"/>
          <w:lang w:val="pt-PT"/>
        </w:rPr>
        <w:t>2014</w:t>
      </w:r>
      <w:bookmarkEnd w:id="0"/>
      <w:r w:rsidRPr="000F1253">
        <w:rPr>
          <w:sz w:val="22"/>
          <w:szCs w:val="22"/>
          <w:lang w:val="pt-PT"/>
        </w:rPr>
        <w:t>)</w:t>
      </w:r>
      <w:r w:rsidRPr="000F1253">
        <w:rPr>
          <w:color w:val="131413"/>
          <w:sz w:val="22"/>
          <w:szCs w:val="22"/>
          <w:lang w:val="pt-PT"/>
        </w:rPr>
        <w:t xml:space="preserve">. </w:t>
      </w:r>
      <w:r w:rsidRPr="000F1253">
        <w:rPr>
          <w:color w:val="131413"/>
          <w:sz w:val="22"/>
          <w:szCs w:val="22"/>
        </w:rPr>
        <w:t xml:space="preserve">Expression of dopaminergic receptors on human CD4+ T lymphocytes: flow cytometric analysis of naive and memory subsets and relevance for the neuroimmunology of neurodegenerative disease. </w:t>
      </w:r>
      <w:r w:rsidRPr="000F1253">
        <w:rPr>
          <w:i/>
          <w:color w:val="131413"/>
          <w:sz w:val="22"/>
          <w:szCs w:val="22"/>
        </w:rPr>
        <w:t>Journal of Neuroimmune Pharmacology</w:t>
      </w:r>
      <w:r w:rsidRPr="000F1253">
        <w:rPr>
          <w:color w:val="131413"/>
          <w:sz w:val="22"/>
          <w:szCs w:val="22"/>
        </w:rPr>
        <w:t xml:space="preserve"> </w:t>
      </w:r>
      <w:r w:rsidRPr="007A2C9D">
        <w:rPr>
          <w:b/>
          <w:color w:val="131413"/>
          <w:sz w:val="22"/>
          <w:szCs w:val="22"/>
        </w:rPr>
        <w:t>9</w:t>
      </w:r>
      <w:r w:rsidRPr="000F1253">
        <w:rPr>
          <w:color w:val="131413"/>
          <w:sz w:val="22"/>
          <w:szCs w:val="22"/>
        </w:rPr>
        <w:t>, 302-312.</w:t>
      </w:r>
    </w:p>
    <w:p w14:paraId="6EE54020" w14:textId="77777777" w:rsidR="0092332C" w:rsidRPr="000F1253" w:rsidRDefault="0092332C" w:rsidP="000F1253">
      <w:pPr>
        <w:pStyle w:val="BodyText"/>
        <w:tabs>
          <w:tab w:val="left" w:pos="829"/>
          <w:tab w:val="left" w:pos="1678"/>
          <w:tab w:val="left" w:pos="3093"/>
          <w:tab w:val="left" w:pos="4427"/>
          <w:tab w:val="left" w:pos="5189"/>
          <w:tab w:val="left" w:pos="5985"/>
          <w:tab w:val="left" w:pos="7204"/>
          <w:tab w:val="left" w:pos="8360"/>
        </w:tabs>
        <w:spacing w:line="480" w:lineRule="auto"/>
        <w:ind w:left="567" w:right="0" w:hanging="567"/>
        <w:jc w:val="both"/>
        <w:rPr>
          <w:sz w:val="22"/>
          <w:szCs w:val="22"/>
        </w:rPr>
      </w:pPr>
      <w:r w:rsidRPr="007A2C9D">
        <w:rPr>
          <w:b/>
          <w:sz w:val="22"/>
          <w:szCs w:val="22"/>
        </w:rPr>
        <w:t>Kustrimovic N, Rasini E, Legnaro M, Bombelli R, Aleksic I, Blandini F, Comi C, Mauri M, Minafra B, Riboldazzi G, Sanchez-Guajardo V, Marino F, Cosentino M</w:t>
      </w:r>
      <w:r w:rsidRPr="007A2C9D">
        <w:rPr>
          <w:sz w:val="22"/>
          <w:szCs w:val="22"/>
        </w:rPr>
        <w:t xml:space="preserve"> (2016). </w:t>
      </w:r>
      <w:r w:rsidRPr="000F1253">
        <w:rPr>
          <w:sz w:val="22"/>
          <w:szCs w:val="22"/>
        </w:rPr>
        <w:t xml:space="preserve">Dopaminergic Receptors on CD4+ T Naive and Memory Lymphocytes Correlate with Motor Impairment in Patients with Parkinson's Disease. </w:t>
      </w:r>
      <w:r w:rsidR="009725BB" w:rsidRPr="000F1253">
        <w:rPr>
          <w:i/>
          <w:sz w:val="22"/>
          <w:szCs w:val="22"/>
        </w:rPr>
        <w:t>Scientific Reports</w:t>
      </w:r>
      <w:r w:rsidR="009725BB" w:rsidRPr="000F1253">
        <w:rPr>
          <w:sz w:val="22"/>
          <w:szCs w:val="22"/>
        </w:rPr>
        <w:t xml:space="preserve"> </w:t>
      </w:r>
      <w:r w:rsidR="009725BB" w:rsidRPr="007A2C9D">
        <w:rPr>
          <w:b/>
          <w:sz w:val="22"/>
          <w:szCs w:val="22"/>
        </w:rPr>
        <w:t>6</w:t>
      </w:r>
      <w:r w:rsidR="009725BB" w:rsidRPr="000F1253">
        <w:rPr>
          <w:sz w:val="22"/>
          <w:szCs w:val="22"/>
        </w:rPr>
        <w:t>, 33738.</w:t>
      </w:r>
    </w:p>
    <w:sectPr w:rsidR="0092332C" w:rsidRPr="000F1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6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4F684" w14:textId="77777777" w:rsidR="0034207B" w:rsidRDefault="0034207B" w:rsidP="0034207B">
      <w:r>
        <w:separator/>
      </w:r>
    </w:p>
  </w:endnote>
  <w:endnote w:type="continuationSeparator" w:id="0">
    <w:p w14:paraId="31D9B9D4" w14:textId="77777777" w:rsidR="0034207B" w:rsidRDefault="0034207B" w:rsidP="0034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582D9" w14:textId="77777777" w:rsidR="0034207B" w:rsidRDefault="00342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360477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14:paraId="348CAB65" w14:textId="4B9916C5" w:rsidR="0034207B" w:rsidRDefault="003420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5F54B3" w14:textId="77777777" w:rsidR="0034207B" w:rsidRDefault="003420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E2349" w14:textId="77777777" w:rsidR="0034207B" w:rsidRDefault="00342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B4B94" w14:textId="77777777" w:rsidR="0034207B" w:rsidRDefault="0034207B" w:rsidP="0034207B">
      <w:r>
        <w:separator/>
      </w:r>
    </w:p>
  </w:footnote>
  <w:footnote w:type="continuationSeparator" w:id="0">
    <w:p w14:paraId="14BA221B" w14:textId="77777777" w:rsidR="0034207B" w:rsidRDefault="0034207B" w:rsidP="0034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BA047" w14:textId="77777777" w:rsidR="0034207B" w:rsidRDefault="003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B967E" w14:textId="77777777" w:rsidR="0034207B" w:rsidRDefault="003420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98B7E" w14:textId="77777777" w:rsidR="0034207B" w:rsidRDefault="003420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D6F"/>
    <w:rsid w:val="000F1253"/>
    <w:rsid w:val="002A5D6F"/>
    <w:rsid w:val="0034207B"/>
    <w:rsid w:val="007A2C9D"/>
    <w:rsid w:val="0092332C"/>
    <w:rsid w:val="0097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124D"/>
  <w15:docId w15:val="{E70B0C9B-4394-4B54-B687-9165C187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 w:righ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207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07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4207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07B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dbiosciences.com/us/applications/research/intracellular-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josé teixeira leite</dc:creator>
  <cp:lastModifiedBy>fernanda josé teixeira leite</cp:lastModifiedBy>
  <cp:revision>4</cp:revision>
  <cp:lastPrinted>2018-05-01T15:46:00Z</cp:lastPrinted>
  <dcterms:created xsi:type="dcterms:W3CDTF">2018-05-01T15:48:00Z</dcterms:created>
  <dcterms:modified xsi:type="dcterms:W3CDTF">2018-05-15T17:03:00Z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2018-05-01T00:00:00Z</vt:filetime>
  </property>
</Properties>
</file>