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73" w:rsidRDefault="00161173" w:rsidP="00161173"/>
    <w:p w:rsidR="001C7E2C" w:rsidRDefault="001C7E2C" w:rsidP="00161173"/>
    <w:p w:rsidR="001C7E2C" w:rsidRDefault="001C7E2C" w:rsidP="00161173"/>
    <w:p w:rsidR="001C7E2C" w:rsidRDefault="001C7E2C" w:rsidP="00161173"/>
    <w:p w:rsidR="001C7E2C" w:rsidRDefault="001C7E2C" w:rsidP="00161173"/>
    <w:p w:rsidR="001C7E2C" w:rsidRDefault="001C7E2C" w:rsidP="00161173"/>
    <w:p w:rsidR="008D755E" w:rsidRDefault="008D755E" w:rsidP="00161173"/>
    <w:p w:rsidR="001C7E2C" w:rsidRDefault="001C7E2C" w:rsidP="00161173"/>
    <w:p w:rsidR="001C7E2C" w:rsidRDefault="001C7E2C" w:rsidP="00161173"/>
    <w:p w:rsidR="001C7E2C" w:rsidRDefault="001C7E2C" w:rsidP="00161173"/>
    <w:p w:rsidR="001C7E2C" w:rsidRDefault="001C7E2C" w:rsidP="00161173"/>
    <w:p w:rsidR="001C7E2C" w:rsidRDefault="001C7E2C" w:rsidP="00161173"/>
    <w:p w:rsidR="001C7E2C" w:rsidRPr="009F03A5" w:rsidRDefault="001C7E2C" w:rsidP="001C7E2C">
      <w:pPr>
        <w:jc w:val="center"/>
        <w:rPr>
          <w:rFonts w:ascii="Arial" w:hAnsi="Arial" w:cs="Arial"/>
          <w:b/>
          <w:sz w:val="56"/>
        </w:rPr>
      </w:pPr>
      <w:r>
        <w:rPr>
          <w:rFonts w:ascii="Arial" w:hAnsi="Arial" w:cs="Arial"/>
          <w:b/>
          <w:sz w:val="56"/>
        </w:rPr>
        <w:t>Supplementary appendix</w:t>
      </w:r>
    </w:p>
    <w:p w:rsidR="001C7E2C" w:rsidRDefault="001C7E2C" w:rsidP="001C7E2C">
      <w:pPr>
        <w:jc w:val="center"/>
        <w:rPr>
          <w:rFonts w:ascii="Arial" w:hAnsi="Arial" w:cs="Arial"/>
          <w:sz w:val="24"/>
          <w:lang w:bidi="ar-SA"/>
        </w:rPr>
      </w:pPr>
    </w:p>
    <w:p w:rsidR="001C7E2C" w:rsidRDefault="001C7E2C" w:rsidP="001C7E2C">
      <w:pPr>
        <w:jc w:val="center"/>
        <w:rPr>
          <w:rFonts w:ascii="Arial" w:hAnsi="Arial" w:cs="Arial"/>
          <w:sz w:val="24"/>
          <w:lang w:bidi="ar-SA"/>
        </w:rPr>
      </w:pPr>
      <w:r w:rsidRPr="009F03A5">
        <w:rPr>
          <w:rFonts w:ascii="Arial" w:hAnsi="Arial" w:cs="Arial"/>
          <w:sz w:val="24"/>
          <w:lang w:bidi="ar-SA"/>
        </w:rPr>
        <w:t xml:space="preserve">This document presents </w:t>
      </w:r>
      <w:r w:rsidR="00924CE1">
        <w:rPr>
          <w:rFonts w:ascii="Arial" w:hAnsi="Arial" w:cs="Arial"/>
          <w:sz w:val="24"/>
          <w:lang w:bidi="ar-SA"/>
        </w:rPr>
        <w:t>additional</w:t>
      </w:r>
      <w:r w:rsidRPr="009F03A5">
        <w:rPr>
          <w:rFonts w:ascii="Arial" w:hAnsi="Arial" w:cs="Arial"/>
          <w:sz w:val="24"/>
          <w:lang w:bidi="ar-SA"/>
        </w:rPr>
        <w:t xml:space="preserve"> methods</w:t>
      </w:r>
      <w:r w:rsidR="00924CE1">
        <w:rPr>
          <w:rFonts w:ascii="Arial" w:hAnsi="Arial" w:cs="Arial"/>
          <w:sz w:val="24"/>
          <w:lang w:bidi="ar-SA"/>
        </w:rPr>
        <w:t xml:space="preserve"> and results</w:t>
      </w:r>
      <w:r>
        <w:rPr>
          <w:rFonts w:ascii="Arial" w:hAnsi="Arial" w:cs="Arial"/>
          <w:sz w:val="24"/>
          <w:lang w:bidi="ar-SA"/>
        </w:rPr>
        <w:t xml:space="preserve"> </w:t>
      </w:r>
      <w:r w:rsidR="00F257A9">
        <w:rPr>
          <w:rFonts w:ascii="Arial" w:hAnsi="Arial" w:cs="Arial"/>
          <w:sz w:val="24"/>
          <w:lang w:bidi="ar-SA"/>
        </w:rPr>
        <w:t xml:space="preserve">for </w:t>
      </w:r>
      <w:r>
        <w:rPr>
          <w:rFonts w:ascii="Arial" w:hAnsi="Arial" w:cs="Arial"/>
          <w:sz w:val="24"/>
          <w:lang w:bidi="ar-SA"/>
        </w:rPr>
        <w:t>the</w:t>
      </w:r>
      <w:r w:rsidR="00F257A9">
        <w:rPr>
          <w:rFonts w:ascii="Arial" w:hAnsi="Arial" w:cs="Arial"/>
          <w:sz w:val="24"/>
          <w:lang w:bidi="ar-SA"/>
        </w:rPr>
        <w:t xml:space="preserve"> manuscript titled, ‘</w:t>
      </w:r>
      <w:r w:rsidR="00F257A9" w:rsidRPr="00F257A9">
        <w:rPr>
          <w:rFonts w:ascii="Arial" w:hAnsi="Arial" w:cs="Arial"/>
          <w:sz w:val="24"/>
          <w:lang w:bidi="ar-SA"/>
        </w:rPr>
        <w:t>The risk of developin</w:t>
      </w:r>
      <w:bookmarkStart w:id="0" w:name="_GoBack"/>
      <w:bookmarkEnd w:id="0"/>
      <w:r w:rsidR="00F257A9" w:rsidRPr="00F257A9">
        <w:rPr>
          <w:rFonts w:ascii="Arial" w:hAnsi="Arial" w:cs="Arial"/>
          <w:sz w:val="24"/>
          <w:lang w:bidi="ar-SA"/>
        </w:rPr>
        <w:t>g major depression among individuals with subthreshold depression: a systematic review and meta-analysis of longitudinal cohort studies</w:t>
      </w:r>
      <w:r w:rsidR="00F257A9">
        <w:rPr>
          <w:rFonts w:ascii="Arial" w:hAnsi="Arial" w:cs="Arial"/>
          <w:sz w:val="24"/>
          <w:lang w:bidi="ar-SA"/>
        </w:rPr>
        <w:t>’</w:t>
      </w:r>
    </w:p>
    <w:p w:rsidR="001C7E2C" w:rsidRDefault="001C7E2C" w:rsidP="00161173"/>
    <w:p w:rsidR="001C7E2C" w:rsidRDefault="001C7E2C" w:rsidP="00161173"/>
    <w:p w:rsidR="001C7E2C" w:rsidRDefault="001C7E2C" w:rsidP="00161173"/>
    <w:p w:rsidR="00161173" w:rsidRDefault="00161173" w:rsidP="00161173"/>
    <w:p w:rsidR="00161173" w:rsidRDefault="00161173">
      <w:pPr>
        <w:spacing w:line="240" w:lineRule="auto"/>
        <w:jc w:val="left"/>
      </w:pPr>
      <w:r>
        <w:br w:type="page"/>
      </w:r>
    </w:p>
    <w:p w:rsidR="00161173" w:rsidRDefault="00161173" w:rsidP="00161173">
      <w:pPr>
        <w:pStyle w:val="Heading2"/>
      </w:pPr>
      <w:bookmarkStart w:id="1" w:name="_Toc504925524"/>
      <w:r>
        <w:lastRenderedPageBreak/>
        <w:t>Tab</w:t>
      </w:r>
      <w:r w:rsidR="00E07A99">
        <w:t>le of C</w:t>
      </w:r>
      <w:r>
        <w:t>ontents</w:t>
      </w:r>
      <w:bookmarkEnd w:id="1"/>
    </w:p>
    <w:p w:rsidR="001A2EBE" w:rsidRDefault="001A2EBE">
      <w:pPr>
        <w:pStyle w:val="TOC1"/>
        <w:rPr>
          <w:rFonts w:asciiTheme="minorHAnsi" w:eastAsiaTheme="minorEastAsia" w:hAnsiTheme="minorHAnsi" w:cstheme="minorBidi"/>
          <w:noProof/>
          <w:sz w:val="22"/>
          <w:lang w:eastAsia="en-AU" w:bidi="ar-SA"/>
        </w:rPr>
      </w:pPr>
      <w:r w:rsidRPr="00BC523B">
        <w:rPr>
          <w:noProof/>
        </w:rPr>
        <w:t>Table of Contents</w:t>
      </w:r>
      <w:r>
        <w:rPr>
          <w:noProof/>
          <w:webHidden/>
        </w:rPr>
        <w:tab/>
      </w:r>
      <w:r w:rsidR="0014111B">
        <w:rPr>
          <w:noProof/>
          <w:webHidden/>
        </w:rPr>
        <w:t>2</w:t>
      </w:r>
    </w:p>
    <w:p w:rsidR="001A2EBE" w:rsidRDefault="001A2EBE">
      <w:pPr>
        <w:pStyle w:val="TOC1"/>
        <w:rPr>
          <w:rFonts w:asciiTheme="minorHAnsi" w:eastAsiaTheme="minorEastAsia" w:hAnsiTheme="minorHAnsi" w:cstheme="minorBidi"/>
          <w:noProof/>
          <w:sz w:val="22"/>
          <w:lang w:eastAsia="en-AU" w:bidi="ar-SA"/>
        </w:rPr>
      </w:pPr>
      <w:r w:rsidRPr="00BC523B">
        <w:rPr>
          <w:noProof/>
        </w:rPr>
        <w:t>List of Figures</w:t>
      </w:r>
      <w:r>
        <w:rPr>
          <w:noProof/>
          <w:webHidden/>
        </w:rPr>
        <w:tab/>
      </w:r>
      <w:r w:rsidR="0014111B">
        <w:rPr>
          <w:noProof/>
          <w:webHidden/>
        </w:rPr>
        <w:t>3</w:t>
      </w:r>
    </w:p>
    <w:p w:rsidR="001A2EBE" w:rsidRDefault="001A2EBE">
      <w:pPr>
        <w:pStyle w:val="TOC1"/>
        <w:rPr>
          <w:rFonts w:asciiTheme="minorHAnsi" w:eastAsiaTheme="minorEastAsia" w:hAnsiTheme="minorHAnsi" w:cstheme="minorBidi"/>
          <w:noProof/>
          <w:sz w:val="22"/>
          <w:lang w:eastAsia="en-AU" w:bidi="ar-SA"/>
        </w:rPr>
      </w:pPr>
      <w:r w:rsidRPr="00BC523B">
        <w:rPr>
          <w:noProof/>
        </w:rPr>
        <w:t>List of Tables</w:t>
      </w:r>
      <w:r>
        <w:rPr>
          <w:noProof/>
          <w:webHidden/>
        </w:rPr>
        <w:tab/>
      </w:r>
      <w:r w:rsidR="0014111B">
        <w:rPr>
          <w:noProof/>
          <w:webHidden/>
        </w:rPr>
        <w:t>3</w:t>
      </w:r>
    </w:p>
    <w:p w:rsidR="001A2EBE" w:rsidRDefault="001A2EBE">
      <w:pPr>
        <w:pStyle w:val="TOC1"/>
        <w:rPr>
          <w:rFonts w:asciiTheme="minorHAnsi" w:eastAsiaTheme="minorEastAsia" w:hAnsiTheme="minorHAnsi" w:cstheme="minorBidi"/>
          <w:noProof/>
          <w:sz w:val="22"/>
          <w:lang w:eastAsia="en-AU" w:bidi="ar-SA"/>
        </w:rPr>
      </w:pPr>
      <w:r w:rsidRPr="00BC523B">
        <w:rPr>
          <w:noProof/>
        </w:rPr>
        <w:t>Search terms used in the systematic review</w:t>
      </w:r>
      <w:r>
        <w:rPr>
          <w:noProof/>
          <w:webHidden/>
        </w:rPr>
        <w:tab/>
      </w:r>
      <w:r w:rsidR="0014111B">
        <w:rPr>
          <w:noProof/>
          <w:webHidden/>
        </w:rPr>
        <w:t>4</w:t>
      </w:r>
    </w:p>
    <w:p w:rsidR="001A2EBE" w:rsidRDefault="001A2EBE">
      <w:pPr>
        <w:pStyle w:val="TOC1"/>
        <w:rPr>
          <w:rFonts w:asciiTheme="minorHAnsi" w:eastAsiaTheme="minorEastAsia" w:hAnsiTheme="minorHAnsi" w:cstheme="minorBidi"/>
          <w:noProof/>
          <w:sz w:val="22"/>
          <w:lang w:eastAsia="en-AU" w:bidi="ar-SA"/>
        </w:rPr>
      </w:pPr>
      <w:r w:rsidRPr="00BC523B">
        <w:rPr>
          <w:noProof/>
        </w:rPr>
        <w:t>Newcastle-Ottawa quality assessment scale for cohort studies</w:t>
      </w:r>
      <w:r>
        <w:rPr>
          <w:noProof/>
          <w:webHidden/>
        </w:rPr>
        <w:tab/>
      </w:r>
      <w:r w:rsidR="0014111B">
        <w:rPr>
          <w:noProof/>
          <w:webHidden/>
        </w:rPr>
        <w:t>5</w:t>
      </w:r>
    </w:p>
    <w:p w:rsidR="001A2EBE" w:rsidRDefault="001A2EBE">
      <w:pPr>
        <w:pStyle w:val="TOC1"/>
        <w:rPr>
          <w:rFonts w:asciiTheme="minorHAnsi" w:eastAsiaTheme="minorEastAsia" w:hAnsiTheme="minorHAnsi" w:cstheme="minorBidi"/>
          <w:noProof/>
          <w:sz w:val="22"/>
          <w:lang w:eastAsia="en-AU" w:bidi="ar-SA"/>
        </w:rPr>
      </w:pPr>
      <w:r w:rsidRPr="00BC523B">
        <w:rPr>
          <w:noProof/>
        </w:rPr>
        <w:t>PRISMA checklist</w:t>
      </w:r>
      <w:r>
        <w:rPr>
          <w:noProof/>
          <w:webHidden/>
        </w:rPr>
        <w:tab/>
      </w:r>
      <w:r w:rsidR="0014111B">
        <w:rPr>
          <w:noProof/>
          <w:webHidden/>
        </w:rPr>
        <w:t>6</w:t>
      </w:r>
    </w:p>
    <w:p w:rsidR="001A2EBE" w:rsidRDefault="001A2EBE">
      <w:pPr>
        <w:pStyle w:val="TOC1"/>
        <w:rPr>
          <w:rFonts w:asciiTheme="minorHAnsi" w:eastAsiaTheme="minorEastAsia" w:hAnsiTheme="minorHAnsi" w:cstheme="minorBidi"/>
          <w:noProof/>
          <w:sz w:val="22"/>
          <w:lang w:eastAsia="en-AU" w:bidi="ar-SA"/>
        </w:rPr>
      </w:pPr>
      <w:r w:rsidRPr="00BC523B">
        <w:rPr>
          <w:noProof/>
        </w:rPr>
        <w:t>Complete list of excluded studies – with reasons</w:t>
      </w:r>
      <w:r>
        <w:rPr>
          <w:noProof/>
          <w:webHidden/>
        </w:rPr>
        <w:tab/>
      </w:r>
      <w:r w:rsidR="0014111B">
        <w:rPr>
          <w:noProof/>
          <w:webHidden/>
        </w:rPr>
        <w:t>7</w:t>
      </w:r>
    </w:p>
    <w:p w:rsidR="001A2EBE" w:rsidRDefault="001A2EBE">
      <w:pPr>
        <w:pStyle w:val="TOC1"/>
        <w:rPr>
          <w:rFonts w:asciiTheme="minorHAnsi" w:eastAsiaTheme="minorEastAsia" w:hAnsiTheme="minorHAnsi" w:cstheme="minorBidi"/>
          <w:noProof/>
          <w:sz w:val="22"/>
          <w:lang w:eastAsia="en-AU" w:bidi="ar-SA"/>
        </w:rPr>
      </w:pPr>
      <w:r w:rsidRPr="00BC523B">
        <w:rPr>
          <w:noProof/>
        </w:rPr>
        <w:t>Quality assessment of longitudinal cohort studies included in the baseline meta-analysis</w:t>
      </w:r>
      <w:r>
        <w:rPr>
          <w:noProof/>
          <w:webHidden/>
        </w:rPr>
        <w:tab/>
      </w:r>
      <w:r w:rsidR="0014111B">
        <w:rPr>
          <w:noProof/>
          <w:webHidden/>
        </w:rPr>
        <w:t>15</w:t>
      </w:r>
    </w:p>
    <w:p w:rsidR="001A2EBE" w:rsidRDefault="001A2EBE">
      <w:pPr>
        <w:pStyle w:val="TOC1"/>
        <w:rPr>
          <w:rFonts w:asciiTheme="minorHAnsi" w:eastAsiaTheme="minorEastAsia" w:hAnsiTheme="minorHAnsi" w:cstheme="minorBidi"/>
          <w:noProof/>
          <w:sz w:val="22"/>
          <w:lang w:eastAsia="en-AU" w:bidi="ar-SA"/>
        </w:rPr>
      </w:pPr>
      <w:r w:rsidRPr="00BC523B">
        <w:rPr>
          <w:noProof/>
        </w:rPr>
        <w:t>Baseline meta-analysis data</w:t>
      </w:r>
      <w:r>
        <w:rPr>
          <w:noProof/>
          <w:webHidden/>
        </w:rPr>
        <w:tab/>
      </w:r>
      <w:r w:rsidR="0014111B">
        <w:rPr>
          <w:noProof/>
          <w:webHidden/>
        </w:rPr>
        <w:t>17</w:t>
      </w:r>
    </w:p>
    <w:p w:rsidR="001A2EBE" w:rsidRDefault="001A2EBE">
      <w:pPr>
        <w:pStyle w:val="TOC1"/>
        <w:rPr>
          <w:rFonts w:asciiTheme="minorHAnsi" w:eastAsiaTheme="minorEastAsia" w:hAnsiTheme="minorHAnsi" w:cstheme="minorBidi"/>
          <w:noProof/>
          <w:sz w:val="22"/>
          <w:lang w:eastAsia="en-AU" w:bidi="ar-SA"/>
        </w:rPr>
      </w:pPr>
      <w:r w:rsidRPr="00BC523B">
        <w:rPr>
          <w:noProof/>
        </w:rPr>
        <w:t>Trim and fill analysis</w:t>
      </w:r>
      <w:r>
        <w:rPr>
          <w:noProof/>
          <w:webHidden/>
        </w:rPr>
        <w:tab/>
      </w:r>
      <w:r w:rsidR="0014111B">
        <w:rPr>
          <w:noProof/>
          <w:webHidden/>
        </w:rPr>
        <w:t>19</w:t>
      </w:r>
    </w:p>
    <w:p w:rsidR="001A2EBE" w:rsidRDefault="001A2EBE">
      <w:pPr>
        <w:pStyle w:val="TOC1"/>
        <w:rPr>
          <w:rFonts w:asciiTheme="minorHAnsi" w:eastAsiaTheme="minorEastAsia" w:hAnsiTheme="minorHAnsi" w:cstheme="minorBidi"/>
          <w:noProof/>
          <w:sz w:val="22"/>
          <w:lang w:eastAsia="en-AU" w:bidi="ar-SA"/>
        </w:rPr>
      </w:pPr>
      <w:r w:rsidRPr="00BC523B">
        <w:rPr>
          <w:noProof/>
        </w:rPr>
        <w:t>Reference list</w:t>
      </w:r>
      <w:r>
        <w:rPr>
          <w:noProof/>
          <w:webHidden/>
        </w:rPr>
        <w:tab/>
      </w:r>
      <w:r w:rsidR="0014111B">
        <w:rPr>
          <w:noProof/>
          <w:webHidden/>
        </w:rPr>
        <w:t>21</w:t>
      </w:r>
    </w:p>
    <w:p w:rsidR="00901757" w:rsidRDefault="00901757" w:rsidP="00901757">
      <w:pPr>
        <w:rPr>
          <w:lang w:bidi="ar-SA"/>
        </w:rPr>
      </w:pPr>
    </w:p>
    <w:p w:rsidR="00901757" w:rsidRDefault="00901757" w:rsidP="00901757">
      <w:pPr>
        <w:rPr>
          <w:lang w:bidi="ar-SA"/>
        </w:rPr>
      </w:pPr>
    </w:p>
    <w:p w:rsidR="00901757" w:rsidRDefault="00901757">
      <w:pPr>
        <w:spacing w:line="240" w:lineRule="auto"/>
        <w:jc w:val="left"/>
        <w:rPr>
          <w:lang w:bidi="ar-SA"/>
        </w:rPr>
      </w:pPr>
      <w:r>
        <w:rPr>
          <w:lang w:bidi="ar-SA"/>
        </w:rPr>
        <w:br w:type="page"/>
      </w:r>
    </w:p>
    <w:p w:rsidR="002F3D3F" w:rsidRDefault="00223305" w:rsidP="00223305">
      <w:pPr>
        <w:pStyle w:val="Heading2"/>
      </w:pPr>
      <w:bookmarkStart w:id="2" w:name="_Toc504925525"/>
      <w:r>
        <w:lastRenderedPageBreak/>
        <w:t>List</w:t>
      </w:r>
      <w:r w:rsidR="00E07A99">
        <w:t xml:space="preserve"> of F</w:t>
      </w:r>
      <w:r>
        <w:t>igures</w:t>
      </w:r>
      <w:bookmarkEnd w:id="2"/>
    </w:p>
    <w:p w:rsidR="00F5159D" w:rsidRDefault="00F5159D">
      <w:pPr>
        <w:pStyle w:val="TOC1"/>
        <w:rPr>
          <w:rFonts w:asciiTheme="minorHAnsi" w:eastAsiaTheme="minorEastAsia" w:hAnsiTheme="minorHAnsi" w:cstheme="minorBidi"/>
          <w:noProof/>
          <w:sz w:val="22"/>
          <w:lang w:eastAsia="en-AU" w:bidi="ar-SA"/>
        </w:rPr>
      </w:pPr>
      <w:r>
        <w:rPr>
          <w:noProof/>
        </w:rPr>
        <w:t>Figure 1</w:t>
      </w:r>
      <w:r>
        <w:rPr>
          <w:rFonts w:asciiTheme="minorHAnsi" w:eastAsiaTheme="minorEastAsia" w:hAnsiTheme="minorHAnsi" w:cstheme="minorBidi"/>
          <w:noProof/>
          <w:sz w:val="22"/>
          <w:lang w:eastAsia="en-AU" w:bidi="ar-SA"/>
        </w:rPr>
        <w:tab/>
      </w:r>
      <w:r>
        <w:rPr>
          <w:noProof/>
        </w:rPr>
        <w:t>Newcastle-Ottawa quality assessment graph for included studies</w:t>
      </w:r>
      <w:r>
        <w:rPr>
          <w:noProof/>
        </w:rPr>
        <w:tab/>
      </w:r>
      <w:r w:rsidR="0014111B">
        <w:rPr>
          <w:noProof/>
        </w:rPr>
        <w:t>15</w:t>
      </w:r>
    </w:p>
    <w:p w:rsidR="00F5159D" w:rsidRDefault="00F5159D">
      <w:pPr>
        <w:pStyle w:val="TOC1"/>
        <w:rPr>
          <w:rFonts w:asciiTheme="minorHAnsi" w:eastAsiaTheme="minorEastAsia" w:hAnsiTheme="minorHAnsi" w:cstheme="minorBidi"/>
          <w:noProof/>
          <w:sz w:val="22"/>
          <w:lang w:eastAsia="en-AU" w:bidi="ar-SA"/>
        </w:rPr>
      </w:pPr>
      <w:r>
        <w:rPr>
          <w:noProof/>
        </w:rPr>
        <w:t>Figure 2</w:t>
      </w:r>
      <w:r>
        <w:rPr>
          <w:rFonts w:asciiTheme="minorHAnsi" w:eastAsiaTheme="minorEastAsia" w:hAnsiTheme="minorHAnsi" w:cstheme="minorBidi"/>
          <w:noProof/>
          <w:sz w:val="22"/>
          <w:lang w:eastAsia="en-AU" w:bidi="ar-SA"/>
        </w:rPr>
        <w:tab/>
      </w:r>
      <w:r>
        <w:rPr>
          <w:noProof/>
        </w:rPr>
        <w:t>Newcastle-Ottawa checklist of quality assessment items for included studies</w:t>
      </w:r>
      <w:r>
        <w:rPr>
          <w:noProof/>
        </w:rPr>
        <w:tab/>
      </w:r>
      <w:r w:rsidR="0014111B">
        <w:rPr>
          <w:noProof/>
        </w:rPr>
        <w:t>16</w:t>
      </w:r>
    </w:p>
    <w:p w:rsidR="00F5159D" w:rsidRDefault="00F5159D">
      <w:pPr>
        <w:pStyle w:val="TOC1"/>
        <w:rPr>
          <w:rFonts w:asciiTheme="minorHAnsi" w:eastAsiaTheme="minorEastAsia" w:hAnsiTheme="minorHAnsi" w:cstheme="minorBidi"/>
          <w:noProof/>
          <w:sz w:val="22"/>
          <w:lang w:eastAsia="en-AU" w:bidi="ar-SA"/>
        </w:rPr>
      </w:pPr>
      <w:r>
        <w:rPr>
          <w:noProof/>
        </w:rPr>
        <w:t>Figure 3</w:t>
      </w:r>
      <w:r>
        <w:rPr>
          <w:rFonts w:asciiTheme="minorHAnsi" w:eastAsiaTheme="minorEastAsia" w:hAnsiTheme="minorHAnsi" w:cstheme="minorBidi"/>
          <w:noProof/>
          <w:sz w:val="22"/>
          <w:lang w:eastAsia="en-AU" w:bidi="ar-SA"/>
        </w:rPr>
        <w:tab/>
      </w:r>
      <w:r>
        <w:rPr>
          <w:noProof/>
        </w:rPr>
        <w:t>Forest plot presenting the results of the trim and fill analysis</w:t>
      </w:r>
      <w:r>
        <w:rPr>
          <w:noProof/>
        </w:rPr>
        <w:tab/>
      </w:r>
      <w:r w:rsidR="0014111B">
        <w:rPr>
          <w:noProof/>
        </w:rPr>
        <w:t>19</w:t>
      </w:r>
    </w:p>
    <w:p w:rsidR="00F5159D" w:rsidRDefault="00F5159D">
      <w:pPr>
        <w:pStyle w:val="TOC1"/>
        <w:rPr>
          <w:rFonts w:asciiTheme="minorHAnsi" w:eastAsiaTheme="minorEastAsia" w:hAnsiTheme="minorHAnsi" w:cstheme="minorBidi"/>
          <w:noProof/>
          <w:sz w:val="22"/>
          <w:lang w:eastAsia="en-AU" w:bidi="ar-SA"/>
        </w:rPr>
      </w:pPr>
      <w:r>
        <w:rPr>
          <w:noProof/>
        </w:rPr>
        <w:t>Figure 4</w:t>
      </w:r>
      <w:r>
        <w:rPr>
          <w:rFonts w:asciiTheme="minorHAnsi" w:eastAsiaTheme="minorEastAsia" w:hAnsiTheme="minorHAnsi" w:cstheme="minorBidi"/>
          <w:noProof/>
          <w:sz w:val="22"/>
          <w:lang w:eastAsia="en-AU" w:bidi="ar-SA"/>
        </w:rPr>
        <w:tab/>
      </w:r>
      <w:r>
        <w:rPr>
          <w:noProof/>
        </w:rPr>
        <w:t>Depiction of publication bias in the trim and fill analysis using the: a) funnel plot; and b) Doi plot</w:t>
      </w:r>
      <w:r>
        <w:rPr>
          <w:noProof/>
        </w:rPr>
        <w:tab/>
      </w:r>
      <w:r w:rsidR="0014111B">
        <w:rPr>
          <w:noProof/>
        </w:rPr>
        <w:t>20</w:t>
      </w:r>
    </w:p>
    <w:p w:rsidR="002F3D3F" w:rsidRDefault="002F3D3F" w:rsidP="002F3D3F"/>
    <w:p w:rsidR="00223305" w:rsidRDefault="00E07A99" w:rsidP="00223305">
      <w:pPr>
        <w:pStyle w:val="Heading2"/>
      </w:pPr>
      <w:bookmarkStart w:id="3" w:name="_Toc504925526"/>
      <w:r>
        <w:t>List of T</w:t>
      </w:r>
      <w:r w:rsidR="00223305">
        <w:t>ables</w:t>
      </w:r>
      <w:bookmarkEnd w:id="3"/>
    </w:p>
    <w:p w:rsidR="00F5159D" w:rsidRDefault="00F5159D">
      <w:pPr>
        <w:pStyle w:val="TOC1"/>
        <w:rPr>
          <w:rFonts w:asciiTheme="minorHAnsi" w:eastAsiaTheme="minorEastAsia" w:hAnsiTheme="minorHAnsi" w:cstheme="minorBidi"/>
          <w:noProof/>
          <w:sz w:val="22"/>
          <w:lang w:eastAsia="en-AU" w:bidi="ar-SA"/>
        </w:rPr>
      </w:pPr>
      <w:r w:rsidRPr="00BC523B">
        <w:rPr>
          <w:noProof/>
        </w:rPr>
        <w:t>Table 1</w:t>
      </w:r>
      <w:r>
        <w:rPr>
          <w:rFonts w:asciiTheme="minorHAnsi" w:eastAsiaTheme="minorEastAsia" w:hAnsiTheme="minorHAnsi" w:cstheme="minorBidi"/>
          <w:noProof/>
          <w:sz w:val="22"/>
          <w:lang w:eastAsia="en-AU" w:bidi="ar-SA"/>
        </w:rPr>
        <w:tab/>
      </w:r>
      <w:r w:rsidRPr="00BC523B">
        <w:rPr>
          <w:noProof/>
        </w:rPr>
        <w:t>Data extracted from in-scope longitudinal studies</w:t>
      </w:r>
      <w:r>
        <w:rPr>
          <w:noProof/>
          <w:webHidden/>
        </w:rPr>
        <w:tab/>
      </w:r>
      <w:r w:rsidR="0014111B">
        <w:rPr>
          <w:noProof/>
          <w:webHidden/>
        </w:rPr>
        <w:t>17</w:t>
      </w:r>
    </w:p>
    <w:p w:rsidR="00076015" w:rsidRDefault="00076015" w:rsidP="009D0377">
      <w:r>
        <w:br w:type="page"/>
      </w:r>
    </w:p>
    <w:p w:rsidR="00A50AD6" w:rsidRDefault="00087332" w:rsidP="00A50AD6">
      <w:pPr>
        <w:pStyle w:val="Heading2"/>
      </w:pPr>
      <w:bookmarkStart w:id="4" w:name="_Toc504925527"/>
      <w:r>
        <w:lastRenderedPageBreak/>
        <w:t>S</w:t>
      </w:r>
      <w:r w:rsidR="00611E0C">
        <w:t>earch terms</w:t>
      </w:r>
      <w:r w:rsidR="001C1D6F">
        <w:t xml:space="preserve"> used in the </w:t>
      </w:r>
      <w:r w:rsidR="00032C2A">
        <w:t xml:space="preserve">systematic </w:t>
      </w:r>
      <w:r w:rsidR="001C1D6F">
        <w:t>review</w:t>
      </w:r>
      <w:bookmarkEnd w:id="4"/>
    </w:p>
    <w:p w:rsidR="00A50AD6" w:rsidRDefault="00A50AD6" w:rsidP="00A50AD6">
      <w:pPr>
        <w:pStyle w:val="Heading3"/>
      </w:pPr>
      <w:r>
        <w:t>Pubmed</w:t>
      </w:r>
    </w:p>
    <w:p w:rsidR="00EF0C33" w:rsidRDefault="00254463" w:rsidP="00632371">
      <w:pPr>
        <w:ind w:left="360"/>
        <w:rPr>
          <w:lang w:bidi="ar-SA"/>
        </w:rPr>
      </w:pPr>
      <w:r>
        <w:rPr>
          <w:lang w:bidi="ar-SA"/>
        </w:rPr>
        <w:t>(</w:t>
      </w:r>
      <w:r w:rsidR="00EF0C33" w:rsidRPr="00EF0C33">
        <w:rPr>
          <w:lang w:bidi="ar-SA"/>
        </w:rPr>
        <w:t>"Depression"[Mesh] OR "Depressive Disorder"[Mesh] OR depressi*[tw]</w:t>
      </w:r>
      <w:r>
        <w:rPr>
          <w:lang w:bidi="ar-SA"/>
        </w:rPr>
        <w:t>)</w:t>
      </w:r>
    </w:p>
    <w:p w:rsidR="00632371" w:rsidRDefault="00632371" w:rsidP="00632371">
      <w:pPr>
        <w:ind w:left="360"/>
        <w:jc w:val="center"/>
        <w:rPr>
          <w:lang w:bidi="ar-SA"/>
        </w:rPr>
      </w:pPr>
      <w:r>
        <w:rPr>
          <w:lang w:bidi="ar-SA"/>
        </w:rPr>
        <w:t>AND</w:t>
      </w:r>
    </w:p>
    <w:p w:rsidR="00EF0C33" w:rsidRDefault="00254463" w:rsidP="00632371">
      <w:pPr>
        <w:ind w:left="360"/>
        <w:rPr>
          <w:lang w:bidi="ar-SA"/>
        </w:rPr>
      </w:pPr>
      <w:r>
        <w:rPr>
          <w:lang w:bidi="ar-SA"/>
        </w:rPr>
        <w:t>(</w:t>
      </w:r>
      <w:r w:rsidR="00EF0C33" w:rsidRPr="00330B60">
        <w:rPr>
          <w:lang w:bidi="ar-SA"/>
        </w:rPr>
        <w:t>minor</w:t>
      </w:r>
      <w:r w:rsidR="00EF0C33">
        <w:rPr>
          <w:lang w:bidi="ar-SA"/>
        </w:rPr>
        <w:t>[tw]</w:t>
      </w:r>
      <w:r w:rsidR="00EF0C33" w:rsidRPr="00330B60">
        <w:rPr>
          <w:lang w:bidi="ar-SA"/>
        </w:rPr>
        <w:t xml:space="preserve"> OR subclinical</w:t>
      </w:r>
      <w:r w:rsidR="00EF0C33">
        <w:rPr>
          <w:lang w:bidi="ar-SA"/>
        </w:rPr>
        <w:t>[tw] OR sub-clinical[tw]</w:t>
      </w:r>
      <w:r w:rsidR="00EF0C33" w:rsidRPr="00330B60">
        <w:rPr>
          <w:lang w:bidi="ar-SA"/>
        </w:rPr>
        <w:t xml:space="preserve"> OR subthreshold</w:t>
      </w:r>
      <w:r w:rsidR="00EF0C33">
        <w:rPr>
          <w:lang w:bidi="ar-SA"/>
        </w:rPr>
        <w:t>[tw]</w:t>
      </w:r>
      <w:r w:rsidR="00EF0C33" w:rsidRPr="00330B60">
        <w:rPr>
          <w:lang w:bidi="ar-SA"/>
        </w:rPr>
        <w:t xml:space="preserve"> OR </w:t>
      </w:r>
      <w:r w:rsidR="00EF0C33">
        <w:rPr>
          <w:lang w:bidi="ar-SA"/>
        </w:rPr>
        <w:t xml:space="preserve">sub-threshold[tw] OR </w:t>
      </w:r>
      <w:r w:rsidR="00EF0C33" w:rsidRPr="00330B60">
        <w:rPr>
          <w:lang w:bidi="ar-SA"/>
        </w:rPr>
        <w:t>subsyndromal</w:t>
      </w:r>
      <w:r w:rsidR="00EF0C33">
        <w:rPr>
          <w:lang w:bidi="ar-SA"/>
        </w:rPr>
        <w:t>[tw] OR sub-syndromal[tw]</w:t>
      </w:r>
      <w:r>
        <w:rPr>
          <w:lang w:bidi="ar-SA"/>
        </w:rPr>
        <w:t>)</w:t>
      </w:r>
    </w:p>
    <w:p w:rsidR="00632371" w:rsidRDefault="00632371" w:rsidP="00632371">
      <w:pPr>
        <w:ind w:left="360"/>
        <w:jc w:val="center"/>
        <w:rPr>
          <w:lang w:bidi="ar-SA"/>
        </w:rPr>
      </w:pPr>
      <w:r>
        <w:rPr>
          <w:lang w:bidi="ar-SA"/>
        </w:rPr>
        <w:t>AND</w:t>
      </w:r>
    </w:p>
    <w:p w:rsidR="00EF0C33" w:rsidRDefault="00254463" w:rsidP="00632371">
      <w:pPr>
        <w:ind w:left="360"/>
        <w:rPr>
          <w:lang w:bidi="ar-SA"/>
        </w:rPr>
      </w:pPr>
      <w:r>
        <w:rPr>
          <w:lang w:bidi="ar-SA"/>
        </w:rPr>
        <w:t>(</w:t>
      </w:r>
      <w:r w:rsidR="00EF0C33" w:rsidRPr="00306653">
        <w:rPr>
          <w:lang w:bidi="ar-SA"/>
        </w:rPr>
        <w:t xml:space="preserve">"Risk"[Mesh] OR "Risk Factors"[Mesh] OR </w:t>
      </w:r>
      <w:r w:rsidR="00EF0C33" w:rsidRPr="0064199D">
        <w:rPr>
          <w:lang w:bidi="ar-SA"/>
        </w:rPr>
        <w:t>"Incidence"[Mesh]</w:t>
      </w:r>
      <w:r w:rsidR="00EF0C33">
        <w:rPr>
          <w:lang w:bidi="ar-SA"/>
        </w:rPr>
        <w:t xml:space="preserve"> OR longitudinal[tw] OR prospective[tw] OR risk[tw] OR incidence[tw] OR onset[tw]</w:t>
      </w:r>
      <w:r>
        <w:rPr>
          <w:lang w:bidi="ar-SA"/>
        </w:rPr>
        <w:t>)</w:t>
      </w:r>
    </w:p>
    <w:p w:rsidR="00A50AD6" w:rsidRDefault="00A50AD6" w:rsidP="00A50AD6">
      <w:pPr>
        <w:rPr>
          <w:lang w:bidi="ar-SA"/>
        </w:rPr>
      </w:pPr>
    </w:p>
    <w:p w:rsidR="00A50AD6" w:rsidRDefault="00A50AD6" w:rsidP="00A50AD6">
      <w:pPr>
        <w:pStyle w:val="Heading3"/>
      </w:pPr>
      <w:r>
        <w:t>Embase</w:t>
      </w:r>
    </w:p>
    <w:p w:rsidR="00A50AD6" w:rsidRDefault="00254463" w:rsidP="00632371">
      <w:pPr>
        <w:ind w:left="360"/>
        <w:rPr>
          <w:lang w:bidi="ar-SA"/>
        </w:rPr>
      </w:pPr>
      <w:r>
        <w:rPr>
          <w:lang w:bidi="ar-SA"/>
        </w:rPr>
        <w:t>(</w:t>
      </w:r>
      <w:r w:rsidR="00A50AD6" w:rsidRPr="009B4F33">
        <w:rPr>
          <w:lang w:bidi="ar-SA"/>
        </w:rPr>
        <w:t>'depression'/exp OR depressi*</w:t>
      </w:r>
      <w:r w:rsidR="00A50AD6">
        <w:rPr>
          <w:lang w:bidi="ar-SA"/>
        </w:rPr>
        <w:t>:ct</w:t>
      </w:r>
      <w:r>
        <w:rPr>
          <w:lang w:bidi="ar-SA"/>
        </w:rPr>
        <w:t>)</w:t>
      </w:r>
    </w:p>
    <w:p w:rsidR="00632371" w:rsidRDefault="00632371" w:rsidP="00632371">
      <w:pPr>
        <w:ind w:left="360"/>
        <w:jc w:val="center"/>
        <w:rPr>
          <w:lang w:bidi="ar-SA"/>
        </w:rPr>
      </w:pPr>
      <w:r>
        <w:rPr>
          <w:lang w:bidi="ar-SA"/>
        </w:rPr>
        <w:t>AND</w:t>
      </w:r>
    </w:p>
    <w:p w:rsidR="00EA12D8" w:rsidRDefault="00254463" w:rsidP="00632371">
      <w:pPr>
        <w:ind w:left="360"/>
        <w:rPr>
          <w:lang w:bidi="ar-SA"/>
        </w:rPr>
      </w:pPr>
      <w:r>
        <w:rPr>
          <w:lang w:bidi="ar-SA"/>
        </w:rPr>
        <w:t>(</w:t>
      </w:r>
      <w:r w:rsidR="00EA12D8" w:rsidRPr="009B4F33">
        <w:rPr>
          <w:lang w:bidi="ar-SA"/>
        </w:rPr>
        <w:t>minor</w:t>
      </w:r>
      <w:r w:rsidR="00EA12D8">
        <w:rPr>
          <w:lang w:bidi="ar-SA"/>
        </w:rPr>
        <w:t>:ct</w:t>
      </w:r>
      <w:r w:rsidR="00EA12D8" w:rsidRPr="009B4F33">
        <w:rPr>
          <w:lang w:bidi="ar-SA"/>
        </w:rPr>
        <w:t xml:space="preserve"> OR subclinical</w:t>
      </w:r>
      <w:r w:rsidR="00EA12D8">
        <w:rPr>
          <w:lang w:bidi="ar-SA"/>
        </w:rPr>
        <w:t>:ct</w:t>
      </w:r>
      <w:r w:rsidR="00EA12D8" w:rsidRPr="009B4F33">
        <w:rPr>
          <w:lang w:bidi="ar-SA"/>
        </w:rPr>
        <w:t xml:space="preserve"> OR sub-clinical</w:t>
      </w:r>
      <w:r w:rsidR="00EA12D8">
        <w:rPr>
          <w:lang w:bidi="ar-SA"/>
        </w:rPr>
        <w:t>:ct</w:t>
      </w:r>
      <w:r w:rsidR="00EA12D8" w:rsidRPr="009B4F33">
        <w:rPr>
          <w:lang w:bidi="ar-SA"/>
        </w:rPr>
        <w:t xml:space="preserve"> OR subthreshold</w:t>
      </w:r>
      <w:r w:rsidR="00EA12D8">
        <w:rPr>
          <w:lang w:bidi="ar-SA"/>
        </w:rPr>
        <w:t>:ct</w:t>
      </w:r>
      <w:r w:rsidR="00EA12D8" w:rsidRPr="009B4F33">
        <w:rPr>
          <w:lang w:bidi="ar-SA"/>
        </w:rPr>
        <w:t xml:space="preserve"> OR sub-threshold</w:t>
      </w:r>
      <w:r w:rsidR="00EA12D8">
        <w:rPr>
          <w:lang w:bidi="ar-SA"/>
        </w:rPr>
        <w:t>:ct</w:t>
      </w:r>
      <w:r w:rsidR="00EA12D8" w:rsidRPr="009B4F33">
        <w:rPr>
          <w:lang w:bidi="ar-SA"/>
        </w:rPr>
        <w:t xml:space="preserve"> OR subsyndromal</w:t>
      </w:r>
      <w:r w:rsidR="00EA12D8">
        <w:rPr>
          <w:lang w:bidi="ar-SA"/>
        </w:rPr>
        <w:t>:ct</w:t>
      </w:r>
      <w:r w:rsidR="00EA12D8" w:rsidRPr="009B4F33">
        <w:rPr>
          <w:lang w:bidi="ar-SA"/>
        </w:rPr>
        <w:t xml:space="preserve"> OR sub-syndromal</w:t>
      </w:r>
      <w:r w:rsidR="00EA12D8">
        <w:rPr>
          <w:lang w:bidi="ar-SA"/>
        </w:rPr>
        <w:t>:ct</w:t>
      </w:r>
      <w:r>
        <w:rPr>
          <w:lang w:bidi="ar-SA"/>
        </w:rPr>
        <w:t>)</w:t>
      </w:r>
    </w:p>
    <w:p w:rsidR="00632371" w:rsidRDefault="00632371" w:rsidP="00632371">
      <w:pPr>
        <w:ind w:left="360"/>
        <w:jc w:val="center"/>
        <w:rPr>
          <w:lang w:bidi="ar-SA"/>
        </w:rPr>
      </w:pPr>
      <w:r>
        <w:rPr>
          <w:lang w:bidi="ar-SA"/>
        </w:rPr>
        <w:t>AND</w:t>
      </w:r>
    </w:p>
    <w:p w:rsidR="00EA12D8" w:rsidRDefault="00254463" w:rsidP="00632371">
      <w:pPr>
        <w:ind w:left="360"/>
        <w:rPr>
          <w:lang w:bidi="ar-SA"/>
        </w:rPr>
      </w:pPr>
      <w:r>
        <w:rPr>
          <w:lang w:bidi="ar-SA"/>
        </w:rPr>
        <w:t>(</w:t>
      </w:r>
      <w:r w:rsidR="00EA12D8" w:rsidRPr="00196658">
        <w:rPr>
          <w:lang w:bidi="ar-SA"/>
        </w:rPr>
        <w:t xml:space="preserve">'risk factor'/exp </w:t>
      </w:r>
      <w:r w:rsidR="00EA12D8">
        <w:rPr>
          <w:lang w:bidi="ar-SA"/>
        </w:rPr>
        <w:t>OR</w:t>
      </w:r>
      <w:r w:rsidR="00EA12D8" w:rsidRPr="00196658">
        <w:rPr>
          <w:lang w:bidi="ar-SA"/>
        </w:rPr>
        <w:t xml:space="preserve"> 'longitudinal study'/exp </w:t>
      </w:r>
      <w:r w:rsidR="00EA12D8">
        <w:rPr>
          <w:lang w:bidi="ar-SA"/>
        </w:rPr>
        <w:t>OR</w:t>
      </w:r>
      <w:r w:rsidR="00EA12D8" w:rsidRPr="00196658">
        <w:rPr>
          <w:lang w:bidi="ar-SA"/>
        </w:rPr>
        <w:t xml:space="preserve"> 'prospective study'/exp </w:t>
      </w:r>
      <w:r w:rsidR="00EA12D8">
        <w:rPr>
          <w:lang w:bidi="ar-SA"/>
        </w:rPr>
        <w:t>OR</w:t>
      </w:r>
      <w:r w:rsidR="00EA12D8" w:rsidRPr="00196658">
        <w:rPr>
          <w:lang w:bidi="ar-SA"/>
        </w:rPr>
        <w:t xml:space="preserve"> 'incidence'/exp </w:t>
      </w:r>
      <w:r w:rsidR="00EA12D8">
        <w:rPr>
          <w:lang w:bidi="ar-SA"/>
        </w:rPr>
        <w:t>OR longitudinal:ct OR prospective:ct OR risk:ct OR incidence:ct OR onset:ct</w:t>
      </w:r>
      <w:r>
        <w:rPr>
          <w:lang w:bidi="ar-SA"/>
        </w:rPr>
        <w:t>)</w:t>
      </w:r>
    </w:p>
    <w:p w:rsidR="00A50AD6" w:rsidRDefault="00A50AD6" w:rsidP="00A50AD6">
      <w:pPr>
        <w:rPr>
          <w:lang w:bidi="ar-SA"/>
        </w:rPr>
      </w:pPr>
    </w:p>
    <w:p w:rsidR="00A50AD6" w:rsidRDefault="00A50AD6" w:rsidP="00A50AD6">
      <w:pPr>
        <w:pStyle w:val="Heading3"/>
      </w:pPr>
      <w:r>
        <w:t>PsycINFO</w:t>
      </w:r>
    </w:p>
    <w:p w:rsidR="00EA12D8" w:rsidRDefault="00EA12D8" w:rsidP="00632371">
      <w:pPr>
        <w:ind w:left="360"/>
        <w:rPr>
          <w:lang w:bidi="ar-SA"/>
        </w:rPr>
      </w:pPr>
      <w:r>
        <w:rPr>
          <w:lang w:bidi="ar-SA"/>
        </w:rPr>
        <w:t>((Depression (Emotion)) OR (Dysthymic Disorder)</w:t>
      </w:r>
      <w:r w:rsidRPr="0038706D">
        <w:rPr>
          <w:lang w:bidi="ar-SA"/>
        </w:rPr>
        <w:t xml:space="preserve"> OR </w:t>
      </w:r>
      <w:r>
        <w:rPr>
          <w:lang w:bidi="ar-SA"/>
        </w:rPr>
        <w:t>(Major Depression)</w:t>
      </w:r>
      <w:r w:rsidRPr="0038706D">
        <w:rPr>
          <w:lang w:bidi="ar-SA"/>
        </w:rPr>
        <w:t xml:space="preserve"> OR </w:t>
      </w:r>
      <w:r w:rsidRPr="00330B60">
        <w:rPr>
          <w:lang w:bidi="ar-SA"/>
        </w:rPr>
        <w:t>depressi*</w:t>
      </w:r>
      <w:r>
        <w:rPr>
          <w:lang w:bidi="ar-SA"/>
        </w:rPr>
        <w:t>.tw)</w:t>
      </w:r>
    </w:p>
    <w:p w:rsidR="00632371" w:rsidRDefault="00632371" w:rsidP="00632371">
      <w:pPr>
        <w:ind w:left="360"/>
        <w:jc w:val="center"/>
        <w:rPr>
          <w:lang w:bidi="ar-SA"/>
        </w:rPr>
      </w:pPr>
      <w:r>
        <w:rPr>
          <w:lang w:bidi="ar-SA"/>
        </w:rPr>
        <w:t>AND</w:t>
      </w:r>
    </w:p>
    <w:p w:rsidR="00EA12D8" w:rsidRDefault="00EA12D8" w:rsidP="00632371">
      <w:pPr>
        <w:ind w:left="360"/>
        <w:rPr>
          <w:lang w:bidi="ar-SA"/>
        </w:rPr>
      </w:pPr>
      <w:r>
        <w:rPr>
          <w:lang w:bidi="ar-SA"/>
        </w:rPr>
        <w:t>(</w:t>
      </w:r>
      <w:r w:rsidRPr="009B4F33">
        <w:rPr>
          <w:lang w:bidi="ar-SA"/>
        </w:rPr>
        <w:t>minor OR subclinical OR sub-clinical OR subthreshold OR sub-threshold OR subsyndromal OR sub-syndromal</w:t>
      </w:r>
      <w:r>
        <w:rPr>
          <w:lang w:bidi="ar-SA"/>
        </w:rPr>
        <w:t>)</w:t>
      </w:r>
    </w:p>
    <w:p w:rsidR="00632371" w:rsidRDefault="00632371" w:rsidP="00632371">
      <w:pPr>
        <w:ind w:left="360"/>
        <w:jc w:val="center"/>
        <w:rPr>
          <w:lang w:bidi="ar-SA"/>
        </w:rPr>
      </w:pPr>
      <w:r>
        <w:rPr>
          <w:lang w:bidi="ar-SA"/>
        </w:rPr>
        <w:t>AND</w:t>
      </w:r>
    </w:p>
    <w:p w:rsidR="00755D46" w:rsidRDefault="00755D46" w:rsidP="00632371">
      <w:pPr>
        <w:ind w:left="360"/>
        <w:rPr>
          <w:lang w:bidi="ar-SA"/>
        </w:rPr>
      </w:pPr>
      <w:r>
        <w:rPr>
          <w:lang w:bidi="ar-SA"/>
        </w:rPr>
        <w:t>((Risk Factors)</w:t>
      </w:r>
      <w:r w:rsidRPr="00306653">
        <w:rPr>
          <w:lang w:bidi="ar-SA"/>
        </w:rPr>
        <w:t xml:space="preserve"> OR </w:t>
      </w:r>
      <w:r>
        <w:rPr>
          <w:lang w:bidi="ar-SA"/>
        </w:rPr>
        <w:t>(</w:t>
      </w:r>
      <w:r w:rsidRPr="0060533B">
        <w:rPr>
          <w:lang w:bidi="ar-SA"/>
        </w:rPr>
        <w:t>Follow</w:t>
      </w:r>
      <w:r>
        <w:rPr>
          <w:lang w:bidi="ar-SA"/>
        </w:rPr>
        <w:t xml:space="preserve"> </w:t>
      </w:r>
      <w:r w:rsidRPr="0060533B">
        <w:rPr>
          <w:lang w:bidi="ar-SA"/>
        </w:rPr>
        <w:t>up</w:t>
      </w:r>
      <w:r>
        <w:rPr>
          <w:lang w:bidi="ar-SA"/>
        </w:rPr>
        <w:t xml:space="preserve"> Studies) OR (Longitudinal Studies) OR (</w:t>
      </w:r>
      <w:r w:rsidRPr="0060533B">
        <w:rPr>
          <w:lang w:bidi="ar-SA"/>
        </w:rPr>
        <w:t xml:space="preserve">Prospective </w:t>
      </w:r>
      <w:r>
        <w:rPr>
          <w:lang w:bidi="ar-SA"/>
        </w:rPr>
        <w:t>Studies) OR longitudinal.tw OR prospective.tw OR risk.tw OR incidence.tw OR onset.tw)</w:t>
      </w:r>
    </w:p>
    <w:p w:rsidR="00291A33" w:rsidRDefault="00291A33" w:rsidP="00291A33">
      <w:pPr>
        <w:rPr>
          <w:lang w:bidi="ar-SA"/>
        </w:rPr>
      </w:pPr>
    </w:p>
    <w:p w:rsidR="00900A4A" w:rsidRDefault="00900A4A">
      <w:pPr>
        <w:spacing w:line="240" w:lineRule="auto"/>
        <w:jc w:val="left"/>
      </w:pPr>
      <w:r>
        <w:br w:type="page"/>
      </w:r>
    </w:p>
    <w:p w:rsidR="00A50AD6" w:rsidRDefault="00900A4A" w:rsidP="00900A4A">
      <w:pPr>
        <w:pStyle w:val="Heading2"/>
      </w:pPr>
      <w:bookmarkStart w:id="5" w:name="_Toc504925528"/>
      <w:r>
        <w:lastRenderedPageBreak/>
        <w:t xml:space="preserve">Newcastle-Ottawa </w:t>
      </w:r>
      <w:r w:rsidR="00E361FD">
        <w:t>q</w:t>
      </w:r>
      <w:r w:rsidRPr="00C45735">
        <w:t xml:space="preserve">uality </w:t>
      </w:r>
      <w:r w:rsidR="00E361FD">
        <w:t>a</w:t>
      </w:r>
      <w:r w:rsidRPr="00C45735">
        <w:t>sse</w:t>
      </w:r>
      <w:r>
        <w:t xml:space="preserve">ssment </w:t>
      </w:r>
      <w:r w:rsidR="00E361FD">
        <w:t>scale for cohort s</w:t>
      </w:r>
      <w:r>
        <w:t>tudies</w:t>
      </w:r>
      <w:bookmarkEnd w:id="5"/>
    </w:p>
    <w:p w:rsidR="00900A4A" w:rsidRDefault="002B47A8" w:rsidP="00A50AD6">
      <w:r>
        <w:t xml:space="preserve">Here we provide </w:t>
      </w:r>
      <w:r w:rsidR="00344BF9">
        <w:t>a summary list of the d</w:t>
      </w:r>
      <w:r w:rsidR="009B3591">
        <w:t>omains/</w:t>
      </w:r>
      <w:r>
        <w:t>items that were used to assess the quality of longitudinal cohort studies included in the meta-analysis.</w:t>
      </w:r>
      <w:r w:rsidR="00BC5B52">
        <w:t xml:space="preserve"> </w:t>
      </w:r>
      <w:r w:rsidR="00344BF9">
        <w:t xml:space="preserve">There are 3 domains encompassing: (S) </w:t>
      </w:r>
      <w:r w:rsidR="00344BF9" w:rsidRPr="00344BF9">
        <w:t>the selection of</w:t>
      </w:r>
      <w:r w:rsidR="00344BF9">
        <w:t xml:space="preserve"> the</w:t>
      </w:r>
      <w:r w:rsidR="00344BF9" w:rsidRPr="00344BF9">
        <w:t xml:space="preserve"> study groups;</w:t>
      </w:r>
      <w:r w:rsidR="00344BF9">
        <w:t xml:space="preserve"> (C)</w:t>
      </w:r>
      <w:r w:rsidR="00344BF9" w:rsidRPr="00344BF9">
        <w:t xml:space="preserve"> the comparability of the groups; and</w:t>
      </w:r>
      <w:r w:rsidR="00344BF9">
        <w:t xml:space="preserve"> (</w:t>
      </w:r>
      <w:r w:rsidR="00C732B7">
        <w:t>O</w:t>
      </w:r>
      <w:r w:rsidR="00344BF9">
        <w:t>)</w:t>
      </w:r>
      <w:r w:rsidR="00344BF9" w:rsidRPr="00344BF9">
        <w:t xml:space="preserve"> the ascertainment of the </w:t>
      </w:r>
      <w:r w:rsidR="00CD0E4A">
        <w:t>outcome of interest.</w:t>
      </w:r>
      <w:r w:rsidR="0095248C">
        <w:t xml:space="preserve"> A</w:t>
      </w:r>
      <w:r w:rsidR="00CD0E4A">
        <w:t xml:space="preserve"> star is awarded for each quality </w:t>
      </w:r>
      <w:r w:rsidR="006357D1">
        <w:t xml:space="preserve">item if it </w:t>
      </w:r>
      <w:r w:rsidR="00A95312">
        <w:t>satisfies the requirements for any</w:t>
      </w:r>
      <w:r w:rsidR="006357D1">
        <w:t xml:space="preserve"> of the assessments</w:t>
      </w:r>
      <w:r w:rsidR="003C6A8D">
        <w:t xml:space="preserve"> below</w:t>
      </w:r>
      <w:r w:rsidR="006357D1">
        <w:t xml:space="preserve"> in </w:t>
      </w:r>
      <w:r w:rsidR="006357D1" w:rsidRPr="006357D1">
        <w:rPr>
          <w:color w:val="009242"/>
        </w:rPr>
        <w:t>green font</w:t>
      </w:r>
      <w:r w:rsidR="006357D1">
        <w:t xml:space="preserve">. </w:t>
      </w:r>
      <w:r w:rsidR="006041CB">
        <w:t xml:space="preserve">A study can be awarded a maximum of one star for each numbered item within the Selection (S) and Outcome (O) </w:t>
      </w:r>
      <w:r w:rsidR="00F159FA">
        <w:t xml:space="preserve">categories. A maximum of two stars can be given for Comparability (C). </w:t>
      </w:r>
      <w:r w:rsidR="007D46C9">
        <w:t>Overall, a</w:t>
      </w:r>
      <w:r w:rsidR="001E66D2">
        <w:t xml:space="preserve"> s</w:t>
      </w:r>
      <w:r w:rsidR="0016083A">
        <w:t>tud</w:t>
      </w:r>
      <w:r w:rsidR="001E66D2">
        <w:t>y</w:t>
      </w:r>
      <w:r w:rsidR="0016083A">
        <w:t xml:space="preserve"> can be awarded up to nine stars in total.</w:t>
      </w:r>
    </w:p>
    <w:p w:rsidR="002B47A8" w:rsidRDefault="002B47A8" w:rsidP="00A50AD6"/>
    <w:tbl>
      <w:tblPr>
        <w:tblStyle w:val="LightList"/>
        <w:tblW w:w="0" w:type="auto"/>
        <w:tblLook w:val="04A0" w:firstRow="1" w:lastRow="0" w:firstColumn="1" w:lastColumn="0" w:noHBand="0" w:noVBand="1"/>
      </w:tblPr>
      <w:tblGrid>
        <w:gridCol w:w="4361"/>
        <w:gridCol w:w="4881"/>
      </w:tblGrid>
      <w:tr w:rsidR="00F238AE" w:rsidRPr="00425D24" w:rsidTr="00F43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bottom w:val="single" w:sz="8" w:space="0" w:color="000000" w:themeColor="text1"/>
            </w:tcBorders>
          </w:tcPr>
          <w:p w:rsidR="00F238AE" w:rsidRPr="003C0B7C" w:rsidRDefault="00F238AE" w:rsidP="00793BFA">
            <w:pPr>
              <w:pStyle w:val="Tabletext"/>
              <w:spacing w:beforeLines="40" w:before="96" w:afterLines="40" w:after="96"/>
              <w:ind w:right="34"/>
              <w:rPr>
                <w:sz w:val="20"/>
              </w:rPr>
            </w:pPr>
            <w:r w:rsidRPr="003C0B7C">
              <w:rPr>
                <w:sz w:val="20"/>
              </w:rPr>
              <w:t>Domains / Items</w:t>
            </w:r>
          </w:p>
        </w:tc>
        <w:tc>
          <w:tcPr>
            <w:tcW w:w="4881" w:type="dxa"/>
            <w:tcBorders>
              <w:bottom w:val="single" w:sz="8" w:space="0" w:color="000000" w:themeColor="text1"/>
            </w:tcBorders>
          </w:tcPr>
          <w:p w:rsidR="00F238AE" w:rsidRPr="003C0B7C" w:rsidRDefault="00CD0E4A" w:rsidP="00D8734B">
            <w:pPr>
              <w:pStyle w:val="Tabletext"/>
              <w:spacing w:beforeLines="40" w:before="96" w:afterLines="40" w:after="96"/>
              <w:ind w:right="34"/>
              <w:cnfStyle w:val="100000000000" w:firstRow="1" w:lastRow="0" w:firstColumn="0" w:lastColumn="0" w:oddVBand="0" w:evenVBand="0" w:oddHBand="0" w:evenHBand="0" w:firstRowFirstColumn="0" w:firstRowLastColumn="0" w:lastRowFirstColumn="0" w:lastRowLastColumn="0"/>
              <w:rPr>
                <w:sz w:val="20"/>
              </w:rPr>
            </w:pPr>
            <w:r>
              <w:rPr>
                <w:sz w:val="20"/>
              </w:rPr>
              <w:t xml:space="preserve">Assessment for each </w:t>
            </w:r>
            <w:r w:rsidR="00F238AE" w:rsidRPr="003C0B7C">
              <w:rPr>
                <w:sz w:val="20"/>
              </w:rPr>
              <w:t>quality item</w:t>
            </w:r>
          </w:p>
        </w:tc>
      </w:tr>
      <w:tr w:rsidR="00F238AE" w:rsidRPr="00425D24" w:rsidTr="00F43CB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361" w:type="dxa"/>
            <w:tcBorders>
              <w:bottom w:val="nil"/>
            </w:tcBorders>
          </w:tcPr>
          <w:p w:rsidR="00F238AE" w:rsidRPr="003C0B7C" w:rsidRDefault="00F238AE" w:rsidP="00793BFA">
            <w:pPr>
              <w:pStyle w:val="Tabletext"/>
              <w:spacing w:beforeLines="40" w:before="96" w:afterLines="40" w:after="96"/>
              <w:ind w:right="34"/>
            </w:pPr>
            <w:r w:rsidRPr="003C0B7C">
              <w:rPr>
                <w:sz w:val="18"/>
              </w:rPr>
              <w:t>Selection (S)</w:t>
            </w:r>
          </w:p>
        </w:tc>
        <w:tc>
          <w:tcPr>
            <w:tcW w:w="4881" w:type="dxa"/>
            <w:tcBorders>
              <w:bottom w:val="nil"/>
            </w:tcBorders>
          </w:tcPr>
          <w:p w:rsidR="00F238AE" w:rsidRPr="00211B6C" w:rsidRDefault="00F238AE" w:rsidP="00D8734B">
            <w:pPr>
              <w:pStyle w:val="Tabletext"/>
              <w:spacing w:beforeLines="40" w:before="96" w:afterLines="40" w:after="96"/>
              <w:ind w:left="341" w:hanging="284"/>
              <w:cnfStyle w:val="000000100000" w:firstRow="0" w:lastRow="0" w:firstColumn="0" w:lastColumn="0" w:oddVBand="0" w:evenVBand="0" w:oddHBand="1" w:evenHBand="0" w:firstRowFirstColumn="0" w:firstRowLastColumn="0" w:lastRowFirstColumn="0" w:lastRowLastColumn="0"/>
              <w:rPr>
                <w:color w:val="009242"/>
              </w:rPr>
            </w:pPr>
          </w:p>
        </w:tc>
      </w:tr>
      <w:tr w:rsidR="00F238AE" w:rsidRPr="00425D24" w:rsidTr="00F43CB0">
        <w:trPr>
          <w:trHeight w:val="1644"/>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511" w:right="34" w:hanging="369"/>
              <w:rPr>
                <w:b w:val="0"/>
              </w:rPr>
            </w:pPr>
            <w:r w:rsidRPr="003C0B7C">
              <w:rPr>
                <w:b w:val="0"/>
              </w:rPr>
              <w:t>S1 – Representativeness of the exposed cohort</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a)   truly representative of the average case of subthreshold depression in the community</w:t>
            </w:r>
          </w:p>
          <w:p w:rsidR="00F238AE" w:rsidRPr="00163FA5"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B050"/>
              </w:rPr>
            </w:pPr>
            <w:r w:rsidRPr="00211B6C">
              <w:rPr>
                <w:color w:val="009242"/>
              </w:rPr>
              <w:t>b)   somewhat representative of the average case of subthreshold depression in the community</w:t>
            </w:r>
          </w:p>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D00000"/>
              </w:rPr>
            </w:pPr>
            <w:r w:rsidRPr="00211B6C">
              <w:rPr>
                <w:color w:val="D00000"/>
              </w:rPr>
              <w:t>c)   selected group of users (e.g., nurses, volunteers)</w:t>
            </w:r>
          </w:p>
          <w:p w:rsidR="00F238AE" w:rsidRPr="00425D24"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pPr>
            <w:r w:rsidRPr="00211B6C">
              <w:rPr>
                <w:color w:val="D00000"/>
              </w:rPr>
              <w:t>d)   no description of the derivation of the cohort</w:t>
            </w:r>
          </w:p>
        </w:tc>
      </w:tr>
      <w:tr w:rsidR="00F238AE" w:rsidRPr="00425D24" w:rsidTr="00F43CB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511" w:right="34" w:hanging="369"/>
              <w:rPr>
                <w:b w:val="0"/>
              </w:rPr>
            </w:pPr>
            <w:r w:rsidRPr="003C0B7C">
              <w:rPr>
                <w:b w:val="0"/>
              </w:rPr>
              <w:t>S2 – Selection of the non</w:t>
            </w:r>
            <w:r w:rsidR="00542B18">
              <w:rPr>
                <w:b w:val="0"/>
              </w:rPr>
              <w:t>-</w:t>
            </w:r>
            <w:r w:rsidRPr="003C0B7C">
              <w:rPr>
                <w:b w:val="0"/>
              </w:rPr>
              <w:t>exposed cohort</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009242"/>
              </w:rPr>
            </w:pPr>
            <w:r w:rsidRPr="00211B6C">
              <w:rPr>
                <w:color w:val="009242"/>
              </w:rPr>
              <w:t>a)   drawn from the same community as the exposed cohort</w:t>
            </w:r>
          </w:p>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D00000"/>
              </w:rPr>
            </w:pPr>
            <w:r w:rsidRPr="00211B6C">
              <w:rPr>
                <w:color w:val="D00000"/>
              </w:rPr>
              <w:t>b)   drawn from a different source</w:t>
            </w:r>
          </w:p>
          <w:p w:rsidR="00F238AE" w:rsidRPr="00425D24"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pPr>
            <w:r w:rsidRPr="00211B6C">
              <w:rPr>
                <w:color w:val="D00000"/>
              </w:rPr>
              <w:t>c)   no d</w:t>
            </w:r>
            <w:r w:rsidR="004F78FC">
              <w:rPr>
                <w:color w:val="D00000"/>
              </w:rPr>
              <w:t>e</w:t>
            </w:r>
            <w:r w:rsidRPr="00211B6C">
              <w:rPr>
                <w:color w:val="D00000"/>
              </w:rPr>
              <w:t>scripti</w:t>
            </w:r>
            <w:r w:rsidR="00580D9E">
              <w:rPr>
                <w:color w:val="D00000"/>
              </w:rPr>
              <w:t>on of the derivation of the non-</w:t>
            </w:r>
            <w:r w:rsidRPr="00211B6C">
              <w:rPr>
                <w:color w:val="D00000"/>
              </w:rPr>
              <w:t>exposed cohort</w:t>
            </w:r>
          </w:p>
        </w:tc>
      </w:tr>
      <w:tr w:rsidR="00F238AE" w:rsidRPr="00425D24" w:rsidTr="00F43CB0">
        <w:trPr>
          <w:trHeight w:val="102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511" w:right="34" w:hanging="369"/>
              <w:rPr>
                <w:b w:val="0"/>
              </w:rPr>
            </w:pPr>
            <w:r w:rsidRPr="003C0B7C">
              <w:rPr>
                <w:b w:val="0"/>
              </w:rPr>
              <w:t>S3 – Ascertainment of exposure</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a)   structured interview or secure records</w:t>
            </w:r>
          </w:p>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D00000"/>
              </w:rPr>
            </w:pPr>
            <w:r w:rsidRPr="00211B6C">
              <w:rPr>
                <w:color w:val="D00000"/>
              </w:rPr>
              <w:t>b)   written self</w:t>
            </w:r>
            <w:r w:rsidR="00006E38">
              <w:rPr>
                <w:color w:val="D00000"/>
              </w:rPr>
              <w:t>-</w:t>
            </w:r>
            <w:r w:rsidRPr="00211B6C">
              <w:rPr>
                <w:color w:val="D00000"/>
              </w:rPr>
              <w:t>report</w:t>
            </w:r>
          </w:p>
          <w:p w:rsidR="00F238AE" w:rsidRPr="00425D24"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pPr>
            <w:r w:rsidRPr="00211B6C">
              <w:rPr>
                <w:color w:val="D00000"/>
              </w:rPr>
              <w:t>c)   no description</w:t>
            </w:r>
          </w:p>
        </w:tc>
      </w:tr>
      <w:tr w:rsidR="00F238AE" w:rsidRPr="00425D24" w:rsidTr="00F43CB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361" w:type="dxa"/>
            <w:tcBorders>
              <w:top w:val="nil"/>
            </w:tcBorders>
          </w:tcPr>
          <w:p w:rsidR="00F238AE" w:rsidRPr="003C0B7C" w:rsidRDefault="00F238AE" w:rsidP="00793BFA">
            <w:pPr>
              <w:pStyle w:val="Tabletext"/>
              <w:spacing w:beforeLines="40" w:before="96" w:afterLines="40" w:after="96"/>
              <w:ind w:left="511" w:right="34" w:hanging="369"/>
              <w:rPr>
                <w:b w:val="0"/>
              </w:rPr>
            </w:pPr>
            <w:r w:rsidRPr="003C0B7C">
              <w:rPr>
                <w:b w:val="0"/>
              </w:rPr>
              <w:t>S4 – Demonstration that outcome of interest was not present at start of study</w:t>
            </w:r>
          </w:p>
        </w:tc>
        <w:tc>
          <w:tcPr>
            <w:tcW w:w="4881" w:type="dxa"/>
            <w:tcBorders>
              <w:top w:val="nil"/>
            </w:tcBorders>
          </w:tcPr>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009242"/>
              </w:rPr>
            </w:pPr>
            <w:r w:rsidRPr="00211B6C">
              <w:rPr>
                <w:color w:val="009242"/>
              </w:rPr>
              <w:t>a)   yes</w:t>
            </w:r>
          </w:p>
          <w:p w:rsidR="00F238AE" w:rsidRPr="00425D24"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pPr>
            <w:r w:rsidRPr="00211B6C">
              <w:rPr>
                <w:color w:val="D00000"/>
              </w:rPr>
              <w:t>b)   no</w:t>
            </w:r>
          </w:p>
        </w:tc>
      </w:tr>
      <w:tr w:rsidR="00F238AE" w:rsidRPr="00425D24" w:rsidTr="00F43CB0">
        <w:trPr>
          <w:trHeight w:val="428"/>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000000" w:themeColor="text1"/>
              <w:bottom w:val="nil"/>
            </w:tcBorders>
          </w:tcPr>
          <w:p w:rsidR="00F238AE" w:rsidRPr="003C0B7C" w:rsidRDefault="00F238AE" w:rsidP="00793BFA">
            <w:pPr>
              <w:pStyle w:val="Tabletext"/>
              <w:spacing w:beforeLines="40" w:before="96" w:afterLines="40" w:after="96"/>
              <w:ind w:right="34"/>
            </w:pPr>
            <w:r w:rsidRPr="003C0B7C">
              <w:rPr>
                <w:sz w:val="18"/>
              </w:rPr>
              <w:t>Comparability (C)</w:t>
            </w:r>
          </w:p>
        </w:tc>
        <w:tc>
          <w:tcPr>
            <w:tcW w:w="4881" w:type="dxa"/>
            <w:tcBorders>
              <w:top w:val="single" w:sz="8" w:space="0" w:color="000000" w:themeColor="text1"/>
              <w:bottom w:val="nil"/>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p>
        </w:tc>
      </w:tr>
      <w:tr w:rsidR="00F238AE" w:rsidRPr="00425D24" w:rsidTr="00F43CB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709" w:right="34" w:hanging="567"/>
              <w:rPr>
                <w:b w:val="0"/>
              </w:rPr>
            </w:pPr>
            <w:r w:rsidRPr="003C0B7C">
              <w:rPr>
                <w:b w:val="0"/>
              </w:rPr>
              <w:t>C1a – Comparability of cohorts on the basis of the design or analysis (treatment)</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009242"/>
              </w:rPr>
            </w:pPr>
            <w:r w:rsidRPr="00211B6C">
              <w:rPr>
                <w:color w:val="009242"/>
              </w:rPr>
              <w:t>a)   study controls for previous treatment</w:t>
            </w:r>
          </w:p>
          <w:p w:rsidR="00F238AE" w:rsidRPr="00425D24"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pPr>
            <w:r w:rsidRPr="00211B6C">
              <w:rPr>
                <w:color w:val="D00000"/>
              </w:rPr>
              <w:t>b)   study does not control for previous treatment</w:t>
            </w:r>
          </w:p>
        </w:tc>
      </w:tr>
      <w:tr w:rsidR="00F238AE" w:rsidRPr="00425D24" w:rsidTr="00F43CB0">
        <w:trPr>
          <w:trHeight w:val="68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single" w:sz="8" w:space="0" w:color="000000" w:themeColor="text1"/>
            </w:tcBorders>
          </w:tcPr>
          <w:p w:rsidR="00F238AE" w:rsidRPr="003C0B7C" w:rsidRDefault="00F238AE" w:rsidP="00793BFA">
            <w:pPr>
              <w:pStyle w:val="Tabletext"/>
              <w:spacing w:beforeLines="40" w:before="96" w:afterLines="40" w:after="96"/>
              <w:ind w:left="709" w:right="34" w:hanging="567"/>
              <w:rPr>
                <w:b w:val="0"/>
              </w:rPr>
            </w:pPr>
            <w:r w:rsidRPr="003C0B7C">
              <w:rPr>
                <w:b w:val="0"/>
              </w:rPr>
              <w:t>C1b – Comparability of cohorts on the basis of the design or analysis (other mental disorder)</w:t>
            </w:r>
          </w:p>
        </w:tc>
        <w:tc>
          <w:tcPr>
            <w:tcW w:w="4881" w:type="dxa"/>
            <w:tcBorders>
              <w:top w:val="nil"/>
              <w:bottom w:val="single" w:sz="8" w:space="0" w:color="000000" w:themeColor="text1"/>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a)   study controls for other mental disorders</w:t>
            </w:r>
          </w:p>
          <w:p w:rsidR="00F238AE" w:rsidRPr="00425D24"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pPr>
            <w:r w:rsidRPr="00211B6C">
              <w:rPr>
                <w:color w:val="D00000"/>
              </w:rPr>
              <w:t>b)   study does not control for other mental disorders</w:t>
            </w:r>
          </w:p>
        </w:tc>
      </w:tr>
      <w:tr w:rsidR="00F238AE" w:rsidRPr="00425D24" w:rsidTr="00F43CB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361" w:type="dxa"/>
            <w:tcBorders>
              <w:bottom w:val="nil"/>
            </w:tcBorders>
          </w:tcPr>
          <w:p w:rsidR="00F238AE" w:rsidRPr="003C0B7C" w:rsidRDefault="006041CB" w:rsidP="00793BFA">
            <w:pPr>
              <w:pStyle w:val="Tabletext"/>
              <w:spacing w:beforeLines="40" w:before="96" w:afterLines="40" w:after="96"/>
              <w:ind w:right="34"/>
            </w:pPr>
            <w:r>
              <w:rPr>
                <w:sz w:val="18"/>
              </w:rPr>
              <w:t xml:space="preserve">Outcome </w:t>
            </w:r>
            <w:r w:rsidR="00F238AE" w:rsidRPr="003C0B7C">
              <w:rPr>
                <w:sz w:val="18"/>
              </w:rPr>
              <w:t>(</w:t>
            </w:r>
            <w:r>
              <w:rPr>
                <w:sz w:val="18"/>
              </w:rPr>
              <w:t>O</w:t>
            </w:r>
            <w:r w:rsidR="00F238AE" w:rsidRPr="003C0B7C">
              <w:rPr>
                <w:sz w:val="18"/>
              </w:rPr>
              <w:t>)</w:t>
            </w:r>
          </w:p>
        </w:tc>
        <w:tc>
          <w:tcPr>
            <w:tcW w:w="4881" w:type="dxa"/>
            <w:tcBorders>
              <w:bottom w:val="nil"/>
            </w:tcBorders>
          </w:tcPr>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009242"/>
              </w:rPr>
            </w:pPr>
          </w:p>
        </w:tc>
      </w:tr>
      <w:tr w:rsidR="00F238AE" w:rsidRPr="00425D24" w:rsidTr="002A0559">
        <w:trPr>
          <w:trHeight w:val="1304"/>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142" w:right="34"/>
              <w:rPr>
                <w:b w:val="0"/>
              </w:rPr>
            </w:pPr>
            <w:r w:rsidRPr="003C0B7C">
              <w:rPr>
                <w:b w:val="0"/>
              </w:rPr>
              <w:t>O1 – Assessment of outcome</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a)   independent blind assessment</w:t>
            </w:r>
          </w:p>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b)   structured interview</w:t>
            </w:r>
          </w:p>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D00000"/>
              </w:rPr>
            </w:pPr>
            <w:r w:rsidRPr="00211B6C">
              <w:rPr>
                <w:color w:val="D00000"/>
              </w:rPr>
              <w:t xml:space="preserve">c)   </w:t>
            </w:r>
            <w:r w:rsidR="006916D1" w:rsidRPr="00211B6C">
              <w:rPr>
                <w:color w:val="D00000"/>
              </w:rPr>
              <w:t>self-report</w:t>
            </w:r>
          </w:p>
          <w:p w:rsidR="00F238AE" w:rsidRPr="00425D24"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pPr>
            <w:r w:rsidRPr="00211B6C">
              <w:rPr>
                <w:color w:val="D00000"/>
              </w:rPr>
              <w:t>d)   no description</w:t>
            </w:r>
          </w:p>
        </w:tc>
      </w:tr>
      <w:tr w:rsidR="00F238AE" w:rsidRPr="00425D24" w:rsidTr="002A055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61" w:type="dxa"/>
            <w:tcBorders>
              <w:top w:val="nil"/>
              <w:bottom w:val="nil"/>
            </w:tcBorders>
          </w:tcPr>
          <w:p w:rsidR="00F238AE" w:rsidRPr="003C0B7C" w:rsidRDefault="00F238AE" w:rsidP="00793BFA">
            <w:pPr>
              <w:pStyle w:val="Tabletext"/>
              <w:spacing w:beforeLines="40" w:before="96" w:afterLines="40" w:after="96"/>
              <w:ind w:left="142" w:right="34"/>
              <w:rPr>
                <w:b w:val="0"/>
              </w:rPr>
            </w:pPr>
            <w:r w:rsidRPr="003C0B7C">
              <w:rPr>
                <w:b w:val="0"/>
              </w:rPr>
              <w:t>O2 – Was follow-up long enough for outcomes to occur</w:t>
            </w:r>
          </w:p>
        </w:tc>
        <w:tc>
          <w:tcPr>
            <w:tcW w:w="4881" w:type="dxa"/>
            <w:tcBorders>
              <w:top w:val="nil"/>
              <w:bottom w:val="nil"/>
            </w:tcBorders>
          </w:tcPr>
          <w:p w:rsidR="00F238AE" w:rsidRPr="00211B6C"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rPr>
                <w:color w:val="009242"/>
              </w:rPr>
            </w:pPr>
            <w:r w:rsidRPr="00211B6C">
              <w:rPr>
                <w:color w:val="009242"/>
              </w:rPr>
              <w:t>a)   yes, at least 1 year</w:t>
            </w:r>
          </w:p>
          <w:p w:rsidR="00F238AE" w:rsidRPr="00425D24" w:rsidRDefault="00F238AE" w:rsidP="00D8734B">
            <w:pPr>
              <w:pStyle w:val="Tabletext"/>
              <w:spacing w:beforeLines="40" w:before="96" w:afterLines="40" w:after="96"/>
              <w:ind w:left="459" w:hanging="284"/>
              <w:cnfStyle w:val="000000100000" w:firstRow="0" w:lastRow="0" w:firstColumn="0" w:lastColumn="0" w:oddVBand="0" w:evenVBand="0" w:oddHBand="1" w:evenHBand="0" w:firstRowFirstColumn="0" w:firstRowLastColumn="0" w:lastRowFirstColumn="0" w:lastRowLastColumn="0"/>
            </w:pPr>
            <w:r w:rsidRPr="00211B6C">
              <w:rPr>
                <w:color w:val="D00000"/>
              </w:rPr>
              <w:t>b)   no</w:t>
            </w:r>
          </w:p>
        </w:tc>
      </w:tr>
      <w:tr w:rsidR="00F238AE" w:rsidRPr="00425D24" w:rsidTr="002A0559">
        <w:trPr>
          <w:trHeight w:val="1020"/>
        </w:trPr>
        <w:tc>
          <w:tcPr>
            <w:cnfStyle w:val="001000000000" w:firstRow="0" w:lastRow="0" w:firstColumn="1" w:lastColumn="0" w:oddVBand="0" w:evenVBand="0" w:oddHBand="0" w:evenHBand="0" w:firstRowFirstColumn="0" w:firstRowLastColumn="0" w:lastRowFirstColumn="0" w:lastRowLastColumn="0"/>
            <w:tcW w:w="4361" w:type="dxa"/>
            <w:tcBorders>
              <w:top w:val="nil"/>
              <w:bottom w:val="single" w:sz="8" w:space="0" w:color="000000" w:themeColor="text1"/>
            </w:tcBorders>
          </w:tcPr>
          <w:p w:rsidR="00F238AE" w:rsidRPr="003C0B7C" w:rsidRDefault="00F238AE" w:rsidP="00793BFA">
            <w:pPr>
              <w:pStyle w:val="Tabletext"/>
              <w:spacing w:beforeLines="40" w:before="96" w:afterLines="40" w:after="96"/>
              <w:ind w:left="142" w:right="34"/>
              <w:rPr>
                <w:b w:val="0"/>
              </w:rPr>
            </w:pPr>
            <w:r w:rsidRPr="003C0B7C">
              <w:rPr>
                <w:b w:val="0"/>
              </w:rPr>
              <w:t>O3 – Adequacy of follow up of cohorts</w:t>
            </w:r>
          </w:p>
        </w:tc>
        <w:tc>
          <w:tcPr>
            <w:tcW w:w="4881" w:type="dxa"/>
            <w:tcBorders>
              <w:top w:val="nil"/>
              <w:bottom w:val="single" w:sz="8" w:space="0" w:color="000000" w:themeColor="text1"/>
            </w:tcBorders>
          </w:tcPr>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009242"/>
              </w:rPr>
            </w:pPr>
            <w:r w:rsidRPr="00211B6C">
              <w:rPr>
                <w:color w:val="009242"/>
              </w:rPr>
              <w:t>a)   follow-up rate &gt; 75%</w:t>
            </w:r>
          </w:p>
          <w:p w:rsidR="00F238AE" w:rsidRPr="00211B6C"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rPr>
                <w:color w:val="D00000"/>
              </w:rPr>
            </w:pPr>
            <w:r w:rsidRPr="00211B6C">
              <w:rPr>
                <w:color w:val="D00000"/>
              </w:rPr>
              <w:t>b)   follow-up rate &lt; 75% and no description of those lost</w:t>
            </w:r>
          </w:p>
          <w:p w:rsidR="00F238AE" w:rsidRPr="00425D24" w:rsidRDefault="00F238AE" w:rsidP="00D8734B">
            <w:pPr>
              <w:pStyle w:val="Tabletext"/>
              <w:spacing w:beforeLines="40" w:before="96" w:afterLines="40" w:after="96"/>
              <w:ind w:left="459" w:hanging="284"/>
              <w:cnfStyle w:val="000000000000" w:firstRow="0" w:lastRow="0" w:firstColumn="0" w:lastColumn="0" w:oddVBand="0" w:evenVBand="0" w:oddHBand="0" w:evenHBand="0" w:firstRowFirstColumn="0" w:firstRowLastColumn="0" w:lastRowFirstColumn="0" w:lastRowLastColumn="0"/>
            </w:pPr>
            <w:r w:rsidRPr="00211B6C">
              <w:rPr>
                <w:color w:val="D00000"/>
              </w:rPr>
              <w:t>c)   no statement</w:t>
            </w:r>
          </w:p>
        </w:tc>
      </w:tr>
    </w:tbl>
    <w:p w:rsidR="007D120F" w:rsidRDefault="007D120F" w:rsidP="00A50AD6">
      <w:pPr>
        <w:sectPr w:rsidR="007D120F" w:rsidSect="004C32A1">
          <w:footerReference w:type="default" r:id="rId9"/>
          <w:pgSz w:w="11906" w:h="16838"/>
          <w:pgMar w:top="1440" w:right="1440" w:bottom="1440" w:left="1440" w:header="708" w:footer="708" w:gutter="0"/>
          <w:cols w:space="708"/>
          <w:titlePg/>
          <w:docGrid w:linePitch="360"/>
        </w:sectPr>
      </w:pPr>
    </w:p>
    <w:p w:rsidR="007D120F" w:rsidRDefault="00C13363" w:rsidP="00BA1C51">
      <w:pPr>
        <w:pStyle w:val="Heading2"/>
      </w:pPr>
      <w:bookmarkStart w:id="6" w:name="_Toc504925529"/>
      <w:r>
        <w:lastRenderedPageBreak/>
        <w:t xml:space="preserve">PRISMA </w:t>
      </w:r>
      <w:r w:rsidR="00BA1C51">
        <w:t>c</w:t>
      </w:r>
      <w:r>
        <w:t>hecklist</w:t>
      </w:r>
      <w:bookmarkEnd w:id="6"/>
    </w:p>
    <w:tbl>
      <w:tblPr>
        <w:tblW w:w="0" w:type="auto"/>
        <w:jc w:val="center"/>
        <w:tblLayout w:type="fixed"/>
        <w:tblCellMar>
          <w:left w:w="0" w:type="dxa"/>
          <w:right w:w="0" w:type="dxa"/>
        </w:tblCellMar>
        <w:tblLook w:val="01E0" w:firstRow="1" w:lastRow="1" w:firstColumn="1" w:lastColumn="1" w:noHBand="0" w:noVBand="0"/>
      </w:tblPr>
      <w:tblGrid>
        <w:gridCol w:w="2700"/>
        <w:gridCol w:w="425"/>
        <w:gridCol w:w="8930"/>
        <w:gridCol w:w="3146"/>
      </w:tblGrid>
      <w:tr w:rsidR="004E55D6" w:rsidRPr="007E5768" w:rsidTr="00041406">
        <w:trPr>
          <w:trHeight w:hRule="exact" w:val="454"/>
          <w:jc w:val="center"/>
        </w:trPr>
        <w:tc>
          <w:tcPr>
            <w:tcW w:w="2700" w:type="dxa"/>
            <w:tcBorders>
              <w:top w:val="single" w:sz="12" w:space="0" w:color="000000"/>
              <w:left w:val="single" w:sz="5" w:space="0" w:color="000000"/>
              <w:bottom w:val="single" w:sz="10" w:space="0" w:color="000000"/>
              <w:right w:val="single" w:sz="5" w:space="0" w:color="000000"/>
            </w:tcBorders>
            <w:shd w:val="clear" w:color="auto" w:fill="63639A"/>
          </w:tcPr>
          <w:p w:rsidR="007D120F" w:rsidRPr="007E5768" w:rsidRDefault="007D120F" w:rsidP="00041406">
            <w:pPr>
              <w:pStyle w:val="Tabletext"/>
              <w:ind w:left="85"/>
              <w:rPr>
                <w:rFonts w:eastAsia="Arial" w:cs="Arial"/>
                <w:sz w:val="19"/>
                <w:szCs w:val="19"/>
              </w:rPr>
            </w:pPr>
            <w:r w:rsidRPr="007E5768">
              <w:rPr>
                <w:rFonts w:eastAsia="Arial" w:cs="Arial"/>
                <w:b/>
                <w:bCs/>
                <w:color w:val="FFFFFF"/>
                <w:sz w:val="19"/>
                <w:szCs w:val="19"/>
              </w:rPr>
              <w:t>Section/topic</w:t>
            </w:r>
          </w:p>
        </w:tc>
        <w:tc>
          <w:tcPr>
            <w:tcW w:w="425" w:type="dxa"/>
            <w:tcBorders>
              <w:top w:val="single" w:sz="12" w:space="0" w:color="000000"/>
              <w:left w:val="single" w:sz="5" w:space="0" w:color="000000"/>
              <w:bottom w:val="single" w:sz="10" w:space="0" w:color="000000"/>
              <w:right w:val="single" w:sz="5" w:space="0" w:color="000000"/>
            </w:tcBorders>
            <w:shd w:val="clear" w:color="auto" w:fill="63639A"/>
          </w:tcPr>
          <w:p w:rsidR="007D120F" w:rsidRPr="007E5768" w:rsidRDefault="007D120F" w:rsidP="00041406">
            <w:pPr>
              <w:pStyle w:val="Tabletext"/>
              <w:ind w:left="85"/>
              <w:rPr>
                <w:rFonts w:eastAsia="Arial" w:cs="Arial"/>
                <w:sz w:val="19"/>
                <w:szCs w:val="19"/>
              </w:rPr>
            </w:pPr>
            <w:r w:rsidRPr="007E5768">
              <w:rPr>
                <w:rFonts w:eastAsia="Arial" w:cs="Arial"/>
                <w:b/>
                <w:bCs/>
                <w:color w:val="FFFFFF"/>
                <w:sz w:val="19"/>
                <w:szCs w:val="19"/>
              </w:rPr>
              <w:t>#</w:t>
            </w:r>
          </w:p>
        </w:tc>
        <w:tc>
          <w:tcPr>
            <w:tcW w:w="8930" w:type="dxa"/>
            <w:tcBorders>
              <w:top w:val="single" w:sz="12" w:space="0" w:color="000000"/>
              <w:left w:val="single" w:sz="5" w:space="0" w:color="000000"/>
              <w:bottom w:val="single" w:sz="10" w:space="0" w:color="000000"/>
              <w:right w:val="single" w:sz="5" w:space="0" w:color="000000"/>
            </w:tcBorders>
            <w:shd w:val="clear" w:color="auto" w:fill="63639A"/>
          </w:tcPr>
          <w:p w:rsidR="007D120F" w:rsidRPr="007E5768" w:rsidRDefault="007D120F" w:rsidP="00041406">
            <w:pPr>
              <w:pStyle w:val="Tabletext"/>
              <w:ind w:left="85" w:right="154"/>
              <w:rPr>
                <w:rFonts w:eastAsia="Arial" w:cs="Arial"/>
                <w:sz w:val="19"/>
                <w:szCs w:val="19"/>
              </w:rPr>
            </w:pPr>
            <w:r w:rsidRPr="007E5768">
              <w:rPr>
                <w:rFonts w:eastAsia="Arial" w:cs="Arial"/>
                <w:b/>
                <w:bCs/>
                <w:color w:val="FFFFFF"/>
                <w:sz w:val="19"/>
                <w:szCs w:val="19"/>
              </w:rPr>
              <w:t>Checklist</w:t>
            </w:r>
            <w:r w:rsidRPr="007E5768">
              <w:rPr>
                <w:rFonts w:eastAsia="Arial" w:cs="Arial"/>
                <w:b/>
                <w:bCs/>
                <w:color w:val="FFFFFF"/>
                <w:spacing w:val="-10"/>
                <w:sz w:val="19"/>
                <w:szCs w:val="19"/>
              </w:rPr>
              <w:t xml:space="preserve"> </w:t>
            </w:r>
            <w:r w:rsidRPr="007E5768">
              <w:rPr>
                <w:rFonts w:eastAsia="Arial" w:cs="Arial"/>
                <w:b/>
                <w:bCs/>
                <w:color w:val="FFFFFF"/>
                <w:sz w:val="19"/>
                <w:szCs w:val="19"/>
              </w:rPr>
              <w:t>item</w:t>
            </w:r>
          </w:p>
        </w:tc>
        <w:tc>
          <w:tcPr>
            <w:tcW w:w="3146" w:type="dxa"/>
            <w:tcBorders>
              <w:top w:val="single" w:sz="12" w:space="0" w:color="000000"/>
              <w:left w:val="single" w:sz="5" w:space="0" w:color="000000"/>
              <w:bottom w:val="single" w:sz="10" w:space="0" w:color="000000"/>
              <w:right w:val="single" w:sz="5" w:space="0" w:color="000000"/>
            </w:tcBorders>
            <w:shd w:val="clear" w:color="auto" w:fill="63639A"/>
          </w:tcPr>
          <w:p w:rsidR="007D120F" w:rsidRPr="007E5768" w:rsidRDefault="00CA32A4" w:rsidP="00041406">
            <w:pPr>
              <w:pStyle w:val="Tabletext"/>
              <w:ind w:left="85" w:right="169"/>
              <w:rPr>
                <w:rFonts w:eastAsia="Arial" w:cs="Arial"/>
                <w:sz w:val="19"/>
                <w:szCs w:val="19"/>
              </w:rPr>
            </w:pPr>
            <w:r w:rsidRPr="007E5768">
              <w:rPr>
                <w:rFonts w:eastAsia="Arial" w:cs="Arial"/>
                <w:b/>
                <w:bCs/>
                <w:color w:val="FFFFFF"/>
                <w:sz w:val="19"/>
                <w:szCs w:val="19"/>
              </w:rPr>
              <w:t>Section reported</w:t>
            </w:r>
          </w:p>
        </w:tc>
      </w:tr>
      <w:tr w:rsidR="007D120F" w:rsidTr="00EA7A9A">
        <w:trPr>
          <w:trHeight w:hRule="exact" w:val="340"/>
          <w:jc w:val="center"/>
        </w:trPr>
        <w:tc>
          <w:tcPr>
            <w:tcW w:w="12055" w:type="dxa"/>
            <w:gridSpan w:val="3"/>
            <w:tcBorders>
              <w:top w:val="single" w:sz="10" w:space="0" w:color="000000"/>
              <w:left w:val="single" w:sz="5" w:space="0" w:color="000000"/>
              <w:bottom w:val="single" w:sz="5" w:space="0" w:color="000000"/>
              <w:right w:val="single" w:sz="5" w:space="0" w:color="000000"/>
            </w:tcBorders>
            <w:shd w:val="clear" w:color="auto" w:fill="FFFFCC"/>
          </w:tcPr>
          <w:p w:rsidR="007D120F" w:rsidRPr="007D120F" w:rsidRDefault="007D120F" w:rsidP="00793BFA">
            <w:pPr>
              <w:pStyle w:val="Tabletext"/>
              <w:spacing w:beforeLines="30" w:before="72"/>
              <w:ind w:left="85" w:right="154"/>
              <w:rPr>
                <w:b/>
              </w:rPr>
            </w:pPr>
            <w:r w:rsidRPr="007D120F">
              <w:rPr>
                <w:b/>
              </w:rPr>
              <w:t>TITLE</w:t>
            </w:r>
          </w:p>
        </w:tc>
        <w:tc>
          <w:tcPr>
            <w:tcW w:w="3146" w:type="dxa"/>
            <w:tcBorders>
              <w:top w:val="single" w:sz="10" w:space="0" w:color="000000"/>
              <w:left w:val="single" w:sz="5" w:space="0" w:color="000000"/>
              <w:bottom w:val="single" w:sz="5" w:space="0" w:color="000000"/>
              <w:right w:val="single" w:sz="5" w:space="0" w:color="000000"/>
            </w:tcBorders>
            <w:shd w:val="clear" w:color="auto" w:fill="FFFFCC"/>
          </w:tcPr>
          <w:p w:rsidR="007D120F" w:rsidRDefault="007D120F" w:rsidP="00D8734B">
            <w:pPr>
              <w:pStyle w:val="Tabletext"/>
              <w:spacing w:beforeLines="30" w:before="72"/>
              <w:ind w:left="85" w:right="169"/>
            </w:pPr>
          </w:p>
        </w:tc>
      </w:tr>
      <w:tr w:rsidR="007D120F" w:rsidTr="00B40AFE">
        <w:trPr>
          <w:trHeight w:hRule="exact" w:val="340"/>
          <w:jc w:val="center"/>
        </w:trPr>
        <w:tc>
          <w:tcPr>
            <w:tcW w:w="2700" w:type="dxa"/>
            <w:tcBorders>
              <w:top w:val="single" w:sz="5" w:space="0" w:color="000000"/>
              <w:left w:val="single" w:sz="5" w:space="0" w:color="000000"/>
              <w:bottom w:val="single" w:sz="10"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Title</w:t>
            </w:r>
          </w:p>
        </w:tc>
        <w:tc>
          <w:tcPr>
            <w:tcW w:w="425"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1</w:t>
            </w:r>
          </w:p>
        </w:tc>
        <w:tc>
          <w:tcPr>
            <w:tcW w:w="8930"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Identify the report as</w:t>
            </w:r>
            <w:r>
              <w:rPr>
                <w:rFonts w:eastAsia="Arial" w:cs="Arial"/>
                <w:spacing w:val="-2"/>
              </w:rPr>
              <w:t xml:space="preserve"> </w:t>
            </w:r>
            <w:r>
              <w:rPr>
                <w:rFonts w:eastAsia="Arial" w:cs="Arial"/>
              </w:rPr>
              <w:t>a sys</w:t>
            </w:r>
            <w:r>
              <w:rPr>
                <w:rFonts w:eastAsia="Arial" w:cs="Arial"/>
                <w:spacing w:val="-2"/>
              </w:rPr>
              <w:t>t</w:t>
            </w:r>
            <w:r>
              <w:rPr>
                <w:rFonts w:eastAsia="Arial" w:cs="Arial"/>
              </w:rPr>
              <w:t>ematic review, meta-anal</w:t>
            </w:r>
            <w:r>
              <w:rPr>
                <w:rFonts w:eastAsia="Arial" w:cs="Arial"/>
                <w:spacing w:val="-2"/>
              </w:rPr>
              <w:t>y</w:t>
            </w:r>
            <w:r>
              <w:rPr>
                <w:rFonts w:eastAsia="Arial" w:cs="Arial"/>
                <w:spacing w:val="-1"/>
              </w:rPr>
              <w:t>s</w:t>
            </w:r>
            <w:r>
              <w:rPr>
                <w:rFonts w:eastAsia="Arial" w:cs="Arial"/>
              </w:rPr>
              <w:t>is, or both.</w:t>
            </w:r>
          </w:p>
        </w:tc>
        <w:tc>
          <w:tcPr>
            <w:tcW w:w="3146" w:type="dxa"/>
            <w:tcBorders>
              <w:top w:val="single" w:sz="5" w:space="0" w:color="000000"/>
              <w:left w:val="single" w:sz="5" w:space="0" w:color="000000"/>
              <w:bottom w:val="single" w:sz="10" w:space="0" w:color="000000"/>
              <w:right w:val="single" w:sz="5" w:space="0" w:color="000000"/>
            </w:tcBorders>
          </w:tcPr>
          <w:p w:rsidR="007D120F" w:rsidRDefault="00DD67B4" w:rsidP="0032498D">
            <w:pPr>
              <w:pStyle w:val="Tabletext"/>
              <w:spacing w:beforeLines="30" w:before="72"/>
              <w:ind w:left="85" w:right="169"/>
            </w:pPr>
            <w:r>
              <w:t xml:space="preserve">See </w:t>
            </w:r>
            <w:r w:rsidR="0032498D">
              <w:t>Title</w:t>
            </w:r>
          </w:p>
        </w:tc>
      </w:tr>
      <w:tr w:rsidR="007D120F" w:rsidTr="00EA7A9A">
        <w:trPr>
          <w:trHeight w:hRule="exact" w:val="340"/>
          <w:jc w:val="center"/>
        </w:trPr>
        <w:tc>
          <w:tcPr>
            <w:tcW w:w="12055" w:type="dxa"/>
            <w:gridSpan w:val="3"/>
            <w:tcBorders>
              <w:top w:val="single" w:sz="10" w:space="0" w:color="000000"/>
              <w:left w:val="single" w:sz="5" w:space="0" w:color="000000"/>
              <w:bottom w:val="single" w:sz="5" w:space="0" w:color="000000"/>
              <w:right w:val="single" w:sz="5" w:space="0" w:color="000000"/>
            </w:tcBorders>
            <w:shd w:val="clear" w:color="auto" w:fill="FFFFCC"/>
          </w:tcPr>
          <w:p w:rsidR="007D120F" w:rsidRPr="007D120F" w:rsidRDefault="007D120F" w:rsidP="00793BFA">
            <w:pPr>
              <w:pStyle w:val="Tabletext"/>
              <w:spacing w:beforeLines="30" w:before="72"/>
              <w:ind w:left="85" w:right="154"/>
              <w:rPr>
                <w:b/>
              </w:rPr>
            </w:pPr>
            <w:r w:rsidRPr="007D120F">
              <w:rPr>
                <w:b/>
              </w:rPr>
              <w:t>ABST</w:t>
            </w:r>
            <w:r w:rsidRPr="007D120F">
              <w:rPr>
                <w:b/>
                <w:spacing w:val="1"/>
              </w:rPr>
              <w:t>R</w:t>
            </w:r>
            <w:r w:rsidRPr="007D120F">
              <w:rPr>
                <w:b/>
              </w:rPr>
              <w:t>ACT</w:t>
            </w:r>
          </w:p>
        </w:tc>
        <w:tc>
          <w:tcPr>
            <w:tcW w:w="3146" w:type="dxa"/>
            <w:tcBorders>
              <w:top w:val="single" w:sz="10" w:space="0" w:color="000000"/>
              <w:left w:val="single" w:sz="5" w:space="0" w:color="000000"/>
              <w:bottom w:val="single" w:sz="5" w:space="0" w:color="000000"/>
              <w:right w:val="single" w:sz="5" w:space="0" w:color="000000"/>
            </w:tcBorders>
            <w:shd w:val="clear" w:color="auto" w:fill="FFFFCC"/>
          </w:tcPr>
          <w:p w:rsidR="007D120F" w:rsidRDefault="007D120F" w:rsidP="00D8734B">
            <w:pPr>
              <w:pStyle w:val="Tabletext"/>
              <w:spacing w:beforeLines="30" w:before="72"/>
              <w:ind w:left="85" w:right="169"/>
            </w:pPr>
          </w:p>
        </w:tc>
      </w:tr>
      <w:tr w:rsidR="007D120F" w:rsidTr="00B40AFE">
        <w:trPr>
          <w:trHeight w:hRule="exact" w:val="680"/>
          <w:jc w:val="center"/>
        </w:trPr>
        <w:tc>
          <w:tcPr>
            <w:tcW w:w="2700" w:type="dxa"/>
            <w:tcBorders>
              <w:top w:val="single" w:sz="5" w:space="0" w:color="000000"/>
              <w:left w:val="single" w:sz="5" w:space="0" w:color="000000"/>
              <w:bottom w:val="single" w:sz="10"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Struct</w:t>
            </w:r>
            <w:r>
              <w:rPr>
                <w:rFonts w:eastAsia="Arial" w:cs="Arial"/>
                <w:spacing w:val="-1"/>
              </w:rPr>
              <w:t>u</w:t>
            </w:r>
            <w:r>
              <w:rPr>
                <w:rFonts w:eastAsia="Arial" w:cs="Arial"/>
              </w:rPr>
              <w:t>red</w:t>
            </w:r>
            <w:r>
              <w:rPr>
                <w:rFonts w:eastAsia="Arial" w:cs="Arial"/>
                <w:spacing w:val="-2"/>
              </w:rPr>
              <w:t xml:space="preserve"> </w:t>
            </w:r>
            <w:r>
              <w:rPr>
                <w:rFonts w:eastAsia="Arial" w:cs="Arial"/>
              </w:rPr>
              <w:t>s</w:t>
            </w:r>
            <w:r>
              <w:rPr>
                <w:rFonts w:eastAsia="Arial" w:cs="Arial"/>
                <w:spacing w:val="-1"/>
              </w:rPr>
              <w:t>u</w:t>
            </w:r>
            <w:r>
              <w:rPr>
                <w:rFonts w:eastAsia="Arial" w:cs="Arial"/>
              </w:rPr>
              <w:t>mmary</w:t>
            </w:r>
          </w:p>
        </w:tc>
        <w:tc>
          <w:tcPr>
            <w:tcW w:w="425"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2</w:t>
            </w:r>
          </w:p>
        </w:tc>
        <w:tc>
          <w:tcPr>
            <w:tcW w:w="8930"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Provide a structured su</w:t>
            </w:r>
            <w:r>
              <w:rPr>
                <w:rFonts w:eastAsia="Arial" w:cs="Arial"/>
                <w:spacing w:val="-1"/>
              </w:rPr>
              <w:t>m</w:t>
            </w:r>
            <w:r>
              <w:rPr>
                <w:rFonts w:eastAsia="Arial" w:cs="Arial"/>
              </w:rPr>
              <w:t>mary inc</w:t>
            </w:r>
            <w:r>
              <w:rPr>
                <w:rFonts w:eastAsia="Arial" w:cs="Arial"/>
                <w:spacing w:val="-1"/>
              </w:rPr>
              <w:t>l</w:t>
            </w:r>
            <w:r>
              <w:rPr>
                <w:rFonts w:eastAsia="Arial" w:cs="Arial"/>
              </w:rPr>
              <w:t>udi</w:t>
            </w:r>
            <w:r>
              <w:rPr>
                <w:rFonts w:eastAsia="Arial" w:cs="Arial"/>
                <w:spacing w:val="-1"/>
              </w:rPr>
              <w:t>n</w:t>
            </w:r>
            <w:r>
              <w:rPr>
                <w:rFonts w:eastAsia="Arial" w:cs="Arial"/>
              </w:rPr>
              <w:t>g, as appl</w:t>
            </w:r>
            <w:r>
              <w:rPr>
                <w:rFonts w:eastAsia="Arial" w:cs="Arial"/>
                <w:spacing w:val="-1"/>
              </w:rPr>
              <w:t>i</w:t>
            </w:r>
            <w:r>
              <w:rPr>
                <w:rFonts w:eastAsia="Arial" w:cs="Arial"/>
                <w:spacing w:val="1"/>
              </w:rPr>
              <w:t>c</w:t>
            </w:r>
            <w:r>
              <w:rPr>
                <w:rFonts w:eastAsia="Arial" w:cs="Arial"/>
                <w:spacing w:val="-1"/>
              </w:rPr>
              <w:t>a</w:t>
            </w:r>
            <w:r>
              <w:rPr>
                <w:rFonts w:eastAsia="Arial" w:cs="Arial"/>
              </w:rPr>
              <w:t>ble: back</w:t>
            </w:r>
            <w:r>
              <w:rPr>
                <w:rFonts w:eastAsia="Arial" w:cs="Arial"/>
                <w:spacing w:val="-1"/>
              </w:rPr>
              <w:t>g</w:t>
            </w:r>
            <w:r>
              <w:rPr>
                <w:rFonts w:eastAsia="Arial" w:cs="Arial"/>
              </w:rPr>
              <w:t>r</w:t>
            </w:r>
            <w:r>
              <w:rPr>
                <w:rFonts w:eastAsia="Arial" w:cs="Arial"/>
                <w:spacing w:val="1"/>
              </w:rPr>
              <w:t>o</w:t>
            </w:r>
            <w:r>
              <w:rPr>
                <w:rFonts w:eastAsia="Arial" w:cs="Arial"/>
                <w:spacing w:val="-1"/>
              </w:rPr>
              <w:t>u</w:t>
            </w:r>
            <w:r>
              <w:rPr>
                <w:rFonts w:eastAsia="Arial" w:cs="Arial"/>
              </w:rPr>
              <w:t>nd; obj</w:t>
            </w:r>
            <w:r>
              <w:rPr>
                <w:rFonts w:eastAsia="Arial" w:cs="Arial"/>
                <w:spacing w:val="-1"/>
              </w:rPr>
              <w:t>e</w:t>
            </w:r>
            <w:r>
              <w:rPr>
                <w:rFonts w:eastAsia="Arial" w:cs="Arial"/>
                <w:spacing w:val="1"/>
              </w:rPr>
              <w:t>c</w:t>
            </w:r>
            <w:r>
              <w:rPr>
                <w:rFonts w:eastAsia="Arial" w:cs="Arial"/>
              </w:rPr>
              <w:t>tives; data so</w:t>
            </w:r>
            <w:r>
              <w:rPr>
                <w:rFonts w:eastAsia="Arial" w:cs="Arial"/>
                <w:spacing w:val="-1"/>
              </w:rPr>
              <w:t>u</w:t>
            </w:r>
            <w:r>
              <w:rPr>
                <w:rFonts w:eastAsia="Arial" w:cs="Arial"/>
              </w:rPr>
              <w:t>rc</w:t>
            </w:r>
            <w:r>
              <w:rPr>
                <w:rFonts w:eastAsia="Arial" w:cs="Arial"/>
                <w:spacing w:val="-1"/>
              </w:rPr>
              <w:t>e</w:t>
            </w:r>
            <w:r>
              <w:rPr>
                <w:rFonts w:eastAsia="Arial" w:cs="Arial"/>
              </w:rPr>
              <w:t>s; study eligi</w:t>
            </w:r>
            <w:r>
              <w:rPr>
                <w:rFonts w:eastAsia="Arial" w:cs="Arial"/>
                <w:spacing w:val="-1"/>
              </w:rPr>
              <w:t>b</w:t>
            </w:r>
            <w:r>
              <w:rPr>
                <w:rFonts w:eastAsia="Arial" w:cs="Arial"/>
              </w:rPr>
              <w:t>ility criteria, partic</w:t>
            </w:r>
            <w:r>
              <w:rPr>
                <w:rFonts w:eastAsia="Arial" w:cs="Arial"/>
                <w:spacing w:val="-1"/>
              </w:rPr>
              <w:t>i</w:t>
            </w:r>
            <w:r>
              <w:rPr>
                <w:rFonts w:eastAsia="Arial" w:cs="Arial"/>
              </w:rPr>
              <w:t>pan</w:t>
            </w:r>
            <w:r>
              <w:rPr>
                <w:rFonts w:eastAsia="Arial" w:cs="Arial"/>
                <w:spacing w:val="-2"/>
              </w:rPr>
              <w:t>t</w:t>
            </w:r>
            <w:r>
              <w:rPr>
                <w:rFonts w:eastAsia="Arial" w:cs="Arial"/>
              </w:rPr>
              <w:t>s, and interv</w:t>
            </w:r>
            <w:r>
              <w:rPr>
                <w:rFonts w:eastAsia="Arial" w:cs="Arial"/>
                <w:spacing w:val="-1"/>
              </w:rPr>
              <w:t>e</w:t>
            </w:r>
            <w:r>
              <w:rPr>
                <w:rFonts w:eastAsia="Arial" w:cs="Arial"/>
              </w:rPr>
              <w:t>ntions; st</w:t>
            </w:r>
            <w:r>
              <w:rPr>
                <w:rFonts w:eastAsia="Arial" w:cs="Arial"/>
                <w:spacing w:val="-1"/>
              </w:rPr>
              <w:t>u</w:t>
            </w:r>
            <w:r>
              <w:rPr>
                <w:rFonts w:eastAsia="Arial" w:cs="Arial"/>
              </w:rPr>
              <w:t>dy a</w:t>
            </w:r>
            <w:r>
              <w:rPr>
                <w:rFonts w:eastAsia="Arial" w:cs="Arial"/>
                <w:spacing w:val="-1"/>
              </w:rPr>
              <w:t>p</w:t>
            </w:r>
            <w:r>
              <w:rPr>
                <w:rFonts w:eastAsia="Arial" w:cs="Arial"/>
              </w:rPr>
              <w:t>pra</w:t>
            </w:r>
            <w:r>
              <w:rPr>
                <w:rFonts w:eastAsia="Arial" w:cs="Arial"/>
                <w:spacing w:val="-1"/>
              </w:rPr>
              <w:t>i</w:t>
            </w:r>
            <w:r>
              <w:rPr>
                <w:rFonts w:eastAsia="Arial" w:cs="Arial"/>
              </w:rPr>
              <w:t>sal a</w:t>
            </w:r>
            <w:r>
              <w:rPr>
                <w:rFonts w:eastAsia="Arial" w:cs="Arial"/>
                <w:spacing w:val="-1"/>
              </w:rPr>
              <w:t>n</w:t>
            </w:r>
            <w:r>
              <w:rPr>
                <w:rFonts w:eastAsia="Arial" w:cs="Arial"/>
              </w:rPr>
              <w:t>d synthe</w:t>
            </w:r>
            <w:r>
              <w:rPr>
                <w:rFonts w:eastAsia="Arial" w:cs="Arial"/>
                <w:spacing w:val="2"/>
              </w:rPr>
              <w:t>s</w:t>
            </w:r>
            <w:r>
              <w:rPr>
                <w:rFonts w:eastAsia="Arial" w:cs="Arial"/>
                <w:spacing w:val="-1"/>
              </w:rPr>
              <w:t>i</w:t>
            </w:r>
            <w:r>
              <w:rPr>
                <w:rFonts w:eastAsia="Arial" w:cs="Arial"/>
              </w:rPr>
              <w:t>s metho</w:t>
            </w:r>
            <w:r>
              <w:rPr>
                <w:rFonts w:eastAsia="Arial" w:cs="Arial"/>
                <w:spacing w:val="-1"/>
              </w:rPr>
              <w:t>d</w:t>
            </w:r>
            <w:r>
              <w:rPr>
                <w:rFonts w:eastAsia="Arial" w:cs="Arial"/>
              </w:rPr>
              <w:t>s; results;</w:t>
            </w:r>
            <w:r>
              <w:rPr>
                <w:rFonts w:eastAsia="Arial" w:cs="Arial"/>
                <w:spacing w:val="-2"/>
              </w:rPr>
              <w:t xml:space="preserve"> </w:t>
            </w:r>
            <w:r>
              <w:rPr>
                <w:rFonts w:eastAsia="Arial" w:cs="Arial"/>
              </w:rPr>
              <w:t>limitations; conc</w:t>
            </w:r>
            <w:r>
              <w:rPr>
                <w:rFonts w:eastAsia="Arial" w:cs="Arial"/>
                <w:spacing w:val="-1"/>
              </w:rPr>
              <w:t>l</w:t>
            </w:r>
            <w:r>
              <w:rPr>
                <w:rFonts w:eastAsia="Arial" w:cs="Arial"/>
              </w:rPr>
              <w:t>us</w:t>
            </w:r>
            <w:r>
              <w:rPr>
                <w:rFonts w:eastAsia="Arial" w:cs="Arial"/>
                <w:spacing w:val="-1"/>
              </w:rPr>
              <w:t>i</w:t>
            </w:r>
            <w:r>
              <w:rPr>
                <w:rFonts w:eastAsia="Arial" w:cs="Arial"/>
              </w:rPr>
              <w:t>o</w:t>
            </w:r>
            <w:r>
              <w:rPr>
                <w:rFonts w:eastAsia="Arial" w:cs="Arial"/>
                <w:spacing w:val="-1"/>
              </w:rPr>
              <w:t>n</w:t>
            </w:r>
            <w:r>
              <w:rPr>
                <w:rFonts w:eastAsia="Arial" w:cs="Arial"/>
              </w:rPr>
              <w:t>s a</w:t>
            </w:r>
            <w:r>
              <w:rPr>
                <w:rFonts w:eastAsia="Arial" w:cs="Arial"/>
                <w:spacing w:val="-1"/>
              </w:rPr>
              <w:t>n</w:t>
            </w:r>
            <w:r>
              <w:rPr>
                <w:rFonts w:eastAsia="Arial" w:cs="Arial"/>
              </w:rPr>
              <w:t>d implicati</w:t>
            </w:r>
            <w:r>
              <w:rPr>
                <w:rFonts w:eastAsia="Arial" w:cs="Arial"/>
                <w:spacing w:val="-1"/>
              </w:rPr>
              <w:t>o</w:t>
            </w:r>
            <w:r>
              <w:rPr>
                <w:rFonts w:eastAsia="Arial" w:cs="Arial"/>
              </w:rPr>
              <w:t xml:space="preserve">ns </w:t>
            </w:r>
            <w:r>
              <w:rPr>
                <w:rFonts w:eastAsia="Arial" w:cs="Arial"/>
                <w:spacing w:val="-1"/>
              </w:rPr>
              <w:t>o</w:t>
            </w:r>
            <w:r>
              <w:rPr>
                <w:rFonts w:eastAsia="Arial" w:cs="Arial"/>
              </w:rPr>
              <w:t>f</w:t>
            </w:r>
            <w:r>
              <w:rPr>
                <w:rFonts w:eastAsia="Arial" w:cs="Arial"/>
                <w:spacing w:val="-1"/>
              </w:rPr>
              <w:t xml:space="preserve"> </w:t>
            </w:r>
            <w:r>
              <w:rPr>
                <w:rFonts w:eastAsia="Arial" w:cs="Arial"/>
              </w:rPr>
              <w:t>key findings;</w:t>
            </w:r>
            <w:r>
              <w:rPr>
                <w:rFonts w:eastAsia="Arial" w:cs="Arial"/>
                <w:spacing w:val="-2"/>
              </w:rPr>
              <w:t xml:space="preserve"> </w:t>
            </w:r>
            <w:r>
              <w:rPr>
                <w:rFonts w:eastAsia="Arial" w:cs="Arial"/>
              </w:rPr>
              <w:t>systemat</w:t>
            </w:r>
            <w:r>
              <w:rPr>
                <w:rFonts w:eastAsia="Arial" w:cs="Arial"/>
                <w:spacing w:val="-1"/>
              </w:rPr>
              <w:t>i</w:t>
            </w:r>
            <w:r>
              <w:rPr>
                <w:rFonts w:eastAsia="Arial" w:cs="Arial"/>
              </w:rPr>
              <w:t>c review r</w:t>
            </w:r>
            <w:r>
              <w:rPr>
                <w:rFonts w:eastAsia="Arial" w:cs="Arial"/>
                <w:spacing w:val="-1"/>
              </w:rPr>
              <w:t>e</w:t>
            </w:r>
            <w:r>
              <w:rPr>
                <w:rFonts w:eastAsia="Arial" w:cs="Arial"/>
              </w:rPr>
              <w:t>gis</w:t>
            </w:r>
            <w:r>
              <w:rPr>
                <w:rFonts w:eastAsia="Arial" w:cs="Arial"/>
                <w:spacing w:val="-2"/>
              </w:rPr>
              <w:t>t</w:t>
            </w:r>
            <w:r>
              <w:rPr>
                <w:rFonts w:eastAsia="Arial" w:cs="Arial"/>
              </w:rPr>
              <w:t>ration num</w:t>
            </w:r>
            <w:r>
              <w:rPr>
                <w:rFonts w:eastAsia="Arial" w:cs="Arial"/>
                <w:spacing w:val="-1"/>
              </w:rPr>
              <w:t>b</w:t>
            </w:r>
            <w:r>
              <w:rPr>
                <w:rFonts w:eastAsia="Arial" w:cs="Arial"/>
              </w:rPr>
              <w:t>er.</w:t>
            </w:r>
          </w:p>
        </w:tc>
        <w:tc>
          <w:tcPr>
            <w:tcW w:w="3146" w:type="dxa"/>
            <w:tcBorders>
              <w:top w:val="single" w:sz="5" w:space="0" w:color="000000"/>
              <w:left w:val="single" w:sz="5" w:space="0" w:color="000000"/>
              <w:bottom w:val="single" w:sz="10" w:space="0" w:color="000000"/>
              <w:right w:val="single" w:sz="5" w:space="0" w:color="000000"/>
            </w:tcBorders>
          </w:tcPr>
          <w:p w:rsidR="007D120F" w:rsidRDefault="009969FB" w:rsidP="00D8734B">
            <w:pPr>
              <w:pStyle w:val="Tabletext"/>
              <w:spacing w:beforeLines="30" w:before="72"/>
              <w:ind w:left="85" w:right="169"/>
            </w:pPr>
            <w:r>
              <w:t xml:space="preserve">See </w:t>
            </w:r>
            <w:r w:rsidR="00024412" w:rsidRPr="00024412">
              <w:t>Abstract</w:t>
            </w:r>
          </w:p>
        </w:tc>
      </w:tr>
      <w:tr w:rsidR="007D120F" w:rsidTr="00EA7A9A">
        <w:trPr>
          <w:trHeight w:hRule="exact" w:val="340"/>
          <w:jc w:val="center"/>
        </w:trPr>
        <w:tc>
          <w:tcPr>
            <w:tcW w:w="12055" w:type="dxa"/>
            <w:gridSpan w:val="3"/>
            <w:tcBorders>
              <w:top w:val="single" w:sz="10" w:space="0" w:color="000000"/>
              <w:left w:val="single" w:sz="5" w:space="0" w:color="000000"/>
              <w:bottom w:val="single" w:sz="5" w:space="0" w:color="000000"/>
              <w:right w:val="single" w:sz="5" w:space="0" w:color="000000"/>
            </w:tcBorders>
            <w:shd w:val="clear" w:color="auto" w:fill="FFFFCC"/>
          </w:tcPr>
          <w:p w:rsidR="007D120F" w:rsidRPr="007D120F" w:rsidRDefault="007D120F" w:rsidP="00793BFA">
            <w:pPr>
              <w:pStyle w:val="Tabletext"/>
              <w:spacing w:beforeLines="30" w:before="72"/>
              <w:ind w:left="85" w:right="154"/>
              <w:rPr>
                <w:b/>
              </w:rPr>
            </w:pPr>
            <w:r w:rsidRPr="007D120F">
              <w:rPr>
                <w:b/>
              </w:rPr>
              <w:t>INTRODUCTION</w:t>
            </w:r>
          </w:p>
        </w:tc>
        <w:tc>
          <w:tcPr>
            <w:tcW w:w="3146" w:type="dxa"/>
            <w:tcBorders>
              <w:top w:val="single" w:sz="10" w:space="0" w:color="000000"/>
              <w:left w:val="single" w:sz="5" w:space="0" w:color="000000"/>
              <w:bottom w:val="single" w:sz="5" w:space="0" w:color="000000"/>
              <w:right w:val="single" w:sz="5" w:space="0" w:color="000000"/>
            </w:tcBorders>
            <w:shd w:val="clear" w:color="auto" w:fill="FFFFCC"/>
          </w:tcPr>
          <w:p w:rsidR="007D120F" w:rsidRDefault="007D120F" w:rsidP="00D8734B">
            <w:pPr>
              <w:pStyle w:val="Tabletext"/>
              <w:spacing w:beforeLines="30" w:before="72"/>
              <w:ind w:left="85" w:right="169"/>
            </w:pPr>
          </w:p>
        </w:tc>
      </w:tr>
      <w:tr w:rsidR="007D120F" w:rsidTr="00B40AFE">
        <w:trPr>
          <w:trHeight w:hRule="exact" w:val="34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Ratio</w:t>
            </w:r>
            <w:r>
              <w:rPr>
                <w:rFonts w:eastAsia="Arial" w:cs="Arial"/>
                <w:spacing w:val="-1"/>
              </w:rPr>
              <w:t>n</w:t>
            </w:r>
            <w:r>
              <w:rPr>
                <w:rFonts w:eastAsia="Arial" w:cs="Arial"/>
              </w:rPr>
              <w:t>ale</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3</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D</w:t>
            </w:r>
            <w:r>
              <w:rPr>
                <w:rFonts w:eastAsia="Arial" w:cs="Arial"/>
                <w:spacing w:val="-1"/>
              </w:rPr>
              <w:t>e</w:t>
            </w:r>
            <w:r>
              <w:rPr>
                <w:rFonts w:eastAsia="Arial" w:cs="Arial"/>
              </w:rPr>
              <w:t>scribe the</w:t>
            </w:r>
            <w:r>
              <w:rPr>
                <w:rFonts w:eastAsia="Arial" w:cs="Arial"/>
                <w:spacing w:val="-2"/>
              </w:rPr>
              <w:t xml:space="preserve"> </w:t>
            </w:r>
            <w:r>
              <w:rPr>
                <w:rFonts w:eastAsia="Arial" w:cs="Arial"/>
              </w:rPr>
              <w:t>rationa</w:t>
            </w:r>
            <w:r>
              <w:rPr>
                <w:rFonts w:eastAsia="Arial" w:cs="Arial"/>
                <w:spacing w:val="-1"/>
              </w:rPr>
              <w:t>l</w:t>
            </w:r>
            <w:r>
              <w:rPr>
                <w:rFonts w:eastAsia="Arial" w:cs="Arial"/>
              </w:rPr>
              <w:t>e for the revi</w:t>
            </w:r>
            <w:r>
              <w:rPr>
                <w:rFonts w:eastAsia="Arial" w:cs="Arial"/>
                <w:spacing w:val="-1"/>
              </w:rPr>
              <w:t>e</w:t>
            </w:r>
            <w:r>
              <w:rPr>
                <w:rFonts w:eastAsia="Arial" w:cs="Arial"/>
              </w:rPr>
              <w:t>w in the c</w:t>
            </w:r>
            <w:r>
              <w:rPr>
                <w:rFonts w:eastAsia="Arial" w:cs="Arial"/>
                <w:spacing w:val="-1"/>
              </w:rPr>
              <w:t>o</w:t>
            </w:r>
            <w:r>
              <w:rPr>
                <w:rFonts w:eastAsia="Arial" w:cs="Arial"/>
              </w:rPr>
              <w:t>ntext of</w:t>
            </w:r>
            <w:r>
              <w:rPr>
                <w:rFonts w:eastAsia="Arial" w:cs="Arial"/>
                <w:spacing w:val="1"/>
              </w:rPr>
              <w:t xml:space="preserve"> </w:t>
            </w:r>
            <w:r>
              <w:rPr>
                <w:rFonts w:eastAsia="Arial" w:cs="Arial"/>
              </w:rPr>
              <w:t>what is a</w:t>
            </w:r>
            <w:r>
              <w:rPr>
                <w:rFonts w:eastAsia="Arial" w:cs="Arial"/>
                <w:spacing w:val="-1"/>
              </w:rPr>
              <w:t>l</w:t>
            </w:r>
            <w:r>
              <w:rPr>
                <w:rFonts w:eastAsia="Arial" w:cs="Arial"/>
              </w:rPr>
              <w:t>re</w:t>
            </w:r>
            <w:r>
              <w:rPr>
                <w:rFonts w:eastAsia="Arial" w:cs="Arial"/>
                <w:spacing w:val="-1"/>
              </w:rPr>
              <w:t>a</w:t>
            </w:r>
            <w:r>
              <w:rPr>
                <w:rFonts w:eastAsia="Arial" w:cs="Arial"/>
              </w:rPr>
              <w:t>dy kn</w:t>
            </w:r>
            <w:r>
              <w:rPr>
                <w:rFonts w:eastAsia="Arial" w:cs="Arial"/>
                <w:spacing w:val="-1"/>
              </w:rPr>
              <w:t>o</w:t>
            </w:r>
            <w:r>
              <w:rPr>
                <w:rFonts w:eastAsia="Arial" w:cs="Arial"/>
              </w:rPr>
              <w:t>wn.</w:t>
            </w:r>
          </w:p>
        </w:tc>
        <w:tc>
          <w:tcPr>
            <w:tcW w:w="3146" w:type="dxa"/>
            <w:tcBorders>
              <w:top w:val="single" w:sz="5" w:space="0" w:color="000000"/>
              <w:left w:val="single" w:sz="5" w:space="0" w:color="000000"/>
              <w:bottom w:val="single" w:sz="5" w:space="0" w:color="000000"/>
              <w:right w:val="single" w:sz="5" w:space="0" w:color="000000"/>
            </w:tcBorders>
          </w:tcPr>
          <w:p w:rsidR="007D120F" w:rsidRDefault="003B3B05" w:rsidP="00D8734B">
            <w:pPr>
              <w:pStyle w:val="Tabletext"/>
              <w:spacing w:beforeLines="30" w:before="72"/>
              <w:ind w:left="85" w:right="169"/>
            </w:pPr>
            <w:r>
              <w:t>Rationale outlined in the Introduction</w:t>
            </w:r>
          </w:p>
        </w:tc>
      </w:tr>
      <w:tr w:rsidR="007D120F" w:rsidTr="00B40AFE">
        <w:trPr>
          <w:trHeight w:hRule="exact" w:val="510"/>
          <w:jc w:val="center"/>
        </w:trPr>
        <w:tc>
          <w:tcPr>
            <w:tcW w:w="2700" w:type="dxa"/>
            <w:tcBorders>
              <w:top w:val="single" w:sz="5" w:space="0" w:color="000000"/>
              <w:left w:val="single" w:sz="5" w:space="0" w:color="000000"/>
              <w:bottom w:val="single" w:sz="10"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Objectives</w:t>
            </w:r>
          </w:p>
        </w:tc>
        <w:tc>
          <w:tcPr>
            <w:tcW w:w="425"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4</w:t>
            </w:r>
          </w:p>
        </w:tc>
        <w:tc>
          <w:tcPr>
            <w:tcW w:w="8930" w:type="dxa"/>
            <w:tcBorders>
              <w:top w:val="single" w:sz="5" w:space="0" w:color="000000"/>
              <w:left w:val="single" w:sz="5" w:space="0" w:color="000000"/>
              <w:bottom w:val="single" w:sz="10"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Provide an e</w:t>
            </w:r>
            <w:r>
              <w:rPr>
                <w:rFonts w:eastAsia="Arial" w:cs="Arial"/>
                <w:spacing w:val="-2"/>
              </w:rPr>
              <w:t>x</w:t>
            </w:r>
            <w:r>
              <w:rPr>
                <w:rFonts w:eastAsia="Arial" w:cs="Arial"/>
              </w:rPr>
              <w:t>plicit statem</w:t>
            </w:r>
            <w:r>
              <w:rPr>
                <w:rFonts w:eastAsia="Arial" w:cs="Arial"/>
                <w:spacing w:val="-1"/>
              </w:rPr>
              <w:t>e</w:t>
            </w:r>
            <w:r>
              <w:rPr>
                <w:rFonts w:eastAsia="Arial" w:cs="Arial"/>
              </w:rPr>
              <w:t>nt of questio</w:t>
            </w:r>
            <w:r>
              <w:rPr>
                <w:rFonts w:eastAsia="Arial" w:cs="Arial"/>
                <w:spacing w:val="-1"/>
              </w:rPr>
              <w:t>n</w:t>
            </w:r>
            <w:r>
              <w:rPr>
                <w:rFonts w:eastAsia="Arial" w:cs="Arial"/>
              </w:rPr>
              <w:t>s bei</w:t>
            </w:r>
            <w:r>
              <w:rPr>
                <w:rFonts w:eastAsia="Arial" w:cs="Arial"/>
                <w:spacing w:val="-1"/>
              </w:rPr>
              <w:t>n</w:t>
            </w:r>
            <w:r>
              <w:rPr>
                <w:rFonts w:eastAsia="Arial" w:cs="Arial"/>
              </w:rPr>
              <w:t>g ad</w:t>
            </w:r>
            <w:r>
              <w:rPr>
                <w:rFonts w:eastAsia="Arial" w:cs="Arial"/>
                <w:spacing w:val="-1"/>
              </w:rPr>
              <w:t>d</w:t>
            </w:r>
            <w:r>
              <w:rPr>
                <w:rFonts w:eastAsia="Arial" w:cs="Arial"/>
              </w:rPr>
              <w:t>r</w:t>
            </w:r>
            <w:r>
              <w:rPr>
                <w:rFonts w:eastAsia="Arial" w:cs="Arial"/>
                <w:spacing w:val="-1"/>
              </w:rPr>
              <w:t>e</w:t>
            </w:r>
            <w:r>
              <w:rPr>
                <w:rFonts w:eastAsia="Arial" w:cs="Arial"/>
              </w:rPr>
              <w:t>ssed with</w:t>
            </w:r>
            <w:r>
              <w:rPr>
                <w:rFonts w:eastAsia="Arial" w:cs="Arial"/>
                <w:spacing w:val="1"/>
              </w:rPr>
              <w:t xml:space="preserve"> </w:t>
            </w:r>
            <w:r>
              <w:rPr>
                <w:rFonts w:eastAsia="Arial" w:cs="Arial"/>
              </w:rPr>
              <w:t>refere</w:t>
            </w:r>
            <w:r>
              <w:rPr>
                <w:rFonts w:eastAsia="Arial" w:cs="Arial"/>
                <w:spacing w:val="-1"/>
              </w:rPr>
              <w:t>n</w:t>
            </w:r>
            <w:r>
              <w:rPr>
                <w:rFonts w:eastAsia="Arial" w:cs="Arial"/>
                <w:spacing w:val="1"/>
              </w:rPr>
              <w:t>c</w:t>
            </w:r>
            <w:r>
              <w:rPr>
                <w:rFonts w:eastAsia="Arial" w:cs="Arial"/>
              </w:rPr>
              <w:t>e to p</w:t>
            </w:r>
            <w:r>
              <w:rPr>
                <w:rFonts w:eastAsia="Arial" w:cs="Arial"/>
                <w:spacing w:val="-1"/>
              </w:rPr>
              <w:t>a</w:t>
            </w:r>
            <w:r>
              <w:rPr>
                <w:rFonts w:eastAsia="Arial" w:cs="Arial"/>
              </w:rPr>
              <w:t>rticipan</w:t>
            </w:r>
            <w:r>
              <w:rPr>
                <w:rFonts w:eastAsia="Arial" w:cs="Arial"/>
                <w:spacing w:val="-2"/>
              </w:rPr>
              <w:t>t</w:t>
            </w:r>
            <w:r>
              <w:rPr>
                <w:rFonts w:eastAsia="Arial" w:cs="Arial"/>
              </w:rPr>
              <w:t>s, interventio</w:t>
            </w:r>
            <w:r>
              <w:rPr>
                <w:rFonts w:eastAsia="Arial" w:cs="Arial"/>
                <w:spacing w:val="-1"/>
              </w:rPr>
              <w:t>n</w:t>
            </w:r>
            <w:r>
              <w:rPr>
                <w:rFonts w:eastAsia="Arial" w:cs="Arial"/>
                <w:spacing w:val="1"/>
              </w:rPr>
              <w:t>s</w:t>
            </w:r>
            <w:r>
              <w:rPr>
                <w:rFonts w:eastAsia="Arial" w:cs="Arial"/>
              </w:rPr>
              <w:t>, c</w:t>
            </w:r>
            <w:r>
              <w:rPr>
                <w:rFonts w:eastAsia="Arial" w:cs="Arial"/>
                <w:spacing w:val="-1"/>
              </w:rPr>
              <w:t>o</w:t>
            </w:r>
            <w:r>
              <w:rPr>
                <w:rFonts w:eastAsia="Arial" w:cs="Arial"/>
              </w:rPr>
              <w:t>mpar</w:t>
            </w:r>
            <w:r>
              <w:rPr>
                <w:rFonts w:eastAsia="Arial" w:cs="Arial"/>
                <w:spacing w:val="-1"/>
              </w:rPr>
              <w:t>i</w:t>
            </w:r>
            <w:r>
              <w:rPr>
                <w:rFonts w:eastAsia="Arial" w:cs="Arial"/>
                <w:spacing w:val="1"/>
              </w:rPr>
              <w:t>s</w:t>
            </w:r>
            <w:r>
              <w:rPr>
                <w:rFonts w:eastAsia="Arial" w:cs="Arial"/>
                <w:spacing w:val="-1"/>
              </w:rPr>
              <w:t>o</w:t>
            </w:r>
            <w:r>
              <w:rPr>
                <w:rFonts w:eastAsia="Arial" w:cs="Arial"/>
              </w:rPr>
              <w:t>ns, outco</w:t>
            </w:r>
            <w:r>
              <w:rPr>
                <w:rFonts w:eastAsia="Arial" w:cs="Arial"/>
                <w:spacing w:val="-1"/>
              </w:rPr>
              <w:t>m</w:t>
            </w:r>
            <w:r>
              <w:rPr>
                <w:rFonts w:eastAsia="Arial" w:cs="Arial"/>
              </w:rPr>
              <w:t>es, a</w:t>
            </w:r>
            <w:r>
              <w:rPr>
                <w:rFonts w:eastAsia="Arial" w:cs="Arial"/>
                <w:spacing w:val="-1"/>
              </w:rPr>
              <w:t>n</w:t>
            </w:r>
            <w:r>
              <w:rPr>
                <w:rFonts w:eastAsia="Arial" w:cs="Arial"/>
              </w:rPr>
              <w:t>d study d</w:t>
            </w:r>
            <w:r>
              <w:rPr>
                <w:rFonts w:eastAsia="Arial" w:cs="Arial"/>
                <w:spacing w:val="-1"/>
              </w:rPr>
              <w:t>e</w:t>
            </w:r>
            <w:r>
              <w:rPr>
                <w:rFonts w:eastAsia="Arial" w:cs="Arial"/>
              </w:rPr>
              <w:t>si</w:t>
            </w:r>
            <w:r>
              <w:rPr>
                <w:rFonts w:eastAsia="Arial" w:cs="Arial"/>
                <w:spacing w:val="-1"/>
              </w:rPr>
              <w:t>g</w:t>
            </w:r>
            <w:r>
              <w:rPr>
                <w:rFonts w:eastAsia="Arial" w:cs="Arial"/>
              </w:rPr>
              <w:t>n (PICOS).</w:t>
            </w:r>
          </w:p>
        </w:tc>
        <w:tc>
          <w:tcPr>
            <w:tcW w:w="3146" w:type="dxa"/>
            <w:tcBorders>
              <w:top w:val="single" w:sz="5" w:space="0" w:color="000000"/>
              <w:left w:val="single" w:sz="5" w:space="0" w:color="000000"/>
              <w:bottom w:val="single" w:sz="10" w:space="0" w:color="000000"/>
              <w:right w:val="single" w:sz="5" w:space="0" w:color="000000"/>
            </w:tcBorders>
          </w:tcPr>
          <w:p w:rsidR="007D120F" w:rsidRDefault="006D2E6F" w:rsidP="00D8734B">
            <w:pPr>
              <w:pStyle w:val="Tabletext"/>
              <w:spacing w:beforeLines="30" w:before="72"/>
              <w:ind w:left="85" w:right="169"/>
            </w:pPr>
            <w:r>
              <w:t>See the study aim provided at the end of the Introduction</w:t>
            </w:r>
          </w:p>
        </w:tc>
      </w:tr>
      <w:tr w:rsidR="007D120F" w:rsidTr="00EA7A9A">
        <w:trPr>
          <w:trHeight w:hRule="exact" w:val="340"/>
          <w:jc w:val="center"/>
        </w:trPr>
        <w:tc>
          <w:tcPr>
            <w:tcW w:w="12055" w:type="dxa"/>
            <w:gridSpan w:val="3"/>
            <w:tcBorders>
              <w:top w:val="single" w:sz="10" w:space="0" w:color="000000"/>
              <w:left w:val="single" w:sz="5" w:space="0" w:color="000000"/>
              <w:bottom w:val="single" w:sz="5" w:space="0" w:color="000000"/>
              <w:right w:val="single" w:sz="5" w:space="0" w:color="000000"/>
            </w:tcBorders>
            <w:shd w:val="clear" w:color="auto" w:fill="FFFFCC"/>
          </w:tcPr>
          <w:p w:rsidR="007D120F" w:rsidRPr="007D120F" w:rsidRDefault="007D120F" w:rsidP="00793BFA">
            <w:pPr>
              <w:pStyle w:val="Tabletext"/>
              <w:spacing w:beforeLines="30" w:before="72"/>
              <w:ind w:left="85" w:right="154"/>
              <w:rPr>
                <w:b/>
              </w:rPr>
            </w:pPr>
            <w:r w:rsidRPr="007D120F">
              <w:rPr>
                <w:b/>
              </w:rPr>
              <w:t>MET</w:t>
            </w:r>
            <w:r w:rsidRPr="007D120F">
              <w:rPr>
                <w:b/>
                <w:spacing w:val="1"/>
              </w:rPr>
              <w:t>H</w:t>
            </w:r>
            <w:r w:rsidRPr="007D120F">
              <w:rPr>
                <w:b/>
              </w:rPr>
              <w:t>O</w:t>
            </w:r>
            <w:r w:rsidRPr="007D120F">
              <w:rPr>
                <w:b/>
                <w:spacing w:val="1"/>
              </w:rPr>
              <w:t>D</w:t>
            </w:r>
            <w:r w:rsidRPr="007D120F">
              <w:rPr>
                <w:b/>
              </w:rPr>
              <w:t>S</w:t>
            </w:r>
          </w:p>
        </w:tc>
        <w:tc>
          <w:tcPr>
            <w:tcW w:w="3146" w:type="dxa"/>
            <w:tcBorders>
              <w:top w:val="single" w:sz="10" w:space="0" w:color="000000"/>
              <w:left w:val="single" w:sz="5" w:space="0" w:color="000000"/>
              <w:bottom w:val="single" w:sz="5" w:space="0" w:color="000000"/>
              <w:right w:val="single" w:sz="5" w:space="0" w:color="000000"/>
            </w:tcBorders>
            <w:shd w:val="clear" w:color="auto" w:fill="FFFFCC"/>
          </w:tcPr>
          <w:p w:rsidR="007D120F" w:rsidRDefault="007D120F" w:rsidP="00D8734B">
            <w:pPr>
              <w:pStyle w:val="Tabletext"/>
              <w:spacing w:beforeLines="30" w:before="72"/>
              <w:ind w:left="85" w:right="169"/>
            </w:pPr>
          </w:p>
        </w:tc>
      </w:tr>
      <w:tr w:rsidR="007D120F" w:rsidTr="00B40AFE">
        <w:trPr>
          <w:trHeigh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Protocol and</w:t>
            </w:r>
            <w:r>
              <w:rPr>
                <w:rFonts w:eastAsia="Arial" w:cs="Arial"/>
                <w:spacing w:val="-2"/>
              </w:rPr>
              <w:t xml:space="preserve"> </w:t>
            </w:r>
            <w:r>
              <w:rPr>
                <w:rFonts w:eastAsia="Arial" w:cs="Arial"/>
              </w:rPr>
              <w:t>reg</w:t>
            </w:r>
            <w:r>
              <w:rPr>
                <w:rFonts w:eastAsia="Arial" w:cs="Arial"/>
                <w:spacing w:val="-1"/>
              </w:rPr>
              <w:t>i</w:t>
            </w:r>
            <w:r>
              <w:rPr>
                <w:rFonts w:eastAsia="Arial" w:cs="Arial"/>
              </w:rPr>
              <w:t>strati</w:t>
            </w:r>
            <w:r>
              <w:rPr>
                <w:rFonts w:eastAsia="Arial" w:cs="Arial"/>
                <w:spacing w:val="-1"/>
              </w:rPr>
              <w:t>o</w:t>
            </w:r>
            <w:r>
              <w:rPr>
                <w:rFonts w:eastAsia="Arial" w:cs="Arial"/>
              </w:rPr>
              <w:t>n</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5</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Indicate if a review protocol exists, if and wh</w:t>
            </w:r>
            <w:r>
              <w:rPr>
                <w:rFonts w:eastAsia="Arial" w:cs="Arial"/>
                <w:spacing w:val="-1"/>
              </w:rPr>
              <w:t>e</w:t>
            </w:r>
            <w:r>
              <w:rPr>
                <w:rFonts w:eastAsia="Arial" w:cs="Arial"/>
              </w:rPr>
              <w:t>re it c</w:t>
            </w:r>
            <w:r>
              <w:rPr>
                <w:rFonts w:eastAsia="Arial" w:cs="Arial"/>
                <w:spacing w:val="1"/>
              </w:rPr>
              <w:t>a</w:t>
            </w:r>
            <w:r>
              <w:rPr>
                <w:rFonts w:eastAsia="Arial" w:cs="Arial"/>
              </w:rPr>
              <w:t>n be acc</w:t>
            </w:r>
            <w:r>
              <w:rPr>
                <w:rFonts w:eastAsia="Arial" w:cs="Arial"/>
                <w:spacing w:val="-1"/>
              </w:rPr>
              <w:t>e</w:t>
            </w:r>
            <w:r>
              <w:rPr>
                <w:rFonts w:eastAsia="Arial" w:cs="Arial"/>
              </w:rPr>
              <w:t>ss</w:t>
            </w:r>
            <w:r>
              <w:rPr>
                <w:rFonts w:eastAsia="Arial" w:cs="Arial"/>
                <w:spacing w:val="-1"/>
              </w:rPr>
              <w:t>e</w:t>
            </w:r>
            <w:r>
              <w:rPr>
                <w:rFonts w:eastAsia="Arial" w:cs="Arial"/>
              </w:rPr>
              <w:t>d (e.g., Web</w:t>
            </w:r>
            <w:r>
              <w:rPr>
                <w:rFonts w:eastAsia="Arial" w:cs="Arial"/>
                <w:spacing w:val="-2"/>
              </w:rPr>
              <w:t xml:space="preserve"> </w:t>
            </w:r>
            <w:r>
              <w:rPr>
                <w:rFonts w:eastAsia="Arial" w:cs="Arial"/>
              </w:rPr>
              <w:t>address), an</w:t>
            </w:r>
            <w:r>
              <w:rPr>
                <w:rFonts w:eastAsia="Arial" w:cs="Arial"/>
                <w:spacing w:val="-1"/>
              </w:rPr>
              <w:t>d</w:t>
            </w:r>
            <w:r>
              <w:rPr>
                <w:rFonts w:eastAsia="Arial" w:cs="Arial"/>
              </w:rPr>
              <w:t>, if available,</w:t>
            </w:r>
            <w:r>
              <w:rPr>
                <w:rFonts w:eastAsia="Arial" w:cs="Arial"/>
                <w:spacing w:val="1"/>
              </w:rPr>
              <w:t xml:space="preserve"> </w:t>
            </w:r>
            <w:r>
              <w:rPr>
                <w:rFonts w:eastAsia="Arial" w:cs="Arial"/>
              </w:rPr>
              <w:t>provide reg</w:t>
            </w:r>
            <w:r>
              <w:rPr>
                <w:rFonts w:eastAsia="Arial" w:cs="Arial"/>
                <w:spacing w:val="-1"/>
              </w:rPr>
              <w:t>i</w:t>
            </w:r>
            <w:r>
              <w:rPr>
                <w:rFonts w:eastAsia="Arial" w:cs="Arial"/>
              </w:rPr>
              <w:t>strati</w:t>
            </w:r>
            <w:r>
              <w:rPr>
                <w:rFonts w:eastAsia="Arial" w:cs="Arial"/>
                <w:spacing w:val="-1"/>
              </w:rPr>
              <w:t>o</w:t>
            </w:r>
            <w:r>
              <w:rPr>
                <w:rFonts w:eastAsia="Arial" w:cs="Arial"/>
              </w:rPr>
              <w:t>n i</w:t>
            </w:r>
            <w:r>
              <w:rPr>
                <w:rFonts w:eastAsia="Arial" w:cs="Arial"/>
                <w:spacing w:val="-1"/>
              </w:rPr>
              <w:t>n</w:t>
            </w:r>
            <w:r>
              <w:rPr>
                <w:rFonts w:eastAsia="Arial" w:cs="Arial"/>
              </w:rPr>
              <w:t>formation i</w:t>
            </w:r>
            <w:r>
              <w:rPr>
                <w:rFonts w:eastAsia="Arial" w:cs="Arial"/>
                <w:spacing w:val="-1"/>
              </w:rPr>
              <w:t>n</w:t>
            </w:r>
            <w:r>
              <w:rPr>
                <w:rFonts w:eastAsia="Arial" w:cs="Arial"/>
              </w:rPr>
              <w:t>c</w:t>
            </w:r>
            <w:r>
              <w:rPr>
                <w:rFonts w:eastAsia="Arial" w:cs="Arial"/>
                <w:spacing w:val="-1"/>
              </w:rPr>
              <w:t>l</w:t>
            </w:r>
            <w:r>
              <w:rPr>
                <w:rFonts w:eastAsia="Arial" w:cs="Arial"/>
              </w:rPr>
              <w:t>uding reg</w:t>
            </w:r>
            <w:r>
              <w:rPr>
                <w:rFonts w:eastAsia="Arial" w:cs="Arial"/>
                <w:spacing w:val="-1"/>
              </w:rPr>
              <w:t>i</w:t>
            </w:r>
            <w:r>
              <w:rPr>
                <w:rFonts w:eastAsia="Arial" w:cs="Arial"/>
              </w:rPr>
              <w:t>str</w:t>
            </w:r>
            <w:r>
              <w:rPr>
                <w:rFonts w:eastAsia="Arial" w:cs="Arial"/>
                <w:spacing w:val="-1"/>
              </w:rPr>
              <w:t>a</w:t>
            </w:r>
            <w:r>
              <w:rPr>
                <w:rFonts w:eastAsia="Arial" w:cs="Arial"/>
              </w:rPr>
              <w:t>tion numb</w:t>
            </w:r>
            <w:r>
              <w:rPr>
                <w:rFonts w:eastAsia="Arial" w:cs="Arial"/>
                <w:spacing w:val="-1"/>
              </w:rPr>
              <w:t>e</w:t>
            </w:r>
            <w:r>
              <w:rPr>
                <w:rFonts w:eastAsia="Arial" w:cs="Arial"/>
              </w:rPr>
              <w:t>r.</w:t>
            </w:r>
          </w:p>
        </w:tc>
        <w:tc>
          <w:tcPr>
            <w:tcW w:w="3146" w:type="dxa"/>
            <w:tcBorders>
              <w:top w:val="single" w:sz="5" w:space="0" w:color="000000"/>
              <w:left w:val="single" w:sz="5" w:space="0" w:color="000000"/>
              <w:bottom w:val="single" w:sz="5" w:space="0" w:color="000000"/>
              <w:right w:val="single" w:sz="5" w:space="0" w:color="000000"/>
            </w:tcBorders>
          </w:tcPr>
          <w:p w:rsidR="007D120F" w:rsidRDefault="00052000" w:rsidP="00D8734B">
            <w:pPr>
              <w:pStyle w:val="Tabletext"/>
              <w:spacing w:beforeLines="30" w:before="72"/>
              <w:ind w:left="85" w:right="169"/>
            </w:pPr>
            <w:r>
              <w:t>Not applicable</w:t>
            </w:r>
          </w:p>
        </w:tc>
      </w:tr>
      <w:tr w:rsidR="007D120F" w:rsidTr="00B40AFE">
        <w:trPr>
          <w:trHeigh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Eligibility criteria</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6</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Specify study</w:t>
            </w:r>
            <w:r>
              <w:rPr>
                <w:rFonts w:eastAsia="Arial" w:cs="Arial"/>
                <w:spacing w:val="-2"/>
              </w:rPr>
              <w:t xml:space="preserve"> </w:t>
            </w:r>
            <w:r>
              <w:rPr>
                <w:rFonts w:eastAsia="Arial" w:cs="Arial"/>
              </w:rPr>
              <w:t>charact</w:t>
            </w:r>
            <w:r>
              <w:rPr>
                <w:rFonts w:eastAsia="Arial" w:cs="Arial"/>
                <w:spacing w:val="-1"/>
              </w:rPr>
              <w:t>e</w:t>
            </w:r>
            <w:r>
              <w:rPr>
                <w:rFonts w:eastAsia="Arial" w:cs="Arial"/>
              </w:rPr>
              <w:t>r</w:t>
            </w:r>
            <w:r>
              <w:rPr>
                <w:rFonts w:eastAsia="Arial" w:cs="Arial"/>
                <w:spacing w:val="-1"/>
              </w:rPr>
              <w:t>i</w:t>
            </w:r>
            <w:r>
              <w:rPr>
                <w:rFonts w:eastAsia="Arial" w:cs="Arial"/>
              </w:rPr>
              <w:t>stics</w:t>
            </w:r>
            <w:r>
              <w:rPr>
                <w:rFonts w:eastAsia="Arial" w:cs="Arial"/>
                <w:spacing w:val="-1"/>
              </w:rPr>
              <w:t xml:space="preserve"> </w:t>
            </w:r>
            <w:r>
              <w:rPr>
                <w:rFonts w:eastAsia="Arial" w:cs="Arial"/>
              </w:rPr>
              <w:t>(e.g., PICOS, length of follo</w:t>
            </w:r>
            <w:r>
              <w:rPr>
                <w:rFonts w:eastAsia="Arial" w:cs="Arial"/>
                <w:spacing w:val="1"/>
              </w:rPr>
              <w:t>w</w:t>
            </w:r>
            <w:r>
              <w:rPr>
                <w:rFonts w:ascii="Calibri" w:eastAsia="Calibri" w:hAnsi="Calibri" w:cs="Calibri"/>
              </w:rPr>
              <w:t>‐</w:t>
            </w:r>
            <w:r>
              <w:rPr>
                <w:rFonts w:eastAsia="Arial" w:cs="Arial"/>
                <w:spacing w:val="-1"/>
              </w:rPr>
              <w:t>u</w:t>
            </w:r>
            <w:r>
              <w:rPr>
                <w:rFonts w:eastAsia="Arial" w:cs="Arial"/>
              </w:rPr>
              <w:t>p) a</w:t>
            </w:r>
            <w:r>
              <w:rPr>
                <w:rFonts w:eastAsia="Arial" w:cs="Arial"/>
                <w:spacing w:val="-1"/>
              </w:rPr>
              <w:t>n</w:t>
            </w:r>
            <w:r>
              <w:rPr>
                <w:rFonts w:eastAsia="Arial" w:cs="Arial"/>
              </w:rPr>
              <w:t>d rep</w:t>
            </w:r>
            <w:r>
              <w:rPr>
                <w:rFonts w:eastAsia="Arial" w:cs="Arial"/>
                <w:spacing w:val="-1"/>
              </w:rPr>
              <w:t>o</w:t>
            </w:r>
            <w:r>
              <w:rPr>
                <w:rFonts w:eastAsia="Arial" w:cs="Arial"/>
              </w:rPr>
              <w:t>rt c</w:t>
            </w:r>
            <w:r>
              <w:rPr>
                <w:rFonts w:eastAsia="Arial" w:cs="Arial"/>
                <w:spacing w:val="-1"/>
              </w:rPr>
              <w:t>h</w:t>
            </w:r>
            <w:r>
              <w:rPr>
                <w:rFonts w:eastAsia="Arial" w:cs="Arial"/>
              </w:rPr>
              <w:t>aracter</w:t>
            </w:r>
            <w:r>
              <w:rPr>
                <w:rFonts w:eastAsia="Arial" w:cs="Arial"/>
                <w:spacing w:val="-1"/>
              </w:rPr>
              <w:t>i</w:t>
            </w:r>
            <w:r>
              <w:rPr>
                <w:rFonts w:eastAsia="Arial" w:cs="Arial"/>
              </w:rPr>
              <w:t>stics (e.g., years co</w:t>
            </w:r>
            <w:r>
              <w:rPr>
                <w:rFonts w:eastAsia="Arial" w:cs="Arial"/>
                <w:spacing w:val="-1"/>
              </w:rPr>
              <w:t>n</w:t>
            </w:r>
            <w:r>
              <w:rPr>
                <w:rFonts w:eastAsia="Arial" w:cs="Arial"/>
                <w:spacing w:val="1"/>
              </w:rPr>
              <w:t>s</w:t>
            </w:r>
            <w:r>
              <w:rPr>
                <w:rFonts w:eastAsia="Arial" w:cs="Arial"/>
              </w:rPr>
              <w:t>id</w:t>
            </w:r>
            <w:r>
              <w:rPr>
                <w:rFonts w:eastAsia="Arial" w:cs="Arial"/>
                <w:spacing w:val="-1"/>
              </w:rPr>
              <w:t>e</w:t>
            </w:r>
            <w:r>
              <w:rPr>
                <w:rFonts w:eastAsia="Arial" w:cs="Arial"/>
              </w:rPr>
              <w:t>red, lang</w:t>
            </w:r>
            <w:r>
              <w:rPr>
                <w:rFonts w:eastAsia="Arial" w:cs="Arial"/>
                <w:spacing w:val="-1"/>
              </w:rPr>
              <w:t>u</w:t>
            </w:r>
            <w:r>
              <w:rPr>
                <w:rFonts w:eastAsia="Arial" w:cs="Arial"/>
              </w:rPr>
              <w:t>age, p</w:t>
            </w:r>
            <w:r>
              <w:rPr>
                <w:rFonts w:eastAsia="Arial" w:cs="Arial"/>
                <w:spacing w:val="-1"/>
              </w:rPr>
              <w:t>u</w:t>
            </w:r>
            <w:r>
              <w:rPr>
                <w:rFonts w:eastAsia="Arial" w:cs="Arial"/>
              </w:rPr>
              <w:t>blicati</w:t>
            </w:r>
            <w:r>
              <w:rPr>
                <w:rFonts w:eastAsia="Arial" w:cs="Arial"/>
                <w:spacing w:val="-1"/>
              </w:rPr>
              <w:t>o</w:t>
            </w:r>
            <w:r>
              <w:rPr>
                <w:rFonts w:eastAsia="Arial" w:cs="Arial"/>
              </w:rPr>
              <w:t>n stat</w:t>
            </w:r>
            <w:r>
              <w:rPr>
                <w:rFonts w:eastAsia="Arial" w:cs="Arial"/>
                <w:spacing w:val="-1"/>
              </w:rPr>
              <w:t>u</w:t>
            </w:r>
            <w:r>
              <w:rPr>
                <w:rFonts w:eastAsia="Arial" w:cs="Arial"/>
                <w:spacing w:val="1"/>
              </w:rPr>
              <w:t>s</w:t>
            </w:r>
            <w:r>
              <w:rPr>
                <w:rFonts w:eastAsia="Arial" w:cs="Arial"/>
              </w:rPr>
              <w:t xml:space="preserve">) </w:t>
            </w:r>
            <w:r>
              <w:rPr>
                <w:rFonts w:eastAsia="Arial" w:cs="Arial"/>
                <w:spacing w:val="-1"/>
              </w:rPr>
              <w:t>u</w:t>
            </w:r>
            <w:r>
              <w:rPr>
                <w:rFonts w:eastAsia="Arial" w:cs="Arial"/>
                <w:spacing w:val="1"/>
              </w:rPr>
              <w:t>s</w:t>
            </w:r>
            <w:r>
              <w:rPr>
                <w:rFonts w:eastAsia="Arial" w:cs="Arial"/>
              </w:rPr>
              <w:t xml:space="preserve">ed </w:t>
            </w:r>
            <w:r>
              <w:rPr>
                <w:rFonts w:eastAsia="Arial" w:cs="Arial"/>
                <w:spacing w:val="-1"/>
              </w:rPr>
              <w:t>a</w:t>
            </w:r>
            <w:r>
              <w:rPr>
                <w:rFonts w:eastAsia="Arial" w:cs="Arial"/>
              </w:rPr>
              <w:t>s</w:t>
            </w:r>
            <w:r>
              <w:rPr>
                <w:rFonts w:eastAsia="Arial" w:cs="Arial"/>
                <w:spacing w:val="-1"/>
              </w:rPr>
              <w:t xml:space="preserve"> </w:t>
            </w:r>
            <w:r>
              <w:rPr>
                <w:rFonts w:eastAsia="Arial" w:cs="Arial"/>
              </w:rPr>
              <w:t>cr</w:t>
            </w:r>
            <w:r>
              <w:rPr>
                <w:rFonts w:eastAsia="Arial" w:cs="Arial"/>
                <w:spacing w:val="-1"/>
              </w:rPr>
              <w:t>i</w:t>
            </w:r>
            <w:r>
              <w:rPr>
                <w:rFonts w:eastAsia="Arial" w:cs="Arial"/>
                <w:spacing w:val="1"/>
              </w:rPr>
              <w:t>t</w:t>
            </w:r>
            <w:r>
              <w:rPr>
                <w:rFonts w:eastAsia="Arial" w:cs="Arial"/>
              </w:rPr>
              <w:t>eria for elig</w:t>
            </w:r>
            <w:r>
              <w:rPr>
                <w:rFonts w:eastAsia="Arial" w:cs="Arial"/>
                <w:spacing w:val="-1"/>
              </w:rPr>
              <w:t>ib</w:t>
            </w:r>
            <w:r>
              <w:rPr>
                <w:rFonts w:eastAsia="Arial" w:cs="Arial"/>
              </w:rPr>
              <w:t>ility, giving rationale.</w:t>
            </w:r>
          </w:p>
        </w:tc>
        <w:tc>
          <w:tcPr>
            <w:tcW w:w="3146" w:type="dxa"/>
            <w:tcBorders>
              <w:top w:val="single" w:sz="5" w:space="0" w:color="000000"/>
              <w:left w:val="single" w:sz="5" w:space="0" w:color="000000"/>
              <w:bottom w:val="single" w:sz="5" w:space="0" w:color="000000"/>
              <w:right w:val="single" w:sz="5" w:space="0" w:color="000000"/>
            </w:tcBorders>
          </w:tcPr>
          <w:p w:rsidR="007D120F" w:rsidRDefault="002644E9" w:rsidP="00D8734B">
            <w:pPr>
              <w:pStyle w:val="Tabletext"/>
              <w:spacing w:beforeLines="30" w:before="72"/>
              <w:ind w:left="85" w:right="169"/>
            </w:pPr>
            <w:r>
              <w:t xml:space="preserve">See </w:t>
            </w:r>
            <w:r w:rsidR="00384113" w:rsidRPr="00384113">
              <w:rPr>
                <w:i/>
              </w:rPr>
              <w:t>S</w:t>
            </w:r>
            <w:r w:rsidRPr="002644E9">
              <w:rPr>
                <w:i/>
              </w:rPr>
              <w:t>earch strategy</w:t>
            </w:r>
            <w:r>
              <w:t xml:space="preserve"> </w:t>
            </w:r>
            <w:r w:rsidR="00A755F1">
              <w:t xml:space="preserve">subsection </w:t>
            </w:r>
            <w:r>
              <w:t>in the Methods</w:t>
            </w:r>
          </w:p>
        </w:tc>
      </w:tr>
      <w:tr w:rsidR="007D120F" w:rsidTr="00B40AFE">
        <w:trPr>
          <w:trHeigh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Information</w:t>
            </w:r>
            <w:r>
              <w:rPr>
                <w:rFonts w:eastAsia="Arial" w:cs="Arial"/>
                <w:spacing w:val="-2"/>
              </w:rPr>
              <w:t xml:space="preserve"> </w:t>
            </w:r>
            <w:r>
              <w:rPr>
                <w:rFonts w:eastAsia="Arial" w:cs="Arial"/>
              </w:rPr>
              <w:t>sourc</w:t>
            </w:r>
            <w:r>
              <w:rPr>
                <w:rFonts w:eastAsia="Arial" w:cs="Arial"/>
                <w:spacing w:val="-1"/>
              </w:rPr>
              <w:t>e</w:t>
            </w:r>
            <w:r>
              <w:rPr>
                <w:rFonts w:eastAsia="Arial" w:cs="Arial"/>
              </w:rPr>
              <w:t>s</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7</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D</w:t>
            </w:r>
            <w:r>
              <w:rPr>
                <w:rFonts w:eastAsia="Arial" w:cs="Arial"/>
                <w:spacing w:val="-1"/>
              </w:rPr>
              <w:t>e</w:t>
            </w:r>
            <w:r>
              <w:rPr>
                <w:rFonts w:eastAsia="Arial" w:cs="Arial"/>
              </w:rPr>
              <w:t xml:space="preserve">scribe all </w:t>
            </w:r>
            <w:r>
              <w:rPr>
                <w:rFonts w:eastAsia="Arial" w:cs="Arial"/>
                <w:spacing w:val="-1"/>
              </w:rPr>
              <w:t>i</w:t>
            </w:r>
            <w:r>
              <w:rPr>
                <w:rFonts w:eastAsia="Arial" w:cs="Arial"/>
              </w:rPr>
              <w:t>nformati</w:t>
            </w:r>
            <w:r>
              <w:rPr>
                <w:rFonts w:eastAsia="Arial" w:cs="Arial"/>
                <w:spacing w:val="-1"/>
              </w:rPr>
              <w:t>o</w:t>
            </w:r>
            <w:r>
              <w:rPr>
                <w:rFonts w:eastAsia="Arial" w:cs="Arial"/>
              </w:rPr>
              <w:t>n s</w:t>
            </w:r>
            <w:r>
              <w:rPr>
                <w:rFonts w:eastAsia="Arial" w:cs="Arial"/>
                <w:spacing w:val="-1"/>
              </w:rPr>
              <w:t>o</w:t>
            </w:r>
            <w:r>
              <w:rPr>
                <w:rFonts w:eastAsia="Arial" w:cs="Arial"/>
              </w:rPr>
              <w:t>urces</w:t>
            </w:r>
            <w:r>
              <w:rPr>
                <w:rFonts w:eastAsia="Arial" w:cs="Arial"/>
                <w:spacing w:val="-2"/>
              </w:rPr>
              <w:t xml:space="preserve"> </w:t>
            </w:r>
            <w:r>
              <w:rPr>
                <w:rFonts w:eastAsia="Arial" w:cs="Arial"/>
              </w:rPr>
              <w:t>(e.g., datab</w:t>
            </w:r>
            <w:r>
              <w:rPr>
                <w:rFonts w:eastAsia="Arial" w:cs="Arial"/>
                <w:spacing w:val="-1"/>
              </w:rPr>
              <w:t>a</w:t>
            </w:r>
            <w:r>
              <w:rPr>
                <w:rFonts w:eastAsia="Arial" w:cs="Arial"/>
              </w:rPr>
              <w:t>s</w:t>
            </w:r>
            <w:r>
              <w:rPr>
                <w:rFonts w:eastAsia="Arial" w:cs="Arial"/>
                <w:spacing w:val="-1"/>
              </w:rPr>
              <w:t>e</w:t>
            </w:r>
            <w:r>
              <w:rPr>
                <w:rFonts w:eastAsia="Arial" w:cs="Arial"/>
              </w:rPr>
              <w:t>s with</w:t>
            </w:r>
            <w:r>
              <w:rPr>
                <w:rFonts w:eastAsia="Arial" w:cs="Arial"/>
                <w:spacing w:val="-1"/>
              </w:rPr>
              <w:t xml:space="preserve"> </w:t>
            </w:r>
            <w:r>
              <w:rPr>
                <w:rFonts w:eastAsia="Arial" w:cs="Arial"/>
              </w:rPr>
              <w:t>dates</w:t>
            </w:r>
            <w:r>
              <w:rPr>
                <w:rFonts w:eastAsia="Arial" w:cs="Arial"/>
                <w:spacing w:val="1"/>
              </w:rPr>
              <w:t xml:space="preserve"> </w:t>
            </w:r>
            <w:r>
              <w:rPr>
                <w:rFonts w:eastAsia="Arial" w:cs="Arial"/>
              </w:rPr>
              <w:t>of co</w:t>
            </w:r>
            <w:r>
              <w:rPr>
                <w:rFonts w:eastAsia="Arial" w:cs="Arial"/>
                <w:spacing w:val="-2"/>
              </w:rPr>
              <w:t>v</w:t>
            </w:r>
            <w:r>
              <w:rPr>
                <w:rFonts w:eastAsia="Arial" w:cs="Arial"/>
              </w:rPr>
              <w:t>era</w:t>
            </w:r>
            <w:r>
              <w:rPr>
                <w:rFonts w:eastAsia="Arial" w:cs="Arial"/>
                <w:spacing w:val="-1"/>
              </w:rPr>
              <w:t>g</w:t>
            </w:r>
            <w:r>
              <w:rPr>
                <w:rFonts w:eastAsia="Arial" w:cs="Arial"/>
              </w:rPr>
              <w:t>e, cont</w:t>
            </w:r>
            <w:r>
              <w:rPr>
                <w:rFonts w:eastAsia="Arial" w:cs="Arial"/>
                <w:spacing w:val="-1"/>
              </w:rPr>
              <w:t>ac</w:t>
            </w:r>
            <w:r>
              <w:rPr>
                <w:rFonts w:eastAsia="Arial" w:cs="Arial"/>
              </w:rPr>
              <w:t>t with study authors to ide</w:t>
            </w:r>
            <w:r>
              <w:rPr>
                <w:rFonts w:eastAsia="Arial" w:cs="Arial"/>
                <w:spacing w:val="-1"/>
              </w:rPr>
              <w:t>n</w:t>
            </w:r>
            <w:r>
              <w:rPr>
                <w:rFonts w:eastAsia="Arial" w:cs="Arial"/>
              </w:rPr>
              <w:t>tify additio</w:t>
            </w:r>
            <w:r>
              <w:rPr>
                <w:rFonts w:eastAsia="Arial" w:cs="Arial"/>
                <w:spacing w:val="-1"/>
              </w:rPr>
              <w:t>n</w:t>
            </w:r>
            <w:r>
              <w:rPr>
                <w:rFonts w:eastAsia="Arial" w:cs="Arial"/>
              </w:rPr>
              <w:t>al st</w:t>
            </w:r>
            <w:r>
              <w:rPr>
                <w:rFonts w:eastAsia="Arial" w:cs="Arial"/>
                <w:spacing w:val="-1"/>
              </w:rPr>
              <w:t>u</w:t>
            </w:r>
            <w:r>
              <w:rPr>
                <w:rFonts w:eastAsia="Arial" w:cs="Arial"/>
              </w:rPr>
              <w:t>dies) in the search a</w:t>
            </w:r>
            <w:r>
              <w:rPr>
                <w:rFonts w:eastAsia="Arial" w:cs="Arial"/>
                <w:spacing w:val="-1"/>
              </w:rPr>
              <w:t>n</w:t>
            </w:r>
            <w:r>
              <w:rPr>
                <w:rFonts w:eastAsia="Arial" w:cs="Arial"/>
              </w:rPr>
              <w:t>d da</w:t>
            </w:r>
            <w:r>
              <w:rPr>
                <w:rFonts w:eastAsia="Arial" w:cs="Arial"/>
                <w:spacing w:val="-2"/>
              </w:rPr>
              <w:t>t</w:t>
            </w:r>
            <w:r>
              <w:rPr>
                <w:rFonts w:eastAsia="Arial" w:cs="Arial"/>
              </w:rPr>
              <w:t>e last s</w:t>
            </w:r>
            <w:r>
              <w:rPr>
                <w:rFonts w:eastAsia="Arial" w:cs="Arial"/>
                <w:spacing w:val="-1"/>
              </w:rPr>
              <w:t>e</w:t>
            </w:r>
            <w:r>
              <w:rPr>
                <w:rFonts w:eastAsia="Arial" w:cs="Arial"/>
              </w:rPr>
              <w:t>arc</w:t>
            </w:r>
            <w:r>
              <w:rPr>
                <w:rFonts w:eastAsia="Arial" w:cs="Arial"/>
                <w:spacing w:val="-1"/>
              </w:rPr>
              <w:t>h</w:t>
            </w:r>
            <w:r>
              <w:rPr>
                <w:rFonts w:eastAsia="Arial" w:cs="Arial"/>
              </w:rPr>
              <w:t>ed.</w:t>
            </w:r>
          </w:p>
        </w:tc>
        <w:tc>
          <w:tcPr>
            <w:tcW w:w="3146" w:type="dxa"/>
            <w:tcBorders>
              <w:top w:val="single" w:sz="5" w:space="0" w:color="000000"/>
              <w:left w:val="single" w:sz="5" w:space="0" w:color="000000"/>
              <w:bottom w:val="single" w:sz="5" w:space="0" w:color="000000"/>
              <w:right w:val="single" w:sz="5" w:space="0" w:color="000000"/>
            </w:tcBorders>
          </w:tcPr>
          <w:p w:rsidR="007D120F" w:rsidRDefault="009A1DEC" w:rsidP="00D8734B">
            <w:pPr>
              <w:pStyle w:val="Tabletext"/>
              <w:spacing w:beforeLines="30" w:before="72"/>
              <w:ind w:left="85" w:right="169"/>
            </w:pPr>
            <w:r>
              <w:t xml:space="preserve">See </w:t>
            </w:r>
            <w:r w:rsidR="00384113" w:rsidRPr="00384113">
              <w:rPr>
                <w:i/>
              </w:rPr>
              <w:t>S</w:t>
            </w:r>
            <w:r w:rsidR="00384113" w:rsidRPr="002644E9">
              <w:rPr>
                <w:i/>
              </w:rPr>
              <w:t>earch strategy</w:t>
            </w:r>
            <w:r w:rsidR="00384113">
              <w:t xml:space="preserve"> </w:t>
            </w:r>
            <w:r>
              <w:t>subsection in the Methods</w:t>
            </w:r>
          </w:p>
        </w:tc>
      </w:tr>
      <w:tr w:rsidR="007D120F" w:rsidTr="00B40AFE">
        <w:trPr>
          <w:trHeigh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Search</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8</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Present full electr</w:t>
            </w:r>
            <w:r>
              <w:rPr>
                <w:rFonts w:eastAsia="Arial" w:cs="Arial"/>
                <w:spacing w:val="-1"/>
              </w:rPr>
              <w:t>o</w:t>
            </w:r>
            <w:r>
              <w:rPr>
                <w:rFonts w:eastAsia="Arial" w:cs="Arial"/>
              </w:rPr>
              <w:t>nic</w:t>
            </w:r>
            <w:r>
              <w:rPr>
                <w:rFonts w:eastAsia="Arial" w:cs="Arial"/>
                <w:spacing w:val="-2"/>
              </w:rPr>
              <w:t xml:space="preserve"> </w:t>
            </w:r>
            <w:r>
              <w:rPr>
                <w:rFonts w:eastAsia="Arial" w:cs="Arial"/>
              </w:rPr>
              <w:t>se</w:t>
            </w:r>
            <w:r>
              <w:rPr>
                <w:rFonts w:eastAsia="Arial" w:cs="Arial"/>
                <w:spacing w:val="-1"/>
              </w:rPr>
              <w:t>ar</w:t>
            </w:r>
            <w:r>
              <w:rPr>
                <w:rFonts w:eastAsia="Arial" w:cs="Arial"/>
              </w:rPr>
              <w:t>ch s</w:t>
            </w:r>
            <w:r>
              <w:rPr>
                <w:rFonts w:eastAsia="Arial" w:cs="Arial"/>
                <w:spacing w:val="-2"/>
              </w:rPr>
              <w:t>t</w:t>
            </w:r>
            <w:r>
              <w:rPr>
                <w:rFonts w:eastAsia="Arial" w:cs="Arial"/>
              </w:rPr>
              <w:t>rategy f</w:t>
            </w:r>
            <w:r>
              <w:rPr>
                <w:rFonts w:eastAsia="Arial" w:cs="Arial"/>
                <w:spacing w:val="-1"/>
              </w:rPr>
              <w:t>o</w:t>
            </w:r>
            <w:r>
              <w:rPr>
                <w:rFonts w:eastAsia="Arial" w:cs="Arial"/>
              </w:rPr>
              <w:t>r at least one</w:t>
            </w:r>
            <w:r>
              <w:rPr>
                <w:rFonts w:eastAsia="Arial" w:cs="Arial"/>
                <w:spacing w:val="1"/>
              </w:rPr>
              <w:t xml:space="preserve"> </w:t>
            </w:r>
            <w:r>
              <w:rPr>
                <w:rFonts w:eastAsia="Arial" w:cs="Arial"/>
              </w:rPr>
              <w:t>datab</w:t>
            </w:r>
            <w:r>
              <w:rPr>
                <w:rFonts w:eastAsia="Arial" w:cs="Arial"/>
                <w:spacing w:val="-1"/>
              </w:rPr>
              <w:t>a</w:t>
            </w:r>
            <w:r>
              <w:rPr>
                <w:rFonts w:eastAsia="Arial" w:cs="Arial"/>
              </w:rPr>
              <w:t>se, i</w:t>
            </w:r>
            <w:r>
              <w:rPr>
                <w:rFonts w:eastAsia="Arial" w:cs="Arial"/>
                <w:spacing w:val="-1"/>
              </w:rPr>
              <w:t>n</w:t>
            </w:r>
            <w:r>
              <w:rPr>
                <w:rFonts w:eastAsia="Arial" w:cs="Arial"/>
              </w:rPr>
              <w:t xml:space="preserve">cluding </w:t>
            </w:r>
            <w:r>
              <w:rPr>
                <w:rFonts w:eastAsia="Arial" w:cs="Arial"/>
                <w:spacing w:val="-1"/>
              </w:rPr>
              <w:t>a</w:t>
            </w:r>
            <w:r>
              <w:rPr>
                <w:rFonts w:eastAsia="Arial" w:cs="Arial"/>
              </w:rPr>
              <w:t>ny limits us</w:t>
            </w:r>
            <w:r>
              <w:rPr>
                <w:rFonts w:eastAsia="Arial" w:cs="Arial"/>
                <w:spacing w:val="-1"/>
              </w:rPr>
              <w:t>e</w:t>
            </w:r>
            <w:r>
              <w:rPr>
                <w:rFonts w:eastAsia="Arial" w:cs="Arial"/>
              </w:rPr>
              <w:t>d, s</w:t>
            </w:r>
            <w:r>
              <w:rPr>
                <w:rFonts w:eastAsia="Arial" w:cs="Arial"/>
                <w:spacing w:val="-1"/>
              </w:rPr>
              <w:t>u</w:t>
            </w:r>
            <w:r>
              <w:rPr>
                <w:rFonts w:eastAsia="Arial" w:cs="Arial"/>
              </w:rPr>
              <w:t>ch</w:t>
            </w:r>
            <w:r>
              <w:rPr>
                <w:rFonts w:eastAsia="Arial" w:cs="Arial"/>
                <w:spacing w:val="-1"/>
              </w:rPr>
              <w:t xml:space="preserve"> </w:t>
            </w:r>
            <w:r>
              <w:rPr>
                <w:rFonts w:eastAsia="Arial" w:cs="Arial"/>
              </w:rPr>
              <w:t>that it could be rep</w:t>
            </w:r>
            <w:r>
              <w:rPr>
                <w:rFonts w:eastAsia="Arial" w:cs="Arial"/>
                <w:spacing w:val="-1"/>
              </w:rPr>
              <w:t>e</w:t>
            </w:r>
            <w:r>
              <w:rPr>
                <w:rFonts w:eastAsia="Arial" w:cs="Arial"/>
              </w:rPr>
              <w:t>ated.</w:t>
            </w:r>
          </w:p>
        </w:tc>
        <w:tc>
          <w:tcPr>
            <w:tcW w:w="3146" w:type="dxa"/>
            <w:tcBorders>
              <w:top w:val="single" w:sz="5" w:space="0" w:color="000000"/>
              <w:left w:val="single" w:sz="5" w:space="0" w:color="000000"/>
              <w:bottom w:val="single" w:sz="5" w:space="0" w:color="000000"/>
              <w:right w:val="single" w:sz="5" w:space="0" w:color="000000"/>
            </w:tcBorders>
          </w:tcPr>
          <w:p w:rsidR="007D120F" w:rsidRDefault="009A1DEC" w:rsidP="00D8734B">
            <w:pPr>
              <w:pStyle w:val="Tabletext"/>
              <w:spacing w:beforeLines="30" w:before="72"/>
              <w:ind w:left="85" w:right="169"/>
            </w:pPr>
            <w:r>
              <w:t xml:space="preserve">See </w:t>
            </w:r>
            <w:r w:rsidR="00384113" w:rsidRPr="00384113">
              <w:rPr>
                <w:i/>
              </w:rPr>
              <w:t>S</w:t>
            </w:r>
            <w:r w:rsidR="00384113" w:rsidRPr="002644E9">
              <w:rPr>
                <w:i/>
              </w:rPr>
              <w:t>earch strategy</w:t>
            </w:r>
            <w:r w:rsidR="00384113">
              <w:t xml:space="preserve"> </w:t>
            </w:r>
            <w:r>
              <w:t>subsection in the Methods</w:t>
            </w:r>
          </w:p>
        </w:tc>
      </w:tr>
      <w:tr w:rsidR="007D120F" w:rsidTr="00B40AFE">
        <w:trPr>
          <w:trHeigh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Study select</w:t>
            </w:r>
            <w:r>
              <w:rPr>
                <w:rFonts w:eastAsia="Arial" w:cs="Arial"/>
                <w:spacing w:val="-1"/>
              </w:rPr>
              <w:t>i</w:t>
            </w:r>
            <w:r>
              <w:rPr>
                <w:rFonts w:eastAsia="Arial" w:cs="Arial"/>
              </w:rPr>
              <w:t>on</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9</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State the pr</w:t>
            </w:r>
            <w:r>
              <w:rPr>
                <w:rFonts w:eastAsia="Arial" w:cs="Arial"/>
                <w:spacing w:val="-1"/>
              </w:rPr>
              <w:t>o</w:t>
            </w:r>
            <w:r>
              <w:rPr>
                <w:rFonts w:eastAsia="Arial" w:cs="Arial"/>
                <w:spacing w:val="1"/>
              </w:rPr>
              <w:t>c</w:t>
            </w:r>
            <w:r>
              <w:rPr>
                <w:rFonts w:eastAsia="Arial" w:cs="Arial"/>
                <w:spacing w:val="-1"/>
              </w:rPr>
              <w:t>e</w:t>
            </w:r>
            <w:r>
              <w:rPr>
                <w:rFonts w:eastAsia="Arial" w:cs="Arial"/>
              </w:rPr>
              <w:t>ss f</w:t>
            </w:r>
            <w:r>
              <w:rPr>
                <w:rFonts w:eastAsia="Arial" w:cs="Arial"/>
                <w:spacing w:val="-1"/>
              </w:rPr>
              <w:t>o</w:t>
            </w:r>
            <w:r>
              <w:rPr>
                <w:rFonts w:eastAsia="Arial" w:cs="Arial"/>
              </w:rPr>
              <w:t>r sel</w:t>
            </w:r>
            <w:r>
              <w:rPr>
                <w:rFonts w:eastAsia="Arial" w:cs="Arial"/>
                <w:spacing w:val="-1"/>
              </w:rPr>
              <w:t>e</w:t>
            </w:r>
            <w:r>
              <w:rPr>
                <w:rFonts w:eastAsia="Arial" w:cs="Arial"/>
              </w:rPr>
              <w:t>cting studi</w:t>
            </w:r>
            <w:r>
              <w:rPr>
                <w:rFonts w:eastAsia="Arial" w:cs="Arial"/>
                <w:spacing w:val="-1"/>
              </w:rPr>
              <w:t>e</w:t>
            </w:r>
            <w:r>
              <w:rPr>
                <w:rFonts w:eastAsia="Arial" w:cs="Arial"/>
              </w:rPr>
              <w:t>s (</w:t>
            </w:r>
            <w:r>
              <w:rPr>
                <w:rFonts w:eastAsia="Arial" w:cs="Arial"/>
                <w:spacing w:val="-1"/>
              </w:rPr>
              <w:t>i</w:t>
            </w:r>
            <w:r>
              <w:rPr>
                <w:rFonts w:eastAsia="Arial" w:cs="Arial"/>
              </w:rPr>
              <w:t>.e., scr</w:t>
            </w:r>
            <w:r>
              <w:rPr>
                <w:rFonts w:eastAsia="Arial" w:cs="Arial"/>
                <w:spacing w:val="-1"/>
              </w:rPr>
              <w:t>e</w:t>
            </w:r>
            <w:r>
              <w:rPr>
                <w:rFonts w:eastAsia="Arial" w:cs="Arial"/>
              </w:rPr>
              <w:t>enin</w:t>
            </w:r>
            <w:r>
              <w:rPr>
                <w:rFonts w:eastAsia="Arial" w:cs="Arial"/>
                <w:spacing w:val="-1"/>
              </w:rPr>
              <w:t>g</w:t>
            </w:r>
            <w:r>
              <w:rPr>
                <w:rFonts w:eastAsia="Arial" w:cs="Arial"/>
              </w:rPr>
              <w:t>, eli</w:t>
            </w:r>
            <w:r>
              <w:rPr>
                <w:rFonts w:eastAsia="Arial" w:cs="Arial"/>
                <w:spacing w:val="1"/>
              </w:rPr>
              <w:t>g</w:t>
            </w:r>
            <w:r>
              <w:rPr>
                <w:rFonts w:eastAsia="Arial" w:cs="Arial"/>
              </w:rPr>
              <w:t>ibility, i</w:t>
            </w:r>
            <w:r>
              <w:rPr>
                <w:rFonts w:eastAsia="Arial" w:cs="Arial"/>
                <w:spacing w:val="1"/>
              </w:rPr>
              <w:t>n</w:t>
            </w:r>
            <w:r>
              <w:rPr>
                <w:rFonts w:eastAsia="Arial" w:cs="Arial"/>
              </w:rPr>
              <w:t>clu</w:t>
            </w:r>
            <w:r>
              <w:rPr>
                <w:rFonts w:eastAsia="Arial" w:cs="Arial"/>
                <w:spacing w:val="-1"/>
              </w:rPr>
              <w:t>d</w:t>
            </w:r>
            <w:r>
              <w:rPr>
                <w:rFonts w:eastAsia="Arial" w:cs="Arial"/>
              </w:rPr>
              <w:t>ed in s</w:t>
            </w:r>
            <w:r>
              <w:rPr>
                <w:rFonts w:eastAsia="Arial" w:cs="Arial"/>
                <w:spacing w:val="-2"/>
              </w:rPr>
              <w:t>y</w:t>
            </w:r>
            <w:r>
              <w:rPr>
                <w:rFonts w:eastAsia="Arial" w:cs="Arial"/>
              </w:rPr>
              <w:t>stematic review, and, if applicab</w:t>
            </w:r>
            <w:r>
              <w:rPr>
                <w:rFonts w:eastAsia="Arial" w:cs="Arial"/>
                <w:spacing w:val="-1"/>
              </w:rPr>
              <w:t>l</w:t>
            </w:r>
            <w:r>
              <w:rPr>
                <w:rFonts w:eastAsia="Arial" w:cs="Arial"/>
              </w:rPr>
              <w:t>e, incl</w:t>
            </w:r>
            <w:r>
              <w:rPr>
                <w:rFonts w:eastAsia="Arial" w:cs="Arial"/>
                <w:spacing w:val="-1"/>
              </w:rPr>
              <w:t>u</w:t>
            </w:r>
            <w:r>
              <w:rPr>
                <w:rFonts w:eastAsia="Arial" w:cs="Arial"/>
              </w:rPr>
              <w:t>ded in t</w:t>
            </w:r>
            <w:r>
              <w:rPr>
                <w:rFonts w:eastAsia="Arial" w:cs="Arial"/>
                <w:spacing w:val="-1"/>
              </w:rPr>
              <w:t>h</w:t>
            </w:r>
            <w:r>
              <w:rPr>
                <w:rFonts w:eastAsia="Arial" w:cs="Arial"/>
              </w:rPr>
              <w:t>e met</w:t>
            </w:r>
            <w:r>
              <w:rPr>
                <w:rFonts w:eastAsia="Arial" w:cs="Arial"/>
                <w:spacing w:val="2"/>
              </w:rPr>
              <w:t>a</w:t>
            </w:r>
            <w:r>
              <w:rPr>
                <w:rFonts w:ascii="Calibri" w:eastAsia="Calibri" w:hAnsi="Calibri" w:cs="Calibri"/>
              </w:rPr>
              <w:t>‐</w:t>
            </w:r>
            <w:r>
              <w:rPr>
                <w:rFonts w:eastAsia="Arial" w:cs="Arial"/>
              </w:rPr>
              <w:t>anal</w:t>
            </w:r>
            <w:r>
              <w:rPr>
                <w:rFonts w:eastAsia="Arial" w:cs="Arial"/>
                <w:spacing w:val="-2"/>
              </w:rPr>
              <w:t>y</w:t>
            </w:r>
            <w:r>
              <w:rPr>
                <w:rFonts w:eastAsia="Arial" w:cs="Arial"/>
                <w:spacing w:val="1"/>
              </w:rPr>
              <w:t>s</w:t>
            </w:r>
            <w:r>
              <w:rPr>
                <w:rFonts w:eastAsia="Arial" w:cs="Arial"/>
              </w:rPr>
              <w:t>is).</w:t>
            </w:r>
          </w:p>
        </w:tc>
        <w:tc>
          <w:tcPr>
            <w:tcW w:w="3146" w:type="dxa"/>
            <w:tcBorders>
              <w:top w:val="single" w:sz="5" w:space="0" w:color="000000"/>
              <w:left w:val="single" w:sz="5" w:space="0" w:color="000000"/>
              <w:bottom w:val="single" w:sz="5" w:space="0" w:color="000000"/>
              <w:right w:val="single" w:sz="5" w:space="0" w:color="000000"/>
            </w:tcBorders>
          </w:tcPr>
          <w:p w:rsidR="007D120F" w:rsidRDefault="005C54CA" w:rsidP="00D8734B">
            <w:pPr>
              <w:pStyle w:val="Tabletext"/>
              <w:spacing w:beforeLines="30" w:before="72"/>
              <w:ind w:left="85" w:right="169"/>
            </w:pPr>
            <w:r>
              <w:t xml:space="preserve">See </w:t>
            </w:r>
            <w:r w:rsidR="00384113" w:rsidRPr="00384113">
              <w:rPr>
                <w:i/>
              </w:rPr>
              <w:t>S</w:t>
            </w:r>
            <w:r w:rsidR="00384113" w:rsidRPr="002644E9">
              <w:rPr>
                <w:i/>
              </w:rPr>
              <w:t>earch strategy</w:t>
            </w:r>
            <w:r w:rsidR="00384113">
              <w:t xml:space="preserve"> </w:t>
            </w:r>
            <w:r>
              <w:t>subsection in the Methods</w:t>
            </w:r>
          </w:p>
        </w:tc>
      </w:tr>
      <w:tr w:rsidR="007D120F" w:rsidTr="00B40AFE">
        <w:trPr>
          <w:trHeight w:hRule="exac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Data coll</w:t>
            </w:r>
            <w:r>
              <w:rPr>
                <w:rFonts w:eastAsia="Arial" w:cs="Arial"/>
                <w:spacing w:val="-1"/>
              </w:rPr>
              <w:t>e</w:t>
            </w:r>
            <w:r>
              <w:rPr>
                <w:rFonts w:eastAsia="Arial" w:cs="Arial"/>
              </w:rPr>
              <w:t>cti</w:t>
            </w:r>
            <w:r>
              <w:rPr>
                <w:rFonts w:eastAsia="Arial" w:cs="Arial"/>
                <w:spacing w:val="-1"/>
              </w:rPr>
              <w:t>o</w:t>
            </w:r>
            <w:r>
              <w:rPr>
                <w:rFonts w:eastAsia="Arial" w:cs="Arial"/>
              </w:rPr>
              <w:t>n pr</w:t>
            </w:r>
            <w:r>
              <w:rPr>
                <w:rFonts w:eastAsia="Arial" w:cs="Arial"/>
                <w:spacing w:val="-1"/>
              </w:rPr>
              <w:t>o</w:t>
            </w:r>
            <w:r>
              <w:rPr>
                <w:rFonts w:eastAsia="Arial" w:cs="Arial"/>
                <w:spacing w:val="1"/>
              </w:rPr>
              <w:t>c</w:t>
            </w:r>
            <w:r>
              <w:rPr>
                <w:rFonts w:eastAsia="Arial" w:cs="Arial"/>
                <w:spacing w:val="-1"/>
              </w:rPr>
              <w:t>e</w:t>
            </w:r>
            <w:r>
              <w:rPr>
                <w:rFonts w:eastAsia="Arial" w:cs="Arial"/>
              </w:rPr>
              <w:t>ss</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10</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D</w:t>
            </w:r>
            <w:r>
              <w:rPr>
                <w:rFonts w:eastAsia="Arial" w:cs="Arial"/>
                <w:spacing w:val="-1"/>
              </w:rPr>
              <w:t>e</w:t>
            </w:r>
            <w:r>
              <w:rPr>
                <w:rFonts w:eastAsia="Arial" w:cs="Arial"/>
              </w:rPr>
              <w:t xml:space="preserve">scribe </w:t>
            </w:r>
            <w:r>
              <w:rPr>
                <w:rFonts w:eastAsia="Arial" w:cs="Arial"/>
                <w:spacing w:val="-1"/>
              </w:rPr>
              <w:t>m</w:t>
            </w:r>
            <w:r>
              <w:rPr>
                <w:rFonts w:eastAsia="Arial" w:cs="Arial"/>
              </w:rPr>
              <w:t xml:space="preserve">ethod of data </w:t>
            </w:r>
            <w:r>
              <w:rPr>
                <w:rFonts w:eastAsia="Arial" w:cs="Arial"/>
                <w:spacing w:val="-1"/>
              </w:rPr>
              <w:t>ex</w:t>
            </w:r>
            <w:r>
              <w:rPr>
                <w:rFonts w:eastAsia="Arial" w:cs="Arial"/>
              </w:rPr>
              <w:t>traction fr</w:t>
            </w:r>
            <w:r>
              <w:rPr>
                <w:rFonts w:eastAsia="Arial" w:cs="Arial"/>
                <w:spacing w:val="-1"/>
              </w:rPr>
              <w:t>o</w:t>
            </w:r>
            <w:r>
              <w:rPr>
                <w:rFonts w:eastAsia="Arial" w:cs="Arial"/>
              </w:rPr>
              <w:t>m</w:t>
            </w:r>
            <w:r>
              <w:rPr>
                <w:rFonts w:eastAsia="Arial" w:cs="Arial"/>
                <w:spacing w:val="-2"/>
              </w:rPr>
              <w:t xml:space="preserve"> </w:t>
            </w:r>
            <w:r>
              <w:rPr>
                <w:rFonts w:eastAsia="Arial" w:cs="Arial"/>
              </w:rPr>
              <w:t>rep</w:t>
            </w:r>
            <w:r>
              <w:rPr>
                <w:rFonts w:eastAsia="Arial" w:cs="Arial"/>
                <w:spacing w:val="-1"/>
              </w:rPr>
              <w:t>o</w:t>
            </w:r>
            <w:r>
              <w:rPr>
                <w:rFonts w:eastAsia="Arial" w:cs="Arial"/>
              </w:rPr>
              <w:t>rts (e.g., piloted for</w:t>
            </w:r>
            <w:r>
              <w:rPr>
                <w:rFonts w:eastAsia="Arial" w:cs="Arial"/>
                <w:spacing w:val="-1"/>
              </w:rPr>
              <w:t>m</w:t>
            </w:r>
            <w:r>
              <w:rPr>
                <w:rFonts w:eastAsia="Arial" w:cs="Arial"/>
              </w:rPr>
              <w:t>s, indepe</w:t>
            </w:r>
            <w:r>
              <w:rPr>
                <w:rFonts w:eastAsia="Arial" w:cs="Arial"/>
                <w:spacing w:val="-1"/>
              </w:rPr>
              <w:t>n</w:t>
            </w:r>
            <w:r>
              <w:rPr>
                <w:rFonts w:eastAsia="Arial" w:cs="Arial"/>
              </w:rPr>
              <w:t>den</w:t>
            </w:r>
            <w:r>
              <w:rPr>
                <w:rFonts w:eastAsia="Arial" w:cs="Arial"/>
                <w:spacing w:val="-2"/>
              </w:rPr>
              <w:t>t</w:t>
            </w:r>
            <w:r>
              <w:rPr>
                <w:rFonts w:eastAsia="Arial" w:cs="Arial"/>
              </w:rPr>
              <w:t>ly, in duplica</w:t>
            </w:r>
            <w:r>
              <w:rPr>
                <w:rFonts w:eastAsia="Arial" w:cs="Arial"/>
                <w:spacing w:val="-2"/>
              </w:rPr>
              <w:t>t</w:t>
            </w:r>
            <w:r>
              <w:rPr>
                <w:rFonts w:eastAsia="Arial" w:cs="Arial"/>
              </w:rPr>
              <w:t xml:space="preserve">e) and </w:t>
            </w:r>
            <w:r>
              <w:rPr>
                <w:rFonts w:eastAsia="Arial" w:cs="Arial"/>
                <w:spacing w:val="-1"/>
              </w:rPr>
              <w:t>a</w:t>
            </w:r>
            <w:r>
              <w:rPr>
                <w:rFonts w:eastAsia="Arial" w:cs="Arial"/>
              </w:rPr>
              <w:t>ny proc</w:t>
            </w:r>
            <w:r>
              <w:rPr>
                <w:rFonts w:eastAsia="Arial" w:cs="Arial"/>
                <w:spacing w:val="-1"/>
              </w:rPr>
              <w:t>es</w:t>
            </w:r>
            <w:r>
              <w:rPr>
                <w:rFonts w:eastAsia="Arial" w:cs="Arial"/>
              </w:rPr>
              <w:t>s</w:t>
            </w:r>
            <w:r>
              <w:rPr>
                <w:rFonts w:eastAsia="Arial" w:cs="Arial"/>
                <w:spacing w:val="-1"/>
              </w:rPr>
              <w:t>e</w:t>
            </w:r>
            <w:r>
              <w:rPr>
                <w:rFonts w:eastAsia="Arial" w:cs="Arial"/>
              </w:rPr>
              <w:t>s for obtaini</w:t>
            </w:r>
            <w:r>
              <w:rPr>
                <w:rFonts w:eastAsia="Arial" w:cs="Arial"/>
                <w:spacing w:val="-1"/>
              </w:rPr>
              <w:t>n</w:t>
            </w:r>
            <w:r>
              <w:rPr>
                <w:rFonts w:eastAsia="Arial" w:cs="Arial"/>
              </w:rPr>
              <w:t>g and confirm</w:t>
            </w:r>
            <w:r>
              <w:rPr>
                <w:rFonts w:eastAsia="Arial" w:cs="Arial"/>
                <w:spacing w:val="-1"/>
              </w:rPr>
              <w:t>in</w:t>
            </w:r>
            <w:r>
              <w:rPr>
                <w:rFonts w:eastAsia="Arial" w:cs="Arial"/>
              </w:rPr>
              <w:t>g data from i</w:t>
            </w:r>
            <w:r>
              <w:rPr>
                <w:rFonts w:eastAsia="Arial" w:cs="Arial"/>
                <w:spacing w:val="-1"/>
              </w:rPr>
              <w:t>n</w:t>
            </w:r>
            <w:r>
              <w:rPr>
                <w:rFonts w:eastAsia="Arial" w:cs="Arial"/>
              </w:rPr>
              <w:t>vestigators.</w:t>
            </w:r>
          </w:p>
        </w:tc>
        <w:tc>
          <w:tcPr>
            <w:tcW w:w="3146" w:type="dxa"/>
            <w:tcBorders>
              <w:top w:val="single" w:sz="5" w:space="0" w:color="000000"/>
              <w:left w:val="single" w:sz="5" w:space="0" w:color="000000"/>
              <w:bottom w:val="single" w:sz="5" w:space="0" w:color="000000"/>
              <w:right w:val="single" w:sz="5" w:space="0" w:color="000000"/>
            </w:tcBorders>
          </w:tcPr>
          <w:p w:rsidR="007D120F" w:rsidRDefault="001F0B35" w:rsidP="00D8734B">
            <w:pPr>
              <w:pStyle w:val="Tabletext"/>
              <w:spacing w:beforeLines="30" w:before="72"/>
              <w:ind w:left="85" w:right="169"/>
            </w:pPr>
            <w:r>
              <w:t xml:space="preserve">See </w:t>
            </w:r>
            <w:r>
              <w:rPr>
                <w:i/>
              </w:rPr>
              <w:t>Data extraction</w:t>
            </w:r>
            <w:r>
              <w:t xml:space="preserve"> subsection in the Methods</w:t>
            </w:r>
          </w:p>
        </w:tc>
      </w:tr>
      <w:tr w:rsidR="007D120F" w:rsidTr="00B40AFE">
        <w:trPr>
          <w:trHeight w:hRule="exac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Data items</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11</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 xml:space="preserve">List and </w:t>
            </w:r>
            <w:r>
              <w:rPr>
                <w:rFonts w:eastAsia="Arial" w:cs="Arial"/>
                <w:spacing w:val="-1"/>
              </w:rPr>
              <w:t>d</w:t>
            </w:r>
            <w:r>
              <w:rPr>
                <w:rFonts w:eastAsia="Arial" w:cs="Arial"/>
              </w:rPr>
              <w:t>efi</w:t>
            </w:r>
            <w:r>
              <w:rPr>
                <w:rFonts w:eastAsia="Arial" w:cs="Arial"/>
                <w:spacing w:val="-1"/>
              </w:rPr>
              <w:t>n</w:t>
            </w:r>
            <w:r>
              <w:rPr>
                <w:rFonts w:eastAsia="Arial" w:cs="Arial"/>
              </w:rPr>
              <w:t>e all variabl</w:t>
            </w:r>
            <w:r>
              <w:rPr>
                <w:rFonts w:eastAsia="Arial" w:cs="Arial"/>
                <w:spacing w:val="-1"/>
              </w:rPr>
              <w:t>e</w:t>
            </w:r>
            <w:r>
              <w:rPr>
                <w:rFonts w:eastAsia="Arial" w:cs="Arial"/>
              </w:rPr>
              <w:t>s</w:t>
            </w:r>
            <w:r>
              <w:rPr>
                <w:rFonts w:eastAsia="Arial" w:cs="Arial"/>
                <w:spacing w:val="-1"/>
              </w:rPr>
              <w:t xml:space="preserve"> </w:t>
            </w:r>
            <w:r>
              <w:rPr>
                <w:rFonts w:eastAsia="Arial" w:cs="Arial"/>
              </w:rPr>
              <w:t>for wh</w:t>
            </w:r>
            <w:r>
              <w:rPr>
                <w:rFonts w:eastAsia="Arial" w:cs="Arial"/>
                <w:spacing w:val="-1"/>
              </w:rPr>
              <w:t>i</w:t>
            </w:r>
            <w:r>
              <w:rPr>
                <w:rFonts w:eastAsia="Arial" w:cs="Arial"/>
                <w:spacing w:val="1"/>
              </w:rPr>
              <w:t>c</w:t>
            </w:r>
            <w:r>
              <w:rPr>
                <w:rFonts w:eastAsia="Arial" w:cs="Arial"/>
              </w:rPr>
              <w:t>h da</w:t>
            </w:r>
            <w:r>
              <w:rPr>
                <w:rFonts w:eastAsia="Arial" w:cs="Arial"/>
                <w:spacing w:val="-2"/>
              </w:rPr>
              <w:t>t</w:t>
            </w:r>
            <w:r>
              <w:rPr>
                <w:rFonts w:eastAsia="Arial" w:cs="Arial"/>
              </w:rPr>
              <w:t>a were s</w:t>
            </w:r>
            <w:r>
              <w:rPr>
                <w:rFonts w:eastAsia="Arial" w:cs="Arial"/>
                <w:spacing w:val="-1"/>
              </w:rPr>
              <w:t>o</w:t>
            </w:r>
            <w:r>
              <w:rPr>
                <w:rFonts w:eastAsia="Arial" w:cs="Arial"/>
              </w:rPr>
              <w:t>ug</w:t>
            </w:r>
            <w:r>
              <w:rPr>
                <w:rFonts w:eastAsia="Arial" w:cs="Arial"/>
                <w:spacing w:val="-1"/>
              </w:rPr>
              <w:t>h</w:t>
            </w:r>
            <w:r>
              <w:rPr>
                <w:rFonts w:eastAsia="Arial" w:cs="Arial"/>
              </w:rPr>
              <w:t>t (e.g., PICOS, funding s</w:t>
            </w:r>
            <w:r>
              <w:rPr>
                <w:rFonts w:eastAsia="Arial" w:cs="Arial"/>
                <w:spacing w:val="-1"/>
              </w:rPr>
              <w:t>o</w:t>
            </w:r>
            <w:r>
              <w:rPr>
                <w:rFonts w:eastAsia="Arial" w:cs="Arial"/>
              </w:rPr>
              <w:t>urces) a</w:t>
            </w:r>
            <w:r>
              <w:rPr>
                <w:rFonts w:eastAsia="Arial" w:cs="Arial"/>
                <w:spacing w:val="-1"/>
              </w:rPr>
              <w:t>n</w:t>
            </w:r>
            <w:r>
              <w:rPr>
                <w:rFonts w:eastAsia="Arial" w:cs="Arial"/>
              </w:rPr>
              <w:t>d a</w:t>
            </w:r>
            <w:r>
              <w:rPr>
                <w:rFonts w:eastAsia="Arial" w:cs="Arial"/>
                <w:spacing w:val="-1"/>
              </w:rPr>
              <w:t>n</w:t>
            </w:r>
            <w:r>
              <w:rPr>
                <w:rFonts w:eastAsia="Arial" w:cs="Arial"/>
              </w:rPr>
              <w:t>y ass</w:t>
            </w:r>
            <w:r>
              <w:rPr>
                <w:rFonts w:eastAsia="Arial" w:cs="Arial"/>
                <w:spacing w:val="-1"/>
              </w:rPr>
              <w:t>u</w:t>
            </w:r>
            <w:r>
              <w:rPr>
                <w:rFonts w:eastAsia="Arial" w:cs="Arial"/>
              </w:rPr>
              <w:t>mptio</w:t>
            </w:r>
            <w:r>
              <w:rPr>
                <w:rFonts w:eastAsia="Arial" w:cs="Arial"/>
                <w:spacing w:val="-1"/>
              </w:rPr>
              <w:t>n</w:t>
            </w:r>
            <w:r>
              <w:rPr>
                <w:rFonts w:eastAsia="Arial" w:cs="Arial"/>
              </w:rPr>
              <w:t>s and simplificatio</w:t>
            </w:r>
            <w:r>
              <w:rPr>
                <w:rFonts w:eastAsia="Arial" w:cs="Arial"/>
                <w:spacing w:val="-1"/>
              </w:rPr>
              <w:t>n</w:t>
            </w:r>
            <w:r>
              <w:rPr>
                <w:rFonts w:eastAsia="Arial" w:cs="Arial"/>
              </w:rPr>
              <w:t>s made.</w:t>
            </w:r>
          </w:p>
        </w:tc>
        <w:tc>
          <w:tcPr>
            <w:tcW w:w="3146" w:type="dxa"/>
            <w:tcBorders>
              <w:top w:val="single" w:sz="5" w:space="0" w:color="000000"/>
              <w:left w:val="single" w:sz="5" w:space="0" w:color="000000"/>
              <w:bottom w:val="single" w:sz="5" w:space="0" w:color="000000"/>
              <w:right w:val="single" w:sz="5" w:space="0" w:color="000000"/>
            </w:tcBorders>
          </w:tcPr>
          <w:p w:rsidR="007D120F" w:rsidRDefault="00B03935" w:rsidP="00D8734B">
            <w:pPr>
              <w:pStyle w:val="Tabletext"/>
              <w:spacing w:beforeLines="30" w:before="72"/>
              <w:ind w:left="85" w:right="169"/>
            </w:pPr>
            <w:r>
              <w:t xml:space="preserve">See </w:t>
            </w:r>
            <w:r>
              <w:rPr>
                <w:i/>
              </w:rPr>
              <w:t>Data extraction</w:t>
            </w:r>
            <w:r w:rsidR="00DF2EDC">
              <w:t xml:space="preserve"> and </w:t>
            </w:r>
            <w:r w:rsidR="00DF2EDC" w:rsidRPr="00DF2EDC">
              <w:rPr>
                <w:i/>
              </w:rPr>
              <w:t>Statistical analysis</w:t>
            </w:r>
            <w:r w:rsidR="00DF2EDC">
              <w:t xml:space="preserve"> </w:t>
            </w:r>
            <w:r>
              <w:t>subsection</w:t>
            </w:r>
            <w:r w:rsidR="00DF2EDC">
              <w:t>s</w:t>
            </w:r>
            <w:r>
              <w:t xml:space="preserve"> in the Methods</w:t>
            </w:r>
          </w:p>
        </w:tc>
      </w:tr>
      <w:tr w:rsidR="007D120F" w:rsidTr="00B40AFE">
        <w:trPr>
          <w:trHeight w:hRule="exac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Risk of bi</w:t>
            </w:r>
            <w:r>
              <w:rPr>
                <w:rFonts w:eastAsia="Arial" w:cs="Arial"/>
                <w:spacing w:val="-1"/>
              </w:rPr>
              <w:t>a</w:t>
            </w:r>
            <w:r>
              <w:rPr>
                <w:rFonts w:eastAsia="Arial" w:cs="Arial"/>
              </w:rPr>
              <w:t>s in individual studi</w:t>
            </w:r>
            <w:r>
              <w:rPr>
                <w:rFonts w:eastAsia="Arial" w:cs="Arial"/>
                <w:spacing w:val="-1"/>
              </w:rPr>
              <w:t>e</w:t>
            </w:r>
            <w:r>
              <w:rPr>
                <w:rFonts w:eastAsia="Arial" w:cs="Arial"/>
              </w:rPr>
              <w:t>s</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12</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D</w:t>
            </w:r>
            <w:r>
              <w:rPr>
                <w:rFonts w:eastAsia="Arial" w:cs="Arial"/>
                <w:spacing w:val="-1"/>
              </w:rPr>
              <w:t>e</w:t>
            </w:r>
            <w:r>
              <w:rPr>
                <w:rFonts w:eastAsia="Arial" w:cs="Arial"/>
              </w:rPr>
              <w:t xml:space="preserve">scribe </w:t>
            </w:r>
            <w:r>
              <w:rPr>
                <w:rFonts w:eastAsia="Arial" w:cs="Arial"/>
                <w:spacing w:val="-1"/>
              </w:rPr>
              <w:t>m</w:t>
            </w:r>
            <w:r>
              <w:rPr>
                <w:rFonts w:eastAsia="Arial" w:cs="Arial"/>
              </w:rPr>
              <w:t>etho</w:t>
            </w:r>
            <w:r>
              <w:rPr>
                <w:rFonts w:eastAsia="Arial" w:cs="Arial"/>
                <w:spacing w:val="-1"/>
              </w:rPr>
              <w:t>d</w:t>
            </w:r>
            <w:r>
              <w:rPr>
                <w:rFonts w:eastAsia="Arial" w:cs="Arial"/>
              </w:rPr>
              <w:t>s used for assessi</w:t>
            </w:r>
            <w:r>
              <w:rPr>
                <w:rFonts w:eastAsia="Arial" w:cs="Arial"/>
                <w:spacing w:val="-1"/>
              </w:rPr>
              <w:t>n</w:t>
            </w:r>
            <w:r>
              <w:rPr>
                <w:rFonts w:eastAsia="Arial" w:cs="Arial"/>
              </w:rPr>
              <w:t>g risk of bias of i</w:t>
            </w:r>
            <w:r>
              <w:rPr>
                <w:rFonts w:eastAsia="Arial" w:cs="Arial"/>
                <w:spacing w:val="-1"/>
              </w:rPr>
              <w:t>n</w:t>
            </w:r>
            <w:r>
              <w:rPr>
                <w:rFonts w:eastAsia="Arial" w:cs="Arial"/>
              </w:rPr>
              <w:t>div</w:t>
            </w:r>
            <w:r>
              <w:rPr>
                <w:rFonts w:eastAsia="Arial" w:cs="Arial"/>
                <w:spacing w:val="2"/>
              </w:rPr>
              <w:t>i</w:t>
            </w:r>
            <w:r>
              <w:rPr>
                <w:rFonts w:eastAsia="Arial" w:cs="Arial"/>
              </w:rPr>
              <w:t>dual st</w:t>
            </w:r>
            <w:r>
              <w:rPr>
                <w:rFonts w:eastAsia="Arial" w:cs="Arial"/>
                <w:spacing w:val="-1"/>
              </w:rPr>
              <w:t>u</w:t>
            </w:r>
            <w:r>
              <w:rPr>
                <w:rFonts w:eastAsia="Arial" w:cs="Arial"/>
              </w:rPr>
              <w:t>dies (i</w:t>
            </w:r>
            <w:r>
              <w:rPr>
                <w:rFonts w:eastAsia="Arial" w:cs="Arial"/>
                <w:spacing w:val="-1"/>
              </w:rPr>
              <w:t>n</w:t>
            </w:r>
            <w:r>
              <w:rPr>
                <w:rFonts w:eastAsia="Arial" w:cs="Arial"/>
                <w:spacing w:val="1"/>
              </w:rPr>
              <w:t>c</w:t>
            </w:r>
            <w:r>
              <w:rPr>
                <w:rFonts w:eastAsia="Arial" w:cs="Arial"/>
              </w:rPr>
              <w:t>l</w:t>
            </w:r>
            <w:r>
              <w:rPr>
                <w:rFonts w:eastAsia="Arial" w:cs="Arial"/>
                <w:spacing w:val="-1"/>
              </w:rPr>
              <w:t>u</w:t>
            </w:r>
            <w:r>
              <w:rPr>
                <w:rFonts w:eastAsia="Arial" w:cs="Arial"/>
              </w:rPr>
              <w:t>ding</w:t>
            </w:r>
            <w:r>
              <w:rPr>
                <w:rFonts w:eastAsia="Arial" w:cs="Arial"/>
                <w:spacing w:val="-2"/>
              </w:rPr>
              <w:t xml:space="preserve"> </w:t>
            </w:r>
            <w:r>
              <w:rPr>
                <w:rFonts w:eastAsia="Arial" w:cs="Arial"/>
              </w:rPr>
              <w:t>sp</w:t>
            </w:r>
            <w:r>
              <w:rPr>
                <w:rFonts w:eastAsia="Arial" w:cs="Arial"/>
                <w:spacing w:val="-1"/>
              </w:rPr>
              <w:t>e</w:t>
            </w:r>
            <w:r>
              <w:rPr>
                <w:rFonts w:eastAsia="Arial" w:cs="Arial"/>
                <w:spacing w:val="1"/>
              </w:rPr>
              <w:t>c</w:t>
            </w:r>
            <w:r>
              <w:rPr>
                <w:rFonts w:eastAsia="Arial" w:cs="Arial"/>
              </w:rPr>
              <w:t>ification</w:t>
            </w:r>
            <w:r>
              <w:rPr>
                <w:rFonts w:eastAsia="Arial" w:cs="Arial"/>
                <w:spacing w:val="-1"/>
              </w:rPr>
              <w:t xml:space="preserve"> </w:t>
            </w:r>
            <w:r>
              <w:rPr>
                <w:rFonts w:eastAsia="Arial" w:cs="Arial"/>
              </w:rPr>
              <w:t>of wheth</w:t>
            </w:r>
            <w:r>
              <w:rPr>
                <w:rFonts w:eastAsia="Arial" w:cs="Arial"/>
                <w:spacing w:val="-1"/>
              </w:rPr>
              <w:t>e</w:t>
            </w:r>
            <w:r>
              <w:rPr>
                <w:rFonts w:eastAsia="Arial" w:cs="Arial"/>
              </w:rPr>
              <w:t>r this w</w:t>
            </w:r>
            <w:r>
              <w:rPr>
                <w:rFonts w:eastAsia="Arial" w:cs="Arial"/>
                <w:spacing w:val="-1"/>
              </w:rPr>
              <w:t>a</w:t>
            </w:r>
            <w:r>
              <w:rPr>
                <w:rFonts w:eastAsia="Arial" w:cs="Arial"/>
              </w:rPr>
              <w:t>s done at the s</w:t>
            </w:r>
            <w:r>
              <w:rPr>
                <w:rFonts w:eastAsia="Arial" w:cs="Arial"/>
                <w:spacing w:val="-2"/>
              </w:rPr>
              <w:t>t</w:t>
            </w:r>
            <w:r>
              <w:rPr>
                <w:rFonts w:eastAsia="Arial" w:cs="Arial"/>
              </w:rPr>
              <w:t>udy or outc</w:t>
            </w:r>
            <w:r>
              <w:rPr>
                <w:rFonts w:eastAsia="Arial" w:cs="Arial"/>
                <w:spacing w:val="-1"/>
              </w:rPr>
              <w:t>o</w:t>
            </w:r>
            <w:r>
              <w:rPr>
                <w:rFonts w:eastAsia="Arial" w:cs="Arial"/>
              </w:rPr>
              <w:t>me level), a</w:t>
            </w:r>
            <w:r>
              <w:rPr>
                <w:rFonts w:eastAsia="Arial" w:cs="Arial"/>
                <w:spacing w:val="-1"/>
              </w:rPr>
              <w:t>n</w:t>
            </w:r>
            <w:r>
              <w:rPr>
                <w:rFonts w:eastAsia="Arial" w:cs="Arial"/>
              </w:rPr>
              <w:t>d how th</w:t>
            </w:r>
            <w:r>
              <w:rPr>
                <w:rFonts w:eastAsia="Arial" w:cs="Arial"/>
                <w:spacing w:val="-1"/>
              </w:rPr>
              <w:t>i</w:t>
            </w:r>
            <w:r>
              <w:rPr>
                <w:rFonts w:eastAsia="Arial" w:cs="Arial"/>
              </w:rPr>
              <w:t>s i</w:t>
            </w:r>
            <w:r>
              <w:rPr>
                <w:rFonts w:eastAsia="Arial" w:cs="Arial"/>
                <w:spacing w:val="3"/>
              </w:rPr>
              <w:t>n</w:t>
            </w:r>
            <w:r>
              <w:rPr>
                <w:rFonts w:eastAsia="Arial" w:cs="Arial"/>
              </w:rPr>
              <w:t>formati</w:t>
            </w:r>
            <w:r>
              <w:rPr>
                <w:rFonts w:eastAsia="Arial" w:cs="Arial"/>
                <w:spacing w:val="-1"/>
              </w:rPr>
              <w:t>o</w:t>
            </w:r>
            <w:r>
              <w:rPr>
                <w:rFonts w:eastAsia="Arial" w:cs="Arial"/>
              </w:rPr>
              <w:t>n is to</w:t>
            </w:r>
            <w:r>
              <w:rPr>
                <w:rFonts w:eastAsia="Arial" w:cs="Arial"/>
                <w:spacing w:val="-1"/>
              </w:rPr>
              <w:t xml:space="preserve"> </w:t>
            </w:r>
            <w:r>
              <w:rPr>
                <w:rFonts w:eastAsia="Arial" w:cs="Arial"/>
              </w:rPr>
              <w:t>be us</w:t>
            </w:r>
            <w:r>
              <w:rPr>
                <w:rFonts w:eastAsia="Arial" w:cs="Arial"/>
                <w:spacing w:val="-1"/>
              </w:rPr>
              <w:t>e</w:t>
            </w:r>
            <w:r>
              <w:rPr>
                <w:rFonts w:eastAsia="Arial" w:cs="Arial"/>
              </w:rPr>
              <w:t xml:space="preserve">d in </w:t>
            </w:r>
            <w:r>
              <w:rPr>
                <w:rFonts w:eastAsia="Arial" w:cs="Arial"/>
                <w:spacing w:val="-1"/>
              </w:rPr>
              <w:t>a</w:t>
            </w:r>
            <w:r>
              <w:rPr>
                <w:rFonts w:eastAsia="Arial" w:cs="Arial"/>
              </w:rPr>
              <w:t>ny data synt</w:t>
            </w:r>
            <w:r>
              <w:rPr>
                <w:rFonts w:eastAsia="Arial" w:cs="Arial"/>
                <w:spacing w:val="-1"/>
              </w:rPr>
              <w:t>h</w:t>
            </w:r>
            <w:r>
              <w:rPr>
                <w:rFonts w:eastAsia="Arial" w:cs="Arial"/>
              </w:rPr>
              <w:t>es</w:t>
            </w:r>
            <w:r>
              <w:rPr>
                <w:rFonts w:eastAsia="Arial" w:cs="Arial"/>
                <w:spacing w:val="-1"/>
              </w:rPr>
              <w:t>i</w:t>
            </w:r>
            <w:r>
              <w:rPr>
                <w:rFonts w:eastAsia="Arial" w:cs="Arial"/>
              </w:rPr>
              <w:t>s.</w:t>
            </w:r>
          </w:p>
        </w:tc>
        <w:tc>
          <w:tcPr>
            <w:tcW w:w="3146" w:type="dxa"/>
            <w:tcBorders>
              <w:top w:val="single" w:sz="5" w:space="0" w:color="000000"/>
              <w:left w:val="single" w:sz="5" w:space="0" w:color="000000"/>
              <w:bottom w:val="single" w:sz="5" w:space="0" w:color="000000"/>
              <w:right w:val="single" w:sz="5" w:space="0" w:color="000000"/>
            </w:tcBorders>
          </w:tcPr>
          <w:p w:rsidR="007D120F" w:rsidRDefault="003C5519" w:rsidP="00D8734B">
            <w:pPr>
              <w:pStyle w:val="Tabletext"/>
              <w:spacing w:beforeLines="30" w:before="72"/>
              <w:ind w:left="85" w:right="169"/>
            </w:pPr>
            <w:r>
              <w:t xml:space="preserve">See </w:t>
            </w:r>
            <w:r w:rsidRPr="00DF2EDC">
              <w:rPr>
                <w:i/>
              </w:rPr>
              <w:t>Quality assessment</w:t>
            </w:r>
            <w:r>
              <w:t xml:space="preserve"> subsection in the Methods</w:t>
            </w:r>
          </w:p>
        </w:tc>
      </w:tr>
      <w:tr w:rsidR="007D120F" w:rsidTr="00B40AFE">
        <w:trPr>
          <w:trHeight w:hRule="exact" w:val="510"/>
          <w:jc w:val="center"/>
        </w:trPr>
        <w:tc>
          <w:tcPr>
            <w:tcW w:w="2700" w:type="dxa"/>
            <w:tcBorders>
              <w:top w:val="single" w:sz="5" w:space="0" w:color="000000"/>
              <w:left w:val="single" w:sz="5" w:space="0" w:color="000000"/>
              <w:bottom w:val="single" w:sz="5" w:space="0" w:color="000000"/>
              <w:right w:val="single" w:sz="5" w:space="0" w:color="000000"/>
            </w:tcBorders>
          </w:tcPr>
          <w:p w:rsidR="007D120F" w:rsidRDefault="007D120F" w:rsidP="00793BFA">
            <w:pPr>
              <w:pStyle w:val="Tabletext"/>
              <w:spacing w:beforeLines="30" w:before="72"/>
              <w:ind w:left="85"/>
              <w:rPr>
                <w:rFonts w:eastAsia="Arial" w:cs="Arial"/>
              </w:rPr>
            </w:pPr>
            <w:r>
              <w:rPr>
                <w:rFonts w:eastAsia="Arial" w:cs="Arial"/>
              </w:rPr>
              <w:t>Summary m</w:t>
            </w:r>
            <w:r>
              <w:rPr>
                <w:rFonts w:eastAsia="Arial" w:cs="Arial"/>
                <w:spacing w:val="-1"/>
              </w:rPr>
              <w:t>e</w:t>
            </w:r>
            <w:r>
              <w:rPr>
                <w:rFonts w:eastAsia="Arial" w:cs="Arial"/>
              </w:rPr>
              <w:t>as</w:t>
            </w:r>
            <w:r>
              <w:rPr>
                <w:rFonts w:eastAsia="Arial" w:cs="Arial"/>
                <w:spacing w:val="-1"/>
              </w:rPr>
              <w:t>u</w:t>
            </w:r>
            <w:r>
              <w:rPr>
                <w:rFonts w:eastAsia="Arial" w:cs="Arial"/>
              </w:rPr>
              <w:t>r</w:t>
            </w:r>
            <w:r>
              <w:rPr>
                <w:rFonts w:eastAsia="Arial" w:cs="Arial"/>
                <w:spacing w:val="-1"/>
              </w:rPr>
              <w:t>e</w:t>
            </w:r>
            <w:r>
              <w:rPr>
                <w:rFonts w:eastAsia="Arial" w:cs="Arial"/>
              </w:rPr>
              <w:t>s</w:t>
            </w:r>
          </w:p>
        </w:tc>
        <w:tc>
          <w:tcPr>
            <w:tcW w:w="425"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Pr>
                <w:rFonts w:eastAsia="Arial" w:cs="Arial"/>
              </w:rPr>
            </w:pPr>
            <w:r>
              <w:rPr>
                <w:rFonts w:eastAsia="Arial" w:cs="Arial"/>
              </w:rPr>
              <w:t>13</w:t>
            </w:r>
          </w:p>
        </w:tc>
        <w:tc>
          <w:tcPr>
            <w:tcW w:w="8930" w:type="dxa"/>
            <w:tcBorders>
              <w:top w:val="single" w:sz="5" w:space="0" w:color="000000"/>
              <w:left w:val="single" w:sz="5" w:space="0" w:color="000000"/>
              <w:bottom w:val="single" w:sz="5" w:space="0" w:color="000000"/>
              <w:right w:val="single" w:sz="5" w:space="0" w:color="000000"/>
            </w:tcBorders>
          </w:tcPr>
          <w:p w:rsidR="007D120F" w:rsidRDefault="007D120F" w:rsidP="00D8734B">
            <w:pPr>
              <w:pStyle w:val="Tabletext"/>
              <w:spacing w:beforeLines="30" w:before="72"/>
              <w:ind w:left="85" w:right="154"/>
              <w:rPr>
                <w:rFonts w:eastAsia="Arial" w:cs="Arial"/>
              </w:rPr>
            </w:pPr>
            <w:r>
              <w:rPr>
                <w:rFonts w:eastAsia="Arial" w:cs="Arial"/>
              </w:rPr>
              <w:t>State the pri</w:t>
            </w:r>
            <w:r>
              <w:rPr>
                <w:rFonts w:eastAsia="Arial" w:cs="Arial"/>
                <w:spacing w:val="-1"/>
              </w:rPr>
              <w:t>n</w:t>
            </w:r>
            <w:r>
              <w:rPr>
                <w:rFonts w:eastAsia="Arial" w:cs="Arial"/>
              </w:rPr>
              <w:t>cipal</w:t>
            </w:r>
            <w:r>
              <w:rPr>
                <w:rFonts w:eastAsia="Arial" w:cs="Arial"/>
                <w:spacing w:val="-2"/>
              </w:rPr>
              <w:t xml:space="preserve"> </w:t>
            </w:r>
            <w:r>
              <w:rPr>
                <w:rFonts w:eastAsia="Arial" w:cs="Arial"/>
              </w:rPr>
              <w:t>sum</w:t>
            </w:r>
            <w:r>
              <w:rPr>
                <w:rFonts w:eastAsia="Arial" w:cs="Arial"/>
                <w:spacing w:val="-1"/>
              </w:rPr>
              <w:t>m</w:t>
            </w:r>
            <w:r>
              <w:rPr>
                <w:rFonts w:eastAsia="Arial" w:cs="Arial"/>
              </w:rPr>
              <w:t xml:space="preserve">ary </w:t>
            </w:r>
            <w:r>
              <w:rPr>
                <w:rFonts w:eastAsia="Arial" w:cs="Arial"/>
                <w:spacing w:val="2"/>
              </w:rPr>
              <w:t>m</w:t>
            </w:r>
            <w:r>
              <w:rPr>
                <w:rFonts w:eastAsia="Arial" w:cs="Arial"/>
              </w:rPr>
              <w:t>eas</w:t>
            </w:r>
            <w:r>
              <w:rPr>
                <w:rFonts w:eastAsia="Arial" w:cs="Arial"/>
                <w:spacing w:val="-1"/>
              </w:rPr>
              <w:t>u</w:t>
            </w:r>
            <w:r>
              <w:rPr>
                <w:rFonts w:eastAsia="Arial" w:cs="Arial"/>
              </w:rPr>
              <w:t>r</w:t>
            </w:r>
            <w:r>
              <w:rPr>
                <w:rFonts w:eastAsia="Arial" w:cs="Arial"/>
                <w:spacing w:val="-1"/>
              </w:rPr>
              <w:t>e</w:t>
            </w:r>
            <w:r>
              <w:rPr>
                <w:rFonts w:eastAsia="Arial" w:cs="Arial"/>
              </w:rPr>
              <w:t>s (e.g., risk rati</w:t>
            </w:r>
            <w:r>
              <w:rPr>
                <w:rFonts w:eastAsia="Arial" w:cs="Arial"/>
                <w:spacing w:val="-1"/>
              </w:rPr>
              <w:t>o</w:t>
            </w:r>
            <w:r>
              <w:rPr>
                <w:rFonts w:eastAsia="Arial" w:cs="Arial"/>
              </w:rPr>
              <w:t>,</w:t>
            </w:r>
            <w:r>
              <w:rPr>
                <w:rFonts w:eastAsia="Arial" w:cs="Arial"/>
                <w:spacing w:val="-1"/>
              </w:rPr>
              <w:t xml:space="preserve"> </w:t>
            </w:r>
            <w:r>
              <w:rPr>
                <w:rFonts w:eastAsia="Arial" w:cs="Arial"/>
              </w:rPr>
              <w:t>difference in</w:t>
            </w:r>
            <w:r>
              <w:rPr>
                <w:rFonts w:eastAsia="Arial" w:cs="Arial"/>
                <w:spacing w:val="-1"/>
              </w:rPr>
              <w:t xml:space="preserve"> </w:t>
            </w:r>
            <w:r>
              <w:rPr>
                <w:rFonts w:eastAsia="Arial" w:cs="Arial"/>
              </w:rPr>
              <w:t>means).</w:t>
            </w:r>
          </w:p>
        </w:tc>
        <w:tc>
          <w:tcPr>
            <w:tcW w:w="3146" w:type="dxa"/>
            <w:tcBorders>
              <w:top w:val="single" w:sz="5" w:space="0" w:color="000000"/>
              <w:left w:val="single" w:sz="5" w:space="0" w:color="000000"/>
              <w:bottom w:val="single" w:sz="5" w:space="0" w:color="000000"/>
              <w:right w:val="single" w:sz="5" w:space="0" w:color="000000"/>
            </w:tcBorders>
          </w:tcPr>
          <w:p w:rsidR="007D120F" w:rsidRDefault="00E540FF" w:rsidP="00D8734B">
            <w:pPr>
              <w:pStyle w:val="Tabletext"/>
              <w:spacing w:beforeLines="30" w:before="72"/>
              <w:ind w:left="85" w:right="169"/>
            </w:pPr>
            <w:r>
              <w:t xml:space="preserve">See </w:t>
            </w:r>
            <w:r w:rsidRPr="00DF2EDC">
              <w:rPr>
                <w:i/>
              </w:rPr>
              <w:t>Statistical analysis</w:t>
            </w:r>
            <w:r>
              <w:t xml:space="preserve"> subsection in the Methods</w:t>
            </w:r>
          </w:p>
        </w:tc>
      </w:tr>
      <w:tr w:rsidR="004650C8" w:rsidTr="00B40AFE">
        <w:trPr>
          <w:trHeight w:hRule="exact" w:val="510"/>
          <w:jc w:val="center"/>
        </w:trPr>
        <w:tc>
          <w:tcPr>
            <w:tcW w:w="2700" w:type="dxa"/>
            <w:tcBorders>
              <w:top w:val="single" w:sz="5" w:space="0" w:color="000000"/>
              <w:left w:val="single" w:sz="5" w:space="0" w:color="000000"/>
              <w:bottom w:val="single" w:sz="5" w:space="0" w:color="000000"/>
              <w:right w:val="single" w:sz="5" w:space="0" w:color="000000"/>
            </w:tcBorders>
          </w:tcPr>
          <w:p w:rsidR="004650C8" w:rsidRDefault="004650C8" w:rsidP="00793BFA">
            <w:pPr>
              <w:pStyle w:val="Tabletext"/>
              <w:spacing w:beforeLines="30" w:before="72"/>
              <w:ind w:left="85"/>
              <w:rPr>
                <w:rFonts w:eastAsia="Arial" w:cs="Arial"/>
              </w:rPr>
            </w:pPr>
            <w:r>
              <w:rPr>
                <w:rFonts w:eastAsia="Arial" w:cs="Arial"/>
              </w:rPr>
              <w:t>Synthesis of resul</w:t>
            </w:r>
            <w:r>
              <w:rPr>
                <w:rFonts w:eastAsia="Arial" w:cs="Arial"/>
                <w:spacing w:val="-2"/>
              </w:rPr>
              <w:t>t</w:t>
            </w:r>
            <w:r>
              <w:rPr>
                <w:rFonts w:eastAsia="Arial" w:cs="Arial"/>
              </w:rPr>
              <w:t>s</w:t>
            </w:r>
          </w:p>
        </w:tc>
        <w:tc>
          <w:tcPr>
            <w:tcW w:w="425" w:type="dxa"/>
            <w:tcBorders>
              <w:top w:val="single" w:sz="5" w:space="0" w:color="000000"/>
              <w:left w:val="single" w:sz="5" w:space="0" w:color="000000"/>
              <w:bottom w:val="single" w:sz="5" w:space="0" w:color="000000"/>
              <w:right w:val="single" w:sz="5" w:space="0" w:color="000000"/>
            </w:tcBorders>
          </w:tcPr>
          <w:p w:rsidR="004650C8" w:rsidRDefault="004650C8" w:rsidP="00D8734B">
            <w:pPr>
              <w:pStyle w:val="Tabletext"/>
              <w:spacing w:beforeLines="30" w:before="72"/>
              <w:ind w:left="85"/>
              <w:rPr>
                <w:rFonts w:eastAsia="Arial" w:cs="Arial"/>
              </w:rPr>
            </w:pPr>
            <w:r>
              <w:rPr>
                <w:rFonts w:eastAsia="Arial" w:cs="Arial"/>
              </w:rPr>
              <w:t>14</w:t>
            </w:r>
          </w:p>
        </w:tc>
        <w:tc>
          <w:tcPr>
            <w:tcW w:w="8930" w:type="dxa"/>
            <w:tcBorders>
              <w:top w:val="single" w:sz="5" w:space="0" w:color="000000"/>
              <w:left w:val="single" w:sz="5" w:space="0" w:color="000000"/>
              <w:bottom w:val="single" w:sz="5" w:space="0" w:color="000000"/>
              <w:right w:val="single" w:sz="5" w:space="0" w:color="000000"/>
            </w:tcBorders>
          </w:tcPr>
          <w:p w:rsidR="004650C8" w:rsidRDefault="004650C8" w:rsidP="00D8734B">
            <w:pPr>
              <w:pStyle w:val="Tabletext"/>
              <w:spacing w:beforeLines="30" w:before="72" w:after="0"/>
              <w:ind w:left="85" w:right="153"/>
              <w:rPr>
                <w:rFonts w:eastAsia="Arial" w:cs="Arial"/>
              </w:rPr>
            </w:pPr>
            <w:r>
              <w:rPr>
                <w:rFonts w:eastAsia="Arial" w:cs="Arial"/>
                <w:position w:val="-1"/>
              </w:rPr>
              <w:t>D</w:t>
            </w:r>
            <w:r>
              <w:rPr>
                <w:rFonts w:eastAsia="Arial" w:cs="Arial"/>
                <w:spacing w:val="-1"/>
                <w:position w:val="-1"/>
              </w:rPr>
              <w:t>e</w:t>
            </w:r>
            <w:r>
              <w:rPr>
                <w:rFonts w:eastAsia="Arial" w:cs="Arial"/>
                <w:position w:val="-1"/>
              </w:rPr>
              <w:t>scribe the</w:t>
            </w:r>
            <w:r>
              <w:rPr>
                <w:rFonts w:eastAsia="Arial" w:cs="Arial"/>
                <w:spacing w:val="-2"/>
                <w:position w:val="-1"/>
              </w:rPr>
              <w:t xml:space="preserve"> </w:t>
            </w:r>
            <w:r>
              <w:rPr>
                <w:rFonts w:eastAsia="Arial" w:cs="Arial"/>
                <w:position w:val="-1"/>
              </w:rPr>
              <w:t>metho</w:t>
            </w:r>
            <w:r>
              <w:rPr>
                <w:rFonts w:eastAsia="Arial" w:cs="Arial"/>
                <w:spacing w:val="-1"/>
                <w:position w:val="-1"/>
              </w:rPr>
              <w:t>d</w:t>
            </w:r>
            <w:r>
              <w:rPr>
                <w:rFonts w:eastAsia="Arial" w:cs="Arial"/>
                <w:position w:val="-1"/>
              </w:rPr>
              <w:t>s of handli</w:t>
            </w:r>
            <w:r>
              <w:rPr>
                <w:rFonts w:eastAsia="Arial" w:cs="Arial"/>
                <w:spacing w:val="-1"/>
                <w:position w:val="-1"/>
              </w:rPr>
              <w:t>n</w:t>
            </w:r>
            <w:r>
              <w:rPr>
                <w:rFonts w:eastAsia="Arial" w:cs="Arial"/>
                <w:position w:val="-1"/>
              </w:rPr>
              <w:t>g data</w:t>
            </w:r>
            <w:r>
              <w:rPr>
                <w:rFonts w:eastAsia="Arial" w:cs="Arial"/>
                <w:spacing w:val="-2"/>
                <w:position w:val="-1"/>
              </w:rPr>
              <w:t xml:space="preserve"> </w:t>
            </w:r>
            <w:r>
              <w:rPr>
                <w:rFonts w:eastAsia="Arial" w:cs="Arial"/>
                <w:position w:val="-1"/>
              </w:rPr>
              <w:t>and combin</w:t>
            </w:r>
            <w:r>
              <w:rPr>
                <w:rFonts w:eastAsia="Arial" w:cs="Arial"/>
                <w:spacing w:val="-1"/>
                <w:position w:val="-1"/>
              </w:rPr>
              <w:t>in</w:t>
            </w:r>
            <w:r>
              <w:rPr>
                <w:rFonts w:eastAsia="Arial" w:cs="Arial"/>
                <w:position w:val="-1"/>
              </w:rPr>
              <w:t>g results of</w:t>
            </w:r>
            <w:r>
              <w:rPr>
                <w:rFonts w:eastAsia="Arial" w:cs="Arial"/>
                <w:spacing w:val="-1"/>
                <w:position w:val="-1"/>
              </w:rPr>
              <w:t xml:space="preserve"> </w:t>
            </w:r>
            <w:r>
              <w:rPr>
                <w:rFonts w:eastAsia="Arial" w:cs="Arial"/>
                <w:position w:val="-1"/>
              </w:rPr>
              <w:t>s</w:t>
            </w:r>
            <w:r>
              <w:rPr>
                <w:rFonts w:eastAsia="Arial" w:cs="Arial"/>
                <w:spacing w:val="-2"/>
                <w:position w:val="-1"/>
              </w:rPr>
              <w:t>t</w:t>
            </w:r>
            <w:r>
              <w:rPr>
                <w:rFonts w:eastAsia="Arial" w:cs="Arial"/>
                <w:position w:val="-1"/>
              </w:rPr>
              <w:t>udi</w:t>
            </w:r>
            <w:r>
              <w:rPr>
                <w:rFonts w:eastAsia="Arial" w:cs="Arial"/>
                <w:spacing w:val="-1"/>
                <w:position w:val="-1"/>
              </w:rPr>
              <w:t>e</w:t>
            </w:r>
            <w:r>
              <w:rPr>
                <w:rFonts w:eastAsia="Arial" w:cs="Arial"/>
                <w:spacing w:val="1"/>
                <w:position w:val="-1"/>
              </w:rPr>
              <w:t>s</w:t>
            </w:r>
            <w:r>
              <w:rPr>
                <w:rFonts w:eastAsia="Arial" w:cs="Arial"/>
                <w:position w:val="-1"/>
              </w:rPr>
              <w:t>, if don</w:t>
            </w:r>
            <w:r>
              <w:rPr>
                <w:rFonts w:eastAsia="Arial" w:cs="Arial"/>
                <w:spacing w:val="-1"/>
                <w:position w:val="-1"/>
              </w:rPr>
              <w:t>e</w:t>
            </w:r>
            <w:r>
              <w:rPr>
                <w:rFonts w:eastAsia="Arial" w:cs="Arial"/>
                <w:position w:val="-1"/>
              </w:rPr>
              <w:t>, includi</w:t>
            </w:r>
            <w:r>
              <w:rPr>
                <w:rFonts w:eastAsia="Arial" w:cs="Arial"/>
                <w:spacing w:val="-1"/>
                <w:position w:val="-1"/>
              </w:rPr>
              <w:t>n</w:t>
            </w:r>
            <w:r>
              <w:rPr>
                <w:rFonts w:eastAsia="Arial" w:cs="Arial"/>
                <w:position w:val="-1"/>
              </w:rPr>
              <w:t>g measur</w:t>
            </w:r>
            <w:r>
              <w:rPr>
                <w:rFonts w:eastAsia="Arial" w:cs="Arial"/>
                <w:spacing w:val="-1"/>
                <w:position w:val="-1"/>
              </w:rPr>
              <w:t>e</w:t>
            </w:r>
            <w:r>
              <w:rPr>
                <w:rFonts w:eastAsia="Arial" w:cs="Arial"/>
                <w:position w:val="-1"/>
              </w:rPr>
              <w:t>s of c</w:t>
            </w:r>
            <w:r>
              <w:rPr>
                <w:rFonts w:eastAsia="Arial" w:cs="Arial"/>
                <w:spacing w:val="-1"/>
                <w:position w:val="-1"/>
              </w:rPr>
              <w:t>o</w:t>
            </w:r>
            <w:r>
              <w:rPr>
                <w:rFonts w:eastAsia="Arial" w:cs="Arial"/>
                <w:position w:val="-1"/>
              </w:rPr>
              <w:t>ns</w:t>
            </w:r>
            <w:r>
              <w:rPr>
                <w:rFonts w:eastAsia="Arial" w:cs="Arial"/>
                <w:spacing w:val="-1"/>
                <w:position w:val="-1"/>
              </w:rPr>
              <w:t>i</w:t>
            </w:r>
            <w:r>
              <w:rPr>
                <w:rFonts w:eastAsia="Arial" w:cs="Arial"/>
                <w:spacing w:val="1"/>
                <w:position w:val="-1"/>
              </w:rPr>
              <w:t>s</w:t>
            </w:r>
            <w:r>
              <w:rPr>
                <w:rFonts w:eastAsia="Arial" w:cs="Arial"/>
                <w:position w:val="-1"/>
              </w:rPr>
              <w:t>te</w:t>
            </w:r>
            <w:r>
              <w:rPr>
                <w:rFonts w:eastAsia="Arial" w:cs="Arial"/>
                <w:spacing w:val="-1"/>
                <w:position w:val="-1"/>
              </w:rPr>
              <w:t>n</w:t>
            </w:r>
            <w:r>
              <w:rPr>
                <w:rFonts w:eastAsia="Arial" w:cs="Arial"/>
                <w:spacing w:val="1"/>
                <w:position w:val="-1"/>
              </w:rPr>
              <w:t>c</w:t>
            </w:r>
            <w:r>
              <w:rPr>
                <w:rFonts w:eastAsia="Arial" w:cs="Arial"/>
                <w:position w:val="-1"/>
              </w:rPr>
              <w:t>y</w:t>
            </w:r>
          </w:p>
          <w:p w:rsidR="004650C8" w:rsidRDefault="004650C8" w:rsidP="004A6FD1">
            <w:pPr>
              <w:pStyle w:val="Tabletext"/>
              <w:spacing w:before="0"/>
              <w:ind w:left="85" w:right="153"/>
              <w:rPr>
                <w:rFonts w:eastAsia="Arial" w:cs="Arial"/>
                <w:sz w:val="13"/>
                <w:szCs w:val="13"/>
              </w:rPr>
            </w:pPr>
            <w:r>
              <w:rPr>
                <w:rFonts w:eastAsia="Arial" w:cs="Arial"/>
                <w:position w:val="-7"/>
              </w:rPr>
              <w:t>(e.g., I</w:t>
            </w:r>
            <w:r w:rsidRPr="0097000F">
              <w:rPr>
                <w:rFonts w:eastAsia="Arial" w:cs="Arial"/>
                <w:position w:val="-7"/>
                <w:vertAlign w:val="superscript"/>
              </w:rPr>
              <w:t>2</w:t>
            </w:r>
            <w:r>
              <w:rPr>
                <w:rFonts w:eastAsia="Arial" w:cs="Arial"/>
                <w:spacing w:val="6"/>
                <w:position w:val="3"/>
                <w:sz w:val="13"/>
                <w:szCs w:val="13"/>
              </w:rPr>
              <w:t xml:space="preserve"> </w:t>
            </w:r>
            <w:r>
              <w:rPr>
                <w:rFonts w:eastAsia="Arial" w:cs="Arial"/>
                <w:position w:val="-7"/>
              </w:rPr>
              <w:t>for each meta</w:t>
            </w:r>
            <w:r>
              <w:rPr>
                <w:rFonts w:ascii="Calibri" w:eastAsia="Calibri" w:hAnsi="Calibri" w:cs="Calibri"/>
                <w:spacing w:val="-1"/>
                <w:position w:val="-7"/>
              </w:rPr>
              <w:t>‐</w:t>
            </w:r>
            <w:r>
              <w:rPr>
                <w:rFonts w:eastAsia="Arial" w:cs="Arial"/>
                <w:position w:val="-7"/>
              </w:rPr>
              <w:t>an</w:t>
            </w:r>
            <w:r>
              <w:rPr>
                <w:rFonts w:eastAsia="Arial" w:cs="Arial"/>
                <w:spacing w:val="-1"/>
                <w:position w:val="-7"/>
              </w:rPr>
              <w:t>a</w:t>
            </w:r>
            <w:r>
              <w:rPr>
                <w:rFonts w:eastAsia="Arial" w:cs="Arial"/>
                <w:position w:val="-7"/>
              </w:rPr>
              <w:t>l</w:t>
            </w:r>
            <w:r>
              <w:rPr>
                <w:rFonts w:eastAsia="Arial" w:cs="Arial"/>
                <w:spacing w:val="-1"/>
                <w:position w:val="-7"/>
              </w:rPr>
              <w:t>y</w:t>
            </w:r>
            <w:r>
              <w:rPr>
                <w:rFonts w:eastAsia="Arial" w:cs="Arial"/>
                <w:position w:val="-7"/>
              </w:rPr>
              <w:t>sis)</w:t>
            </w:r>
          </w:p>
        </w:tc>
        <w:tc>
          <w:tcPr>
            <w:tcW w:w="3146" w:type="dxa"/>
            <w:tcBorders>
              <w:top w:val="single" w:sz="5" w:space="0" w:color="000000"/>
              <w:left w:val="single" w:sz="5" w:space="0" w:color="000000"/>
              <w:bottom w:val="single" w:sz="5" w:space="0" w:color="000000"/>
              <w:right w:val="single" w:sz="5" w:space="0" w:color="000000"/>
            </w:tcBorders>
          </w:tcPr>
          <w:p w:rsidR="004650C8" w:rsidRDefault="004650C8" w:rsidP="00793BFA">
            <w:pPr>
              <w:pStyle w:val="Tabletext"/>
              <w:spacing w:beforeLines="30" w:before="72"/>
              <w:ind w:left="85" w:right="169"/>
            </w:pPr>
            <w:r>
              <w:t xml:space="preserve">See </w:t>
            </w:r>
            <w:r w:rsidRPr="00DF2EDC">
              <w:rPr>
                <w:i/>
              </w:rPr>
              <w:t>Statistical analysis</w:t>
            </w:r>
            <w:r>
              <w:t xml:space="preserve"> subsection in the Methods</w:t>
            </w:r>
          </w:p>
        </w:tc>
      </w:tr>
    </w:tbl>
    <w:p w:rsidR="007D120F" w:rsidRDefault="007D120F" w:rsidP="00A50AD6">
      <w:pPr>
        <w:sectPr w:rsidR="007D120F" w:rsidSect="00C13363">
          <w:pgSz w:w="16838" w:h="11906" w:orient="landscape"/>
          <w:pgMar w:top="720" w:right="720" w:bottom="720" w:left="720" w:header="708" w:footer="708" w:gutter="0"/>
          <w:cols w:space="708"/>
          <w:docGrid w:linePitch="360"/>
        </w:sectPr>
      </w:pPr>
    </w:p>
    <w:p w:rsidR="008C0A32" w:rsidRDefault="005C5F63" w:rsidP="008C0A32">
      <w:pPr>
        <w:pStyle w:val="Heading2"/>
      </w:pPr>
      <w:bookmarkStart w:id="7" w:name="_Toc504925530"/>
      <w:r>
        <w:lastRenderedPageBreak/>
        <w:t>Complete list of</w:t>
      </w:r>
      <w:r w:rsidR="00CD4E41">
        <w:t xml:space="preserve"> </w:t>
      </w:r>
      <w:r>
        <w:t>excluded studies –</w:t>
      </w:r>
      <w:r w:rsidR="008C0A32">
        <w:t xml:space="preserve"> with reasons</w:t>
      </w:r>
      <w:bookmarkEnd w:id="7"/>
    </w:p>
    <w:p w:rsidR="00483B29" w:rsidRDefault="00483B29" w:rsidP="00886C48">
      <w:pPr>
        <w:pStyle w:val="Heading3"/>
      </w:pPr>
      <w:r>
        <w:t>Did not examine link between subthreshold depression and major depression (N=</w:t>
      </w:r>
      <w:r w:rsidR="00C477FB">
        <w:t>47</w:t>
      </w:r>
      <w:r>
        <w:t>)</w:t>
      </w:r>
    </w:p>
    <w:p w:rsidR="002B2277" w:rsidRDefault="002B2277" w:rsidP="002B2277">
      <w:pPr>
        <w:ind w:left="567" w:hanging="425"/>
        <w:rPr>
          <w:lang w:bidi="ar-SA"/>
        </w:rPr>
      </w:pPr>
      <w:r>
        <w:rPr>
          <w:lang w:bidi="ar-SA"/>
        </w:rPr>
        <w:t>1.</w:t>
      </w:r>
      <w:r>
        <w:rPr>
          <w:lang w:bidi="ar-SA"/>
        </w:rPr>
        <w:tab/>
        <w:t>Adams KB, Moon H. Subthreshold depression: Characteristics and risk factors among vulnerable elders. Aging Ment Health 2009;13(5):682-92.</w:t>
      </w:r>
    </w:p>
    <w:p w:rsidR="002B2277" w:rsidRDefault="002B2277" w:rsidP="002B2277">
      <w:pPr>
        <w:ind w:left="567" w:hanging="425"/>
        <w:rPr>
          <w:lang w:bidi="ar-SA"/>
        </w:rPr>
      </w:pPr>
      <w:r>
        <w:rPr>
          <w:lang w:bidi="ar-SA"/>
        </w:rPr>
        <w:t>2.</w:t>
      </w:r>
      <w:r>
        <w:rPr>
          <w:lang w:bidi="ar-SA"/>
        </w:rPr>
        <w:tab/>
        <w:t>Ahern MM, Hendryx M. Community participation and the emergence of late-life depressive symptoms: differences between women and men. J Womens Health 2008;17(9):1463-70.</w:t>
      </w:r>
    </w:p>
    <w:p w:rsidR="002B2277" w:rsidRDefault="002B2277" w:rsidP="002B2277">
      <w:pPr>
        <w:ind w:left="567" w:hanging="425"/>
        <w:rPr>
          <w:lang w:bidi="ar-SA"/>
        </w:rPr>
      </w:pPr>
      <w:r>
        <w:rPr>
          <w:lang w:bidi="ar-SA"/>
        </w:rPr>
        <w:t>3.</w:t>
      </w:r>
      <w:r>
        <w:rPr>
          <w:lang w:bidi="ar-SA"/>
        </w:rPr>
        <w:tab/>
        <w:t>Alexandrino-Silva C, Alves TF, Tofoli LF, Wang YP, Andrade LH. Psychiatry: life events and social support in late life depression. Clinics (Sao Paulo) 2011;66(2):233-8.</w:t>
      </w:r>
    </w:p>
    <w:p w:rsidR="002B2277" w:rsidRDefault="002B2277" w:rsidP="002B2277">
      <w:pPr>
        <w:ind w:left="567" w:hanging="425"/>
        <w:rPr>
          <w:lang w:bidi="ar-SA"/>
        </w:rPr>
      </w:pPr>
      <w:r>
        <w:rPr>
          <w:lang w:bidi="ar-SA"/>
        </w:rPr>
        <w:t>4.</w:t>
      </w:r>
      <w:r>
        <w:rPr>
          <w:lang w:bidi="ar-SA"/>
        </w:rPr>
        <w:tab/>
        <w:t>Angst J, Merikangas KR, Preisig M. Subthreshold syndromes of depression and anxiety in the community. J Clin Psychiatry 1997;58 Suppl 8:6-10.</w:t>
      </w:r>
    </w:p>
    <w:p w:rsidR="002B2277" w:rsidRDefault="002B2277" w:rsidP="002B2277">
      <w:pPr>
        <w:ind w:left="567" w:hanging="425"/>
        <w:rPr>
          <w:lang w:bidi="ar-SA"/>
        </w:rPr>
      </w:pPr>
      <w:r>
        <w:rPr>
          <w:lang w:bidi="ar-SA"/>
        </w:rPr>
        <w:t>5.</w:t>
      </w:r>
      <w:r>
        <w:rPr>
          <w:lang w:bidi="ar-SA"/>
        </w:rPr>
        <w:tab/>
        <w:t>Beekman AT, Penninx BW, Deeg DJ, Ormel J, Braam AW, van Tilburg W. Depression and physical health in later life: results from the Longitudinal Aging Study Amsterdam (LASA). J Affect Disord 1997;46(3):219-31.</w:t>
      </w:r>
    </w:p>
    <w:p w:rsidR="002B2277" w:rsidRDefault="002B2277" w:rsidP="002B2277">
      <w:pPr>
        <w:ind w:left="567" w:hanging="425"/>
        <w:rPr>
          <w:lang w:bidi="ar-SA"/>
        </w:rPr>
      </w:pPr>
      <w:r>
        <w:rPr>
          <w:lang w:bidi="ar-SA"/>
        </w:rPr>
        <w:t>6.</w:t>
      </w:r>
      <w:r>
        <w:rPr>
          <w:lang w:bidi="ar-SA"/>
        </w:rPr>
        <w:tab/>
        <w:t>Canals J, Domenech-Llaberia E, Fernandez-Ballart J, Marti-Henneberg C. Predictors of depression at eighteen. A 7-year follow-up study in a Spanish nonclinical population. Eur Child Adolesc Psychiatry 2002;11(5):226-33.</w:t>
      </w:r>
    </w:p>
    <w:p w:rsidR="002B2277" w:rsidRDefault="002B2277" w:rsidP="002B2277">
      <w:pPr>
        <w:ind w:left="567" w:hanging="425"/>
        <w:rPr>
          <w:lang w:bidi="ar-SA"/>
        </w:rPr>
      </w:pPr>
      <w:r>
        <w:rPr>
          <w:lang w:bidi="ar-SA"/>
        </w:rPr>
        <w:t>7.</w:t>
      </w:r>
      <w:r>
        <w:rPr>
          <w:lang w:bidi="ar-SA"/>
        </w:rPr>
        <w:tab/>
        <w:t>Chopra MP, Zubritsky C, Knott K, Have TT, Hadley T, Coyne JC, et al. Importance of subsyndromal symptoms of depression in elderly patients. Am J Geriatr Psychiatry 2005;13(7):597-606.</w:t>
      </w:r>
    </w:p>
    <w:p w:rsidR="002B2277" w:rsidRDefault="002B2277" w:rsidP="002B2277">
      <w:pPr>
        <w:ind w:left="567" w:hanging="425"/>
        <w:rPr>
          <w:lang w:bidi="ar-SA"/>
        </w:rPr>
      </w:pPr>
      <w:r>
        <w:rPr>
          <w:lang w:bidi="ar-SA"/>
        </w:rPr>
        <w:t>8.</w:t>
      </w:r>
      <w:r>
        <w:rPr>
          <w:lang w:bidi="ar-SA"/>
        </w:rPr>
        <w:tab/>
        <w:t>Cui X, Lyness JM, Tang W, Tu X, Conwell Y. Outcomes and predictors of late-life depression trajectories in older primary care patients. Am J Geriatr Psychiatry 2008;16(5):406-15.</w:t>
      </w:r>
    </w:p>
    <w:p w:rsidR="002B2277" w:rsidRDefault="002B2277" w:rsidP="002B2277">
      <w:pPr>
        <w:ind w:left="567" w:hanging="425"/>
        <w:rPr>
          <w:lang w:bidi="ar-SA"/>
        </w:rPr>
      </w:pPr>
      <w:r>
        <w:rPr>
          <w:lang w:bidi="ar-SA"/>
        </w:rPr>
        <w:t>9.</w:t>
      </w:r>
      <w:r>
        <w:rPr>
          <w:lang w:bidi="ar-SA"/>
        </w:rPr>
        <w:tab/>
        <w:t>Fava GA, Grandi S, Canestrari R, Molnar G. Prodromal symptoms in primary major depressive disorder. J Affect Disord 1990;19(2):149-52.</w:t>
      </w:r>
    </w:p>
    <w:p w:rsidR="002B2277" w:rsidRDefault="002B2277" w:rsidP="002B2277">
      <w:pPr>
        <w:ind w:left="567" w:hanging="425"/>
        <w:rPr>
          <w:lang w:bidi="ar-SA"/>
        </w:rPr>
      </w:pPr>
      <w:r>
        <w:rPr>
          <w:lang w:bidi="ar-SA"/>
        </w:rPr>
        <w:t>10.</w:t>
      </w:r>
      <w:r>
        <w:rPr>
          <w:lang w:bidi="ar-SA"/>
        </w:rPr>
        <w:tab/>
        <w:t>Ferro MA, Gorter JW, Boyle MH. Trajectories of Depressive Symptoms in Canadian Emerging Adults. Am J Public Health 2015;105(11):2322-7.</w:t>
      </w:r>
    </w:p>
    <w:p w:rsidR="002B2277" w:rsidRDefault="002B2277" w:rsidP="002B2277">
      <w:pPr>
        <w:ind w:left="567" w:hanging="425"/>
        <w:rPr>
          <w:lang w:bidi="ar-SA"/>
        </w:rPr>
      </w:pPr>
      <w:r>
        <w:rPr>
          <w:lang w:bidi="ar-SA"/>
        </w:rPr>
        <w:t>11.</w:t>
      </w:r>
      <w:r>
        <w:rPr>
          <w:lang w:bidi="ar-SA"/>
        </w:rPr>
        <w:tab/>
        <w:t>Fichter MM, Kohlboeck G, Quadflieg N, Wyschkon A, Esser G. From childhood to adult age: 18-year longitudinal results and prediction of the course of mental disorders in the community. Soc Psychiatry Psychiatr Epidemiol 2009;44(9):792-803.</w:t>
      </w:r>
    </w:p>
    <w:p w:rsidR="002B2277" w:rsidRDefault="002B2277" w:rsidP="002B2277">
      <w:pPr>
        <w:ind w:left="567" w:hanging="425"/>
        <w:rPr>
          <w:lang w:bidi="ar-SA"/>
        </w:rPr>
      </w:pPr>
      <w:r>
        <w:rPr>
          <w:lang w:bidi="ar-SA"/>
        </w:rPr>
        <w:t>12.</w:t>
      </w:r>
      <w:r>
        <w:rPr>
          <w:lang w:bidi="ar-SA"/>
        </w:rPr>
        <w:tab/>
        <w:t>Fils JM, Penick EC, Nickel EJ, Othmer E, Desouza C, Gabrielli WF, et al. Minor versus major depression: a comparative clinical study. Prim Care Companion J Clin Psychiatry 2010;12(1):PCC.08m00752.</w:t>
      </w:r>
    </w:p>
    <w:p w:rsidR="002B2277" w:rsidRDefault="002B2277" w:rsidP="002B2277">
      <w:pPr>
        <w:ind w:left="567" w:hanging="425"/>
        <w:rPr>
          <w:lang w:bidi="ar-SA"/>
        </w:rPr>
      </w:pPr>
      <w:r>
        <w:rPr>
          <w:lang w:bidi="ar-SA"/>
        </w:rPr>
        <w:t>13.</w:t>
      </w:r>
      <w:r>
        <w:rPr>
          <w:lang w:bidi="ar-SA"/>
        </w:rPr>
        <w:tab/>
        <w:t>Fredman L, Schoenbach VJ, Kaplan BH, Blazer DG, James SA, Kleinbaum DG, et al. The association between depressive symptoms and mortality among older participants in the Epidemiologic Catchment Area-Piedmont Health Survey. J Gerontol 1989;44(4):S149-56.</w:t>
      </w:r>
    </w:p>
    <w:p w:rsidR="002B2277" w:rsidRDefault="002B2277" w:rsidP="002B2277">
      <w:pPr>
        <w:ind w:left="567" w:hanging="425"/>
        <w:rPr>
          <w:lang w:bidi="ar-SA"/>
        </w:rPr>
      </w:pPr>
      <w:r>
        <w:rPr>
          <w:lang w:bidi="ar-SA"/>
        </w:rPr>
        <w:t>14.</w:t>
      </w:r>
      <w:r>
        <w:rPr>
          <w:lang w:bidi="ar-SA"/>
        </w:rPr>
        <w:tab/>
        <w:t>Gallo JJ, Rabins PV, Lyketsos CG, Tien AY, Anthony JC. Depression without sadness: functional outcomes of nondysphoric depression in later life. J Am Geriatr Soc 1997;45(5):570-8.</w:t>
      </w:r>
    </w:p>
    <w:p w:rsidR="002B2277" w:rsidRDefault="002B2277" w:rsidP="002B2277">
      <w:pPr>
        <w:ind w:left="567" w:hanging="425"/>
        <w:rPr>
          <w:lang w:bidi="ar-SA"/>
        </w:rPr>
      </w:pPr>
      <w:r>
        <w:rPr>
          <w:lang w:bidi="ar-SA"/>
        </w:rPr>
        <w:lastRenderedPageBreak/>
        <w:t>15.</w:t>
      </w:r>
      <w:r>
        <w:rPr>
          <w:lang w:bidi="ar-SA"/>
        </w:rPr>
        <w:tab/>
        <w:t>Georgiades K, Lewinsohn PM, Monroe SM, Seeley JR. Major depressive disorder in adolescence: the role of subthreshold symptoms. J Am Acad Child Adolesc Psychiatry 2006;45(8):936-44.</w:t>
      </w:r>
    </w:p>
    <w:p w:rsidR="002B2277" w:rsidRDefault="002B2277" w:rsidP="002B2277">
      <w:pPr>
        <w:ind w:left="567" w:hanging="425"/>
        <w:rPr>
          <w:lang w:bidi="ar-SA"/>
        </w:rPr>
      </w:pPr>
      <w:r>
        <w:rPr>
          <w:lang w:bidi="ar-SA"/>
        </w:rPr>
        <w:t>16.</w:t>
      </w:r>
      <w:r>
        <w:rPr>
          <w:lang w:bidi="ar-SA"/>
        </w:rPr>
        <w:tab/>
        <w:t>Hegel MT, Oxman TE, Hull JG, Swain K, Swick H. Watchful waiting for minor depression in primary care: remission rates and predictors of improvement. Gen Hosp Psychiatry 2006;28(3):205-12.</w:t>
      </w:r>
    </w:p>
    <w:p w:rsidR="002B2277" w:rsidRDefault="002B2277" w:rsidP="002B2277">
      <w:pPr>
        <w:ind w:left="567" w:hanging="425"/>
        <w:rPr>
          <w:lang w:bidi="ar-SA"/>
        </w:rPr>
      </w:pPr>
      <w:r>
        <w:rPr>
          <w:lang w:bidi="ar-SA"/>
        </w:rPr>
        <w:t>17.</w:t>
      </w:r>
      <w:r>
        <w:rPr>
          <w:lang w:bidi="ar-SA"/>
        </w:rPr>
        <w:tab/>
        <w:t>Hybels CF, Pieper CF, Blazer DG. The complex relationship between depressive symptoms and functional limitations in community-dwelling older adults: the impact of subthreshold depression. Psychol Med 2009;39(10):1677-88.</w:t>
      </w:r>
    </w:p>
    <w:p w:rsidR="002B2277" w:rsidRDefault="002B2277" w:rsidP="002B2277">
      <w:pPr>
        <w:ind w:left="567" w:hanging="425"/>
        <w:rPr>
          <w:lang w:bidi="ar-SA"/>
        </w:rPr>
      </w:pPr>
      <w:r>
        <w:rPr>
          <w:lang w:bidi="ar-SA"/>
        </w:rPr>
        <w:t>18.</w:t>
      </w:r>
      <w:r>
        <w:rPr>
          <w:lang w:bidi="ar-SA"/>
        </w:rPr>
        <w:tab/>
        <w:t>Ialongo NS, Edelsohn G, Kellam SG. A further look at the prognostic power of young children's reports of depressed mood and feelings. Child Dev 2001;72(3):736-47.</w:t>
      </w:r>
    </w:p>
    <w:p w:rsidR="002B2277" w:rsidRDefault="002B2277" w:rsidP="002B2277">
      <w:pPr>
        <w:ind w:left="567" w:hanging="425"/>
        <w:rPr>
          <w:lang w:bidi="ar-SA"/>
        </w:rPr>
      </w:pPr>
      <w:r>
        <w:rPr>
          <w:lang w:bidi="ar-SA"/>
        </w:rPr>
        <w:t>19.</w:t>
      </w:r>
      <w:r>
        <w:rPr>
          <w:lang w:bidi="ar-SA"/>
        </w:rPr>
        <w:tab/>
        <w:t>Judd LL, Paulus MP, Wells KB, Rapaport MH. Socioeconomic burden of subsyndromal depressive symptoms and major depression in a sample of the general population. Am J Psychiatry 1996;153(11):1411-7.</w:t>
      </w:r>
    </w:p>
    <w:p w:rsidR="002B2277" w:rsidRDefault="002B2277" w:rsidP="002B2277">
      <w:pPr>
        <w:ind w:left="567" w:hanging="425"/>
        <w:rPr>
          <w:lang w:bidi="ar-SA"/>
        </w:rPr>
      </w:pPr>
      <w:r>
        <w:rPr>
          <w:lang w:bidi="ar-SA"/>
        </w:rPr>
        <w:t>20.</w:t>
      </w:r>
      <w:r>
        <w:rPr>
          <w:lang w:bidi="ar-SA"/>
        </w:rPr>
        <w:tab/>
        <w:t>Katon W, Von Korff M, Lin E, Lipscomb P, Russo J, Wagner E, et al. Distressed high utilizers of medical care. DSM-III-R diagnoses and treatment needs. Gen Hosp Psychiatry 1990;12(6):355-62.</w:t>
      </w:r>
    </w:p>
    <w:p w:rsidR="002B2277" w:rsidRDefault="002B2277" w:rsidP="002B2277">
      <w:pPr>
        <w:ind w:left="567" w:hanging="425"/>
        <w:rPr>
          <w:lang w:bidi="ar-SA"/>
        </w:rPr>
      </w:pPr>
      <w:r>
        <w:rPr>
          <w:lang w:bidi="ar-SA"/>
        </w:rPr>
        <w:t>21.</w:t>
      </w:r>
      <w:r>
        <w:rPr>
          <w:lang w:bidi="ar-SA"/>
        </w:rPr>
        <w:tab/>
        <w:t>Kaufman J, Birmaher B, Brent D, Rao U, Flynn C, Moreci P, et al. Schedule for Affective Disorders and Schizophrenia for School-Age Children-Present and Lifetime Version (K-SADS-PL): initial reliability and validity data. J Am Acad Child Adolesc Psychiatry 1997;36(7):980-8.</w:t>
      </w:r>
    </w:p>
    <w:p w:rsidR="002B2277" w:rsidRDefault="002B2277" w:rsidP="002B2277">
      <w:pPr>
        <w:ind w:left="567" w:hanging="425"/>
        <w:rPr>
          <w:lang w:bidi="ar-SA"/>
        </w:rPr>
      </w:pPr>
      <w:r>
        <w:rPr>
          <w:lang w:bidi="ar-SA"/>
        </w:rPr>
        <w:t>22.</w:t>
      </w:r>
      <w:r>
        <w:rPr>
          <w:lang w:bidi="ar-SA"/>
        </w:rPr>
        <w:tab/>
        <w:t>Keenan K, Hipwell A, Chung T, Stepp S, Stouthamer-Loeber M, Loeber R, et al. The Pittsburgh Girls Study: overview and initial findings. J Clin Child Adolesc Psychol 2010;39(4):506-21.</w:t>
      </w:r>
    </w:p>
    <w:p w:rsidR="002B2277" w:rsidRDefault="002B2277" w:rsidP="002B2277">
      <w:pPr>
        <w:ind w:left="567" w:hanging="425"/>
        <w:rPr>
          <w:lang w:bidi="ar-SA"/>
        </w:rPr>
      </w:pPr>
      <w:r>
        <w:rPr>
          <w:lang w:bidi="ar-SA"/>
        </w:rPr>
        <w:t>23.</w:t>
      </w:r>
      <w:r>
        <w:rPr>
          <w:lang w:bidi="ar-SA"/>
        </w:rPr>
        <w:tab/>
        <w:t>Kennedy N, Abbott R, Paykel ES. Longitudinal syndromal and sub-syndromal symptoms after severe depression: 10-Year follow-up study. Br J Psychiatry 2004;184(APR.):330-6.</w:t>
      </w:r>
    </w:p>
    <w:p w:rsidR="002B2277" w:rsidRDefault="002B2277" w:rsidP="002B2277">
      <w:pPr>
        <w:ind w:left="567" w:hanging="425"/>
        <w:rPr>
          <w:lang w:bidi="ar-SA"/>
        </w:rPr>
      </w:pPr>
      <w:r>
        <w:rPr>
          <w:lang w:bidi="ar-SA"/>
        </w:rPr>
        <w:t>24.</w:t>
      </w:r>
      <w:r>
        <w:rPr>
          <w:lang w:bidi="ar-SA"/>
        </w:rPr>
        <w:tab/>
        <w:t>Klaassen RM, Heins M, Luteijn LB, van der Gaag M, van Beveren NJ, Genetic R, et al. Depressive symptoms are associated with (sub)clinical psychotic symptoms in patients with non-affective psychotic disorder, siblings and healthy controls. Psychol Med 2013;43(4):747-56.</w:t>
      </w:r>
    </w:p>
    <w:p w:rsidR="002B2277" w:rsidRDefault="002B2277" w:rsidP="002B2277">
      <w:pPr>
        <w:ind w:left="567" w:hanging="425"/>
        <w:rPr>
          <w:lang w:bidi="ar-SA"/>
        </w:rPr>
      </w:pPr>
      <w:r>
        <w:rPr>
          <w:lang w:bidi="ar-SA"/>
        </w:rPr>
        <w:t>25.</w:t>
      </w:r>
      <w:r>
        <w:rPr>
          <w:lang w:bidi="ar-SA"/>
        </w:rPr>
        <w:tab/>
        <w:t>Kuchibhatla MN, Fillenbaum GG, Hybels CF, Blazer DG. Trajectory classes of depressive symptoms in a community sample of older adults. Acta Psychiatr Scand 2012;125(6):492-501.</w:t>
      </w:r>
    </w:p>
    <w:p w:rsidR="002B2277" w:rsidRDefault="002B2277" w:rsidP="002B2277">
      <w:pPr>
        <w:ind w:left="567" w:hanging="425"/>
        <w:rPr>
          <w:lang w:bidi="ar-SA"/>
        </w:rPr>
      </w:pPr>
      <w:r>
        <w:rPr>
          <w:lang w:bidi="ar-SA"/>
        </w:rPr>
        <w:t>26.</w:t>
      </w:r>
      <w:r>
        <w:rPr>
          <w:lang w:bidi="ar-SA"/>
        </w:rPr>
        <w:tab/>
        <w:t>Kuhn KU, Quednow BB, Barkow K, Heun R, Linden M, Maier W. [Chronic course and psychosocial disability caused by depressive illnesses in general practice patients during a one year period. Results of a study by the World Health Organization]. Nervenarzt 2002;73(7):644-50.</w:t>
      </w:r>
    </w:p>
    <w:p w:rsidR="002B2277" w:rsidRDefault="002B2277" w:rsidP="002B2277">
      <w:pPr>
        <w:ind w:left="567" w:hanging="425"/>
        <w:rPr>
          <w:lang w:bidi="ar-SA"/>
        </w:rPr>
      </w:pPr>
      <w:r>
        <w:rPr>
          <w:lang w:bidi="ar-SA"/>
        </w:rPr>
        <w:t>27.</w:t>
      </w:r>
      <w:r>
        <w:rPr>
          <w:lang w:bidi="ar-SA"/>
        </w:rPr>
        <w:tab/>
        <w:t>Lewinsohn PM, Rohde P, Klein DN, Seeley JR. Natural course of adolescent major depressive disorder: I. Continuity into young adulthood. J Am Acad Child Adolesc Psychiatry 1999;38(1):56-63.</w:t>
      </w:r>
    </w:p>
    <w:p w:rsidR="002B2277" w:rsidRDefault="002B2277" w:rsidP="002B2277">
      <w:pPr>
        <w:ind w:left="567" w:hanging="425"/>
        <w:rPr>
          <w:lang w:bidi="ar-SA"/>
        </w:rPr>
      </w:pPr>
      <w:r>
        <w:rPr>
          <w:lang w:bidi="ar-SA"/>
        </w:rPr>
        <w:t>28.</w:t>
      </w:r>
      <w:r>
        <w:rPr>
          <w:lang w:bidi="ar-SA"/>
        </w:rPr>
        <w:tab/>
        <w:t>Lyness JM, King DA, Cox C, Yoediono Z, Caine ED. The importance of subsyndromal depression in older primary care patients: prevalence and associated functional disability. J Am Geriatr Soc 1999;47(6):647-52.</w:t>
      </w:r>
    </w:p>
    <w:p w:rsidR="002B2277" w:rsidRDefault="002B2277" w:rsidP="002B2277">
      <w:pPr>
        <w:ind w:left="567" w:hanging="425"/>
        <w:rPr>
          <w:lang w:bidi="ar-SA"/>
        </w:rPr>
      </w:pPr>
      <w:r>
        <w:rPr>
          <w:lang w:bidi="ar-SA"/>
        </w:rPr>
        <w:lastRenderedPageBreak/>
        <w:t>29.</w:t>
      </w:r>
      <w:r>
        <w:rPr>
          <w:lang w:bidi="ar-SA"/>
        </w:rPr>
        <w:tab/>
        <w:t>Mattisson C, Bogren M, Nettelbladt P, Munk-Jorgensen P, Bhugra D. First incidence depression in the Lundby Study: a comparison of the two time periods 1947-1972 and 1972-1997. J Affect Disord 2005;87(2-3):151-60.</w:t>
      </w:r>
    </w:p>
    <w:p w:rsidR="002B2277" w:rsidRDefault="002B2277" w:rsidP="002B2277">
      <w:pPr>
        <w:ind w:left="567" w:hanging="425"/>
        <w:rPr>
          <w:lang w:bidi="ar-SA"/>
        </w:rPr>
      </w:pPr>
      <w:r>
        <w:rPr>
          <w:lang w:bidi="ar-SA"/>
        </w:rPr>
        <w:t>30.</w:t>
      </w:r>
      <w:r>
        <w:rPr>
          <w:lang w:bidi="ar-SA"/>
        </w:rPr>
        <w:tab/>
        <w:t>Meller I, Fichter MM, Schroppel H. Incidence of depression in octo- and nonagenerians: results of an epidemiological follow-up community study. Eur Arch Psychiatry Clin Neurosci 1996;246(2):93-9.</w:t>
      </w:r>
    </w:p>
    <w:p w:rsidR="002B2277" w:rsidRDefault="002B2277" w:rsidP="002B2277">
      <w:pPr>
        <w:ind w:left="567" w:hanging="425"/>
        <w:rPr>
          <w:lang w:bidi="ar-SA"/>
        </w:rPr>
      </w:pPr>
      <w:r>
        <w:rPr>
          <w:lang w:bidi="ar-SA"/>
        </w:rPr>
        <w:t>31.</w:t>
      </w:r>
      <w:r>
        <w:rPr>
          <w:lang w:bidi="ar-SA"/>
        </w:rPr>
        <w:tab/>
        <w:t>Mossaheb N, Weissgram S, Zehetmayer S, Jungwirth S, Rainer M, Tragl KH, et al. Late-onset depression in elderly subjects from the Vienna Transdanube Aging (VITA) study. J Clin Psychiatry 2009;70(4):500-8.</w:t>
      </w:r>
    </w:p>
    <w:p w:rsidR="002B2277" w:rsidRDefault="002B2277" w:rsidP="002B2277">
      <w:pPr>
        <w:ind w:left="567" w:hanging="425"/>
        <w:rPr>
          <w:lang w:bidi="ar-SA"/>
        </w:rPr>
      </w:pPr>
      <w:r>
        <w:rPr>
          <w:lang w:bidi="ar-SA"/>
        </w:rPr>
        <w:t>32.</w:t>
      </w:r>
      <w:r>
        <w:rPr>
          <w:lang w:bidi="ar-SA"/>
        </w:rPr>
        <w:tab/>
        <w:t>Olfson M, Broadhead WE, Weissman MM, Leon AC, Farber L, Hoven C, et al. Subthreshold psychiatric symptoms in a primary care group practice. Arch Gen Psychiatry 1996;53(10):880-6.</w:t>
      </w:r>
    </w:p>
    <w:p w:rsidR="002B2277" w:rsidRDefault="002B2277" w:rsidP="002B2277">
      <w:pPr>
        <w:ind w:left="567" w:hanging="425"/>
        <w:rPr>
          <w:lang w:bidi="ar-SA"/>
        </w:rPr>
      </w:pPr>
      <w:r>
        <w:rPr>
          <w:lang w:bidi="ar-SA"/>
        </w:rPr>
        <w:t>33.</w:t>
      </w:r>
      <w:r>
        <w:rPr>
          <w:lang w:bidi="ar-SA"/>
        </w:rPr>
        <w:tab/>
        <w:t>Palsson SP, Ostling S, Skoog I. The incidence of first-onset depression in a population followed from the age of 70 to 85. Psychol Med 2001;31(7):1159-68.</w:t>
      </w:r>
    </w:p>
    <w:p w:rsidR="002B2277" w:rsidRDefault="002B2277" w:rsidP="002B2277">
      <w:pPr>
        <w:ind w:left="567" w:hanging="425"/>
        <w:rPr>
          <w:lang w:bidi="ar-SA"/>
        </w:rPr>
      </w:pPr>
      <w:r>
        <w:rPr>
          <w:lang w:bidi="ar-SA"/>
        </w:rPr>
        <w:t>34.</w:t>
      </w:r>
      <w:r>
        <w:rPr>
          <w:lang w:bidi="ar-SA"/>
        </w:rPr>
        <w:tab/>
        <w:t>Penninx BW, Geerlings SW, Deeg DJ, van Eijk JT, van Tilburg W, Beekman AT. Minor and major depression and the risk of death in older persons. Arch Gen Psychiatry 1999;56(10):889-95.</w:t>
      </w:r>
    </w:p>
    <w:p w:rsidR="002B2277" w:rsidRDefault="002B2277" w:rsidP="002B2277">
      <w:pPr>
        <w:ind w:left="567" w:hanging="425"/>
        <w:rPr>
          <w:lang w:bidi="ar-SA"/>
        </w:rPr>
      </w:pPr>
      <w:r>
        <w:rPr>
          <w:lang w:bidi="ar-SA"/>
        </w:rPr>
        <w:t>35.</w:t>
      </w:r>
      <w:r>
        <w:rPr>
          <w:lang w:bidi="ar-SA"/>
        </w:rPr>
        <w:tab/>
        <w:t>Preisig M, Merikangas KR, Angst J. Clinical significance and comorbidity of subthreshold depression and anxiety in the community. Acta Psychiatr Scand 2001;104(2):96-103.</w:t>
      </w:r>
    </w:p>
    <w:p w:rsidR="002B2277" w:rsidRDefault="002B2277" w:rsidP="002B2277">
      <w:pPr>
        <w:ind w:left="567" w:hanging="425"/>
        <w:rPr>
          <w:lang w:bidi="ar-SA"/>
        </w:rPr>
      </w:pPr>
      <w:r>
        <w:rPr>
          <w:lang w:bidi="ar-SA"/>
        </w:rPr>
        <w:t>36.</w:t>
      </w:r>
      <w:r>
        <w:rPr>
          <w:lang w:bidi="ar-SA"/>
        </w:rPr>
        <w:tab/>
        <w:t>Prince MJ, Harwood RH, Thomas A, Mann AH. A prospective population-based cohort study of the effects of disablement and social milieu on the onset and maintenance of late-life depression. The Gospel Oak Project VII. Psychol Med 1998;28(2):337-50.</w:t>
      </w:r>
    </w:p>
    <w:p w:rsidR="002B2277" w:rsidRDefault="002B2277" w:rsidP="002B2277">
      <w:pPr>
        <w:ind w:left="567" w:hanging="425"/>
        <w:rPr>
          <w:lang w:bidi="ar-SA"/>
        </w:rPr>
      </w:pPr>
      <w:r>
        <w:rPr>
          <w:lang w:bidi="ar-SA"/>
        </w:rPr>
        <w:t>37.</w:t>
      </w:r>
      <w:r>
        <w:rPr>
          <w:lang w:bidi="ar-SA"/>
        </w:rPr>
        <w:tab/>
        <w:t>Rihmer Z, Nemcsik J, Ho C, Jin A, Nyunt MS, Feng L, et al. Mortality rates in major and subthreshold depression: 10-year follow-up of a Singaporean population cohort of older adults. BMC Cardiovasc Disord 2016;128(7):642-7.</w:t>
      </w:r>
    </w:p>
    <w:p w:rsidR="002B2277" w:rsidRDefault="002B2277" w:rsidP="002B2277">
      <w:pPr>
        <w:ind w:left="567" w:hanging="425"/>
        <w:rPr>
          <w:lang w:bidi="ar-SA"/>
        </w:rPr>
      </w:pPr>
      <w:r>
        <w:rPr>
          <w:lang w:bidi="ar-SA"/>
        </w:rPr>
        <w:t>38.</w:t>
      </w:r>
      <w:r>
        <w:rPr>
          <w:lang w:bidi="ar-SA"/>
        </w:rPr>
        <w:tab/>
        <w:t>Rorsman B, Grasbeck A, Hagnell O, Lanke J, Ohman R, Ojesjo L, et al. A prospective study of first-incidence depression. The Lundby study, 1957-72. Br J Psychiatry 1990;156:336-42.</w:t>
      </w:r>
    </w:p>
    <w:p w:rsidR="002B2277" w:rsidRDefault="002B2277" w:rsidP="002B2277">
      <w:pPr>
        <w:ind w:left="567" w:hanging="425"/>
        <w:rPr>
          <w:lang w:bidi="ar-SA"/>
        </w:rPr>
      </w:pPr>
      <w:r>
        <w:rPr>
          <w:lang w:bidi="ar-SA"/>
        </w:rPr>
        <w:t>39.</w:t>
      </w:r>
      <w:r>
        <w:rPr>
          <w:lang w:bidi="ar-SA"/>
        </w:rPr>
        <w:tab/>
        <w:t>Schaub RT, Linden M, Copeland JR. A comparison of GMS-A/AGECAT, DSM-III-R for dementia and depression, including subthreshold depression (SD)--results from the Berlin Aging Study (BASE). Int J Geriatr Psychiatry 2003;18(2):109-17.</w:t>
      </w:r>
    </w:p>
    <w:p w:rsidR="002B2277" w:rsidRDefault="002B2277" w:rsidP="002B2277">
      <w:pPr>
        <w:ind w:left="567" w:hanging="425"/>
        <w:rPr>
          <w:lang w:bidi="ar-SA"/>
        </w:rPr>
      </w:pPr>
      <w:r>
        <w:rPr>
          <w:lang w:bidi="ar-SA"/>
        </w:rPr>
        <w:t>40.</w:t>
      </w:r>
      <w:r>
        <w:rPr>
          <w:lang w:bidi="ar-SA"/>
        </w:rPr>
        <w:tab/>
        <w:t>Sherbourne CD, Wells KB, Hays RD, Rogers W, Burnam MA, Judd LL. Subthreshold depression and depressive disorder: clinical characteristics of general medical and mental health specialty outpatients. Am J Psychiatry 1994;151(12):1777-84.</w:t>
      </w:r>
    </w:p>
    <w:p w:rsidR="002B2277" w:rsidRDefault="002B2277" w:rsidP="002B2277">
      <w:pPr>
        <w:ind w:left="567" w:hanging="425"/>
        <w:rPr>
          <w:lang w:bidi="ar-SA"/>
        </w:rPr>
      </w:pPr>
      <w:r>
        <w:rPr>
          <w:lang w:bidi="ar-SA"/>
        </w:rPr>
        <w:t>41.</w:t>
      </w:r>
      <w:r>
        <w:rPr>
          <w:lang w:bidi="ar-SA"/>
        </w:rPr>
        <w:tab/>
        <w:t>Smit F, Beekman A, Cuijpers P, de Graaf R, Vollebergh W. Selecting key variables for depression prevention: results from a population-based prospective epidemiological study. J Affect Disord 2004;81(3):241-9.</w:t>
      </w:r>
    </w:p>
    <w:p w:rsidR="002B2277" w:rsidRDefault="002B2277" w:rsidP="002B2277">
      <w:pPr>
        <w:ind w:left="567" w:hanging="425"/>
        <w:rPr>
          <w:lang w:bidi="ar-SA"/>
        </w:rPr>
      </w:pPr>
      <w:r>
        <w:rPr>
          <w:lang w:bidi="ar-SA"/>
        </w:rPr>
        <w:t>42.</w:t>
      </w:r>
      <w:r>
        <w:rPr>
          <w:lang w:bidi="ar-SA"/>
        </w:rPr>
        <w:tab/>
        <w:t>Tamburrino MB, Lynch DJ, Nagel RW, Smith MK. Primary care evaluation of mental disorders (PRIME-MD) screening for minor depressive disorder in primary care. Prim Care Companion J Clin Psychiatry 2009;11(6):339-43.</w:t>
      </w:r>
    </w:p>
    <w:p w:rsidR="002B2277" w:rsidRDefault="002B2277" w:rsidP="002B2277">
      <w:pPr>
        <w:ind w:left="567" w:hanging="425"/>
        <w:rPr>
          <w:lang w:bidi="ar-SA"/>
        </w:rPr>
      </w:pPr>
      <w:r>
        <w:rPr>
          <w:lang w:bidi="ar-SA"/>
        </w:rPr>
        <w:lastRenderedPageBreak/>
        <w:t>43.</w:t>
      </w:r>
      <w:r>
        <w:rPr>
          <w:lang w:bidi="ar-SA"/>
        </w:rPr>
        <w:tab/>
        <w:t>Wells KB, Stewart A, Hays RD, Burnam MA, Rogers W, Daniels M, et al. The functioning and well-being of depressed patients. Results from the Medical Outcomes Study. JAMA 1989;262(7):914-9.</w:t>
      </w:r>
    </w:p>
    <w:p w:rsidR="002B2277" w:rsidRDefault="002B2277" w:rsidP="002B2277">
      <w:pPr>
        <w:ind w:left="567" w:hanging="425"/>
        <w:rPr>
          <w:lang w:bidi="ar-SA"/>
        </w:rPr>
      </w:pPr>
      <w:r>
        <w:rPr>
          <w:lang w:bidi="ar-SA"/>
        </w:rPr>
        <w:t>44.</w:t>
      </w:r>
      <w:r>
        <w:rPr>
          <w:lang w:bidi="ar-SA"/>
        </w:rPr>
        <w:tab/>
        <w:t>Wesselhoeft R, Heiervang ER, Kragh-Sørensen P, Juul Sørensen M, Bilenberg N. Major depressive disorder and subthreshold depression in prepubertal children from the Danish National Birth Cohort. Compr Psychiatry 2016;70:65-76.</w:t>
      </w:r>
    </w:p>
    <w:p w:rsidR="002B2277" w:rsidRDefault="002B2277" w:rsidP="002B2277">
      <w:pPr>
        <w:ind w:left="567" w:hanging="425"/>
        <w:rPr>
          <w:lang w:bidi="ar-SA"/>
        </w:rPr>
      </w:pPr>
      <w:r>
        <w:rPr>
          <w:lang w:bidi="ar-SA"/>
        </w:rPr>
        <w:t>45.</w:t>
      </w:r>
      <w:r>
        <w:rPr>
          <w:lang w:bidi="ar-SA"/>
        </w:rPr>
        <w:tab/>
        <w:t>Wesselhoft RT. Childhood depressive disorders. Dan Med J 2016;63(10).</w:t>
      </w:r>
    </w:p>
    <w:p w:rsidR="002B2277" w:rsidRDefault="002B2277" w:rsidP="002B2277">
      <w:pPr>
        <w:ind w:left="567" w:hanging="425"/>
        <w:rPr>
          <w:lang w:bidi="ar-SA"/>
        </w:rPr>
      </w:pPr>
      <w:r>
        <w:rPr>
          <w:lang w:bidi="ar-SA"/>
        </w:rPr>
        <w:t>46.</w:t>
      </w:r>
      <w:r>
        <w:rPr>
          <w:lang w:bidi="ar-SA"/>
        </w:rPr>
        <w:tab/>
        <w:t>Xiao S, Lewis M, Mellor D, McCabe M, Byrne L, Wang T, et al. The China longitudinal ageing study: overview of the demographic, psychosocial and cognitive data of the Shanghai sample. J Ment Health 2016;25(2):131-6.</w:t>
      </w:r>
    </w:p>
    <w:p w:rsidR="00F45D31" w:rsidRDefault="002B2277" w:rsidP="002B2277">
      <w:pPr>
        <w:ind w:left="567" w:hanging="425"/>
        <w:rPr>
          <w:lang w:bidi="ar-SA"/>
        </w:rPr>
      </w:pPr>
      <w:r>
        <w:rPr>
          <w:lang w:bidi="ar-SA"/>
        </w:rPr>
        <w:t>47.</w:t>
      </w:r>
      <w:r>
        <w:rPr>
          <w:lang w:bidi="ar-SA"/>
        </w:rPr>
        <w:tab/>
        <w:t>Yang J, Yao S, Zhu X, Zhang C, Ling Y, Abela JR, et al. The impact of stress on depressive symptoms is moderated by social support in Chinese adolescents with subthreshold depression: a multi-wave longitudinal study. J Affect Disord 2010;127(1-3):113-21.</w:t>
      </w:r>
    </w:p>
    <w:p w:rsidR="00F45D31" w:rsidRDefault="00F45D31" w:rsidP="00F45D31">
      <w:pPr>
        <w:rPr>
          <w:lang w:bidi="ar-SA"/>
        </w:rPr>
      </w:pPr>
    </w:p>
    <w:p w:rsidR="007A4AD7" w:rsidRDefault="00ED4C0C" w:rsidP="007A4AD7">
      <w:pPr>
        <w:pStyle w:val="Heading3"/>
      </w:pPr>
      <w:r>
        <w:t>R</w:t>
      </w:r>
      <w:r w:rsidR="007A4AD7">
        <w:t>eview/commentary (N=1</w:t>
      </w:r>
      <w:r w:rsidR="00CE76FB">
        <w:t>8</w:t>
      </w:r>
      <w:r w:rsidR="007A4AD7">
        <w:t>)</w:t>
      </w:r>
    </w:p>
    <w:p w:rsidR="00171C00" w:rsidRDefault="00171C00" w:rsidP="00171C00">
      <w:pPr>
        <w:ind w:left="567" w:hanging="425"/>
        <w:rPr>
          <w:lang w:bidi="ar-SA"/>
        </w:rPr>
      </w:pPr>
      <w:r>
        <w:rPr>
          <w:lang w:bidi="ar-SA"/>
        </w:rPr>
        <w:t>1.</w:t>
      </w:r>
      <w:r>
        <w:rPr>
          <w:lang w:bidi="ar-SA"/>
        </w:rPr>
        <w:tab/>
        <w:t>Bertha EA, Balazs J. Subthreshold depression in adolescence: a systematic review. Eur Child Adolesc Psychiatry 2013;22(10):589-603.</w:t>
      </w:r>
    </w:p>
    <w:p w:rsidR="00171C00" w:rsidRDefault="00171C00" w:rsidP="00171C00">
      <w:pPr>
        <w:ind w:left="567" w:hanging="425"/>
        <w:rPr>
          <w:lang w:bidi="ar-SA"/>
        </w:rPr>
      </w:pPr>
      <w:r>
        <w:rPr>
          <w:lang w:bidi="ar-SA"/>
        </w:rPr>
        <w:t>2.</w:t>
      </w:r>
      <w:r>
        <w:rPr>
          <w:lang w:bidi="ar-SA"/>
        </w:rPr>
        <w:tab/>
        <w:t>Buchtemann D, Luppa M, Bramesfeld A, Riedel-Heller S. Incidence of late-life depression: a systematic review. J Affect Disord 2012;142(1-3):172-9.</w:t>
      </w:r>
    </w:p>
    <w:p w:rsidR="00171C00" w:rsidRDefault="00171C00" w:rsidP="00171C00">
      <w:pPr>
        <w:ind w:left="567" w:hanging="425"/>
        <w:rPr>
          <w:lang w:bidi="ar-SA"/>
        </w:rPr>
      </w:pPr>
      <w:r>
        <w:rPr>
          <w:lang w:bidi="ar-SA"/>
        </w:rPr>
        <w:t>3.</w:t>
      </w:r>
      <w:r>
        <w:rPr>
          <w:lang w:bidi="ar-SA"/>
        </w:rPr>
        <w:tab/>
        <w:t>Cuijpers P, Smit F. Subthreshold depression as a risk indicator for major depressive disorder: a systematic review of prospective studies. Acta Psychiatr Scand 2004;109(5):325-31.</w:t>
      </w:r>
    </w:p>
    <w:p w:rsidR="00171C00" w:rsidRDefault="00171C00" w:rsidP="00171C00">
      <w:pPr>
        <w:ind w:left="567" w:hanging="425"/>
        <w:rPr>
          <w:lang w:bidi="ar-SA"/>
        </w:rPr>
      </w:pPr>
      <w:r>
        <w:rPr>
          <w:lang w:bidi="ar-SA"/>
        </w:rPr>
        <w:t>4.</w:t>
      </w:r>
      <w:r>
        <w:rPr>
          <w:lang w:bidi="ar-SA"/>
        </w:rPr>
        <w:tab/>
        <w:t>Cuijpers P, Smit F. Subklinische depressie: een  klinisch relevante conditie? Tijdschrift voor Psychiatrie, 2008;50(8):519-28.</w:t>
      </w:r>
    </w:p>
    <w:p w:rsidR="00171C00" w:rsidRDefault="00171C00" w:rsidP="00171C00">
      <w:pPr>
        <w:ind w:left="567" w:hanging="425"/>
        <w:rPr>
          <w:lang w:bidi="ar-SA"/>
        </w:rPr>
      </w:pPr>
      <w:r>
        <w:rPr>
          <w:lang w:bidi="ar-SA"/>
        </w:rPr>
        <w:t>5.</w:t>
      </w:r>
      <w:r>
        <w:rPr>
          <w:lang w:bidi="ar-SA"/>
        </w:rPr>
        <w:tab/>
        <w:t>Fava GA. Subclinical symptoms in mood disorders: pathophysiological and therapeutic implications. Psychol Med 1999;29(1):47-61.</w:t>
      </w:r>
    </w:p>
    <w:p w:rsidR="00171C00" w:rsidRDefault="00171C00" w:rsidP="00171C00">
      <w:pPr>
        <w:ind w:left="567" w:hanging="425"/>
        <w:rPr>
          <w:lang w:bidi="ar-SA"/>
        </w:rPr>
      </w:pPr>
      <w:r>
        <w:rPr>
          <w:lang w:bidi="ar-SA"/>
        </w:rPr>
        <w:t>6.</w:t>
      </w:r>
      <w:r>
        <w:rPr>
          <w:lang w:bidi="ar-SA"/>
        </w:rPr>
        <w:tab/>
        <w:t>Fava GA, Mangelli L. Assessment of subclinical symptoms and psychological well-being in depression. Eur Arch Psychiatry Clin Neurosci 2001;251 Suppl 2:Ii47-52.</w:t>
      </w:r>
    </w:p>
    <w:p w:rsidR="00171C00" w:rsidRDefault="00171C00" w:rsidP="00171C00">
      <w:pPr>
        <w:ind w:left="567" w:hanging="425"/>
        <w:rPr>
          <w:lang w:bidi="ar-SA"/>
        </w:rPr>
      </w:pPr>
      <w:r>
        <w:rPr>
          <w:lang w:bidi="ar-SA"/>
        </w:rPr>
        <w:t>7.</w:t>
      </w:r>
      <w:r>
        <w:rPr>
          <w:lang w:bidi="ar-SA"/>
        </w:rPr>
        <w:tab/>
        <w:t>Fava GA, Tossani E. Prodromal stage of major depression. Early Interv Psychiatry 2007;1(1):9-18.</w:t>
      </w:r>
    </w:p>
    <w:p w:rsidR="00171C00" w:rsidRDefault="00171C00" w:rsidP="00171C00">
      <w:pPr>
        <w:ind w:left="567" w:hanging="425"/>
        <w:rPr>
          <w:lang w:bidi="ar-SA"/>
        </w:rPr>
      </w:pPr>
      <w:r>
        <w:rPr>
          <w:lang w:bidi="ar-SA"/>
        </w:rPr>
        <w:t>8.</w:t>
      </w:r>
      <w:r>
        <w:rPr>
          <w:lang w:bidi="ar-SA"/>
        </w:rPr>
        <w:tab/>
        <w:t>Hermens ML, van Hout HP, Terluin B, van der Windt DA, Beekman AT, van Dyck R, et al. The prognosis of minor depression in the general population: a systematic review. Gen Hosp Psychiatry 2004;26(6):453-62.</w:t>
      </w:r>
    </w:p>
    <w:p w:rsidR="00171C00" w:rsidRDefault="00171C00" w:rsidP="00171C00">
      <w:pPr>
        <w:ind w:left="567" w:hanging="425"/>
        <w:rPr>
          <w:lang w:bidi="ar-SA"/>
        </w:rPr>
      </w:pPr>
      <w:r>
        <w:rPr>
          <w:lang w:bidi="ar-SA"/>
        </w:rPr>
        <w:t>9.</w:t>
      </w:r>
      <w:r>
        <w:rPr>
          <w:lang w:bidi="ar-SA"/>
        </w:rPr>
        <w:tab/>
        <w:t>Judd LL. The clinical course of unipolar major depressive disorders. Arch Gen Psychiatry 1997;54(11):989-91.</w:t>
      </w:r>
    </w:p>
    <w:p w:rsidR="00171C00" w:rsidRDefault="00171C00" w:rsidP="00171C00">
      <w:pPr>
        <w:ind w:left="567" w:hanging="425"/>
        <w:rPr>
          <w:lang w:bidi="ar-SA"/>
        </w:rPr>
      </w:pPr>
      <w:r>
        <w:rPr>
          <w:lang w:bidi="ar-SA"/>
        </w:rPr>
        <w:t>10.</w:t>
      </w:r>
      <w:r>
        <w:rPr>
          <w:lang w:bidi="ar-SA"/>
        </w:rPr>
        <w:tab/>
        <w:t>Magnusson H. Mental health of octogenarians in Iceland. An epidemiological study. Acta Psychiatr Scand Suppl 1989;349:1-112.</w:t>
      </w:r>
    </w:p>
    <w:p w:rsidR="00171C00" w:rsidRDefault="00171C00" w:rsidP="00171C00">
      <w:pPr>
        <w:ind w:left="567" w:hanging="425"/>
        <w:rPr>
          <w:lang w:bidi="ar-SA"/>
        </w:rPr>
      </w:pPr>
      <w:r>
        <w:rPr>
          <w:lang w:bidi="ar-SA"/>
        </w:rPr>
        <w:t>11.</w:t>
      </w:r>
      <w:r>
        <w:rPr>
          <w:lang w:bidi="ar-SA"/>
        </w:rPr>
        <w:tab/>
        <w:t>Meeks TW, Vahia IV, Lavretsky H, Kulkarni G, Jeste DV. A tune in "a minor" can "b major": a review of epidemiology, illness course, and public health implications of subthreshold depression in older adults. J Affect Disord 2011;129(1-3):126-42.</w:t>
      </w:r>
    </w:p>
    <w:p w:rsidR="00171C00" w:rsidRDefault="00171C00" w:rsidP="00171C00">
      <w:pPr>
        <w:ind w:left="567" w:hanging="425"/>
        <w:rPr>
          <w:lang w:bidi="ar-SA"/>
        </w:rPr>
      </w:pPr>
      <w:r>
        <w:rPr>
          <w:lang w:bidi="ar-SA"/>
        </w:rPr>
        <w:lastRenderedPageBreak/>
        <w:t>12.</w:t>
      </w:r>
      <w:r>
        <w:rPr>
          <w:lang w:bidi="ar-SA"/>
        </w:rPr>
        <w:tab/>
        <w:t>Ormel J, De Jonge P. Subclinical depression poses interesting questions. Tijdschrift voor Psychiatrie 2008;50(8):529-31.</w:t>
      </w:r>
    </w:p>
    <w:p w:rsidR="00171C00" w:rsidRDefault="00171C00" w:rsidP="00171C00">
      <w:pPr>
        <w:ind w:left="567" w:hanging="425"/>
        <w:rPr>
          <w:lang w:bidi="ar-SA"/>
        </w:rPr>
      </w:pPr>
      <w:r>
        <w:rPr>
          <w:lang w:bidi="ar-SA"/>
        </w:rPr>
        <w:t>13.</w:t>
      </w:r>
      <w:r>
        <w:rPr>
          <w:lang w:bidi="ar-SA"/>
        </w:rPr>
        <w:tab/>
        <w:t>Penninx BW, Beekman AT, Smit JH, Zitman FG, Nolen WA, Spinhoven P, et al. The Netherlands Study of Depression and Anxiety (NESDA): rationale, objectives and methods. Int J Methods Psychiatr Res 2008;17(3):121-40.</w:t>
      </w:r>
    </w:p>
    <w:p w:rsidR="00171C00" w:rsidRDefault="00171C00" w:rsidP="00171C00">
      <w:pPr>
        <w:ind w:left="567" w:hanging="425"/>
        <w:rPr>
          <w:lang w:bidi="ar-SA"/>
        </w:rPr>
      </w:pPr>
      <w:r>
        <w:rPr>
          <w:lang w:bidi="ar-SA"/>
        </w:rPr>
        <w:t>14.</w:t>
      </w:r>
      <w:r>
        <w:rPr>
          <w:lang w:bidi="ar-SA"/>
        </w:rPr>
        <w:tab/>
        <w:t>Pincus HA, Davis WW, McQueen LE. 'Subthreshold' mental disorders. A review and synthesis of studies on minor depression and other 'brand names'. Br J Psychiatry 1999;174:288-96.</w:t>
      </w:r>
    </w:p>
    <w:p w:rsidR="00171C00" w:rsidRDefault="00171C00" w:rsidP="00171C00">
      <w:pPr>
        <w:ind w:left="567" w:hanging="425"/>
        <w:rPr>
          <w:lang w:bidi="ar-SA"/>
        </w:rPr>
      </w:pPr>
      <w:r>
        <w:rPr>
          <w:lang w:bidi="ar-SA"/>
        </w:rPr>
        <w:t>15.</w:t>
      </w:r>
      <w:r>
        <w:rPr>
          <w:lang w:bidi="ar-SA"/>
        </w:rPr>
        <w:tab/>
        <w:t>Robinson RG, Jorge RE. Prevention of first-episode depression: progress and potential. Br J Psychiatry 2009;194(4):296-7.</w:t>
      </w:r>
    </w:p>
    <w:p w:rsidR="00171C00" w:rsidRDefault="00171C00" w:rsidP="00171C00">
      <w:pPr>
        <w:ind w:left="567" w:hanging="425"/>
        <w:rPr>
          <w:lang w:bidi="ar-SA"/>
        </w:rPr>
      </w:pPr>
      <w:r>
        <w:rPr>
          <w:lang w:bidi="ar-SA"/>
        </w:rPr>
        <w:t>16.</w:t>
      </w:r>
      <w:r>
        <w:rPr>
          <w:lang w:bidi="ar-SA"/>
        </w:rPr>
        <w:tab/>
        <w:t>Rodriguez MR, Nuevo R, Chatterji S, Ayuso-Mateos JL. Definitions and factors associated with subthreshold depressive conditions: a systematic review. BMC Psychiatry 2012;12:181.</w:t>
      </w:r>
    </w:p>
    <w:p w:rsidR="00171C00" w:rsidRDefault="00171C00" w:rsidP="00171C00">
      <w:pPr>
        <w:ind w:left="567" w:hanging="425"/>
        <w:rPr>
          <w:lang w:bidi="ar-SA"/>
        </w:rPr>
      </w:pPr>
      <w:r>
        <w:rPr>
          <w:lang w:bidi="ar-SA"/>
        </w:rPr>
        <w:t>17.</w:t>
      </w:r>
      <w:r>
        <w:rPr>
          <w:lang w:bidi="ar-SA"/>
        </w:rPr>
        <w:tab/>
        <w:t>Sadek N, Bona J. Subsyndromal symptomatic depression: a new concept. Depress Anxiety 2000;12(1):30-9.</w:t>
      </w:r>
    </w:p>
    <w:p w:rsidR="00382D70" w:rsidRDefault="00171C00" w:rsidP="00171C00">
      <w:pPr>
        <w:ind w:left="567" w:hanging="425"/>
        <w:rPr>
          <w:lang w:bidi="ar-SA"/>
        </w:rPr>
      </w:pPr>
      <w:r>
        <w:rPr>
          <w:lang w:bidi="ar-SA"/>
        </w:rPr>
        <w:t>18.</w:t>
      </w:r>
      <w:r>
        <w:rPr>
          <w:lang w:bidi="ar-SA"/>
        </w:rPr>
        <w:tab/>
        <w:t>Wesselhoeft R, Sorensen MJ, Heiervang ER, Bilenberg N. Subthreshold depression in children and adolescents - a systematic review. J Affect Disord 2013;151(1):7-22.</w:t>
      </w:r>
    </w:p>
    <w:p w:rsidR="00382D70" w:rsidRDefault="00382D70" w:rsidP="00483B29">
      <w:pPr>
        <w:rPr>
          <w:lang w:bidi="ar-SA"/>
        </w:rPr>
      </w:pPr>
    </w:p>
    <w:p w:rsidR="00F2377F" w:rsidRDefault="00F2377F" w:rsidP="00F2377F">
      <w:pPr>
        <w:pStyle w:val="Heading3"/>
      </w:pPr>
      <w:r>
        <w:t>Used incompatible case definitions (N=</w:t>
      </w:r>
      <w:r w:rsidR="00871F73">
        <w:t>12</w:t>
      </w:r>
      <w:r>
        <w:t>)</w:t>
      </w:r>
    </w:p>
    <w:p w:rsidR="00AF52B4" w:rsidRDefault="00AF52B4" w:rsidP="00AF52B4">
      <w:pPr>
        <w:ind w:left="567" w:hanging="425"/>
      </w:pPr>
      <w:r>
        <w:t>1.</w:t>
      </w:r>
      <w:r>
        <w:tab/>
        <w:t>Angst J, Merikangas K. The depressive spectrum: diagnostic classification and course. J Affect Disord 1997;45(1-2):31-9; discussion 9-40.</w:t>
      </w:r>
    </w:p>
    <w:p w:rsidR="00AF52B4" w:rsidRDefault="00AF52B4" w:rsidP="00AF52B4">
      <w:pPr>
        <w:ind w:left="567" w:hanging="425"/>
      </w:pPr>
      <w:r>
        <w:t>2.</w:t>
      </w:r>
      <w:r>
        <w:tab/>
        <w:t>de la Camara C, Saz P, Lopez A, Ventura T, Dia J, Lobo A. Depression in the elderly community: II, Outcome in a 4.5 years follow-up. Eur J Psychiatry 2008;22:141-50.</w:t>
      </w:r>
    </w:p>
    <w:p w:rsidR="00AF52B4" w:rsidRDefault="00AF52B4" w:rsidP="00AF52B4">
      <w:pPr>
        <w:ind w:left="567" w:hanging="425"/>
      </w:pPr>
      <w:r>
        <w:t>3.</w:t>
      </w:r>
      <w:r>
        <w:tab/>
        <w:t>Kandel DB, Davies M. Adult sequelae of adolescent depressive symptoms. Arch Gen Psychiatry 1986;43(3):255-62.</w:t>
      </w:r>
    </w:p>
    <w:p w:rsidR="00AF52B4" w:rsidRDefault="00AF52B4" w:rsidP="00AF52B4">
      <w:pPr>
        <w:ind w:left="567" w:hanging="425"/>
      </w:pPr>
      <w:r>
        <w:t>4.</w:t>
      </w:r>
      <w:r>
        <w:tab/>
        <w:t>Lyness JM, Chapman BP, McGriff J, Drayer R, Duberstein PR. One-year outcomes of minor and subsyndromal depression in older primary care patients. International Psychogeriatrics 2009;21(1):60-8.</w:t>
      </w:r>
    </w:p>
    <w:p w:rsidR="00AF52B4" w:rsidRDefault="00AF52B4" w:rsidP="00AF52B4">
      <w:pPr>
        <w:ind w:left="567" w:hanging="425"/>
      </w:pPr>
      <w:r>
        <w:t>5.</w:t>
      </w:r>
      <w:r>
        <w:tab/>
        <w:t>Lyness JM, Heo M, Datto CJ, Ten Have TR, Katz IR, Drayer R, et al. Outcomes of minor and subsyndromal depression among elderly patients in primary care settings. Ann Intern Med 2006;144(7):496-504.</w:t>
      </w:r>
    </w:p>
    <w:p w:rsidR="00AF52B4" w:rsidRDefault="00AF52B4" w:rsidP="00AF52B4">
      <w:pPr>
        <w:ind w:left="567" w:hanging="425"/>
      </w:pPr>
      <w:r>
        <w:t>6.</w:t>
      </w:r>
      <w:r>
        <w:tab/>
        <w:t>Maier W, Gansicke M, Weiffenbach O. The relationship between major and subthreshold variants of unipolar depression. J Affect Disord 1997;45(1-2):41-51.</w:t>
      </w:r>
    </w:p>
    <w:p w:rsidR="00AF52B4" w:rsidRDefault="00AF52B4" w:rsidP="00AF52B4">
      <w:pPr>
        <w:ind w:left="567" w:hanging="425"/>
      </w:pPr>
      <w:r>
        <w:t>7.</w:t>
      </w:r>
      <w:r>
        <w:tab/>
        <w:t>Merikangas KR, Wicki W, Angst J. Heterogeneity of depression. Classification of depressive subtypes by longitudinal course. Br J Psychiatry 1994;164(3):342-8.</w:t>
      </w:r>
    </w:p>
    <w:p w:rsidR="00AF52B4" w:rsidRDefault="00AF52B4" w:rsidP="00AF52B4">
      <w:pPr>
        <w:ind w:left="567" w:hanging="425"/>
      </w:pPr>
      <w:r>
        <w:t>8.</w:t>
      </w:r>
      <w:r>
        <w:tab/>
        <w:t>Merikangas KR, Zhang H, Avenevoli S, Acharyya S, Neuenschwander M, Angst J. Longitudinal trajectories of depression and anxiety in a prospective community study: the Zurich Cohort Study. Arch Gen Psychiatry 2003;60(10):993-1000.</w:t>
      </w:r>
    </w:p>
    <w:p w:rsidR="00AF52B4" w:rsidRDefault="00AF52B4" w:rsidP="00AF52B4">
      <w:pPr>
        <w:ind w:left="567" w:hanging="425"/>
      </w:pPr>
      <w:r>
        <w:t>9.</w:t>
      </w:r>
      <w:r>
        <w:tab/>
        <w:t>Murphy JM, Nierenberg AA, Laird NM, Monson RR, Sobol AM, Leighton AH. Incidence of major depression: prediction from subthreshold categories in the Stirling County Study. J Affect Disord 2002;68(2-3):251-9.</w:t>
      </w:r>
    </w:p>
    <w:p w:rsidR="00AF52B4" w:rsidRDefault="00AF52B4" w:rsidP="00AF52B4">
      <w:pPr>
        <w:ind w:left="567" w:hanging="425"/>
      </w:pPr>
      <w:r>
        <w:lastRenderedPageBreak/>
        <w:t>10.</w:t>
      </w:r>
      <w:r>
        <w:tab/>
        <w:t>Norton MC, Skoog I, Toone L, Corcoran C, Tschanz JT, Lisota RD, et al. Three-year incidence of first-onset depressive syndrome in a population sample of older adults: the Cache County study. Am J Geriatr Psychiatry 2006;14(3):237-45.</w:t>
      </w:r>
    </w:p>
    <w:p w:rsidR="00AF52B4" w:rsidRDefault="00AF52B4" w:rsidP="00AF52B4">
      <w:pPr>
        <w:ind w:left="567" w:hanging="425"/>
      </w:pPr>
      <w:r>
        <w:t>11.</w:t>
      </w:r>
      <w:r>
        <w:tab/>
        <w:t>Rohde P, Beevers CG, Stice E, O'Neil K. Major and minor depression in female adolescents: onset, course, symptom presentation, and demographic associations. J Clin Psychol 2009;65(12):1339-49.</w:t>
      </w:r>
    </w:p>
    <w:p w:rsidR="00F2377F" w:rsidRDefault="00AF52B4" w:rsidP="00AF52B4">
      <w:pPr>
        <w:ind w:left="567" w:hanging="425"/>
      </w:pPr>
      <w:r>
        <w:t>12.</w:t>
      </w:r>
      <w:r>
        <w:tab/>
        <w:t>W M. Onset and course of affective disorders in subjects at risk: a prospective family study. Psychiatr Ann 1996;26:315–9.</w:t>
      </w:r>
    </w:p>
    <w:p w:rsidR="00F2377F" w:rsidRDefault="00F2377F" w:rsidP="00F2377F">
      <w:pPr>
        <w:rPr>
          <w:lang w:bidi="ar-SA"/>
        </w:rPr>
      </w:pPr>
    </w:p>
    <w:p w:rsidR="00483B29" w:rsidRDefault="000154B1" w:rsidP="00886C48">
      <w:pPr>
        <w:pStyle w:val="Heading3"/>
      </w:pPr>
      <w:r>
        <w:t>Did not include a</w:t>
      </w:r>
      <w:r w:rsidR="00483B29">
        <w:t xml:space="preserve"> healthy control group (N=</w:t>
      </w:r>
      <w:r w:rsidR="00A6040A">
        <w:t>1</w:t>
      </w:r>
      <w:r w:rsidR="00340F1B">
        <w:t>2</w:t>
      </w:r>
      <w:r w:rsidR="00483B29">
        <w:t>)</w:t>
      </w:r>
    </w:p>
    <w:p w:rsidR="000D080B" w:rsidRDefault="000D080B" w:rsidP="000D080B">
      <w:pPr>
        <w:ind w:left="567" w:hanging="425"/>
        <w:rPr>
          <w:lang w:bidi="ar-SA"/>
        </w:rPr>
      </w:pPr>
      <w:r>
        <w:rPr>
          <w:lang w:bidi="ar-SA"/>
        </w:rPr>
        <w:t>1.</w:t>
      </w:r>
      <w:r>
        <w:rPr>
          <w:lang w:bidi="ar-SA"/>
        </w:rPr>
        <w:tab/>
        <w:t>Azar A. Late -life subthreshold depressive symptoms: Predicting the course and examining the relationship with major depression. Mast B. ProQuest Dissertations Publishing; 2007.</w:t>
      </w:r>
    </w:p>
    <w:p w:rsidR="000D080B" w:rsidRDefault="000D080B" w:rsidP="000D080B">
      <w:pPr>
        <w:ind w:left="567" w:hanging="425"/>
        <w:rPr>
          <w:lang w:bidi="ar-SA"/>
        </w:rPr>
      </w:pPr>
      <w:r>
        <w:rPr>
          <w:lang w:bidi="ar-SA"/>
        </w:rPr>
        <w:t>2.</w:t>
      </w:r>
      <w:r>
        <w:rPr>
          <w:lang w:bidi="ar-SA"/>
        </w:rPr>
        <w:tab/>
        <w:t>Bjerkeset O, Nordahl HM, Larsson S, Dahl AA, Linaker O. A 4-year follow-up study of syndromal and sub-syndromal anxiety and depression symptoms in the general population: the HUNT study. Soc Psychiatry Psychiatr Epidemiol 2008;43(3):192-9.</w:t>
      </w:r>
    </w:p>
    <w:p w:rsidR="000D080B" w:rsidRDefault="000D080B" w:rsidP="000D080B">
      <w:pPr>
        <w:ind w:left="567" w:hanging="425"/>
        <w:rPr>
          <w:lang w:bidi="ar-SA"/>
        </w:rPr>
      </w:pPr>
      <w:r>
        <w:rPr>
          <w:lang w:bidi="ar-SA"/>
        </w:rPr>
        <w:t>3.</w:t>
      </w:r>
      <w:r>
        <w:rPr>
          <w:lang w:bidi="ar-SA"/>
        </w:rPr>
        <w:tab/>
        <w:t>Broadhead WE, Blazer DG, George LK, Tse CK. Depression, disability days, and days lost from work in a prospective epidemiologic survey. JAMA 1990;264(19):2524-8.</w:t>
      </w:r>
    </w:p>
    <w:p w:rsidR="000D080B" w:rsidRDefault="000D080B" w:rsidP="000D080B">
      <w:pPr>
        <w:ind w:left="567" w:hanging="425"/>
        <w:rPr>
          <w:lang w:bidi="ar-SA"/>
        </w:rPr>
      </w:pPr>
      <w:r>
        <w:rPr>
          <w:lang w:bidi="ar-SA"/>
        </w:rPr>
        <w:t>4.</w:t>
      </w:r>
      <w:r>
        <w:rPr>
          <w:lang w:bidi="ar-SA"/>
        </w:rPr>
        <w:tab/>
        <w:t>Cuijpers P, Beekman A, Smit F, Deeg D. Predicting the onset of major depressive disorder and dysthymia in older adults with subthreshold depression: A community based study. Int J Geriatr Psychiatry 2006;21(9):811-8.</w:t>
      </w:r>
    </w:p>
    <w:p w:rsidR="000D080B" w:rsidRDefault="000D080B" w:rsidP="000D080B">
      <w:pPr>
        <w:ind w:left="567" w:hanging="425"/>
        <w:rPr>
          <w:lang w:bidi="ar-SA"/>
        </w:rPr>
      </w:pPr>
      <w:r>
        <w:rPr>
          <w:lang w:bidi="ar-SA"/>
        </w:rPr>
        <w:t>5.</w:t>
      </w:r>
      <w:r>
        <w:rPr>
          <w:lang w:bidi="ar-SA"/>
        </w:rPr>
        <w:tab/>
        <w:t>Eaton WW, Badawi M, Melton B. Prodromes and precursors: epidemiologic data for primary prevention of disorders with slow onset. Am J Psychiatry 1995;152(7):967-72.</w:t>
      </w:r>
    </w:p>
    <w:p w:rsidR="000D080B" w:rsidRDefault="000D080B" w:rsidP="000D080B">
      <w:pPr>
        <w:ind w:left="567" w:hanging="425"/>
        <w:rPr>
          <w:lang w:bidi="ar-SA"/>
        </w:rPr>
      </w:pPr>
      <w:r>
        <w:rPr>
          <w:lang w:bidi="ar-SA"/>
        </w:rPr>
        <w:t>6.</w:t>
      </w:r>
      <w:r>
        <w:rPr>
          <w:lang w:bidi="ar-SA"/>
        </w:rPr>
        <w:tab/>
        <w:t>Hill RM, Pettit JW, Lewinsohn PM, Seeley JR, Klein DN. Escalation to Major Depressive Disorder among adolescents with subthreshold depressive symptoms: Evidence of distinct subgroups at risk. J Affect Disord 2014;158:133-8.</w:t>
      </w:r>
    </w:p>
    <w:p w:rsidR="000D080B" w:rsidRDefault="000D080B" w:rsidP="000D080B">
      <w:pPr>
        <w:ind w:left="567" w:hanging="425"/>
        <w:rPr>
          <w:lang w:bidi="ar-SA"/>
        </w:rPr>
      </w:pPr>
      <w:r>
        <w:rPr>
          <w:lang w:bidi="ar-SA"/>
        </w:rPr>
        <w:t>7.</w:t>
      </w:r>
      <w:r>
        <w:rPr>
          <w:lang w:bidi="ar-SA"/>
        </w:rPr>
        <w:tab/>
        <w:t>Kessler RC, Zhao S, Blazer DG, Swartz M. Prevalence, correlates, and course of minor depression and major depression in the national comorbidity survey. J Affect Disord 1997;45(1-2):19-30.</w:t>
      </w:r>
    </w:p>
    <w:p w:rsidR="000D080B" w:rsidRDefault="000D080B" w:rsidP="000D080B">
      <w:pPr>
        <w:ind w:left="567" w:hanging="425"/>
        <w:rPr>
          <w:lang w:bidi="ar-SA"/>
        </w:rPr>
      </w:pPr>
      <w:r>
        <w:rPr>
          <w:lang w:bidi="ar-SA"/>
        </w:rPr>
        <w:t>8.</w:t>
      </w:r>
      <w:r>
        <w:rPr>
          <w:lang w:bidi="ar-SA"/>
        </w:rPr>
        <w:tab/>
        <w:t>Kovacs M, Feinberg TL, Crouse-Novak M, Paulauskas SL, Pollock M, Finkelstein R. Depressive disorders in childhood. II. A longitudinal study of the risk for a subsequent major depression. Arch Gen Psychiatry 1984;41(7):643-9.</w:t>
      </w:r>
    </w:p>
    <w:p w:rsidR="000D080B" w:rsidRDefault="000D080B" w:rsidP="000D080B">
      <w:pPr>
        <w:ind w:left="567" w:hanging="425"/>
        <w:rPr>
          <w:lang w:bidi="ar-SA"/>
        </w:rPr>
      </w:pPr>
      <w:r>
        <w:rPr>
          <w:lang w:bidi="ar-SA"/>
        </w:rPr>
        <w:t>9.</w:t>
      </w:r>
      <w:r>
        <w:rPr>
          <w:lang w:bidi="ar-SA"/>
        </w:rPr>
        <w:tab/>
        <w:t>Magnil M, Janmarker L, Gunnarsson R, Bjorkelund C. Course, risk factors, and prognostic factors in elderly primary care patients with mild depression: a two-year observational study. Scand J Prim Health Care 2013;31(1):20-5.</w:t>
      </w:r>
    </w:p>
    <w:p w:rsidR="000D080B" w:rsidRDefault="000D080B" w:rsidP="000D080B">
      <w:pPr>
        <w:ind w:left="567" w:hanging="425"/>
        <w:rPr>
          <w:lang w:bidi="ar-SA"/>
        </w:rPr>
      </w:pPr>
      <w:r>
        <w:rPr>
          <w:lang w:bidi="ar-SA"/>
        </w:rPr>
        <w:t>10.</w:t>
      </w:r>
      <w:r>
        <w:rPr>
          <w:lang w:bidi="ar-SA"/>
        </w:rPr>
        <w:tab/>
        <w:t>Schoevers RA, Smit F, Deeg DJ, Cuijpers P, Dekker J, van Tilburg W, et al. Prevention of late-life depression in primary care: do we know where to begin? Am J Psychiatry 2006;163(9):1611-21.</w:t>
      </w:r>
    </w:p>
    <w:p w:rsidR="000D080B" w:rsidRDefault="000D080B" w:rsidP="000D080B">
      <w:pPr>
        <w:ind w:left="567" w:hanging="425"/>
        <w:rPr>
          <w:lang w:bidi="ar-SA"/>
        </w:rPr>
      </w:pPr>
      <w:r>
        <w:rPr>
          <w:lang w:bidi="ar-SA"/>
        </w:rPr>
        <w:t>11.</w:t>
      </w:r>
      <w:r>
        <w:rPr>
          <w:lang w:bidi="ar-SA"/>
        </w:rPr>
        <w:tab/>
        <w:t>Vuorilehto MS, Melartin TK, Isometsa ET. Course and outcome of depressive disorders in primary care: a prospective 18-month study. Psychol Med 2009;39(10):1697-707.</w:t>
      </w:r>
    </w:p>
    <w:p w:rsidR="00362A79" w:rsidRDefault="000D080B" w:rsidP="000D080B">
      <w:pPr>
        <w:ind w:left="567" w:hanging="425"/>
        <w:rPr>
          <w:lang w:bidi="ar-SA"/>
        </w:rPr>
      </w:pPr>
      <w:r>
        <w:rPr>
          <w:lang w:bidi="ar-SA"/>
        </w:rPr>
        <w:lastRenderedPageBreak/>
        <w:t>12.</w:t>
      </w:r>
      <w:r>
        <w:rPr>
          <w:lang w:bidi="ar-SA"/>
        </w:rPr>
        <w:tab/>
        <w:t>Wells KB, Burnam MA, Rogers W, Hays R, Camp P. The course of depression in adult outpatients. Results from the Medical Outcomes Study. Arch Gen Psychiatry 1992;49(10):788-94.</w:t>
      </w:r>
      <w:r w:rsidR="00340F1B">
        <w:rPr>
          <w:lang w:bidi="ar-SA"/>
        </w:rPr>
        <w:t xml:space="preserve"> </w:t>
      </w:r>
    </w:p>
    <w:p w:rsidR="00E30DDC" w:rsidRDefault="00E30DDC" w:rsidP="00E30DDC">
      <w:pPr>
        <w:rPr>
          <w:lang w:bidi="ar-SA"/>
        </w:rPr>
      </w:pPr>
    </w:p>
    <w:p w:rsidR="00483B29" w:rsidRDefault="00483B29" w:rsidP="00886C48">
      <w:pPr>
        <w:pStyle w:val="Heading3"/>
      </w:pPr>
      <w:r>
        <w:t>Involved an overlapping cohort with another study (N=</w:t>
      </w:r>
      <w:r w:rsidR="009655A6">
        <w:t>10</w:t>
      </w:r>
      <w:r>
        <w:t>)</w:t>
      </w:r>
    </w:p>
    <w:p w:rsidR="00BF3767" w:rsidRDefault="00BF3767" w:rsidP="00BF3767">
      <w:pPr>
        <w:ind w:left="567" w:hanging="425"/>
        <w:rPr>
          <w:lang w:bidi="ar-SA"/>
        </w:rPr>
      </w:pPr>
      <w:r>
        <w:rPr>
          <w:lang w:bidi="ar-SA"/>
        </w:rPr>
        <w:t>1.</w:t>
      </w:r>
      <w:r>
        <w:rPr>
          <w:lang w:bidi="ar-SA"/>
        </w:rPr>
        <w:tab/>
        <w:t>Chen LS, Eaton WW, Gallo JJ, Nestadt G, Crum RM. Empirical examination of current depression categories in a population-based study: symptoms, course, and risk factors. Am J Psychiatry 2000;157(4):573-80.</w:t>
      </w:r>
    </w:p>
    <w:p w:rsidR="00BF3767" w:rsidRDefault="00BF3767" w:rsidP="00BF3767">
      <w:pPr>
        <w:ind w:left="567" w:hanging="425"/>
        <w:rPr>
          <w:lang w:bidi="ar-SA"/>
        </w:rPr>
      </w:pPr>
      <w:r>
        <w:rPr>
          <w:lang w:bidi="ar-SA"/>
        </w:rPr>
        <w:t>2.</w:t>
      </w:r>
      <w:r>
        <w:rPr>
          <w:lang w:bidi="ar-SA"/>
        </w:rPr>
        <w:tab/>
        <w:t>Fergusson DM, Horwood LJ, Ridder EM, Beautrais AL. Subthreshold depression in adolescence and mental health outcomes in adulthood. Arch Gen Psychiatry 2005;62(1):66-72.</w:t>
      </w:r>
    </w:p>
    <w:p w:rsidR="00BF3767" w:rsidRDefault="00BF3767" w:rsidP="00BF3767">
      <w:pPr>
        <w:ind w:left="567" w:hanging="425"/>
        <w:rPr>
          <w:lang w:bidi="ar-SA"/>
        </w:rPr>
      </w:pPr>
      <w:r>
        <w:rPr>
          <w:lang w:bidi="ar-SA"/>
        </w:rPr>
        <w:t>3.</w:t>
      </w:r>
      <w:r>
        <w:rPr>
          <w:lang w:bidi="ar-SA"/>
        </w:rPr>
        <w:tab/>
        <w:t>Fogel J, Eaton WW, Ford DE. Minor depression as a predictor of the first onset of major depressive disorder over a 15-year follow-up. Acta Psychiatr Scand 2006;113(1):36-43.</w:t>
      </w:r>
    </w:p>
    <w:p w:rsidR="00BF3767" w:rsidRDefault="00BF3767" w:rsidP="00BF3767">
      <w:pPr>
        <w:ind w:left="567" w:hanging="425"/>
        <w:rPr>
          <w:lang w:bidi="ar-SA"/>
        </w:rPr>
      </w:pPr>
      <w:r>
        <w:rPr>
          <w:lang w:bidi="ar-SA"/>
        </w:rPr>
        <w:t>4.</w:t>
      </w:r>
      <w:r>
        <w:rPr>
          <w:lang w:bidi="ar-SA"/>
        </w:rPr>
        <w:tab/>
        <w:t>Gotlib IH, Lewinsohn PM, Seeley JR. Symptoms versus a diagnosis of depression: differences in psychosocial functioning. J Consult Clin Psychol 1995;63(1):90-100.</w:t>
      </w:r>
    </w:p>
    <w:p w:rsidR="00BF3767" w:rsidRDefault="00BF3767" w:rsidP="00BF3767">
      <w:pPr>
        <w:ind w:left="567" w:hanging="425"/>
        <w:rPr>
          <w:lang w:bidi="ar-SA"/>
        </w:rPr>
      </w:pPr>
      <w:r>
        <w:rPr>
          <w:lang w:bidi="ar-SA"/>
        </w:rPr>
        <w:t>5.</w:t>
      </w:r>
      <w:r>
        <w:rPr>
          <w:lang w:bidi="ar-SA"/>
        </w:rPr>
        <w:tab/>
        <w:t>Horwath E, Johnson J, Klerman GL, Weissman MM. What are the public health implications of subclinical depressive symptoms? Psychiatr Q 1994;65(4):323-37.</w:t>
      </w:r>
    </w:p>
    <w:p w:rsidR="00BF3767" w:rsidRDefault="00BF3767" w:rsidP="00BF3767">
      <w:pPr>
        <w:ind w:left="567" w:hanging="425"/>
        <w:rPr>
          <w:lang w:bidi="ar-SA"/>
        </w:rPr>
      </w:pPr>
      <w:r>
        <w:rPr>
          <w:lang w:bidi="ar-SA"/>
        </w:rPr>
        <w:t>6.</w:t>
      </w:r>
      <w:r>
        <w:rPr>
          <w:lang w:bidi="ar-SA"/>
        </w:rPr>
        <w:tab/>
        <w:t>Judd LL, Akiskal HS, Paulus MP. The role and clinical significance of subsyndromal depressive symptoms (SSD) in unipolar major depressive disorder. J Affect Disord 1997;45(1-2):5-17; discussion -8.</w:t>
      </w:r>
    </w:p>
    <w:p w:rsidR="00BF3767" w:rsidRDefault="00BF3767" w:rsidP="00BF3767">
      <w:pPr>
        <w:ind w:left="567" w:hanging="425"/>
        <w:rPr>
          <w:lang w:bidi="ar-SA"/>
        </w:rPr>
      </w:pPr>
      <w:r>
        <w:rPr>
          <w:lang w:bidi="ar-SA"/>
        </w:rPr>
        <w:t>7.</w:t>
      </w:r>
      <w:r>
        <w:rPr>
          <w:lang w:bidi="ar-SA"/>
        </w:rPr>
        <w:tab/>
        <w:t>Laborde-Lahoz P, El-Gabalawy R, Kinley J, Kirwin PD, Sareen J, Pietrzak RH. Subsyndromal depression among older adults in the USA: Prevalence, comorbidity, and risk for new-onset psychiatric disorders in late life. Int J Geriatr Psychiatry 2015;30(7):677-85.</w:t>
      </w:r>
    </w:p>
    <w:p w:rsidR="00BF3767" w:rsidRDefault="00BF3767" w:rsidP="00BF3767">
      <w:pPr>
        <w:ind w:left="567" w:hanging="425"/>
        <w:rPr>
          <w:lang w:bidi="ar-SA"/>
        </w:rPr>
      </w:pPr>
      <w:r>
        <w:rPr>
          <w:lang w:bidi="ar-SA"/>
        </w:rPr>
        <w:t>8.</w:t>
      </w:r>
      <w:r>
        <w:rPr>
          <w:lang w:bidi="ar-SA"/>
        </w:rPr>
        <w:tab/>
        <w:t>Lewinsohn PM, Solomon A, Seeley JR, Zeiss A. Clinical implications of "subthreshold" depressive symptoms. J Abnorm Psychol 2000;109(2):345-51.</w:t>
      </w:r>
    </w:p>
    <w:p w:rsidR="00BF3767" w:rsidRDefault="00BF3767" w:rsidP="00BF3767">
      <w:pPr>
        <w:ind w:left="567" w:hanging="425"/>
        <w:rPr>
          <w:lang w:bidi="ar-SA"/>
        </w:rPr>
      </w:pPr>
      <w:r>
        <w:rPr>
          <w:lang w:bidi="ar-SA"/>
        </w:rPr>
        <w:t>9.</w:t>
      </w:r>
      <w:r>
        <w:rPr>
          <w:lang w:bidi="ar-SA"/>
        </w:rPr>
        <w:tab/>
        <w:t>Pietrzak RH, Kinley J, Afifi TO, Enns MW, Fawcett J, Sareen J. Subsyndromal depression in the United States: prevalence, course, and risk for incident psychiatric outcomes. Psychol Med 2013;43(7):1401-14.</w:t>
      </w:r>
    </w:p>
    <w:p w:rsidR="00D94DEF" w:rsidRDefault="00BF3767" w:rsidP="00BF3767">
      <w:pPr>
        <w:ind w:left="567" w:hanging="425"/>
        <w:rPr>
          <w:lang w:bidi="ar-SA"/>
        </w:rPr>
      </w:pPr>
      <w:r>
        <w:rPr>
          <w:lang w:bidi="ar-SA"/>
        </w:rPr>
        <w:t>10.</w:t>
      </w:r>
      <w:r>
        <w:rPr>
          <w:lang w:bidi="ar-SA"/>
        </w:rPr>
        <w:tab/>
        <w:t>Regeer EJ, Krabbendam L, de Graaf R, ten Have M, Nolen WA, van Os J. A prospective study of the transition rates of subthreshold (hypo)mania and depression in the general population. Psychol Med 2006;36(5):619-27.</w:t>
      </w:r>
    </w:p>
    <w:p w:rsidR="00D94DEF" w:rsidRDefault="00D94DEF" w:rsidP="00AE095C">
      <w:pPr>
        <w:rPr>
          <w:lang w:bidi="ar-SA"/>
        </w:rPr>
      </w:pPr>
    </w:p>
    <w:p w:rsidR="00622D5B" w:rsidRDefault="00622D5B" w:rsidP="00622D5B">
      <w:pPr>
        <w:pStyle w:val="Heading3"/>
      </w:pPr>
      <w:r>
        <w:t>No extractable data (N=8)</w:t>
      </w:r>
    </w:p>
    <w:p w:rsidR="00B750A4" w:rsidRDefault="00B750A4" w:rsidP="00B750A4">
      <w:pPr>
        <w:ind w:left="567" w:hanging="425"/>
        <w:rPr>
          <w:lang w:bidi="ar-SA"/>
        </w:rPr>
      </w:pPr>
      <w:r>
        <w:rPr>
          <w:lang w:bidi="ar-SA"/>
        </w:rPr>
        <w:t>1.</w:t>
      </w:r>
      <w:r>
        <w:rPr>
          <w:lang w:bidi="ar-SA"/>
        </w:rPr>
        <w:tab/>
        <w:t>Allan CL, Sexton CE, Filippini N, Topiwala A, Mahmood A, Zsoldos E, et al. Sub-threshold depressive symptoms and brain structure: A magnetic resonance imaging study within the Whitehall II cohort. J Affect Disord 2016;204:219-25.</w:t>
      </w:r>
    </w:p>
    <w:p w:rsidR="00B750A4" w:rsidRDefault="00B750A4" w:rsidP="00B750A4">
      <w:pPr>
        <w:ind w:left="567" w:hanging="425"/>
        <w:rPr>
          <w:lang w:bidi="ar-SA"/>
        </w:rPr>
      </w:pPr>
      <w:r>
        <w:rPr>
          <w:lang w:bidi="ar-SA"/>
        </w:rPr>
        <w:t>2.</w:t>
      </w:r>
      <w:r>
        <w:rPr>
          <w:lang w:bidi="ar-SA"/>
        </w:rPr>
        <w:tab/>
        <w:t>Gledhill J, Garralda M. Sub-syndromal depression in adolescents attending primary care: frequency, clinical features and 6 months outcome. Soc Psychiatry Psychiatr Epidemiol 2013;48(5):735-44.</w:t>
      </w:r>
    </w:p>
    <w:p w:rsidR="00B750A4" w:rsidRDefault="00B750A4" w:rsidP="00B750A4">
      <w:pPr>
        <w:ind w:left="567" w:hanging="425"/>
        <w:rPr>
          <w:lang w:bidi="ar-SA"/>
        </w:rPr>
      </w:pPr>
      <w:r>
        <w:rPr>
          <w:lang w:bidi="ar-SA"/>
        </w:rPr>
        <w:t>3.</w:t>
      </w:r>
      <w:r>
        <w:rPr>
          <w:lang w:bidi="ar-SA"/>
        </w:rPr>
        <w:tab/>
        <w:t>Grabovich A, Lu N, Tang W, Tu X, Lyness JM. Outcomes of subsyndromal depression in older primary care patients. Am J Geriatr Psychiatry 2010;18(3):227-35.</w:t>
      </w:r>
    </w:p>
    <w:p w:rsidR="00B750A4" w:rsidRDefault="00B750A4" w:rsidP="00B750A4">
      <w:pPr>
        <w:ind w:left="567" w:hanging="425"/>
        <w:rPr>
          <w:lang w:bidi="ar-SA"/>
        </w:rPr>
      </w:pPr>
      <w:r>
        <w:rPr>
          <w:lang w:bidi="ar-SA"/>
        </w:rPr>
        <w:lastRenderedPageBreak/>
        <w:t>4.</w:t>
      </w:r>
      <w:r>
        <w:rPr>
          <w:lang w:bidi="ar-SA"/>
        </w:rPr>
        <w:tab/>
        <w:t>Judd LL, Akiskal HS, Maser JD, Zeller PJ, Endicott J, Coryell W, et al. A prospective 12-year study of subsyndromal and syndromal depressive symptoms in unipolar major depressive disorders. Arch Gen Psychiatry 1998;55(8):694-700.</w:t>
      </w:r>
    </w:p>
    <w:p w:rsidR="00B750A4" w:rsidRDefault="00B750A4" w:rsidP="00B750A4">
      <w:pPr>
        <w:ind w:left="567" w:hanging="425"/>
        <w:rPr>
          <w:lang w:bidi="ar-SA"/>
        </w:rPr>
      </w:pPr>
      <w:r>
        <w:rPr>
          <w:lang w:bidi="ar-SA"/>
        </w:rPr>
        <w:t>5.</w:t>
      </w:r>
      <w:r>
        <w:rPr>
          <w:lang w:bidi="ar-SA"/>
        </w:rPr>
        <w:tab/>
        <w:t>Keenan K, Hipwell A, Feng X, Babinski D, Hinze A, Rischall M, et al. Subthreshold symptoms of depression in preadolescent girls are stable and predictive of depressive disorders. J Am Acad Child Adolesc Psychiatry 2008;47(12):1433-42.</w:t>
      </w:r>
    </w:p>
    <w:p w:rsidR="00B750A4" w:rsidRDefault="00B750A4" w:rsidP="00B750A4">
      <w:pPr>
        <w:ind w:left="567" w:hanging="425"/>
        <w:rPr>
          <w:lang w:bidi="ar-SA"/>
        </w:rPr>
      </w:pPr>
      <w:r>
        <w:rPr>
          <w:lang w:bidi="ar-SA"/>
        </w:rPr>
        <w:t>6.</w:t>
      </w:r>
      <w:r>
        <w:rPr>
          <w:lang w:bidi="ar-SA"/>
        </w:rPr>
        <w:tab/>
        <w:t>Klein DN, Glenn CR, Kosty DB, Seeley JR, Rohde P, Lewinsohn PM. Predictors of first lifetime onset of major depressive disorder in young adulthood. J Abnorm Psychol 2013;122(1):1-6.</w:t>
      </w:r>
    </w:p>
    <w:p w:rsidR="00B750A4" w:rsidRDefault="00B750A4" w:rsidP="00B750A4">
      <w:pPr>
        <w:ind w:left="567" w:hanging="425"/>
        <w:rPr>
          <w:lang w:bidi="ar-SA"/>
        </w:rPr>
      </w:pPr>
      <w:r>
        <w:rPr>
          <w:lang w:bidi="ar-SA"/>
        </w:rPr>
        <w:t>7.</w:t>
      </w:r>
      <w:r>
        <w:rPr>
          <w:lang w:bidi="ar-SA"/>
        </w:rPr>
        <w:tab/>
        <w:t>Pine DS, Cohen E, Cohen P, Brook J. Adolescent depressive symptoms as predictors of adult depression: moodiness or mood disorder? Am J Psychiatry 1999;156(1):133-5.</w:t>
      </w:r>
    </w:p>
    <w:p w:rsidR="00323A8C" w:rsidRPr="00323A8C" w:rsidRDefault="00B750A4" w:rsidP="00B750A4">
      <w:pPr>
        <w:ind w:left="567" w:hanging="425"/>
        <w:rPr>
          <w:lang w:bidi="ar-SA"/>
        </w:rPr>
      </w:pPr>
      <w:r>
        <w:rPr>
          <w:lang w:bidi="ar-SA"/>
        </w:rPr>
        <w:t>8.</w:t>
      </w:r>
      <w:r>
        <w:rPr>
          <w:lang w:bidi="ar-SA"/>
        </w:rPr>
        <w:tab/>
        <w:t>Seeley JR, Stice E, Rohde P. Screening for depression prevention: identifying adolescent girls at high risk for future depression. J Abnorm Psychol 2009;118(1):161-70.</w:t>
      </w:r>
    </w:p>
    <w:p w:rsidR="00622D5B" w:rsidRDefault="00622D5B" w:rsidP="00AE095C">
      <w:pPr>
        <w:rPr>
          <w:lang w:bidi="ar-SA"/>
        </w:rPr>
      </w:pPr>
    </w:p>
    <w:p w:rsidR="00AE095C" w:rsidRDefault="00AE095C" w:rsidP="00AE095C">
      <w:pPr>
        <w:pStyle w:val="Heading3"/>
      </w:pPr>
      <w:r>
        <w:t>Used a narrowly defined at-risk sample (N=</w:t>
      </w:r>
      <w:r w:rsidR="00C222F0">
        <w:t>3</w:t>
      </w:r>
      <w:r>
        <w:t>)</w:t>
      </w:r>
    </w:p>
    <w:p w:rsidR="005B1F22" w:rsidRDefault="005B1F22" w:rsidP="005B1F22">
      <w:pPr>
        <w:ind w:left="567" w:hanging="425"/>
        <w:rPr>
          <w:lang w:bidi="ar-SA"/>
        </w:rPr>
      </w:pPr>
      <w:r>
        <w:rPr>
          <w:lang w:bidi="ar-SA"/>
        </w:rPr>
        <w:t>1.</w:t>
      </w:r>
      <w:r>
        <w:rPr>
          <w:lang w:bidi="ar-SA"/>
        </w:rPr>
        <w:tab/>
        <w:t>Karsten J, Hartman CA, Smit JH, Zitman FG, Beekman ATF, Cuijpers P, et al. Psychiatric history and subthreshold symptoms as predictors of the occurrence of depressive or anxiety disorder within 2 years. Br J Psychiatry 2011;198(3):206-12.</w:t>
      </w:r>
    </w:p>
    <w:p w:rsidR="005B1F22" w:rsidRDefault="005B1F22" w:rsidP="005B1F22">
      <w:pPr>
        <w:ind w:left="567" w:hanging="425"/>
        <w:rPr>
          <w:lang w:bidi="ar-SA"/>
        </w:rPr>
      </w:pPr>
      <w:r>
        <w:rPr>
          <w:lang w:bidi="ar-SA"/>
        </w:rPr>
        <w:t>2.</w:t>
      </w:r>
      <w:r>
        <w:rPr>
          <w:lang w:bidi="ar-SA"/>
        </w:rPr>
        <w:tab/>
        <w:t>Parmelee PA, Katz IR, Lawton MP. Incidence of depression in long-term care settings. J Gerontol 1992;47(6):M189-96.</w:t>
      </w:r>
    </w:p>
    <w:p w:rsidR="00AE095C" w:rsidRDefault="005B1F22" w:rsidP="005B1F22">
      <w:pPr>
        <w:ind w:left="567" w:hanging="425"/>
        <w:rPr>
          <w:lang w:bidi="ar-SA"/>
        </w:rPr>
      </w:pPr>
      <w:r>
        <w:rPr>
          <w:lang w:bidi="ar-SA"/>
        </w:rPr>
        <w:t>3.</w:t>
      </w:r>
      <w:r>
        <w:rPr>
          <w:lang w:bidi="ar-SA"/>
        </w:rPr>
        <w:tab/>
        <w:t>Warner V, Weissman MM, Fendrich M, Wickramaratne P, Moreau D. The course of major depression in the offspring of depressed parents. Incidence, recurrence, and recovery. Arch Gen Psychiatry 1992;49(10):795-801.</w:t>
      </w:r>
    </w:p>
    <w:p w:rsidR="00AE095C" w:rsidRDefault="00AE095C" w:rsidP="00AE095C">
      <w:pPr>
        <w:rPr>
          <w:lang w:bidi="ar-SA"/>
        </w:rPr>
      </w:pPr>
    </w:p>
    <w:p w:rsidR="002266B8" w:rsidRDefault="002266B8" w:rsidP="00D94DEF">
      <w:pPr>
        <w:rPr>
          <w:lang w:bidi="ar-SA"/>
        </w:rPr>
      </w:pPr>
      <w:r>
        <w:rPr>
          <w:lang w:bidi="ar-SA"/>
        </w:rPr>
        <w:br w:type="page"/>
      </w:r>
    </w:p>
    <w:p w:rsidR="002266B8" w:rsidRDefault="002266B8" w:rsidP="002266B8">
      <w:pPr>
        <w:pStyle w:val="Heading2"/>
      </w:pPr>
      <w:bookmarkStart w:id="8" w:name="_Toc504925531"/>
      <w:r>
        <w:lastRenderedPageBreak/>
        <w:t xml:space="preserve">Quality assessment of longitudinal cohort studies included in the </w:t>
      </w:r>
      <w:r w:rsidR="00814F98">
        <w:t xml:space="preserve">baseline </w:t>
      </w:r>
      <w:r>
        <w:t>meta-analysis</w:t>
      </w:r>
      <w:bookmarkEnd w:id="8"/>
    </w:p>
    <w:p w:rsidR="00A7283F" w:rsidRDefault="0090414C" w:rsidP="002A65D3">
      <w:pPr>
        <w:pStyle w:val="Heading3"/>
      </w:pPr>
      <w:r>
        <w:t>Newcastle-Ottawa quality assessment graph</w:t>
      </w:r>
    </w:p>
    <w:p w:rsidR="0090414C" w:rsidRDefault="00125435" w:rsidP="002266B8">
      <w:pPr>
        <w:rPr>
          <w:lang w:bidi="ar-SA"/>
        </w:rPr>
      </w:pPr>
      <w:r>
        <w:rPr>
          <w:lang w:bidi="ar-SA"/>
        </w:rPr>
        <w:t>T</w:t>
      </w:r>
      <w:r w:rsidR="002A65D3">
        <w:rPr>
          <w:lang w:bidi="ar-SA"/>
        </w:rPr>
        <w:t>he figure below</w:t>
      </w:r>
      <w:r>
        <w:rPr>
          <w:lang w:bidi="ar-SA"/>
        </w:rPr>
        <w:t xml:space="preserve"> presents</w:t>
      </w:r>
      <w:r w:rsidR="002A65D3">
        <w:rPr>
          <w:lang w:bidi="ar-SA"/>
        </w:rPr>
        <w:t xml:space="preserve"> the relative proportion of studies that have been awarded a star (i.e., low risk of bias) versus those that have not (i.e., high risk of bias) for each quality item across the 3 domains – i.e., selection (S), comparability (C) and outcome (O)</w:t>
      </w:r>
      <w:r w:rsidR="00C94DC2">
        <w:rPr>
          <w:lang w:bidi="ar-SA"/>
        </w:rPr>
        <w:t>.</w:t>
      </w:r>
    </w:p>
    <w:p w:rsidR="00093F65" w:rsidRDefault="00093F65" w:rsidP="002266B8">
      <w:pPr>
        <w:rPr>
          <w:lang w:bidi="ar-SA"/>
        </w:rPr>
      </w:pPr>
    </w:p>
    <w:p w:rsidR="002A65D3" w:rsidRDefault="00093F65" w:rsidP="00093F65">
      <w:pPr>
        <w:pStyle w:val="MyFigure"/>
      </w:pPr>
      <w:bookmarkStart w:id="9" w:name="_Toc500164763"/>
      <w:r>
        <w:t xml:space="preserve">Newcastle-Ottawa quality assessment graph </w:t>
      </w:r>
      <w:r w:rsidR="004B189B">
        <w:t>for</w:t>
      </w:r>
      <w:r>
        <w:t xml:space="preserve"> included studies</w:t>
      </w:r>
      <w:bookmarkEnd w:id="9"/>
    </w:p>
    <w:p w:rsidR="00A7283F" w:rsidRDefault="00A02E1C" w:rsidP="002266B8">
      <w:pPr>
        <w:rPr>
          <w:lang w:bidi="ar-SA"/>
        </w:rPr>
      </w:pPr>
      <w:r>
        <w:rPr>
          <w:noProof/>
          <w:lang w:eastAsia="en-AU" w:bidi="ar-SA"/>
        </w:rPr>
        <w:drawing>
          <wp:inline distT="0" distB="0" distL="0" distR="0" wp14:anchorId="36FD7139" wp14:editId="33ED778B">
            <wp:extent cx="5731510" cy="2157457"/>
            <wp:effectExtent l="0" t="0" r="0" b="0"/>
            <wp:docPr id="3" name="Picture 3" descr="C:\Dropbox\QCMHR (PhD)\Writing\Meta-analysis subD and MDD incidence\Figures and Data\web appendix - quality assessment\Newcastle-Ottawa graphic\newcastle-ottawa graph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QCMHR (PhD)\Writing\Meta-analysis subD and MDD incidence\Figures and Data\web appendix - quality assessment\Newcastle-Ottawa graphic\newcastle-ottawa graphic.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157457"/>
                    </a:xfrm>
                    <a:prstGeom prst="rect">
                      <a:avLst/>
                    </a:prstGeom>
                    <a:noFill/>
                    <a:ln>
                      <a:noFill/>
                    </a:ln>
                  </pic:spPr>
                </pic:pic>
              </a:graphicData>
            </a:graphic>
          </wp:inline>
        </w:drawing>
      </w:r>
    </w:p>
    <w:p w:rsidR="00306171" w:rsidRDefault="00306171" w:rsidP="002266B8">
      <w:pPr>
        <w:rPr>
          <w:lang w:bidi="ar-SA"/>
        </w:rPr>
      </w:pPr>
    </w:p>
    <w:p w:rsidR="005B46D3" w:rsidRDefault="005B46D3">
      <w:pPr>
        <w:spacing w:line="240" w:lineRule="auto"/>
        <w:jc w:val="left"/>
        <w:rPr>
          <w:lang w:bidi="ar-SA"/>
        </w:rPr>
      </w:pPr>
      <w:r>
        <w:rPr>
          <w:lang w:bidi="ar-SA"/>
        </w:rPr>
        <w:br w:type="page"/>
      </w:r>
    </w:p>
    <w:p w:rsidR="005B46D3" w:rsidRDefault="005B46D3" w:rsidP="005B46D3">
      <w:pPr>
        <w:pStyle w:val="Heading3"/>
      </w:pPr>
      <w:r>
        <w:lastRenderedPageBreak/>
        <w:t xml:space="preserve">Newcastle-Ottawa checklist of </w:t>
      </w:r>
      <w:r w:rsidR="00BF6F2E">
        <w:t>quality assessment items</w:t>
      </w:r>
    </w:p>
    <w:p w:rsidR="00FE7696" w:rsidRDefault="00693979" w:rsidP="005B46D3">
      <w:pPr>
        <w:rPr>
          <w:lang w:bidi="ar-SA"/>
        </w:rPr>
      </w:pPr>
      <w:r>
        <w:rPr>
          <w:lang w:bidi="ar-SA"/>
        </w:rPr>
        <w:t xml:space="preserve">The figure below presents </w:t>
      </w:r>
      <w:r w:rsidR="00CD4216">
        <w:rPr>
          <w:lang w:bidi="ar-SA"/>
        </w:rPr>
        <w:t xml:space="preserve">a checklist of the quality items for each </w:t>
      </w:r>
      <w:r w:rsidR="003E523B">
        <w:rPr>
          <w:lang w:bidi="ar-SA"/>
        </w:rPr>
        <w:t xml:space="preserve">longitudinal cohort </w:t>
      </w:r>
      <w:r w:rsidR="00CD4216">
        <w:rPr>
          <w:lang w:bidi="ar-SA"/>
        </w:rPr>
        <w:t>study</w:t>
      </w:r>
      <w:r w:rsidR="003E523B">
        <w:rPr>
          <w:lang w:bidi="ar-SA"/>
        </w:rPr>
        <w:t xml:space="preserve"> included in the meta-analysis</w:t>
      </w:r>
      <w:r w:rsidR="005F02CC">
        <w:rPr>
          <w:lang w:bidi="ar-SA"/>
        </w:rPr>
        <w:t xml:space="preserve">. </w:t>
      </w:r>
      <w:r w:rsidR="00C156E6">
        <w:rPr>
          <w:lang w:bidi="ar-SA"/>
        </w:rPr>
        <w:t>E</w:t>
      </w:r>
      <w:r w:rsidR="005F02CC">
        <w:rPr>
          <w:lang w:bidi="ar-SA"/>
        </w:rPr>
        <w:t xml:space="preserve">ach study has </w:t>
      </w:r>
      <w:r>
        <w:rPr>
          <w:lang w:bidi="ar-SA"/>
        </w:rPr>
        <w:t xml:space="preserve">been awarded a </w:t>
      </w:r>
      <w:r w:rsidR="005F02CC" w:rsidRPr="005F02CC">
        <w:rPr>
          <w:color w:val="009242"/>
          <w:lang w:bidi="ar-SA"/>
        </w:rPr>
        <w:t xml:space="preserve">green </w:t>
      </w:r>
      <w:r w:rsidRPr="005F02CC">
        <w:rPr>
          <w:color w:val="009242"/>
          <w:lang w:bidi="ar-SA"/>
        </w:rPr>
        <w:t xml:space="preserve">star </w:t>
      </w:r>
      <w:r>
        <w:rPr>
          <w:lang w:bidi="ar-SA"/>
        </w:rPr>
        <w:t>(</w:t>
      </w:r>
      <w:r w:rsidR="005F02CC">
        <w:rPr>
          <w:lang w:bidi="ar-SA"/>
        </w:rPr>
        <w:t>signifying</w:t>
      </w:r>
      <w:r>
        <w:rPr>
          <w:lang w:bidi="ar-SA"/>
        </w:rPr>
        <w:t xml:space="preserve"> low risk of bias) </w:t>
      </w:r>
      <w:r w:rsidR="005F02CC">
        <w:rPr>
          <w:lang w:bidi="ar-SA"/>
        </w:rPr>
        <w:t xml:space="preserve">or a </w:t>
      </w:r>
      <w:r w:rsidR="005F02CC" w:rsidRPr="005F02CC">
        <w:rPr>
          <w:color w:val="D00000"/>
          <w:lang w:bidi="ar-SA"/>
        </w:rPr>
        <w:t>red cross</w:t>
      </w:r>
      <w:r w:rsidR="005F02CC">
        <w:rPr>
          <w:lang w:bidi="ar-SA"/>
        </w:rPr>
        <w:t xml:space="preserve"> (signifying</w:t>
      </w:r>
      <w:r>
        <w:rPr>
          <w:lang w:bidi="ar-SA"/>
        </w:rPr>
        <w:t xml:space="preserve"> high risk of bias) for each quality item</w:t>
      </w:r>
      <w:r w:rsidR="000D57CF">
        <w:rPr>
          <w:lang w:bidi="ar-SA"/>
        </w:rPr>
        <w:t>,</w:t>
      </w:r>
      <w:r>
        <w:rPr>
          <w:lang w:bidi="ar-SA"/>
        </w:rPr>
        <w:t xml:space="preserve"> across the 3 domains – i.e., selection (S), comparability (C) and outcome (O).</w:t>
      </w:r>
    </w:p>
    <w:p w:rsidR="0031471F" w:rsidRDefault="0031471F" w:rsidP="005B46D3">
      <w:pPr>
        <w:rPr>
          <w:lang w:bidi="ar-SA"/>
        </w:rPr>
      </w:pPr>
    </w:p>
    <w:p w:rsidR="00A05C32" w:rsidRPr="005B46D3" w:rsidRDefault="007A57AE" w:rsidP="007A57AE">
      <w:pPr>
        <w:pStyle w:val="MyFigure"/>
      </w:pPr>
      <w:bookmarkStart w:id="10" w:name="_Toc500164764"/>
      <w:r>
        <w:t>Newcastle-Ottawa checklist of quality assessment items for included studies</w:t>
      </w:r>
      <w:bookmarkEnd w:id="10"/>
    </w:p>
    <w:p w:rsidR="00135DD5" w:rsidRDefault="00195A73" w:rsidP="00401C3C">
      <w:pPr>
        <w:jc w:val="center"/>
        <w:sectPr w:rsidR="00135DD5">
          <w:footnotePr>
            <w:numFmt w:val="chicago"/>
          </w:footnotePr>
          <w:pgSz w:w="11906" w:h="16838"/>
          <w:pgMar w:top="1440" w:right="1440" w:bottom="1440" w:left="1440" w:header="708" w:footer="708" w:gutter="0"/>
          <w:cols w:space="708"/>
          <w:docGrid w:linePitch="360"/>
        </w:sectPr>
      </w:pPr>
      <w:r>
        <w:rPr>
          <w:noProof/>
          <w:lang w:eastAsia="en-AU" w:bidi="ar-SA"/>
        </w:rPr>
        <w:drawing>
          <wp:inline distT="0" distB="0" distL="0" distR="0" wp14:anchorId="380FCF30" wp14:editId="518C270C">
            <wp:extent cx="3924428" cy="7200000"/>
            <wp:effectExtent l="0" t="0" r="0" b="0"/>
            <wp:docPr id="5" name="Picture 5" descr="C:\Dropbox\QCMHR (PhD)\Writing\Meta-analysis subD and MDD incidence\Figures and Data\web appendix - quality assessment\Newcastle-Ottawa quality assessment checklist\Newcastle-Ottawa quality assessment checklist - baselin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QCMHR (PhD)\Writing\Meta-analysis subD and MDD incidence\Figures and Data\web appendix - quality assessment\Newcastle-Ottawa quality assessment checklist\Newcastle-Ottawa quality assessment checklist - baseline.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428" cy="7200000"/>
                    </a:xfrm>
                    <a:prstGeom prst="rect">
                      <a:avLst/>
                    </a:prstGeom>
                    <a:noFill/>
                    <a:ln>
                      <a:noFill/>
                    </a:ln>
                  </pic:spPr>
                </pic:pic>
              </a:graphicData>
            </a:graphic>
          </wp:inline>
        </w:drawing>
      </w:r>
    </w:p>
    <w:p w:rsidR="00AB789C" w:rsidRDefault="000C7DF5" w:rsidP="00651088">
      <w:pPr>
        <w:pStyle w:val="Heading2"/>
      </w:pPr>
      <w:bookmarkStart w:id="11" w:name="_Toc504925532"/>
      <w:r>
        <w:lastRenderedPageBreak/>
        <w:t>B</w:t>
      </w:r>
      <w:r w:rsidR="00C0783B">
        <w:t>aseline meta-analysis</w:t>
      </w:r>
      <w:r>
        <w:t xml:space="preserve"> data</w:t>
      </w:r>
      <w:bookmarkEnd w:id="11"/>
    </w:p>
    <w:p w:rsidR="00330231" w:rsidRPr="00330231" w:rsidRDefault="00330231" w:rsidP="00330231">
      <w:pPr>
        <w:rPr>
          <w:lang w:bidi="ar-SA"/>
        </w:rPr>
      </w:pPr>
    </w:p>
    <w:p w:rsidR="00117708" w:rsidRPr="00E03462" w:rsidRDefault="00856A04" w:rsidP="000934D1">
      <w:pPr>
        <w:pStyle w:val="MyTable"/>
        <w:numPr>
          <w:ilvl w:val="3"/>
          <w:numId w:val="18"/>
        </w:numPr>
      </w:pPr>
      <w:bookmarkStart w:id="12" w:name="_Toc500164767"/>
      <w:r w:rsidRPr="00E03462">
        <w:t>D</w:t>
      </w:r>
      <w:r w:rsidR="00135DD5" w:rsidRPr="00E03462">
        <w:t xml:space="preserve">ata extracted from </w:t>
      </w:r>
      <w:r w:rsidR="00AB789C" w:rsidRPr="00E03462">
        <w:t xml:space="preserve">in-scope </w:t>
      </w:r>
      <w:r w:rsidR="00135DD5" w:rsidRPr="00E03462">
        <w:t>longitudinal studies</w:t>
      </w:r>
      <w:bookmarkEnd w:id="12"/>
    </w:p>
    <w:p w:rsidR="001E2920" w:rsidRPr="00FA75D5" w:rsidRDefault="001E2920" w:rsidP="00FA75D5"/>
    <w:tbl>
      <w:tblPr>
        <w:tblStyle w:val="TableGrid"/>
        <w:tblW w:w="14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7"/>
        <w:gridCol w:w="1704"/>
        <w:gridCol w:w="283"/>
        <w:gridCol w:w="1066"/>
        <w:gridCol w:w="1066"/>
        <w:gridCol w:w="1066"/>
        <w:gridCol w:w="1067"/>
        <w:gridCol w:w="284"/>
        <w:gridCol w:w="1066"/>
        <w:gridCol w:w="1066"/>
        <w:gridCol w:w="1066"/>
        <w:gridCol w:w="1066"/>
        <w:gridCol w:w="281"/>
        <w:gridCol w:w="985"/>
      </w:tblGrid>
      <w:tr w:rsidR="0010429A" w:rsidTr="0071196C">
        <w:trPr>
          <w:tblHeader/>
        </w:trPr>
        <w:tc>
          <w:tcPr>
            <w:tcW w:w="2097" w:type="dxa"/>
            <w:tcBorders>
              <w:top w:val="single" w:sz="4" w:space="0" w:color="auto"/>
            </w:tcBorders>
          </w:tcPr>
          <w:p w:rsidR="0010429A" w:rsidRPr="0076680F" w:rsidRDefault="0010429A" w:rsidP="009D5DFA">
            <w:pPr>
              <w:pStyle w:val="Tabletext"/>
              <w:rPr>
                <w:b/>
              </w:rPr>
            </w:pPr>
          </w:p>
        </w:tc>
        <w:tc>
          <w:tcPr>
            <w:tcW w:w="1704" w:type="dxa"/>
            <w:tcBorders>
              <w:top w:val="single" w:sz="4" w:space="0" w:color="auto"/>
            </w:tcBorders>
          </w:tcPr>
          <w:p w:rsidR="0010429A" w:rsidRPr="0076680F" w:rsidRDefault="0010429A" w:rsidP="009D5DFA">
            <w:pPr>
              <w:pStyle w:val="Tabletext"/>
              <w:jc w:val="center"/>
              <w:rPr>
                <w:b/>
              </w:rPr>
            </w:pPr>
          </w:p>
        </w:tc>
        <w:tc>
          <w:tcPr>
            <w:tcW w:w="283" w:type="dxa"/>
            <w:tcBorders>
              <w:top w:val="single" w:sz="4" w:space="0" w:color="auto"/>
            </w:tcBorders>
          </w:tcPr>
          <w:p w:rsidR="0010429A" w:rsidRPr="0076680F" w:rsidRDefault="0010429A" w:rsidP="009D5DFA">
            <w:pPr>
              <w:pStyle w:val="Tabletext"/>
              <w:rPr>
                <w:b/>
              </w:rPr>
            </w:pPr>
          </w:p>
        </w:tc>
        <w:tc>
          <w:tcPr>
            <w:tcW w:w="4265" w:type="dxa"/>
            <w:gridSpan w:val="4"/>
            <w:tcBorders>
              <w:top w:val="single" w:sz="4" w:space="0" w:color="auto"/>
              <w:bottom w:val="single" w:sz="4" w:space="0" w:color="auto"/>
            </w:tcBorders>
          </w:tcPr>
          <w:p w:rsidR="0010429A" w:rsidRPr="0076680F" w:rsidRDefault="0010429A" w:rsidP="009D5DFA">
            <w:pPr>
              <w:pStyle w:val="Tabletext"/>
              <w:jc w:val="center"/>
              <w:rPr>
                <w:b/>
              </w:rPr>
            </w:pPr>
            <w:r w:rsidRPr="0076680F">
              <w:rPr>
                <w:b/>
              </w:rPr>
              <w:t>Exposed cohort (subthreshold depression)</w:t>
            </w:r>
          </w:p>
        </w:tc>
        <w:tc>
          <w:tcPr>
            <w:tcW w:w="284" w:type="dxa"/>
            <w:tcBorders>
              <w:top w:val="single" w:sz="4" w:space="0" w:color="auto"/>
            </w:tcBorders>
          </w:tcPr>
          <w:p w:rsidR="0010429A" w:rsidRPr="0076680F" w:rsidRDefault="0010429A" w:rsidP="009D5DFA">
            <w:pPr>
              <w:pStyle w:val="Tabletext"/>
              <w:rPr>
                <w:b/>
              </w:rPr>
            </w:pPr>
          </w:p>
        </w:tc>
        <w:tc>
          <w:tcPr>
            <w:tcW w:w="4264" w:type="dxa"/>
            <w:gridSpan w:val="4"/>
            <w:tcBorders>
              <w:top w:val="single" w:sz="4" w:space="0" w:color="auto"/>
              <w:bottom w:val="single" w:sz="4" w:space="0" w:color="auto"/>
            </w:tcBorders>
          </w:tcPr>
          <w:p w:rsidR="0010429A" w:rsidRPr="0076680F" w:rsidRDefault="0010429A" w:rsidP="009D5DFA">
            <w:pPr>
              <w:pStyle w:val="Tabletext"/>
              <w:jc w:val="center"/>
              <w:rPr>
                <w:b/>
              </w:rPr>
            </w:pPr>
            <w:r w:rsidRPr="0076680F">
              <w:rPr>
                <w:b/>
              </w:rPr>
              <w:t>Control cohort (non-depressed)</w:t>
            </w:r>
          </w:p>
        </w:tc>
        <w:tc>
          <w:tcPr>
            <w:tcW w:w="281" w:type="dxa"/>
            <w:tcBorders>
              <w:top w:val="single" w:sz="4" w:space="0" w:color="auto"/>
            </w:tcBorders>
          </w:tcPr>
          <w:p w:rsidR="0010429A" w:rsidRPr="0076680F" w:rsidRDefault="0010429A" w:rsidP="009D5DFA">
            <w:pPr>
              <w:pStyle w:val="Tabletext"/>
              <w:rPr>
                <w:b/>
              </w:rPr>
            </w:pPr>
          </w:p>
        </w:tc>
        <w:tc>
          <w:tcPr>
            <w:tcW w:w="985" w:type="dxa"/>
            <w:tcBorders>
              <w:top w:val="single" w:sz="4" w:space="0" w:color="auto"/>
            </w:tcBorders>
          </w:tcPr>
          <w:p w:rsidR="0010429A" w:rsidRPr="0076680F" w:rsidRDefault="0010429A" w:rsidP="007D37B6">
            <w:pPr>
              <w:pStyle w:val="Tabletext"/>
              <w:jc w:val="center"/>
              <w:rPr>
                <w:b/>
              </w:rPr>
            </w:pPr>
          </w:p>
        </w:tc>
      </w:tr>
      <w:tr w:rsidR="00FC7360" w:rsidTr="0071196C">
        <w:trPr>
          <w:tblHeader/>
        </w:trPr>
        <w:tc>
          <w:tcPr>
            <w:tcW w:w="2097" w:type="dxa"/>
            <w:tcBorders>
              <w:bottom w:val="single" w:sz="4" w:space="0" w:color="auto"/>
            </w:tcBorders>
          </w:tcPr>
          <w:p w:rsidR="00FC7360" w:rsidRPr="0076680F" w:rsidRDefault="00FC7360" w:rsidP="009D5DFA">
            <w:pPr>
              <w:pStyle w:val="Tabletext"/>
              <w:rPr>
                <w:b/>
              </w:rPr>
            </w:pPr>
            <w:r w:rsidRPr="0076680F">
              <w:rPr>
                <w:b/>
              </w:rPr>
              <w:t>Study</w:t>
            </w:r>
          </w:p>
        </w:tc>
        <w:tc>
          <w:tcPr>
            <w:tcW w:w="1704" w:type="dxa"/>
            <w:tcBorders>
              <w:bottom w:val="single" w:sz="4" w:space="0" w:color="auto"/>
            </w:tcBorders>
          </w:tcPr>
          <w:p w:rsidR="00FC7360" w:rsidRPr="0076680F" w:rsidRDefault="00FC7360" w:rsidP="009D5DFA">
            <w:pPr>
              <w:pStyle w:val="Tabletext"/>
              <w:jc w:val="center"/>
              <w:rPr>
                <w:b/>
              </w:rPr>
            </w:pPr>
            <w:r w:rsidRPr="0076680F">
              <w:rPr>
                <w:b/>
              </w:rPr>
              <w:t>Incidence rate ratio (95% CI)</w:t>
            </w:r>
          </w:p>
        </w:tc>
        <w:tc>
          <w:tcPr>
            <w:tcW w:w="283" w:type="dxa"/>
            <w:tcBorders>
              <w:bottom w:val="single" w:sz="4" w:space="0" w:color="auto"/>
            </w:tcBorders>
          </w:tcPr>
          <w:p w:rsidR="00FC7360" w:rsidRPr="0076680F" w:rsidRDefault="00FC7360" w:rsidP="009D5DFA">
            <w:pPr>
              <w:pStyle w:val="Tabletext"/>
              <w:rPr>
                <w:b/>
              </w:rPr>
            </w:pP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Incidence density rate</w:t>
            </w: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No. of new cases</w:t>
            </w: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Person years</w:t>
            </w:r>
          </w:p>
        </w:tc>
        <w:tc>
          <w:tcPr>
            <w:tcW w:w="1067"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Sample size</w:t>
            </w:r>
          </w:p>
        </w:tc>
        <w:tc>
          <w:tcPr>
            <w:tcW w:w="284" w:type="dxa"/>
            <w:tcBorders>
              <w:bottom w:val="single" w:sz="4" w:space="0" w:color="auto"/>
            </w:tcBorders>
          </w:tcPr>
          <w:p w:rsidR="00FC7360" w:rsidRPr="0076680F" w:rsidRDefault="00FC7360" w:rsidP="009D5DFA">
            <w:pPr>
              <w:pStyle w:val="Tabletext"/>
              <w:rPr>
                <w:b/>
              </w:rPr>
            </w:pP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Incidence density rate</w:t>
            </w: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No. of new cases</w:t>
            </w: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Person-years</w:t>
            </w:r>
          </w:p>
        </w:tc>
        <w:tc>
          <w:tcPr>
            <w:tcW w:w="1066" w:type="dxa"/>
            <w:tcBorders>
              <w:top w:val="single" w:sz="4" w:space="0" w:color="auto"/>
              <w:bottom w:val="single" w:sz="4" w:space="0" w:color="auto"/>
            </w:tcBorders>
          </w:tcPr>
          <w:p w:rsidR="00FC7360" w:rsidRPr="0076680F" w:rsidRDefault="00FC7360" w:rsidP="009D5DFA">
            <w:pPr>
              <w:pStyle w:val="Tabletext"/>
              <w:jc w:val="center"/>
              <w:rPr>
                <w:b/>
              </w:rPr>
            </w:pPr>
            <w:r w:rsidRPr="0076680F">
              <w:rPr>
                <w:b/>
              </w:rPr>
              <w:t>Sample size</w:t>
            </w:r>
          </w:p>
        </w:tc>
        <w:tc>
          <w:tcPr>
            <w:tcW w:w="281" w:type="dxa"/>
            <w:tcBorders>
              <w:bottom w:val="single" w:sz="4" w:space="0" w:color="auto"/>
            </w:tcBorders>
          </w:tcPr>
          <w:p w:rsidR="00FC7360" w:rsidRPr="0076680F" w:rsidRDefault="00FC7360" w:rsidP="009D5DFA">
            <w:pPr>
              <w:pStyle w:val="Tabletext"/>
              <w:rPr>
                <w:b/>
              </w:rPr>
            </w:pPr>
          </w:p>
        </w:tc>
        <w:tc>
          <w:tcPr>
            <w:tcW w:w="985" w:type="dxa"/>
            <w:tcBorders>
              <w:bottom w:val="single" w:sz="4" w:space="0" w:color="auto"/>
            </w:tcBorders>
          </w:tcPr>
          <w:p w:rsidR="00FC7360" w:rsidRPr="0076680F" w:rsidRDefault="00FC7360" w:rsidP="007D37B6">
            <w:pPr>
              <w:pStyle w:val="Tabletext"/>
              <w:jc w:val="center"/>
              <w:rPr>
                <w:b/>
              </w:rPr>
            </w:pPr>
            <w:r w:rsidRPr="0076680F">
              <w:rPr>
                <w:b/>
              </w:rPr>
              <w:t>Follow-up period    (years)</w:t>
            </w:r>
          </w:p>
        </w:tc>
      </w:tr>
      <w:tr w:rsidR="0010429A" w:rsidTr="009D5DFA">
        <w:tc>
          <w:tcPr>
            <w:tcW w:w="14163" w:type="dxa"/>
            <w:gridSpan w:val="14"/>
            <w:tcBorders>
              <w:top w:val="single" w:sz="4" w:space="0" w:color="auto"/>
            </w:tcBorders>
          </w:tcPr>
          <w:p w:rsidR="0010429A" w:rsidRPr="0010429A" w:rsidRDefault="0010429A" w:rsidP="007D37B6">
            <w:pPr>
              <w:pStyle w:val="Tabletext"/>
              <w:rPr>
                <w:i/>
              </w:rPr>
            </w:pPr>
            <w:r w:rsidRPr="0010429A">
              <w:rPr>
                <w:i/>
              </w:rPr>
              <w:t>Studies conducted in community-based youth samples</w:t>
            </w:r>
          </w:p>
        </w:tc>
      </w:tr>
      <w:tr w:rsidR="00FC7360" w:rsidTr="00E13936">
        <w:tc>
          <w:tcPr>
            <w:tcW w:w="2097" w:type="dxa"/>
          </w:tcPr>
          <w:p w:rsidR="00FC7360" w:rsidRPr="008931AA" w:rsidRDefault="008931AA" w:rsidP="00D9506B">
            <w:pPr>
              <w:pStyle w:val="Tabletext"/>
              <w:ind w:left="113"/>
            </w:pPr>
            <w:r>
              <w:rPr>
                <w:noProof/>
              </w:rPr>
              <w:t>Johnson</w:t>
            </w:r>
            <w:r w:rsidRPr="008931AA">
              <w:rPr>
                <w:i/>
                <w:noProof/>
              </w:rPr>
              <w:t xml:space="preserve"> et al.</w:t>
            </w:r>
            <w:r>
              <w:rPr>
                <w:noProof/>
              </w:rPr>
              <w:t xml:space="preserve"> (2009)</w:t>
            </w:r>
          </w:p>
        </w:tc>
        <w:tc>
          <w:tcPr>
            <w:tcW w:w="1704" w:type="dxa"/>
          </w:tcPr>
          <w:p w:rsidR="00FC7360" w:rsidRPr="00611389" w:rsidRDefault="00FC7360" w:rsidP="009D5DFA">
            <w:pPr>
              <w:pStyle w:val="Tabletext"/>
              <w:jc w:val="center"/>
            </w:pPr>
            <w:r w:rsidRPr="00611389">
              <w:t>3.1 (1.9 – 5.0)</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0.034</w:t>
            </w:r>
          </w:p>
        </w:tc>
        <w:tc>
          <w:tcPr>
            <w:tcW w:w="1066" w:type="dxa"/>
          </w:tcPr>
          <w:p w:rsidR="00FC7360" w:rsidRPr="00611389" w:rsidRDefault="00FC7360" w:rsidP="009D5DFA">
            <w:pPr>
              <w:pStyle w:val="Tabletext"/>
              <w:jc w:val="center"/>
            </w:pPr>
            <w:r w:rsidRPr="00611389">
              <w:t>21</w:t>
            </w:r>
          </w:p>
        </w:tc>
        <w:tc>
          <w:tcPr>
            <w:tcW w:w="1066" w:type="dxa"/>
          </w:tcPr>
          <w:p w:rsidR="00FC7360" w:rsidRPr="00611389" w:rsidRDefault="00FC7360" w:rsidP="009D5DFA">
            <w:pPr>
              <w:pStyle w:val="Tabletext"/>
              <w:jc w:val="center"/>
            </w:pPr>
            <w:r w:rsidRPr="00611389">
              <w:t>622</w:t>
            </w:r>
          </w:p>
        </w:tc>
        <w:tc>
          <w:tcPr>
            <w:tcW w:w="1067" w:type="dxa"/>
          </w:tcPr>
          <w:p w:rsidR="00FC7360" w:rsidRPr="00611389" w:rsidRDefault="00FC7360" w:rsidP="009D5DFA">
            <w:pPr>
              <w:pStyle w:val="Tabletext"/>
              <w:jc w:val="center"/>
            </w:pPr>
            <w:r w:rsidRPr="00611389">
              <w:t>62</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0.011</w:t>
            </w:r>
          </w:p>
        </w:tc>
        <w:tc>
          <w:tcPr>
            <w:tcW w:w="1066" w:type="dxa"/>
          </w:tcPr>
          <w:p w:rsidR="00FC7360" w:rsidRPr="00611389" w:rsidRDefault="00FC7360" w:rsidP="009D5DFA">
            <w:pPr>
              <w:pStyle w:val="Tabletext"/>
              <w:jc w:val="center"/>
            </w:pPr>
            <w:r w:rsidRPr="00611389">
              <w:t>86</w:t>
            </w:r>
          </w:p>
        </w:tc>
        <w:tc>
          <w:tcPr>
            <w:tcW w:w="1066" w:type="dxa"/>
          </w:tcPr>
          <w:p w:rsidR="00FC7360" w:rsidRPr="00611389" w:rsidRDefault="00FC7360" w:rsidP="009D5DFA">
            <w:pPr>
              <w:pStyle w:val="Tabletext"/>
              <w:jc w:val="center"/>
            </w:pPr>
            <w:r w:rsidRPr="00611389">
              <w:t>7,956</w:t>
            </w:r>
          </w:p>
        </w:tc>
        <w:tc>
          <w:tcPr>
            <w:tcW w:w="1066" w:type="dxa"/>
          </w:tcPr>
          <w:p w:rsidR="00FC7360" w:rsidRPr="00611389" w:rsidRDefault="00FC7360" w:rsidP="009D5DFA">
            <w:pPr>
              <w:pStyle w:val="Tabletext"/>
              <w:jc w:val="center"/>
            </w:pPr>
            <w:r w:rsidRPr="00611389">
              <w:t>693</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12.3</w:t>
            </w:r>
          </w:p>
        </w:tc>
      </w:tr>
      <w:tr w:rsidR="00FC7360" w:rsidTr="00E13936">
        <w:tc>
          <w:tcPr>
            <w:tcW w:w="2097" w:type="dxa"/>
          </w:tcPr>
          <w:p w:rsidR="00FC7360" w:rsidRPr="008931AA" w:rsidRDefault="008931AA" w:rsidP="00D9506B">
            <w:pPr>
              <w:pStyle w:val="Tabletext"/>
              <w:ind w:left="113"/>
            </w:pPr>
            <w:r>
              <w:rPr>
                <w:noProof/>
              </w:rPr>
              <w:t>Jonsson</w:t>
            </w:r>
            <w:r w:rsidRPr="008931AA">
              <w:rPr>
                <w:i/>
                <w:noProof/>
              </w:rPr>
              <w:t xml:space="preserve"> et al.</w:t>
            </w:r>
            <w:r>
              <w:rPr>
                <w:noProof/>
              </w:rPr>
              <w:t xml:space="preserve"> (2011)</w:t>
            </w:r>
          </w:p>
        </w:tc>
        <w:tc>
          <w:tcPr>
            <w:tcW w:w="1704" w:type="dxa"/>
          </w:tcPr>
          <w:p w:rsidR="00FC7360" w:rsidRPr="00611389" w:rsidRDefault="00FC7360" w:rsidP="009D5DFA">
            <w:pPr>
              <w:pStyle w:val="Tabletext"/>
              <w:jc w:val="center"/>
            </w:pPr>
            <w:r w:rsidRPr="00611389">
              <w:t>1.0 (0.5 - 1.8)</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0.024</w:t>
            </w:r>
          </w:p>
        </w:tc>
        <w:tc>
          <w:tcPr>
            <w:tcW w:w="1066" w:type="dxa"/>
          </w:tcPr>
          <w:p w:rsidR="00FC7360" w:rsidRPr="00611389" w:rsidRDefault="00FC7360" w:rsidP="009D5DFA">
            <w:pPr>
              <w:pStyle w:val="Tabletext"/>
              <w:jc w:val="center"/>
            </w:pPr>
            <w:r w:rsidRPr="00611389">
              <w:t>12</w:t>
            </w:r>
          </w:p>
        </w:tc>
        <w:tc>
          <w:tcPr>
            <w:tcW w:w="1066" w:type="dxa"/>
          </w:tcPr>
          <w:p w:rsidR="00FC7360" w:rsidRPr="00611389" w:rsidRDefault="00FC7360" w:rsidP="009D5DFA">
            <w:pPr>
              <w:pStyle w:val="Tabletext"/>
              <w:jc w:val="center"/>
            </w:pPr>
            <w:r w:rsidRPr="00611389">
              <w:t>508</w:t>
            </w:r>
          </w:p>
        </w:tc>
        <w:tc>
          <w:tcPr>
            <w:tcW w:w="1067" w:type="dxa"/>
          </w:tcPr>
          <w:p w:rsidR="00FC7360" w:rsidRPr="00611389" w:rsidRDefault="00FC7360" w:rsidP="009D5DFA">
            <w:pPr>
              <w:pStyle w:val="Tabletext"/>
              <w:jc w:val="center"/>
            </w:pPr>
            <w:r w:rsidRPr="00611389">
              <w:t>40</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0.025</w:t>
            </w:r>
          </w:p>
        </w:tc>
        <w:tc>
          <w:tcPr>
            <w:tcW w:w="1066" w:type="dxa"/>
          </w:tcPr>
          <w:p w:rsidR="00FC7360" w:rsidRPr="00611389" w:rsidRDefault="00FC7360" w:rsidP="009D5DFA">
            <w:pPr>
              <w:pStyle w:val="Tabletext"/>
              <w:jc w:val="center"/>
            </w:pPr>
            <w:r w:rsidRPr="00611389">
              <w:t>48</w:t>
            </w:r>
          </w:p>
        </w:tc>
        <w:tc>
          <w:tcPr>
            <w:tcW w:w="1066" w:type="dxa"/>
          </w:tcPr>
          <w:p w:rsidR="00FC7360" w:rsidRPr="00611389" w:rsidRDefault="00FC7360" w:rsidP="009D5DFA">
            <w:pPr>
              <w:pStyle w:val="Tabletext"/>
              <w:jc w:val="center"/>
            </w:pPr>
            <w:r w:rsidRPr="00611389">
              <w:t>1,956</w:t>
            </w:r>
          </w:p>
        </w:tc>
        <w:tc>
          <w:tcPr>
            <w:tcW w:w="1066" w:type="dxa"/>
          </w:tcPr>
          <w:p w:rsidR="00FC7360" w:rsidRPr="00611389" w:rsidRDefault="00FC7360" w:rsidP="009D5DFA">
            <w:pPr>
              <w:pStyle w:val="Tabletext"/>
              <w:jc w:val="center"/>
            </w:pPr>
            <w:r w:rsidRPr="00611389">
              <w:t>155</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15.1</w:t>
            </w:r>
          </w:p>
        </w:tc>
      </w:tr>
      <w:tr w:rsidR="00C2373C" w:rsidTr="00BC4208">
        <w:tc>
          <w:tcPr>
            <w:tcW w:w="2097" w:type="dxa"/>
          </w:tcPr>
          <w:p w:rsidR="00C2373C" w:rsidRPr="008931AA" w:rsidRDefault="0027217E" w:rsidP="00D9506B">
            <w:pPr>
              <w:pStyle w:val="Tabletext"/>
              <w:ind w:left="113"/>
            </w:pPr>
            <w:r>
              <w:rPr>
                <w:noProof/>
              </w:rPr>
              <w:t>McLeod</w:t>
            </w:r>
            <w:r w:rsidRPr="0027217E">
              <w:rPr>
                <w:i/>
                <w:noProof/>
              </w:rPr>
              <w:t xml:space="preserve"> et al.</w:t>
            </w:r>
            <w:r>
              <w:rPr>
                <w:noProof/>
              </w:rPr>
              <w:t xml:space="preserve"> (2016)</w:t>
            </w:r>
          </w:p>
        </w:tc>
        <w:tc>
          <w:tcPr>
            <w:tcW w:w="1704" w:type="dxa"/>
          </w:tcPr>
          <w:p w:rsidR="00C2373C" w:rsidRPr="00611389" w:rsidRDefault="00BC60C5" w:rsidP="00BC60C5">
            <w:pPr>
              <w:pStyle w:val="Tabletext"/>
              <w:jc w:val="center"/>
            </w:pPr>
            <w:r>
              <w:t>1.4</w:t>
            </w:r>
            <w:r w:rsidR="00C2373C" w:rsidRPr="00611389">
              <w:t xml:space="preserve"> (</w:t>
            </w:r>
            <w:r>
              <w:t>0.9</w:t>
            </w:r>
            <w:r w:rsidR="00C2373C" w:rsidRPr="00611389">
              <w:t xml:space="preserve"> </w:t>
            </w:r>
            <w:r>
              <w:t>–</w:t>
            </w:r>
            <w:r w:rsidR="00C2373C" w:rsidRPr="00611389">
              <w:t xml:space="preserve"> </w:t>
            </w:r>
            <w:r>
              <w:t>2.0</w:t>
            </w:r>
            <w:r w:rsidR="00C2373C" w:rsidRPr="00611389">
              <w:t>)</w:t>
            </w:r>
          </w:p>
        </w:tc>
        <w:tc>
          <w:tcPr>
            <w:tcW w:w="283" w:type="dxa"/>
          </w:tcPr>
          <w:p w:rsidR="00C2373C" w:rsidRPr="00611389" w:rsidRDefault="00C2373C" w:rsidP="00BC4208">
            <w:pPr>
              <w:pStyle w:val="Tabletext"/>
            </w:pPr>
          </w:p>
        </w:tc>
        <w:tc>
          <w:tcPr>
            <w:tcW w:w="1066" w:type="dxa"/>
          </w:tcPr>
          <w:p w:rsidR="00C2373C" w:rsidRPr="00611389" w:rsidRDefault="00A21EAB" w:rsidP="00BC4208">
            <w:pPr>
              <w:pStyle w:val="Tabletext"/>
              <w:jc w:val="center"/>
            </w:pPr>
            <w:r>
              <w:t>0.013</w:t>
            </w:r>
          </w:p>
        </w:tc>
        <w:tc>
          <w:tcPr>
            <w:tcW w:w="1066" w:type="dxa"/>
          </w:tcPr>
          <w:p w:rsidR="00C2373C" w:rsidRPr="00611389" w:rsidRDefault="00A21EAB" w:rsidP="00BC4208">
            <w:pPr>
              <w:pStyle w:val="Tabletext"/>
              <w:jc w:val="center"/>
            </w:pPr>
            <w:r>
              <w:t>37</w:t>
            </w:r>
          </w:p>
        </w:tc>
        <w:tc>
          <w:tcPr>
            <w:tcW w:w="1066" w:type="dxa"/>
          </w:tcPr>
          <w:p w:rsidR="00C2373C" w:rsidRPr="00611389" w:rsidRDefault="00A21EAB" w:rsidP="00BC4208">
            <w:pPr>
              <w:pStyle w:val="Tabletext"/>
              <w:jc w:val="center"/>
            </w:pPr>
            <w:r>
              <w:t>2,848</w:t>
            </w:r>
          </w:p>
        </w:tc>
        <w:tc>
          <w:tcPr>
            <w:tcW w:w="1067" w:type="dxa"/>
          </w:tcPr>
          <w:p w:rsidR="00C2373C" w:rsidRPr="00611389" w:rsidRDefault="00A21EAB" w:rsidP="00A21EAB">
            <w:pPr>
              <w:pStyle w:val="Tabletext"/>
              <w:jc w:val="center"/>
            </w:pPr>
            <w:r>
              <w:t>182</w:t>
            </w:r>
          </w:p>
        </w:tc>
        <w:tc>
          <w:tcPr>
            <w:tcW w:w="284" w:type="dxa"/>
          </w:tcPr>
          <w:p w:rsidR="00C2373C" w:rsidRPr="00611389" w:rsidRDefault="00C2373C" w:rsidP="00BC4208">
            <w:pPr>
              <w:pStyle w:val="Tabletext"/>
            </w:pPr>
          </w:p>
        </w:tc>
        <w:tc>
          <w:tcPr>
            <w:tcW w:w="1066" w:type="dxa"/>
          </w:tcPr>
          <w:p w:rsidR="00C2373C" w:rsidRPr="00611389" w:rsidRDefault="0015475E" w:rsidP="00BC4208">
            <w:pPr>
              <w:pStyle w:val="Tabletext"/>
              <w:jc w:val="center"/>
            </w:pPr>
            <w:r>
              <w:t>0.010</w:t>
            </w:r>
          </w:p>
        </w:tc>
        <w:tc>
          <w:tcPr>
            <w:tcW w:w="1066" w:type="dxa"/>
          </w:tcPr>
          <w:p w:rsidR="00C2373C" w:rsidRPr="00611389" w:rsidRDefault="00C2373C" w:rsidP="0015475E">
            <w:pPr>
              <w:pStyle w:val="Tabletext"/>
              <w:jc w:val="center"/>
            </w:pPr>
            <w:r w:rsidRPr="00611389">
              <w:t>1</w:t>
            </w:r>
            <w:r w:rsidR="0015475E">
              <w:t>05</w:t>
            </w:r>
          </w:p>
        </w:tc>
        <w:tc>
          <w:tcPr>
            <w:tcW w:w="1066" w:type="dxa"/>
          </w:tcPr>
          <w:p w:rsidR="00C2373C" w:rsidRPr="00611389" w:rsidRDefault="0015475E" w:rsidP="00BC4208">
            <w:pPr>
              <w:pStyle w:val="Tabletext"/>
              <w:jc w:val="center"/>
            </w:pPr>
            <w:r>
              <w:t>10,920</w:t>
            </w:r>
          </w:p>
        </w:tc>
        <w:tc>
          <w:tcPr>
            <w:tcW w:w="1066" w:type="dxa"/>
          </w:tcPr>
          <w:p w:rsidR="00C2373C" w:rsidRPr="00611389" w:rsidRDefault="00815F20" w:rsidP="00BC4208">
            <w:pPr>
              <w:pStyle w:val="Tabletext"/>
              <w:jc w:val="center"/>
            </w:pPr>
            <w:r>
              <w:t>678</w:t>
            </w:r>
          </w:p>
        </w:tc>
        <w:tc>
          <w:tcPr>
            <w:tcW w:w="281" w:type="dxa"/>
          </w:tcPr>
          <w:p w:rsidR="00C2373C" w:rsidRPr="00611389" w:rsidRDefault="00C2373C" w:rsidP="00BC4208">
            <w:pPr>
              <w:pStyle w:val="Tabletext"/>
            </w:pPr>
          </w:p>
        </w:tc>
        <w:tc>
          <w:tcPr>
            <w:tcW w:w="985" w:type="dxa"/>
          </w:tcPr>
          <w:p w:rsidR="00C2373C" w:rsidRPr="00611389" w:rsidRDefault="00815F20" w:rsidP="00BC4208">
            <w:pPr>
              <w:pStyle w:val="Tabletext"/>
              <w:jc w:val="center"/>
            </w:pPr>
            <w:r>
              <w:t>17</w:t>
            </w:r>
            <w:r w:rsidR="00C2373C" w:rsidRPr="00611389">
              <w:t>.5</w:t>
            </w:r>
          </w:p>
        </w:tc>
      </w:tr>
      <w:tr w:rsidR="00FC7360" w:rsidTr="00E13936">
        <w:tc>
          <w:tcPr>
            <w:tcW w:w="2097" w:type="dxa"/>
          </w:tcPr>
          <w:p w:rsidR="00FC7360" w:rsidRPr="008931AA" w:rsidRDefault="008931AA" w:rsidP="00D9506B">
            <w:pPr>
              <w:pStyle w:val="Tabletext"/>
              <w:ind w:left="113"/>
            </w:pPr>
            <w:r>
              <w:rPr>
                <w:noProof/>
              </w:rPr>
              <w:t>Oldehinkel</w:t>
            </w:r>
            <w:r w:rsidRPr="008931AA">
              <w:rPr>
                <w:i/>
                <w:noProof/>
              </w:rPr>
              <w:t xml:space="preserve"> et al.</w:t>
            </w:r>
            <w:r>
              <w:rPr>
                <w:noProof/>
              </w:rPr>
              <w:t xml:space="preserve"> (1999)</w:t>
            </w:r>
          </w:p>
        </w:tc>
        <w:tc>
          <w:tcPr>
            <w:tcW w:w="1704" w:type="dxa"/>
          </w:tcPr>
          <w:p w:rsidR="00FC7360" w:rsidRPr="00611389" w:rsidRDefault="00C37B35" w:rsidP="00C37B35">
            <w:pPr>
              <w:pStyle w:val="Tabletext"/>
              <w:jc w:val="center"/>
            </w:pPr>
            <w:r>
              <w:t>3.2</w:t>
            </w:r>
            <w:r w:rsidR="00FC7360" w:rsidRPr="00611389">
              <w:t xml:space="preserve"> (</w:t>
            </w:r>
            <w:r>
              <w:t>2.0</w:t>
            </w:r>
            <w:r w:rsidR="00FC7360" w:rsidRPr="00611389">
              <w:t xml:space="preserve"> </w:t>
            </w:r>
            <w:r>
              <w:t>–</w:t>
            </w:r>
            <w:r w:rsidR="00FC7360" w:rsidRPr="00611389">
              <w:t xml:space="preserve"> </w:t>
            </w:r>
            <w:r>
              <w:t>5.2</w:t>
            </w:r>
            <w:r w:rsidR="00FC7360" w:rsidRPr="00611389">
              <w:t>)</w:t>
            </w:r>
          </w:p>
        </w:tc>
        <w:tc>
          <w:tcPr>
            <w:tcW w:w="283" w:type="dxa"/>
          </w:tcPr>
          <w:p w:rsidR="00FC7360" w:rsidRPr="00611389" w:rsidRDefault="00FC7360" w:rsidP="009D5DFA">
            <w:pPr>
              <w:pStyle w:val="Tabletext"/>
            </w:pPr>
          </w:p>
        </w:tc>
        <w:tc>
          <w:tcPr>
            <w:tcW w:w="1066" w:type="dxa"/>
          </w:tcPr>
          <w:p w:rsidR="00FC7360" w:rsidRPr="00611389" w:rsidRDefault="00FC7360" w:rsidP="00430948">
            <w:pPr>
              <w:pStyle w:val="Tabletext"/>
              <w:jc w:val="center"/>
            </w:pPr>
            <w:r w:rsidRPr="00611389">
              <w:t>0.</w:t>
            </w:r>
            <w:r w:rsidR="00430948">
              <w:t>101</w:t>
            </w:r>
          </w:p>
        </w:tc>
        <w:tc>
          <w:tcPr>
            <w:tcW w:w="1066" w:type="dxa"/>
          </w:tcPr>
          <w:p w:rsidR="00FC7360" w:rsidRPr="00611389" w:rsidRDefault="00430948" w:rsidP="009D5DFA">
            <w:pPr>
              <w:pStyle w:val="Tabletext"/>
              <w:jc w:val="center"/>
            </w:pPr>
            <w:r>
              <w:t>28</w:t>
            </w:r>
          </w:p>
        </w:tc>
        <w:tc>
          <w:tcPr>
            <w:tcW w:w="1066" w:type="dxa"/>
          </w:tcPr>
          <w:p w:rsidR="00FC7360" w:rsidRPr="00611389" w:rsidRDefault="00430948" w:rsidP="009D5DFA">
            <w:pPr>
              <w:pStyle w:val="Tabletext"/>
              <w:jc w:val="center"/>
            </w:pPr>
            <w:r>
              <w:t>278</w:t>
            </w:r>
          </w:p>
        </w:tc>
        <w:tc>
          <w:tcPr>
            <w:tcW w:w="1067" w:type="dxa"/>
          </w:tcPr>
          <w:p w:rsidR="00FC7360" w:rsidRPr="00611389" w:rsidRDefault="00430948" w:rsidP="009D5DFA">
            <w:pPr>
              <w:pStyle w:val="Tabletext"/>
              <w:jc w:val="center"/>
            </w:pPr>
            <w:r>
              <w:t>184</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0.031</w:t>
            </w:r>
          </w:p>
        </w:tc>
        <w:tc>
          <w:tcPr>
            <w:tcW w:w="1066" w:type="dxa"/>
          </w:tcPr>
          <w:p w:rsidR="00FC7360" w:rsidRPr="00611389" w:rsidRDefault="00FC7360" w:rsidP="009D5DFA">
            <w:pPr>
              <w:pStyle w:val="Tabletext"/>
              <w:jc w:val="center"/>
            </w:pPr>
            <w:r w:rsidRPr="00611389">
              <w:t>47</w:t>
            </w:r>
          </w:p>
        </w:tc>
        <w:tc>
          <w:tcPr>
            <w:tcW w:w="1066" w:type="dxa"/>
          </w:tcPr>
          <w:p w:rsidR="00FC7360" w:rsidRPr="00611389" w:rsidRDefault="00FC7360" w:rsidP="009D5DFA">
            <w:pPr>
              <w:pStyle w:val="Tabletext"/>
              <w:jc w:val="center"/>
            </w:pPr>
            <w:r w:rsidRPr="00611389">
              <w:t>1,511</w:t>
            </w:r>
          </w:p>
        </w:tc>
        <w:tc>
          <w:tcPr>
            <w:tcW w:w="1066" w:type="dxa"/>
          </w:tcPr>
          <w:p w:rsidR="00FC7360" w:rsidRPr="00611389" w:rsidRDefault="00FC7360" w:rsidP="009D5DFA">
            <w:pPr>
              <w:pStyle w:val="Tabletext"/>
              <w:jc w:val="center"/>
            </w:pPr>
            <w:r w:rsidRPr="00611389">
              <w:t>944</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1.6</w:t>
            </w:r>
          </w:p>
        </w:tc>
      </w:tr>
      <w:tr w:rsidR="00FC7360" w:rsidTr="00E13936">
        <w:tc>
          <w:tcPr>
            <w:tcW w:w="2097" w:type="dxa"/>
          </w:tcPr>
          <w:p w:rsidR="00FC7360" w:rsidRPr="008931AA" w:rsidRDefault="008931AA" w:rsidP="00D9506B">
            <w:pPr>
              <w:pStyle w:val="Tabletext"/>
              <w:ind w:left="113"/>
            </w:pPr>
            <w:r>
              <w:rPr>
                <w:noProof/>
              </w:rPr>
              <w:t>Shankman</w:t>
            </w:r>
            <w:r w:rsidRPr="008931AA">
              <w:rPr>
                <w:i/>
                <w:noProof/>
              </w:rPr>
              <w:t xml:space="preserve"> et al.</w:t>
            </w:r>
            <w:r>
              <w:rPr>
                <w:noProof/>
              </w:rPr>
              <w:t xml:space="preserve"> (2009)</w:t>
            </w:r>
          </w:p>
        </w:tc>
        <w:tc>
          <w:tcPr>
            <w:tcW w:w="1704" w:type="dxa"/>
          </w:tcPr>
          <w:p w:rsidR="00FC7360" w:rsidRPr="00611389" w:rsidRDefault="00FC7360" w:rsidP="009D5DFA">
            <w:pPr>
              <w:pStyle w:val="Tabletext"/>
              <w:jc w:val="center"/>
            </w:pPr>
            <w:r w:rsidRPr="00611389">
              <w:t>1.6 (1.2 - 2.0)</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0.058</w:t>
            </w:r>
          </w:p>
        </w:tc>
        <w:tc>
          <w:tcPr>
            <w:tcW w:w="1066" w:type="dxa"/>
          </w:tcPr>
          <w:p w:rsidR="00FC7360" w:rsidRPr="00611389" w:rsidRDefault="00FC7360" w:rsidP="009D5DFA">
            <w:pPr>
              <w:pStyle w:val="Tabletext"/>
              <w:jc w:val="center"/>
            </w:pPr>
            <w:r w:rsidRPr="00611389">
              <w:t>139</w:t>
            </w:r>
          </w:p>
        </w:tc>
        <w:tc>
          <w:tcPr>
            <w:tcW w:w="1066" w:type="dxa"/>
          </w:tcPr>
          <w:p w:rsidR="00FC7360" w:rsidRPr="00611389" w:rsidRDefault="00FC7360" w:rsidP="009D5DFA">
            <w:pPr>
              <w:pStyle w:val="Tabletext"/>
              <w:jc w:val="center"/>
            </w:pPr>
            <w:r w:rsidRPr="00611389">
              <w:t>2,401</w:t>
            </w:r>
          </w:p>
        </w:tc>
        <w:tc>
          <w:tcPr>
            <w:tcW w:w="1067" w:type="dxa"/>
          </w:tcPr>
          <w:p w:rsidR="00FC7360" w:rsidRPr="00611389" w:rsidRDefault="00FC7360" w:rsidP="009D5DFA">
            <w:pPr>
              <w:pStyle w:val="Tabletext"/>
              <w:jc w:val="center"/>
            </w:pPr>
            <w:r w:rsidRPr="00611389">
              <w:t>394</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0.037</w:t>
            </w:r>
          </w:p>
        </w:tc>
        <w:tc>
          <w:tcPr>
            <w:tcW w:w="1066" w:type="dxa"/>
          </w:tcPr>
          <w:p w:rsidR="00FC7360" w:rsidRPr="00611389" w:rsidRDefault="00FC7360" w:rsidP="009D5DFA">
            <w:pPr>
              <w:pStyle w:val="Tabletext"/>
              <w:jc w:val="center"/>
            </w:pPr>
            <w:r w:rsidRPr="00611389">
              <w:t>155</w:t>
            </w:r>
          </w:p>
        </w:tc>
        <w:tc>
          <w:tcPr>
            <w:tcW w:w="1066" w:type="dxa"/>
          </w:tcPr>
          <w:p w:rsidR="00FC7360" w:rsidRPr="00611389" w:rsidRDefault="00FC7360" w:rsidP="009D5DFA">
            <w:pPr>
              <w:pStyle w:val="Tabletext"/>
              <w:jc w:val="center"/>
            </w:pPr>
            <w:r w:rsidRPr="00611389">
              <w:t>4,193</w:t>
            </w:r>
          </w:p>
        </w:tc>
        <w:tc>
          <w:tcPr>
            <w:tcW w:w="1066" w:type="dxa"/>
          </w:tcPr>
          <w:p w:rsidR="00FC7360" w:rsidRPr="00611389" w:rsidRDefault="00FC7360" w:rsidP="009D5DFA">
            <w:pPr>
              <w:pStyle w:val="Tabletext"/>
              <w:jc w:val="center"/>
            </w:pPr>
            <w:r w:rsidRPr="00611389">
              <w:t>804</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6.3</w:t>
            </w:r>
          </w:p>
        </w:tc>
      </w:tr>
      <w:tr w:rsidR="0010429A" w:rsidTr="009D5DFA">
        <w:tc>
          <w:tcPr>
            <w:tcW w:w="14163" w:type="dxa"/>
            <w:gridSpan w:val="14"/>
          </w:tcPr>
          <w:p w:rsidR="0010429A" w:rsidRPr="0010429A" w:rsidRDefault="0010429A" w:rsidP="007D37B6">
            <w:pPr>
              <w:pStyle w:val="Tabletext"/>
              <w:rPr>
                <w:i/>
              </w:rPr>
            </w:pPr>
            <w:r w:rsidRPr="0010429A">
              <w:rPr>
                <w:i/>
              </w:rPr>
              <w:t>Studies conducted in community-based adult samples</w:t>
            </w:r>
          </w:p>
        </w:tc>
      </w:tr>
      <w:tr w:rsidR="00FC7360" w:rsidTr="00E13936">
        <w:tc>
          <w:tcPr>
            <w:tcW w:w="2097" w:type="dxa"/>
          </w:tcPr>
          <w:p w:rsidR="00FC7360" w:rsidRPr="008931AA" w:rsidRDefault="008931AA" w:rsidP="00D9506B">
            <w:pPr>
              <w:pStyle w:val="Tabletext"/>
              <w:ind w:left="113"/>
            </w:pPr>
            <w:r>
              <w:rPr>
                <w:noProof/>
              </w:rPr>
              <w:t>Bruce &amp; Hoff (1994)</w:t>
            </w:r>
          </w:p>
        </w:tc>
        <w:tc>
          <w:tcPr>
            <w:tcW w:w="1704" w:type="dxa"/>
          </w:tcPr>
          <w:p w:rsidR="00FC7360" w:rsidRPr="00611389" w:rsidRDefault="00FC7360" w:rsidP="009D5DFA">
            <w:pPr>
              <w:pStyle w:val="Tabletext"/>
              <w:jc w:val="center"/>
            </w:pPr>
            <w:r w:rsidRPr="00611389">
              <w:t>1.6 (0.8 - 3.2)</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0.028</w:t>
            </w:r>
          </w:p>
        </w:tc>
        <w:tc>
          <w:tcPr>
            <w:tcW w:w="1066" w:type="dxa"/>
          </w:tcPr>
          <w:p w:rsidR="00FC7360" w:rsidRPr="00611389" w:rsidRDefault="00FC7360" w:rsidP="009D5DFA">
            <w:pPr>
              <w:pStyle w:val="Tabletext"/>
              <w:jc w:val="center"/>
            </w:pPr>
            <w:r w:rsidRPr="00611389">
              <w:t>10</w:t>
            </w:r>
          </w:p>
        </w:tc>
        <w:tc>
          <w:tcPr>
            <w:tcW w:w="1066" w:type="dxa"/>
          </w:tcPr>
          <w:p w:rsidR="00FC7360" w:rsidRPr="00611389" w:rsidRDefault="00FC7360" w:rsidP="009D5DFA">
            <w:pPr>
              <w:pStyle w:val="Tabletext"/>
              <w:jc w:val="center"/>
            </w:pPr>
            <w:r w:rsidRPr="00611389">
              <w:t>352</w:t>
            </w:r>
          </w:p>
        </w:tc>
        <w:tc>
          <w:tcPr>
            <w:tcW w:w="1067" w:type="dxa"/>
          </w:tcPr>
          <w:p w:rsidR="00FC7360" w:rsidRPr="00611389" w:rsidRDefault="00FC7360" w:rsidP="009D5DFA">
            <w:pPr>
              <w:pStyle w:val="Tabletext"/>
              <w:jc w:val="center"/>
            </w:pPr>
            <w:r w:rsidRPr="00611389">
              <w:t>514</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0.018</w:t>
            </w:r>
          </w:p>
        </w:tc>
        <w:tc>
          <w:tcPr>
            <w:tcW w:w="1066" w:type="dxa"/>
          </w:tcPr>
          <w:p w:rsidR="00FC7360" w:rsidRPr="00611389" w:rsidRDefault="00FC7360" w:rsidP="009D5DFA">
            <w:pPr>
              <w:pStyle w:val="Tabletext"/>
              <w:jc w:val="center"/>
            </w:pPr>
            <w:r w:rsidRPr="00611389">
              <w:t>45</w:t>
            </w:r>
          </w:p>
        </w:tc>
        <w:tc>
          <w:tcPr>
            <w:tcW w:w="1066" w:type="dxa"/>
          </w:tcPr>
          <w:p w:rsidR="00FC7360" w:rsidRPr="00611389" w:rsidRDefault="00FC7360" w:rsidP="009D5DFA">
            <w:pPr>
              <w:pStyle w:val="Tabletext"/>
              <w:jc w:val="center"/>
            </w:pPr>
            <w:r w:rsidRPr="00611389">
              <w:t>2,557</w:t>
            </w:r>
          </w:p>
        </w:tc>
        <w:tc>
          <w:tcPr>
            <w:tcW w:w="1066" w:type="dxa"/>
          </w:tcPr>
          <w:p w:rsidR="00FC7360" w:rsidRPr="00611389" w:rsidRDefault="00FC7360" w:rsidP="009D5DFA">
            <w:pPr>
              <w:pStyle w:val="Tabletext"/>
              <w:jc w:val="center"/>
            </w:pPr>
            <w:r w:rsidRPr="00611389">
              <w:t>2,656</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1.0</w:t>
            </w:r>
          </w:p>
        </w:tc>
      </w:tr>
      <w:tr w:rsidR="00FC7360" w:rsidTr="00E13936">
        <w:tc>
          <w:tcPr>
            <w:tcW w:w="2097" w:type="dxa"/>
          </w:tcPr>
          <w:p w:rsidR="00FC7360" w:rsidRPr="008931AA" w:rsidRDefault="008931AA" w:rsidP="00D9506B">
            <w:pPr>
              <w:pStyle w:val="Tabletext"/>
              <w:ind w:left="113"/>
            </w:pPr>
            <w:r>
              <w:rPr>
                <w:noProof/>
              </w:rPr>
              <w:t>Cuijpers</w:t>
            </w:r>
            <w:r w:rsidRPr="008931AA">
              <w:rPr>
                <w:i/>
                <w:noProof/>
              </w:rPr>
              <w:t xml:space="preserve"> et al.</w:t>
            </w:r>
            <w:r>
              <w:rPr>
                <w:noProof/>
              </w:rPr>
              <w:t xml:space="preserve"> (2004)</w:t>
            </w:r>
          </w:p>
        </w:tc>
        <w:tc>
          <w:tcPr>
            <w:tcW w:w="1704" w:type="dxa"/>
          </w:tcPr>
          <w:p w:rsidR="00FC7360" w:rsidRPr="00611389" w:rsidRDefault="00FC7360" w:rsidP="009D5DFA">
            <w:pPr>
              <w:pStyle w:val="Tabletext"/>
              <w:jc w:val="center"/>
            </w:pPr>
            <w:r w:rsidRPr="00611389">
              <w:t>4.2 (2.7 - 6.7)</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0.035</w:t>
            </w:r>
          </w:p>
        </w:tc>
        <w:tc>
          <w:tcPr>
            <w:tcW w:w="1066" w:type="dxa"/>
          </w:tcPr>
          <w:p w:rsidR="00FC7360" w:rsidRPr="00611389" w:rsidRDefault="00FC7360" w:rsidP="009D5DFA">
            <w:pPr>
              <w:pStyle w:val="Tabletext"/>
              <w:jc w:val="center"/>
            </w:pPr>
            <w:r w:rsidRPr="00611389">
              <w:t>29</w:t>
            </w:r>
          </w:p>
        </w:tc>
        <w:tc>
          <w:tcPr>
            <w:tcW w:w="1066" w:type="dxa"/>
          </w:tcPr>
          <w:p w:rsidR="00FC7360" w:rsidRPr="00611389" w:rsidRDefault="00FC7360" w:rsidP="009D5DFA">
            <w:pPr>
              <w:pStyle w:val="Tabletext"/>
              <w:jc w:val="center"/>
            </w:pPr>
            <w:r w:rsidRPr="00611389">
              <w:t>829</w:t>
            </w:r>
          </w:p>
        </w:tc>
        <w:tc>
          <w:tcPr>
            <w:tcW w:w="1067" w:type="dxa"/>
          </w:tcPr>
          <w:p w:rsidR="00FC7360" w:rsidRPr="00611389" w:rsidRDefault="00FC7360" w:rsidP="009D5DFA">
            <w:pPr>
              <w:pStyle w:val="Tabletext"/>
              <w:jc w:val="center"/>
            </w:pPr>
            <w:r w:rsidRPr="00611389">
              <w:t>429</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0.008</w:t>
            </w:r>
          </w:p>
        </w:tc>
        <w:tc>
          <w:tcPr>
            <w:tcW w:w="1066" w:type="dxa"/>
          </w:tcPr>
          <w:p w:rsidR="00FC7360" w:rsidRPr="00611389" w:rsidRDefault="00FC7360" w:rsidP="009D5DFA">
            <w:pPr>
              <w:pStyle w:val="Tabletext"/>
              <w:jc w:val="center"/>
            </w:pPr>
            <w:r w:rsidRPr="00611389">
              <w:t>50</w:t>
            </w:r>
          </w:p>
        </w:tc>
        <w:tc>
          <w:tcPr>
            <w:tcW w:w="1066" w:type="dxa"/>
          </w:tcPr>
          <w:p w:rsidR="00FC7360" w:rsidRPr="00611389" w:rsidRDefault="00FC7360" w:rsidP="009D5DFA">
            <w:pPr>
              <w:pStyle w:val="Tabletext"/>
              <w:jc w:val="center"/>
            </w:pPr>
            <w:r w:rsidRPr="00611389">
              <w:t>6,022</w:t>
            </w:r>
          </w:p>
        </w:tc>
        <w:tc>
          <w:tcPr>
            <w:tcW w:w="1066" w:type="dxa"/>
          </w:tcPr>
          <w:p w:rsidR="00FC7360" w:rsidRPr="00611389" w:rsidRDefault="00FC7360" w:rsidP="009D5DFA">
            <w:pPr>
              <w:pStyle w:val="Tabletext"/>
              <w:jc w:val="center"/>
            </w:pPr>
            <w:r w:rsidRPr="00611389">
              <w:t>3,036</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2.0</w:t>
            </w:r>
          </w:p>
        </w:tc>
      </w:tr>
      <w:tr w:rsidR="00FC7360" w:rsidTr="00E13936">
        <w:tc>
          <w:tcPr>
            <w:tcW w:w="2097" w:type="dxa"/>
          </w:tcPr>
          <w:p w:rsidR="00FC7360" w:rsidRPr="008931AA" w:rsidRDefault="008931AA" w:rsidP="00D9506B">
            <w:pPr>
              <w:pStyle w:val="Tabletext"/>
              <w:ind w:left="113"/>
            </w:pPr>
            <w:r>
              <w:rPr>
                <w:noProof/>
              </w:rPr>
              <w:t>Forsell (2007)</w:t>
            </w:r>
          </w:p>
        </w:tc>
        <w:tc>
          <w:tcPr>
            <w:tcW w:w="1704" w:type="dxa"/>
          </w:tcPr>
          <w:p w:rsidR="00FC7360" w:rsidRPr="00611389" w:rsidRDefault="00FC7360" w:rsidP="009D5DFA">
            <w:pPr>
              <w:pStyle w:val="Tabletext"/>
              <w:jc w:val="center"/>
            </w:pPr>
            <w:r w:rsidRPr="00611389">
              <w:t>3.6 (2.7 - 4.8)</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0.048</w:t>
            </w:r>
          </w:p>
        </w:tc>
        <w:tc>
          <w:tcPr>
            <w:tcW w:w="1066" w:type="dxa"/>
          </w:tcPr>
          <w:p w:rsidR="00FC7360" w:rsidRPr="00611389" w:rsidRDefault="00FC7360" w:rsidP="009D5DFA">
            <w:pPr>
              <w:pStyle w:val="Tabletext"/>
              <w:jc w:val="center"/>
            </w:pPr>
            <w:r w:rsidRPr="00611389">
              <w:t>58</w:t>
            </w:r>
          </w:p>
        </w:tc>
        <w:tc>
          <w:tcPr>
            <w:tcW w:w="1066" w:type="dxa"/>
          </w:tcPr>
          <w:p w:rsidR="00FC7360" w:rsidRPr="00611389" w:rsidRDefault="00FC7360" w:rsidP="009D5DFA">
            <w:pPr>
              <w:pStyle w:val="Tabletext"/>
              <w:jc w:val="center"/>
            </w:pPr>
            <w:r w:rsidRPr="00611389">
              <w:t>1,216</w:t>
            </w:r>
          </w:p>
        </w:tc>
        <w:tc>
          <w:tcPr>
            <w:tcW w:w="1067" w:type="dxa"/>
          </w:tcPr>
          <w:p w:rsidR="00FC7360" w:rsidRPr="00611389" w:rsidRDefault="00FC7360" w:rsidP="009D5DFA">
            <w:pPr>
              <w:pStyle w:val="Tabletext"/>
              <w:jc w:val="center"/>
            </w:pPr>
            <w:r w:rsidRPr="00611389">
              <w:t>435</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0.013</w:t>
            </w:r>
          </w:p>
        </w:tc>
        <w:tc>
          <w:tcPr>
            <w:tcW w:w="1066" w:type="dxa"/>
          </w:tcPr>
          <w:p w:rsidR="00FC7360" w:rsidRPr="00611389" w:rsidRDefault="00FC7360" w:rsidP="009D5DFA">
            <w:pPr>
              <w:pStyle w:val="Tabletext"/>
              <w:jc w:val="center"/>
            </w:pPr>
            <w:r w:rsidRPr="00611389">
              <w:t>289</w:t>
            </w:r>
          </w:p>
        </w:tc>
        <w:tc>
          <w:tcPr>
            <w:tcW w:w="1066" w:type="dxa"/>
          </w:tcPr>
          <w:p w:rsidR="00FC7360" w:rsidRPr="00611389" w:rsidRDefault="00FC7360" w:rsidP="009D5DFA">
            <w:pPr>
              <w:pStyle w:val="Tabletext"/>
              <w:jc w:val="center"/>
            </w:pPr>
            <w:r w:rsidRPr="00611389">
              <w:t>22,034</w:t>
            </w:r>
          </w:p>
        </w:tc>
        <w:tc>
          <w:tcPr>
            <w:tcW w:w="1066" w:type="dxa"/>
          </w:tcPr>
          <w:p w:rsidR="00FC7360" w:rsidRPr="00611389" w:rsidRDefault="00FC7360" w:rsidP="009D5DFA">
            <w:pPr>
              <w:pStyle w:val="Tabletext"/>
              <w:jc w:val="center"/>
            </w:pPr>
            <w:r w:rsidRPr="00611389">
              <w:t>7,490</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3.0</w:t>
            </w:r>
          </w:p>
        </w:tc>
      </w:tr>
      <w:tr w:rsidR="00FC7360" w:rsidTr="00E13936">
        <w:tc>
          <w:tcPr>
            <w:tcW w:w="2097" w:type="dxa"/>
          </w:tcPr>
          <w:p w:rsidR="00FC7360" w:rsidRPr="008931AA" w:rsidRDefault="008931AA" w:rsidP="00D9506B">
            <w:pPr>
              <w:pStyle w:val="Tabletext"/>
              <w:ind w:left="113"/>
            </w:pPr>
            <w:r>
              <w:rPr>
                <w:noProof/>
              </w:rPr>
              <w:t>Horwath</w:t>
            </w:r>
            <w:r w:rsidRPr="008931AA">
              <w:rPr>
                <w:i/>
                <w:noProof/>
              </w:rPr>
              <w:t xml:space="preserve"> et al.</w:t>
            </w:r>
            <w:r>
              <w:rPr>
                <w:noProof/>
              </w:rPr>
              <w:t xml:space="preserve"> (1992)</w:t>
            </w:r>
          </w:p>
        </w:tc>
        <w:tc>
          <w:tcPr>
            <w:tcW w:w="1704" w:type="dxa"/>
          </w:tcPr>
          <w:p w:rsidR="00FC7360" w:rsidRPr="00611389" w:rsidRDefault="00FC7360" w:rsidP="009D5DFA">
            <w:pPr>
              <w:pStyle w:val="Tabletext"/>
              <w:jc w:val="center"/>
            </w:pPr>
            <w:r w:rsidRPr="00611389">
              <w:t>4.4 (3.1 - 6.1)</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0.034</w:t>
            </w:r>
          </w:p>
        </w:tc>
        <w:tc>
          <w:tcPr>
            <w:tcW w:w="1066" w:type="dxa"/>
          </w:tcPr>
          <w:p w:rsidR="00FC7360" w:rsidRPr="00611389" w:rsidRDefault="00FC7360" w:rsidP="009D5DFA">
            <w:pPr>
              <w:pStyle w:val="Tabletext"/>
              <w:jc w:val="center"/>
            </w:pPr>
            <w:r w:rsidRPr="00611389">
              <w:t>80</w:t>
            </w:r>
          </w:p>
        </w:tc>
        <w:tc>
          <w:tcPr>
            <w:tcW w:w="1066" w:type="dxa"/>
          </w:tcPr>
          <w:p w:rsidR="00FC7360" w:rsidRPr="00611389" w:rsidRDefault="00FC7360" w:rsidP="009D5DFA">
            <w:pPr>
              <w:pStyle w:val="Tabletext"/>
              <w:jc w:val="center"/>
            </w:pPr>
            <w:r w:rsidRPr="00611389">
              <w:t>2,369</w:t>
            </w:r>
          </w:p>
        </w:tc>
        <w:tc>
          <w:tcPr>
            <w:tcW w:w="1067" w:type="dxa"/>
          </w:tcPr>
          <w:p w:rsidR="00FC7360" w:rsidRPr="00611389" w:rsidRDefault="00FC7360" w:rsidP="009D5DFA">
            <w:pPr>
              <w:pStyle w:val="Tabletext"/>
              <w:jc w:val="center"/>
            </w:pPr>
            <w:r w:rsidRPr="00611389">
              <w:t>2,369</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0.008</w:t>
            </w:r>
          </w:p>
        </w:tc>
        <w:tc>
          <w:tcPr>
            <w:tcW w:w="1066" w:type="dxa"/>
          </w:tcPr>
          <w:p w:rsidR="00FC7360" w:rsidRPr="00611389" w:rsidRDefault="00FC7360" w:rsidP="009D5DFA">
            <w:pPr>
              <w:pStyle w:val="Tabletext"/>
              <w:jc w:val="center"/>
            </w:pPr>
            <w:r w:rsidRPr="00611389">
              <w:t>58</w:t>
            </w:r>
          </w:p>
        </w:tc>
        <w:tc>
          <w:tcPr>
            <w:tcW w:w="1066" w:type="dxa"/>
          </w:tcPr>
          <w:p w:rsidR="00FC7360" w:rsidRPr="00611389" w:rsidRDefault="00FC7360" w:rsidP="009D5DFA">
            <w:pPr>
              <w:pStyle w:val="Tabletext"/>
              <w:jc w:val="center"/>
            </w:pPr>
            <w:r w:rsidRPr="00611389">
              <w:t>7,531</w:t>
            </w:r>
          </w:p>
        </w:tc>
        <w:tc>
          <w:tcPr>
            <w:tcW w:w="1066" w:type="dxa"/>
          </w:tcPr>
          <w:p w:rsidR="00FC7360" w:rsidRPr="00611389" w:rsidRDefault="00FC7360" w:rsidP="009D5DFA">
            <w:pPr>
              <w:pStyle w:val="Tabletext"/>
              <w:jc w:val="center"/>
            </w:pPr>
            <w:r w:rsidRPr="00611389">
              <w:t>7,531</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1.0</w:t>
            </w:r>
          </w:p>
        </w:tc>
      </w:tr>
      <w:tr w:rsidR="00FC7360" w:rsidTr="00B326B8">
        <w:tc>
          <w:tcPr>
            <w:tcW w:w="2097" w:type="dxa"/>
          </w:tcPr>
          <w:p w:rsidR="00FC7360" w:rsidRPr="008931AA" w:rsidRDefault="00F51575" w:rsidP="00F51575">
            <w:pPr>
              <w:pStyle w:val="Tabletext"/>
              <w:ind w:left="113"/>
            </w:pPr>
            <w:r>
              <w:rPr>
                <w:noProof/>
              </w:rPr>
              <w:t>Jinnin</w:t>
            </w:r>
            <w:r w:rsidRPr="00F51575">
              <w:rPr>
                <w:i/>
                <w:noProof/>
              </w:rPr>
              <w:t xml:space="preserve"> et al.</w:t>
            </w:r>
            <w:r>
              <w:rPr>
                <w:noProof/>
              </w:rPr>
              <w:t xml:space="preserve"> (2017)</w:t>
            </w:r>
          </w:p>
        </w:tc>
        <w:tc>
          <w:tcPr>
            <w:tcW w:w="1704" w:type="dxa"/>
          </w:tcPr>
          <w:p w:rsidR="00FC7360" w:rsidRPr="00611389" w:rsidRDefault="00F51575" w:rsidP="009D5DFA">
            <w:pPr>
              <w:pStyle w:val="Tabletext"/>
              <w:jc w:val="center"/>
            </w:pPr>
            <w:r>
              <w:t>17.1 (0.9 – 330.4)</w:t>
            </w:r>
          </w:p>
        </w:tc>
        <w:tc>
          <w:tcPr>
            <w:tcW w:w="283" w:type="dxa"/>
          </w:tcPr>
          <w:p w:rsidR="00FC7360" w:rsidRPr="00611389" w:rsidRDefault="00FC7360" w:rsidP="009D5DFA">
            <w:pPr>
              <w:pStyle w:val="Tabletext"/>
            </w:pPr>
          </w:p>
        </w:tc>
        <w:tc>
          <w:tcPr>
            <w:tcW w:w="1066" w:type="dxa"/>
          </w:tcPr>
          <w:p w:rsidR="00FC7360" w:rsidRPr="00611389" w:rsidRDefault="00994811" w:rsidP="009D5DFA">
            <w:pPr>
              <w:pStyle w:val="Tabletext"/>
              <w:jc w:val="center"/>
            </w:pPr>
            <w:r>
              <w:t>0.070</w:t>
            </w:r>
          </w:p>
        </w:tc>
        <w:tc>
          <w:tcPr>
            <w:tcW w:w="1066" w:type="dxa"/>
          </w:tcPr>
          <w:p w:rsidR="00FC7360" w:rsidRPr="00611389" w:rsidRDefault="00994811" w:rsidP="009D5DFA">
            <w:pPr>
              <w:pStyle w:val="Tabletext"/>
              <w:jc w:val="center"/>
            </w:pPr>
            <w:r>
              <w:t>4</w:t>
            </w:r>
            <w:r w:rsidR="00AD7BC8">
              <w:t>.5</w:t>
            </w:r>
            <w:r w:rsidR="00F75B1E">
              <w:t xml:space="preserve"> *</w:t>
            </w:r>
          </w:p>
        </w:tc>
        <w:tc>
          <w:tcPr>
            <w:tcW w:w="1066" w:type="dxa"/>
          </w:tcPr>
          <w:p w:rsidR="00FC7360" w:rsidRPr="00611389" w:rsidRDefault="00994811" w:rsidP="009D5DFA">
            <w:pPr>
              <w:pStyle w:val="Tabletext"/>
              <w:jc w:val="center"/>
            </w:pPr>
            <w:r>
              <w:t>50</w:t>
            </w:r>
          </w:p>
        </w:tc>
        <w:tc>
          <w:tcPr>
            <w:tcW w:w="1067" w:type="dxa"/>
          </w:tcPr>
          <w:p w:rsidR="00FC7360" w:rsidRPr="00611389" w:rsidRDefault="00994811" w:rsidP="009D5DFA">
            <w:pPr>
              <w:pStyle w:val="Tabletext"/>
              <w:jc w:val="center"/>
            </w:pPr>
            <w:r>
              <w:t>52</w:t>
            </w:r>
            <w:r w:rsidR="00AD7BC8">
              <w:t>.5</w:t>
            </w:r>
            <w:r w:rsidR="00F75B1E">
              <w:t xml:space="preserve"> *</w:t>
            </w:r>
          </w:p>
        </w:tc>
        <w:tc>
          <w:tcPr>
            <w:tcW w:w="284" w:type="dxa"/>
          </w:tcPr>
          <w:p w:rsidR="00FC7360" w:rsidRPr="00611389" w:rsidRDefault="00FC7360" w:rsidP="009D5DFA">
            <w:pPr>
              <w:pStyle w:val="Tabletext"/>
            </w:pPr>
          </w:p>
        </w:tc>
        <w:tc>
          <w:tcPr>
            <w:tcW w:w="1066" w:type="dxa"/>
          </w:tcPr>
          <w:p w:rsidR="00FC7360" w:rsidRPr="00611389" w:rsidRDefault="00AD7BC8" w:rsidP="009D5DFA">
            <w:pPr>
              <w:pStyle w:val="Tabletext"/>
              <w:jc w:val="center"/>
            </w:pPr>
            <w:r>
              <w:t>0.004</w:t>
            </w:r>
          </w:p>
        </w:tc>
        <w:tc>
          <w:tcPr>
            <w:tcW w:w="1066" w:type="dxa"/>
          </w:tcPr>
          <w:p w:rsidR="00FC7360" w:rsidRPr="00611389" w:rsidRDefault="00AD7BC8" w:rsidP="009D5DFA">
            <w:pPr>
              <w:pStyle w:val="Tabletext"/>
              <w:jc w:val="center"/>
            </w:pPr>
            <w:r>
              <w:t>0.5</w:t>
            </w:r>
            <w:r w:rsidR="00F75B1E">
              <w:t xml:space="preserve"> *</w:t>
            </w:r>
          </w:p>
        </w:tc>
        <w:tc>
          <w:tcPr>
            <w:tcW w:w="1066" w:type="dxa"/>
          </w:tcPr>
          <w:p w:rsidR="00FC7360" w:rsidRPr="00611389" w:rsidRDefault="00AD7BC8" w:rsidP="009D5DFA">
            <w:pPr>
              <w:pStyle w:val="Tabletext"/>
              <w:jc w:val="center"/>
            </w:pPr>
            <w:r>
              <w:t>121</w:t>
            </w:r>
          </w:p>
        </w:tc>
        <w:tc>
          <w:tcPr>
            <w:tcW w:w="1066" w:type="dxa"/>
          </w:tcPr>
          <w:p w:rsidR="00FC7360" w:rsidRPr="00611389" w:rsidRDefault="00AD7BC8" w:rsidP="009D5DFA">
            <w:pPr>
              <w:pStyle w:val="Tabletext"/>
              <w:jc w:val="center"/>
            </w:pPr>
            <w:r>
              <w:t>121.5</w:t>
            </w:r>
            <w:r w:rsidR="00F75B1E">
              <w:t xml:space="preserve"> *</w:t>
            </w:r>
          </w:p>
        </w:tc>
        <w:tc>
          <w:tcPr>
            <w:tcW w:w="281" w:type="dxa"/>
          </w:tcPr>
          <w:p w:rsidR="00FC7360" w:rsidRPr="00611389" w:rsidRDefault="00FC7360" w:rsidP="009D5DFA">
            <w:pPr>
              <w:pStyle w:val="Tabletext"/>
            </w:pPr>
          </w:p>
        </w:tc>
        <w:tc>
          <w:tcPr>
            <w:tcW w:w="985" w:type="dxa"/>
          </w:tcPr>
          <w:p w:rsidR="00FC7360" w:rsidRPr="00611389" w:rsidRDefault="00D96C9D" w:rsidP="007D37B6">
            <w:pPr>
              <w:pStyle w:val="Tabletext"/>
              <w:jc w:val="center"/>
            </w:pPr>
            <w:r>
              <w:t>1.0</w:t>
            </w:r>
          </w:p>
        </w:tc>
      </w:tr>
      <w:tr w:rsidR="00FC7360" w:rsidTr="00B326B8">
        <w:tc>
          <w:tcPr>
            <w:tcW w:w="2097" w:type="dxa"/>
            <w:tcBorders>
              <w:bottom w:val="single" w:sz="4" w:space="0" w:color="auto"/>
            </w:tcBorders>
          </w:tcPr>
          <w:p w:rsidR="001041FF" w:rsidRPr="008931AA" w:rsidRDefault="00F51575" w:rsidP="00D9506B">
            <w:pPr>
              <w:pStyle w:val="Tabletext"/>
              <w:ind w:left="113"/>
            </w:pPr>
            <w:r>
              <w:rPr>
                <w:noProof/>
              </w:rPr>
              <w:t>Peters</w:t>
            </w:r>
            <w:r w:rsidRPr="00F51575">
              <w:rPr>
                <w:i/>
                <w:noProof/>
              </w:rPr>
              <w:t xml:space="preserve"> et al.</w:t>
            </w:r>
            <w:r>
              <w:rPr>
                <w:noProof/>
              </w:rPr>
              <w:t xml:space="preserve"> (2015)</w:t>
            </w:r>
          </w:p>
        </w:tc>
        <w:tc>
          <w:tcPr>
            <w:tcW w:w="1704" w:type="dxa"/>
            <w:tcBorders>
              <w:bottom w:val="single" w:sz="4" w:space="0" w:color="auto"/>
            </w:tcBorders>
          </w:tcPr>
          <w:p w:rsidR="00FC7360" w:rsidRPr="00611389" w:rsidRDefault="00FC7360" w:rsidP="00F51575">
            <w:pPr>
              <w:pStyle w:val="Tabletext"/>
              <w:jc w:val="center"/>
            </w:pPr>
            <w:r w:rsidRPr="00611389">
              <w:t>1</w:t>
            </w:r>
            <w:r w:rsidR="00F51575">
              <w:t>.3</w:t>
            </w:r>
            <w:r w:rsidRPr="00611389">
              <w:t xml:space="preserve"> (1.</w:t>
            </w:r>
            <w:r w:rsidR="00F51575">
              <w:t>1</w:t>
            </w:r>
            <w:r w:rsidRPr="00611389">
              <w:t xml:space="preserve"> - 1.</w:t>
            </w:r>
            <w:r w:rsidR="00F51575">
              <w:t>5</w:t>
            </w:r>
            <w:r w:rsidRPr="00611389">
              <w:t>)</w:t>
            </w:r>
          </w:p>
        </w:tc>
        <w:tc>
          <w:tcPr>
            <w:tcW w:w="283" w:type="dxa"/>
            <w:tcBorders>
              <w:bottom w:val="single" w:sz="4" w:space="0" w:color="auto"/>
            </w:tcBorders>
          </w:tcPr>
          <w:p w:rsidR="00FC7360" w:rsidRPr="00611389" w:rsidRDefault="00FC7360" w:rsidP="009D5DFA">
            <w:pPr>
              <w:pStyle w:val="Tabletext"/>
            </w:pPr>
          </w:p>
        </w:tc>
        <w:tc>
          <w:tcPr>
            <w:tcW w:w="1066" w:type="dxa"/>
            <w:tcBorders>
              <w:bottom w:val="single" w:sz="4" w:space="0" w:color="auto"/>
            </w:tcBorders>
          </w:tcPr>
          <w:p w:rsidR="00FC7360" w:rsidRPr="00611389" w:rsidRDefault="00994811" w:rsidP="009D5DFA">
            <w:pPr>
              <w:pStyle w:val="Tabletext"/>
              <w:jc w:val="center"/>
            </w:pPr>
            <w:r>
              <w:t>0.016</w:t>
            </w:r>
          </w:p>
        </w:tc>
        <w:tc>
          <w:tcPr>
            <w:tcW w:w="1066" w:type="dxa"/>
            <w:tcBorders>
              <w:bottom w:val="single" w:sz="4" w:space="0" w:color="auto"/>
            </w:tcBorders>
          </w:tcPr>
          <w:p w:rsidR="00FC7360" w:rsidRPr="00611389" w:rsidRDefault="00994811" w:rsidP="009D5DFA">
            <w:pPr>
              <w:pStyle w:val="Tabletext"/>
              <w:jc w:val="center"/>
            </w:pPr>
            <w:r>
              <w:t>184</w:t>
            </w:r>
          </w:p>
        </w:tc>
        <w:tc>
          <w:tcPr>
            <w:tcW w:w="1066" w:type="dxa"/>
            <w:tcBorders>
              <w:bottom w:val="single" w:sz="4" w:space="0" w:color="auto"/>
            </w:tcBorders>
          </w:tcPr>
          <w:p w:rsidR="00FC7360" w:rsidRPr="00611389" w:rsidRDefault="00994811" w:rsidP="009D5DFA">
            <w:pPr>
              <w:pStyle w:val="Tabletext"/>
              <w:jc w:val="center"/>
            </w:pPr>
            <w:r>
              <w:t>11,425</w:t>
            </w:r>
          </w:p>
        </w:tc>
        <w:tc>
          <w:tcPr>
            <w:tcW w:w="1067" w:type="dxa"/>
            <w:tcBorders>
              <w:bottom w:val="single" w:sz="4" w:space="0" w:color="auto"/>
            </w:tcBorders>
          </w:tcPr>
          <w:p w:rsidR="00FC7360" w:rsidRPr="00611389" w:rsidRDefault="00994811" w:rsidP="009D5DFA">
            <w:pPr>
              <w:pStyle w:val="Tabletext"/>
              <w:jc w:val="center"/>
            </w:pPr>
            <w:r>
              <w:t>3,901</w:t>
            </w:r>
          </w:p>
        </w:tc>
        <w:tc>
          <w:tcPr>
            <w:tcW w:w="284" w:type="dxa"/>
            <w:tcBorders>
              <w:bottom w:val="single" w:sz="4" w:space="0" w:color="auto"/>
            </w:tcBorders>
          </w:tcPr>
          <w:p w:rsidR="00FC7360" w:rsidRPr="00611389" w:rsidRDefault="00FC7360" w:rsidP="009D5DFA">
            <w:pPr>
              <w:pStyle w:val="Tabletext"/>
            </w:pPr>
          </w:p>
        </w:tc>
        <w:tc>
          <w:tcPr>
            <w:tcW w:w="1066" w:type="dxa"/>
            <w:tcBorders>
              <w:bottom w:val="single" w:sz="4" w:space="0" w:color="auto"/>
            </w:tcBorders>
          </w:tcPr>
          <w:p w:rsidR="00FC7360" w:rsidRPr="00611389" w:rsidRDefault="00AD7BC8" w:rsidP="009D5DFA">
            <w:pPr>
              <w:pStyle w:val="Tabletext"/>
              <w:jc w:val="center"/>
            </w:pPr>
            <w:r>
              <w:t>0.012</w:t>
            </w:r>
          </w:p>
        </w:tc>
        <w:tc>
          <w:tcPr>
            <w:tcW w:w="1066" w:type="dxa"/>
            <w:tcBorders>
              <w:bottom w:val="single" w:sz="4" w:space="0" w:color="auto"/>
            </w:tcBorders>
          </w:tcPr>
          <w:p w:rsidR="00FC7360" w:rsidRPr="00611389" w:rsidRDefault="003901D5" w:rsidP="009D5DFA">
            <w:pPr>
              <w:pStyle w:val="Tabletext"/>
              <w:jc w:val="center"/>
            </w:pPr>
            <w:r>
              <w:t>1,130</w:t>
            </w:r>
          </w:p>
        </w:tc>
        <w:tc>
          <w:tcPr>
            <w:tcW w:w="1066" w:type="dxa"/>
            <w:tcBorders>
              <w:bottom w:val="single" w:sz="4" w:space="0" w:color="auto"/>
            </w:tcBorders>
          </w:tcPr>
          <w:p w:rsidR="00FC7360" w:rsidRPr="00611389" w:rsidRDefault="003901D5" w:rsidP="009D5DFA">
            <w:pPr>
              <w:pStyle w:val="Tabletext"/>
              <w:jc w:val="center"/>
            </w:pPr>
            <w:r>
              <w:t>91,361</w:t>
            </w:r>
          </w:p>
        </w:tc>
        <w:tc>
          <w:tcPr>
            <w:tcW w:w="1066" w:type="dxa"/>
            <w:tcBorders>
              <w:bottom w:val="single" w:sz="4" w:space="0" w:color="auto"/>
            </w:tcBorders>
          </w:tcPr>
          <w:p w:rsidR="00FC7360" w:rsidRPr="00611389" w:rsidRDefault="0058445D" w:rsidP="009D5DFA">
            <w:pPr>
              <w:pStyle w:val="Tabletext"/>
              <w:jc w:val="center"/>
            </w:pPr>
            <w:r>
              <w:t>31,022</w:t>
            </w:r>
          </w:p>
        </w:tc>
        <w:tc>
          <w:tcPr>
            <w:tcW w:w="281" w:type="dxa"/>
            <w:tcBorders>
              <w:bottom w:val="single" w:sz="4" w:space="0" w:color="auto"/>
            </w:tcBorders>
          </w:tcPr>
          <w:p w:rsidR="00FC7360" w:rsidRPr="00611389" w:rsidRDefault="00FC7360" w:rsidP="009D5DFA">
            <w:pPr>
              <w:pStyle w:val="Tabletext"/>
            </w:pPr>
          </w:p>
        </w:tc>
        <w:tc>
          <w:tcPr>
            <w:tcW w:w="985" w:type="dxa"/>
            <w:tcBorders>
              <w:bottom w:val="single" w:sz="4" w:space="0" w:color="auto"/>
            </w:tcBorders>
          </w:tcPr>
          <w:p w:rsidR="00E97124" w:rsidRPr="00611389" w:rsidRDefault="00FC7360" w:rsidP="001E2920">
            <w:pPr>
              <w:pStyle w:val="Tabletext"/>
              <w:jc w:val="center"/>
            </w:pPr>
            <w:r w:rsidRPr="00611389">
              <w:t>3.0</w:t>
            </w:r>
          </w:p>
        </w:tc>
      </w:tr>
      <w:tr w:rsidR="00D8724B" w:rsidTr="00D8724B">
        <w:tc>
          <w:tcPr>
            <w:tcW w:w="14163" w:type="dxa"/>
            <w:gridSpan w:val="14"/>
          </w:tcPr>
          <w:p w:rsidR="00D8724B" w:rsidRPr="0010429A" w:rsidRDefault="00D8724B" w:rsidP="0060297F">
            <w:pPr>
              <w:pStyle w:val="Tabletext"/>
              <w:rPr>
                <w:i/>
              </w:rPr>
            </w:pPr>
            <w:r w:rsidRPr="0010429A">
              <w:rPr>
                <w:i/>
              </w:rPr>
              <w:lastRenderedPageBreak/>
              <w:t xml:space="preserve">Studies conducted in community-based </w:t>
            </w:r>
            <w:r>
              <w:rPr>
                <w:i/>
              </w:rPr>
              <w:t>elderly</w:t>
            </w:r>
            <w:r w:rsidRPr="0010429A">
              <w:rPr>
                <w:i/>
              </w:rPr>
              <w:t xml:space="preserve"> samples</w:t>
            </w:r>
          </w:p>
        </w:tc>
      </w:tr>
      <w:tr w:rsidR="00D8724B" w:rsidTr="00D8724B">
        <w:tc>
          <w:tcPr>
            <w:tcW w:w="2097" w:type="dxa"/>
          </w:tcPr>
          <w:p w:rsidR="00D8724B" w:rsidRPr="008931AA" w:rsidRDefault="00D8724B" w:rsidP="00D9506B">
            <w:pPr>
              <w:pStyle w:val="Tabletext"/>
              <w:ind w:left="113"/>
            </w:pPr>
            <w:r>
              <w:rPr>
                <w:noProof/>
              </w:rPr>
              <w:t>Beekman</w:t>
            </w:r>
            <w:r w:rsidRPr="00112D67">
              <w:rPr>
                <w:i/>
                <w:noProof/>
              </w:rPr>
              <w:t xml:space="preserve"> et al.</w:t>
            </w:r>
            <w:r>
              <w:rPr>
                <w:noProof/>
              </w:rPr>
              <w:t xml:space="preserve"> (2002)</w:t>
            </w:r>
          </w:p>
        </w:tc>
        <w:tc>
          <w:tcPr>
            <w:tcW w:w="1704" w:type="dxa"/>
          </w:tcPr>
          <w:p w:rsidR="00D8724B" w:rsidRPr="00611389" w:rsidRDefault="00D8724B" w:rsidP="0060297F">
            <w:pPr>
              <w:pStyle w:val="Tabletext"/>
              <w:jc w:val="center"/>
            </w:pPr>
            <w:r>
              <w:t>2.5 (1.7 - 3.6)</w:t>
            </w:r>
          </w:p>
        </w:tc>
        <w:tc>
          <w:tcPr>
            <w:tcW w:w="283" w:type="dxa"/>
          </w:tcPr>
          <w:p w:rsidR="00D8724B" w:rsidRPr="00611389" w:rsidRDefault="00D8724B" w:rsidP="0060297F">
            <w:pPr>
              <w:pStyle w:val="Tabletext"/>
            </w:pPr>
          </w:p>
        </w:tc>
        <w:tc>
          <w:tcPr>
            <w:tcW w:w="1066" w:type="dxa"/>
          </w:tcPr>
          <w:p w:rsidR="00D8724B" w:rsidRPr="00611389" w:rsidRDefault="00D8724B" w:rsidP="0060297F">
            <w:pPr>
              <w:pStyle w:val="Tabletext"/>
              <w:jc w:val="center"/>
            </w:pPr>
            <w:r>
              <w:t>0.052</w:t>
            </w:r>
          </w:p>
        </w:tc>
        <w:tc>
          <w:tcPr>
            <w:tcW w:w="1066" w:type="dxa"/>
          </w:tcPr>
          <w:p w:rsidR="00D8724B" w:rsidRPr="00611389" w:rsidRDefault="00D8724B" w:rsidP="0060297F">
            <w:pPr>
              <w:pStyle w:val="Tabletext"/>
              <w:jc w:val="center"/>
            </w:pPr>
            <w:r>
              <w:t>75</w:t>
            </w:r>
          </w:p>
        </w:tc>
        <w:tc>
          <w:tcPr>
            <w:tcW w:w="1066" w:type="dxa"/>
          </w:tcPr>
          <w:p w:rsidR="00D8724B" w:rsidRPr="00611389" w:rsidRDefault="00D8724B" w:rsidP="0060297F">
            <w:pPr>
              <w:pStyle w:val="Tabletext"/>
              <w:jc w:val="center"/>
            </w:pPr>
            <w:r>
              <w:t>1,426</w:t>
            </w:r>
          </w:p>
        </w:tc>
        <w:tc>
          <w:tcPr>
            <w:tcW w:w="1067" w:type="dxa"/>
          </w:tcPr>
          <w:p w:rsidR="00D8724B" w:rsidRPr="00611389" w:rsidRDefault="00D8724B" w:rsidP="0060297F">
            <w:pPr>
              <w:pStyle w:val="Tabletext"/>
              <w:jc w:val="center"/>
            </w:pPr>
            <w:r>
              <w:t>277</w:t>
            </w:r>
          </w:p>
        </w:tc>
        <w:tc>
          <w:tcPr>
            <w:tcW w:w="284" w:type="dxa"/>
          </w:tcPr>
          <w:p w:rsidR="00D8724B" w:rsidRPr="00611389" w:rsidRDefault="00D8724B" w:rsidP="0060297F">
            <w:pPr>
              <w:pStyle w:val="Tabletext"/>
            </w:pPr>
          </w:p>
        </w:tc>
        <w:tc>
          <w:tcPr>
            <w:tcW w:w="1066" w:type="dxa"/>
          </w:tcPr>
          <w:p w:rsidR="00D8724B" w:rsidRPr="00611389" w:rsidRDefault="00D8724B" w:rsidP="0060297F">
            <w:pPr>
              <w:pStyle w:val="Tabletext"/>
              <w:jc w:val="center"/>
            </w:pPr>
            <w:r>
              <w:t>0.021</w:t>
            </w:r>
          </w:p>
        </w:tc>
        <w:tc>
          <w:tcPr>
            <w:tcW w:w="1066" w:type="dxa"/>
          </w:tcPr>
          <w:p w:rsidR="00D8724B" w:rsidRPr="00611389" w:rsidRDefault="00D8724B" w:rsidP="0060297F">
            <w:pPr>
              <w:pStyle w:val="Tabletext"/>
              <w:jc w:val="center"/>
            </w:pPr>
            <w:r>
              <w:t>39</w:t>
            </w:r>
          </w:p>
        </w:tc>
        <w:tc>
          <w:tcPr>
            <w:tcW w:w="1066" w:type="dxa"/>
          </w:tcPr>
          <w:p w:rsidR="00D8724B" w:rsidRPr="00611389" w:rsidRDefault="00D8724B" w:rsidP="0060297F">
            <w:pPr>
              <w:pStyle w:val="Tabletext"/>
              <w:jc w:val="center"/>
            </w:pPr>
            <w:r>
              <w:t>1,842</w:t>
            </w:r>
          </w:p>
        </w:tc>
        <w:tc>
          <w:tcPr>
            <w:tcW w:w="1066" w:type="dxa"/>
          </w:tcPr>
          <w:p w:rsidR="00D8724B" w:rsidRPr="00611389" w:rsidRDefault="00D8724B" w:rsidP="0060297F">
            <w:pPr>
              <w:pStyle w:val="Tabletext"/>
              <w:jc w:val="center"/>
            </w:pPr>
            <w:r>
              <w:t>327</w:t>
            </w:r>
          </w:p>
        </w:tc>
        <w:tc>
          <w:tcPr>
            <w:tcW w:w="281" w:type="dxa"/>
          </w:tcPr>
          <w:p w:rsidR="00D8724B" w:rsidRPr="00611389" w:rsidRDefault="00D8724B" w:rsidP="0060297F">
            <w:pPr>
              <w:pStyle w:val="Tabletext"/>
            </w:pPr>
          </w:p>
        </w:tc>
        <w:tc>
          <w:tcPr>
            <w:tcW w:w="985" w:type="dxa"/>
          </w:tcPr>
          <w:p w:rsidR="00D8724B" w:rsidRPr="00611389" w:rsidRDefault="00D8724B" w:rsidP="0060297F">
            <w:pPr>
              <w:pStyle w:val="Tabletext"/>
              <w:jc w:val="center"/>
            </w:pPr>
            <w:r>
              <w:t>6.0</w:t>
            </w:r>
          </w:p>
        </w:tc>
      </w:tr>
      <w:tr w:rsidR="0010429A" w:rsidTr="00D8724B">
        <w:tc>
          <w:tcPr>
            <w:tcW w:w="14163" w:type="dxa"/>
            <w:gridSpan w:val="14"/>
          </w:tcPr>
          <w:p w:rsidR="0010429A" w:rsidRPr="0010429A" w:rsidRDefault="0010429A" w:rsidP="007D37B6">
            <w:pPr>
              <w:pStyle w:val="Tabletext"/>
              <w:rPr>
                <w:i/>
              </w:rPr>
            </w:pPr>
            <w:r w:rsidRPr="0010429A">
              <w:rPr>
                <w:i/>
              </w:rPr>
              <w:t>Studies conducted in primary care adult samples</w:t>
            </w:r>
          </w:p>
        </w:tc>
      </w:tr>
      <w:tr w:rsidR="00FC7360" w:rsidTr="00E13936">
        <w:tc>
          <w:tcPr>
            <w:tcW w:w="2097" w:type="dxa"/>
          </w:tcPr>
          <w:p w:rsidR="00FC7360" w:rsidRPr="008931AA" w:rsidRDefault="008931AA" w:rsidP="00D9506B">
            <w:pPr>
              <w:pStyle w:val="Tabletext"/>
              <w:ind w:left="113"/>
            </w:pPr>
            <w:r>
              <w:rPr>
                <w:noProof/>
              </w:rPr>
              <w:t>Crum</w:t>
            </w:r>
            <w:r w:rsidRPr="008931AA">
              <w:rPr>
                <w:i/>
                <w:noProof/>
              </w:rPr>
              <w:t xml:space="preserve"> et al.</w:t>
            </w:r>
            <w:r>
              <w:rPr>
                <w:noProof/>
              </w:rPr>
              <w:t xml:space="preserve"> (1994)</w:t>
            </w:r>
          </w:p>
        </w:tc>
        <w:tc>
          <w:tcPr>
            <w:tcW w:w="1704" w:type="dxa"/>
          </w:tcPr>
          <w:p w:rsidR="00FC7360" w:rsidRPr="00611389" w:rsidRDefault="00FC7360" w:rsidP="009D5DFA">
            <w:pPr>
              <w:pStyle w:val="Tabletext"/>
              <w:jc w:val="center"/>
            </w:pPr>
            <w:r w:rsidRPr="00611389">
              <w:t>3.9 (2.1 - 7.0)</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0.029</w:t>
            </w:r>
          </w:p>
        </w:tc>
        <w:tc>
          <w:tcPr>
            <w:tcW w:w="1066" w:type="dxa"/>
          </w:tcPr>
          <w:p w:rsidR="00FC7360" w:rsidRPr="00611389" w:rsidRDefault="00FC7360" w:rsidP="009D5DFA">
            <w:pPr>
              <w:pStyle w:val="Tabletext"/>
              <w:jc w:val="center"/>
            </w:pPr>
            <w:r w:rsidRPr="00611389">
              <w:t>19</w:t>
            </w:r>
          </w:p>
        </w:tc>
        <w:tc>
          <w:tcPr>
            <w:tcW w:w="1066" w:type="dxa"/>
          </w:tcPr>
          <w:p w:rsidR="00FC7360" w:rsidRPr="00611389" w:rsidRDefault="00FC7360" w:rsidP="009D5DFA">
            <w:pPr>
              <w:pStyle w:val="Tabletext"/>
              <w:jc w:val="center"/>
            </w:pPr>
            <w:r w:rsidRPr="00611389">
              <w:t>654</w:t>
            </w:r>
          </w:p>
        </w:tc>
        <w:tc>
          <w:tcPr>
            <w:tcW w:w="1067" w:type="dxa"/>
          </w:tcPr>
          <w:p w:rsidR="00FC7360" w:rsidRPr="00611389" w:rsidRDefault="00FC7360" w:rsidP="009D5DFA">
            <w:pPr>
              <w:pStyle w:val="Tabletext"/>
              <w:jc w:val="center"/>
            </w:pPr>
            <w:r w:rsidRPr="00611389">
              <w:t>664</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0.007</w:t>
            </w:r>
          </w:p>
        </w:tc>
        <w:tc>
          <w:tcPr>
            <w:tcW w:w="1066" w:type="dxa"/>
          </w:tcPr>
          <w:p w:rsidR="00FC7360" w:rsidRPr="00611389" w:rsidRDefault="00FC7360" w:rsidP="009D5DFA">
            <w:pPr>
              <w:pStyle w:val="Tabletext"/>
              <w:jc w:val="center"/>
            </w:pPr>
            <w:r w:rsidRPr="00611389">
              <w:t>25</w:t>
            </w:r>
          </w:p>
        </w:tc>
        <w:tc>
          <w:tcPr>
            <w:tcW w:w="1066" w:type="dxa"/>
          </w:tcPr>
          <w:p w:rsidR="00FC7360" w:rsidRPr="00611389" w:rsidRDefault="00FC7360" w:rsidP="009D5DFA">
            <w:pPr>
              <w:pStyle w:val="Tabletext"/>
              <w:jc w:val="center"/>
            </w:pPr>
            <w:r w:rsidRPr="00611389">
              <w:t>3,335</w:t>
            </w:r>
          </w:p>
        </w:tc>
        <w:tc>
          <w:tcPr>
            <w:tcW w:w="1066" w:type="dxa"/>
          </w:tcPr>
          <w:p w:rsidR="00FC7360" w:rsidRPr="00611389" w:rsidRDefault="00FC7360" w:rsidP="009D5DFA">
            <w:pPr>
              <w:pStyle w:val="Tabletext"/>
              <w:jc w:val="center"/>
            </w:pPr>
            <w:r w:rsidRPr="00611389">
              <w:t>3,348</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1.0</w:t>
            </w:r>
          </w:p>
        </w:tc>
      </w:tr>
      <w:tr w:rsidR="00FC7360" w:rsidTr="00D8724B">
        <w:tc>
          <w:tcPr>
            <w:tcW w:w="2097" w:type="dxa"/>
          </w:tcPr>
          <w:p w:rsidR="00FC7360" w:rsidRPr="008931AA" w:rsidRDefault="008931AA" w:rsidP="00D9506B">
            <w:pPr>
              <w:pStyle w:val="Tabletext"/>
              <w:ind w:left="113"/>
            </w:pPr>
            <w:r>
              <w:rPr>
                <w:noProof/>
              </w:rPr>
              <w:t>Jackson</w:t>
            </w:r>
            <w:r w:rsidRPr="008931AA">
              <w:rPr>
                <w:i/>
                <w:noProof/>
              </w:rPr>
              <w:t xml:space="preserve"> et al.</w:t>
            </w:r>
            <w:r>
              <w:rPr>
                <w:noProof/>
              </w:rPr>
              <w:t xml:space="preserve"> (2007)</w:t>
            </w:r>
          </w:p>
        </w:tc>
        <w:tc>
          <w:tcPr>
            <w:tcW w:w="1704" w:type="dxa"/>
          </w:tcPr>
          <w:p w:rsidR="00FC7360" w:rsidRPr="00611389" w:rsidRDefault="00FC7360" w:rsidP="009D5DFA">
            <w:pPr>
              <w:pStyle w:val="Tabletext"/>
              <w:jc w:val="center"/>
            </w:pPr>
            <w:r w:rsidRPr="00611389">
              <w:t>2.1 (1.0 - 4.2)</w:t>
            </w:r>
          </w:p>
        </w:tc>
        <w:tc>
          <w:tcPr>
            <w:tcW w:w="283"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0.032</w:t>
            </w:r>
          </w:p>
        </w:tc>
        <w:tc>
          <w:tcPr>
            <w:tcW w:w="1066" w:type="dxa"/>
          </w:tcPr>
          <w:p w:rsidR="00FC7360" w:rsidRPr="00611389" w:rsidRDefault="00FC7360" w:rsidP="009D5DFA">
            <w:pPr>
              <w:pStyle w:val="Tabletext"/>
              <w:jc w:val="center"/>
            </w:pPr>
            <w:r w:rsidRPr="00611389">
              <w:t>12</w:t>
            </w:r>
          </w:p>
        </w:tc>
        <w:tc>
          <w:tcPr>
            <w:tcW w:w="1066" w:type="dxa"/>
          </w:tcPr>
          <w:p w:rsidR="00FC7360" w:rsidRPr="00611389" w:rsidRDefault="00FC7360" w:rsidP="009D5DFA">
            <w:pPr>
              <w:pStyle w:val="Tabletext"/>
              <w:jc w:val="center"/>
            </w:pPr>
            <w:r w:rsidRPr="00611389">
              <w:t>379</w:t>
            </w:r>
          </w:p>
        </w:tc>
        <w:tc>
          <w:tcPr>
            <w:tcW w:w="1067" w:type="dxa"/>
          </w:tcPr>
          <w:p w:rsidR="00FC7360" w:rsidRPr="00611389" w:rsidRDefault="00FC7360" w:rsidP="009D5DFA">
            <w:pPr>
              <w:pStyle w:val="Tabletext"/>
              <w:jc w:val="center"/>
            </w:pPr>
            <w:r w:rsidRPr="00611389">
              <w:t>82</w:t>
            </w:r>
          </w:p>
        </w:tc>
        <w:tc>
          <w:tcPr>
            <w:tcW w:w="284" w:type="dxa"/>
          </w:tcPr>
          <w:p w:rsidR="00FC7360" w:rsidRPr="00611389" w:rsidRDefault="00FC7360" w:rsidP="009D5DFA">
            <w:pPr>
              <w:pStyle w:val="Tabletext"/>
            </w:pPr>
          </w:p>
        </w:tc>
        <w:tc>
          <w:tcPr>
            <w:tcW w:w="1066" w:type="dxa"/>
          </w:tcPr>
          <w:p w:rsidR="00FC7360" w:rsidRPr="00611389" w:rsidRDefault="00FC7360" w:rsidP="009D5DFA">
            <w:pPr>
              <w:pStyle w:val="Tabletext"/>
              <w:jc w:val="center"/>
            </w:pPr>
            <w:r w:rsidRPr="00611389">
              <w:t>0.015</w:t>
            </w:r>
          </w:p>
        </w:tc>
        <w:tc>
          <w:tcPr>
            <w:tcW w:w="1066" w:type="dxa"/>
          </w:tcPr>
          <w:p w:rsidR="00FC7360" w:rsidRPr="00611389" w:rsidRDefault="00FC7360" w:rsidP="009D5DFA">
            <w:pPr>
              <w:pStyle w:val="Tabletext"/>
              <w:jc w:val="center"/>
            </w:pPr>
            <w:r w:rsidRPr="00611389">
              <w:t>23</w:t>
            </w:r>
          </w:p>
        </w:tc>
        <w:tc>
          <w:tcPr>
            <w:tcW w:w="1066" w:type="dxa"/>
          </w:tcPr>
          <w:p w:rsidR="00FC7360" w:rsidRPr="00611389" w:rsidRDefault="00FC7360" w:rsidP="009D5DFA">
            <w:pPr>
              <w:pStyle w:val="Tabletext"/>
              <w:jc w:val="center"/>
            </w:pPr>
            <w:r w:rsidRPr="00611389">
              <w:t>1,502</w:t>
            </w:r>
          </w:p>
        </w:tc>
        <w:tc>
          <w:tcPr>
            <w:tcW w:w="1066" w:type="dxa"/>
          </w:tcPr>
          <w:p w:rsidR="00FC7360" w:rsidRPr="00611389" w:rsidRDefault="00FC7360" w:rsidP="009D5DFA">
            <w:pPr>
              <w:pStyle w:val="Tabletext"/>
              <w:jc w:val="center"/>
            </w:pPr>
            <w:r w:rsidRPr="00611389">
              <w:t>312</w:t>
            </w:r>
          </w:p>
        </w:tc>
        <w:tc>
          <w:tcPr>
            <w:tcW w:w="281" w:type="dxa"/>
          </w:tcPr>
          <w:p w:rsidR="00FC7360" w:rsidRPr="00611389" w:rsidRDefault="00FC7360" w:rsidP="009D5DFA">
            <w:pPr>
              <w:pStyle w:val="Tabletext"/>
            </w:pPr>
          </w:p>
        </w:tc>
        <w:tc>
          <w:tcPr>
            <w:tcW w:w="985" w:type="dxa"/>
          </w:tcPr>
          <w:p w:rsidR="00FC7360" w:rsidRPr="00611389" w:rsidRDefault="00FC7360" w:rsidP="007D37B6">
            <w:pPr>
              <w:pStyle w:val="Tabletext"/>
              <w:jc w:val="center"/>
            </w:pPr>
            <w:r w:rsidRPr="00611389">
              <w:t>5.0</w:t>
            </w:r>
          </w:p>
        </w:tc>
      </w:tr>
      <w:tr w:rsidR="00322C8E" w:rsidTr="00D8724B">
        <w:tc>
          <w:tcPr>
            <w:tcW w:w="2097" w:type="dxa"/>
          </w:tcPr>
          <w:p w:rsidR="00322C8E" w:rsidRDefault="00322C8E" w:rsidP="00D9506B">
            <w:pPr>
              <w:pStyle w:val="Tabletext"/>
              <w:ind w:left="113"/>
            </w:pPr>
            <w:r>
              <w:rPr>
                <w:noProof/>
              </w:rPr>
              <w:t>Wagner</w:t>
            </w:r>
            <w:r w:rsidRPr="008931AA">
              <w:rPr>
                <w:i/>
                <w:noProof/>
              </w:rPr>
              <w:t xml:space="preserve"> et al.</w:t>
            </w:r>
            <w:r>
              <w:rPr>
                <w:noProof/>
              </w:rPr>
              <w:t xml:space="preserve"> (2000)</w:t>
            </w:r>
          </w:p>
        </w:tc>
        <w:tc>
          <w:tcPr>
            <w:tcW w:w="1704" w:type="dxa"/>
          </w:tcPr>
          <w:p w:rsidR="00322C8E" w:rsidRPr="00611389" w:rsidRDefault="00322C8E" w:rsidP="00322C8E">
            <w:pPr>
              <w:pStyle w:val="Tabletext"/>
              <w:jc w:val="center"/>
            </w:pPr>
            <w:r>
              <w:t>3</w:t>
            </w:r>
            <w:r w:rsidR="004B26D2">
              <w:t>0.5 (1.8 -</w:t>
            </w:r>
            <w:r w:rsidR="0034112C">
              <w:t xml:space="preserve"> 513.4</w:t>
            </w:r>
            <w:r>
              <w:t>)</w:t>
            </w:r>
          </w:p>
        </w:tc>
        <w:tc>
          <w:tcPr>
            <w:tcW w:w="283" w:type="dxa"/>
          </w:tcPr>
          <w:p w:rsidR="00322C8E" w:rsidRPr="00611389" w:rsidRDefault="00322C8E" w:rsidP="00322C8E">
            <w:pPr>
              <w:pStyle w:val="Tabletext"/>
              <w:jc w:val="center"/>
            </w:pPr>
          </w:p>
        </w:tc>
        <w:tc>
          <w:tcPr>
            <w:tcW w:w="1066" w:type="dxa"/>
          </w:tcPr>
          <w:p w:rsidR="00322C8E" w:rsidRPr="00132E0C" w:rsidRDefault="00FD4205" w:rsidP="00322C8E">
            <w:pPr>
              <w:pStyle w:val="Tabletext"/>
              <w:jc w:val="center"/>
            </w:pPr>
            <w:r>
              <w:t>0.227</w:t>
            </w:r>
          </w:p>
        </w:tc>
        <w:tc>
          <w:tcPr>
            <w:tcW w:w="1066" w:type="dxa"/>
          </w:tcPr>
          <w:p w:rsidR="00322C8E" w:rsidRPr="00132E0C" w:rsidRDefault="00FD4205" w:rsidP="00322C8E">
            <w:pPr>
              <w:pStyle w:val="Tabletext"/>
              <w:jc w:val="center"/>
            </w:pPr>
            <w:r>
              <w:t>13.5 *</w:t>
            </w:r>
          </w:p>
        </w:tc>
        <w:tc>
          <w:tcPr>
            <w:tcW w:w="1066" w:type="dxa"/>
          </w:tcPr>
          <w:p w:rsidR="00322C8E" w:rsidRPr="00132E0C" w:rsidRDefault="00322C8E" w:rsidP="00322C8E">
            <w:pPr>
              <w:pStyle w:val="Tabletext"/>
              <w:jc w:val="center"/>
            </w:pPr>
            <w:r w:rsidRPr="00132E0C">
              <w:t>59</w:t>
            </w:r>
          </w:p>
        </w:tc>
        <w:tc>
          <w:tcPr>
            <w:tcW w:w="1067" w:type="dxa"/>
          </w:tcPr>
          <w:p w:rsidR="00322C8E" w:rsidRDefault="00322C8E" w:rsidP="00322C8E">
            <w:pPr>
              <w:pStyle w:val="Tabletext"/>
              <w:jc w:val="center"/>
            </w:pPr>
            <w:r w:rsidRPr="00132E0C">
              <w:t>66</w:t>
            </w:r>
            <w:r w:rsidR="00FD4205">
              <w:t>.5 *</w:t>
            </w:r>
          </w:p>
        </w:tc>
        <w:tc>
          <w:tcPr>
            <w:tcW w:w="284" w:type="dxa"/>
          </w:tcPr>
          <w:p w:rsidR="00322C8E" w:rsidRPr="00611389" w:rsidRDefault="00322C8E" w:rsidP="00322C8E">
            <w:pPr>
              <w:pStyle w:val="Tabletext"/>
              <w:jc w:val="center"/>
            </w:pPr>
          </w:p>
        </w:tc>
        <w:tc>
          <w:tcPr>
            <w:tcW w:w="1066" w:type="dxa"/>
          </w:tcPr>
          <w:p w:rsidR="00322C8E" w:rsidRPr="005502FD" w:rsidRDefault="00322C8E" w:rsidP="00322C8E">
            <w:pPr>
              <w:pStyle w:val="Tabletext"/>
              <w:jc w:val="center"/>
            </w:pPr>
            <w:r w:rsidRPr="005502FD">
              <w:t>0.007</w:t>
            </w:r>
          </w:p>
        </w:tc>
        <w:tc>
          <w:tcPr>
            <w:tcW w:w="1066" w:type="dxa"/>
          </w:tcPr>
          <w:p w:rsidR="00322C8E" w:rsidRPr="005502FD" w:rsidRDefault="007F638B" w:rsidP="00322C8E">
            <w:pPr>
              <w:pStyle w:val="Tabletext"/>
              <w:jc w:val="center"/>
            </w:pPr>
            <w:r>
              <w:t>0.5 *</w:t>
            </w:r>
          </w:p>
        </w:tc>
        <w:tc>
          <w:tcPr>
            <w:tcW w:w="1066" w:type="dxa"/>
          </w:tcPr>
          <w:p w:rsidR="00322C8E" w:rsidRPr="005502FD" w:rsidRDefault="00322C8E" w:rsidP="00322C8E">
            <w:pPr>
              <w:pStyle w:val="Tabletext"/>
              <w:jc w:val="center"/>
            </w:pPr>
            <w:r w:rsidRPr="005502FD">
              <w:t>67</w:t>
            </w:r>
          </w:p>
        </w:tc>
        <w:tc>
          <w:tcPr>
            <w:tcW w:w="1066" w:type="dxa"/>
          </w:tcPr>
          <w:p w:rsidR="00322C8E" w:rsidRDefault="00322C8E" w:rsidP="00322C8E">
            <w:pPr>
              <w:pStyle w:val="Tabletext"/>
              <w:jc w:val="center"/>
            </w:pPr>
            <w:r w:rsidRPr="005502FD">
              <w:t>67</w:t>
            </w:r>
            <w:r w:rsidR="007F638B">
              <w:t>.5 *</w:t>
            </w:r>
          </w:p>
        </w:tc>
        <w:tc>
          <w:tcPr>
            <w:tcW w:w="281" w:type="dxa"/>
          </w:tcPr>
          <w:p w:rsidR="00322C8E" w:rsidRPr="00611389" w:rsidRDefault="00322C8E" w:rsidP="00322C8E">
            <w:pPr>
              <w:pStyle w:val="Tabletext"/>
              <w:jc w:val="center"/>
            </w:pPr>
          </w:p>
        </w:tc>
        <w:tc>
          <w:tcPr>
            <w:tcW w:w="985" w:type="dxa"/>
          </w:tcPr>
          <w:p w:rsidR="00322C8E" w:rsidRDefault="00322C8E" w:rsidP="00322C8E">
            <w:pPr>
              <w:pStyle w:val="Tabletext"/>
              <w:jc w:val="center"/>
            </w:pPr>
            <w:r w:rsidRPr="00DC628B">
              <w:t>1.0</w:t>
            </w:r>
          </w:p>
        </w:tc>
      </w:tr>
      <w:tr w:rsidR="00C01628" w:rsidTr="00D8724B">
        <w:tc>
          <w:tcPr>
            <w:tcW w:w="14163" w:type="dxa"/>
            <w:gridSpan w:val="14"/>
          </w:tcPr>
          <w:p w:rsidR="00C01628" w:rsidRPr="0010429A" w:rsidRDefault="00C01628" w:rsidP="00C01628">
            <w:pPr>
              <w:pStyle w:val="Tabletext"/>
              <w:rPr>
                <w:i/>
              </w:rPr>
            </w:pPr>
            <w:r w:rsidRPr="0010429A">
              <w:rPr>
                <w:i/>
              </w:rPr>
              <w:t xml:space="preserve">Studies conducted in </w:t>
            </w:r>
            <w:r>
              <w:rPr>
                <w:i/>
              </w:rPr>
              <w:t>primary care elderly</w:t>
            </w:r>
            <w:r w:rsidRPr="0010429A">
              <w:rPr>
                <w:i/>
              </w:rPr>
              <w:t xml:space="preserve"> samples</w:t>
            </w:r>
          </w:p>
        </w:tc>
      </w:tr>
      <w:tr w:rsidR="00C01628" w:rsidTr="00D8724B">
        <w:tc>
          <w:tcPr>
            <w:tcW w:w="2097" w:type="dxa"/>
            <w:tcBorders>
              <w:bottom w:val="single" w:sz="4" w:space="0" w:color="auto"/>
            </w:tcBorders>
          </w:tcPr>
          <w:p w:rsidR="00C01628" w:rsidRPr="008931AA" w:rsidRDefault="00112D67" w:rsidP="00D9506B">
            <w:pPr>
              <w:pStyle w:val="Tabletext"/>
              <w:ind w:left="113"/>
            </w:pPr>
            <w:r>
              <w:rPr>
                <w:noProof/>
              </w:rPr>
              <w:t>Lyness</w:t>
            </w:r>
            <w:r w:rsidRPr="00112D67">
              <w:rPr>
                <w:i/>
                <w:noProof/>
              </w:rPr>
              <w:t xml:space="preserve"> et al.</w:t>
            </w:r>
            <w:r>
              <w:rPr>
                <w:noProof/>
              </w:rPr>
              <w:t xml:space="preserve"> (2002)</w:t>
            </w:r>
          </w:p>
        </w:tc>
        <w:tc>
          <w:tcPr>
            <w:tcW w:w="1704" w:type="dxa"/>
            <w:tcBorders>
              <w:bottom w:val="single" w:sz="4" w:space="0" w:color="auto"/>
            </w:tcBorders>
          </w:tcPr>
          <w:p w:rsidR="00C01628" w:rsidRPr="00611389" w:rsidRDefault="00FD1A46" w:rsidP="00BC4208">
            <w:pPr>
              <w:pStyle w:val="Tabletext"/>
              <w:jc w:val="center"/>
            </w:pPr>
            <w:r>
              <w:t xml:space="preserve">5.3 (1.1 </w:t>
            </w:r>
            <w:r>
              <w:softHyphen/>
            </w:r>
            <w:r>
              <w:softHyphen/>
              <w:t>- 26.5)</w:t>
            </w:r>
          </w:p>
        </w:tc>
        <w:tc>
          <w:tcPr>
            <w:tcW w:w="283" w:type="dxa"/>
            <w:tcBorders>
              <w:bottom w:val="single" w:sz="4" w:space="0" w:color="auto"/>
            </w:tcBorders>
          </w:tcPr>
          <w:p w:rsidR="00C01628" w:rsidRPr="00611389" w:rsidRDefault="00C01628" w:rsidP="00BC4208">
            <w:pPr>
              <w:pStyle w:val="Tabletext"/>
            </w:pPr>
          </w:p>
        </w:tc>
        <w:tc>
          <w:tcPr>
            <w:tcW w:w="1066" w:type="dxa"/>
            <w:tcBorders>
              <w:bottom w:val="single" w:sz="4" w:space="0" w:color="auto"/>
            </w:tcBorders>
          </w:tcPr>
          <w:p w:rsidR="00C01628" w:rsidRPr="00611389" w:rsidRDefault="002E7016" w:rsidP="00BC4208">
            <w:pPr>
              <w:pStyle w:val="Tabletext"/>
              <w:jc w:val="center"/>
            </w:pPr>
            <w:r>
              <w:t>0.154</w:t>
            </w:r>
          </w:p>
        </w:tc>
        <w:tc>
          <w:tcPr>
            <w:tcW w:w="1066" w:type="dxa"/>
            <w:tcBorders>
              <w:bottom w:val="single" w:sz="4" w:space="0" w:color="auto"/>
            </w:tcBorders>
          </w:tcPr>
          <w:p w:rsidR="00C01628" w:rsidRPr="00611389" w:rsidRDefault="002E7016" w:rsidP="00BC4208">
            <w:pPr>
              <w:pStyle w:val="Tabletext"/>
              <w:jc w:val="center"/>
            </w:pPr>
            <w:r>
              <w:t>2</w:t>
            </w:r>
          </w:p>
        </w:tc>
        <w:tc>
          <w:tcPr>
            <w:tcW w:w="1066" w:type="dxa"/>
            <w:tcBorders>
              <w:bottom w:val="single" w:sz="4" w:space="0" w:color="auto"/>
            </w:tcBorders>
          </w:tcPr>
          <w:p w:rsidR="00C01628" w:rsidRPr="00611389" w:rsidRDefault="002E7016" w:rsidP="00BC4208">
            <w:pPr>
              <w:pStyle w:val="Tabletext"/>
              <w:jc w:val="center"/>
            </w:pPr>
            <w:r>
              <w:t>13</w:t>
            </w:r>
          </w:p>
        </w:tc>
        <w:tc>
          <w:tcPr>
            <w:tcW w:w="1067" w:type="dxa"/>
            <w:tcBorders>
              <w:bottom w:val="single" w:sz="4" w:space="0" w:color="auto"/>
            </w:tcBorders>
          </w:tcPr>
          <w:p w:rsidR="00C01628" w:rsidRPr="00611389" w:rsidRDefault="002E7016" w:rsidP="00BC4208">
            <w:pPr>
              <w:pStyle w:val="Tabletext"/>
              <w:jc w:val="center"/>
            </w:pPr>
            <w:r>
              <w:t>14</w:t>
            </w:r>
          </w:p>
        </w:tc>
        <w:tc>
          <w:tcPr>
            <w:tcW w:w="284" w:type="dxa"/>
            <w:tcBorders>
              <w:bottom w:val="single" w:sz="4" w:space="0" w:color="auto"/>
            </w:tcBorders>
          </w:tcPr>
          <w:p w:rsidR="00C01628" w:rsidRPr="00611389" w:rsidRDefault="00C01628" w:rsidP="00BC4208">
            <w:pPr>
              <w:pStyle w:val="Tabletext"/>
            </w:pPr>
          </w:p>
        </w:tc>
        <w:tc>
          <w:tcPr>
            <w:tcW w:w="1066" w:type="dxa"/>
            <w:tcBorders>
              <w:bottom w:val="single" w:sz="4" w:space="0" w:color="auto"/>
            </w:tcBorders>
          </w:tcPr>
          <w:p w:rsidR="00C01628" w:rsidRPr="00611389" w:rsidRDefault="002E7016" w:rsidP="00BC4208">
            <w:pPr>
              <w:pStyle w:val="Tabletext"/>
              <w:jc w:val="center"/>
            </w:pPr>
            <w:r>
              <w:t>0.029</w:t>
            </w:r>
          </w:p>
        </w:tc>
        <w:tc>
          <w:tcPr>
            <w:tcW w:w="1066" w:type="dxa"/>
            <w:tcBorders>
              <w:bottom w:val="single" w:sz="4" w:space="0" w:color="auto"/>
            </w:tcBorders>
          </w:tcPr>
          <w:p w:rsidR="00C01628" w:rsidRPr="00611389" w:rsidRDefault="002E7016" w:rsidP="00BC4208">
            <w:pPr>
              <w:pStyle w:val="Tabletext"/>
              <w:jc w:val="center"/>
            </w:pPr>
            <w:r>
              <w:t>6</w:t>
            </w:r>
          </w:p>
        </w:tc>
        <w:tc>
          <w:tcPr>
            <w:tcW w:w="1066" w:type="dxa"/>
            <w:tcBorders>
              <w:bottom w:val="single" w:sz="4" w:space="0" w:color="auto"/>
            </w:tcBorders>
          </w:tcPr>
          <w:p w:rsidR="00C01628" w:rsidRPr="00611389" w:rsidRDefault="002E7016" w:rsidP="00BC4208">
            <w:pPr>
              <w:pStyle w:val="Tabletext"/>
              <w:jc w:val="center"/>
            </w:pPr>
            <w:r>
              <w:t>208</w:t>
            </w:r>
          </w:p>
        </w:tc>
        <w:tc>
          <w:tcPr>
            <w:tcW w:w="1066" w:type="dxa"/>
            <w:tcBorders>
              <w:bottom w:val="single" w:sz="4" w:space="0" w:color="auto"/>
            </w:tcBorders>
          </w:tcPr>
          <w:p w:rsidR="00C01628" w:rsidRPr="00611389" w:rsidRDefault="002E7016" w:rsidP="00BC4208">
            <w:pPr>
              <w:pStyle w:val="Tabletext"/>
              <w:jc w:val="center"/>
            </w:pPr>
            <w:r>
              <w:t>211</w:t>
            </w:r>
          </w:p>
        </w:tc>
        <w:tc>
          <w:tcPr>
            <w:tcW w:w="281" w:type="dxa"/>
            <w:tcBorders>
              <w:bottom w:val="single" w:sz="4" w:space="0" w:color="auto"/>
            </w:tcBorders>
          </w:tcPr>
          <w:p w:rsidR="00C01628" w:rsidRPr="00611389" w:rsidRDefault="00C01628" w:rsidP="00BC4208">
            <w:pPr>
              <w:pStyle w:val="Tabletext"/>
            </w:pPr>
          </w:p>
        </w:tc>
        <w:tc>
          <w:tcPr>
            <w:tcW w:w="985" w:type="dxa"/>
            <w:tcBorders>
              <w:bottom w:val="single" w:sz="4" w:space="0" w:color="auto"/>
            </w:tcBorders>
          </w:tcPr>
          <w:p w:rsidR="00C01628" w:rsidRPr="00611389" w:rsidRDefault="00656C97" w:rsidP="00BC4208">
            <w:pPr>
              <w:pStyle w:val="Tabletext"/>
              <w:jc w:val="center"/>
            </w:pPr>
            <w:r>
              <w:t>1.0</w:t>
            </w:r>
          </w:p>
        </w:tc>
      </w:tr>
    </w:tbl>
    <w:p w:rsidR="00117708" w:rsidRDefault="00AD7BC8" w:rsidP="00AD7BC8">
      <w:pPr>
        <w:pStyle w:val="Tabletext"/>
      </w:pPr>
      <w:r>
        <w:t xml:space="preserve">* Continuity correction (+0.5) was applied to cells in this study due to the presence of zero events in the control cohort. </w:t>
      </w:r>
    </w:p>
    <w:p w:rsidR="00FB5057" w:rsidRDefault="00FB5057" w:rsidP="00135DD5">
      <w:pPr>
        <w:rPr>
          <w:lang w:bidi="ar-SA"/>
        </w:rPr>
      </w:pPr>
    </w:p>
    <w:p w:rsidR="00135DD5" w:rsidRDefault="00135DD5" w:rsidP="00135DD5">
      <w:pPr>
        <w:rPr>
          <w:lang w:bidi="ar-SA"/>
        </w:rPr>
      </w:pPr>
    </w:p>
    <w:p w:rsidR="00135DD5" w:rsidRDefault="00135DD5" w:rsidP="00135DD5">
      <w:pPr>
        <w:rPr>
          <w:lang w:bidi="ar-SA"/>
        </w:rPr>
        <w:sectPr w:rsidR="00135DD5" w:rsidSect="00135DD5">
          <w:footnotePr>
            <w:numFmt w:val="chicago"/>
          </w:footnotePr>
          <w:pgSz w:w="16838" w:h="11906" w:orient="landscape"/>
          <w:pgMar w:top="1440" w:right="1440" w:bottom="1440" w:left="1440" w:header="708" w:footer="708" w:gutter="0"/>
          <w:cols w:space="708"/>
          <w:docGrid w:linePitch="360"/>
        </w:sectPr>
      </w:pPr>
    </w:p>
    <w:p w:rsidR="00512B50" w:rsidRDefault="008E686F" w:rsidP="008E686F">
      <w:pPr>
        <w:pStyle w:val="Heading2"/>
      </w:pPr>
      <w:bookmarkStart w:id="13" w:name="_Toc504925533"/>
      <w:r>
        <w:lastRenderedPageBreak/>
        <w:t>Trim and fill analysis</w:t>
      </w:r>
      <w:bookmarkEnd w:id="13"/>
    </w:p>
    <w:p w:rsidR="009A6935" w:rsidRPr="009A6935" w:rsidRDefault="009A6935" w:rsidP="009A6935">
      <w:pPr>
        <w:pStyle w:val="Heading3"/>
      </w:pPr>
      <w:r>
        <w:t>Overview</w:t>
      </w:r>
    </w:p>
    <w:p w:rsidR="008E686F" w:rsidRDefault="00D60974" w:rsidP="008E686F">
      <w:pPr>
        <w:rPr>
          <w:lang w:bidi="ar-SA"/>
        </w:rPr>
      </w:pPr>
      <w:r>
        <w:rPr>
          <w:lang w:bidi="ar-SA"/>
        </w:rPr>
        <w:t>A</w:t>
      </w:r>
      <w:r w:rsidR="002B4544">
        <w:rPr>
          <w:lang w:bidi="ar-SA"/>
        </w:rPr>
        <w:t xml:space="preserve"> trim and fill analysis was conducted </w:t>
      </w:r>
      <w:r w:rsidR="00456897">
        <w:rPr>
          <w:lang w:bidi="ar-SA"/>
        </w:rPr>
        <w:t>as</w:t>
      </w:r>
      <w:r w:rsidR="00FD3F1E">
        <w:rPr>
          <w:lang w:bidi="ar-SA"/>
        </w:rPr>
        <w:t xml:space="preserve"> major asymmetry was detected</w:t>
      </w:r>
      <w:r>
        <w:rPr>
          <w:lang w:bidi="ar-SA"/>
        </w:rPr>
        <w:t xml:space="preserve"> in the</w:t>
      </w:r>
      <w:r w:rsidR="00D80F8C">
        <w:rPr>
          <w:lang w:bidi="ar-SA"/>
        </w:rPr>
        <w:t xml:space="preserve"> results of the</w:t>
      </w:r>
      <w:r>
        <w:rPr>
          <w:lang w:bidi="ar-SA"/>
        </w:rPr>
        <w:t xml:space="preserve"> baseline</w:t>
      </w:r>
      <w:r w:rsidR="00D80F8C">
        <w:rPr>
          <w:lang w:bidi="ar-SA"/>
        </w:rPr>
        <w:t xml:space="preserve"> m</w:t>
      </w:r>
      <w:r>
        <w:rPr>
          <w:lang w:bidi="ar-SA"/>
        </w:rPr>
        <w:t>eta-analysis</w:t>
      </w:r>
      <w:r w:rsidR="00FD3F1E">
        <w:rPr>
          <w:lang w:bidi="ar-SA"/>
        </w:rPr>
        <w:t xml:space="preserve">. </w:t>
      </w:r>
      <w:r w:rsidR="00E82622">
        <w:rPr>
          <w:lang w:bidi="ar-SA"/>
        </w:rPr>
        <w:t>A f</w:t>
      </w:r>
      <w:r w:rsidR="001F0799">
        <w:rPr>
          <w:lang w:bidi="ar-SA"/>
        </w:rPr>
        <w:t>orest plot showing unbiased pooled estimates after correcting for asymmetry</w:t>
      </w:r>
      <w:r w:rsidR="00010F1D">
        <w:rPr>
          <w:lang w:bidi="ar-SA"/>
        </w:rPr>
        <w:t xml:space="preserve"> using the trim and fill method</w:t>
      </w:r>
      <w:r w:rsidR="00E82622">
        <w:rPr>
          <w:lang w:bidi="ar-SA"/>
        </w:rPr>
        <w:t xml:space="preserve"> is</w:t>
      </w:r>
      <w:r w:rsidR="001F0799">
        <w:rPr>
          <w:lang w:bidi="ar-SA"/>
        </w:rPr>
        <w:t xml:space="preserve"> presented </w:t>
      </w:r>
      <w:r w:rsidR="00E82622">
        <w:rPr>
          <w:lang w:bidi="ar-SA"/>
        </w:rPr>
        <w:t>below</w:t>
      </w:r>
      <w:r w:rsidR="001F0799">
        <w:rPr>
          <w:lang w:bidi="ar-SA"/>
        </w:rPr>
        <w:t xml:space="preserve">. </w:t>
      </w:r>
      <w:r w:rsidR="00E82622">
        <w:rPr>
          <w:lang w:bidi="ar-SA"/>
        </w:rPr>
        <w:t>In addition</w:t>
      </w:r>
      <w:r w:rsidR="00B23250">
        <w:rPr>
          <w:lang w:bidi="ar-SA"/>
        </w:rPr>
        <w:t>, we present</w:t>
      </w:r>
      <w:r w:rsidR="00E82622">
        <w:rPr>
          <w:lang w:bidi="ar-SA"/>
        </w:rPr>
        <w:t xml:space="preserve"> an accompanying: a) </w:t>
      </w:r>
      <w:r w:rsidR="008E686F">
        <w:rPr>
          <w:lang w:bidi="ar-SA"/>
        </w:rPr>
        <w:t>funnel plot</w:t>
      </w:r>
      <w:r w:rsidR="00E82622">
        <w:rPr>
          <w:lang w:bidi="ar-SA"/>
        </w:rPr>
        <w:t>,</w:t>
      </w:r>
      <w:r w:rsidR="008E686F">
        <w:rPr>
          <w:lang w:bidi="ar-SA"/>
        </w:rPr>
        <w:t xml:space="preserve"> </w:t>
      </w:r>
      <w:r w:rsidR="00A36964">
        <w:rPr>
          <w:lang w:bidi="ar-SA"/>
        </w:rPr>
        <w:t>with imputed stu</w:t>
      </w:r>
      <w:r w:rsidR="00E82622">
        <w:rPr>
          <w:lang w:bidi="ar-SA"/>
        </w:rPr>
        <w:t>dies represented by hollow dots;</w:t>
      </w:r>
      <w:r w:rsidR="00B23250">
        <w:rPr>
          <w:lang w:bidi="ar-SA"/>
        </w:rPr>
        <w:t xml:space="preserve"> and</w:t>
      </w:r>
      <w:r w:rsidR="00E82622">
        <w:rPr>
          <w:lang w:bidi="ar-SA"/>
        </w:rPr>
        <w:t xml:space="preserve"> b) </w:t>
      </w:r>
      <w:r w:rsidR="008E686F">
        <w:rPr>
          <w:lang w:bidi="ar-SA"/>
        </w:rPr>
        <w:t>Doi plot</w:t>
      </w:r>
      <w:r w:rsidR="00E82622">
        <w:rPr>
          <w:lang w:bidi="ar-SA"/>
        </w:rPr>
        <w:t>.</w:t>
      </w:r>
    </w:p>
    <w:p w:rsidR="00852466" w:rsidRDefault="00852466" w:rsidP="00F32DD3">
      <w:pPr>
        <w:rPr>
          <w:lang w:bidi="ar-SA"/>
        </w:rPr>
      </w:pPr>
    </w:p>
    <w:p w:rsidR="00900969" w:rsidRDefault="00900969" w:rsidP="00F32DD3">
      <w:pPr>
        <w:rPr>
          <w:lang w:bidi="ar-SA"/>
        </w:rPr>
      </w:pPr>
    </w:p>
    <w:p w:rsidR="00DF5649" w:rsidRPr="00DF5649" w:rsidRDefault="00F32DD3" w:rsidP="00DF5649">
      <w:pPr>
        <w:pStyle w:val="MyFigure"/>
      </w:pPr>
      <w:bookmarkStart w:id="14" w:name="_Toc500164765"/>
      <w:r>
        <w:t>Forest plot presenting the results of the trim and fill analysis</w:t>
      </w:r>
      <w:bookmarkEnd w:id="14"/>
    </w:p>
    <w:p w:rsidR="002B4544" w:rsidRDefault="004959E1" w:rsidP="007472EF">
      <w:pPr>
        <w:jc w:val="center"/>
        <w:rPr>
          <w:lang w:bidi="ar-SA"/>
        </w:rPr>
      </w:pPr>
      <w:r w:rsidRPr="004959E1">
        <w:rPr>
          <w:noProof/>
          <w:lang w:eastAsia="en-AU" w:bidi="ar-SA"/>
        </w:rPr>
        <w:drawing>
          <wp:inline distT="0" distB="0" distL="0" distR="0" wp14:anchorId="08C2E38F" wp14:editId="37A0A384">
            <wp:extent cx="5731510" cy="5839176"/>
            <wp:effectExtent l="0" t="0" r="0" b="0"/>
            <wp:docPr id="2" name="Picture 2" descr="C:\Users\yongy\Dropbox\QCMHR (PhD)\Writing\Meta-analysis subD and MDD incidence\Figures and Data\web appendix - funnel and doi plots\metatrim - forest plot\metatrim - combined - 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gy\Dropbox\QCMHR (PhD)\Writing\Meta-analysis subD and MDD incidence\Figures and Data\web appendix - funnel and doi plots\metatrim - forest plot\metatrim - combined - forest plo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839176"/>
                    </a:xfrm>
                    <a:prstGeom prst="rect">
                      <a:avLst/>
                    </a:prstGeom>
                    <a:noFill/>
                    <a:ln>
                      <a:noFill/>
                    </a:ln>
                  </pic:spPr>
                </pic:pic>
              </a:graphicData>
            </a:graphic>
          </wp:inline>
        </w:drawing>
      </w:r>
    </w:p>
    <w:p w:rsidR="00B075D5" w:rsidRDefault="00B075D5">
      <w:pPr>
        <w:spacing w:line="240" w:lineRule="auto"/>
        <w:jc w:val="left"/>
        <w:rPr>
          <w:lang w:bidi="ar-SA"/>
        </w:rPr>
      </w:pPr>
      <w:r>
        <w:rPr>
          <w:lang w:bidi="ar-SA"/>
        </w:rPr>
        <w:br w:type="page"/>
      </w:r>
    </w:p>
    <w:p w:rsidR="002D5944" w:rsidRDefault="00D061E0" w:rsidP="00D061E0">
      <w:pPr>
        <w:pStyle w:val="MyFigure"/>
      </w:pPr>
      <w:bookmarkStart w:id="15" w:name="_Toc500164766"/>
      <w:r>
        <w:lastRenderedPageBreak/>
        <w:t>Depiction of publication bias in the trim and fill analysis using the: a) funnel plot; and b) Doi plot</w:t>
      </w:r>
      <w:bookmarkEnd w:id="15"/>
    </w:p>
    <w:p w:rsidR="002D5944" w:rsidRDefault="00FA356F" w:rsidP="002D5944">
      <w:pPr>
        <w:rPr>
          <w:lang w:bidi="ar-SA"/>
        </w:rPr>
      </w:pPr>
      <w:r w:rsidRPr="00FA356F">
        <w:rPr>
          <w:noProof/>
          <w:lang w:eastAsia="en-AU" w:bidi="ar-SA"/>
        </w:rPr>
        <w:drawing>
          <wp:inline distT="0" distB="0" distL="0" distR="0" wp14:anchorId="28ADCC22" wp14:editId="2E7CEB47">
            <wp:extent cx="5731510" cy="3039051"/>
            <wp:effectExtent l="0" t="0" r="0" b="0"/>
            <wp:docPr id="4" name="Picture 4" descr="C:\Users\yongy\Dropbox\QCMHR (PhD)\Writing\Meta-analysis subD and MDD incidence\Figures and Data\web appendix - funnel and doi plots\metatrim - combined funnel and doi 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gy\Dropbox\QCMHR (PhD)\Writing\Meta-analysis subD and MDD incidence\Figures and Data\web appendix - funnel and doi plots\metatrim - combined funnel and doi plot.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39051"/>
                    </a:xfrm>
                    <a:prstGeom prst="rect">
                      <a:avLst/>
                    </a:prstGeom>
                    <a:noFill/>
                    <a:ln>
                      <a:noFill/>
                    </a:ln>
                  </pic:spPr>
                </pic:pic>
              </a:graphicData>
            </a:graphic>
          </wp:inline>
        </w:drawing>
      </w:r>
    </w:p>
    <w:p w:rsidR="009447EB" w:rsidRDefault="009447EB" w:rsidP="002D5944">
      <w:pPr>
        <w:rPr>
          <w:lang w:bidi="ar-SA"/>
        </w:rPr>
      </w:pPr>
    </w:p>
    <w:p w:rsidR="007850A6" w:rsidRDefault="00356C2C" w:rsidP="008D0685">
      <w:pPr>
        <w:rPr>
          <w:lang w:bidi="ar-SA"/>
        </w:rPr>
      </w:pPr>
      <w:r w:rsidRPr="00EB6DE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7850A6">
        <w:rPr>
          <w:lang w:bidi="ar-SA"/>
        </w:rPr>
        <w:br w:type="page"/>
      </w:r>
    </w:p>
    <w:p w:rsidR="00896366" w:rsidRDefault="008D48B5" w:rsidP="008D48B5">
      <w:pPr>
        <w:pStyle w:val="Heading2"/>
      </w:pPr>
      <w:bookmarkStart w:id="16" w:name="_Toc504925534"/>
      <w:r>
        <w:lastRenderedPageBreak/>
        <w:t>Reference list</w:t>
      </w:r>
      <w:bookmarkEnd w:id="16"/>
    </w:p>
    <w:p w:rsidR="00F82CBE" w:rsidRPr="00F82CBE" w:rsidRDefault="00F82CBE" w:rsidP="00F82CBE">
      <w:pPr>
        <w:pStyle w:val="EndNoteBibliography"/>
        <w:spacing w:after="120"/>
      </w:pPr>
      <w:r w:rsidRPr="00F82CBE">
        <w:rPr>
          <w:b/>
        </w:rPr>
        <w:t xml:space="preserve">Beekman, A. T., Geerlings, S. W., Deeg, D. J., Smit, J. H., Schoevers, R. S., de Beurs, E., ... van Tilburg, W. </w:t>
      </w:r>
      <w:r w:rsidRPr="00F82CBE">
        <w:t xml:space="preserve">(2002). The natural history of late-life depression: a 6-year prospective study in the community. </w:t>
      </w:r>
      <w:r w:rsidRPr="00F82CBE">
        <w:rPr>
          <w:i/>
        </w:rPr>
        <w:t>Archives of General Psychiatry</w:t>
      </w:r>
      <w:r w:rsidRPr="00F82CBE">
        <w:t xml:space="preserve"> </w:t>
      </w:r>
      <w:r w:rsidRPr="00F82CBE">
        <w:rPr>
          <w:b/>
        </w:rPr>
        <w:t>59</w:t>
      </w:r>
      <w:r w:rsidRPr="00F82CBE">
        <w:t>, 605-11.</w:t>
      </w:r>
    </w:p>
    <w:p w:rsidR="00F82CBE" w:rsidRPr="00F82CBE" w:rsidRDefault="00F82CBE" w:rsidP="00F82CBE">
      <w:pPr>
        <w:pStyle w:val="EndNoteBibliography"/>
        <w:spacing w:after="120"/>
      </w:pPr>
      <w:r w:rsidRPr="00F82CBE">
        <w:rPr>
          <w:b/>
        </w:rPr>
        <w:t xml:space="preserve">Bruce, M. L. &amp; Hoff, R. A. </w:t>
      </w:r>
      <w:r w:rsidRPr="00F82CBE">
        <w:t xml:space="preserve">(1994). Social and physical health risk factors for first-onset major depressive disorder in a community sample. </w:t>
      </w:r>
      <w:r w:rsidRPr="00F82CBE">
        <w:rPr>
          <w:i/>
        </w:rPr>
        <w:t>Social Psychiatry and Psychiatric Epidemiology</w:t>
      </w:r>
      <w:r w:rsidRPr="00F82CBE">
        <w:t xml:space="preserve"> </w:t>
      </w:r>
      <w:r w:rsidRPr="00F82CBE">
        <w:rPr>
          <w:b/>
        </w:rPr>
        <w:t>29</w:t>
      </w:r>
      <w:r w:rsidRPr="00F82CBE">
        <w:t>, 165-71.</w:t>
      </w:r>
    </w:p>
    <w:p w:rsidR="00F82CBE" w:rsidRPr="00F82CBE" w:rsidRDefault="00F82CBE" w:rsidP="00F82CBE">
      <w:pPr>
        <w:pStyle w:val="EndNoteBibliography"/>
        <w:spacing w:after="120"/>
      </w:pPr>
      <w:r w:rsidRPr="00F82CBE">
        <w:rPr>
          <w:b/>
        </w:rPr>
        <w:t xml:space="preserve">Crum, R. M., Cooper-Patrick, L. &amp; Ford, D. E. </w:t>
      </w:r>
      <w:r w:rsidRPr="00F82CBE">
        <w:t xml:space="preserve">(1994). Depressive symptoms among general medical patients: prevalence and one-year outcome. </w:t>
      </w:r>
      <w:r w:rsidRPr="00F82CBE">
        <w:rPr>
          <w:i/>
        </w:rPr>
        <w:t>Psychosomatic Medicine</w:t>
      </w:r>
      <w:r w:rsidRPr="00F82CBE">
        <w:t xml:space="preserve"> </w:t>
      </w:r>
      <w:r w:rsidRPr="00F82CBE">
        <w:rPr>
          <w:b/>
        </w:rPr>
        <w:t>56</w:t>
      </w:r>
      <w:r w:rsidRPr="00F82CBE">
        <w:t>, 109-17.</w:t>
      </w:r>
    </w:p>
    <w:p w:rsidR="00F82CBE" w:rsidRPr="00F82CBE" w:rsidRDefault="00F82CBE" w:rsidP="00F82CBE">
      <w:pPr>
        <w:pStyle w:val="EndNoteBibliography"/>
        <w:spacing w:after="120"/>
      </w:pPr>
      <w:r w:rsidRPr="00F82CBE">
        <w:rPr>
          <w:b/>
        </w:rPr>
        <w:t xml:space="preserve">Cuijpers, P., de Graaf, R. &amp; van Dorsselaer, S. </w:t>
      </w:r>
      <w:r w:rsidRPr="00F82CBE">
        <w:t xml:space="preserve">(2004). Minor depression: risk profiles, functional disability, health care use and risk of developing major depression. </w:t>
      </w:r>
      <w:r w:rsidRPr="00F82CBE">
        <w:rPr>
          <w:i/>
        </w:rPr>
        <w:t>Journal of Affective Disorders</w:t>
      </w:r>
      <w:r w:rsidRPr="00F82CBE">
        <w:t xml:space="preserve"> </w:t>
      </w:r>
      <w:r w:rsidRPr="00F82CBE">
        <w:rPr>
          <w:b/>
        </w:rPr>
        <w:t>79</w:t>
      </w:r>
      <w:r w:rsidRPr="00F82CBE">
        <w:t>, 71-9.</w:t>
      </w:r>
    </w:p>
    <w:p w:rsidR="00F82CBE" w:rsidRPr="00F82CBE" w:rsidRDefault="00F82CBE" w:rsidP="00F82CBE">
      <w:pPr>
        <w:pStyle w:val="EndNoteBibliography"/>
        <w:spacing w:after="120"/>
      </w:pPr>
      <w:r w:rsidRPr="00F82CBE">
        <w:rPr>
          <w:b/>
        </w:rPr>
        <w:t xml:space="preserve">Forsell, Y. </w:t>
      </w:r>
      <w:r w:rsidRPr="00F82CBE">
        <w:t xml:space="preserve">(2007). A three-year follow-up of major depression, dysthymia, minor depression and subsyndromal depression: results from a population-based study. </w:t>
      </w:r>
      <w:r w:rsidRPr="00F82CBE">
        <w:rPr>
          <w:i/>
        </w:rPr>
        <w:t>Depression and Anxiety</w:t>
      </w:r>
      <w:r w:rsidRPr="00F82CBE">
        <w:t xml:space="preserve"> </w:t>
      </w:r>
      <w:r w:rsidRPr="00F82CBE">
        <w:rPr>
          <w:b/>
        </w:rPr>
        <w:t>24</w:t>
      </w:r>
      <w:r w:rsidRPr="00F82CBE">
        <w:t>, 62-5.</w:t>
      </w:r>
    </w:p>
    <w:p w:rsidR="00F82CBE" w:rsidRPr="00F82CBE" w:rsidRDefault="00F82CBE" w:rsidP="00F82CBE">
      <w:pPr>
        <w:pStyle w:val="EndNoteBibliography"/>
        <w:spacing w:after="120"/>
      </w:pPr>
      <w:r w:rsidRPr="00F82CBE">
        <w:rPr>
          <w:b/>
        </w:rPr>
        <w:t xml:space="preserve">Horwath, E., Johnson, J., Klerman, G. L. &amp; Weissman, M. M. </w:t>
      </w:r>
      <w:r w:rsidRPr="00F82CBE">
        <w:t xml:space="preserve">(1992). Depressive symptoms as relative and attributable risk factors for first-onset major depression. </w:t>
      </w:r>
      <w:r w:rsidRPr="00F82CBE">
        <w:rPr>
          <w:i/>
        </w:rPr>
        <w:t>Archives of General Psychiatry</w:t>
      </w:r>
      <w:r w:rsidRPr="00F82CBE">
        <w:t xml:space="preserve"> </w:t>
      </w:r>
      <w:r w:rsidRPr="00F82CBE">
        <w:rPr>
          <w:b/>
        </w:rPr>
        <w:t>49</w:t>
      </w:r>
      <w:r w:rsidRPr="00F82CBE">
        <w:t>, 817-23.</w:t>
      </w:r>
    </w:p>
    <w:p w:rsidR="00F82CBE" w:rsidRPr="00F82CBE" w:rsidRDefault="00F82CBE" w:rsidP="00F82CBE">
      <w:pPr>
        <w:pStyle w:val="EndNoteBibliography"/>
        <w:spacing w:after="120"/>
      </w:pPr>
      <w:r w:rsidRPr="00F82CBE">
        <w:rPr>
          <w:b/>
        </w:rPr>
        <w:t xml:space="preserve">Jackson, J. L., Passamonti, M. &amp; Kroenke, K. </w:t>
      </w:r>
      <w:r w:rsidRPr="00F82CBE">
        <w:t xml:space="preserve">(2007). Outcome and impact of mental disorders in primary care at 5 years. </w:t>
      </w:r>
      <w:r w:rsidRPr="00F82CBE">
        <w:rPr>
          <w:i/>
        </w:rPr>
        <w:t>Psychosomatic Medicine</w:t>
      </w:r>
      <w:r w:rsidRPr="00F82CBE">
        <w:t xml:space="preserve"> </w:t>
      </w:r>
      <w:r w:rsidRPr="00F82CBE">
        <w:rPr>
          <w:b/>
        </w:rPr>
        <w:t>69</w:t>
      </w:r>
      <w:r w:rsidRPr="00F82CBE">
        <w:t>, 270-6.</w:t>
      </w:r>
    </w:p>
    <w:p w:rsidR="00F82CBE" w:rsidRPr="00F82CBE" w:rsidRDefault="00F82CBE" w:rsidP="00F82CBE">
      <w:pPr>
        <w:pStyle w:val="EndNoteBibliography"/>
        <w:spacing w:after="120"/>
      </w:pPr>
      <w:r w:rsidRPr="00F82CBE">
        <w:rPr>
          <w:b/>
        </w:rPr>
        <w:t xml:space="preserve">Jinnin, R., Okamoto, Y., Takagaki, K., Nishiyama, Y., Yamamura, T., Okamoto, Y., ... Yamawaki, S. </w:t>
      </w:r>
      <w:r w:rsidRPr="00F82CBE">
        <w:t xml:space="preserve">(2017). Detailed course of depressive symptoms and risk for developing depression in late adolescents with subthreshold depression: A cohort study. </w:t>
      </w:r>
      <w:r w:rsidRPr="00F82CBE">
        <w:rPr>
          <w:i/>
        </w:rPr>
        <w:t>Neuropsychiatric Disease and Treatment</w:t>
      </w:r>
      <w:r w:rsidRPr="00F82CBE">
        <w:t xml:space="preserve"> </w:t>
      </w:r>
      <w:r w:rsidRPr="00F82CBE">
        <w:rPr>
          <w:b/>
        </w:rPr>
        <w:t>13</w:t>
      </w:r>
      <w:r w:rsidRPr="00F82CBE">
        <w:t>, 25-33.</w:t>
      </w:r>
    </w:p>
    <w:p w:rsidR="00F82CBE" w:rsidRPr="00F82CBE" w:rsidRDefault="00F82CBE" w:rsidP="00F82CBE">
      <w:pPr>
        <w:pStyle w:val="EndNoteBibliography"/>
        <w:spacing w:after="120"/>
      </w:pPr>
      <w:r w:rsidRPr="00F82CBE">
        <w:rPr>
          <w:b/>
        </w:rPr>
        <w:t xml:space="preserve">Johnson, J. G., Cohen, P. &amp; Kasen, S. </w:t>
      </w:r>
      <w:r w:rsidRPr="00F82CBE">
        <w:t xml:space="preserve">(2009). Minor depression during adolescence and mental health outcomes during adulthood. </w:t>
      </w:r>
      <w:r w:rsidRPr="00F82CBE">
        <w:rPr>
          <w:i/>
        </w:rPr>
        <w:t>British Journal of Psychiatry</w:t>
      </w:r>
      <w:r w:rsidRPr="00F82CBE">
        <w:t xml:space="preserve"> </w:t>
      </w:r>
      <w:r w:rsidRPr="00F82CBE">
        <w:rPr>
          <w:b/>
        </w:rPr>
        <w:t>195</w:t>
      </w:r>
      <w:r w:rsidRPr="00F82CBE">
        <w:t>, 264-5.</w:t>
      </w:r>
    </w:p>
    <w:p w:rsidR="00F82CBE" w:rsidRPr="00F82CBE" w:rsidRDefault="00F82CBE" w:rsidP="00F82CBE">
      <w:pPr>
        <w:pStyle w:val="EndNoteBibliography"/>
        <w:spacing w:after="120"/>
      </w:pPr>
      <w:r w:rsidRPr="00F82CBE">
        <w:rPr>
          <w:b/>
        </w:rPr>
        <w:t xml:space="preserve">Jonsson, U., Bohman, H., von Knorring, L., Olsson, G., Paaren, A. &amp; von Knorring, A. L. </w:t>
      </w:r>
      <w:r w:rsidRPr="00F82CBE">
        <w:t xml:space="preserve">(2011). Mental health outcome of long-term and episodic adolescent depression: 15-year follow-up of a community sample. </w:t>
      </w:r>
      <w:r w:rsidRPr="00F82CBE">
        <w:rPr>
          <w:i/>
        </w:rPr>
        <w:t>Journal of Affective Disorders</w:t>
      </w:r>
      <w:r w:rsidRPr="00F82CBE">
        <w:t xml:space="preserve"> </w:t>
      </w:r>
      <w:r w:rsidRPr="00F82CBE">
        <w:rPr>
          <w:b/>
        </w:rPr>
        <w:t>130</w:t>
      </w:r>
      <w:r w:rsidRPr="00F82CBE">
        <w:t>, 395-404.</w:t>
      </w:r>
    </w:p>
    <w:p w:rsidR="00F82CBE" w:rsidRPr="00F82CBE" w:rsidRDefault="00F82CBE" w:rsidP="00F82CBE">
      <w:pPr>
        <w:pStyle w:val="EndNoteBibliography"/>
        <w:spacing w:after="120"/>
      </w:pPr>
      <w:r w:rsidRPr="00F82CBE">
        <w:rPr>
          <w:b/>
        </w:rPr>
        <w:t xml:space="preserve">Lyness, J. M., Caine, E. D., King, D. A., Conwell, Y., Duberstein, P. R. &amp; Cox, C. </w:t>
      </w:r>
      <w:r w:rsidRPr="00F82CBE">
        <w:t xml:space="preserve">(2002). Depressive disorders and symptoms in older primary care patients: one-year outcomes. </w:t>
      </w:r>
      <w:r w:rsidRPr="00F82CBE">
        <w:rPr>
          <w:i/>
        </w:rPr>
        <w:t>American Journal of Geriatric Psychiatry</w:t>
      </w:r>
      <w:r w:rsidRPr="00F82CBE">
        <w:t xml:space="preserve"> </w:t>
      </w:r>
      <w:r w:rsidRPr="00F82CBE">
        <w:rPr>
          <w:b/>
        </w:rPr>
        <w:t>10</w:t>
      </w:r>
      <w:r w:rsidRPr="00F82CBE">
        <w:t>, 275-82.</w:t>
      </w:r>
    </w:p>
    <w:p w:rsidR="00F82CBE" w:rsidRPr="00F82CBE" w:rsidRDefault="00F82CBE" w:rsidP="00F82CBE">
      <w:pPr>
        <w:pStyle w:val="EndNoteBibliography"/>
        <w:spacing w:after="120"/>
      </w:pPr>
      <w:r w:rsidRPr="00F82CBE">
        <w:rPr>
          <w:b/>
        </w:rPr>
        <w:t xml:space="preserve">McLeod, G. F., Horwood, L. J. &amp; Fergusson, D. M. </w:t>
      </w:r>
      <w:r w:rsidRPr="00F82CBE">
        <w:t xml:space="preserve">(2016). Adolescent depression, adult mental health and psychosocial outcomes at 30 and 35 years. </w:t>
      </w:r>
      <w:r w:rsidRPr="00F82CBE">
        <w:rPr>
          <w:i/>
        </w:rPr>
        <w:t>Psychological Medicine</w:t>
      </w:r>
      <w:r w:rsidRPr="00F82CBE">
        <w:t xml:space="preserve"> </w:t>
      </w:r>
      <w:r w:rsidRPr="00F82CBE">
        <w:rPr>
          <w:b/>
        </w:rPr>
        <w:t>46</w:t>
      </w:r>
      <w:r w:rsidRPr="00F82CBE">
        <w:t>, 1401-12.</w:t>
      </w:r>
    </w:p>
    <w:p w:rsidR="00F82CBE" w:rsidRPr="00F82CBE" w:rsidRDefault="00F82CBE" w:rsidP="00F82CBE">
      <w:pPr>
        <w:pStyle w:val="EndNoteBibliography"/>
        <w:spacing w:after="120"/>
      </w:pPr>
      <w:r w:rsidRPr="00F82CBE">
        <w:rPr>
          <w:b/>
        </w:rPr>
        <w:t xml:space="preserve">Oldehinkel, A. J., Wittchen, H. U. &amp; Schuster, P. </w:t>
      </w:r>
      <w:r w:rsidRPr="00F82CBE">
        <w:t xml:space="preserve">(1999). Prevalence, 20-month incidence and outcome of unipolar depressive disorders in a community sample of adolescents. </w:t>
      </w:r>
      <w:r w:rsidRPr="00F82CBE">
        <w:rPr>
          <w:i/>
        </w:rPr>
        <w:t>Psychological Medicine</w:t>
      </w:r>
      <w:r w:rsidRPr="00F82CBE">
        <w:t xml:space="preserve"> </w:t>
      </w:r>
      <w:r w:rsidRPr="00F82CBE">
        <w:rPr>
          <w:b/>
        </w:rPr>
        <w:t>29</w:t>
      </w:r>
      <w:r w:rsidRPr="00F82CBE">
        <w:t>, 655-68.</w:t>
      </w:r>
    </w:p>
    <w:p w:rsidR="00F82CBE" w:rsidRPr="00F82CBE" w:rsidRDefault="00F82CBE" w:rsidP="00F82CBE">
      <w:pPr>
        <w:pStyle w:val="EndNoteBibliography"/>
        <w:spacing w:after="120"/>
      </w:pPr>
      <w:r w:rsidRPr="00F82CBE">
        <w:rPr>
          <w:b/>
        </w:rPr>
        <w:t xml:space="preserve">Peters, A. T., Shankman, S. A., Deckersbach, T. &amp; West, A. E. </w:t>
      </w:r>
      <w:r w:rsidRPr="00F82CBE">
        <w:t xml:space="preserve">(2015). Predictors of first-episode unipolar major depression in individuals with and without sub-threshold depressive symptoms: A prospective, population-based study. </w:t>
      </w:r>
      <w:r w:rsidRPr="00F82CBE">
        <w:rPr>
          <w:i/>
        </w:rPr>
        <w:t>Psychiatry Research</w:t>
      </w:r>
      <w:r w:rsidRPr="00F82CBE">
        <w:t xml:space="preserve"> </w:t>
      </w:r>
      <w:r w:rsidRPr="00F82CBE">
        <w:rPr>
          <w:b/>
        </w:rPr>
        <w:t>230</w:t>
      </w:r>
      <w:r w:rsidRPr="00F82CBE">
        <w:t>, 150-156.</w:t>
      </w:r>
    </w:p>
    <w:p w:rsidR="00F82CBE" w:rsidRPr="00F82CBE" w:rsidRDefault="00F82CBE" w:rsidP="00F82CBE">
      <w:pPr>
        <w:pStyle w:val="EndNoteBibliography"/>
        <w:spacing w:after="120"/>
      </w:pPr>
      <w:r w:rsidRPr="00F82CBE">
        <w:rPr>
          <w:b/>
        </w:rPr>
        <w:t xml:space="preserve">Shankman, S. A., Lewinsohn, P. M., Klein, D. N., Small, J. W., Seeley, J. R. &amp; Altman, S. E. </w:t>
      </w:r>
      <w:r w:rsidRPr="00F82CBE">
        <w:t xml:space="preserve">(2009). Subthreshold conditions as precursors for full syndrome disorders: a 15-year longitudinal study of multiple diagnostic classes. </w:t>
      </w:r>
      <w:r w:rsidRPr="00F82CBE">
        <w:rPr>
          <w:i/>
        </w:rPr>
        <w:t>Journal of Child Psychology and Psychiatry and Allied Disciplines</w:t>
      </w:r>
      <w:r w:rsidRPr="00F82CBE">
        <w:t xml:space="preserve"> </w:t>
      </w:r>
      <w:r w:rsidRPr="00F82CBE">
        <w:rPr>
          <w:b/>
        </w:rPr>
        <w:t>50</w:t>
      </w:r>
      <w:r w:rsidRPr="00F82CBE">
        <w:t>, 1485-94.</w:t>
      </w:r>
    </w:p>
    <w:p w:rsidR="00F82CBE" w:rsidRPr="00F82CBE" w:rsidRDefault="00F82CBE" w:rsidP="00F82CBE">
      <w:pPr>
        <w:pStyle w:val="EndNoteBibliography"/>
        <w:spacing w:after="120"/>
      </w:pPr>
      <w:r w:rsidRPr="00F82CBE">
        <w:rPr>
          <w:b/>
        </w:rPr>
        <w:t xml:space="preserve">Wagner, H. R., Burns, B. J., Broadhead, W. E., Yarnall, K. S., Sigmon, A. &amp; Gaynes, B. N. </w:t>
      </w:r>
      <w:r w:rsidRPr="00F82CBE">
        <w:t xml:space="preserve">(2000). Minor depression in family practice: functional morbidity, co-morbidity, service utilization and outcomes. </w:t>
      </w:r>
      <w:r w:rsidRPr="00F82CBE">
        <w:rPr>
          <w:i/>
        </w:rPr>
        <w:t>Psychological Medicine</w:t>
      </w:r>
      <w:r w:rsidRPr="00F82CBE">
        <w:t xml:space="preserve"> </w:t>
      </w:r>
      <w:r w:rsidRPr="00F82CBE">
        <w:rPr>
          <w:b/>
        </w:rPr>
        <w:t>30</w:t>
      </w:r>
      <w:r w:rsidRPr="00F82CBE">
        <w:t>, 1377-90.</w:t>
      </w:r>
    </w:p>
    <w:p w:rsidR="00512B50" w:rsidRDefault="00512B50" w:rsidP="00F82CBE">
      <w:pPr>
        <w:spacing w:after="120"/>
        <w:rPr>
          <w:lang w:bidi="ar-SA"/>
        </w:rPr>
      </w:pPr>
    </w:p>
    <w:p w:rsidR="003C1D65" w:rsidRDefault="003C1D65" w:rsidP="001540DD">
      <w:pPr>
        <w:rPr>
          <w:lang w:bidi="ar-SA"/>
        </w:rPr>
      </w:pPr>
    </w:p>
    <w:sectPr w:rsidR="003C1D65" w:rsidSect="0015220A">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9BB" w:rsidRDefault="00F909BB" w:rsidP="00DD6B3C">
      <w:pPr>
        <w:spacing w:line="240" w:lineRule="auto"/>
      </w:pPr>
      <w:r>
        <w:separator/>
      </w:r>
    </w:p>
  </w:endnote>
  <w:endnote w:type="continuationSeparator" w:id="0">
    <w:p w:rsidR="00F909BB" w:rsidRDefault="00F909BB" w:rsidP="00DD6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PMincho">
    <w:altName w:val="MS 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849784"/>
      <w:docPartObj>
        <w:docPartGallery w:val="Page Numbers (Bottom of Page)"/>
        <w:docPartUnique/>
      </w:docPartObj>
    </w:sdtPr>
    <w:sdtEndPr>
      <w:rPr>
        <w:noProof/>
      </w:rPr>
    </w:sdtEndPr>
    <w:sdtContent>
      <w:p w:rsidR="004C32A1" w:rsidRDefault="004C32A1">
        <w:pPr>
          <w:pStyle w:val="Footer"/>
          <w:jc w:val="center"/>
        </w:pPr>
        <w:r>
          <w:fldChar w:fldCharType="begin"/>
        </w:r>
        <w:r>
          <w:instrText xml:space="preserve"> PAGE   \* MERGEFORMAT </w:instrText>
        </w:r>
        <w:r>
          <w:fldChar w:fldCharType="separate"/>
        </w:r>
        <w:r w:rsidR="00BC523B">
          <w:rPr>
            <w:noProof/>
          </w:rPr>
          <w:t>21</w:t>
        </w:r>
        <w:r>
          <w:rPr>
            <w:noProof/>
          </w:rPr>
          <w:fldChar w:fldCharType="end"/>
        </w:r>
      </w:p>
    </w:sdtContent>
  </w:sdt>
  <w:p w:rsidR="004C32A1" w:rsidRDefault="004C32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9BB" w:rsidRDefault="00F909BB" w:rsidP="00DD6B3C">
      <w:pPr>
        <w:spacing w:line="240" w:lineRule="auto"/>
      </w:pPr>
      <w:r>
        <w:separator/>
      </w:r>
    </w:p>
  </w:footnote>
  <w:footnote w:type="continuationSeparator" w:id="0">
    <w:p w:rsidR="00F909BB" w:rsidRDefault="00F909BB" w:rsidP="00DD6B3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0C54"/>
    <w:multiLevelType w:val="hybridMultilevel"/>
    <w:tmpl w:val="42088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6A4627"/>
    <w:multiLevelType w:val="hybridMultilevel"/>
    <w:tmpl w:val="11E4D3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47F7B34"/>
    <w:multiLevelType w:val="hybridMultilevel"/>
    <w:tmpl w:val="9CA4C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935864"/>
    <w:multiLevelType w:val="multilevel"/>
    <w:tmpl w:val="8EFA8632"/>
    <w:lvl w:ilvl="0">
      <w:start w:val="1"/>
      <w:numFmt w:val="none"/>
      <w:pStyle w:val="Titl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1"/>
      <w:pStyle w:val="MyTable"/>
      <w:lvlText w:val="Table %4"/>
      <w:lvlJc w:val="left"/>
      <w:pPr>
        <w:tabs>
          <w:tab w:val="num" w:pos="1134"/>
        </w:tabs>
        <w:ind w:left="1134" w:hanging="1134"/>
      </w:pPr>
      <w:rPr>
        <w:rFonts w:hint="default"/>
      </w:rPr>
    </w:lvl>
    <w:lvl w:ilvl="4">
      <w:start w:val="1"/>
      <w:numFmt w:val="decimal"/>
      <w:lvlRestart w:val="1"/>
      <w:pStyle w:val="MyFigure"/>
      <w:lvlText w:val="Figure %5"/>
      <w:lvlJc w:val="left"/>
      <w:pPr>
        <w:tabs>
          <w:tab w:val="num" w:pos="1134"/>
        </w:tabs>
        <w:ind w:left="1134" w:hanging="113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459B163C"/>
    <w:multiLevelType w:val="hybridMultilevel"/>
    <w:tmpl w:val="66BA5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8E35FAC"/>
    <w:multiLevelType w:val="hybridMultilevel"/>
    <w:tmpl w:val="1B6C4852"/>
    <w:lvl w:ilvl="0" w:tplc="34AC3516">
      <w:numFmt w:val="bullet"/>
      <w:lvlText w:val="-"/>
      <w:lvlJc w:val="left"/>
      <w:pPr>
        <w:ind w:left="720" w:hanging="360"/>
      </w:pPr>
      <w:rPr>
        <w:rFonts w:ascii="Georgia" w:eastAsia="MS PMincho" w:hAnsi="Georg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D6142F0"/>
    <w:multiLevelType w:val="hybridMultilevel"/>
    <w:tmpl w:val="B0D6A18E"/>
    <w:lvl w:ilvl="0" w:tplc="6A5837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62605CF"/>
    <w:multiLevelType w:val="hybridMultilevel"/>
    <w:tmpl w:val="25B2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1BE4B4E"/>
    <w:multiLevelType w:val="hybridMultilevel"/>
    <w:tmpl w:val="5080CC34"/>
    <w:lvl w:ilvl="0" w:tplc="D0D6180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nsid w:val="7C0B06E8"/>
    <w:multiLevelType w:val="hybridMultilevel"/>
    <w:tmpl w:val="023C2A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4"/>
  </w:num>
  <w:num w:numId="12">
    <w:abstractNumId w:val="7"/>
  </w:num>
  <w:num w:numId="13">
    <w:abstractNumId w:val="5"/>
  </w:num>
  <w:num w:numId="14">
    <w:abstractNumId w:val="9"/>
  </w:num>
  <w:num w:numId="15">
    <w:abstractNumId w:val="8"/>
  </w:num>
  <w:num w:numId="16">
    <w:abstractNumId w:val="1"/>
  </w:num>
  <w:num w:numId="17">
    <w:abstractNumId w:val="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Psychological Medicine&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tdtvvrc9pwfdepdza5xtd6paa9ss9frwdz&quot;&gt;SubD Meta-review&lt;record-ids&gt;&lt;item&gt;10&lt;/item&gt;&lt;item&gt;11&lt;/item&gt;&lt;item&gt;12&lt;/item&gt;&lt;item&gt;13&lt;/item&gt;&lt;item&gt;14&lt;/item&gt;&lt;item&gt;16&lt;/item&gt;&lt;item&gt;18&lt;/item&gt;&lt;item&gt;19&lt;/item&gt;&lt;item&gt;25&lt;/item&gt;&lt;item&gt;26&lt;/item&gt;&lt;item&gt;78&lt;/item&gt;&lt;item&gt;157&lt;/item&gt;&lt;item&gt;158&lt;/item&gt;&lt;item&gt;159&lt;/item&gt;&lt;item&gt;160&lt;/item&gt;&lt;item&gt;161&lt;/item&gt;&lt;/record-ids&gt;&lt;/item&gt;&lt;/Libraries&gt;"/>
  </w:docVars>
  <w:rsids>
    <w:rsidRoot w:val="006D1B13"/>
    <w:rsid w:val="00000531"/>
    <w:rsid w:val="00006E38"/>
    <w:rsid w:val="00010F1D"/>
    <w:rsid w:val="000117FD"/>
    <w:rsid w:val="0001526E"/>
    <w:rsid w:val="000154B1"/>
    <w:rsid w:val="00022E5A"/>
    <w:rsid w:val="00024412"/>
    <w:rsid w:val="00032C2A"/>
    <w:rsid w:val="00033EE1"/>
    <w:rsid w:val="00036F6F"/>
    <w:rsid w:val="00041406"/>
    <w:rsid w:val="00044514"/>
    <w:rsid w:val="00047552"/>
    <w:rsid w:val="000476EB"/>
    <w:rsid w:val="00052000"/>
    <w:rsid w:val="00052382"/>
    <w:rsid w:val="000550C0"/>
    <w:rsid w:val="0006328C"/>
    <w:rsid w:val="00063610"/>
    <w:rsid w:val="00066015"/>
    <w:rsid w:val="00066F3F"/>
    <w:rsid w:val="000725E6"/>
    <w:rsid w:val="00076015"/>
    <w:rsid w:val="00083177"/>
    <w:rsid w:val="000839EC"/>
    <w:rsid w:val="00087332"/>
    <w:rsid w:val="000934D1"/>
    <w:rsid w:val="0009353F"/>
    <w:rsid w:val="00093F65"/>
    <w:rsid w:val="000A2077"/>
    <w:rsid w:val="000A26BE"/>
    <w:rsid w:val="000A63D8"/>
    <w:rsid w:val="000A661E"/>
    <w:rsid w:val="000B0D39"/>
    <w:rsid w:val="000B7B97"/>
    <w:rsid w:val="000B7D77"/>
    <w:rsid w:val="000C1BCC"/>
    <w:rsid w:val="000C4E1A"/>
    <w:rsid w:val="000C6D62"/>
    <w:rsid w:val="000C7DF5"/>
    <w:rsid w:val="000D080B"/>
    <w:rsid w:val="000D57CF"/>
    <w:rsid w:val="00103814"/>
    <w:rsid w:val="001041FF"/>
    <w:rsid w:val="0010429A"/>
    <w:rsid w:val="001051AE"/>
    <w:rsid w:val="00110B8C"/>
    <w:rsid w:val="0011133F"/>
    <w:rsid w:val="00112D67"/>
    <w:rsid w:val="001147A6"/>
    <w:rsid w:val="001153A1"/>
    <w:rsid w:val="00117708"/>
    <w:rsid w:val="00117C18"/>
    <w:rsid w:val="0012219D"/>
    <w:rsid w:val="00125435"/>
    <w:rsid w:val="001318A1"/>
    <w:rsid w:val="00135DD5"/>
    <w:rsid w:val="00136525"/>
    <w:rsid w:val="00136FB4"/>
    <w:rsid w:val="0014111B"/>
    <w:rsid w:val="001435FF"/>
    <w:rsid w:val="00144710"/>
    <w:rsid w:val="00144A65"/>
    <w:rsid w:val="00147839"/>
    <w:rsid w:val="00147C71"/>
    <w:rsid w:val="00147D5D"/>
    <w:rsid w:val="0015220A"/>
    <w:rsid w:val="001540DD"/>
    <w:rsid w:val="0015475E"/>
    <w:rsid w:val="001572A0"/>
    <w:rsid w:val="00160486"/>
    <w:rsid w:val="0016083A"/>
    <w:rsid w:val="00160AA8"/>
    <w:rsid w:val="00161173"/>
    <w:rsid w:val="00161661"/>
    <w:rsid w:val="00163FA5"/>
    <w:rsid w:val="00166067"/>
    <w:rsid w:val="0016607D"/>
    <w:rsid w:val="001663B1"/>
    <w:rsid w:val="001719CF"/>
    <w:rsid w:val="00171C00"/>
    <w:rsid w:val="001730F3"/>
    <w:rsid w:val="001778E9"/>
    <w:rsid w:val="00177B38"/>
    <w:rsid w:val="00180FB8"/>
    <w:rsid w:val="00187EC8"/>
    <w:rsid w:val="00192397"/>
    <w:rsid w:val="00192CCA"/>
    <w:rsid w:val="00195A73"/>
    <w:rsid w:val="00196A59"/>
    <w:rsid w:val="001A0BF7"/>
    <w:rsid w:val="001A2EBE"/>
    <w:rsid w:val="001A4886"/>
    <w:rsid w:val="001A635C"/>
    <w:rsid w:val="001B1DF8"/>
    <w:rsid w:val="001B342E"/>
    <w:rsid w:val="001B36B7"/>
    <w:rsid w:val="001B47ED"/>
    <w:rsid w:val="001B555B"/>
    <w:rsid w:val="001B5A6C"/>
    <w:rsid w:val="001C1D6F"/>
    <w:rsid w:val="001C7E2C"/>
    <w:rsid w:val="001D190D"/>
    <w:rsid w:val="001D52D4"/>
    <w:rsid w:val="001D5A9C"/>
    <w:rsid w:val="001E2920"/>
    <w:rsid w:val="001E3004"/>
    <w:rsid w:val="001E3075"/>
    <w:rsid w:val="001E3BE4"/>
    <w:rsid w:val="001E66D2"/>
    <w:rsid w:val="001F0799"/>
    <w:rsid w:val="001F0B35"/>
    <w:rsid w:val="001F0E83"/>
    <w:rsid w:val="00211B6C"/>
    <w:rsid w:val="002172E3"/>
    <w:rsid w:val="0022040F"/>
    <w:rsid w:val="00223305"/>
    <w:rsid w:val="002266B8"/>
    <w:rsid w:val="00227C9E"/>
    <w:rsid w:val="00236025"/>
    <w:rsid w:val="00236E5E"/>
    <w:rsid w:val="00241603"/>
    <w:rsid w:val="0025176A"/>
    <w:rsid w:val="00254463"/>
    <w:rsid w:val="002557AC"/>
    <w:rsid w:val="00257885"/>
    <w:rsid w:val="002606E8"/>
    <w:rsid w:val="00260A2A"/>
    <w:rsid w:val="00263D52"/>
    <w:rsid w:val="002644E9"/>
    <w:rsid w:val="00270184"/>
    <w:rsid w:val="002706C7"/>
    <w:rsid w:val="00270922"/>
    <w:rsid w:val="0027217E"/>
    <w:rsid w:val="00291A33"/>
    <w:rsid w:val="002A0559"/>
    <w:rsid w:val="002A2904"/>
    <w:rsid w:val="002A5E82"/>
    <w:rsid w:val="002A61A5"/>
    <w:rsid w:val="002A65D3"/>
    <w:rsid w:val="002B1235"/>
    <w:rsid w:val="002B2277"/>
    <w:rsid w:val="002B4544"/>
    <w:rsid w:val="002B47A8"/>
    <w:rsid w:val="002C04DD"/>
    <w:rsid w:val="002C0D5B"/>
    <w:rsid w:val="002C2B1E"/>
    <w:rsid w:val="002C37CF"/>
    <w:rsid w:val="002C392E"/>
    <w:rsid w:val="002C4B19"/>
    <w:rsid w:val="002C5E02"/>
    <w:rsid w:val="002D5944"/>
    <w:rsid w:val="002E45F1"/>
    <w:rsid w:val="002E7016"/>
    <w:rsid w:val="002F146B"/>
    <w:rsid w:val="002F3D3F"/>
    <w:rsid w:val="002F6C73"/>
    <w:rsid w:val="00304F59"/>
    <w:rsid w:val="00305260"/>
    <w:rsid w:val="00306171"/>
    <w:rsid w:val="003076D6"/>
    <w:rsid w:val="00310880"/>
    <w:rsid w:val="0031471F"/>
    <w:rsid w:val="0032153A"/>
    <w:rsid w:val="00321E1B"/>
    <w:rsid w:val="00322C8E"/>
    <w:rsid w:val="00323A8C"/>
    <w:rsid w:val="0032498D"/>
    <w:rsid w:val="00324B2A"/>
    <w:rsid w:val="00330231"/>
    <w:rsid w:val="00334A4A"/>
    <w:rsid w:val="0033678A"/>
    <w:rsid w:val="00340F1B"/>
    <w:rsid w:val="0034112C"/>
    <w:rsid w:val="0034148E"/>
    <w:rsid w:val="00344BF9"/>
    <w:rsid w:val="00356C2C"/>
    <w:rsid w:val="00362A79"/>
    <w:rsid w:val="00362CE2"/>
    <w:rsid w:val="00363D9E"/>
    <w:rsid w:val="00370E66"/>
    <w:rsid w:val="00374AC7"/>
    <w:rsid w:val="00380552"/>
    <w:rsid w:val="00382D70"/>
    <w:rsid w:val="00384113"/>
    <w:rsid w:val="00384D51"/>
    <w:rsid w:val="00384F1D"/>
    <w:rsid w:val="003860AC"/>
    <w:rsid w:val="003876D1"/>
    <w:rsid w:val="00387A13"/>
    <w:rsid w:val="003901D5"/>
    <w:rsid w:val="00393AAC"/>
    <w:rsid w:val="003A1F92"/>
    <w:rsid w:val="003A2713"/>
    <w:rsid w:val="003A36A2"/>
    <w:rsid w:val="003B05AA"/>
    <w:rsid w:val="003B3B05"/>
    <w:rsid w:val="003B492F"/>
    <w:rsid w:val="003C0B7C"/>
    <w:rsid w:val="003C1D65"/>
    <w:rsid w:val="003C4147"/>
    <w:rsid w:val="003C5519"/>
    <w:rsid w:val="003C586B"/>
    <w:rsid w:val="003C680D"/>
    <w:rsid w:val="003C6A8D"/>
    <w:rsid w:val="003C7BB7"/>
    <w:rsid w:val="003D1FFC"/>
    <w:rsid w:val="003D37A4"/>
    <w:rsid w:val="003D49CF"/>
    <w:rsid w:val="003D5C37"/>
    <w:rsid w:val="003E17B8"/>
    <w:rsid w:val="003E34E2"/>
    <w:rsid w:val="003E523B"/>
    <w:rsid w:val="003F1AD8"/>
    <w:rsid w:val="003F1EC6"/>
    <w:rsid w:val="0040105D"/>
    <w:rsid w:val="00401883"/>
    <w:rsid w:val="00401C3C"/>
    <w:rsid w:val="00402C1C"/>
    <w:rsid w:val="0041364C"/>
    <w:rsid w:val="0041633D"/>
    <w:rsid w:val="00422541"/>
    <w:rsid w:val="00422B5D"/>
    <w:rsid w:val="00424A74"/>
    <w:rsid w:val="00425D24"/>
    <w:rsid w:val="00430948"/>
    <w:rsid w:val="004432E5"/>
    <w:rsid w:val="00447382"/>
    <w:rsid w:val="00450BFD"/>
    <w:rsid w:val="00451B43"/>
    <w:rsid w:val="00456897"/>
    <w:rsid w:val="004650C8"/>
    <w:rsid w:val="004766E2"/>
    <w:rsid w:val="00483B29"/>
    <w:rsid w:val="00485130"/>
    <w:rsid w:val="00485595"/>
    <w:rsid w:val="00487E5A"/>
    <w:rsid w:val="00491C26"/>
    <w:rsid w:val="00491E10"/>
    <w:rsid w:val="00492703"/>
    <w:rsid w:val="004959E1"/>
    <w:rsid w:val="004A4888"/>
    <w:rsid w:val="004A6FD1"/>
    <w:rsid w:val="004B189B"/>
    <w:rsid w:val="004B26D2"/>
    <w:rsid w:val="004B3C7D"/>
    <w:rsid w:val="004B51D2"/>
    <w:rsid w:val="004C32A1"/>
    <w:rsid w:val="004C556A"/>
    <w:rsid w:val="004C5E5C"/>
    <w:rsid w:val="004E18E3"/>
    <w:rsid w:val="004E55D6"/>
    <w:rsid w:val="004E577C"/>
    <w:rsid w:val="004E7C44"/>
    <w:rsid w:val="004F3B2F"/>
    <w:rsid w:val="004F726B"/>
    <w:rsid w:val="004F78FC"/>
    <w:rsid w:val="00502053"/>
    <w:rsid w:val="005031FA"/>
    <w:rsid w:val="005045AE"/>
    <w:rsid w:val="005069AF"/>
    <w:rsid w:val="00512B50"/>
    <w:rsid w:val="00530952"/>
    <w:rsid w:val="0053244D"/>
    <w:rsid w:val="005344D0"/>
    <w:rsid w:val="00542B18"/>
    <w:rsid w:val="0055791A"/>
    <w:rsid w:val="005604C1"/>
    <w:rsid w:val="00562064"/>
    <w:rsid w:val="00566A19"/>
    <w:rsid w:val="00580D9E"/>
    <w:rsid w:val="0058445D"/>
    <w:rsid w:val="00586F4D"/>
    <w:rsid w:val="005B15CF"/>
    <w:rsid w:val="005B1F22"/>
    <w:rsid w:val="005B2BF6"/>
    <w:rsid w:val="005B4164"/>
    <w:rsid w:val="005B46D3"/>
    <w:rsid w:val="005B4B40"/>
    <w:rsid w:val="005B5470"/>
    <w:rsid w:val="005C0489"/>
    <w:rsid w:val="005C4851"/>
    <w:rsid w:val="005C54CA"/>
    <w:rsid w:val="005C5F63"/>
    <w:rsid w:val="005D12E1"/>
    <w:rsid w:val="005D466C"/>
    <w:rsid w:val="005E1C08"/>
    <w:rsid w:val="005E2477"/>
    <w:rsid w:val="005E2754"/>
    <w:rsid w:val="005F02CC"/>
    <w:rsid w:val="005F5947"/>
    <w:rsid w:val="00600B50"/>
    <w:rsid w:val="00602E0F"/>
    <w:rsid w:val="006041CB"/>
    <w:rsid w:val="00604E3D"/>
    <w:rsid w:val="006058B1"/>
    <w:rsid w:val="00611E0C"/>
    <w:rsid w:val="00620599"/>
    <w:rsid w:val="00622D5B"/>
    <w:rsid w:val="0062780B"/>
    <w:rsid w:val="00632371"/>
    <w:rsid w:val="006357D1"/>
    <w:rsid w:val="00635BE6"/>
    <w:rsid w:val="00636238"/>
    <w:rsid w:val="006409D9"/>
    <w:rsid w:val="00651088"/>
    <w:rsid w:val="00651666"/>
    <w:rsid w:val="0065315C"/>
    <w:rsid w:val="006560D7"/>
    <w:rsid w:val="00656C97"/>
    <w:rsid w:val="00661D3D"/>
    <w:rsid w:val="00672303"/>
    <w:rsid w:val="00674054"/>
    <w:rsid w:val="006751E1"/>
    <w:rsid w:val="00676F30"/>
    <w:rsid w:val="00681A58"/>
    <w:rsid w:val="0068590A"/>
    <w:rsid w:val="00686F89"/>
    <w:rsid w:val="006873C0"/>
    <w:rsid w:val="006916D1"/>
    <w:rsid w:val="00693979"/>
    <w:rsid w:val="00697D41"/>
    <w:rsid w:val="006A3D00"/>
    <w:rsid w:val="006A55C5"/>
    <w:rsid w:val="006B77C9"/>
    <w:rsid w:val="006C603B"/>
    <w:rsid w:val="006D0D05"/>
    <w:rsid w:val="006D1B13"/>
    <w:rsid w:val="006D2E6F"/>
    <w:rsid w:val="006D44E0"/>
    <w:rsid w:val="006D7756"/>
    <w:rsid w:val="006E09FE"/>
    <w:rsid w:val="006E41BC"/>
    <w:rsid w:val="006E43AE"/>
    <w:rsid w:val="006F0B66"/>
    <w:rsid w:val="006F41B8"/>
    <w:rsid w:val="00703557"/>
    <w:rsid w:val="0071196C"/>
    <w:rsid w:val="00712AB6"/>
    <w:rsid w:val="00714B26"/>
    <w:rsid w:val="00721D37"/>
    <w:rsid w:val="00730C50"/>
    <w:rsid w:val="0073355B"/>
    <w:rsid w:val="0073421D"/>
    <w:rsid w:val="00734AA8"/>
    <w:rsid w:val="007426A7"/>
    <w:rsid w:val="007472EF"/>
    <w:rsid w:val="0075152D"/>
    <w:rsid w:val="00753D98"/>
    <w:rsid w:val="007556BC"/>
    <w:rsid w:val="00755D46"/>
    <w:rsid w:val="0076680F"/>
    <w:rsid w:val="007746CA"/>
    <w:rsid w:val="00780612"/>
    <w:rsid w:val="00782A22"/>
    <w:rsid w:val="007850A6"/>
    <w:rsid w:val="007868AD"/>
    <w:rsid w:val="00787EB8"/>
    <w:rsid w:val="00793BFA"/>
    <w:rsid w:val="007A2D04"/>
    <w:rsid w:val="007A4AD7"/>
    <w:rsid w:val="007A57AE"/>
    <w:rsid w:val="007B345B"/>
    <w:rsid w:val="007B4597"/>
    <w:rsid w:val="007B5302"/>
    <w:rsid w:val="007C203E"/>
    <w:rsid w:val="007C481F"/>
    <w:rsid w:val="007C6725"/>
    <w:rsid w:val="007D120F"/>
    <w:rsid w:val="007D37B6"/>
    <w:rsid w:val="007D46C9"/>
    <w:rsid w:val="007E2777"/>
    <w:rsid w:val="007E5768"/>
    <w:rsid w:val="007E5C1B"/>
    <w:rsid w:val="007F0A49"/>
    <w:rsid w:val="007F638B"/>
    <w:rsid w:val="008025B7"/>
    <w:rsid w:val="0080618A"/>
    <w:rsid w:val="00807D40"/>
    <w:rsid w:val="00814F98"/>
    <w:rsid w:val="00815F20"/>
    <w:rsid w:val="008219BF"/>
    <w:rsid w:val="00826774"/>
    <w:rsid w:val="00831ADE"/>
    <w:rsid w:val="00833A6F"/>
    <w:rsid w:val="00835689"/>
    <w:rsid w:val="00836286"/>
    <w:rsid w:val="008465A1"/>
    <w:rsid w:val="00851C8C"/>
    <w:rsid w:val="00852466"/>
    <w:rsid w:val="008545F1"/>
    <w:rsid w:val="00856A04"/>
    <w:rsid w:val="00861E7F"/>
    <w:rsid w:val="0086456F"/>
    <w:rsid w:val="0086509C"/>
    <w:rsid w:val="00865588"/>
    <w:rsid w:val="00866395"/>
    <w:rsid w:val="008678F3"/>
    <w:rsid w:val="00870C86"/>
    <w:rsid w:val="00871114"/>
    <w:rsid w:val="00871F73"/>
    <w:rsid w:val="008751B7"/>
    <w:rsid w:val="00880B33"/>
    <w:rsid w:val="00885CD2"/>
    <w:rsid w:val="00886C48"/>
    <w:rsid w:val="00887B4F"/>
    <w:rsid w:val="008931AA"/>
    <w:rsid w:val="00896366"/>
    <w:rsid w:val="008A29D5"/>
    <w:rsid w:val="008A5F8E"/>
    <w:rsid w:val="008A5F9D"/>
    <w:rsid w:val="008B25D6"/>
    <w:rsid w:val="008C0A32"/>
    <w:rsid w:val="008C2018"/>
    <w:rsid w:val="008D0685"/>
    <w:rsid w:val="008D22B1"/>
    <w:rsid w:val="008D28E3"/>
    <w:rsid w:val="008D48B5"/>
    <w:rsid w:val="008D5546"/>
    <w:rsid w:val="008D755E"/>
    <w:rsid w:val="008E0B18"/>
    <w:rsid w:val="008E206D"/>
    <w:rsid w:val="008E3008"/>
    <w:rsid w:val="008E686F"/>
    <w:rsid w:val="008E6CF5"/>
    <w:rsid w:val="008E7ACA"/>
    <w:rsid w:val="008F00EE"/>
    <w:rsid w:val="008F70E4"/>
    <w:rsid w:val="00900969"/>
    <w:rsid w:val="00900A4A"/>
    <w:rsid w:val="00901057"/>
    <w:rsid w:val="0090112A"/>
    <w:rsid w:val="00901757"/>
    <w:rsid w:val="0090414C"/>
    <w:rsid w:val="009102B7"/>
    <w:rsid w:val="00923778"/>
    <w:rsid w:val="00924CE1"/>
    <w:rsid w:val="0093056B"/>
    <w:rsid w:val="00934B7D"/>
    <w:rsid w:val="0094471D"/>
    <w:rsid w:val="009447EB"/>
    <w:rsid w:val="00945FF9"/>
    <w:rsid w:val="0095248C"/>
    <w:rsid w:val="00962B8A"/>
    <w:rsid w:val="00964BCD"/>
    <w:rsid w:val="009655A6"/>
    <w:rsid w:val="00967B25"/>
    <w:rsid w:val="0097000F"/>
    <w:rsid w:val="00972110"/>
    <w:rsid w:val="00981DFA"/>
    <w:rsid w:val="00993AD4"/>
    <w:rsid w:val="00994811"/>
    <w:rsid w:val="009969FB"/>
    <w:rsid w:val="009A1527"/>
    <w:rsid w:val="009A1DEC"/>
    <w:rsid w:val="009A6935"/>
    <w:rsid w:val="009B1667"/>
    <w:rsid w:val="009B3591"/>
    <w:rsid w:val="009B50C1"/>
    <w:rsid w:val="009C0E92"/>
    <w:rsid w:val="009C2835"/>
    <w:rsid w:val="009C5FFC"/>
    <w:rsid w:val="009C68E3"/>
    <w:rsid w:val="009D0377"/>
    <w:rsid w:val="009D2DBD"/>
    <w:rsid w:val="009D4ABB"/>
    <w:rsid w:val="009D5DFA"/>
    <w:rsid w:val="009D6A76"/>
    <w:rsid w:val="009E3154"/>
    <w:rsid w:val="009E39A7"/>
    <w:rsid w:val="009F2EDD"/>
    <w:rsid w:val="00A02B3E"/>
    <w:rsid w:val="00A02E1C"/>
    <w:rsid w:val="00A05C32"/>
    <w:rsid w:val="00A06AA3"/>
    <w:rsid w:val="00A11EB6"/>
    <w:rsid w:val="00A14B2C"/>
    <w:rsid w:val="00A210F6"/>
    <w:rsid w:val="00A21329"/>
    <w:rsid w:val="00A2145B"/>
    <w:rsid w:val="00A21EAB"/>
    <w:rsid w:val="00A21F31"/>
    <w:rsid w:val="00A27864"/>
    <w:rsid w:val="00A27C20"/>
    <w:rsid w:val="00A3287B"/>
    <w:rsid w:val="00A34383"/>
    <w:rsid w:val="00A36964"/>
    <w:rsid w:val="00A46D4A"/>
    <w:rsid w:val="00A50AD6"/>
    <w:rsid w:val="00A52CC4"/>
    <w:rsid w:val="00A55D57"/>
    <w:rsid w:val="00A6040A"/>
    <w:rsid w:val="00A61E5D"/>
    <w:rsid w:val="00A62612"/>
    <w:rsid w:val="00A7283F"/>
    <w:rsid w:val="00A7330E"/>
    <w:rsid w:val="00A755F1"/>
    <w:rsid w:val="00A862FA"/>
    <w:rsid w:val="00A875DD"/>
    <w:rsid w:val="00A91F4E"/>
    <w:rsid w:val="00A92107"/>
    <w:rsid w:val="00A921CB"/>
    <w:rsid w:val="00A927A3"/>
    <w:rsid w:val="00A95312"/>
    <w:rsid w:val="00AA3B9A"/>
    <w:rsid w:val="00AA4C64"/>
    <w:rsid w:val="00AB3FB6"/>
    <w:rsid w:val="00AB6F91"/>
    <w:rsid w:val="00AB789C"/>
    <w:rsid w:val="00AB7F92"/>
    <w:rsid w:val="00AC08D1"/>
    <w:rsid w:val="00AC1068"/>
    <w:rsid w:val="00AC3BB5"/>
    <w:rsid w:val="00AC5923"/>
    <w:rsid w:val="00AC6F83"/>
    <w:rsid w:val="00AD2F66"/>
    <w:rsid w:val="00AD7BC8"/>
    <w:rsid w:val="00AE095C"/>
    <w:rsid w:val="00AE10A7"/>
    <w:rsid w:val="00AE2752"/>
    <w:rsid w:val="00AE2BCE"/>
    <w:rsid w:val="00AE6B9D"/>
    <w:rsid w:val="00AE7C5D"/>
    <w:rsid w:val="00AF12EA"/>
    <w:rsid w:val="00AF1CB8"/>
    <w:rsid w:val="00AF40E5"/>
    <w:rsid w:val="00AF52B4"/>
    <w:rsid w:val="00AF6753"/>
    <w:rsid w:val="00AF686B"/>
    <w:rsid w:val="00AF6F13"/>
    <w:rsid w:val="00B00993"/>
    <w:rsid w:val="00B03935"/>
    <w:rsid w:val="00B05140"/>
    <w:rsid w:val="00B075D5"/>
    <w:rsid w:val="00B13AF3"/>
    <w:rsid w:val="00B14398"/>
    <w:rsid w:val="00B153DF"/>
    <w:rsid w:val="00B2048B"/>
    <w:rsid w:val="00B2286F"/>
    <w:rsid w:val="00B23250"/>
    <w:rsid w:val="00B25715"/>
    <w:rsid w:val="00B27BC8"/>
    <w:rsid w:val="00B326B8"/>
    <w:rsid w:val="00B3387D"/>
    <w:rsid w:val="00B3750C"/>
    <w:rsid w:val="00B40AFE"/>
    <w:rsid w:val="00B40C38"/>
    <w:rsid w:val="00B475CB"/>
    <w:rsid w:val="00B56946"/>
    <w:rsid w:val="00B6033C"/>
    <w:rsid w:val="00B6103E"/>
    <w:rsid w:val="00B67299"/>
    <w:rsid w:val="00B677DA"/>
    <w:rsid w:val="00B71B37"/>
    <w:rsid w:val="00B73A12"/>
    <w:rsid w:val="00B750A4"/>
    <w:rsid w:val="00B7686A"/>
    <w:rsid w:val="00B77060"/>
    <w:rsid w:val="00B92B25"/>
    <w:rsid w:val="00BA095D"/>
    <w:rsid w:val="00BA1BC0"/>
    <w:rsid w:val="00BA1C51"/>
    <w:rsid w:val="00BA7776"/>
    <w:rsid w:val="00BA7BDD"/>
    <w:rsid w:val="00BB1BAE"/>
    <w:rsid w:val="00BB2FF7"/>
    <w:rsid w:val="00BB6F74"/>
    <w:rsid w:val="00BB77C8"/>
    <w:rsid w:val="00BC2072"/>
    <w:rsid w:val="00BC523B"/>
    <w:rsid w:val="00BC5B52"/>
    <w:rsid w:val="00BC60C5"/>
    <w:rsid w:val="00BD12C8"/>
    <w:rsid w:val="00BD5BCD"/>
    <w:rsid w:val="00BE0C64"/>
    <w:rsid w:val="00BE2124"/>
    <w:rsid w:val="00BE515D"/>
    <w:rsid w:val="00BF1DE0"/>
    <w:rsid w:val="00BF3767"/>
    <w:rsid w:val="00BF6F2E"/>
    <w:rsid w:val="00C01628"/>
    <w:rsid w:val="00C06EA9"/>
    <w:rsid w:val="00C0783B"/>
    <w:rsid w:val="00C13363"/>
    <w:rsid w:val="00C13D2A"/>
    <w:rsid w:val="00C1418B"/>
    <w:rsid w:val="00C14503"/>
    <w:rsid w:val="00C156E6"/>
    <w:rsid w:val="00C2191A"/>
    <w:rsid w:val="00C222F0"/>
    <w:rsid w:val="00C22ACD"/>
    <w:rsid w:val="00C2373C"/>
    <w:rsid w:val="00C23CC0"/>
    <w:rsid w:val="00C302B1"/>
    <w:rsid w:val="00C31A0F"/>
    <w:rsid w:val="00C35F03"/>
    <w:rsid w:val="00C36B1A"/>
    <w:rsid w:val="00C37B35"/>
    <w:rsid w:val="00C477FB"/>
    <w:rsid w:val="00C5030C"/>
    <w:rsid w:val="00C5038D"/>
    <w:rsid w:val="00C57CBE"/>
    <w:rsid w:val="00C711C7"/>
    <w:rsid w:val="00C718A2"/>
    <w:rsid w:val="00C732B7"/>
    <w:rsid w:val="00C747E7"/>
    <w:rsid w:val="00C83DCF"/>
    <w:rsid w:val="00C8523B"/>
    <w:rsid w:val="00C874EC"/>
    <w:rsid w:val="00C87B90"/>
    <w:rsid w:val="00C91892"/>
    <w:rsid w:val="00C94DC2"/>
    <w:rsid w:val="00C94F77"/>
    <w:rsid w:val="00CA32A4"/>
    <w:rsid w:val="00CB2D07"/>
    <w:rsid w:val="00CB7851"/>
    <w:rsid w:val="00CB7B65"/>
    <w:rsid w:val="00CC1430"/>
    <w:rsid w:val="00CC1DAF"/>
    <w:rsid w:val="00CC1F97"/>
    <w:rsid w:val="00CD0E4A"/>
    <w:rsid w:val="00CD1991"/>
    <w:rsid w:val="00CD2FA2"/>
    <w:rsid w:val="00CD30C4"/>
    <w:rsid w:val="00CD4216"/>
    <w:rsid w:val="00CD4E41"/>
    <w:rsid w:val="00CD7D1F"/>
    <w:rsid w:val="00CE15FC"/>
    <w:rsid w:val="00CE25DD"/>
    <w:rsid w:val="00CE76FB"/>
    <w:rsid w:val="00CF0B3E"/>
    <w:rsid w:val="00CF4829"/>
    <w:rsid w:val="00CF4ED7"/>
    <w:rsid w:val="00D05E82"/>
    <w:rsid w:val="00D061E0"/>
    <w:rsid w:val="00D101B8"/>
    <w:rsid w:val="00D12957"/>
    <w:rsid w:val="00D21627"/>
    <w:rsid w:val="00D246C8"/>
    <w:rsid w:val="00D32026"/>
    <w:rsid w:val="00D40CF5"/>
    <w:rsid w:val="00D43176"/>
    <w:rsid w:val="00D46E24"/>
    <w:rsid w:val="00D53FB1"/>
    <w:rsid w:val="00D54DCF"/>
    <w:rsid w:val="00D6066E"/>
    <w:rsid w:val="00D60974"/>
    <w:rsid w:val="00D62D78"/>
    <w:rsid w:val="00D70D8A"/>
    <w:rsid w:val="00D73AF2"/>
    <w:rsid w:val="00D77CC4"/>
    <w:rsid w:val="00D80F8C"/>
    <w:rsid w:val="00D84747"/>
    <w:rsid w:val="00D85F8A"/>
    <w:rsid w:val="00D8724B"/>
    <w:rsid w:val="00D8734B"/>
    <w:rsid w:val="00D9069A"/>
    <w:rsid w:val="00D94DEF"/>
    <w:rsid w:val="00D9506B"/>
    <w:rsid w:val="00D958D1"/>
    <w:rsid w:val="00D96C96"/>
    <w:rsid w:val="00D96C9D"/>
    <w:rsid w:val="00DA1C7D"/>
    <w:rsid w:val="00DA3234"/>
    <w:rsid w:val="00DA4C50"/>
    <w:rsid w:val="00DA7FB6"/>
    <w:rsid w:val="00DB2E71"/>
    <w:rsid w:val="00DB4450"/>
    <w:rsid w:val="00DB49DB"/>
    <w:rsid w:val="00DB7FE6"/>
    <w:rsid w:val="00DD487C"/>
    <w:rsid w:val="00DD67B4"/>
    <w:rsid w:val="00DD6B3C"/>
    <w:rsid w:val="00DE6799"/>
    <w:rsid w:val="00DF2149"/>
    <w:rsid w:val="00DF2EDC"/>
    <w:rsid w:val="00DF5649"/>
    <w:rsid w:val="00E01BCD"/>
    <w:rsid w:val="00E03462"/>
    <w:rsid w:val="00E07A99"/>
    <w:rsid w:val="00E13936"/>
    <w:rsid w:val="00E15768"/>
    <w:rsid w:val="00E2112A"/>
    <w:rsid w:val="00E24046"/>
    <w:rsid w:val="00E244C5"/>
    <w:rsid w:val="00E25797"/>
    <w:rsid w:val="00E30DDC"/>
    <w:rsid w:val="00E31303"/>
    <w:rsid w:val="00E361FD"/>
    <w:rsid w:val="00E408A8"/>
    <w:rsid w:val="00E434EB"/>
    <w:rsid w:val="00E46523"/>
    <w:rsid w:val="00E5250A"/>
    <w:rsid w:val="00E53751"/>
    <w:rsid w:val="00E540FF"/>
    <w:rsid w:val="00E746B0"/>
    <w:rsid w:val="00E7632F"/>
    <w:rsid w:val="00E81CFE"/>
    <w:rsid w:val="00E82622"/>
    <w:rsid w:val="00E87D5C"/>
    <w:rsid w:val="00E97124"/>
    <w:rsid w:val="00EA12D8"/>
    <w:rsid w:val="00EA7A9A"/>
    <w:rsid w:val="00EB052B"/>
    <w:rsid w:val="00EB6DEC"/>
    <w:rsid w:val="00EB719C"/>
    <w:rsid w:val="00EC2F84"/>
    <w:rsid w:val="00EC6EC4"/>
    <w:rsid w:val="00ED438D"/>
    <w:rsid w:val="00ED4C0C"/>
    <w:rsid w:val="00EE0A02"/>
    <w:rsid w:val="00EE41C6"/>
    <w:rsid w:val="00EF0B45"/>
    <w:rsid w:val="00EF0C33"/>
    <w:rsid w:val="00EF3AAB"/>
    <w:rsid w:val="00EF78A6"/>
    <w:rsid w:val="00F00457"/>
    <w:rsid w:val="00F008FA"/>
    <w:rsid w:val="00F023D7"/>
    <w:rsid w:val="00F02F26"/>
    <w:rsid w:val="00F03677"/>
    <w:rsid w:val="00F04A40"/>
    <w:rsid w:val="00F0679D"/>
    <w:rsid w:val="00F105AA"/>
    <w:rsid w:val="00F14641"/>
    <w:rsid w:val="00F159FA"/>
    <w:rsid w:val="00F16216"/>
    <w:rsid w:val="00F164A9"/>
    <w:rsid w:val="00F2377F"/>
    <w:rsid w:val="00F238AE"/>
    <w:rsid w:val="00F257A9"/>
    <w:rsid w:val="00F25E35"/>
    <w:rsid w:val="00F32318"/>
    <w:rsid w:val="00F32DD3"/>
    <w:rsid w:val="00F427D5"/>
    <w:rsid w:val="00F43CB0"/>
    <w:rsid w:val="00F45D31"/>
    <w:rsid w:val="00F51575"/>
    <w:rsid w:val="00F5159D"/>
    <w:rsid w:val="00F61259"/>
    <w:rsid w:val="00F662B2"/>
    <w:rsid w:val="00F72018"/>
    <w:rsid w:val="00F75B1E"/>
    <w:rsid w:val="00F81C83"/>
    <w:rsid w:val="00F82CBE"/>
    <w:rsid w:val="00F85497"/>
    <w:rsid w:val="00F909BB"/>
    <w:rsid w:val="00FA356F"/>
    <w:rsid w:val="00FA75D5"/>
    <w:rsid w:val="00FB32EE"/>
    <w:rsid w:val="00FB5057"/>
    <w:rsid w:val="00FB7CEA"/>
    <w:rsid w:val="00FC2423"/>
    <w:rsid w:val="00FC3E86"/>
    <w:rsid w:val="00FC4909"/>
    <w:rsid w:val="00FC7360"/>
    <w:rsid w:val="00FC74BF"/>
    <w:rsid w:val="00FD1A46"/>
    <w:rsid w:val="00FD3310"/>
    <w:rsid w:val="00FD3F1E"/>
    <w:rsid w:val="00FD4205"/>
    <w:rsid w:val="00FE00C2"/>
    <w:rsid w:val="00FE1BE0"/>
    <w:rsid w:val="00FE218C"/>
    <w:rsid w:val="00FE2BD0"/>
    <w:rsid w:val="00FE5046"/>
    <w:rsid w:val="00FE6B85"/>
    <w:rsid w:val="00FE7696"/>
    <w:rsid w:val="00FE7E78"/>
    <w:rsid w:val="00FF1EE2"/>
    <w:rsid w:val="00FF27D1"/>
    <w:rsid w:val="00FF2DB3"/>
    <w:rsid w:val="00FF7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71" w:qFormat="1"/>
  </w:latentStyles>
  <w:style w:type="paragraph" w:default="1" w:styleId="Normal">
    <w:name w:val="Normal"/>
    <w:qFormat/>
    <w:rsid w:val="002A61A5"/>
    <w:pPr>
      <w:spacing w:line="360" w:lineRule="auto"/>
      <w:jc w:val="both"/>
    </w:pPr>
    <w:rPr>
      <w:rFonts w:ascii="Georgia" w:eastAsia="MS PMincho" w:hAnsi="Georgia"/>
      <w:szCs w:val="22"/>
      <w:lang w:bidi="en-US"/>
    </w:rPr>
  </w:style>
  <w:style w:type="paragraph" w:styleId="Heading1">
    <w:name w:val="heading 1"/>
    <w:basedOn w:val="Normal"/>
    <w:next w:val="Normal"/>
    <w:link w:val="Heading1Char"/>
    <w:uiPriority w:val="9"/>
    <w:qFormat/>
    <w:rsid w:val="00C747E7"/>
    <w:pPr>
      <w:spacing w:before="240" w:after="120"/>
      <w:contextualSpacing/>
      <w:outlineLvl w:val="0"/>
    </w:pPr>
    <w:rPr>
      <w:rFonts w:ascii="Arial" w:eastAsia="MS PGothic" w:hAnsi="Arial" w:cstheme="majorBidi"/>
      <w:b/>
      <w:bCs/>
      <w:sz w:val="36"/>
      <w:szCs w:val="28"/>
      <w:lang w:bidi="ar-SA"/>
    </w:rPr>
  </w:style>
  <w:style w:type="paragraph" w:styleId="Heading2">
    <w:name w:val="heading 2"/>
    <w:basedOn w:val="Normal"/>
    <w:next w:val="Normal"/>
    <w:link w:val="Heading2Char"/>
    <w:uiPriority w:val="9"/>
    <w:qFormat/>
    <w:rsid w:val="00C747E7"/>
    <w:pPr>
      <w:spacing w:before="180" w:after="60"/>
      <w:outlineLvl w:val="1"/>
    </w:pPr>
    <w:rPr>
      <w:rFonts w:ascii="Arial" w:eastAsia="MS PGothic" w:hAnsi="Arial"/>
      <w:b/>
      <w:bCs/>
      <w:sz w:val="28"/>
      <w:szCs w:val="26"/>
      <w:lang w:bidi="ar-SA"/>
    </w:rPr>
  </w:style>
  <w:style w:type="paragraph" w:styleId="Heading3">
    <w:name w:val="heading 3"/>
    <w:basedOn w:val="Normal"/>
    <w:next w:val="Normal"/>
    <w:link w:val="Heading3Char"/>
    <w:uiPriority w:val="9"/>
    <w:qFormat/>
    <w:rsid w:val="00C747E7"/>
    <w:pPr>
      <w:spacing w:before="120" w:after="60"/>
      <w:outlineLvl w:val="2"/>
    </w:pPr>
    <w:rPr>
      <w:rFonts w:eastAsia="MS PGothic"/>
      <w:bCs/>
      <w:i/>
      <w:szCs w:val="20"/>
      <w:lang w:bidi="ar-SA"/>
    </w:rPr>
  </w:style>
  <w:style w:type="paragraph" w:styleId="Heading4">
    <w:name w:val="heading 4"/>
    <w:basedOn w:val="Normal"/>
    <w:next w:val="Normal"/>
    <w:link w:val="Heading4Char"/>
    <w:uiPriority w:val="9"/>
    <w:semiHidden/>
    <w:unhideWhenUsed/>
    <w:rsid w:val="0022330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22330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2330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22330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22330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22330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ing1">
    <w:name w:val="TOC Heading1"/>
    <w:basedOn w:val="Heading1"/>
    <w:next w:val="Normal"/>
    <w:uiPriority w:val="39"/>
    <w:semiHidden/>
    <w:unhideWhenUsed/>
    <w:qFormat/>
    <w:rsid w:val="00C747E7"/>
    <w:pPr>
      <w:outlineLvl w:val="9"/>
    </w:pPr>
    <w:rPr>
      <w:rFonts w:cs="Times New Roman"/>
      <w:lang w:bidi="en-US"/>
    </w:rPr>
  </w:style>
  <w:style w:type="character" w:customStyle="1" w:styleId="Heading1Char">
    <w:name w:val="Heading 1 Char"/>
    <w:link w:val="Heading1"/>
    <w:uiPriority w:val="9"/>
    <w:rsid w:val="00C747E7"/>
    <w:rPr>
      <w:rFonts w:ascii="Arial" w:eastAsia="MS PGothic" w:hAnsi="Arial" w:cstheme="majorBidi"/>
      <w:b/>
      <w:bCs/>
      <w:sz w:val="36"/>
      <w:szCs w:val="28"/>
      <w:lang w:val="en-US"/>
    </w:rPr>
  </w:style>
  <w:style w:type="paragraph" w:customStyle="1" w:styleId="MyTable">
    <w:name w:val="My Table"/>
    <w:basedOn w:val="Normal"/>
    <w:next w:val="Normal"/>
    <w:qFormat/>
    <w:rsid w:val="00C747E7"/>
    <w:pPr>
      <w:numPr>
        <w:ilvl w:val="3"/>
        <w:numId w:val="8"/>
      </w:numPr>
      <w:spacing w:after="120"/>
      <w:jc w:val="left"/>
    </w:pPr>
    <w:rPr>
      <w:b/>
    </w:rPr>
  </w:style>
  <w:style w:type="paragraph" w:customStyle="1" w:styleId="MyFigure">
    <w:name w:val="My Figure"/>
    <w:basedOn w:val="MyTable"/>
    <w:next w:val="Normal"/>
    <w:qFormat/>
    <w:rsid w:val="00C747E7"/>
    <w:pPr>
      <w:numPr>
        <w:ilvl w:val="4"/>
      </w:numPr>
    </w:pPr>
    <w:rPr>
      <w:lang w:eastAsia="en-AU" w:bidi="ar-SA"/>
    </w:rPr>
  </w:style>
  <w:style w:type="paragraph" w:customStyle="1" w:styleId="Tabletext">
    <w:name w:val="Table text"/>
    <w:basedOn w:val="Normal"/>
    <w:qFormat/>
    <w:rsid w:val="00066015"/>
    <w:pPr>
      <w:spacing w:before="120" w:after="120" w:line="240" w:lineRule="auto"/>
      <w:jc w:val="left"/>
    </w:pPr>
    <w:rPr>
      <w:rFonts w:ascii="Arial" w:hAnsi="Arial"/>
      <w:sz w:val="16"/>
      <w:lang w:eastAsia="en-AU" w:bidi="ar-SA"/>
    </w:rPr>
  </w:style>
  <w:style w:type="paragraph" w:customStyle="1" w:styleId="TOCHeading2">
    <w:name w:val="TOC Heading2"/>
    <w:basedOn w:val="Heading1"/>
    <w:next w:val="Normal"/>
    <w:uiPriority w:val="39"/>
    <w:semiHidden/>
    <w:unhideWhenUsed/>
    <w:qFormat/>
    <w:rsid w:val="00C747E7"/>
    <w:pPr>
      <w:outlineLvl w:val="9"/>
    </w:pPr>
    <w:rPr>
      <w:rFonts w:cs="Times New Roman"/>
      <w:lang w:bidi="en-US"/>
    </w:rPr>
  </w:style>
  <w:style w:type="character" w:customStyle="1" w:styleId="Heading2Char">
    <w:name w:val="Heading 2 Char"/>
    <w:link w:val="Heading2"/>
    <w:uiPriority w:val="9"/>
    <w:rsid w:val="00C747E7"/>
    <w:rPr>
      <w:rFonts w:ascii="Arial" w:eastAsia="MS PGothic" w:hAnsi="Arial"/>
      <w:b/>
      <w:bCs/>
      <w:sz w:val="28"/>
      <w:szCs w:val="26"/>
      <w:lang w:val="en-US"/>
    </w:rPr>
  </w:style>
  <w:style w:type="character" w:customStyle="1" w:styleId="Heading3Char">
    <w:name w:val="Heading 3 Char"/>
    <w:link w:val="Heading3"/>
    <w:uiPriority w:val="9"/>
    <w:rsid w:val="00C747E7"/>
    <w:rPr>
      <w:rFonts w:eastAsia="MS PGothic"/>
      <w:bCs/>
      <w:i/>
      <w:sz w:val="22"/>
    </w:rPr>
  </w:style>
  <w:style w:type="paragraph" w:styleId="Title">
    <w:name w:val="Title"/>
    <w:basedOn w:val="Normal"/>
    <w:next w:val="Normal"/>
    <w:link w:val="TitleChar"/>
    <w:uiPriority w:val="10"/>
    <w:qFormat/>
    <w:rsid w:val="00C747E7"/>
    <w:pPr>
      <w:numPr>
        <w:numId w:val="8"/>
      </w:numPr>
      <w:pBdr>
        <w:bottom w:val="single" w:sz="4" w:space="1" w:color="auto"/>
      </w:pBdr>
      <w:spacing w:after="240" w:line="240" w:lineRule="auto"/>
      <w:contextualSpacing/>
      <w:jc w:val="left"/>
    </w:pPr>
    <w:rPr>
      <w:rFonts w:ascii="Arial" w:hAnsi="Arial"/>
      <w:spacing w:val="5"/>
      <w:sz w:val="52"/>
      <w:szCs w:val="52"/>
      <w:lang w:eastAsia="en-AU" w:bidi="ar-SA"/>
    </w:rPr>
  </w:style>
  <w:style w:type="character" w:customStyle="1" w:styleId="TitleChar">
    <w:name w:val="Title Char"/>
    <w:link w:val="Title"/>
    <w:uiPriority w:val="10"/>
    <w:rsid w:val="00C747E7"/>
    <w:rPr>
      <w:rFonts w:ascii="Arial" w:eastAsia="MS PMincho" w:hAnsi="Arial"/>
      <w:spacing w:val="5"/>
      <w:sz w:val="52"/>
      <w:szCs w:val="52"/>
      <w:lang w:eastAsia="en-AU"/>
    </w:rPr>
  </w:style>
  <w:style w:type="paragraph" w:styleId="ListParagraph">
    <w:name w:val="List Paragraph"/>
    <w:basedOn w:val="Normal"/>
    <w:link w:val="ListParagraphChar"/>
    <w:uiPriority w:val="34"/>
    <w:rsid w:val="003E17B8"/>
    <w:pPr>
      <w:ind w:left="720"/>
      <w:contextualSpacing/>
    </w:pPr>
  </w:style>
  <w:style w:type="character" w:styleId="Hyperlink">
    <w:name w:val="Hyperlink"/>
    <w:basedOn w:val="DefaultParagraphFont"/>
    <w:uiPriority w:val="99"/>
    <w:unhideWhenUsed/>
    <w:rsid w:val="001778E9"/>
    <w:rPr>
      <w:color w:val="0000FF" w:themeColor="hyperlink"/>
      <w:u w:val="single"/>
    </w:rPr>
  </w:style>
  <w:style w:type="paragraph" w:styleId="BalloonText">
    <w:name w:val="Balloon Text"/>
    <w:basedOn w:val="Normal"/>
    <w:link w:val="BalloonTextChar"/>
    <w:uiPriority w:val="99"/>
    <w:semiHidden/>
    <w:unhideWhenUsed/>
    <w:rsid w:val="00BB6F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74"/>
    <w:rPr>
      <w:rFonts w:ascii="Tahoma" w:eastAsia="MS PMincho" w:hAnsi="Tahoma" w:cs="Tahoma"/>
      <w:sz w:val="16"/>
      <w:szCs w:val="16"/>
      <w:lang w:bidi="en-US"/>
    </w:rPr>
  </w:style>
  <w:style w:type="table" w:styleId="TableGrid">
    <w:name w:val="Table Grid"/>
    <w:basedOn w:val="TableNormal"/>
    <w:uiPriority w:val="59"/>
    <w:rsid w:val="0018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3C0B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semiHidden/>
    <w:unhideWhenUsed/>
    <w:rsid w:val="00DD6B3C"/>
    <w:pPr>
      <w:spacing w:line="240" w:lineRule="auto"/>
    </w:pPr>
    <w:rPr>
      <w:szCs w:val="20"/>
    </w:rPr>
  </w:style>
  <w:style w:type="character" w:customStyle="1" w:styleId="EndnoteTextChar">
    <w:name w:val="Endnote Text Char"/>
    <w:basedOn w:val="DefaultParagraphFont"/>
    <w:link w:val="EndnoteText"/>
    <w:uiPriority w:val="99"/>
    <w:semiHidden/>
    <w:rsid w:val="00DD6B3C"/>
    <w:rPr>
      <w:rFonts w:ascii="Georgia" w:eastAsia="MS PMincho" w:hAnsi="Georgia"/>
      <w:lang w:bidi="en-US"/>
    </w:rPr>
  </w:style>
  <w:style w:type="character" w:styleId="EndnoteReference">
    <w:name w:val="endnote reference"/>
    <w:basedOn w:val="DefaultParagraphFont"/>
    <w:uiPriority w:val="99"/>
    <w:semiHidden/>
    <w:unhideWhenUsed/>
    <w:rsid w:val="00DD6B3C"/>
    <w:rPr>
      <w:vertAlign w:val="superscript"/>
    </w:rPr>
  </w:style>
  <w:style w:type="paragraph" w:styleId="FootnoteText">
    <w:name w:val="footnote text"/>
    <w:basedOn w:val="Normal"/>
    <w:link w:val="FootnoteTextChar"/>
    <w:uiPriority w:val="99"/>
    <w:semiHidden/>
    <w:unhideWhenUsed/>
    <w:rsid w:val="00DD6B3C"/>
    <w:pPr>
      <w:spacing w:line="240" w:lineRule="auto"/>
    </w:pPr>
    <w:rPr>
      <w:szCs w:val="20"/>
    </w:rPr>
  </w:style>
  <w:style w:type="character" w:customStyle="1" w:styleId="FootnoteTextChar">
    <w:name w:val="Footnote Text Char"/>
    <w:basedOn w:val="DefaultParagraphFont"/>
    <w:link w:val="FootnoteText"/>
    <w:uiPriority w:val="99"/>
    <w:semiHidden/>
    <w:rsid w:val="00DD6B3C"/>
    <w:rPr>
      <w:rFonts w:ascii="Georgia" w:eastAsia="MS PMincho" w:hAnsi="Georgia"/>
      <w:lang w:bidi="en-US"/>
    </w:rPr>
  </w:style>
  <w:style w:type="character" w:styleId="FootnoteReference">
    <w:name w:val="footnote reference"/>
    <w:basedOn w:val="DefaultParagraphFont"/>
    <w:uiPriority w:val="99"/>
    <w:semiHidden/>
    <w:unhideWhenUsed/>
    <w:rsid w:val="00DD6B3C"/>
    <w:rPr>
      <w:vertAlign w:val="superscript"/>
    </w:rPr>
  </w:style>
  <w:style w:type="paragraph" w:styleId="Header">
    <w:name w:val="header"/>
    <w:basedOn w:val="Normal"/>
    <w:link w:val="HeaderChar"/>
    <w:uiPriority w:val="99"/>
    <w:unhideWhenUsed/>
    <w:rsid w:val="00147D5D"/>
    <w:pPr>
      <w:tabs>
        <w:tab w:val="center" w:pos="4513"/>
        <w:tab w:val="right" w:pos="9026"/>
      </w:tabs>
      <w:spacing w:line="240" w:lineRule="auto"/>
    </w:pPr>
  </w:style>
  <w:style w:type="character" w:customStyle="1" w:styleId="HeaderChar">
    <w:name w:val="Header Char"/>
    <w:basedOn w:val="DefaultParagraphFont"/>
    <w:link w:val="Header"/>
    <w:uiPriority w:val="99"/>
    <w:rsid w:val="00147D5D"/>
    <w:rPr>
      <w:rFonts w:ascii="Georgia" w:eastAsia="MS PMincho" w:hAnsi="Georgia"/>
      <w:szCs w:val="22"/>
      <w:lang w:bidi="en-US"/>
    </w:rPr>
  </w:style>
  <w:style w:type="paragraph" w:styleId="Footer">
    <w:name w:val="footer"/>
    <w:basedOn w:val="Normal"/>
    <w:link w:val="FooterChar"/>
    <w:uiPriority w:val="99"/>
    <w:unhideWhenUsed/>
    <w:rsid w:val="00147D5D"/>
    <w:pPr>
      <w:tabs>
        <w:tab w:val="center" w:pos="4513"/>
        <w:tab w:val="right" w:pos="9026"/>
      </w:tabs>
      <w:spacing w:line="240" w:lineRule="auto"/>
    </w:pPr>
  </w:style>
  <w:style w:type="character" w:customStyle="1" w:styleId="FooterChar">
    <w:name w:val="Footer Char"/>
    <w:basedOn w:val="DefaultParagraphFont"/>
    <w:link w:val="Footer"/>
    <w:uiPriority w:val="99"/>
    <w:rsid w:val="00147D5D"/>
    <w:rPr>
      <w:rFonts w:ascii="Georgia" w:eastAsia="MS PMincho" w:hAnsi="Georgia"/>
      <w:szCs w:val="22"/>
      <w:lang w:bidi="en-US"/>
    </w:rPr>
  </w:style>
  <w:style w:type="character" w:styleId="CommentReference">
    <w:name w:val="annotation reference"/>
    <w:basedOn w:val="DefaultParagraphFont"/>
    <w:uiPriority w:val="99"/>
    <w:semiHidden/>
    <w:unhideWhenUsed/>
    <w:rsid w:val="00EF0B45"/>
    <w:rPr>
      <w:sz w:val="16"/>
      <w:szCs w:val="16"/>
    </w:rPr>
  </w:style>
  <w:style w:type="paragraph" w:styleId="CommentText">
    <w:name w:val="annotation text"/>
    <w:basedOn w:val="Normal"/>
    <w:link w:val="CommentTextChar"/>
    <w:uiPriority w:val="99"/>
    <w:semiHidden/>
    <w:unhideWhenUsed/>
    <w:rsid w:val="00EF0B45"/>
    <w:pPr>
      <w:spacing w:line="240" w:lineRule="auto"/>
    </w:pPr>
    <w:rPr>
      <w:szCs w:val="20"/>
    </w:rPr>
  </w:style>
  <w:style w:type="character" w:customStyle="1" w:styleId="CommentTextChar">
    <w:name w:val="Comment Text Char"/>
    <w:basedOn w:val="DefaultParagraphFont"/>
    <w:link w:val="CommentText"/>
    <w:uiPriority w:val="99"/>
    <w:semiHidden/>
    <w:rsid w:val="00EF0B45"/>
    <w:rPr>
      <w:rFonts w:ascii="Georgia" w:eastAsia="MS PMincho" w:hAnsi="Georgia"/>
      <w:lang w:bidi="en-US"/>
    </w:rPr>
  </w:style>
  <w:style w:type="paragraph" w:styleId="CommentSubject">
    <w:name w:val="annotation subject"/>
    <w:basedOn w:val="CommentText"/>
    <w:next w:val="CommentText"/>
    <w:link w:val="CommentSubjectChar"/>
    <w:uiPriority w:val="99"/>
    <w:semiHidden/>
    <w:unhideWhenUsed/>
    <w:rsid w:val="00EF0B45"/>
    <w:rPr>
      <w:b/>
      <w:bCs/>
    </w:rPr>
  </w:style>
  <w:style w:type="character" w:customStyle="1" w:styleId="CommentSubjectChar">
    <w:name w:val="Comment Subject Char"/>
    <w:basedOn w:val="CommentTextChar"/>
    <w:link w:val="CommentSubject"/>
    <w:uiPriority w:val="99"/>
    <w:semiHidden/>
    <w:rsid w:val="00EF0B45"/>
    <w:rPr>
      <w:rFonts w:ascii="Georgia" w:eastAsia="MS PMincho" w:hAnsi="Georgia"/>
      <w:b/>
      <w:bCs/>
      <w:lang w:bidi="en-US"/>
    </w:rPr>
  </w:style>
  <w:style w:type="table" w:styleId="LightShading">
    <w:name w:val="Light Shading"/>
    <w:basedOn w:val="TableNormal"/>
    <w:uiPriority w:val="60"/>
    <w:rsid w:val="008E6CF5"/>
    <w:rPr>
      <w:rFonts w:eastAsia="MS Minch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rPr>
      <w:tblPr/>
      <w:trPr>
        <w:cantSplit/>
        <w:tblHeader/>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val="0"/>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A2145B"/>
    <w:pPr>
      <w:jc w:val="center"/>
    </w:pPr>
    <w:rPr>
      <w:noProof/>
      <w:lang w:val="en-US"/>
    </w:rPr>
  </w:style>
  <w:style w:type="character" w:customStyle="1" w:styleId="ListParagraphChar">
    <w:name w:val="List Paragraph Char"/>
    <w:basedOn w:val="DefaultParagraphFont"/>
    <w:link w:val="ListParagraph"/>
    <w:uiPriority w:val="34"/>
    <w:rsid w:val="00A2145B"/>
    <w:rPr>
      <w:rFonts w:ascii="Georgia" w:eastAsia="MS PMincho" w:hAnsi="Georgia"/>
      <w:szCs w:val="22"/>
      <w:lang w:bidi="en-US"/>
    </w:rPr>
  </w:style>
  <w:style w:type="character" w:customStyle="1" w:styleId="EndNoteBibliographyTitleChar">
    <w:name w:val="EndNote Bibliography Title Char"/>
    <w:basedOn w:val="ListParagraphChar"/>
    <w:link w:val="EndNoteBibliographyTitle"/>
    <w:rsid w:val="00A2145B"/>
    <w:rPr>
      <w:rFonts w:ascii="Georgia" w:eastAsia="MS PMincho" w:hAnsi="Georgia"/>
      <w:noProof/>
      <w:szCs w:val="22"/>
      <w:lang w:val="en-US" w:bidi="en-US"/>
    </w:rPr>
  </w:style>
  <w:style w:type="paragraph" w:customStyle="1" w:styleId="EndNoteBibliography">
    <w:name w:val="EndNote Bibliography"/>
    <w:basedOn w:val="Normal"/>
    <w:link w:val="EndNoteBibliographyChar"/>
    <w:rsid w:val="00A2145B"/>
    <w:pPr>
      <w:spacing w:line="240" w:lineRule="auto"/>
    </w:pPr>
    <w:rPr>
      <w:noProof/>
      <w:lang w:val="en-US"/>
    </w:rPr>
  </w:style>
  <w:style w:type="character" w:customStyle="1" w:styleId="EndNoteBibliographyChar">
    <w:name w:val="EndNote Bibliography Char"/>
    <w:basedOn w:val="ListParagraphChar"/>
    <w:link w:val="EndNoteBibliography"/>
    <w:rsid w:val="00A2145B"/>
    <w:rPr>
      <w:rFonts w:ascii="Georgia" w:eastAsia="MS PMincho" w:hAnsi="Georgia"/>
      <w:noProof/>
      <w:szCs w:val="22"/>
      <w:lang w:val="en-US" w:bidi="en-US"/>
    </w:rPr>
  </w:style>
  <w:style w:type="paragraph" w:styleId="TOC2">
    <w:name w:val="toc 2"/>
    <w:basedOn w:val="Normal"/>
    <w:next w:val="Normal"/>
    <w:autoRedefine/>
    <w:uiPriority w:val="39"/>
    <w:unhideWhenUsed/>
    <w:rsid w:val="00161173"/>
    <w:pPr>
      <w:spacing w:after="100"/>
      <w:ind w:left="200"/>
    </w:pPr>
  </w:style>
  <w:style w:type="paragraph" w:styleId="TOC3">
    <w:name w:val="toc 3"/>
    <w:basedOn w:val="Normal"/>
    <w:next w:val="Normal"/>
    <w:autoRedefine/>
    <w:uiPriority w:val="39"/>
    <w:unhideWhenUsed/>
    <w:rsid w:val="00161173"/>
    <w:pPr>
      <w:spacing w:after="100"/>
      <w:ind w:left="400"/>
    </w:pPr>
  </w:style>
  <w:style w:type="character" w:customStyle="1" w:styleId="Heading4Char">
    <w:name w:val="Heading 4 Char"/>
    <w:basedOn w:val="DefaultParagraphFont"/>
    <w:link w:val="Heading4"/>
    <w:uiPriority w:val="9"/>
    <w:semiHidden/>
    <w:rsid w:val="00223305"/>
    <w:rPr>
      <w:rFonts w:asciiTheme="majorHAnsi" w:eastAsiaTheme="majorEastAsia" w:hAnsiTheme="majorHAnsi" w:cstheme="majorBidi"/>
      <w:b/>
      <w:bCs/>
      <w:i/>
      <w:iCs/>
      <w:color w:val="4F81BD" w:themeColor="accent1"/>
      <w:szCs w:val="22"/>
      <w:lang w:bidi="en-US"/>
    </w:rPr>
  </w:style>
  <w:style w:type="paragraph" w:styleId="TableofFigures">
    <w:name w:val="table of figures"/>
    <w:basedOn w:val="Normal"/>
    <w:next w:val="Normal"/>
    <w:uiPriority w:val="99"/>
    <w:semiHidden/>
    <w:unhideWhenUsed/>
    <w:rsid w:val="00C23CC0"/>
  </w:style>
  <w:style w:type="paragraph" w:styleId="TOC1">
    <w:name w:val="toc 1"/>
    <w:basedOn w:val="Normal"/>
    <w:next w:val="Normal"/>
    <w:autoRedefine/>
    <w:uiPriority w:val="39"/>
    <w:unhideWhenUsed/>
    <w:rsid w:val="00363D9E"/>
    <w:pPr>
      <w:tabs>
        <w:tab w:val="left" w:pos="1100"/>
        <w:tab w:val="right" w:leader="dot" w:pos="9016"/>
      </w:tabs>
      <w:spacing w:after="100"/>
      <w:ind w:left="1100" w:hanging="1100"/>
    </w:pPr>
  </w:style>
  <w:style w:type="paragraph" w:styleId="TOC8">
    <w:name w:val="toc 8"/>
    <w:basedOn w:val="Normal"/>
    <w:next w:val="Normal"/>
    <w:autoRedefine/>
    <w:uiPriority w:val="39"/>
    <w:semiHidden/>
    <w:unhideWhenUsed/>
    <w:rsid w:val="00223305"/>
    <w:pPr>
      <w:spacing w:after="100"/>
      <w:ind w:left="1400"/>
    </w:pPr>
  </w:style>
  <w:style w:type="character" w:customStyle="1" w:styleId="Heading5Char">
    <w:name w:val="Heading 5 Char"/>
    <w:basedOn w:val="DefaultParagraphFont"/>
    <w:link w:val="Heading5"/>
    <w:uiPriority w:val="9"/>
    <w:semiHidden/>
    <w:rsid w:val="00223305"/>
    <w:rPr>
      <w:rFonts w:asciiTheme="majorHAnsi" w:eastAsiaTheme="majorEastAsia" w:hAnsiTheme="majorHAnsi" w:cstheme="majorBidi"/>
      <w:color w:val="243F60" w:themeColor="accent1" w:themeShade="7F"/>
      <w:szCs w:val="22"/>
      <w:lang w:bidi="en-US"/>
    </w:rPr>
  </w:style>
  <w:style w:type="character" w:customStyle="1" w:styleId="Heading6Char">
    <w:name w:val="Heading 6 Char"/>
    <w:basedOn w:val="DefaultParagraphFont"/>
    <w:link w:val="Heading6"/>
    <w:uiPriority w:val="9"/>
    <w:semiHidden/>
    <w:rsid w:val="00223305"/>
    <w:rPr>
      <w:rFonts w:asciiTheme="majorHAnsi" w:eastAsiaTheme="majorEastAsia" w:hAnsiTheme="majorHAnsi" w:cstheme="majorBidi"/>
      <w:i/>
      <w:iCs/>
      <w:color w:val="243F60" w:themeColor="accent1" w:themeShade="7F"/>
      <w:szCs w:val="22"/>
      <w:lang w:bidi="en-US"/>
    </w:rPr>
  </w:style>
  <w:style w:type="character" w:customStyle="1" w:styleId="Heading7Char">
    <w:name w:val="Heading 7 Char"/>
    <w:basedOn w:val="DefaultParagraphFont"/>
    <w:link w:val="Heading7"/>
    <w:uiPriority w:val="9"/>
    <w:semiHidden/>
    <w:rsid w:val="00223305"/>
    <w:rPr>
      <w:rFonts w:asciiTheme="majorHAnsi" w:eastAsiaTheme="majorEastAsia" w:hAnsiTheme="majorHAnsi" w:cstheme="majorBidi"/>
      <w:i/>
      <w:iCs/>
      <w:color w:val="404040" w:themeColor="text1" w:themeTint="BF"/>
      <w:szCs w:val="22"/>
      <w:lang w:bidi="en-US"/>
    </w:rPr>
  </w:style>
  <w:style w:type="character" w:customStyle="1" w:styleId="Heading8Char">
    <w:name w:val="Heading 8 Char"/>
    <w:basedOn w:val="DefaultParagraphFont"/>
    <w:link w:val="Heading8"/>
    <w:uiPriority w:val="9"/>
    <w:semiHidden/>
    <w:rsid w:val="00223305"/>
    <w:rPr>
      <w:rFonts w:asciiTheme="majorHAnsi" w:eastAsiaTheme="majorEastAsia" w:hAnsiTheme="majorHAnsi" w:cstheme="majorBidi"/>
      <w:color w:val="404040" w:themeColor="text1" w:themeTint="BF"/>
      <w:lang w:bidi="en-US"/>
    </w:rPr>
  </w:style>
  <w:style w:type="character" w:customStyle="1" w:styleId="Heading9Char">
    <w:name w:val="Heading 9 Char"/>
    <w:basedOn w:val="DefaultParagraphFont"/>
    <w:link w:val="Heading9"/>
    <w:uiPriority w:val="9"/>
    <w:semiHidden/>
    <w:rsid w:val="00223305"/>
    <w:rPr>
      <w:rFonts w:asciiTheme="majorHAnsi" w:eastAsiaTheme="majorEastAsia" w:hAnsiTheme="majorHAnsi" w:cstheme="majorBidi"/>
      <w:i/>
      <w:iCs/>
      <w:color w:val="404040" w:themeColor="text1" w:themeTint="BF"/>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9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92EFE-7EB7-444A-8A4E-5C2B7374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21</Pages>
  <Words>5395</Words>
  <Characters>30752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36075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 Yi Lee</dc:creator>
  <cp:lastModifiedBy>Yong Yi Lee</cp:lastModifiedBy>
  <cp:revision>175</cp:revision>
  <cp:lastPrinted>2017-05-02T00:31:00Z</cp:lastPrinted>
  <dcterms:created xsi:type="dcterms:W3CDTF">2017-05-21T10:08:00Z</dcterms:created>
  <dcterms:modified xsi:type="dcterms:W3CDTF">2018-02-07T04:18:00Z</dcterms:modified>
</cp:coreProperties>
</file>