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6A" w:rsidRDefault="00B60F6A" w:rsidP="00B60F6A">
      <w:pPr>
        <w:widowControl w:val="0"/>
        <w:autoSpaceDE w:val="0"/>
        <w:autoSpaceDN w:val="0"/>
        <w:adjustRightInd w:val="0"/>
        <w:spacing w:line="240" w:lineRule="auto"/>
        <w:ind w:left="640" w:hanging="640"/>
        <w:jc w:val="center"/>
        <w:rPr>
          <w:rFonts w:ascii="Times New Roman" w:hAnsi="Times New Roman" w:cs="Times New Roman"/>
          <w:b/>
          <w:sz w:val="20"/>
          <w:szCs w:val="20"/>
          <w:u w:val="single"/>
        </w:rPr>
      </w:pPr>
      <w:r>
        <w:rPr>
          <w:rFonts w:ascii="Times New Roman" w:hAnsi="Times New Roman" w:cs="Times New Roman"/>
          <w:b/>
          <w:sz w:val="20"/>
          <w:szCs w:val="20"/>
          <w:u w:val="single"/>
        </w:rPr>
        <w:t>SUPPLEMENTARY MATERIAL</w:t>
      </w:r>
    </w:p>
    <w:p w:rsidR="00B60F6A" w:rsidRDefault="00B60F6A" w:rsidP="00B60F6A">
      <w:pPr>
        <w:widowControl w:val="0"/>
        <w:autoSpaceDE w:val="0"/>
        <w:autoSpaceDN w:val="0"/>
        <w:adjustRightInd w:val="0"/>
        <w:spacing w:line="240" w:lineRule="auto"/>
        <w:ind w:left="640" w:hanging="640"/>
        <w:jc w:val="center"/>
        <w:rPr>
          <w:rFonts w:ascii="Times New Roman" w:hAnsi="Times New Roman" w:cs="Times New Roman"/>
          <w:b/>
          <w:sz w:val="20"/>
          <w:szCs w:val="20"/>
          <w:u w:val="single"/>
        </w:rPr>
      </w:pPr>
    </w:p>
    <w:p w:rsidR="00B60F6A" w:rsidRDefault="00B60F6A" w:rsidP="00B60F6A">
      <w:pPr>
        <w:widowControl w:val="0"/>
        <w:autoSpaceDE w:val="0"/>
        <w:autoSpaceDN w:val="0"/>
        <w:adjustRightInd w:val="0"/>
        <w:spacing w:line="240" w:lineRule="auto"/>
        <w:ind w:left="640" w:hanging="640"/>
        <w:rPr>
          <w:rFonts w:ascii="Times New Roman" w:hAnsi="Times New Roman" w:cs="Times New Roman"/>
          <w:b/>
          <w:sz w:val="20"/>
          <w:szCs w:val="20"/>
          <w:u w:val="single"/>
        </w:rPr>
      </w:pPr>
      <w:r>
        <w:rPr>
          <w:rFonts w:ascii="Times New Roman" w:hAnsi="Times New Roman" w:cs="Times New Roman"/>
          <w:b/>
          <w:sz w:val="20"/>
          <w:szCs w:val="20"/>
          <w:u w:val="single"/>
        </w:rPr>
        <w:t>Contents:</w:t>
      </w:r>
    </w:p>
    <w:p w:rsidR="00B60F6A" w:rsidRPr="000D107D" w:rsidRDefault="00B60F6A" w:rsidP="00B60F6A">
      <w:pPr>
        <w:pStyle w:val="ListParagraph"/>
        <w:widowControl w:val="0"/>
        <w:numPr>
          <w:ilvl w:val="0"/>
          <w:numId w:val="1"/>
        </w:numPr>
        <w:autoSpaceDE w:val="0"/>
        <w:autoSpaceDN w:val="0"/>
        <w:adjustRightInd w:val="0"/>
        <w:spacing w:line="240" w:lineRule="auto"/>
        <w:rPr>
          <w:rFonts w:ascii="Times New Roman" w:hAnsi="Times New Roman"/>
          <w:b/>
        </w:rPr>
      </w:pPr>
      <w:r w:rsidRPr="000D107D">
        <w:rPr>
          <w:rFonts w:ascii="Times New Roman" w:hAnsi="Times New Roman"/>
          <w:b/>
        </w:rPr>
        <w:t>Table 1.  PRN medication use over time.</w:t>
      </w:r>
    </w:p>
    <w:p w:rsidR="00B60F6A" w:rsidRPr="000D107D" w:rsidRDefault="00B60F6A" w:rsidP="00B60F6A">
      <w:pPr>
        <w:pStyle w:val="ListParagraph"/>
        <w:widowControl w:val="0"/>
        <w:numPr>
          <w:ilvl w:val="0"/>
          <w:numId w:val="1"/>
        </w:numPr>
        <w:autoSpaceDE w:val="0"/>
        <w:autoSpaceDN w:val="0"/>
        <w:adjustRightInd w:val="0"/>
        <w:spacing w:line="240" w:lineRule="auto"/>
        <w:rPr>
          <w:rFonts w:ascii="Times New Roman" w:hAnsi="Times New Roman"/>
          <w:b/>
        </w:rPr>
      </w:pPr>
      <w:r w:rsidRPr="000D107D">
        <w:rPr>
          <w:rFonts w:ascii="Times New Roman" w:hAnsi="Times New Roman"/>
          <w:b/>
        </w:rPr>
        <w:t>Table 2.  Sensitivity analysis of primary efficacy outcomes.</w:t>
      </w:r>
    </w:p>
    <w:p w:rsidR="00B60F6A" w:rsidRPr="000D107D" w:rsidRDefault="00B60F6A" w:rsidP="00B60F6A">
      <w:pPr>
        <w:pStyle w:val="ListParagraph"/>
        <w:widowControl w:val="0"/>
        <w:numPr>
          <w:ilvl w:val="0"/>
          <w:numId w:val="1"/>
        </w:numPr>
        <w:autoSpaceDE w:val="0"/>
        <w:autoSpaceDN w:val="0"/>
        <w:adjustRightInd w:val="0"/>
        <w:spacing w:line="240" w:lineRule="auto"/>
        <w:rPr>
          <w:rFonts w:ascii="Times New Roman" w:hAnsi="Times New Roman"/>
          <w:b/>
        </w:rPr>
      </w:pPr>
      <w:r w:rsidRPr="000D107D">
        <w:rPr>
          <w:rFonts w:ascii="Times New Roman" w:hAnsi="Times New Roman"/>
          <w:b/>
        </w:rPr>
        <w:t>Table 3.  Description of rationale for completing sub-group analysis on the primary efficacy outcome measures, splitting by baseline mania symptoms.  Results of subgroup analysis and description of key findings.</w:t>
      </w:r>
    </w:p>
    <w:p w:rsidR="00B60F6A" w:rsidRPr="000D107D" w:rsidRDefault="00B60F6A" w:rsidP="00B60F6A">
      <w:pPr>
        <w:pStyle w:val="ListParagraph"/>
        <w:widowControl w:val="0"/>
        <w:numPr>
          <w:ilvl w:val="0"/>
          <w:numId w:val="1"/>
        </w:numPr>
        <w:autoSpaceDE w:val="0"/>
        <w:autoSpaceDN w:val="0"/>
        <w:adjustRightInd w:val="0"/>
        <w:spacing w:line="240" w:lineRule="auto"/>
        <w:rPr>
          <w:rFonts w:ascii="Times New Roman" w:hAnsi="Times New Roman"/>
          <w:b/>
        </w:rPr>
      </w:pPr>
      <w:r w:rsidRPr="000D107D">
        <w:rPr>
          <w:rFonts w:ascii="Times New Roman" w:hAnsi="Times New Roman"/>
          <w:b/>
        </w:rPr>
        <w:t>Table 4.  End of therapy client satisfaction questionnaire results.</w:t>
      </w:r>
    </w:p>
    <w:p w:rsidR="00B60F6A" w:rsidRPr="000D107D" w:rsidRDefault="00B60F6A" w:rsidP="00B60F6A">
      <w:pPr>
        <w:pStyle w:val="ListParagraph"/>
        <w:widowControl w:val="0"/>
        <w:numPr>
          <w:ilvl w:val="0"/>
          <w:numId w:val="1"/>
        </w:numPr>
        <w:autoSpaceDE w:val="0"/>
        <w:autoSpaceDN w:val="0"/>
        <w:adjustRightInd w:val="0"/>
        <w:spacing w:line="240" w:lineRule="auto"/>
        <w:rPr>
          <w:rFonts w:ascii="Times New Roman" w:hAnsi="Times New Roman"/>
          <w:b/>
        </w:rPr>
      </w:pPr>
      <w:r w:rsidRPr="000D107D">
        <w:rPr>
          <w:rFonts w:ascii="Times New Roman" w:hAnsi="Times New Roman"/>
          <w:b/>
        </w:rPr>
        <w:t>Table 5.  Scores for tertiary efficacy outcomes and description of key findings.</w:t>
      </w:r>
    </w:p>
    <w:p w:rsidR="00B60F6A" w:rsidRPr="000D107D" w:rsidRDefault="00B60F6A" w:rsidP="00B60F6A">
      <w:pPr>
        <w:pStyle w:val="ListParagraph"/>
        <w:widowControl w:val="0"/>
        <w:numPr>
          <w:ilvl w:val="0"/>
          <w:numId w:val="1"/>
        </w:numPr>
        <w:autoSpaceDE w:val="0"/>
        <w:autoSpaceDN w:val="0"/>
        <w:adjustRightInd w:val="0"/>
        <w:spacing w:line="240" w:lineRule="auto"/>
        <w:rPr>
          <w:rFonts w:ascii="Times New Roman" w:hAnsi="Times New Roman"/>
          <w:b/>
        </w:rPr>
      </w:pPr>
      <w:r w:rsidRPr="000D107D">
        <w:rPr>
          <w:rFonts w:ascii="Times New Roman" w:hAnsi="Times New Roman"/>
          <w:b/>
        </w:rPr>
        <w:t xml:space="preserve">Sample size calculation for definitive trial of </w:t>
      </w:r>
      <w:r w:rsidR="006E1C0A">
        <w:rPr>
          <w:rFonts w:ascii="Times New Roman" w:hAnsi="Times New Roman"/>
          <w:b/>
        </w:rPr>
        <w:t>STAC</w:t>
      </w:r>
      <w:r w:rsidRPr="000D107D">
        <w:rPr>
          <w:rFonts w:ascii="Times New Roman" w:hAnsi="Times New Roman"/>
          <w:b/>
        </w:rPr>
        <w:t xml:space="preserve"> versus standard care.</w:t>
      </w:r>
    </w:p>
    <w:p w:rsidR="00B60F6A" w:rsidRPr="00F30993" w:rsidRDefault="00B60F6A" w:rsidP="00B60F6A">
      <w:pPr>
        <w:rPr>
          <w:rFonts w:ascii="Times New Roman" w:hAnsi="Times New Roman" w:cs="Times New Roman"/>
          <w:b/>
          <w:sz w:val="20"/>
          <w:szCs w:val="20"/>
          <w:lang w:eastAsia="en-GB"/>
        </w:rPr>
      </w:pPr>
      <w:r w:rsidRPr="00F30993">
        <w:rPr>
          <w:rFonts w:ascii="Times New Roman" w:hAnsi="Times New Roman" w:cs="Times New Roman"/>
          <w:b/>
          <w:sz w:val="20"/>
          <w:szCs w:val="20"/>
          <w:lang w:eastAsia="en-GB"/>
        </w:rPr>
        <w:t>Supplementary material 1:</w:t>
      </w:r>
    </w:p>
    <w:p w:rsidR="00B60F6A" w:rsidRPr="00455BFD" w:rsidRDefault="00B60F6A" w:rsidP="00B60F6A">
      <w:pPr>
        <w:pStyle w:val="TOC1"/>
      </w:pPr>
      <w:r w:rsidRPr="00455BFD">
        <w:t>Table 1. PRN MEDication use over time.</w:t>
      </w:r>
    </w:p>
    <w:tbl>
      <w:tblPr>
        <w:tblStyle w:val="TableGrid"/>
        <w:tblW w:w="7196" w:type="dxa"/>
        <w:tblBorders>
          <w:left w:val="none" w:sz="0" w:space="0" w:color="auto"/>
          <w:right w:val="none" w:sz="0" w:space="0" w:color="auto"/>
          <w:insideV w:val="none" w:sz="0" w:space="0" w:color="auto"/>
        </w:tblBorders>
        <w:tblLook w:val="04A0" w:firstRow="1" w:lastRow="0" w:firstColumn="1" w:lastColumn="0" w:noHBand="0" w:noVBand="1"/>
      </w:tblPr>
      <w:tblGrid>
        <w:gridCol w:w="1319"/>
        <w:gridCol w:w="3685"/>
        <w:gridCol w:w="1060"/>
        <w:gridCol w:w="1132"/>
      </w:tblGrid>
      <w:tr w:rsidR="00B60F6A" w:rsidRPr="004F4D66" w:rsidTr="006A71B6">
        <w:tc>
          <w:tcPr>
            <w:tcW w:w="5070" w:type="dxa"/>
            <w:gridSpan w:val="2"/>
            <w:tcBorders>
              <w:top w:val="single" w:sz="4" w:space="0" w:color="auto"/>
              <w:left w:val="nil"/>
              <w:bottom w:val="nil"/>
              <w:right w:val="nil"/>
            </w:tcBorders>
          </w:tcPr>
          <w:p w:rsidR="00B60F6A" w:rsidRPr="004F4D66" w:rsidRDefault="00B60F6A" w:rsidP="00B60F6A">
            <w:pPr>
              <w:spacing w:after="0" w:line="240" w:lineRule="auto"/>
              <w:jc w:val="center"/>
              <w:rPr>
                <w:rFonts w:ascii="Times New Roman" w:hAnsi="Times New Roman"/>
                <w:sz w:val="20"/>
                <w:szCs w:val="20"/>
              </w:rPr>
            </w:pPr>
          </w:p>
        </w:tc>
        <w:tc>
          <w:tcPr>
            <w:tcW w:w="992" w:type="dxa"/>
            <w:tcBorders>
              <w:top w:val="single" w:sz="4" w:space="0" w:color="auto"/>
              <w:left w:val="nil"/>
              <w:bottom w:val="nil"/>
              <w:right w:val="nil"/>
            </w:tcBorders>
          </w:tcPr>
          <w:p w:rsidR="00B60F6A" w:rsidRPr="004F4D66" w:rsidRDefault="006E1C0A" w:rsidP="00B60F6A">
            <w:pPr>
              <w:spacing w:after="0" w:line="240" w:lineRule="auto"/>
              <w:jc w:val="center"/>
              <w:rPr>
                <w:rFonts w:ascii="Times New Roman" w:hAnsi="Times New Roman"/>
                <w:b/>
                <w:sz w:val="20"/>
                <w:szCs w:val="20"/>
              </w:rPr>
            </w:pPr>
            <w:r>
              <w:rPr>
                <w:rFonts w:ascii="Times New Roman" w:hAnsi="Times New Roman"/>
                <w:b/>
                <w:sz w:val="20"/>
                <w:szCs w:val="20"/>
              </w:rPr>
              <w:t>Sleep treatment at acute crisis</w:t>
            </w:r>
          </w:p>
          <w:p w:rsidR="00B60F6A" w:rsidRPr="004F4D66" w:rsidRDefault="00B60F6A" w:rsidP="00B60F6A">
            <w:pPr>
              <w:spacing w:after="0" w:line="240" w:lineRule="auto"/>
              <w:jc w:val="center"/>
              <w:rPr>
                <w:rFonts w:ascii="Times New Roman" w:hAnsi="Times New Roman"/>
                <w:b/>
                <w:sz w:val="20"/>
                <w:szCs w:val="20"/>
              </w:rPr>
            </w:pPr>
            <w:r w:rsidRPr="004F4D66">
              <w:rPr>
                <w:rFonts w:ascii="Times New Roman" w:hAnsi="Times New Roman"/>
                <w:b/>
                <w:sz w:val="20"/>
                <w:szCs w:val="20"/>
              </w:rPr>
              <w:t>(n=20)</w:t>
            </w:r>
          </w:p>
        </w:tc>
        <w:tc>
          <w:tcPr>
            <w:tcW w:w="1134" w:type="dxa"/>
            <w:tcBorders>
              <w:top w:val="single" w:sz="4" w:space="0" w:color="auto"/>
              <w:left w:val="nil"/>
              <w:bottom w:val="nil"/>
              <w:right w:val="nil"/>
            </w:tcBorders>
          </w:tcPr>
          <w:p w:rsidR="00B60F6A" w:rsidRPr="004F4D66" w:rsidRDefault="00B60F6A" w:rsidP="00B60F6A">
            <w:pPr>
              <w:spacing w:after="0" w:line="240" w:lineRule="auto"/>
              <w:jc w:val="center"/>
              <w:rPr>
                <w:rFonts w:ascii="Times New Roman" w:hAnsi="Times New Roman"/>
                <w:b/>
                <w:sz w:val="20"/>
                <w:szCs w:val="20"/>
              </w:rPr>
            </w:pPr>
            <w:r w:rsidRPr="004F4D66">
              <w:rPr>
                <w:rFonts w:ascii="Times New Roman" w:hAnsi="Times New Roman"/>
                <w:b/>
                <w:sz w:val="20"/>
                <w:szCs w:val="20"/>
              </w:rPr>
              <w:t>Standard care (n=20)</w:t>
            </w:r>
          </w:p>
        </w:tc>
      </w:tr>
      <w:tr w:rsidR="00B60F6A" w:rsidRPr="004F4D66" w:rsidTr="006A71B6">
        <w:tc>
          <w:tcPr>
            <w:tcW w:w="5070" w:type="dxa"/>
            <w:gridSpan w:val="2"/>
            <w:tcBorders>
              <w:top w:val="single" w:sz="4" w:space="0" w:color="auto"/>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Number prescribed PRN anxiolytics</w:t>
            </w:r>
          </w:p>
        </w:tc>
        <w:tc>
          <w:tcPr>
            <w:tcW w:w="992" w:type="dxa"/>
            <w:tcBorders>
              <w:top w:val="single" w:sz="4" w:space="0" w:color="auto"/>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1134" w:type="dxa"/>
            <w:tcBorders>
              <w:top w:val="single" w:sz="4" w:space="0" w:color="auto"/>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r>
      <w:tr w:rsidR="00B60F6A" w:rsidRPr="004F4D66" w:rsidTr="006A71B6">
        <w:tc>
          <w:tcPr>
            <w:tcW w:w="1336"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3734"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0</w:t>
            </w:r>
          </w:p>
        </w:tc>
        <w:tc>
          <w:tcPr>
            <w:tcW w:w="992"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6 (30%)</w:t>
            </w:r>
          </w:p>
        </w:tc>
        <w:tc>
          <w:tcPr>
            <w:tcW w:w="1134" w:type="dxa"/>
            <w:tcBorders>
              <w:top w:val="nil"/>
              <w:left w:val="nil"/>
              <w:bottom w:val="nil"/>
              <w:right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9 (45%)</w:t>
            </w:r>
          </w:p>
        </w:tc>
      </w:tr>
      <w:tr w:rsidR="00B60F6A" w:rsidRPr="004F4D66" w:rsidTr="006A71B6">
        <w:tc>
          <w:tcPr>
            <w:tcW w:w="1336"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3734"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2</w:t>
            </w:r>
          </w:p>
        </w:tc>
        <w:tc>
          <w:tcPr>
            <w:tcW w:w="992"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7 (35%)</w:t>
            </w:r>
          </w:p>
        </w:tc>
        <w:tc>
          <w:tcPr>
            <w:tcW w:w="1134" w:type="dxa"/>
            <w:tcBorders>
              <w:top w:val="nil"/>
              <w:left w:val="nil"/>
              <w:bottom w:val="nil"/>
              <w:right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5 (25%)</w:t>
            </w:r>
          </w:p>
        </w:tc>
      </w:tr>
      <w:tr w:rsidR="00B60F6A" w:rsidRPr="004F4D66" w:rsidTr="006A71B6">
        <w:tc>
          <w:tcPr>
            <w:tcW w:w="1336"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3734"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4</w:t>
            </w:r>
          </w:p>
        </w:tc>
        <w:tc>
          <w:tcPr>
            <w:tcW w:w="992"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7 (35%)</w:t>
            </w:r>
          </w:p>
        </w:tc>
        <w:tc>
          <w:tcPr>
            <w:tcW w:w="1134" w:type="dxa"/>
            <w:tcBorders>
              <w:top w:val="nil"/>
              <w:left w:val="nil"/>
              <w:bottom w:val="nil"/>
              <w:right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6 (30%)</w:t>
            </w:r>
          </w:p>
        </w:tc>
      </w:tr>
      <w:tr w:rsidR="00B60F6A" w:rsidRPr="004F4D66" w:rsidTr="006A71B6">
        <w:tc>
          <w:tcPr>
            <w:tcW w:w="1336" w:type="dxa"/>
            <w:tcBorders>
              <w:top w:val="nil"/>
              <w:left w:val="nil"/>
              <w:bottom w:val="single" w:sz="4" w:space="0" w:color="auto"/>
              <w:right w:val="nil"/>
            </w:tcBorders>
          </w:tcPr>
          <w:p w:rsidR="00B60F6A" w:rsidRPr="004F4D66" w:rsidRDefault="00B60F6A" w:rsidP="00B60F6A">
            <w:pPr>
              <w:spacing w:after="0" w:line="240" w:lineRule="auto"/>
              <w:rPr>
                <w:rFonts w:ascii="Times New Roman" w:hAnsi="Times New Roman"/>
                <w:sz w:val="20"/>
                <w:szCs w:val="20"/>
              </w:rPr>
            </w:pPr>
          </w:p>
        </w:tc>
        <w:tc>
          <w:tcPr>
            <w:tcW w:w="3734" w:type="dxa"/>
            <w:tcBorders>
              <w:top w:val="nil"/>
              <w:left w:val="nil"/>
              <w:bottom w:val="single" w:sz="4" w:space="0" w:color="auto"/>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12</w:t>
            </w:r>
          </w:p>
        </w:tc>
        <w:tc>
          <w:tcPr>
            <w:tcW w:w="992" w:type="dxa"/>
            <w:tcBorders>
              <w:top w:val="nil"/>
              <w:left w:val="nil"/>
              <w:bottom w:val="single" w:sz="4" w:space="0" w:color="auto"/>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4 (20%)</w:t>
            </w:r>
          </w:p>
        </w:tc>
        <w:tc>
          <w:tcPr>
            <w:tcW w:w="1134" w:type="dxa"/>
            <w:tcBorders>
              <w:top w:val="nil"/>
              <w:left w:val="nil"/>
              <w:bottom w:val="single" w:sz="4" w:space="0" w:color="auto"/>
              <w:right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3 (15%)</w:t>
            </w:r>
          </w:p>
        </w:tc>
      </w:tr>
      <w:tr w:rsidR="00B60F6A" w:rsidRPr="004F4D66" w:rsidTr="006A71B6">
        <w:tc>
          <w:tcPr>
            <w:tcW w:w="5070" w:type="dxa"/>
            <w:gridSpan w:val="2"/>
            <w:tcBorders>
              <w:top w:val="single" w:sz="4" w:space="0" w:color="auto"/>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Number prescribed a hypnotic medication</w:t>
            </w:r>
          </w:p>
        </w:tc>
        <w:tc>
          <w:tcPr>
            <w:tcW w:w="992" w:type="dxa"/>
            <w:tcBorders>
              <w:top w:val="single" w:sz="4" w:space="0" w:color="auto"/>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1134" w:type="dxa"/>
            <w:tcBorders>
              <w:top w:val="single" w:sz="4" w:space="0" w:color="auto"/>
              <w:left w:val="nil"/>
              <w:bottom w:val="nil"/>
              <w:right w:val="nil"/>
            </w:tcBorders>
          </w:tcPr>
          <w:p w:rsidR="00B60F6A" w:rsidRPr="004F4D66" w:rsidRDefault="00B60F6A" w:rsidP="00B60F6A">
            <w:pPr>
              <w:spacing w:after="0" w:line="240" w:lineRule="auto"/>
              <w:jc w:val="right"/>
              <w:rPr>
                <w:rFonts w:ascii="Times New Roman" w:hAnsi="Times New Roman"/>
                <w:sz w:val="20"/>
                <w:szCs w:val="20"/>
              </w:rPr>
            </w:pPr>
          </w:p>
        </w:tc>
      </w:tr>
      <w:tr w:rsidR="00B60F6A" w:rsidRPr="004F4D66" w:rsidTr="006A71B6">
        <w:tc>
          <w:tcPr>
            <w:tcW w:w="1336"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3734"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0</w:t>
            </w:r>
          </w:p>
        </w:tc>
        <w:tc>
          <w:tcPr>
            <w:tcW w:w="992"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7 (35%)</w:t>
            </w:r>
          </w:p>
        </w:tc>
        <w:tc>
          <w:tcPr>
            <w:tcW w:w="1134" w:type="dxa"/>
            <w:tcBorders>
              <w:top w:val="nil"/>
              <w:left w:val="nil"/>
              <w:bottom w:val="nil"/>
              <w:right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6 (30%)</w:t>
            </w:r>
          </w:p>
        </w:tc>
      </w:tr>
      <w:tr w:rsidR="00B60F6A" w:rsidRPr="004F4D66" w:rsidTr="006A71B6">
        <w:tc>
          <w:tcPr>
            <w:tcW w:w="1336"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3734"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2</w:t>
            </w:r>
          </w:p>
        </w:tc>
        <w:tc>
          <w:tcPr>
            <w:tcW w:w="992"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5 (25%)</w:t>
            </w:r>
          </w:p>
        </w:tc>
        <w:tc>
          <w:tcPr>
            <w:tcW w:w="1134" w:type="dxa"/>
            <w:tcBorders>
              <w:top w:val="nil"/>
              <w:left w:val="nil"/>
              <w:bottom w:val="nil"/>
              <w:right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5 (25%)</w:t>
            </w:r>
          </w:p>
        </w:tc>
      </w:tr>
      <w:tr w:rsidR="00B60F6A" w:rsidRPr="004F4D66" w:rsidTr="006A71B6">
        <w:tc>
          <w:tcPr>
            <w:tcW w:w="1336"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3734"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4</w:t>
            </w:r>
          </w:p>
        </w:tc>
        <w:tc>
          <w:tcPr>
            <w:tcW w:w="992"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4 (20%)</w:t>
            </w:r>
          </w:p>
        </w:tc>
        <w:tc>
          <w:tcPr>
            <w:tcW w:w="1134" w:type="dxa"/>
            <w:tcBorders>
              <w:top w:val="nil"/>
              <w:left w:val="nil"/>
              <w:bottom w:val="nil"/>
              <w:right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3 (15%)</w:t>
            </w:r>
          </w:p>
        </w:tc>
      </w:tr>
      <w:tr w:rsidR="00B60F6A" w:rsidRPr="004F4D66" w:rsidTr="006A71B6">
        <w:tc>
          <w:tcPr>
            <w:tcW w:w="1336" w:type="dxa"/>
            <w:tcBorders>
              <w:top w:val="nil"/>
              <w:left w:val="nil"/>
              <w:bottom w:val="single" w:sz="4" w:space="0" w:color="auto"/>
              <w:right w:val="nil"/>
            </w:tcBorders>
          </w:tcPr>
          <w:p w:rsidR="00B60F6A" w:rsidRPr="004F4D66" w:rsidRDefault="00B60F6A" w:rsidP="00B60F6A">
            <w:pPr>
              <w:spacing w:after="0" w:line="240" w:lineRule="auto"/>
              <w:rPr>
                <w:rFonts w:ascii="Times New Roman" w:hAnsi="Times New Roman"/>
                <w:sz w:val="20"/>
                <w:szCs w:val="20"/>
              </w:rPr>
            </w:pPr>
          </w:p>
        </w:tc>
        <w:tc>
          <w:tcPr>
            <w:tcW w:w="3734" w:type="dxa"/>
            <w:tcBorders>
              <w:top w:val="nil"/>
              <w:left w:val="nil"/>
              <w:bottom w:val="single" w:sz="4" w:space="0" w:color="auto"/>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12</w:t>
            </w:r>
          </w:p>
        </w:tc>
        <w:tc>
          <w:tcPr>
            <w:tcW w:w="992" w:type="dxa"/>
            <w:tcBorders>
              <w:top w:val="nil"/>
              <w:left w:val="nil"/>
              <w:bottom w:val="single" w:sz="4" w:space="0" w:color="auto"/>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0 (0%)</w:t>
            </w:r>
          </w:p>
        </w:tc>
        <w:tc>
          <w:tcPr>
            <w:tcW w:w="1134" w:type="dxa"/>
            <w:tcBorders>
              <w:top w:val="nil"/>
              <w:left w:val="nil"/>
              <w:bottom w:val="single" w:sz="4" w:space="0" w:color="auto"/>
              <w:right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1 (5%)</w:t>
            </w:r>
          </w:p>
        </w:tc>
      </w:tr>
      <w:tr w:rsidR="00B60F6A" w:rsidRPr="004F4D66" w:rsidTr="006A71B6">
        <w:tc>
          <w:tcPr>
            <w:tcW w:w="5070" w:type="dxa"/>
            <w:gridSpan w:val="2"/>
            <w:tcBorders>
              <w:top w:val="single" w:sz="4" w:space="0" w:color="auto"/>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Number prescribed PRN antipsychotics</w:t>
            </w:r>
          </w:p>
        </w:tc>
        <w:tc>
          <w:tcPr>
            <w:tcW w:w="992" w:type="dxa"/>
            <w:tcBorders>
              <w:top w:val="single" w:sz="4" w:space="0" w:color="auto"/>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1134" w:type="dxa"/>
            <w:tcBorders>
              <w:top w:val="single" w:sz="4" w:space="0" w:color="auto"/>
              <w:left w:val="nil"/>
              <w:bottom w:val="nil"/>
              <w:right w:val="nil"/>
            </w:tcBorders>
          </w:tcPr>
          <w:p w:rsidR="00B60F6A" w:rsidRPr="004F4D66" w:rsidRDefault="00B60F6A" w:rsidP="00B60F6A">
            <w:pPr>
              <w:spacing w:after="0" w:line="240" w:lineRule="auto"/>
              <w:jc w:val="right"/>
              <w:rPr>
                <w:rFonts w:ascii="Times New Roman" w:hAnsi="Times New Roman"/>
                <w:sz w:val="20"/>
                <w:szCs w:val="20"/>
              </w:rPr>
            </w:pPr>
          </w:p>
        </w:tc>
      </w:tr>
      <w:tr w:rsidR="00B60F6A" w:rsidRPr="004F4D66" w:rsidTr="006A71B6">
        <w:tc>
          <w:tcPr>
            <w:tcW w:w="1336"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3734"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0</w:t>
            </w:r>
          </w:p>
        </w:tc>
        <w:tc>
          <w:tcPr>
            <w:tcW w:w="992"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4 (20%)</w:t>
            </w:r>
          </w:p>
        </w:tc>
        <w:tc>
          <w:tcPr>
            <w:tcW w:w="1134" w:type="dxa"/>
            <w:tcBorders>
              <w:top w:val="nil"/>
              <w:left w:val="nil"/>
              <w:bottom w:val="nil"/>
              <w:right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2 (10%)</w:t>
            </w:r>
          </w:p>
        </w:tc>
      </w:tr>
      <w:tr w:rsidR="00B60F6A" w:rsidRPr="004F4D66" w:rsidTr="006A71B6">
        <w:tc>
          <w:tcPr>
            <w:tcW w:w="1336"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3734"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2</w:t>
            </w:r>
          </w:p>
        </w:tc>
        <w:tc>
          <w:tcPr>
            <w:tcW w:w="992"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4(20%)</w:t>
            </w:r>
          </w:p>
        </w:tc>
        <w:tc>
          <w:tcPr>
            <w:tcW w:w="1134" w:type="dxa"/>
            <w:tcBorders>
              <w:top w:val="nil"/>
              <w:left w:val="nil"/>
              <w:bottom w:val="nil"/>
              <w:right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0 (0%)</w:t>
            </w:r>
          </w:p>
        </w:tc>
      </w:tr>
      <w:tr w:rsidR="00B60F6A" w:rsidRPr="004F4D66" w:rsidTr="006A71B6">
        <w:tc>
          <w:tcPr>
            <w:tcW w:w="1336"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3734"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4</w:t>
            </w:r>
          </w:p>
        </w:tc>
        <w:tc>
          <w:tcPr>
            <w:tcW w:w="992" w:type="dxa"/>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0 (0%)</w:t>
            </w:r>
          </w:p>
        </w:tc>
        <w:tc>
          <w:tcPr>
            <w:tcW w:w="1134" w:type="dxa"/>
            <w:tcBorders>
              <w:top w:val="nil"/>
              <w:left w:val="nil"/>
              <w:bottom w:val="nil"/>
              <w:right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0 (0%)</w:t>
            </w:r>
          </w:p>
        </w:tc>
      </w:tr>
      <w:tr w:rsidR="00B60F6A" w:rsidRPr="004F4D66" w:rsidTr="006A71B6">
        <w:tc>
          <w:tcPr>
            <w:tcW w:w="1336" w:type="dxa"/>
            <w:tcBorders>
              <w:top w:val="nil"/>
              <w:left w:val="nil"/>
              <w:bottom w:val="single" w:sz="4" w:space="0" w:color="auto"/>
              <w:right w:val="nil"/>
            </w:tcBorders>
          </w:tcPr>
          <w:p w:rsidR="00B60F6A" w:rsidRPr="004F4D66" w:rsidRDefault="00B60F6A" w:rsidP="00B60F6A">
            <w:pPr>
              <w:spacing w:after="0" w:line="240" w:lineRule="auto"/>
              <w:rPr>
                <w:rFonts w:ascii="Times New Roman" w:hAnsi="Times New Roman"/>
                <w:sz w:val="20"/>
                <w:szCs w:val="20"/>
              </w:rPr>
            </w:pPr>
          </w:p>
        </w:tc>
        <w:tc>
          <w:tcPr>
            <w:tcW w:w="3734" w:type="dxa"/>
            <w:tcBorders>
              <w:top w:val="nil"/>
              <w:left w:val="nil"/>
              <w:bottom w:val="single" w:sz="4" w:space="0" w:color="auto"/>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12</w:t>
            </w:r>
          </w:p>
        </w:tc>
        <w:tc>
          <w:tcPr>
            <w:tcW w:w="992" w:type="dxa"/>
            <w:tcBorders>
              <w:top w:val="nil"/>
              <w:left w:val="nil"/>
              <w:bottom w:val="single" w:sz="4" w:space="0" w:color="auto"/>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0 (0%)</w:t>
            </w:r>
          </w:p>
        </w:tc>
        <w:tc>
          <w:tcPr>
            <w:tcW w:w="1134" w:type="dxa"/>
            <w:tcBorders>
              <w:top w:val="nil"/>
              <w:left w:val="nil"/>
              <w:bottom w:val="single" w:sz="4" w:space="0" w:color="auto"/>
              <w:right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0 (0%)</w:t>
            </w:r>
          </w:p>
        </w:tc>
      </w:tr>
    </w:tbl>
    <w:p w:rsidR="00B60F6A" w:rsidRPr="00B60F6A" w:rsidRDefault="00B60F6A" w:rsidP="00B60F6A">
      <w:pPr>
        <w:spacing w:after="0" w:line="240" w:lineRule="auto"/>
        <w:rPr>
          <w:rFonts w:ascii="Times New Roman" w:hAnsi="Times New Roman" w:cs="Times New Roman"/>
          <w:sz w:val="16"/>
          <w:szCs w:val="16"/>
        </w:rPr>
      </w:pPr>
      <w:r w:rsidRPr="00B60F6A">
        <w:rPr>
          <w:rFonts w:ascii="Times New Roman" w:hAnsi="Times New Roman" w:cs="Times New Roman"/>
          <w:sz w:val="16"/>
          <w:szCs w:val="16"/>
        </w:rPr>
        <w:t xml:space="preserve">PRN=pro re </w:t>
      </w:r>
      <w:proofErr w:type="spellStart"/>
      <w:r w:rsidRPr="00B60F6A">
        <w:rPr>
          <w:rFonts w:ascii="Times New Roman" w:hAnsi="Times New Roman" w:cs="Times New Roman"/>
          <w:sz w:val="16"/>
          <w:szCs w:val="16"/>
        </w:rPr>
        <w:t>nata</w:t>
      </w:r>
      <w:proofErr w:type="spellEnd"/>
      <w:r w:rsidRPr="00B60F6A">
        <w:rPr>
          <w:rFonts w:ascii="Times New Roman" w:hAnsi="Times New Roman" w:cs="Times New Roman"/>
          <w:sz w:val="16"/>
          <w:szCs w:val="16"/>
        </w:rPr>
        <w:t xml:space="preserve"> (taken when necessary).  Data are n (%).</w:t>
      </w:r>
    </w:p>
    <w:p w:rsidR="00B60F6A" w:rsidRDefault="00B60F6A" w:rsidP="00B60F6A">
      <w:pPr>
        <w:pStyle w:val="TOC1"/>
        <w:spacing w:line="240" w:lineRule="auto"/>
      </w:pPr>
    </w:p>
    <w:p w:rsidR="00B60F6A" w:rsidRDefault="00B60F6A" w:rsidP="00B60F6A">
      <w:pPr>
        <w:pStyle w:val="TOC1"/>
        <w:spacing w:line="240" w:lineRule="auto"/>
      </w:pPr>
    </w:p>
    <w:p w:rsidR="00B60F6A" w:rsidRPr="00F30993" w:rsidRDefault="00B60F6A" w:rsidP="00B60F6A">
      <w:pPr>
        <w:spacing w:after="0" w:line="240" w:lineRule="auto"/>
        <w:rPr>
          <w:rFonts w:ascii="Times New Roman" w:hAnsi="Times New Roman" w:cs="Times New Roman"/>
          <w:b/>
          <w:sz w:val="20"/>
          <w:szCs w:val="20"/>
          <w:lang w:eastAsia="en-GB"/>
        </w:rPr>
      </w:pPr>
      <w:r>
        <w:rPr>
          <w:rFonts w:ascii="Times New Roman" w:hAnsi="Times New Roman" w:cs="Times New Roman"/>
          <w:b/>
          <w:sz w:val="20"/>
          <w:szCs w:val="20"/>
          <w:lang w:eastAsia="en-GB"/>
        </w:rPr>
        <w:t>Supplementary material 2</w:t>
      </w:r>
      <w:r w:rsidRPr="00F30993">
        <w:rPr>
          <w:rFonts w:ascii="Times New Roman" w:hAnsi="Times New Roman" w:cs="Times New Roman"/>
          <w:b/>
          <w:sz w:val="20"/>
          <w:szCs w:val="20"/>
          <w:lang w:eastAsia="en-GB"/>
        </w:rPr>
        <w:t>:</w:t>
      </w:r>
    </w:p>
    <w:p w:rsidR="00B60F6A" w:rsidRDefault="00B60F6A" w:rsidP="00B60F6A">
      <w:pPr>
        <w:pStyle w:val="TOC1"/>
        <w:spacing w:line="240" w:lineRule="auto"/>
      </w:pPr>
    </w:p>
    <w:p w:rsidR="00B60F6A" w:rsidRPr="00B60F6A" w:rsidRDefault="00B60F6A" w:rsidP="00B60F6A">
      <w:pPr>
        <w:pStyle w:val="TOC1"/>
        <w:spacing w:line="240" w:lineRule="auto"/>
      </w:pPr>
      <w:r w:rsidRPr="00B60F6A">
        <w:t>Table 2. Sensitivity analysis of primary efficacy outcomes</w:t>
      </w:r>
    </w:p>
    <w:tbl>
      <w:tblPr>
        <w:tblStyle w:val="TableGrid"/>
        <w:tblW w:w="978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1391"/>
        <w:gridCol w:w="1019"/>
        <w:gridCol w:w="1559"/>
        <w:gridCol w:w="1701"/>
        <w:gridCol w:w="1701"/>
        <w:gridCol w:w="1701"/>
      </w:tblGrid>
      <w:tr w:rsidR="00B60F6A" w:rsidRPr="00B60F6A" w:rsidTr="006A71B6">
        <w:tc>
          <w:tcPr>
            <w:tcW w:w="2100" w:type="dxa"/>
            <w:gridSpan w:val="2"/>
          </w:tcPr>
          <w:p w:rsidR="00B60F6A" w:rsidRPr="00B60F6A" w:rsidRDefault="00B60F6A" w:rsidP="00B60F6A">
            <w:pPr>
              <w:spacing w:after="0" w:line="240" w:lineRule="auto"/>
              <w:rPr>
                <w:rFonts w:ascii="Times New Roman" w:hAnsi="Times New Roman"/>
                <w:b/>
                <w:sz w:val="20"/>
                <w:szCs w:val="20"/>
              </w:rPr>
            </w:pPr>
          </w:p>
        </w:tc>
        <w:tc>
          <w:tcPr>
            <w:tcW w:w="1019" w:type="dxa"/>
          </w:tcPr>
          <w:p w:rsidR="00B60F6A" w:rsidRPr="00B60F6A" w:rsidRDefault="00B60F6A" w:rsidP="00B60F6A">
            <w:pPr>
              <w:spacing w:after="0" w:line="240" w:lineRule="auto"/>
              <w:jc w:val="center"/>
              <w:rPr>
                <w:rFonts w:ascii="Times New Roman" w:hAnsi="Times New Roman"/>
                <w:b/>
                <w:sz w:val="20"/>
                <w:szCs w:val="20"/>
              </w:rPr>
            </w:pPr>
          </w:p>
        </w:tc>
        <w:tc>
          <w:tcPr>
            <w:tcW w:w="1559" w:type="dxa"/>
          </w:tcPr>
          <w:p w:rsidR="00B60F6A" w:rsidRPr="00B60F6A" w:rsidRDefault="006E1C0A" w:rsidP="00B60F6A">
            <w:pPr>
              <w:spacing w:after="0" w:line="240" w:lineRule="auto"/>
              <w:jc w:val="center"/>
              <w:rPr>
                <w:rFonts w:ascii="Times New Roman" w:hAnsi="Times New Roman"/>
                <w:b/>
                <w:sz w:val="20"/>
                <w:szCs w:val="20"/>
              </w:rPr>
            </w:pPr>
            <w:r>
              <w:rPr>
                <w:rFonts w:ascii="Times New Roman" w:hAnsi="Times New Roman"/>
                <w:b/>
                <w:sz w:val="20"/>
                <w:szCs w:val="20"/>
              </w:rPr>
              <w:t>Sleep treatment at acute crisis</w:t>
            </w:r>
          </w:p>
          <w:p w:rsidR="00B60F6A" w:rsidRPr="00B60F6A" w:rsidRDefault="00B60F6A" w:rsidP="00B60F6A">
            <w:pPr>
              <w:spacing w:after="0" w:line="240" w:lineRule="auto"/>
              <w:jc w:val="center"/>
              <w:rPr>
                <w:rFonts w:ascii="Times New Roman" w:hAnsi="Times New Roman"/>
                <w:b/>
                <w:sz w:val="20"/>
                <w:szCs w:val="20"/>
              </w:rPr>
            </w:pPr>
            <w:r w:rsidRPr="00B60F6A">
              <w:rPr>
                <w:rFonts w:ascii="Times New Roman" w:hAnsi="Times New Roman"/>
                <w:b/>
                <w:sz w:val="20"/>
                <w:szCs w:val="20"/>
              </w:rPr>
              <w:t xml:space="preserve"> (n=20)</w:t>
            </w:r>
          </w:p>
        </w:tc>
        <w:tc>
          <w:tcPr>
            <w:tcW w:w="1701" w:type="dxa"/>
          </w:tcPr>
          <w:p w:rsidR="00B60F6A" w:rsidRPr="00B60F6A" w:rsidRDefault="00B60F6A" w:rsidP="00B60F6A">
            <w:pPr>
              <w:spacing w:after="0" w:line="240" w:lineRule="auto"/>
              <w:jc w:val="center"/>
              <w:rPr>
                <w:rFonts w:ascii="Times New Roman" w:hAnsi="Times New Roman"/>
                <w:b/>
                <w:sz w:val="20"/>
                <w:szCs w:val="20"/>
              </w:rPr>
            </w:pPr>
            <w:r w:rsidRPr="00B60F6A">
              <w:rPr>
                <w:rFonts w:ascii="Times New Roman" w:hAnsi="Times New Roman"/>
                <w:b/>
                <w:sz w:val="20"/>
                <w:szCs w:val="20"/>
              </w:rPr>
              <w:t>Standard care (n=20)</w:t>
            </w:r>
          </w:p>
        </w:tc>
        <w:tc>
          <w:tcPr>
            <w:tcW w:w="1701" w:type="dxa"/>
          </w:tcPr>
          <w:p w:rsidR="00B60F6A" w:rsidRPr="00B60F6A" w:rsidRDefault="00B60F6A" w:rsidP="00B60F6A">
            <w:pPr>
              <w:spacing w:after="0" w:line="240" w:lineRule="auto"/>
              <w:jc w:val="center"/>
              <w:rPr>
                <w:rFonts w:ascii="Times New Roman" w:hAnsi="Times New Roman"/>
                <w:b/>
                <w:sz w:val="20"/>
                <w:szCs w:val="20"/>
              </w:rPr>
            </w:pPr>
            <w:r w:rsidRPr="00B60F6A">
              <w:rPr>
                <w:rFonts w:ascii="Times New Roman" w:hAnsi="Times New Roman"/>
                <w:b/>
                <w:sz w:val="20"/>
                <w:szCs w:val="20"/>
              </w:rPr>
              <w:t>Adjusted mean difference</w:t>
            </w:r>
            <w:r w:rsidR="00AE32FB">
              <w:rPr>
                <w:rFonts w:ascii="Times New Roman" w:hAnsi="Times New Roman"/>
                <w:b/>
                <w:sz w:val="20"/>
                <w:szCs w:val="20"/>
              </w:rPr>
              <w:t xml:space="preserve"> between groups</w:t>
            </w:r>
            <w:r w:rsidRPr="00B60F6A">
              <w:rPr>
                <w:rFonts w:ascii="Times New Roman" w:hAnsi="Times New Roman"/>
                <w:b/>
                <w:sz w:val="20"/>
                <w:szCs w:val="20"/>
              </w:rPr>
              <w:t xml:space="preserve"> (95% CI)</w:t>
            </w:r>
          </w:p>
        </w:tc>
        <w:tc>
          <w:tcPr>
            <w:tcW w:w="1701" w:type="dxa"/>
          </w:tcPr>
          <w:p w:rsidR="00B60F6A" w:rsidRPr="00B60F6A" w:rsidRDefault="00AE32FB" w:rsidP="00AE32FB">
            <w:pPr>
              <w:spacing w:after="0" w:line="240" w:lineRule="auto"/>
              <w:jc w:val="center"/>
              <w:rPr>
                <w:rFonts w:ascii="Times New Roman" w:hAnsi="Times New Roman"/>
                <w:b/>
                <w:sz w:val="20"/>
                <w:szCs w:val="20"/>
              </w:rPr>
            </w:pPr>
            <w:r>
              <w:rPr>
                <w:rFonts w:ascii="Times New Roman" w:hAnsi="Times New Roman"/>
                <w:b/>
                <w:sz w:val="20"/>
                <w:szCs w:val="20"/>
              </w:rPr>
              <w:t>Between group standardised e</w:t>
            </w:r>
            <w:r w:rsidR="00B60F6A" w:rsidRPr="00B60F6A">
              <w:rPr>
                <w:rFonts w:ascii="Times New Roman" w:hAnsi="Times New Roman"/>
                <w:b/>
                <w:sz w:val="20"/>
                <w:szCs w:val="20"/>
              </w:rPr>
              <w:t>ffect size (d)</w:t>
            </w:r>
          </w:p>
        </w:tc>
      </w:tr>
      <w:tr w:rsidR="00B60F6A" w:rsidRPr="00B60F6A" w:rsidTr="006A71B6">
        <w:tc>
          <w:tcPr>
            <w:tcW w:w="3119" w:type="dxa"/>
            <w:gridSpan w:val="3"/>
            <w:tcBorders>
              <w:bottom w:val="nil"/>
            </w:tcBorders>
          </w:tcPr>
          <w:p w:rsidR="00B60F6A" w:rsidRPr="00B60F6A" w:rsidRDefault="00B60F6A" w:rsidP="00B60F6A">
            <w:pPr>
              <w:spacing w:after="0" w:line="240" w:lineRule="auto"/>
              <w:rPr>
                <w:rFonts w:ascii="Times New Roman" w:hAnsi="Times New Roman"/>
                <w:b/>
                <w:sz w:val="20"/>
                <w:szCs w:val="20"/>
              </w:rPr>
            </w:pPr>
            <w:r w:rsidRPr="00B60F6A">
              <w:rPr>
                <w:rFonts w:ascii="Times New Roman" w:hAnsi="Times New Roman"/>
                <w:b/>
                <w:sz w:val="20"/>
                <w:szCs w:val="20"/>
              </w:rPr>
              <w:t>Primary outcome measures</w:t>
            </w:r>
          </w:p>
          <w:p w:rsidR="00B60F6A" w:rsidRPr="00B60F6A" w:rsidRDefault="00B60F6A" w:rsidP="00B60F6A">
            <w:pPr>
              <w:spacing w:after="0" w:line="240" w:lineRule="auto"/>
              <w:rPr>
                <w:rFonts w:ascii="Times New Roman" w:hAnsi="Times New Roman"/>
                <w:sz w:val="20"/>
                <w:szCs w:val="20"/>
              </w:rPr>
            </w:pPr>
            <w:r w:rsidRPr="00B60F6A">
              <w:rPr>
                <w:rFonts w:ascii="Times New Roman" w:hAnsi="Times New Roman"/>
                <w:sz w:val="20"/>
                <w:szCs w:val="20"/>
              </w:rPr>
              <w:t>Insomnia (ISI)</w:t>
            </w:r>
          </w:p>
        </w:tc>
        <w:tc>
          <w:tcPr>
            <w:tcW w:w="1559" w:type="dxa"/>
            <w:tcBorders>
              <w:bottom w:val="nil"/>
            </w:tcBorders>
          </w:tcPr>
          <w:p w:rsidR="00B60F6A" w:rsidRPr="00B60F6A" w:rsidRDefault="00B60F6A" w:rsidP="00B60F6A">
            <w:pPr>
              <w:spacing w:after="0" w:line="240" w:lineRule="auto"/>
              <w:rPr>
                <w:rFonts w:ascii="Times New Roman" w:hAnsi="Times New Roman"/>
                <w:sz w:val="20"/>
                <w:szCs w:val="20"/>
              </w:rPr>
            </w:pPr>
          </w:p>
        </w:tc>
        <w:tc>
          <w:tcPr>
            <w:tcW w:w="1701" w:type="dxa"/>
            <w:tcBorders>
              <w:bottom w:val="nil"/>
            </w:tcBorders>
          </w:tcPr>
          <w:p w:rsidR="00B60F6A" w:rsidRPr="00B60F6A" w:rsidRDefault="00B60F6A" w:rsidP="00B60F6A">
            <w:pPr>
              <w:spacing w:after="0" w:line="240" w:lineRule="auto"/>
              <w:rPr>
                <w:rFonts w:ascii="Times New Roman" w:hAnsi="Times New Roman"/>
                <w:sz w:val="20"/>
                <w:szCs w:val="20"/>
              </w:rPr>
            </w:pPr>
          </w:p>
        </w:tc>
        <w:tc>
          <w:tcPr>
            <w:tcW w:w="1701" w:type="dxa"/>
            <w:tcBorders>
              <w:bottom w:val="nil"/>
            </w:tcBorders>
          </w:tcPr>
          <w:p w:rsidR="00B60F6A" w:rsidRPr="00B60F6A" w:rsidRDefault="00B60F6A" w:rsidP="00B60F6A">
            <w:pPr>
              <w:spacing w:after="0" w:line="240" w:lineRule="auto"/>
              <w:rPr>
                <w:rFonts w:ascii="Times New Roman" w:hAnsi="Times New Roman"/>
                <w:sz w:val="20"/>
                <w:szCs w:val="20"/>
              </w:rPr>
            </w:pPr>
          </w:p>
        </w:tc>
        <w:tc>
          <w:tcPr>
            <w:tcW w:w="1701" w:type="dxa"/>
            <w:tcBorders>
              <w:bottom w:val="nil"/>
            </w:tcBorders>
          </w:tcPr>
          <w:p w:rsidR="00B60F6A" w:rsidRPr="00B60F6A" w:rsidRDefault="00B60F6A" w:rsidP="00B60F6A">
            <w:pPr>
              <w:spacing w:after="0" w:line="240" w:lineRule="auto"/>
              <w:rPr>
                <w:rFonts w:ascii="Times New Roman" w:hAnsi="Times New Roman"/>
                <w:sz w:val="20"/>
                <w:szCs w:val="20"/>
              </w:rPr>
            </w:pPr>
          </w:p>
        </w:tc>
      </w:tr>
      <w:tr w:rsidR="00B60F6A" w:rsidRPr="00B60F6A" w:rsidTr="006A71B6">
        <w:tc>
          <w:tcPr>
            <w:tcW w:w="709" w:type="dxa"/>
            <w:tcBorders>
              <w:top w:val="nil"/>
              <w:bottom w:val="nil"/>
            </w:tcBorders>
          </w:tcPr>
          <w:p w:rsidR="00B60F6A" w:rsidRPr="00B60F6A" w:rsidRDefault="00B60F6A" w:rsidP="00B60F6A">
            <w:pPr>
              <w:spacing w:after="0" w:line="240" w:lineRule="auto"/>
              <w:rPr>
                <w:rFonts w:ascii="Times New Roman" w:hAnsi="Times New Roman"/>
                <w:sz w:val="20"/>
                <w:szCs w:val="20"/>
              </w:rPr>
            </w:pPr>
          </w:p>
        </w:tc>
        <w:tc>
          <w:tcPr>
            <w:tcW w:w="2410" w:type="dxa"/>
            <w:gridSpan w:val="2"/>
            <w:tcBorders>
              <w:top w:val="nil"/>
              <w:bottom w:val="nil"/>
            </w:tcBorders>
          </w:tcPr>
          <w:p w:rsidR="00B60F6A" w:rsidRPr="00B60F6A" w:rsidRDefault="00B60F6A" w:rsidP="00B60F6A">
            <w:pPr>
              <w:spacing w:after="0" w:line="240" w:lineRule="auto"/>
              <w:rPr>
                <w:rFonts w:ascii="Times New Roman" w:hAnsi="Times New Roman"/>
                <w:sz w:val="20"/>
                <w:szCs w:val="20"/>
              </w:rPr>
            </w:pPr>
            <w:r w:rsidRPr="00B60F6A">
              <w:rPr>
                <w:rFonts w:ascii="Times New Roman" w:hAnsi="Times New Roman"/>
                <w:sz w:val="20"/>
                <w:szCs w:val="20"/>
              </w:rPr>
              <w:t>Week 2</w:t>
            </w:r>
          </w:p>
        </w:tc>
        <w:tc>
          <w:tcPr>
            <w:tcW w:w="1559" w:type="dxa"/>
            <w:tcBorders>
              <w:top w:val="nil"/>
              <w:bottom w:val="nil"/>
            </w:tcBorders>
          </w:tcPr>
          <w:p w:rsidR="00B60F6A" w:rsidRPr="00B60F6A" w:rsidRDefault="00B60F6A" w:rsidP="00B60F6A">
            <w:pPr>
              <w:spacing w:after="0" w:line="240" w:lineRule="auto"/>
              <w:rPr>
                <w:rFonts w:ascii="Times New Roman" w:hAnsi="Times New Roman"/>
                <w:sz w:val="20"/>
                <w:szCs w:val="20"/>
              </w:rPr>
            </w:pPr>
            <w:r w:rsidRPr="00B60F6A">
              <w:rPr>
                <w:rFonts w:ascii="Times New Roman" w:hAnsi="Times New Roman"/>
                <w:sz w:val="20"/>
                <w:szCs w:val="20"/>
              </w:rPr>
              <w:t>8.5 (5.4)</w:t>
            </w:r>
          </w:p>
        </w:tc>
        <w:tc>
          <w:tcPr>
            <w:tcW w:w="1701" w:type="dxa"/>
            <w:tcBorders>
              <w:top w:val="nil"/>
              <w:bottom w:val="nil"/>
            </w:tcBorders>
          </w:tcPr>
          <w:p w:rsidR="00B60F6A" w:rsidRPr="00B60F6A" w:rsidRDefault="00B60F6A" w:rsidP="00B60F6A">
            <w:pPr>
              <w:spacing w:after="0" w:line="240" w:lineRule="auto"/>
              <w:rPr>
                <w:rFonts w:ascii="Times New Roman" w:hAnsi="Times New Roman"/>
                <w:sz w:val="20"/>
                <w:szCs w:val="20"/>
              </w:rPr>
            </w:pPr>
            <w:r w:rsidRPr="00B60F6A">
              <w:rPr>
                <w:rFonts w:ascii="Times New Roman" w:hAnsi="Times New Roman"/>
                <w:sz w:val="20"/>
                <w:szCs w:val="20"/>
              </w:rPr>
              <w:t>12.5 (5.5)</w:t>
            </w:r>
          </w:p>
        </w:tc>
        <w:tc>
          <w:tcPr>
            <w:tcW w:w="1701" w:type="dxa"/>
            <w:tcBorders>
              <w:top w:val="nil"/>
              <w:bottom w:val="nil"/>
            </w:tcBorders>
          </w:tcPr>
          <w:p w:rsidR="00B60F6A" w:rsidRPr="00B60F6A" w:rsidRDefault="00B60F6A" w:rsidP="00B60F6A">
            <w:pPr>
              <w:spacing w:after="0" w:line="240" w:lineRule="auto"/>
              <w:rPr>
                <w:rFonts w:ascii="Times New Roman" w:hAnsi="Times New Roman"/>
                <w:sz w:val="20"/>
                <w:szCs w:val="20"/>
              </w:rPr>
            </w:pPr>
            <w:r w:rsidRPr="00B60F6A">
              <w:rPr>
                <w:rFonts w:ascii="Times New Roman" w:hAnsi="Times New Roman"/>
                <w:sz w:val="20"/>
                <w:szCs w:val="20"/>
              </w:rPr>
              <w:t>-3.9 (-10.2; 2.3)</w:t>
            </w:r>
          </w:p>
        </w:tc>
        <w:tc>
          <w:tcPr>
            <w:tcW w:w="1701" w:type="dxa"/>
            <w:tcBorders>
              <w:top w:val="nil"/>
              <w:bottom w:val="nil"/>
            </w:tcBorders>
          </w:tcPr>
          <w:p w:rsidR="00B60F6A" w:rsidRPr="00B60F6A" w:rsidRDefault="00B60F6A" w:rsidP="00B60F6A">
            <w:pPr>
              <w:spacing w:after="0" w:line="240" w:lineRule="auto"/>
              <w:rPr>
                <w:rFonts w:ascii="Times New Roman" w:hAnsi="Times New Roman"/>
                <w:sz w:val="20"/>
                <w:szCs w:val="20"/>
              </w:rPr>
            </w:pPr>
            <w:r w:rsidRPr="00B60F6A">
              <w:rPr>
                <w:rFonts w:ascii="Times New Roman" w:hAnsi="Times New Roman"/>
                <w:sz w:val="20"/>
                <w:szCs w:val="20"/>
              </w:rPr>
              <w:t>-0.7</w:t>
            </w:r>
          </w:p>
        </w:tc>
      </w:tr>
      <w:tr w:rsidR="00B60F6A" w:rsidRPr="00B60F6A" w:rsidTr="006A71B6">
        <w:tc>
          <w:tcPr>
            <w:tcW w:w="3119" w:type="dxa"/>
            <w:gridSpan w:val="3"/>
            <w:tcBorders>
              <w:top w:val="nil"/>
              <w:bottom w:val="nil"/>
            </w:tcBorders>
          </w:tcPr>
          <w:p w:rsidR="00B60F6A" w:rsidRPr="00B60F6A" w:rsidRDefault="00B60F6A" w:rsidP="00B60F6A">
            <w:pPr>
              <w:spacing w:after="0" w:line="240" w:lineRule="auto"/>
              <w:rPr>
                <w:rFonts w:ascii="Times New Roman" w:hAnsi="Times New Roman"/>
                <w:sz w:val="20"/>
                <w:szCs w:val="20"/>
              </w:rPr>
            </w:pPr>
            <w:r w:rsidRPr="00B60F6A">
              <w:rPr>
                <w:rFonts w:ascii="Times New Roman" w:hAnsi="Times New Roman"/>
                <w:sz w:val="20"/>
                <w:szCs w:val="20"/>
              </w:rPr>
              <w:t>Wellbeing (WEMWBS)</w:t>
            </w:r>
          </w:p>
        </w:tc>
        <w:tc>
          <w:tcPr>
            <w:tcW w:w="1559" w:type="dxa"/>
            <w:tcBorders>
              <w:top w:val="nil"/>
              <w:bottom w:val="nil"/>
            </w:tcBorders>
          </w:tcPr>
          <w:p w:rsidR="00B60F6A" w:rsidRPr="00B60F6A" w:rsidRDefault="00B60F6A" w:rsidP="00B60F6A">
            <w:pPr>
              <w:spacing w:after="0" w:line="240" w:lineRule="auto"/>
              <w:rPr>
                <w:rFonts w:ascii="Times New Roman" w:hAnsi="Times New Roman"/>
                <w:sz w:val="20"/>
                <w:szCs w:val="20"/>
              </w:rPr>
            </w:pPr>
          </w:p>
        </w:tc>
        <w:tc>
          <w:tcPr>
            <w:tcW w:w="1701" w:type="dxa"/>
            <w:tcBorders>
              <w:top w:val="nil"/>
              <w:bottom w:val="nil"/>
            </w:tcBorders>
          </w:tcPr>
          <w:p w:rsidR="00B60F6A" w:rsidRPr="00B60F6A" w:rsidRDefault="00B60F6A" w:rsidP="00B60F6A">
            <w:pPr>
              <w:spacing w:after="0" w:line="240" w:lineRule="auto"/>
              <w:rPr>
                <w:rFonts w:ascii="Times New Roman" w:hAnsi="Times New Roman"/>
                <w:sz w:val="20"/>
                <w:szCs w:val="20"/>
              </w:rPr>
            </w:pPr>
          </w:p>
        </w:tc>
        <w:tc>
          <w:tcPr>
            <w:tcW w:w="1701" w:type="dxa"/>
            <w:tcBorders>
              <w:top w:val="nil"/>
              <w:bottom w:val="nil"/>
            </w:tcBorders>
          </w:tcPr>
          <w:p w:rsidR="00B60F6A" w:rsidRPr="00B60F6A" w:rsidRDefault="00B60F6A" w:rsidP="00B60F6A">
            <w:pPr>
              <w:spacing w:after="0" w:line="240" w:lineRule="auto"/>
              <w:rPr>
                <w:rFonts w:ascii="Times New Roman" w:hAnsi="Times New Roman"/>
                <w:sz w:val="20"/>
                <w:szCs w:val="20"/>
              </w:rPr>
            </w:pPr>
          </w:p>
        </w:tc>
        <w:tc>
          <w:tcPr>
            <w:tcW w:w="1701" w:type="dxa"/>
            <w:tcBorders>
              <w:top w:val="nil"/>
              <w:bottom w:val="nil"/>
            </w:tcBorders>
          </w:tcPr>
          <w:p w:rsidR="00B60F6A" w:rsidRPr="00B60F6A" w:rsidRDefault="00B60F6A" w:rsidP="00B60F6A">
            <w:pPr>
              <w:spacing w:after="0" w:line="240" w:lineRule="auto"/>
              <w:rPr>
                <w:rFonts w:ascii="Times New Roman" w:hAnsi="Times New Roman"/>
                <w:sz w:val="20"/>
                <w:szCs w:val="20"/>
              </w:rPr>
            </w:pPr>
          </w:p>
        </w:tc>
      </w:tr>
      <w:tr w:rsidR="00B60F6A" w:rsidRPr="00B60F6A" w:rsidTr="006A71B6">
        <w:tc>
          <w:tcPr>
            <w:tcW w:w="709" w:type="dxa"/>
            <w:tcBorders>
              <w:top w:val="nil"/>
              <w:bottom w:val="single" w:sz="4" w:space="0" w:color="auto"/>
            </w:tcBorders>
          </w:tcPr>
          <w:p w:rsidR="00B60F6A" w:rsidRPr="00B60F6A" w:rsidRDefault="00B60F6A" w:rsidP="00B60F6A">
            <w:pPr>
              <w:spacing w:after="0" w:line="240" w:lineRule="auto"/>
              <w:rPr>
                <w:rFonts w:ascii="Times New Roman" w:hAnsi="Times New Roman"/>
                <w:sz w:val="20"/>
                <w:szCs w:val="20"/>
              </w:rPr>
            </w:pPr>
          </w:p>
        </w:tc>
        <w:tc>
          <w:tcPr>
            <w:tcW w:w="2410" w:type="dxa"/>
            <w:gridSpan w:val="2"/>
            <w:tcBorders>
              <w:top w:val="nil"/>
              <w:bottom w:val="single" w:sz="4" w:space="0" w:color="auto"/>
            </w:tcBorders>
          </w:tcPr>
          <w:p w:rsidR="00B60F6A" w:rsidRPr="00B60F6A" w:rsidRDefault="00B60F6A" w:rsidP="00B60F6A">
            <w:pPr>
              <w:spacing w:after="0" w:line="240" w:lineRule="auto"/>
              <w:rPr>
                <w:rFonts w:ascii="Times New Roman" w:hAnsi="Times New Roman"/>
                <w:sz w:val="20"/>
                <w:szCs w:val="20"/>
              </w:rPr>
            </w:pPr>
            <w:r w:rsidRPr="00B60F6A">
              <w:rPr>
                <w:rFonts w:ascii="Times New Roman" w:hAnsi="Times New Roman"/>
                <w:sz w:val="20"/>
                <w:szCs w:val="20"/>
              </w:rPr>
              <w:t>Week 2</w:t>
            </w:r>
          </w:p>
        </w:tc>
        <w:tc>
          <w:tcPr>
            <w:tcW w:w="1559" w:type="dxa"/>
            <w:tcBorders>
              <w:top w:val="nil"/>
              <w:bottom w:val="single" w:sz="4" w:space="0" w:color="auto"/>
            </w:tcBorders>
          </w:tcPr>
          <w:p w:rsidR="00B60F6A" w:rsidRPr="00B60F6A" w:rsidRDefault="00B60F6A" w:rsidP="00B60F6A">
            <w:pPr>
              <w:spacing w:after="0" w:line="240" w:lineRule="auto"/>
              <w:rPr>
                <w:rFonts w:ascii="Times New Roman" w:hAnsi="Times New Roman"/>
                <w:sz w:val="20"/>
                <w:szCs w:val="20"/>
              </w:rPr>
            </w:pPr>
            <w:r w:rsidRPr="00B60F6A">
              <w:rPr>
                <w:rFonts w:ascii="Times New Roman" w:hAnsi="Times New Roman"/>
                <w:sz w:val="20"/>
                <w:szCs w:val="20"/>
              </w:rPr>
              <w:t>47.4 (10.5)</w:t>
            </w:r>
          </w:p>
        </w:tc>
        <w:tc>
          <w:tcPr>
            <w:tcW w:w="1701" w:type="dxa"/>
            <w:tcBorders>
              <w:top w:val="nil"/>
              <w:bottom w:val="single" w:sz="4" w:space="0" w:color="auto"/>
            </w:tcBorders>
          </w:tcPr>
          <w:p w:rsidR="00B60F6A" w:rsidRPr="00B60F6A" w:rsidRDefault="00B60F6A" w:rsidP="00B60F6A">
            <w:pPr>
              <w:spacing w:after="0" w:line="240" w:lineRule="auto"/>
              <w:rPr>
                <w:rFonts w:ascii="Times New Roman" w:hAnsi="Times New Roman"/>
                <w:sz w:val="20"/>
                <w:szCs w:val="20"/>
              </w:rPr>
            </w:pPr>
            <w:r w:rsidRPr="00B60F6A">
              <w:rPr>
                <w:rFonts w:ascii="Times New Roman" w:hAnsi="Times New Roman"/>
                <w:sz w:val="20"/>
                <w:szCs w:val="20"/>
              </w:rPr>
              <w:t>44.8 (13.4)</w:t>
            </w:r>
          </w:p>
        </w:tc>
        <w:tc>
          <w:tcPr>
            <w:tcW w:w="1701" w:type="dxa"/>
            <w:tcBorders>
              <w:top w:val="nil"/>
              <w:bottom w:val="single" w:sz="4" w:space="0" w:color="auto"/>
            </w:tcBorders>
          </w:tcPr>
          <w:p w:rsidR="00B60F6A" w:rsidRPr="00B60F6A" w:rsidRDefault="00B60F6A" w:rsidP="00B60F6A">
            <w:pPr>
              <w:spacing w:after="0" w:line="240" w:lineRule="auto"/>
              <w:rPr>
                <w:rFonts w:ascii="Times New Roman" w:hAnsi="Times New Roman"/>
                <w:sz w:val="20"/>
                <w:szCs w:val="20"/>
              </w:rPr>
            </w:pPr>
            <w:r w:rsidRPr="00B60F6A">
              <w:rPr>
                <w:rFonts w:ascii="Times New Roman" w:hAnsi="Times New Roman"/>
                <w:sz w:val="20"/>
                <w:szCs w:val="20"/>
              </w:rPr>
              <w:t>3.0 (-5.7;11.8)</w:t>
            </w:r>
          </w:p>
        </w:tc>
        <w:tc>
          <w:tcPr>
            <w:tcW w:w="1701" w:type="dxa"/>
            <w:tcBorders>
              <w:top w:val="nil"/>
              <w:bottom w:val="single" w:sz="4" w:space="0" w:color="auto"/>
            </w:tcBorders>
          </w:tcPr>
          <w:p w:rsidR="00B60F6A" w:rsidRPr="00B60F6A" w:rsidRDefault="00B60F6A" w:rsidP="00B60F6A">
            <w:pPr>
              <w:spacing w:after="0" w:line="240" w:lineRule="auto"/>
              <w:rPr>
                <w:rFonts w:ascii="Times New Roman" w:hAnsi="Times New Roman"/>
                <w:sz w:val="20"/>
                <w:szCs w:val="20"/>
              </w:rPr>
            </w:pPr>
            <w:r w:rsidRPr="00B60F6A">
              <w:rPr>
                <w:rFonts w:ascii="Times New Roman" w:hAnsi="Times New Roman"/>
                <w:sz w:val="20"/>
                <w:szCs w:val="20"/>
              </w:rPr>
              <w:t>0.2</w:t>
            </w:r>
          </w:p>
        </w:tc>
      </w:tr>
    </w:tbl>
    <w:p w:rsidR="00B60F6A" w:rsidRPr="00B60F6A" w:rsidRDefault="00B60F6A" w:rsidP="00B60F6A">
      <w:pPr>
        <w:spacing w:after="0" w:line="240" w:lineRule="auto"/>
        <w:rPr>
          <w:rFonts w:ascii="Times New Roman" w:hAnsi="Times New Roman" w:cs="Times New Roman"/>
          <w:sz w:val="16"/>
          <w:szCs w:val="16"/>
        </w:rPr>
      </w:pPr>
      <w:r w:rsidRPr="00B60F6A">
        <w:rPr>
          <w:rFonts w:ascii="Times New Roman" w:hAnsi="Times New Roman" w:cs="Times New Roman"/>
          <w:sz w:val="16"/>
          <w:szCs w:val="16"/>
        </w:rPr>
        <w:t>Data are mean (SD).  All analyses controlled for baseline score for that variable, stratification factors (insomnia severity, diagnosis and wellbeing) and baseline duration of admission.</w:t>
      </w:r>
    </w:p>
    <w:p w:rsidR="00B60F6A" w:rsidRDefault="00B60F6A" w:rsidP="00B60F6A">
      <w:pPr>
        <w:spacing w:after="0" w:line="240" w:lineRule="auto"/>
        <w:rPr>
          <w:lang w:eastAsia="en-GB"/>
        </w:rPr>
      </w:pPr>
    </w:p>
    <w:p w:rsidR="00B60F6A" w:rsidRDefault="00B60F6A" w:rsidP="00B60F6A">
      <w:pPr>
        <w:spacing w:after="0" w:line="240" w:lineRule="auto"/>
        <w:rPr>
          <w:rFonts w:ascii="Times New Roman" w:hAnsi="Times New Roman" w:cs="Times New Roman"/>
          <w:b/>
          <w:sz w:val="20"/>
          <w:szCs w:val="20"/>
          <w:lang w:eastAsia="en-GB"/>
        </w:rPr>
      </w:pPr>
    </w:p>
    <w:p w:rsidR="00B60F6A" w:rsidRPr="00F30993" w:rsidRDefault="00B60F6A" w:rsidP="00B60F6A">
      <w:pPr>
        <w:spacing w:after="0" w:line="240" w:lineRule="auto"/>
        <w:rPr>
          <w:rFonts w:ascii="Times New Roman" w:hAnsi="Times New Roman" w:cs="Times New Roman"/>
          <w:b/>
          <w:sz w:val="20"/>
          <w:szCs w:val="20"/>
          <w:lang w:eastAsia="en-GB"/>
        </w:rPr>
      </w:pPr>
      <w:r>
        <w:rPr>
          <w:rFonts w:ascii="Times New Roman" w:hAnsi="Times New Roman" w:cs="Times New Roman"/>
          <w:b/>
          <w:sz w:val="20"/>
          <w:szCs w:val="20"/>
          <w:lang w:eastAsia="en-GB"/>
        </w:rPr>
        <w:t>Supplementary material 3</w:t>
      </w:r>
      <w:r w:rsidRPr="00F30993">
        <w:rPr>
          <w:rFonts w:ascii="Times New Roman" w:hAnsi="Times New Roman" w:cs="Times New Roman"/>
          <w:b/>
          <w:sz w:val="20"/>
          <w:szCs w:val="20"/>
          <w:lang w:eastAsia="en-GB"/>
        </w:rPr>
        <w:t>:</w:t>
      </w:r>
    </w:p>
    <w:p w:rsidR="00B60F6A" w:rsidRDefault="00B60F6A" w:rsidP="00B60F6A">
      <w:pPr>
        <w:spacing w:after="0" w:line="240" w:lineRule="auto"/>
        <w:rPr>
          <w:lang w:eastAsia="en-GB"/>
        </w:rPr>
      </w:pPr>
    </w:p>
    <w:p w:rsidR="00B60F6A" w:rsidRPr="004F4D66" w:rsidRDefault="00B60F6A" w:rsidP="00B60F6A">
      <w:pPr>
        <w:spacing w:after="0" w:line="240" w:lineRule="auto"/>
        <w:rPr>
          <w:rFonts w:ascii="Times New Roman" w:hAnsi="Times New Roman" w:cs="Times New Roman"/>
          <w:sz w:val="20"/>
          <w:szCs w:val="20"/>
        </w:rPr>
      </w:pPr>
      <w:r w:rsidRPr="004F4D66">
        <w:rPr>
          <w:rFonts w:ascii="Times New Roman" w:hAnsi="Times New Roman" w:cs="Times New Roman"/>
          <w:sz w:val="20"/>
          <w:szCs w:val="20"/>
        </w:rPr>
        <w:t>Acute manic symptoms (including elevated mood and inflated self-esteem) were expected to impact on self-reported measures of symptoms, particularly wellbeing. Given that some, but not all</w:t>
      </w:r>
      <w:r>
        <w:rPr>
          <w:rFonts w:ascii="Times New Roman" w:hAnsi="Times New Roman" w:cs="Times New Roman"/>
          <w:sz w:val="20"/>
          <w:szCs w:val="20"/>
        </w:rPr>
        <w:t>,</w:t>
      </w:r>
      <w:r w:rsidRPr="004F4D66">
        <w:rPr>
          <w:rFonts w:ascii="Times New Roman" w:hAnsi="Times New Roman" w:cs="Times New Roman"/>
          <w:sz w:val="20"/>
          <w:szCs w:val="20"/>
        </w:rPr>
        <w:t xml:space="preserve"> participants experienced symptoms of mania, sub-group analysis was planned splitting participants by the presence or absence of self-</w:t>
      </w:r>
      <w:r w:rsidRPr="004F4D66">
        <w:rPr>
          <w:rFonts w:ascii="Times New Roman" w:hAnsi="Times New Roman" w:cs="Times New Roman"/>
          <w:sz w:val="20"/>
          <w:szCs w:val="20"/>
        </w:rPr>
        <w:lastRenderedPageBreak/>
        <w:t>reported manic symptoms at baseline (sco</w:t>
      </w:r>
      <w:r>
        <w:rPr>
          <w:rFonts w:ascii="Times New Roman" w:hAnsi="Times New Roman" w:cs="Times New Roman"/>
          <w:sz w:val="20"/>
          <w:szCs w:val="20"/>
        </w:rPr>
        <w:t>re of ≥20 on baseline YMRS</w:t>
      </w:r>
      <w:r w:rsidRPr="004F4D66">
        <w:rPr>
          <w:rFonts w:ascii="Times New Roman" w:hAnsi="Times New Roman" w:cs="Times New Roman"/>
          <w:sz w:val="20"/>
          <w:szCs w:val="20"/>
        </w:rPr>
        <w:t xml:space="preserve">). At baseline, those with acute manic symptoms scored over 10 points higher for psychological wellbeing in both the treatment and control group. Hence it is </w:t>
      </w:r>
      <w:r>
        <w:rPr>
          <w:rFonts w:ascii="Times New Roman" w:hAnsi="Times New Roman" w:cs="Times New Roman"/>
          <w:sz w:val="20"/>
          <w:szCs w:val="20"/>
        </w:rPr>
        <w:t>highly plausible</w:t>
      </w:r>
      <w:r w:rsidRPr="004F4D66">
        <w:rPr>
          <w:rFonts w:ascii="Times New Roman" w:hAnsi="Times New Roman" w:cs="Times New Roman"/>
          <w:sz w:val="20"/>
          <w:szCs w:val="20"/>
        </w:rPr>
        <w:t xml:space="preserve"> that decreasing or stable psychological wellbeing scores may reflect a positive change when a patient exhibits manic symptoms.    </w:t>
      </w:r>
    </w:p>
    <w:p w:rsidR="00B60F6A" w:rsidRPr="00455BFD" w:rsidRDefault="00B60F6A" w:rsidP="00B60F6A">
      <w:pPr>
        <w:spacing w:after="0" w:line="240" w:lineRule="auto"/>
        <w:rPr>
          <w:lang w:eastAsia="en-GB"/>
        </w:rPr>
      </w:pPr>
    </w:p>
    <w:p w:rsidR="00B60F6A" w:rsidRPr="004F4D66" w:rsidRDefault="00B60F6A" w:rsidP="00B60F6A">
      <w:pPr>
        <w:pStyle w:val="TOC1"/>
        <w:spacing w:line="240" w:lineRule="auto"/>
      </w:pPr>
      <w:r w:rsidRPr="004F4D66">
        <w:t xml:space="preserve">Table </w:t>
      </w:r>
      <w:r>
        <w:t>3</w:t>
      </w:r>
      <w:r w:rsidRPr="004F4D66">
        <w:t xml:space="preserve">. Primary </w:t>
      </w:r>
      <w:r>
        <w:t xml:space="preserve">efficacy </w:t>
      </w:r>
      <w:r w:rsidRPr="004F4D66">
        <w:t xml:space="preserve">outcome measures split by baseline mania symptoms.  </w:t>
      </w:r>
    </w:p>
    <w:tbl>
      <w:tblPr>
        <w:tblStyle w:val="TableGrid"/>
        <w:tblW w:w="549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520"/>
        <w:gridCol w:w="47"/>
        <w:gridCol w:w="824"/>
        <w:gridCol w:w="1019"/>
        <w:gridCol w:w="1100"/>
        <w:gridCol w:w="1276"/>
      </w:tblGrid>
      <w:tr w:rsidR="00B60F6A" w:rsidRPr="004F4D66" w:rsidTr="006A71B6">
        <w:tc>
          <w:tcPr>
            <w:tcW w:w="2100" w:type="dxa"/>
            <w:gridSpan w:val="4"/>
          </w:tcPr>
          <w:p w:rsidR="00B60F6A" w:rsidRPr="004F4D66" w:rsidRDefault="00B60F6A" w:rsidP="00B60F6A">
            <w:pPr>
              <w:spacing w:after="0" w:line="240" w:lineRule="auto"/>
              <w:rPr>
                <w:rFonts w:ascii="Times New Roman" w:hAnsi="Times New Roman"/>
                <w:b/>
                <w:sz w:val="20"/>
                <w:szCs w:val="20"/>
              </w:rPr>
            </w:pPr>
          </w:p>
        </w:tc>
        <w:tc>
          <w:tcPr>
            <w:tcW w:w="1019" w:type="dxa"/>
          </w:tcPr>
          <w:p w:rsidR="00B60F6A" w:rsidRPr="004F4D66" w:rsidRDefault="00B60F6A" w:rsidP="00B60F6A">
            <w:pPr>
              <w:spacing w:after="0" w:line="240" w:lineRule="auto"/>
              <w:jc w:val="center"/>
              <w:rPr>
                <w:rFonts w:ascii="Times New Roman" w:hAnsi="Times New Roman"/>
                <w:b/>
                <w:sz w:val="20"/>
                <w:szCs w:val="20"/>
              </w:rPr>
            </w:pPr>
          </w:p>
        </w:tc>
        <w:tc>
          <w:tcPr>
            <w:tcW w:w="1100" w:type="dxa"/>
          </w:tcPr>
          <w:p w:rsidR="00B60F6A" w:rsidRPr="004F4D66" w:rsidRDefault="006E1C0A" w:rsidP="00B60F6A">
            <w:pPr>
              <w:spacing w:after="0" w:line="240" w:lineRule="auto"/>
              <w:jc w:val="center"/>
              <w:rPr>
                <w:rFonts w:ascii="Times New Roman" w:hAnsi="Times New Roman"/>
                <w:b/>
                <w:sz w:val="20"/>
                <w:szCs w:val="20"/>
              </w:rPr>
            </w:pPr>
            <w:r>
              <w:rPr>
                <w:rFonts w:ascii="Times New Roman" w:hAnsi="Times New Roman"/>
                <w:b/>
                <w:sz w:val="20"/>
                <w:szCs w:val="20"/>
              </w:rPr>
              <w:t>Sleep treatment at acute crisis</w:t>
            </w:r>
          </w:p>
          <w:p w:rsidR="00B60F6A" w:rsidRPr="004F4D66" w:rsidRDefault="00B60F6A" w:rsidP="00B60F6A">
            <w:pPr>
              <w:spacing w:after="0" w:line="240" w:lineRule="auto"/>
              <w:jc w:val="center"/>
              <w:rPr>
                <w:rFonts w:ascii="Times New Roman" w:hAnsi="Times New Roman"/>
                <w:b/>
                <w:sz w:val="20"/>
                <w:szCs w:val="20"/>
              </w:rPr>
            </w:pPr>
          </w:p>
        </w:tc>
        <w:tc>
          <w:tcPr>
            <w:tcW w:w="1276" w:type="dxa"/>
          </w:tcPr>
          <w:p w:rsidR="00B60F6A" w:rsidRPr="004F4D66" w:rsidRDefault="00B60F6A" w:rsidP="00B60F6A">
            <w:pPr>
              <w:spacing w:after="0" w:line="240" w:lineRule="auto"/>
              <w:jc w:val="center"/>
              <w:rPr>
                <w:rFonts w:ascii="Times New Roman" w:hAnsi="Times New Roman"/>
                <w:b/>
                <w:sz w:val="20"/>
                <w:szCs w:val="20"/>
              </w:rPr>
            </w:pPr>
            <w:r w:rsidRPr="004F4D66">
              <w:rPr>
                <w:rFonts w:ascii="Times New Roman" w:hAnsi="Times New Roman"/>
                <w:b/>
                <w:sz w:val="20"/>
                <w:szCs w:val="20"/>
              </w:rPr>
              <w:t xml:space="preserve">Standard care </w:t>
            </w:r>
          </w:p>
        </w:tc>
      </w:tr>
      <w:tr w:rsidR="00B60F6A" w:rsidRPr="004F4D66" w:rsidTr="006A71B6">
        <w:tc>
          <w:tcPr>
            <w:tcW w:w="4219" w:type="dxa"/>
            <w:gridSpan w:val="6"/>
            <w:tcBorders>
              <w:bottom w:val="nil"/>
            </w:tcBorders>
          </w:tcPr>
          <w:p w:rsidR="00B60F6A" w:rsidRPr="004F4D66" w:rsidRDefault="00B60F6A" w:rsidP="00B60F6A">
            <w:pPr>
              <w:spacing w:after="0" w:line="240" w:lineRule="auto"/>
              <w:rPr>
                <w:rFonts w:ascii="Times New Roman" w:hAnsi="Times New Roman"/>
                <w:b/>
                <w:sz w:val="20"/>
                <w:szCs w:val="20"/>
              </w:rPr>
            </w:pPr>
            <w:r w:rsidRPr="004F4D66">
              <w:rPr>
                <w:rFonts w:ascii="Times New Roman" w:hAnsi="Times New Roman"/>
                <w:b/>
                <w:sz w:val="20"/>
                <w:szCs w:val="20"/>
              </w:rPr>
              <w:t xml:space="preserve">Primary </w:t>
            </w:r>
            <w:r>
              <w:rPr>
                <w:rFonts w:ascii="Times New Roman" w:hAnsi="Times New Roman"/>
                <w:b/>
                <w:sz w:val="20"/>
                <w:szCs w:val="20"/>
              </w:rPr>
              <w:t xml:space="preserve">efficacy </w:t>
            </w:r>
            <w:r w:rsidRPr="004F4D66">
              <w:rPr>
                <w:rFonts w:ascii="Times New Roman" w:hAnsi="Times New Roman"/>
                <w:b/>
                <w:sz w:val="20"/>
                <w:szCs w:val="20"/>
              </w:rPr>
              <w:t>outcome measures</w:t>
            </w:r>
          </w:p>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Insomnia (ISI)</w:t>
            </w:r>
          </w:p>
        </w:tc>
        <w:tc>
          <w:tcPr>
            <w:tcW w:w="1276" w:type="dxa"/>
            <w:tcBorders>
              <w:bottom w:val="nil"/>
            </w:tcBorders>
          </w:tcPr>
          <w:p w:rsidR="00B60F6A" w:rsidRPr="004F4D66" w:rsidRDefault="00B60F6A" w:rsidP="00B60F6A">
            <w:pPr>
              <w:spacing w:after="0" w:line="240" w:lineRule="auto"/>
              <w:rPr>
                <w:rFonts w:ascii="Times New Roman" w:hAnsi="Times New Roman"/>
                <w:sz w:val="20"/>
                <w:szCs w:val="20"/>
              </w:rPr>
            </w:pP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2410" w:type="dxa"/>
            <w:gridSpan w:val="4"/>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Mania (n=7)</w:t>
            </w:r>
          </w:p>
        </w:tc>
        <w:tc>
          <w:tcPr>
            <w:tcW w:w="1100"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1276"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520"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1890" w:type="dxa"/>
            <w:gridSpan w:val="3"/>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0</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16.5(5.9)</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13.7 (5.7)</w:t>
            </w: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520"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1890" w:type="dxa"/>
            <w:gridSpan w:val="3"/>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2</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9.3 (7.0)</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12.3 (5.8)</w:t>
            </w: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520"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1890" w:type="dxa"/>
            <w:gridSpan w:val="3"/>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4</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5.5 (4.2)</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12.0 (4.0)</w:t>
            </w: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520"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1890" w:type="dxa"/>
            <w:gridSpan w:val="3"/>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12</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1.7 (1.5)</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9.5 (4.9)</w:t>
            </w: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2410" w:type="dxa"/>
            <w:gridSpan w:val="4"/>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No mania (n=33)</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567"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1843"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0</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17.3 (6.2)</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16.5 (4.8)</w:t>
            </w: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567"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1843"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2</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8.3 (5.2)</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12.6 (5.6)</w:t>
            </w: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567"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1843"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4</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7.1 (5.5)</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9.7 (5.8)</w:t>
            </w: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567"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1843"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12</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6.8 (5.0)</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8.5 (4.5)</w:t>
            </w:r>
          </w:p>
        </w:tc>
      </w:tr>
      <w:tr w:rsidR="00B60F6A" w:rsidRPr="004F4D66" w:rsidTr="006A71B6">
        <w:tc>
          <w:tcPr>
            <w:tcW w:w="3119" w:type="dxa"/>
            <w:gridSpan w:val="5"/>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Wellbeing (WEMWBS)</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2410" w:type="dxa"/>
            <w:gridSpan w:val="4"/>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Mania (n=7)</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567"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1843"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0</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54.8 (12.4)</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52.7 (13.1)</w:t>
            </w: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567"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1843"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2</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52.0 (14.5)</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57.7 (6.8)</w:t>
            </w: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567"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1843"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4</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56.3 (5.9)</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49.7 (5.5)</w:t>
            </w: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567"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1843" w:type="dxa"/>
            <w:gridSpan w:val="2"/>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12</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58.3 (10.2)</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53.0 (17.0)</w:t>
            </w:r>
          </w:p>
        </w:tc>
      </w:tr>
      <w:tr w:rsidR="00B60F6A" w:rsidRPr="004F4D66" w:rsidTr="006A71B6">
        <w:tc>
          <w:tcPr>
            <w:tcW w:w="709" w:type="dxa"/>
            <w:tcBorders>
              <w:top w:val="nil"/>
              <w:bottom w:val="nil"/>
            </w:tcBorders>
          </w:tcPr>
          <w:p w:rsidR="00B60F6A" w:rsidRPr="004F4D66" w:rsidRDefault="00B60F6A" w:rsidP="00B60F6A">
            <w:pPr>
              <w:spacing w:after="0" w:line="240" w:lineRule="auto"/>
              <w:rPr>
                <w:rFonts w:ascii="Times New Roman" w:hAnsi="Times New Roman"/>
                <w:sz w:val="20"/>
                <w:szCs w:val="20"/>
              </w:rPr>
            </w:pPr>
          </w:p>
        </w:tc>
        <w:tc>
          <w:tcPr>
            <w:tcW w:w="2410" w:type="dxa"/>
            <w:gridSpan w:val="4"/>
            <w:tcBorders>
              <w:top w:val="nil"/>
              <w:bottom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No mania (n=33)</w:t>
            </w:r>
          </w:p>
        </w:tc>
        <w:tc>
          <w:tcPr>
            <w:tcW w:w="1100"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p>
        </w:tc>
      </w:tr>
      <w:tr w:rsidR="00B60F6A" w:rsidRPr="004F4D66" w:rsidTr="006A71B6">
        <w:tc>
          <w:tcPr>
            <w:tcW w:w="709" w:type="dxa"/>
            <w:tcBorders>
              <w:top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567" w:type="dxa"/>
            <w:gridSpan w:val="2"/>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1843" w:type="dxa"/>
            <w:gridSpan w:val="2"/>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0</w:t>
            </w:r>
          </w:p>
        </w:tc>
        <w:tc>
          <w:tcPr>
            <w:tcW w:w="1100" w:type="dxa"/>
            <w:tcBorders>
              <w:top w:val="nil"/>
              <w:left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36.1 (14.0)</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40.5 (12.6)</w:t>
            </w:r>
          </w:p>
        </w:tc>
      </w:tr>
      <w:tr w:rsidR="00B60F6A" w:rsidRPr="004F4D66" w:rsidTr="006A71B6">
        <w:tc>
          <w:tcPr>
            <w:tcW w:w="709" w:type="dxa"/>
            <w:tcBorders>
              <w:top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567" w:type="dxa"/>
            <w:gridSpan w:val="2"/>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1843" w:type="dxa"/>
            <w:gridSpan w:val="2"/>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2</w:t>
            </w:r>
          </w:p>
        </w:tc>
        <w:tc>
          <w:tcPr>
            <w:tcW w:w="1100" w:type="dxa"/>
            <w:tcBorders>
              <w:top w:val="nil"/>
              <w:left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46.3 (9.6)</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42.5 (13.1)</w:t>
            </w:r>
          </w:p>
        </w:tc>
      </w:tr>
      <w:tr w:rsidR="00B60F6A" w:rsidRPr="004F4D66" w:rsidTr="006A71B6">
        <w:tc>
          <w:tcPr>
            <w:tcW w:w="709" w:type="dxa"/>
            <w:tcBorders>
              <w:top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567" w:type="dxa"/>
            <w:gridSpan w:val="2"/>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p>
        </w:tc>
        <w:tc>
          <w:tcPr>
            <w:tcW w:w="1843" w:type="dxa"/>
            <w:gridSpan w:val="2"/>
            <w:tcBorders>
              <w:top w:val="nil"/>
              <w:left w:val="nil"/>
              <w:bottom w:val="nil"/>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4</w:t>
            </w:r>
          </w:p>
        </w:tc>
        <w:tc>
          <w:tcPr>
            <w:tcW w:w="1100" w:type="dxa"/>
            <w:tcBorders>
              <w:top w:val="nil"/>
              <w:left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46.2 (12.1)</w:t>
            </w:r>
          </w:p>
        </w:tc>
        <w:tc>
          <w:tcPr>
            <w:tcW w:w="1276" w:type="dxa"/>
            <w:tcBorders>
              <w:top w:val="nil"/>
              <w:bottom w:val="nil"/>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44.9 (10.8)</w:t>
            </w:r>
          </w:p>
        </w:tc>
      </w:tr>
      <w:tr w:rsidR="00B60F6A" w:rsidRPr="004F4D66" w:rsidTr="006A71B6">
        <w:tc>
          <w:tcPr>
            <w:tcW w:w="709" w:type="dxa"/>
            <w:tcBorders>
              <w:top w:val="nil"/>
              <w:bottom w:val="single" w:sz="4" w:space="0" w:color="auto"/>
              <w:right w:val="nil"/>
            </w:tcBorders>
          </w:tcPr>
          <w:p w:rsidR="00B60F6A" w:rsidRPr="004F4D66" w:rsidRDefault="00B60F6A" w:rsidP="00B60F6A">
            <w:pPr>
              <w:spacing w:after="0" w:line="240" w:lineRule="auto"/>
              <w:rPr>
                <w:rFonts w:ascii="Times New Roman" w:hAnsi="Times New Roman"/>
                <w:sz w:val="20"/>
                <w:szCs w:val="20"/>
              </w:rPr>
            </w:pPr>
          </w:p>
        </w:tc>
        <w:tc>
          <w:tcPr>
            <w:tcW w:w="567" w:type="dxa"/>
            <w:gridSpan w:val="2"/>
            <w:tcBorders>
              <w:top w:val="nil"/>
              <w:left w:val="nil"/>
              <w:bottom w:val="single" w:sz="4" w:space="0" w:color="auto"/>
              <w:right w:val="nil"/>
            </w:tcBorders>
          </w:tcPr>
          <w:p w:rsidR="00B60F6A" w:rsidRPr="004F4D66" w:rsidRDefault="00B60F6A" w:rsidP="00B60F6A">
            <w:pPr>
              <w:spacing w:after="0" w:line="240" w:lineRule="auto"/>
              <w:rPr>
                <w:rFonts w:ascii="Times New Roman" w:hAnsi="Times New Roman"/>
                <w:sz w:val="20"/>
                <w:szCs w:val="20"/>
              </w:rPr>
            </w:pPr>
          </w:p>
        </w:tc>
        <w:tc>
          <w:tcPr>
            <w:tcW w:w="1843" w:type="dxa"/>
            <w:gridSpan w:val="2"/>
            <w:tcBorders>
              <w:top w:val="nil"/>
              <w:left w:val="nil"/>
              <w:bottom w:val="single" w:sz="4" w:space="0" w:color="auto"/>
              <w:right w:val="nil"/>
            </w:tcBorders>
          </w:tcPr>
          <w:p w:rsidR="00B60F6A" w:rsidRPr="004F4D66" w:rsidRDefault="00B60F6A" w:rsidP="00B60F6A">
            <w:pPr>
              <w:spacing w:after="0" w:line="240" w:lineRule="auto"/>
              <w:rPr>
                <w:rFonts w:ascii="Times New Roman" w:hAnsi="Times New Roman"/>
                <w:sz w:val="20"/>
                <w:szCs w:val="20"/>
              </w:rPr>
            </w:pPr>
            <w:r w:rsidRPr="004F4D66">
              <w:rPr>
                <w:rFonts w:ascii="Times New Roman" w:hAnsi="Times New Roman"/>
                <w:sz w:val="20"/>
                <w:szCs w:val="20"/>
              </w:rPr>
              <w:t>Week 12</w:t>
            </w:r>
          </w:p>
        </w:tc>
        <w:tc>
          <w:tcPr>
            <w:tcW w:w="1100" w:type="dxa"/>
            <w:tcBorders>
              <w:top w:val="nil"/>
              <w:left w:val="nil"/>
              <w:bottom w:val="single" w:sz="4" w:space="0" w:color="auto"/>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46.0 (11.9)</w:t>
            </w:r>
          </w:p>
        </w:tc>
        <w:tc>
          <w:tcPr>
            <w:tcW w:w="1276" w:type="dxa"/>
            <w:tcBorders>
              <w:top w:val="nil"/>
              <w:bottom w:val="single" w:sz="4" w:space="0" w:color="auto"/>
            </w:tcBorders>
          </w:tcPr>
          <w:p w:rsidR="00B60F6A" w:rsidRPr="004F4D66" w:rsidRDefault="00B60F6A" w:rsidP="00B60F6A">
            <w:pPr>
              <w:spacing w:after="0" w:line="240" w:lineRule="auto"/>
              <w:jc w:val="right"/>
              <w:rPr>
                <w:rFonts w:ascii="Times New Roman" w:hAnsi="Times New Roman"/>
                <w:sz w:val="20"/>
                <w:szCs w:val="20"/>
              </w:rPr>
            </w:pPr>
            <w:r w:rsidRPr="004F4D66">
              <w:rPr>
                <w:rFonts w:ascii="Times New Roman" w:hAnsi="Times New Roman"/>
                <w:sz w:val="20"/>
                <w:szCs w:val="20"/>
              </w:rPr>
              <w:t>43.4 (12.6)</w:t>
            </w:r>
          </w:p>
        </w:tc>
      </w:tr>
    </w:tbl>
    <w:p w:rsidR="00B60F6A" w:rsidRPr="00B60F6A" w:rsidRDefault="00B60F6A" w:rsidP="00B60F6A">
      <w:pPr>
        <w:rPr>
          <w:rFonts w:ascii="Times New Roman" w:hAnsi="Times New Roman" w:cs="Times New Roman"/>
          <w:sz w:val="16"/>
          <w:szCs w:val="16"/>
        </w:rPr>
      </w:pPr>
      <w:r w:rsidRPr="00B60F6A">
        <w:rPr>
          <w:rFonts w:ascii="Times New Roman" w:hAnsi="Times New Roman" w:cs="Times New Roman"/>
          <w:sz w:val="16"/>
          <w:szCs w:val="16"/>
        </w:rPr>
        <w:t xml:space="preserve">Data are mean (SD).  Definition of mania = score of ≥20 on baseline YMRS.  </w:t>
      </w:r>
    </w:p>
    <w:p w:rsidR="00B60F6A" w:rsidRPr="004F4D66" w:rsidRDefault="00B60F6A" w:rsidP="00B60F6A">
      <w:pPr>
        <w:rPr>
          <w:rFonts w:ascii="Times New Roman" w:hAnsi="Times New Roman" w:cs="Times New Roman"/>
          <w:sz w:val="20"/>
          <w:szCs w:val="20"/>
        </w:rPr>
      </w:pPr>
      <w:r w:rsidRPr="004F4D66">
        <w:rPr>
          <w:rFonts w:ascii="Times New Roman" w:hAnsi="Times New Roman" w:cs="Times New Roman"/>
          <w:sz w:val="20"/>
          <w:szCs w:val="20"/>
        </w:rPr>
        <w:t>For the group experiencing a manic episode at baseline, wellbeing scores had a different trajectory depending on allocation. The mean wellbeing scores for those who received standard care alone (n=3) increased from 52.7</w:t>
      </w:r>
      <w:r w:rsidR="00C3180D">
        <w:rPr>
          <w:rFonts w:ascii="Times New Roman" w:hAnsi="Times New Roman" w:cs="Times New Roman"/>
          <w:sz w:val="20"/>
          <w:szCs w:val="20"/>
        </w:rPr>
        <w:t xml:space="preserve"> </w:t>
      </w:r>
      <w:r w:rsidRPr="004F4D66">
        <w:rPr>
          <w:rFonts w:ascii="Times New Roman" w:hAnsi="Times New Roman" w:cs="Times New Roman"/>
          <w:sz w:val="20"/>
          <w:szCs w:val="20"/>
        </w:rPr>
        <w:t xml:space="preserve">(baseline, SD=13.1) to 57.7 (SD=6.8) at week 2. For those who received </w:t>
      </w:r>
      <w:r w:rsidR="006E1C0A">
        <w:rPr>
          <w:rFonts w:ascii="Times New Roman" w:hAnsi="Times New Roman" w:cs="Times New Roman"/>
          <w:sz w:val="20"/>
          <w:szCs w:val="20"/>
        </w:rPr>
        <w:t>STAC</w:t>
      </w:r>
      <w:r w:rsidRPr="004F4D66">
        <w:rPr>
          <w:rFonts w:ascii="Times New Roman" w:hAnsi="Times New Roman" w:cs="Times New Roman"/>
          <w:sz w:val="20"/>
          <w:szCs w:val="20"/>
        </w:rPr>
        <w:t xml:space="preserve"> (n=4) wellbeing scores remained relatively stable at 54.8 (baseline, SD=12.4) and 52.0 (week 2, SD=14.5). The opposite pattern was seen for those without manic symptoms. In the </w:t>
      </w:r>
      <w:r w:rsidR="006E1C0A">
        <w:rPr>
          <w:rFonts w:ascii="Times New Roman" w:hAnsi="Times New Roman" w:cs="Times New Roman"/>
          <w:sz w:val="20"/>
          <w:szCs w:val="20"/>
        </w:rPr>
        <w:t>STAC</w:t>
      </w:r>
      <w:r w:rsidRPr="004F4D66">
        <w:rPr>
          <w:rFonts w:ascii="Times New Roman" w:hAnsi="Times New Roman" w:cs="Times New Roman"/>
          <w:sz w:val="20"/>
          <w:szCs w:val="20"/>
        </w:rPr>
        <w:t xml:space="preserve"> group wellbeing scores increased from a baseline mean of 36.1 (SD=14.0) to 46.3 (SD=9.6) at week 2. However in the standard care alone group wellbeing scores remained more stable at 40.5 (baseline, SD=12.6) and 42.5 (week 2, SD=13.1). Acute manic symptoms may therefore be associated with elevated psychological wellbeing, which decreases in response to sleep treatment. For those without manic symptoms, wellbeing scores would be expected to increase in response to treatment. Acute manic symptoms did not affect the trajectory of change in insomnia symptoms, global distress, or suicidal ideation.</w:t>
      </w:r>
    </w:p>
    <w:p w:rsidR="00B60F6A" w:rsidRDefault="00B60F6A" w:rsidP="00B60F6A"/>
    <w:p w:rsidR="00B60F6A" w:rsidRDefault="00B60F6A" w:rsidP="00B60F6A"/>
    <w:p w:rsidR="00B60F6A" w:rsidRDefault="00B60F6A" w:rsidP="00B60F6A"/>
    <w:p w:rsidR="00B60F6A" w:rsidRDefault="00B60F6A" w:rsidP="00B60F6A"/>
    <w:p w:rsidR="00B60F6A" w:rsidRDefault="00B60F6A" w:rsidP="00B60F6A"/>
    <w:p w:rsidR="00351BB9" w:rsidRDefault="00351BB9" w:rsidP="00B60F6A"/>
    <w:p w:rsidR="00B60F6A" w:rsidRPr="00F30993" w:rsidRDefault="00B60F6A" w:rsidP="00B60F6A">
      <w:pPr>
        <w:rPr>
          <w:rFonts w:ascii="Times New Roman" w:hAnsi="Times New Roman" w:cs="Times New Roman"/>
          <w:b/>
          <w:sz w:val="20"/>
          <w:szCs w:val="20"/>
          <w:lang w:eastAsia="en-GB"/>
        </w:rPr>
      </w:pPr>
      <w:r>
        <w:rPr>
          <w:rFonts w:ascii="Times New Roman" w:hAnsi="Times New Roman" w:cs="Times New Roman"/>
          <w:b/>
          <w:sz w:val="20"/>
          <w:szCs w:val="20"/>
          <w:lang w:eastAsia="en-GB"/>
        </w:rPr>
        <w:lastRenderedPageBreak/>
        <w:t>Supplementary material 4</w:t>
      </w:r>
      <w:r w:rsidRPr="00F30993">
        <w:rPr>
          <w:rFonts w:ascii="Times New Roman" w:hAnsi="Times New Roman" w:cs="Times New Roman"/>
          <w:b/>
          <w:sz w:val="20"/>
          <w:szCs w:val="20"/>
          <w:lang w:eastAsia="en-GB"/>
        </w:rPr>
        <w:t>:</w:t>
      </w:r>
    </w:p>
    <w:p w:rsidR="00B60F6A" w:rsidRPr="00550EDD" w:rsidRDefault="00B60F6A" w:rsidP="00B60F6A">
      <w:pPr>
        <w:pStyle w:val="TOC1"/>
      </w:pPr>
      <w:r w:rsidRPr="00550EDD">
        <w:t xml:space="preserve">Table </w:t>
      </w:r>
      <w:r>
        <w:t>4</w:t>
      </w:r>
      <w:r w:rsidRPr="00550EDD">
        <w:t>.</w:t>
      </w:r>
      <w:r>
        <w:t xml:space="preserve"> </w:t>
      </w:r>
      <w:r w:rsidRPr="00550EDD">
        <w:t>Client satisfaction questionnaire (n=16)</w:t>
      </w:r>
    </w:p>
    <w:tbl>
      <w:tblPr>
        <w:tblStyle w:val="ListTable21"/>
        <w:tblW w:w="0" w:type="auto"/>
        <w:tblLook w:val="04A0" w:firstRow="1" w:lastRow="0" w:firstColumn="1" w:lastColumn="0" w:noHBand="0" w:noVBand="1"/>
      </w:tblPr>
      <w:tblGrid>
        <w:gridCol w:w="2747"/>
        <w:gridCol w:w="1370"/>
        <w:gridCol w:w="1339"/>
        <w:gridCol w:w="1280"/>
        <w:gridCol w:w="1193"/>
        <w:gridCol w:w="1313"/>
      </w:tblGrid>
      <w:tr w:rsidR="00B60F6A" w:rsidRPr="004F4D66" w:rsidTr="006A7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rPr>
                <w:rFonts w:ascii="Times New Roman" w:hAnsi="Times New Roman" w:cs="Times New Roman"/>
                <w:b w:val="0"/>
                <w:sz w:val="20"/>
                <w:szCs w:val="20"/>
              </w:rPr>
            </w:pPr>
            <w:r w:rsidRPr="004F4D66">
              <w:rPr>
                <w:rFonts w:ascii="Times New Roman" w:hAnsi="Times New Roman" w:cs="Times New Roman"/>
                <w:b w:val="0"/>
                <w:sz w:val="20"/>
                <w:szCs w:val="20"/>
              </w:rPr>
              <w:t>Questionnaire item</w:t>
            </w:r>
          </w:p>
        </w:tc>
        <w:tc>
          <w:tcPr>
            <w:tcW w:w="0" w:type="auto"/>
            <w:gridSpan w:val="5"/>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F4D66">
              <w:rPr>
                <w:rFonts w:ascii="Times New Roman" w:hAnsi="Times New Roman" w:cs="Times New Roman"/>
                <w:b w:val="0"/>
                <w:sz w:val="20"/>
                <w:szCs w:val="20"/>
              </w:rPr>
              <w:t>Scale rating</w:t>
            </w:r>
          </w:p>
        </w:tc>
      </w:tr>
      <w:tr w:rsidR="00B60F6A" w:rsidRPr="004F4D66" w:rsidTr="006A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rPr>
                <w:rFonts w:ascii="Times New Roman" w:hAnsi="Times New Roman" w:cs="Times New Roman"/>
                <w:sz w:val="20"/>
                <w:szCs w:val="20"/>
              </w:rPr>
            </w:pPr>
            <w:r w:rsidRPr="004F4D66">
              <w:rPr>
                <w:rFonts w:ascii="Times New Roman" w:hAnsi="Times New Roman" w:cs="Times New Roman"/>
                <w:sz w:val="20"/>
                <w:szCs w:val="20"/>
              </w:rPr>
              <w:t>How would you rate the quality of the therapy that you have received?</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Very poor</w:t>
            </w: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Poor</w:t>
            </w: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Fair</w:t>
            </w: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Good</w:t>
            </w: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4F4D66">
              <w:rPr>
                <w:rFonts w:ascii="Times New Roman" w:hAnsi="Times New Roman" w:cs="Times New Roman"/>
                <w:i/>
                <w:sz w:val="20"/>
                <w:szCs w:val="20"/>
              </w:rPr>
              <w:t>n = 6</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Excellent</w:t>
            </w: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4F4D66">
              <w:rPr>
                <w:rFonts w:ascii="Times New Roman" w:hAnsi="Times New Roman" w:cs="Times New Roman"/>
                <w:i/>
                <w:sz w:val="20"/>
                <w:szCs w:val="20"/>
              </w:rPr>
              <w:t>n = 10</w:t>
            </w:r>
          </w:p>
        </w:tc>
      </w:tr>
      <w:tr w:rsidR="00B60F6A" w:rsidRPr="004F4D66" w:rsidTr="006A71B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rPr>
                <w:rFonts w:ascii="Times New Roman" w:hAnsi="Times New Roman" w:cs="Times New Roman"/>
                <w:sz w:val="20"/>
                <w:szCs w:val="20"/>
              </w:rPr>
            </w:pPr>
            <w:r w:rsidRPr="004F4D66">
              <w:rPr>
                <w:rFonts w:ascii="Times New Roman" w:hAnsi="Times New Roman" w:cs="Times New Roman"/>
                <w:sz w:val="20"/>
                <w:szCs w:val="20"/>
              </w:rPr>
              <w:t>Did you get the kind of therapy that you wanted?</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 xml:space="preserve">No, definitely not </w:t>
            </w: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No, not really</w:t>
            </w:r>
          </w:p>
          <w:p w:rsidR="00B60F6A"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Somewhat</w:t>
            </w:r>
          </w:p>
          <w:p w:rsidR="00B60F6A"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4F4D66">
              <w:rPr>
                <w:rFonts w:ascii="Times New Roman" w:hAnsi="Times New Roman" w:cs="Times New Roman"/>
                <w:i/>
                <w:sz w:val="20"/>
                <w:szCs w:val="20"/>
              </w:rPr>
              <w:t>n = 1</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Yes, generally</w:t>
            </w: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4F4D66">
              <w:rPr>
                <w:rFonts w:ascii="Times New Roman" w:hAnsi="Times New Roman" w:cs="Times New Roman"/>
                <w:i/>
                <w:sz w:val="20"/>
                <w:szCs w:val="20"/>
              </w:rPr>
              <w:t>n = 5</w:t>
            </w:r>
          </w:p>
        </w:tc>
        <w:tc>
          <w:tcPr>
            <w:tcW w:w="0" w:type="auto"/>
            <w:tcBorders>
              <w:top w:val="single" w:sz="4" w:space="0" w:color="666666" w:themeColor="text1" w:themeTint="99"/>
              <w:left w:val="nil"/>
              <w:bottom w:val="single" w:sz="4" w:space="0" w:color="666666" w:themeColor="text1" w:themeTint="99"/>
              <w:right w:val="nil"/>
            </w:tcBorders>
          </w:tcPr>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Yes, definitely</w:t>
            </w:r>
          </w:p>
          <w:p w:rsidR="00B60F6A"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10</w:t>
            </w:r>
          </w:p>
        </w:tc>
      </w:tr>
      <w:tr w:rsidR="00B60F6A" w:rsidRPr="004F4D66" w:rsidTr="006A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rPr>
                <w:rFonts w:ascii="Times New Roman" w:hAnsi="Times New Roman" w:cs="Times New Roman"/>
                <w:sz w:val="20"/>
                <w:szCs w:val="20"/>
              </w:rPr>
            </w:pPr>
            <w:r w:rsidRPr="004F4D66">
              <w:rPr>
                <w:rFonts w:ascii="Times New Roman" w:hAnsi="Times New Roman" w:cs="Times New Roman"/>
                <w:sz w:val="20"/>
                <w:szCs w:val="20"/>
              </w:rPr>
              <w:t>If a friend were in need of similar help, would you recommend the programme?</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 xml:space="preserve">No, definitely not </w:t>
            </w: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 xml:space="preserve">No, probably not </w:t>
            </w: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Unsure</w:t>
            </w:r>
          </w:p>
          <w:p w:rsidR="00B60F6A"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Yes, probably</w:t>
            </w: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4F4D66">
              <w:rPr>
                <w:rFonts w:ascii="Times New Roman" w:hAnsi="Times New Roman" w:cs="Times New Roman"/>
                <w:i/>
                <w:sz w:val="20"/>
                <w:szCs w:val="20"/>
              </w:rPr>
              <w:t>n = 3</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Yes, definitely</w:t>
            </w:r>
          </w:p>
          <w:p w:rsidR="00B60F6A"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4F4D66">
              <w:rPr>
                <w:rFonts w:ascii="Times New Roman" w:hAnsi="Times New Roman" w:cs="Times New Roman"/>
                <w:i/>
                <w:sz w:val="20"/>
                <w:szCs w:val="20"/>
              </w:rPr>
              <w:t>n = 13</w:t>
            </w:r>
          </w:p>
        </w:tc>
      </w:tr>
      <w:tr w:rsidR="00B60F6A" w:rsidRPr="004F4D66" w:rsidTr="006A71B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rPr>
                <w:rFonts w:ascii="Times New Roman" w:hAnsi="Times New Roman" w:cs="Times New Roman"/>
                <w:sz w:val="20"/>
                <w:szCs w:val="20"/>
              </w:rPr>
            </w:pPr>
            <w:r w:rsidRPr="004F4D66">
              <w:rPr>
                <w:rFonts w:ascii="Times New Roman" w:hAnsi="Times New Roman" w:cs="Times New Roman"/>
                <w:sz w:val="20"/>
                <w:szCs w:val="20"/>
              </w:rPr>
              <w:t>How satisfied are you with the amount of therapy that you have received?</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Quite dissatisfied</w:t>
            </w: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Mildly dissatisfied</w:t>
            </w: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 xml:space="preserve">Somewhat satisfied </w:t>
            </w: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1</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 xml:space="preserve">Mostly satisfied </w:t>
            </w:r>
            <w:r w:rsidRPr="004F4D66">
              <w:rPr>
                <w:rFonts w:ascii="Times New Roman" w:hAnsi="Times New Roman" w:cs="Times New Roman"/>
                <w:i/>
                <w:sz w:val="20"/>
                <w:szCs w:val="20"/>
              </w:rPr>
              <w:t>n = 7</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Very satisfied</w:t>
            </w:r>
          </w:p>
          <w:p w:rsidR="00B60F6A"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4F4D66">
              <w:rPr>
                <w:rFonts w:ascii="Times New Roman" w:hAnsi="Times New Roman" w:cs="Times New Roman"/>
                <w:i/>
                <w:sz w:val="20"/>
                <w:szCs w:val="20"/>
              </w:rPr>
              <w:t>n = 8</w:t>
            </w:r>
          </w:p>
        </w:tc>
      </w:tr>
      <w:tr w:rsidR="00B60F6A" w:rsidRPr="004F4D66" w:rsidTr="006A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rPr>
                <w:rFonts w:ascii="Times New Roman" w:hAnsi="Times New Roman" w:cs="Times New Roman"/>
                <w:sz w:val="20"/>
                <w:szCs w:val="20"/>
              </w:rPr>
            </w:pPr>
            <w:r w:rsidRPr="004F4D66">
              <w:rPr>
                <w:rFonts w:ascii="Times New Roman" w:hAnsi="Times New Roman" w:cs="Times New Roman"/>
                <w:sz w:val="20"/>
                <w:szCs w:val="20"/>
              </w:rPr>
              <w:t>Has the therapy helped you to deal more effectively with your problems?</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No, it hasn’t helped at all</w:t>
            </w:r>
          </w:p>
          <w:p w:rsidR="00B60F6A"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No, it didn’t really help</w:t>
            </w:r>
          </w:p>
          <w:p w:rsidR="00B60F6A"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Unsure if it has helped</w:t>
            </w:r>
          </w:p>
          <w:p w:rsidR="00B60F6A"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1</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Yes, it has helped</w:t>
            </w:r>
          </w:p>
          <w:p w:rsidR="00B60F6A"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6</w:t>
            </w:r>
          </w:p>
        </w:tc>
        <w:tc>
          <w:tcPr>
            <w:tcW w:w="0" w:type="auto"/>
            <w:tcBorders>
              <w:top w:val="single" w:sz="4" w:space="0" w:color="666666" w:themeColor="text1" w:themeTint="99"/>
              <w:left w:val="nil"/>
              <w:bottom w:val="single" w:sz="4" w:space="0" w:color="666666" w:themeColor="text1" w:themeTint="99"/>
              <w:right w:val="nil"/>
            </w:tcBorders>
          </w:tcPr>
          <w:p w:rsidR="00B60F6A"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 xml:space="preserve">Yes, it’s helped a great deal </w:t>
            </w: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9</w:t>
            </w:r>
          </w:p>
        </w:tc>
      </w:tr>
      <w:tr w:rsidR="00B60F6A" w:rsidRPr="004F4D66" w:rsidTr="006A71B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rPr>
                <w:rFonts w:ascii="Times New Roman" w:hAnsi="Times New Roman" w:cs="Times New Roman"/>
                <w:sz w:val="20"/>
                <w:szCs w:val="20"/>
              </w:rPr>
            </w:pPr>
            <w:r w:rsidRPr="004F4D66">
              <w:rPr>
                <w:rFonts w:ascii="Times New Roman" w:hAnsi="Times New Roman" w:cs="Times New Roman"/>
                <w:sz w:val="20"/>
                <w:szCs w:val="20"/>
              </w:rPr>
              <w:t>In an overall, general sense, how satisfied are you with the therapy you have received?</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Quite dissatisfied</w:t>
            </w: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Mildly dissatisfied</w:t>
            </w: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Somewhat satisfied</w:t>
            </w: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Mostly satisfied</w:t>
            </w: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7</w:t>
            </w:r>
          </w:p>
        </w:tc>
        <w:tc>
          <w:tcPr>
            <w:tcW w:w="0" w:type="auto"/>
            <w:tcBorders>
              <w:top w:val="single" w:sz="4" w:space="0" w:color="666666" w:themeColor="text1" w:themeTint="99"/>
              <w:left w:val="nil"/>
              <w:bottom w:val="single" w:sz="4" w:space="0" w:color="666666" w:themeColor="text1" w:themeTint="99"/>
              <w:right w:val="nil"/>
            </w:tcBorders>
            <w:hideMark/>
          </w:tcPr>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Very satisfied</w:t>
            </w:r>
          </w:p>
          <w:p w:rsidR="00B60F6A" w:rsidRPr="004F4D66" w:rsidRDefault="00B60F6A" w:rsidP="00B60F6A">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9</w:t>
            </w:r>
          </w:p>
        </w:tc>
      </w:tr>
      <w:tr w:rsidR="00B60F6A" w:rsidRPr="004F4D66" w:rsidTr="006A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666666" w:themeColor="text1" w:themeTint="99"/>
              <w:left w:val="nil"/>
              <w:bottom w:val="single" w:sz="4" w:space="0" w:color="666666" w:themeColor="text1" w:themeTint="99"/>
              <w:right w:val="nil"/>
            </w:tcBorders>
          </w:tcPr>
          <w:p w:rsidR="00B60F6A" w:rsidRPr="004F4D66" w:rsidRDefault="00B60F6A" w:rsidP="00B60F6A">
            <w:pPr>
              <w:autoSpaceDE w:val="0"/>
              <w:autoSpaceDN w:val="0"/>
              <w:adjustRightInd w:val="0"/>
              <w:spacing w:after="0" w:line="240" w:lineRule="auto"/>
              <w:rPr>
                <w:rFonts w:ascii="Times New Roman" w:hAnsi="Times New Roman" w:cs="Times New Roman"/>
                <w:sz w:val="20"/>
                <w:szCs w:val="20"/>
              </w:rPr>
            </w:pPr>
            <w:r w:rsidRPr="004F4D66">
              <w:rPr>
                <w:rFonts w:ascii="Times New Roman" w:hAnsi="Times New Roman" w:cs="Times New Roman"/>
                <w:sz w:val="20"/>
                <w:szCs w:val="20"/>
              </w:rPr>
              <w:t>If you were to seek help again, would you come back to our programme?</w:t>
            </w:r>
          </w:p>
        </w:tc>
        <w:tc>
          <w:tcPr>
            <w:tcW w:w="0" w:type="auto"/>
            <w:tcBorders>
              <w:top w:val="single" w:sz="4" w:space="0" w:color="666666" w:themeColor="text1" w:themeTint="99"/>
              <w:left w:val="nil"/>
              <w:bottom w:val="single" w:sz="4" w:space="0" w:color="666666" w:themeColor="text1" w:themeTint="99"/>
              <w:right w:val="nil"/>
            </w:tcBorders>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No, definitely not</w:t>
            </w: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No, I don’t think so</w:t>
            </w: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Unsure</w:t>
            </w:r>
          </w:p>
          <w:p w:rsidR="00B60F6A"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0</w:t>
            </w:r>
          </w:p>
        </w:tc>
        <w:tc>
          <w:tcPr>
            <w:tcW w:w="0" w:type="auto"/>
            <w:tcBorders>
              <w:top w:val="single" w:sz="4" w:space="0" w:color="666666" w:themeColor="text1" w:themeTint="99"/>
              <w:left w:val="nil"/>
              <w:bottom w:val="single" w:sz="4" w:space="0" w:color="666666" w:themeColor="text1" w:themeTint="99"/>
              <w:right w:val="nil"/>
            </w:tcBorders>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Yes, I think so</w:t>
            </w: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4</w:t>
            </w:r>
          </w:p>
        </w:tc>
        <w:tc>
          <w:tcPr>
            <w:tcW w:w="0" w:type="auto"/>
            <w:tcBorders>
              <w:top w:val="single" w:sz="4" w:space="0" w:color="666666" w:themeColor="text1" w:themeTint="99"/>
              <w:left w:val="nil"/>
              <w:bottom w:val="single" w:sz="4" w:space="0" w:color="666666" w:themeColor="text1" w:themeTint="99"/>
              <w:right w:val="nil"/>
            </w:tcBorders>
          </w:tcPr>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sz w:val="20"/>
                <w:szCs w:val="20"/>
              </w:rPr>
              <w:t>Yes, definitely</w:t>
            </w:r>
          </w:p>
          <w:p w:rsidR="00B60F6A" w:rsidRPr="004F4D66" w:rsidRDefault="00B60F6A" w:rsidP="00B60F6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D66">
              <w:rPr>
                <w:rFonts w:ascii="Times New Roman" w:hAnsi="Times New Roman" w:cs="Times New Roman"/>
                <w:i/>
                <w:sz w:val="20"/>
                <w:szCs w:val="20"/>
              </w:rPr>
              <w:t>n = 11</w:t>
            </w:r>
          </w:p>
        </w:tc>
      </w:tr>
    </w:tbl>
    <w:p w:rsidR="00B60F6A" w:rsidRDefault="00B60F6A" w:rsidP="00B60F6A">
      <w:pPr>
        <w:pStyle w:val="Caption"/>
        <w:spacing w:after="0"/>
        <w:rPr>
          <w:rFonts w:ascii="Times New Roman" w:hAnsi="Times New Roman" w:cs="Times New Roman"/>
          <w:sz w:val="20"/>
          <w:szCs w:val="20"/>
        </w:rPr>
      </w:pPr>
    </w:p>
    <w:p w:rsidR="00B60F6A" w:rsidRDefault="00B60F6A" w:rsidP="00B60F6A">
      <w:pPr>
        <w:spacing w:after="0" w:line="240" w:lineRule="auto"/>
        <w:rPr>
          <w:rFonts w:ascii="Times New Roman" w:hAnsi="Times New Roman" w:cs="Times New Roman"/>
          <w:b/>
          <w:sz w:val="20"/>
          <w:szCs w:val="20"/>
          <w:lang w:eastAsia="en-GB"/>
        </w:rPr>
      </w:pPr>
      <w:r>
        <w:rPr>
          <w:rFonts w:ascii="Times New Roman" w:hAnsi="Times New Roman" w:cs="Times New Roman"/>
          <w:b/>
          <w:sz w:val="20"/>
          <w:szCs w:val="20"/>
          <w:lang w:eastAsia="en-GB"/>
        </w:rPr>
        <w:t>Supplementary material 5</w:t>
      </w:r>
      <w:r w:rsidRPr="00F30993">
        <w:rPr>
          <w:rFonts w:ascii="Times New Roman" w:hAnsi="Times New Roman" w:cs="Times New Roman"/>
          <w:b/>
          <w:sz w:val="20"/>
          <w:szCs w:val="20"/>
          <w:lang w:eastAsia="en-GB"/>
        </w:rPr>
        <w:t>:</w:t>
      </w:r>
    </w:p>
    <w:p w:rsidR="00B60F6A" w:rsidRPr="00F30993" w:rsidRDefault="00B60F6A" w:rsidP="00B60F6A">
      <w:pPr>
        <w:spacing w:after="0" w:line="240" w:lineRule="auto"/>
        <w:rPr>
          <w:rFonts w:ascii="Times New Roman" w:hAnsi="Times New Roman" w:cs="Times New Roman"/>
          <w:b/>
          <w:sz w:val="20"/>
          <w:szCs w:val="20"/>
          <w:lang w:eastAsia="en-GB"/>
        </w:rPr>
      </w:pPr>
    </w:p>
    <w:p w:rsidR="00B60F6A" w:rsidRPr="00A45529" w:rsidRDefault="00B60F6A" w:rsidP="00B60F6A">
      <w:pPr>
        <w:pStyle w:val="TOC1"/>
        <w:spacing w:line="240" w:lineRule="auto"/>
      </w:pPr>
      <w:r>
        <w:t>Table 5</w:t>
      </w:r>
      <w:r w:rsidRPr="00A45529">
        <w:t>. Scores for Tertiary efficacy outcome measures</w:t>
      </w:r>
    </w:p>
    <w:tbl>
      <w:tblPr>
        <w:tblStyle w:val="TableGrid"/>
        <w:tblW w:w="91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1391"/>
        <w:gridCol w:w="1019"/>
        <w:gridCol w:w="1559"/>
        <w:gridCol w:w="1701"/>
        <w:gridCol w:w="1526"/>
        <w:gridCol w:w="1275"/>
      </w:tblGrid>
      <w:tr w:rsidR="00B60F6A" w:rsidRPr="003D4020" w:rsidTr="00447CC4">
        <w:tc>
          <w:tcPr>
            <w:tcW w:w="2100" w:type="dxa"/>
            <w:gridSpan w:val="2"/>
          </w:tcPr>
          <w:p w:rsidR="00B60F6A" w:rsidRPr="003D4020" w:rsidRDefault="00B60F6A" w:rsidP="00B60F6A">
            <w:pPr>
              <w:spacing w:after="0" w:line="240" w:lineRule="auto"/>
              <w:rPr>
                <w:rFonts w:ascii="Garamond" w:hAnsi="Garamond"/>
                <w:b/>
                <w:sz w:val="20"/>
                <w:szCs w:val="20"/>
              </w:rPr>
            </w:pPr>
          </w:p>
        </w:tc>
        <w:tc>
          <w:tcPr>
            <w:tcW w:w="1019" w:type="dxa"/>
          </w:tcPr>
          <w:p w:rsidR="00B60F6A" w:rsidRPr="003D4020" w:rsidRDefault="00B60F6A" w:rsidP="00B60F6A">
            <w:pPr>
              <w:spacing w:after="0" w:line="240" w:lineRule="auto"/>
              <w:jc w:val="center"/>
              <w:rPr>
                <w:rFonts w:ascii="Garamond" w:hAnsi="Garamond"/>
                <w:b/>
                <w:sz w:val="20"/>
                <w:szCs w:val="20"/>
              </w:rPr>
            </w:pPr>
          </w:p>
        </w:tc>
        <w:tc>
          <w:tcPr>
            <w:tcW w:w="1559" w:type="dxa"/>
          </w:tcPr>
          <w:p w:rsidR="00B60F6A" w:rsidRPr="003D4020" w:rsidRDefault="006E1C0A" w:rsidP="00447CC4">
            <w:pPr>
              <w:spacing w:after="0" w:line="240" w:lineRule="auto"/>
              <w:jc w:val="center"/>
              <w:rPr>
                <w:rFonts w:ascii="Garamond" w:hAnsi="Garamond"/>
                <w:b/>
                <w:sz w:val="20"/>
                <w:szCs w:val="20"/>
              </w:rPr>
            </w:pPr>
            <w:r>
              <w:rPr>
                <w:rFonts w:ascii="Garamond" w:hAnsi="Garamond"/>
                <w:b/>
                <w:sz w:val="20"/>
                <w:szCs w:val="20"/>
              </w:rPr>
              <w:t>S</w:t>
            </w:r>
            <w:r w:rsidR="00351BB9">
              <w:rPr>
                <w:rFonts w:ascii="Garamond" w:hAnsi="Garamond"/>
                <w:b/>
                <w:sz w:val="20"/>
                <w:szCs w:val="20"/>
              </w:rPr>
              <w:t>leep treatment at acute crisis</w:t>
            </w:r>
          </w:p>
          <w:p w:rsidR="00B60F6A" w:rsidRPr="003D4020" w:rsidRDefault="00B60F6A" w:rsidP="00447CC4">
            <w:pPr>
              <w:spacing w:after="0" w:line="240" w:lineRule="auto"/>
              <w:jc w:val="center"/>
              <w:rPr>
                <w:rFonts w:ascii="Garamond" w:hAnsi="Garamond"/>
                <w:b/>
                <w:sz w:val="20"/>
                <w:szCs w:val="20"/>
              </w:rPr>
            </w:pPr>
            <w:r w:rsidRPr="003D4020">
              <w:rPr>
                <w:rFonts w:ascii="Garamond" w:hAnsi="Garamond"/>
                <w:b/>
                <w:sz w:val="20"/>
                <w:szCs w:val="20"/>
              </w:rPr>
              <w:t>(n=20)</w:t>
            </w:r>
          </w:p>
        </w:tc>
        <w:tc>
          <w:tcPr>
            <w:tcW w:w="1701" w:type="dxa"/>
          </w:tcPr>
          <w:p w:rsidR="00B60F6A" w:rsidRPr="003D4020" w:rsidRDefault="00B60F6A" w:rsidP="00447CC4">
            <w:pPr>
              <w:spacing w:after="0" w:line="240" w:lineRule="auto"/>
              <w:jc w:val="center"/>
              <w:rPr>
                <w:rFonts w:ascii="Garamond" w:hAnsi="Garamond"/>
                <w:b/>
                <w:sz w:val="20"/>
                <w:szCs w:val="20"/>
              </w:rPr>
            </w:pPr>
            <w:r w:rsidRPr="003D4020">
              <w:rPr>
                <w:rFonts w:ascii="Garamond" w:hAnsi="Garamond"/>
                <w:b/>
                <w:sz w:val="20"/>
                <w:szCs w:val="20"/>
              </w:rPr>
              <w:t>Standard care (n=20)</w:t>
            </w:r>
          </w:p>
        </w:tc>
        <w:tc>
          <w:tcPr>
            <w:tcW w:w="1526" w:type="dxa"/>
          </w:tcPr>
          <w:p w:rsidR="00B60F6A" w:rsidRPr="003D4020" w:rsidRDefault="00B60F6A" w:rsidP="00B60F6A">
            <w:pPr>
              <w:spacing w:after="0" w:line="240" w:lineRule="auto"/>
              <w:jc w:val="center"/>
              <w:rPr>
                <w:rFonts w:ascii="Garamond" w:hAnsi="Garamond"/>
                <w:b/>
                <w:sz w:val="20"/>
                <w:szCs w:val="20"/>
              </w:rPr>
            </w:pPr>
            <w:r w:rsidRPr="003D4020">
              <w:rPr>
                <w:rFonts w:ascii="Garamond" w:hAnsi="Garamond"/>
                <w:b/>
                <w:sz w:val="20"/>
                <w:szCs w:val="20"/>
              </w:rPr>
              <w:t>Adjusted mean difference</w:t>
            </w:r>
            <w:r w:rsidR="00351BB9">
              <w:rPr>
                <w:rFonts w:ascii="Garamond" w:hAnsi="Garamond"/>
                <w:b/>
                <w:sz w:val="20"/>
                <w:szCs w:val="20"/>
              </w:rPr>
              <w:t xml:space="preserve"> between groups</w:t>
            </w:r>
            <w:r w:rsidRPr="003D4020">
              <w:rPr>
                <w:rFonts w:ascii="Garamond" w:hAnsi="Garamond"/>
                <w:b/>
                <w:sz w:val="20"/>
                <w:szCs w:val="20"/>
              </w:rPr>
              <w:t xml:space="preserve"> (95% CI)</w:t>
            </w:r>
          </w:p>
        </w:tc>
        <w:tc>
          <w:tcPr>
            <w:tcW w:w="1275" w:type="dxa"/>
          </w:tcPr>
          <w:p w:rsidR="00B60F6A" w:rsidRPr="003D4020" w:rsidRDefault="00351BB9" w:rsidP="00447CC4">
            <w:pPr>
              <w:spacing w:after="0" w:line="240" w:lineRule="auto"/>
              <w:jc w:val="center"/>
              <w:rPr>
                <w:rFonts w:ascii="Garamond" w:hAnsi="Garamond"/>
                <w:b/>
                <w:sz w:val="20"/>
                <w:szCs w:val="20"/>
              </w:rPr>
            </w:pPr>
            <w:r>
              <w:rPr>
                <w:rFonts w:ascii="Garamond" w:hAnsi="Garamond"/>
                <w:b/>
                <w:sz w:val="20"/>
                <w:szCs w:val="20"/>
              </w:rPr>
              <w:t>Standardised between group e</w:t>
            </w:r>
            <w:r w:rsidR="00B60F6A" w:rsidRPr="003D4020">
              <w:rPr>
                <w:rFonts w:ascii="Garamond" w:hAnsi="Garamond"/>
                <w:b/>
                <w:sz w:val="20"/>
                <w:szCs w:val="20"/>
              </w:rPr>
              <w:t>ffect size (d)</w:t>
            </w:r>
          </w:p>
        </w:tc>
      </w:tr>
      <w:tr w:rsidR="00B60F6A" w:rsidRPr="003D4020" w:rsidTr="00447CC4">
        <w:tc>
          <w:tcPr>
            <w:tcW w:w="4678" w:type="dxa"/>
            <w:gridSpan w:val="4"/>
            <w:tcBorders>
              <w:top w:val="single" w:sz="4" w:space="0" w:color="auto"/>
              <w:bottom w:val="nil"/>
            </w:tcBorders>
          </w:tcPr>
          <w:p w:rsidR="00B60F6A" w:rsidRPr="003D4020" w:rsidRDefault="00B60F6A" w:rsidP="00B60F6A">
            <w:pPr>
              <w:spacing w:after="0" w:line="240" w:lineRule="auto"/>
              <w:rPr>
                <w:rFonts w:ascii="Garamond" w:hAnsi="Garamond"/>
                <w:sz w:val="20"/>
                <w:szCs w:val="20"/>
              </w:rPr>
            </w:pPr>
            <w:r w:rsidRPr="003D4020">
              <w:rPr>
                <w:rFonts w:ascii="Garamond" w:hAnsi="Garamond"/>
                <w:sz w:val="20"/>
                <w:szCs w:val="20"/>
              </w:rPr>
              <w:t>Health related quality of life (EQ-5D)</w:t>
            </w:r>
          </w:p>
        </w:tc>
        <w:tc>
          <w:tcPr>
            <w:tcW w:w="1701" w:type="dxa"/>
            <w:tcBorders>
              <w:top w:val="single" w:sz="4" w:space="0" w:color="auto"/>
              <w:bottom w:val="nil"/>
            </w:tcBorders>
          </w:tcPr>
          <w:p w:rsidR="00B60F6A" w:rsidRPr="003D4020" w:rsidRDefault="00B60F6A" w:rsidP="00B60F6A">
            <w:pPr>
              <w:spacing w:after="0" w:line="240" w:lineRule="auto"/>
              <w:rPr>
                <w:rFonts w:ascii="Garamond" w:hAnsi="Garamond"/>
                <w:sz w:val="20"/>
                <w:szCs w:val="20"/>
              </w:rPr>
            </w:pPr>
          </w:p>
        </w:tc>
        <w:tc>
          <w:tcPr>
            <w:tcW w:w="1526" w:type="dxa"/>
            <w:tcBorders>
              <w:top w:val="single" w:sz="4" w:space="0" w:color="auto"/>
              <w:bottom w:val="nil"/>
            </w:tcBorders>
          </w:tcPr>
          <w:p w:rsidR="00B60F6A" w:rsidRPr="003D4020" w:rsidRDefault="00B60F6A" w:rsidP="00B60F6A">
            <w:pPr>
              <w:spacing w:after="0" w:line="240" w:lineRule="auto"/>
              <w:rPr>
                <w:rFonts w:ascii="Garamond" w:hAnsi="Garamond"/>
                <w:sz w:val="20"/>
                <w:szCs w:val="20"/>
              </w:rPr>
            </w:pPr>
          </w:p>
        </w:tc>
        <w:tc>
          <w:tcPr>
            <w:tcW w:w="1275" w:type="dxa"/>
            <w:tcBorders>
              <w:top w:val="single" w:sz="4" w:space="0" w:color="auto"/>
              <w:bottom w:val="nil"/>
            </w:tcBorders>
          </w:tcPr>
          <w:p w:rsidR="00B60F6A" w:rsidRPr="003D4020" w:rsidRDefault="00B60F6A" w:rsidP="00B60F6A">
            <w:pPr>
              <w:spacing w:after="0" w:line="240" w:lineRule="auto"/>
              <w:rPr>
                <w:rFonts w:ascii="Garamond" w:hAnsi="Garamond"/>
                <w:sz w:val="20"/>
                <w:szCs w:val="20"/>
              </w:rPr>
            </w:pPr>
          </w:p>
        </w:tc>
      </w:tr>
      <w:tr w:rsidR="00B60F6A" w:rsidRPr="003D4020" w:rsidTr="00447CC4">
        <w:tc>
          <w:tcPr>
            <w:tcW w:w="709" w:type="dxa"/>
            <w:tcBorders>
              <w:top w:val="nil"/>
              <w:bottom w:val="nil"/>
            </w:tcBorders>
          </w:tcPr>
          <w:p w:rsidR="00B60F6A" w:rsidRPr="003D4020" w:rsidRDefault="00B60F6A" w:rsidP="00B60F6A">
            <w:pPr>
              <w:spacing w:after="0" w:line="240" w:lineRule="auto"/>
              <w:rPr>
                <w:rFonts w:ascii="Garamond" w:hAnsi="Garamond"/>
                <w:b/>
                <w:sz w:val="20"/>
                <w:szCs w:val="20"/>
              </w:rPr>
            </w:pPr>
          </w:p>
        </w:tc>
        <w:tc>
          <w:tcPr>
            <w:tcW w:w="2410" w:type="dxa"/>
            <w:gridSpan w:val="2"/>
            <w:tcBorders>
              <w:top w:val="nil"/>
              <w:bottom w:val="nil"/>
            </w:tcBorders>
          </w:tcPr>
          <w:p w:rsidR="00B60F6A" w:rsidRPr="003D4020" w:rsidRDefault="00B60F6A" w:rsidP="00B60F6A">
            <w:pPr>
              <w:spacing w:after="0" w:line="240" w:lineRule="auto"/>
              <w:rPr>
                <w:rFonts w:ascii="Garamond" w:hAnsi="Garamond"/>
                <w:sz w:val="20"/>
                <w:szCs w:val="20"/>
              </w:rPr>
            </w:pPr>
            <w:r w:rsidRPr="003D4020">
              <w:rPr>
                <w:rFonts w:ascii="Garamond" w:hAnsi="Garamond"/>
                <w:sz w:val="20"/>
                <w:szCs w:val="20"/>
              </w:rPr>
              <w:t>Week 0</w:t>
            </w:r>
          </w:p>
        </w:tc>
        <w:tc>
          <w:tcPr>
            <w:tcW w:w="1559" w:type="dxa"/>
            <w:tcBorders>
              <w:top w:val="nil"/>
              <w:bottom w:val="nil"/>
            </w:tcBorders>
          </w:tcPr>
          <w:p w:rsidR="00B60F6A" w:rsidRPr="003D4020" w:rsidRDefault="00B60F6A" w:rsidP="00B60F6A">
            <w:pPr>
              <w:spacing w:after="0" w:line="240" w:lineRule="auto"/>
              <w:rPr>
                <w:rFonts w:ascii="Garamond" w:hAnsi="Garamond"/>
                <w:sz w:val="20"/>
                <w:szCs w:val="20"/>
              </w:rPr>
            </w:pPr>
            <w:r w:rsidRPr="003D4020">
              <w:rPr>
                <w:rFonts w:ascii="Garamond" w:hAnsi="Garamond"/>
                <w:sz w:val="20"/>
                <w:szCs w:val="20"/>
              </w:rPr>
              <w:t>4.4 (2.9)</w:t>
            </w:r>
          </w:p>
        </w:tc>
        <w:tc>
          <w:tcPr>
            <w:tcW w:w="1701" w:type="dxa"/>
            <w:tcBorders>
              <w:top w:val="nil"/>
              <w:bottom w:val="nil"/>
            </w:tcBorders>
          </w:tcPr>
          <w:p w:rsidR="00B60F6A" w:rsidRPr="003D4020" w:rsidRDefault="00B60F6A" w:rsidP="00B60F6A">
            <w:pPr>
              <w:spacing w:after="0" w:line="240" w:lineRule="auto"/>
              <w:rPr>
                <w:rFonts w:ascii="Garamond" w:hAnsi="Garamond"/>
                <w:sz w:val="20"/>
                <w:szCs w:val="20"/>
              </w:rPr>
            </w:pPr>
            <w:r w:rsidRPr="003D4020">
              <w:rPr>
                <w:rFonts w:ascii="Garamond" w:hAnsi="Garamond"/>
                <w:sz w:val="20"/>
                <w:szCs w:val="20"/>
              </w:rPr>
              <w:t>3.8 (3.3)</w:t>
            </w:r>
          </w:p>
        </w:tc>
        <w:tc>
          <w:tcPr>
            <w:tcW w:w="1526" w:type="dxa"/>
            <w:tcBorders>
              <w:top w:val="nil"/>
              <w:bottom w:val="nil"/>
            </w:tcBorders>
          </w:tcPr>
          <w:p w:rsidR="00B60F6A" w:rsidRPr="003D4020" w:rsidRDefault="00B60F6A" w:rsidP="00B60F6A">
            <w:pPr>
              <w:spacing w:after="0" w:line="240" w:lineRule="auto"/>
              <w:rPr>
                <w:rFonts w:ascii="Garamond" w:hAnsi="Garamond"/>
                <w:sz w:val="20"/>
                <w:szCs w:val="20"/>
              </w:rPr>
            </w:pPr>
          </w:p>
        </w:tc>
        <w:tc>
          <w:tcPr>
            <w:tcW w:w="1275" w:type="dxa"/>
            <w:tcBorders>
              <w:top w:val="nil"/>
              <w:bottom w:val="nil"/>
            </w:tcBorders>
          </w:tcPr>
          <w:p w:rsidR="00B60F6A" w:rsidRPr="003D4020" w:rsidRDefault="00B60F6A" w:rsidP="00B60F6A">
            <w:pPr>
              <w:spacing w:after="0" w:line="240" w:lineRule="auto"/>
              <w:rPr>
                <w:rFonts w:ascii="Garamond" w:hAnsi="Garamond"/>
                <w:sz w:val="20"/>
                <w:szCs w:val="20"/>
              </w:rPr>
            </w:pPr>
          </w:p>
        </w:tc>
      </w:tr>
      <w:tr w:rsidR="00B60F6A" w:rsidRPr="003D4020" w:rsidTr="00447CC4">
        <w:tc>
          <w:tcPr>
            <w:tcW w:w="709" w:type="dxa"/>
            <w:tcBorders>
              <w:top w:val="nil"/>
              <w:bottom w:val="nil"/>
            </w:tcBorders>
          </w:tcPr>
          <w:p w:rsidR="00B60F6A" w:rsidRPr="003D4020" w:rsidRDefault="00B60F6A" w:rsidP="00B60F6A">
            <w:pPr>
              <w:spacing w:after="0" w:line="240" w:lineRule="auto"/>
              <w:rPr>
                <w:rFonts w:ascii="Garamond" w:hAnsi="Garamond"/>
                <w:b/>
                <w:sz w:val="20"/>
                <w:szCs w:val="20"/>
              </w:rPr>
            </w:pPr>
          </w:p>
        </w:tc>
        <w:tc>
          <w:tcPr>
            <w:tcW w:w="2410" w:type="dxa"/>
            <w:gridSpan w:val="2"/>
            <w:tcBorders>
              <w:top w:val="nil"/>
              <w:bottom w:val="nil"/>
            </w:tcBorders>
          </w:tcPr>
          <w:p w:rsidR="00B60F6A" w:rsidRPr="003D4020" w:rsidRDefault="00B60F6A" w:rsidP="00B60F6A">
            <w:pPr>
              <w:spacing w:after="0" w:line="240" w:lineRule="auto"/>
              <w:rPr>
                <w:rFonts w:ascii="Garamond" w:hAnsi="Garamond"/>
                <w:sz w:val="20"/>
                <w:szCs w:val="20"/>
              </w:rPr>
            </w:pPr>
            <w:r w:rsidRPr="003D4020">
              <w:rPr>
                <w:rFonts w:ascii="Garamond" w:hAnsi="Garamond"/>
                <w:sz w:val="20"/>
                <w:szCs w:val="20"/>
              </w:rPr>
              <w:t>Week 2</w:t>
            </w:r>
          </w:p>
        </w:tc>
        <w:tc>
          <w:tcPr>
            <w:tcW w:w="1559" w:type="dxa"/>
            <w:tcBorders>
              <w:top w:val="nil"/>
              <w:bottom w:val="nil"/>
            </w:tcBorders>
          </w:tcPr>
          <w:p w:rsidR="00B60F6A" w:rsidRPr="003D4020" w:rsidRDefault="00B60F6A" w:rsidP="00B60F6A">
            <w:pPr>
              <w:spacing w:after="0" w:line="240" w:lineRule="auto"/>
              <w:rPr>
                <w:rFonts w:ascii="Garamond" w:hAnsi="Garamond"/>
                <w:sz w:val="20"/>
                <w:szCs w:val="20"/>
              </w:rPr>
            </w:pPr>
            <w:r w:rsidRPr="003D4020">
              <w:rPr>
                <w:rFonts w:ascii="Garamond" w:hAnsi="Garamond"/>
                <w:sz w:val="20"/>
                <w:szCs w:val="20"/>
              </w:rPr>
              <w:t>2.3 (2.7)</w:t>
            </w:r>
          </w:p>
        </w:tc>
        <w:tc>
          <w:tcPr>
            <w:tcW w:w="1701" w:type="dxa"/>
            <w:tcBorders>
              <w:top w:val="nil"/>
              <w:bottom w:val="nil"/>
            </w:tcBorders>
          </w:tcPr>
          <w:p w:rsidR="00B60F6A" w:rsidRPr="003D4020" w:rsidRDefault="00B60F6A" w:rsidP="00B60F6A">
            <w:pPr>
              <w:spacing w:after="0" w:line="240" w:lineRule="auto"/>
              <w:rPr>
                <w:rFonts w:ascii="Garamond" w:hAnsi="Garamond"/>
                <w:sz w:val="20"/>
                <w:szCs w:val="20"/>
              </w:rPr>
            </w:pPr>
            <w:r w:rsidRPr="003D4020">
              <w:rPr>
                <w:rFonts w:ascii="Garamond" w:hAnsi="Garamond"/>
                <w:sz w:val="20"/>
                <w:szCs w:val="20"/>
              </w:rPr>
              <w:t>2.9 (3.4)</w:t>
            </w:r>
          </w:p>
        </w:tc>
        <w:tc>
          <w:tcPr>
            <w:tcW w:w="1526" w:type="dxa"/>
            <w:tcBorders>
              <w:top w:val="nil"/>
              <w:bottom w:val="nil"/>
            </w:tcBorders>
          </w:tcPr>
          <w:p w:rsidR="00B60F6A" w:rsidRPr="003D4020" w:rsidRDefault="00B60F6A" w:rsidP="00B60F6A">
            <w:pPr>
              <w:spacing w:after="0" w:line="240" w:lineRule="auto"/>
              <w:rPr>
                <w:rFonts w:ascii="Garamond" w:hAnsi="Garamond"/>
                <w:sz w:val="20"/>
                <w:szCs w:val="20"/>
              </w:rPr>
            </w:pPr>
            <w:r w:rsidRPr="003D4020">
              <w:rPr>
                <w:rFonts w:ascii="Garamond" w:hAnsi="Garamond"/>
                <w:sz w:val="20"/>
                <w:szCs w:val="20"/>
              </w:rPr>
              <w:t>-0.8 (-2.5; 0.9)</w:t>
            </w:r>
          </w:p>
        </w:tc>
        <w:tc>
          <w:tcPr>
            <w:tcW w:w="1275" w:type="dxa"/>
            <w:tcBorders>
              <w:top w:val="nil"/>
              <w:bottom w:val="nil"/>
            </w:tcBorders>
          </w:tcPr>
          <w:p w:rsidR="00B60F6A" w:rsidRPr="003D4020" w:rsidRDefault="00B60F6A" w:rsidP="00447CC4">
            <w:pPr>
              <w:spacing w:after="0" w:line="240" w:lineRule="auto"/>
              <w:rPr>
                <w:rFonts w:ascii="Garamond" w:hAnsi="Garamond"/>
                <w:sz w:val="20"/>
                <w:szCs w:val="20"/>
              </w:rPr>
            </w:pPr>
            <w:r w:rsidRPr="003D4020">
              <w:rPr>
                <w:rFonts w:ascii="Garamond" w:hAnsi="Garamond"/>
                <w:sz w:val="20"/>
                <w:szCs w:val="20"/>
              </w:rPr>
              <w:t>-0.3</w:t>
            </w:r>
          </w:p>
        </w:tc>
      </w:tr>
      <w:tr w:rsidR="00B60F6A" w:rsidRPr="003D4020" w:rsidTr="00447CC4">
        <w:tc>
          <w:tcPr>
            <w:tcW w:w="709" w:type="dxa"/>
            <w:tcBorders>
              <w:top w:val="nil"/>
              <w:bottom w:val="nil"/>
            </w:tcBorders>
          </w:tcPr>
          <w:p w:rsidR="00B60F6A" w:rsidRPr="003D4020" w:rsidRDefault="00B60F6A" w:rsidP="00B60F6A">
            <w:pPr>
              <w:spacing w:after="0" w:line="240" w:lineRule="auto"/>
              <w:rPr>
                <w:rFonts w:ascii="Garamond" w:hAnsi="Garamond"/>
                <w:b/>
                <w:sz w:val="20"/>
                <w:szCs w:val="20"/>
              </w:rPr>
            </w:pPr>
          </w:p>
        </w:tc>
        <w:tc>
          <w:tcPr>
            <w:tcW w:w="2410" w:type="dxa"/>
            <w:gridSpan w:val="2"/>
            <w:tcBorders>
              <w:top w:val="nil"/>
              <w:bottom w:val="nil"/>
            </w:tcBorders>
          </w:tcPr>
          <w:p w:rsidR="00B60F6A" w:rsidRPr="003D4020" w:rsidRDefault="00B60F6A" w:rsidP="00B60F6A">
            <w:pPr>
              <w:spacing w:after="0" w:line="240" w:lineRule="auto"/>
              <w:rPr>
                <w:rFonts w:ascii="Garamond" w:hAnsi="Garamond"/>
                <w:sz w:val="20"/>
                <w:szCs w:val="20"/>
              </w:rPr>
            </w:pPr>
            <w:r w:rsidRPr="003D4020">
              <w:rPr>
                <w:rFonts w:ascii="Garamond" w:hAnsi="Garamond"/>
                <w:sz w:val="20"/>
                <w:szCs w:val="20"/>
              </w:rPr>
              <w:t>Week 4</w:t>
            </w:r>
          </w:p>
        </w:tc>
        <w:tc>
          <w:tcPr>
            <w:tcW w:w="1559" w:type="dxa"/>
            <w:tcBorders>
              <w:top w:val="nil"/>
              <w:bottom w:val="nil"/>
            </w:tcBorders>
          </w:tcPr>
          <w:p w:rsidR="00B60F6A" w:rsidRPr="003D4020" w:rsidRDefault="00B60F6A" w:rsidP="00B60F6A">
            <w:pPr>
              <w:spacing w:after="0" w:line="240" w:lineRule="auto"/>
              <w:rPr>
                <w:rFonts w:ascii="Garamond" w:hAnsi="Garamond"/>
                <w:sz w:val="20"/>
                <w:szCs w:val="20"/>
              </w:rPr>
            </w:pPr>
            <w:r w:rsidRPr="003D4020">
              <w:rPr>
                <w:rFonts w:ascii="Garamond" w:hAnsi="Garamond"/>
                <w:sz w:val="20"/>
                <w:szCs w:val="20"/>
              </w:rPr>
              <w:t>2.3 (2.1)</w:t>
            </w:r>
          </w:p>
        </w:tc>
        <w:tc>
          <w:tcPr>
            <w:tcW w:w="1701" w:type="dxa"/>
            <w:tcBorders>
              <w:top w:val="nil"/>
              <w:bottom w:val="nil"/>
            </w:tcBorders>
          </w:tcPr>
          <w:p w:rsidR="00B60F6A" w:rsidRPr="003D4020" w:rsidRDefault="00B60F6A" w:rsidP="00B60F6A">
            <w:pPr>
              <w:spacing w:after="0" w:line="240" w:lineRule="auto"/>
              <w:rPr>
                <w:rFonts w:ascii="Garamond" w:hAnsi="Garamond"/>
                <w:sz w:val="20"/>
                <w:szCs w:val="20"/>
              </w:rPr>
            </w:pPr>
            <w:r w:rsidRPr="003D4020">
              <w:rPr>
                <w:rFonts w:ascii="Garamond" w:hAnsi="Garamond"/>
                <w:sz w:val="20"/>
                <w:szCs w:val="20"/>
              </w:rPr>
              <w:t>1.7 (2.1)</w:t>
            </w:r>
          </w:p>
        </w:tc>
        <w:tc>
          <w:tcPr>
            <w:tcW w:w="1526" w:type="dxa"/>
            <w:tcBorders>
              <w:top w:val="nil"/>
              <w:bottom w:val="nil"/>
            </w:tcBorders>
          </w:tcPr>
          <w:p w:rsidR="00B60F6A" w:rsidRPr="003D4020" w:rsidRDefault="00B60F6A" w:rsidP="00B60F6A">
            <w:pPr>
              <w:spacing w:after="0" w:line="240" w:lineRule="auto"/>
              <w:rPr>
                <w:rFonts w:ascii="Garamond" w:hAnsi="Garamond"/>
                <w:sz w:val="20"/>
                <w:szCs w:val="20"/>
              </w:rPr>
            </w:pPr>
            <w:r w:rsidRPr="003D4020">
              <w:rPr>
                <w:rFonts w:ascii="Garamond" w:hAnsi="Garamond"/>
                <w:sz w:val="20"/>
                <w:szCs w:val="20"/>
              </w:rPr>
              <w:t>0.3 (-0.9; 1.5)</w:t>
            </w:r>
          </w:p>
        </w:tc>
        <w:tc>
          <w:tcPr>
            <w:tcW w:w="1275" w:type="dxa"/>
            <w:tcBorders>
              <w:top w:val="nil"/>
              <w:bottom w:val="nil"/>
            </w:tcBorders>
          </w:tcPr>
          <w:p w:rsidR="00B60F6A" w:rsidRPr="003D4020" w:rsidRDefault="00B60F6A" w:rsidP="00447CC4">
            <w:pPr>
              <w:spacing w:after="0" w:line="240" w:lineRule="auto"/>
              <w:rPr>
                <w:rFonts w:ascii="Garamond" w:hAnsi="Garamond"/>
                <w:sz w:val="20"/>
                <w:szCs w:val="20"/>
              </w:rPr>
            </w:pPr>
            <w:r w:rsidRPr="003D4020">
              <w:rPr>
                <w:rFonts w:ascii="Garamond" w:hAnsi="Garamond"/>
                <w:sz w:val="20"/>
                <w:szCs w:val="20"/>
              </w:rPr>
              <w:t>0.1</w:t>
            </w:r>
          </w:p>
        </w:tc>
      </w:tr>
      <w:tr w:rsidR="00B60F6A" w:rsidRPr="00B60F6A" w:rsidTr="00447CC4">
        <w:tc>
          <w:tcPr>
            <w:tcW w:w="709" w:type="dxa"/>
            <w:tcBorders>
              <w:top w:val="nil"/>
            </w:tcBorders>
          </w:tcPr>
          <w:p w:rsidR="00B60F6A" w:rsidRPr="00B60F6A" w:rsidRDefault="00B60F6A" w:rsidP="00B60F6A">
            <w:pPr>
              <w:spacing w:after="0" w:line="240" w:lineRule="auto"/>
              <w:rPr>
                <w:rFonts w:ascii="Times New Roman" w:hAnsi="Times New Roman"/>
                <w:sz w:val="16"/>
                <w:szCs w:val="16"/>
              </w:rPr>
            </w:pPr>
          </w:p>
        </w:tc>
        <w:tc>
          <w:tcPr>
            <w:tcW w:w="2410" w:type="dxa"/>
            <w:gridSpan w:val="2"/>
            <w:tcBorders>
              <w:top w:val="nil"/>
            </w:tcBorders>
          </w:tcPr>
          <w:p w:rsidR="00B60F6A" w:rsidRPr="00B60F6A" w:rsidRDefault="00B60F6A" w:rsidP="00B60F6A">
            <w:pPr>
              <w:spacing w:after="0" w:line="240" w:lineRule="auto"/>
              <w:rPr>
                <w:rFonts w:ascii="Times New Roman" w:hAnsi="Times New Roman"/>
                <w:sz w:val="16"/>
                <w:szCs w:val="16"/>
              </w:rPr>
            </w:pPr>
            <w:r w:rsidRPr="00B60F6A">
              <w:rPr>
                <w:rFonts w:ascii="Times New Roman" w:hAnsi="Times New Roman"/>
                <w:sz w:val="16"/>
                <w:szCs w:val="16"/>
              </w:rPr>
              <w:t>Week 12</w:t>
            </w:r>
          </w:p>
        </w:tc>
        <w:tc>
          <w:tcPr>
            <w:tcW w:w="1559" w:type="dxa"/>
            <w:tcBorders>
              <w:top w:val="nil"/>
            </w:tcBorders>
          </w:tcPr>
          <w:p w:rsidR="00B60F6A" w:rsidRPr="00B60F6A" w:rsidRDefault="00B60F6A" w:rsidP="00B60F6A">
            <w:pPr>
              <w:spacing w:after="0" w:line="240" w:lineRule="auto"/>
              <w:rPr>
                <w:rFonts w:ascii="Times New Roman" w:hAnsi="Times New Roman"/>
                <w:sz w:val="16"/>
                <w:szCs w:val="16"/>
              </w:rPr>
            </w:pPr>
            <w:r w:rsidRPr="00B60F6A">
              <w:rPr>
                <w:rFonts w:ascii="Times New Roman" w:hAnsi="Times New Roman"/>
                <w:sz w:val="16"/>
                <w:szCs w:val="16"/>
              </w:rPr>
              <w:t>2.6 (3.6)</w:t>
            </w:r>
          </w:p>
        </w:tc>
        <w:tc>
          <w:tcPr>
            <w:tcW w:w="1701" w:type="dxa"/>
            <w:tcBorders>
              <w:top w:val="nil"/>
              <w:bottom w:val="single" w:sz="4" w:space="0" w:color="auto"/>
            </w:tcBorders>
          </w:tcPr>
          <w:p w:rsidR="00B60F6A" w:rsidRPr="00B60F6A" w:rsidRDefault="00B60F6A" w:rsidP="00B60F6A">
            <w:pPr>
              <w:spacing w:after="0" w:line="240" w:lineRule="auto"/>
              <w:rPr>
                <w:rFonts w:ascii="Times New Roman" w:hAnsi="Times New Roman"/>
                <w:sz w:val="16"/>
                <w:szCs w:val="16"/>
              </w:rPr>
            </w:pPr>
            <w:r w:rsidRPr="00B60F6A">
              <w:rPr>
                <w:rFonts w:ascii="Times New Roman" w:hAnsi="Times New Roman"/>
                <w:sz w:val="16"/>
                <w:szCs w:val="16"/>
              </w:rPr>
              <w:t>1.8 (2.1)</w:t>
            </w:r>
          </w:p>
        </w:tc>
        <w:tc>
          <w:tcPr>
            <w:tcW w:w="1526" w:type="dxa"/>
            <w:tcBorders>
              <w:top w:val="nil"/>
              <w:bottom w:val="single" w:sz="4" w:space="0" w:color="auto"/>
            </w:tcBorders>
          </w:tcPr>
          <w:p w:rsidR="00B60F6A" w:rsidRPr="00B60F6A" w:rsidRDefault="00B60F6A" w:rsidP="00B60F6A">
            <w:pPr>
              <w:spacing w:after="0" w:line="240" w:lineRule="auto"/>
              <w:rPr>
                <w:rFonts w:ascii="Times New Roman" w:hAnsi="Times New Roman"/>
                <w:sz w:val="16"/>
                <w:szCs w:val="16"/>
              </w:rPr>
            </w:pPr>
            <w:r w:rsidRPr="00B60F6A">
              <w:rPr>
                <w:rFonts w:ascii="Times New Roman" w:hAnsi="Times New Roman"/>
                <w:sz w:val="16"/>
                <w:szCs w:val="16"/>
              </w:rPr>
              <w:t>0.7 (-1.4; 2.7)</w:t>
            </w:r>
          </w:p>
        </w:tc>
        <w:tc>
          <w:tcPr>
            <w:tcW w:w="1275" w:type="dxa"/>
            <w:tcBorders>
              <w:top w:val="nil"/>
              <w:bottom w:val="single" w:sz="4" w:space="0" w:color="auto"/>
            </w:tcBorders>
          </w:tcPr>
          <w:p w:rsidR="00B60F6A" w:rsidRPr="00B60F6A" w:rsidRDefault="00B60F6A" w:rsidP="00447CC4">
            <w:pPr>
              <w:spacing w:after="0" w:line="240" w:lineRule="auto"/>
              <w:rPr>
                <w:rFonts w:ascii="Times New Roman" w:hAnsi="Times New Roman"/>
                <w:sz w:val="16"/>
                <w:szCs w:val="16"/>
              </w:rPr>
            </w:pPr>
            <w:r w:rsidRPr="00B60F6A">
              <w:rPr>
                <w:rFonts w:ascii="Times New Roman" w:hAnsi="Times New Roman"/>
                <w:sz w:val="16"/>
                <w:szCs w:val="16"/>
              </w:rPr>
              <w:t>0.2</w:t>
            </w:r>
          </w:p>
        </w:tc>
      </w:tr>
    </w:tbl>
    <w:p w:rsidR="00B60F6A" w:rsidRDefault="00B60F6A" w:rsidP="00B60F6A">
      <w:pPr>
        <w:widowControl w:val="0"/>
        <w:autoSpaceDE w:val="0"/>
        <w:autoSpaceDN w:val="0"/>
        <w:adjustRightInd w:val="0"/>
        <w:spacing w:line="240" w:lineRule="auto"/>
        <w:ind w:left="640" w:hanging="640"/>
        <w:rPr>
          <w:rFonts w:ascii="Garamond" w:hAnsi="Garamond"/>
          <w:b/>
          <w:sz w:val="24"/>
          <w:szCs w:val="24"/>
        </w:rPr>
      </w:pPr>
      <w:r w:rsidRPr="00B60F6A">
        <w:rPr>
          <w:rFonts w:ascii="Times New Roman" w:hAnsi="Times New Roman" w:cs="Times New Roman"/>
          <w:sz w:val="16"/>
          <w:szCs w:val="16"/>
        </w:rPr>
        <w:t xml:space="preserve">Data are mean (SD).  </w:t>
      </w:r>
    </w:p>
    <w:p w:rsidR="00B60F6A" w:rsidRDefault="00B60F6A" w:rsidP="00B60F6A">
      <w:pPr>
        <w:rPr>
          <w:rFonts w:ascii="Times New Roman" w:hAnsi="Times New Roman" w:cs="Times New Roman"/>
          <w:sz w:val="20"/>
          <w:szCs w:val="20"/>
        </w:rPr>
      </w:pPr>
      <w:r w:rsidRPr="00455BFD">
        <w:rPr>
          <w:rFonts w:ascii="Times New Roman" w:hAnsi="Times New Roman" w:cs="Times New Roman"/>
          <w:sz w:val="20"/>
          <w:szCs w:val="20"/>
        </w:rPr>
        <w:t xml:space="preserve">There was a small effect size improvement in health related quality of life (EQ-5D) in the </w:t>
      </w:r>
      <w:r w:rsidR="006E1C0A">
        <w:rPr>
          <w:rFonts w:ascii="Times New Roman" w:hAnsi="Times New Roman" w:cs="Times New Roman"/>
          <w:sz w:val="20"/>
          <w:szCs w:val="20"/>
        </w:rPr>
        <w:t>STAC</w:t>
      </w:r>
      <w:r w:rsidRPr="00455BFD">
        <w:rPr>
          <w:rFonts w:ascii="Times New Roman" w:hAnsi="Times New Roman" w:cs="Times New Roman"/>
          <w:sz w:val="20"/>
          <w:szCs w:val="20"/>
        </w:rPr>
        <w:t xml:space="preserve"> group at week 2. This was not sustained at week 4 and 12.  At wee</w:t>
      </w:r>
      <w:r w:rsidR="00447CC4">
        <w:rPr>
          <w:rFonts w:ascii="Times New Roman" w:hAnsi="Times New Roman" w:cs="Times New Roman"/>
          <w:sz w:val="20"/>
          <w:szCs w:val="20"/>
        </w:rPr>
        <w:t>k 12 the standard care group had</w:t>
      </w:r>
      <w:r w:rsidRPr="00455BFD">
        <w:rPr>
          <w:rFonts w:ascii="Times New Roman" w:hAnsi="Times New Roman" w:cs="Times New Roman"/>
          <w:sz w:val="20"/>
          <w:szCs w:val="20"/>
        </w:rPr>
        <w:t xml:space="preserve"> a small effect size benefit over the </w:t>
      </w:r>
      <w:r w:rsidR="00447CC4">
        <w:rPr>
          <w:rFonts w:ascii="Times New Roman" w:hAnsi="Times New Roman" w:cs="Times New Roman"/>
          <w:sz w:val="20"/>
          <w:szCs w:val="20"/>
        </w:rPr>
        <w:t>STAC</w:t>
      </w:r>
      <w:r w:rsidRPr="00455BFD">
        <w:rPr>
          <w:rFonts w:ascii="Times New Roman" w:hAnsi="Times New Roman" w:cs="Times New Roman"/>
          <w:sz w:val="20"/>
          <w:szCs w:val="20"/>
        </w:rPr>
        <w:t xml:space="preserve"> group in terms of health related quality of life.  </w:t>
      </w:r>
    </w:p>
    <w:p w:rsidR="00B60F6A" w:rsidRDefault="00B60F6A" w:rsidP="00B60F6A">
      <w:pPr>
        <w:rPr>
          <w:rFonts w:ascii="Times New Roman" w:hAnsi="Times New Roman" w:cs="Times New Roman"/>
          <w:b/>
          <w:sz w:val="20"/>
          <w:szCs w:val="20"/>
          <w:lang w:eastAsia="en-GB"/>
        </w:rPr>
      </w:pPr>
      <w:r w:rsidRPr="00AD1D46">
        <w:rPr>
          <w:rFonts w:ascii="Times New Roman" w:hAnsi="Times New Roman" w:cs="Times New Roman"/>
          <w:b/>
          <w:sz w:val="20"/>
          <w:szCs w:val="20"/>
          <w:lang w:eastAsia="en-GB"/>
        </w:rPr>
        <w:t>Supplementary material 6:</w:t>
      </w:r>
    </w:p>
    <w:p w:rsidR="00447CC4" w:rsidRDefault="00447CC4" w:rsidP="00447CC4">
      <w:pPr>
        <w:widowControl w:val="0"/>
        <w:autoSpaceDE w:val="0"/>
        <w:autoSpaceDN w:val="0"/>
        <w:adjustRightInd w:val="0"/>
        <w:spacing w:line="240" w:lineRule="auto"/>
        <w:rPr>
          <w:rFonts w:ascii="Times New Roman" w:hAnsi="Times New Roman" w:cs="Times New Roman"/>
          <w:b/>
          <w:sz w:val="20"/>
          <w:szCs w:val="20"/>
          <w:lang w:eastAsia="en-GB"/>
        </w:rPr>
      </w:pPr>
      <w:proofErr w:type="gramStart"/>
      <w:r w:rsidRPr="00447CC4">
        <w:rPr>
          <w:rFonts w:ascii="Times New Roman" w:hAnsi="Times New Roman"/>
          <w:b/>
        </w:rPr>
        <w:t xml:space="preserve">Sample size calculation for </w:t>
      </w:r>
      <w:r>
        <w:rPr>
          <w:rFonts w:ascii="Times New Roman" w:hAnsi="Times New Roman"/>
          <w:b/>
        </w:rPr>
        <w:t xml:space="preserve">a </w:t>
      </w:r>
      <w:r w:rsidRPr="00447CC4">
        <w:rPr>
          <w:rFonts w:ascii="Times New Roman" w:hAnsi="Times New Roman"/>
          <w:b/>
        </w:rPr>
        <w:t xml:space="preserve">definitive trial of STAC </w:t>
      </w:r>
      <w:r>
        <w:rPr>
          <w:rFonts w:ascii="Times New Roman" w:hAnsi="Times New Roman"/>
          <w:b/>
        </w:rPr>
        <w:t xml:space="preserve">plus standard care </w:t>
      </w:r>
      <w:r w:rsidRPr="00447CC4">
        <w:rPr>
          <w:rFonts w:ascii="Times New Roman" w:hAnsi="Times New Roman"/>
          <w:b/>
        </w:rPr>
        <w:t>versus standard care</w:t>
      </w:r>
      <w:r>
        <w:rPr>
          <w:rFonts w:ascii="Times New Roman" w:hAnsi="Times New Roman"/>
          <w:b/>
        </w:rPr>
        <w:t xml:space="preserve"> alone</w:t>
      </w:r>
      <w:bookmarkStart w:id="0" w:name="_GoBack"/>
      <w:bookmarkEnd w:id="0"/>
      <w:r w:rsidRPr="00447CC4">
        <w:rPr>
          <w:rFonts w:ascii="Times New Roman" w:hAnsi="Times New Roman"/>
          <w:b/>
        </w:rPr>
        <w:t>.</w:t>
      </w:r>
      <w:proofErr w:type="gramEnd"/>
    </w:p>
    <w:p w:rsidR="00B60F6A" w:rsidRPr="00AD1D46" w:rsidRDefault="00B60F6A" w:rsidP="00B60F6A">
      <w:pPr>
        <w:rPr>
          <w:rFonts w:ascii="Times New Roman" w:hAnsi="Times New Roman" w:cs="Times New Roman"/>
          <w:sz w:val="20"/>
          <w:szCs w:val="20"/>
          <w:lang w:eastAsia="en-GB"/>
        </w:rPr>
      </w:pPr>
      <w:r>
        <w:rPr>
          <w:rFonts w:ascii="Times New Roman" w:hAnsi="Times New Roman" w:cs="Times New Roman"/>
          <w:sz w:val="20"/>
          <w:szCs w:val="20"/>
          <w:lang w:eastAsia="en-GB"/>
        </w:rPr>
        <w:t>A sample size of 128 (64 per group) would allow for the detection of a treatment difference of 4.6 in the ISI score with 90% power and at a significance level of 5%, assuming a standard deviation of 7.2 and a dropout rate of 20%. The estimate of the standard deviation was determined as the maximum of the 80% confidence interval upper limits for the standard deviation of the ISI scores at the different assessment points.</w:t>
      </w:r>
    </w:p>
    <w:p w:rsidR="00B26E8B" w:rsidRDefault="00B26E8B"/>
    <w:sectPr w:rsidR="00B26E8B" w:rsidSect="00E31C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9B7" w:rsidRDefault="006E1C0A">
      <w:pPr>
        <w:spacing w:after="0" w:line="240" w:lineRule="auto"/>
      </w:pPr>
      <w:r>
        <w:separator/>
      </w:r>
    </w:p>
  </w:endnote>
  <w:endnote w:type="continuationSeparator" w:id="0">
    <w:p w:rsidR="003A79B7" w:rsidRDefault="006E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686516"/>
      <w:docPartObj>
        <w:docPartGallery w:val="Page Numbers (Bottom of Page)"/>
        <w:docPartUnique/>
      </w:docPartObj>
    </w:sdtPr>
    <w:sdtEndPr>
      <w:rPr>
        <w:noProof/>
      </w:rPr>
    </w:sdtEndPr>
    <w:sdtContent>
      <w:p w:rsidR="00010FBA" w:rsidRDefault="00B60F6A">
        <w:pPr>
          <w:pStyle w:val="Footer"/>
          <w:jc w:val="right"/>
        </w:pPr>
        <w:r>
          <w:fldChar w:fldCharType="begin"/>
        </w:r>
        <w:r>
          <w:instrText xml:space="preserve"> PAGE   \* MERGEFORMAT </w:instrText>
        </w:r>
        <w:r>
          <w:fldChar w:fldCharType="separate"/>
        </w:r>
        <w:r w:rsidR="00447CC4">
          <w:rPr>
            <w:noProof/>
          </w:rPr>
          <w:t>3</w:t>
        </w:r>
        <w:r>
          <w:rPr>
            <w:noProof/>
          </w:rPr>
          <w:fldChar w:fldCharType="end"/>
        </w:r>
      </w:p>
    </w:sdtContent>
  </w:sdt>
  <w:p w:rsidR="00010FBA" w:rsidRDefault="0044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9B7" w:rsidRDefault="006E1C0A">
      <w:pPr>
        <w:spacing w:after="0" w:line="240" w:lineRule="auto"/>
      </w:pPr>
      <w:r>
        <w:separator/>
      </w:r>
    </w:p>
  </w:footnote>
  <w:footnote w:type="continuationSeparator" w:id="0">
    <w:p w:rsidR="003A79B7" w:rsidRDefault="006E1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11E0"/>
    <w:multiLevelType w:val="hybridMultilevel"/>
    <w:tmpl w:val="DECE3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11642D"/>
    <w:multiLevelType w:val="hybridMultilevel"/>
    <w:tmpl w:val="DECE3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6A"/>
    <w:rsid w:val="00026DD8"/>
    <w:rsid w:val="00351BB9"/>
    <w:rsid w:val="003A79B7"/>
    <w:rsid w:val="00447CC4"/>
    <w:rsid w:val="006E1C0A"/>
    <w:rsid w:val="00AE32FB"/>
    <w:rsid w:val="00B26E8B"/>
    <w:rsid w:val="00B60F6A"/>
    <w:rsid w:val="00C3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F6A"/>
    <w:pPr>
      <w:spacing w:after="120" w:line="276" w:lineRule="auto"/>
      <w:ind w:left="720"/>
      <w:contextualSpacing/>
    </w:pPr>
    <w:rPr>
      <w:rFonts w:ascii="Calibri" w:eastAsia="Times New Roman" w:hAnsi="Calibri" w:cs="Times New Roman"/>
      <w:sz w:val="20"/>
      <w:szCs w:val="20"/>
      <w:lang w:eastAsia="en-GB"/>
    </w:rPr>
  </w:style>
  <w:style w:type="table" w:styleId="TableGrid">
    <w:name w:val="Table Grid"/>
    <w:basedOn w:val="TableNormal"/>
    <w:uiPriority w:val="59"/>
    <w:rsid w:val="00B60F6A"/>
    <w:pPr>
      <w:spacing w:after="0" w:line="240" w:lineRule="auto"/>
    </w:pPr>
    <w:rPr>
      <w:rFonts w:ascii="Calibri" w:eastAsia="SimSu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Caption"/>
    <w:next w:val="Normal"/>
    <w:autoRedefine/>
    <w:uiPriority w:val="39"/>
    <w:rsid w:val="00B60F6A"/>
    <w:pPr>
      <w:keepNext/>
      <w:tabs>
        <w:tab w:val="left" w:pos="851"/>
      </w:tabs>
      <w:spacing w:after="0" w:line="276" w:lineRule="auto"/>
    </w:pPr>
    <w:rPr>
      <w:rFonts w:ascii="Times New Roman" w:eastAsia="Times New Roman" w:hAnsi="Times New Roman" w:cs="Times New Roman"/>
      <w:caps/>
      <w:color w:val="auto"/>
      <w:sz w:val="20"/>
      <w:szCs w:val="20"/>
      <w:lang w:eastAsia="en-GB"/>
    </w:rPr>
  </w:style>
  <w:style w:type="paragraph" w:styleId="Caption">
    <w:name w:val="caption"/>
    <w:basedOn w:val="Normal"/>
    <w:next w:val="Normal"/>
    <w:uiPriority w:val="35"/>
    <w:unhideWhenUsed/>
    <w:qFormat/>
    <w:rsid w:val="00B60F6A"/>
    <w:pPr>
      <w:spacing w:after="200" w:line="240" w:lineRule="auto"/>
    </w:pPr>
    <w:rPr>
      <w:b/>
      <w:bCs/>
      <w:color w:val="4F81BD" w:themeColor="accent1"/>
      <w:sz w:val="18"/>
      <w:szCs w:val="18"/>
    </w:rPr>
  </w:style>
  <w:style w:type="table" w:customStyle="1" w:styleId="ListTable21">
    <w:name w:val="List Table 21"/>
    <w:basedOn w:val="TableNormal"/>
    <w:uiPriority w:val="47"/>
    <w:rsid w:val="00B60F6A"/>
    <w:pPr>
      <w:spacing w:after="0" w:line="240" w:lineRule="auto"/>
    </w:pPr>
    <w:rPr>
      <w:rFonts w:eastAsiaTheme="minorEastAsia"/>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B6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F6A"/>
  </w:style>
  <w:style w:type="paragraph" w:styleId="BalloonText">
    <w:name w:val="Balloon Text"/>
    <w:basedOn w:val="Normal"/>
    <w:link w:val="BalloonTextChar"/>
    <w:uiPriority w:val="99"/>
    <w:semiHidden/>
    <w:unhideWhenUsed/>
    <w:rsid w:val="00AE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2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F6A"/>
    <w:pPr>
      <w:spacing w:after="120" w:line="276" w:lineRule="auto"/>
      <w:ind w:left="720"/>
      <w:contextualSpacing/>
    </w:pPr>
    <w:rPr>
      <w:rFonts w:ascii="Calibri" w:eastAsia="Times New Roman" w:hAnsi="Calibri" w:cs="Times New Roman"/>
      <w:sz w:val="20"/>
      <w:szCs w:val="20"/>
      <w:lang w:eastAsia="en-GB"/>
    </w:rPr>
  </w:style>
  <w:style w:type="table" w:styleId="TableGrid">
    <w:name w:val="Table Grid"/>
    <w:basedOn w:val="TableNormal"/>
    <w:uiPriority w:val="59"/>
    <w:rsid w:val="00B60F6A"/>
    <w:pPr>
      <w:spacing w:after="0" w:line="240" w:lineRule="auto"/>
    </w:pPr>
    <w:rPr>
      <w:rFonts w:ascii="Calibri" w:eastAsia="SimSu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Caption"/>
    <w:next w:val="Normal"/>
    <w:autoRedefine/>
    <w:uiPriority w:val="39"/>
    <w:rsid w:val="00B60F6A"/>
    <w:pPr>
      <w:keepNext/>
      <w:tabs>
        <w:tab w:val="left" w:pos="851"/>
      </w:tabs>
      <w:spacing w:after="0" w:line="276" w:lineRule="auto"/>
    </w:pPr>
    <w:rPr>
      <w:rFonts w:ascii="Times New Roman" w:eastAsia="Times New Roman" w:hAnsi="Times New Roman" w:cs="Times New Roman"/>
      <w:caps/>
      <w:color w:val="auto"/>
      <w:sz w:val="20"/>
      <w:szCs w:val="20"/>
      <w:lang w:eastAsia="en-GB"/>
    </w:rPr>
  </w:style>
  <w:style w:type="paragraph" w:styleId="Caption">
    <w:name w:val="caption"/>
    <w:basedOn w:val="Normal"/>
    <w:next w:val="Normal"/>
    <w:uiPriority w:val="35"/>
    <w:unhideWhenUsed/>
    <w:qFormat/>
    <w:rsid w:val="00B60F6A"/>
    <w:pPr>
      <w:spacing w:after="200" w:line="240" w:lineRule="auto"/>
    </w:pPr>
    <w:rPr>
      <w:b/>
      <w:bCs/>
      <w:color w:val="4F81BD" w:themeColor="accent1"/>
      <w:sz w:val="18"/>
      <w:szCs w:val="18"/>
    </w:rPr>
  </w:style>
  <w:style w:type="table" w:customStyle="1" w:styleId="ListTable21">
    <w:name w:val="List Table 21"/>
    <w:basedOn w:val="TableNormal"/>
    <w:uiPriority w:val="47"/>
    <w:rsid w:val="00B60F6A"/>
    <w:pPr>
      <w:spacing w:after="0" w:line="240" w:lineRule="auto"/>
    </w:pPr>
    <w:rPr>
      <w:rFonts w:eastAsiaTheme="minorEastAsia"/>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B6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F6A"/>
  </w:style>
  <w:style w:type="paragraph" w:styleId="BalloonText">
    <w:name w:val="Balloon Text"/>
    <w:basedOn w:val="Normal"/>
    <w:link w:val="BalloonTextChar"/>
    <w:uiPriority w:val="99"/>
    <w:semiHidden/>
    <w:unhideWhenUsed/>
    <w:rsid w:val="00AE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dc:creator>
  <cp:lastModifiedBy>Bryony Sheaves</cp:lastModifiedBy>
  <cp:revision>2</cp:revision>
  <dcterms:created xsi:type="dcterms:W3CDTF">2017-10-27T13:18:00Z</dcterms:created>
  <dcterms:modified xsi:type="dcterms:W3CDTF">2017-10-27T13:18:00Z</dcterms:modified>
</cp:coreProperties>
</file>